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28" w:rsidRPr="00C5350B" w:rsidRDefault="00C5350B" w:rsidP="00C5350B">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AIM AND DUTY; SWORD AND SHIELD; ANALYSING THE CAUSE AND EFFECTS OF THE MALLEABILITY OF ‘SOCIAL INTEGRATION’ IN EU LAW</w:t>
      </w:r>
    </w:p>
    <w:p w:rsidR="00233BAB" w:rsidRDefault="00233BAB" w:rsidP="002F33D2">
      <w:pPr>
        <w:pStyle w:val="NoSpacing"/>
        <w:spacing w:line="360" w:lineRule="auto"/>
        <w:jc w:val="center"/>
        <w:rPr>
          <w:rFonts w:ascii="Times New Roman" w:hAnsi="Times New Roman" w:cs="Times New Roman"/>
          <w:b/>
          <w:sz w:val="24"/>
          <w:szCs w:val="24"/>
          <w:u w:val="single"/>
        </w:rPr>
      </w:pPr>
    </w:p>
    <w:p w:rsidR="00544E28" w:rsidRPr="00CC1E68" w:rsidRDefault="00E67456" w:rsidP="00E67456">
      <w:pPr>
        <w:pStyle w:val="NoSpacing"/>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 </w:t>
      </w:r>
      <w:r w:rsidR="00425E1D">
        <w:rPr>
          <w:rFonts w:ascii="Times New Roman" w:hAnsi="Times New Roman" w:cs="Times New Roman"/>
          <w:b/>
          <w:sz w:val="24"/>
          <w:szCs w:val="24"/>
        </w:rPr>
        <w:t>INTRODUCTION</w:t>
      </w:r>
    </w:p>
    <w:p w:rsidR="00CC1E68" w:rsidRDefault="00CC1E68" w:rsidP="002F33D2">
      <w:pPr>
        <w:pStyle w:val="NoSpacing"/>
        <w:spacing w:line="360" w:lineRule="auto"/>
        <w:jc w:val="both"/>
        <w:rPr>
          <w:rFonts w:ascii="Times New Roman" w:hAnsi="Times New Roman" w:cs="Times New Roman"/>
          <w:b/>
          <w:sz w:val="24"/>
          <w:szCs w:val="24"/>
        </w:rPr>
      </w:pPr>
    </w:p>
    <w:p w:rsidR="00521FB4" w:rsidRDefault="00902E81"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CA09B8">
        <w:rPr>
          <w:rFonts w:ascii="Times New Roman" w:hAnsi="Times New Roman" w:cs="Times New Roman"/>
          <w:sz w:val="24"/>
          <w:szCs w:val="24"/>
        </w:rPr>
        <w:t>lthough the Rome Treaty sought “</w:t>
      </w:r>
      <w:r>
        <w:rPr>
          <w:rFonts w:ascii="Times New Roman" w:hAnsi="Times New Roman" w:cs="Times New Roman"/>
          <w:sz w:val="24"/>
          <w:szCs w:val="24"/>
        </w:rPr>
        <w:t>ever-closer un</w:t>
      </w:r>
      <w:r w:rsidR="00CA09B8">
        <w:rPr>
          <w:rFonts w:ascii="Times New Roman" w:hAnsi="Times New Roman" w:cs="Times New Roman"/>
          <w:sz w:val="24"/>
          <w:szCs w:val="24"/>
        </w:rPr>
        <w:t>ion among the peoples of Europe” and to “</w:t>
      </w:r>
      <w:r w:rsidR="0080656A">
        <w:rPr>
          <w:rFonts w:ascii="Times New Roman" w:hAnsi="Times New Roman" w:cs="Times New Roman"/>
          <w:sz w:val="24"/>
          <w:szCs w:val="24"/>
        </w:rPr>
        <w:t>ensure</w:t>
      </w:r>
      <w:r>
        <w:rPr>
          <w:rFonts w:ascii="Times New Roman" w:hAnsi="Times New Roman" w:cs="Times New Roman"/>
          <w:sz w:val="24"/>
          <w:szCs w:val="24"/>
        </w:rPr>
        <w:t xml:space="preserve"> the economic and social pro</w:t>
      </w:r>
      <w:r w:rsidR="00CA09B8">
        <w:rPr>
          <w:rFonts w:ascii="Times New Roman" w:hAnsi="Times New Roman" w:cs="Times New Roman"/>
          <w:sz w:val="24"/>
          <w:szCs w:val="24"/>
        </w:rPr>
        <w:t>gress”</w:t>
      </w:r>
      <w:r>
        <w:rPr>
          <w:rFonts w:ascii="Times New Roman" w:hAnsi="Times New Roman" w:cs="Times New Roman"/>
          <w:sz w:val="24"/>
          <w:szCs w:val="24"/>
        </w:rPr>
        <w:t xml:space="preserve"> of the Member States,</w:t>
      </w:r>
      <w:r w:rsidR="00472FD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its integrative focus was very much economic.</w:t>
      </w:r>
      <w:r w:rsidR="0088469A">
        <w:rPr>
          <w:rFonts w:ascii="Times New Roman" w:hAnsi="Times New Roman" w:cs="Times New Roman"/>
          <w:sz w:val="24"/>
          <w:szCs w:val="24"/>
        </w:rPr>
        <w:t xml:space="preserve"> </w:t>
      </w:r>
      <w:r w:rsidR="00233BAB">
        <w:rPr>
          <w:rFonts w:ascii="Times New Roman" w:hAnsi="Times New Roman" w:cs="Times New Roman"/>
          <w:sz w:val="24"/>
          <w:szCs w:val="24"/>
        </w:rPr>
        <w:t>T</w:t>
      </w:r>
      <w:r w:rsidR="0088469A">
        <w:rPr>
          <w:rFonts w:ascii="Times New Roman" w:hAnsi="Times New Roman" w:cs="Times New Roman"/>
          <w:sz w:val="24"/>
          <w:szCs w:val="24"/>
        </w:rPr>
        <w:t xml:space="preserve">he contemporary functioning of the Single Market </w:t>
      </w:r>
      <w:r w:rsidR="00C7311B">
        <w:rPr>
          <w:rFonts w:ascii="Times New Roman" w:hAnsi="Times New Roman" w:cs="Times New Roman"/>
          <w:sz w:val="24"/>
          <w:szCs w:val="24"/>
        </w:rPr>
        <w:t xml:space="preserve">arguably </w:t>
      </w:r>
      <w:r w:rsidR="0088469A">
        <w:rPr>
          <w:rFonts w:ascii="Times New Roman" w:hAnsi="Times New Roman" w:cs="Times New Roman"/>
          <w:sz w:val="24"/>
          <w:szCs w:val="24"/>
        </w:rPr>
        <w:t>vindicates the decision to build European integration on economic foundations.</w:t>
      </w:r>
      <w:r w:rsidR="00C7311B">
        <w:rPr>
          <w:rFonts w:ascii="Times New Roman" w:hAnsi="Times New Roman" w:cs="Times New Roman"/>
          <w:sz w:val="24"/>
          <w:szCs w:val="24"/>
        </w:rPr>
        <w:t xml:space="preserve"> Yet </w:t>
      </w:r>
      <w:r w:rsidR="0088469A">
        <w:rPr>
          <w:rFonts w:ascii="Times New Roman" w:hAnsi="Times New Roman" w:cs="Times New Roman"/>
          <w:sz w:val="24"/>
          <w:szCs w:val="24"/>
        </w:rPr>
        <w:t xml:space="preserve">recent political events – not least the </w:t>
      </w:r>
      <w:r w:rsidR="00233BAB">
        <w:rPr>
          <w:rFonts w:ascii="Times New Roman" w:hAnsi="Times New Roman" w:cs="Times New Roman"/>
          <w:sz w:val="24"/>
          <w:szCs w:val="24"/>
        </w:rPr>
        <w:t>UK electorate’s decision to lea</w:t>
      </w:r>
      <w:r w:rsidR="0088469A">
        <w:rPr>
          <w:rFonts w:ascii="Times New Roman" w:hAnsi="Times New Roman" w:cs="Times New Roman"/>
          <w:sz w:val="24"/>
          <w:szCs w:val="24"/>
        </w:rPr>
        <w:t>ve the EU – might suggest that the Union is now enter</w:t>
      </w:r>
      <w:r w:rsidR="00CA09B8">
        <w:rPr>
          <w:rFonts w:ascii="Times New Roman" w:hAnsi="Times New Roman" w:cs="Times New Roman"/>
          <w:sz w:val="24"/>
          <w:szCs w:val="24"/>
        </w:rPr>
        <w:t>ing a period of “disintegration”</w:t>
      </w:r>
      <w:r w:rsidR="0088469A">
        <w:rPr>
          <w:rFonts w:ascii="Times New Roman" w:hAnsi="Times New Roman" w:cs="Times New Roman"/>
          <w:sz w:val="24"/>
          <w:szCs w:val="24"/>
        </w:rPr>
        <w:t>, casting doubt on the solidity</w:t>
      </w:r>
      <w:r w:rsidR="007A391E">
        <w:rPr>
          <w:rFonts w:ascii="Times New Roman" w:hAnsi="Times New Roman" w:cs="Times New Roman"/>
          <w:sz w:val="24"/>
          <w:szCs w:val="24"/>
        </w:rPr>
        <w:t xml:space="preserve"> of</w:t>
      </w:r>
      <w:r w:rsidR="00233BAB">
        <w:rPr>
          <w:rFonts w:ascii="Times New Roman" w:hAnsi="Times New Roman" w:cs="Times New Roman"/>
          <w:sz w:val="24"/>
          <w:szCs w:val="24"/>
        </w:rPr>
        <w:t xml:space="preserve"> its </w:t>
      </w:r>
      <w:r w:rsidR="00E936CF">
        <w:rPr>
          <w:rFonts w:ascii="Times New Roman" w:hAnsi="Times New Roman" w:cs="Times New Roman"/>
          <w:sz w:val="24"/>
          <w:szCs w:val="24"/>
        </w:rPr>
        <w:t>integrative roots</w:t>
      </w:r>
      <w:r w:rsidR="0088469A">
        <w:rPr>
          <w:rFonts w:ascii="Times New Roman" w:hAnsi="Times New Roman" w:cs="Times New Roman"/>
          <w:sz w:val="24"/>
          <w:szCs w:val="24"/>
        </w:rPr>
        <w:t>.</w:t>
      </w:r>
      <w:r w:rsidR="00883FB3">
        <w:rPr>
          <w:rFonts w:ascii="Times New Roman" w:hAnsi="Times New Roman" w:cs="Times New Roman"/>
          <w:sz w:val="24"/>
          <w:szCs w:val="24"/>
        </w:rPr>
        <w:t xml:space="preserve"> </w:t>
      </w:r>
      <w:r w:rsidR="00A41FEF">
        <w:rPr>
          <w:rFonts w:ascii="Times New Roman" w:hAnsi="Times New Roman" w:cs="Times New Roman"/>
          <w:sz w:val="24"/>
          <w:szCs w:val="24"/>
        </w:rPr>
        <w:t>Today, integration of a more socially-oriented nature s</w:t>
      </w:r>
      <w:r w:rsidR="00883FB3">
        <w:rPr>
          <w:rFonts w:ascii="Times New Roman" w:hAnsi="Times New Roman" w:cs="Times New Roman"/>
          <w:sz w:val="24"/>
          <w:szCs w:val="24"/>
        </w:rPr>
        <w:t xml:space="preserve">eems to be viewed as crucial to winning the hearts and minds of Europe’s citizens. </w:t>
      </w:r>
      <w:r w:rsidR="00A114CF">
        <w:rPr>
          <w:rFonts w:ascii="Times New Roman" w:hAnsi="Times New Roman" w:cs="Times New Roman"/>
          <w:sz w:val="24"/>
          <w:szCs w:val="24"/>
        </w:rPr>
        <w:t>I</w:t>
      </w:r>
      <w:r w:rsidR="00883FB3">
        <w:rPr>
          <w:rFonts w:ascii="Times New Roman" w:hAnsi="Times New Roman" w:cs="Times New Roman"/>
          <w:sz w:val="24"/>
          <w:szCs w:val="24"/>
        </w:rPr>
        <w:t>n</w:t>
      </w:r>
      <w:r w:rsidR="00CA09B8">
        <w:rPr>
          <w:rFonts w:ascii="Times New Roman" w:hAnsi="Times New Roman" w:cs="Times New Roman"/>
          <w:sz w:val="24"/>
          <w:szCs w:val="24"/>
        </w:rPr>
        <w:t xml:space="preserve"> the context of a “</w:t>
      </w:r>
      <w:r w:rsidR="00521FB4">
        <w:rPr>
          <w:rFonts w:ascii="Times New Roman" w:hAnsi="Times New Roman" w:cs="Times New Roman"/>
          <w:sz w:val="24"/>
          <w:szCs w:val="24"/>
        </w:rPr>
        <w:t>roadmap for a more united, str</w:t>
      </w:r>
      <w:r w:rsidR="00CA09B8">
        <w:rPr>
          <w:rFonts w:ascii="Times New Roman" w:hAnsi="Times New Roman" w:cs="Times New Roman"/>
          <w:sz w:val="24"/>
          <w:szCs w:val="24"/>
        </w:rPr>
        <w:t>onger and more democratic union”</w:t>
      </w:r>
      <w:r w:rsidR="00521FB4">
        <w:rPr>
          <w:rFonts w:ascii="Times New Roman" w:hAnsi="Times New Roman" w:cs="Times New Roman"/>
          <w:sz w:val="24"/>
          <w:szCs w:val="24"/>
        </w:rPr>
        <w:t>,</w:t>
      </w:r>
      <w:r w:rsidR="00521FB4">
        <w:rPr>
          <w:rStyle w:val="FootnoteReference"/>
          <w:rFonts w:ascii="Times New Roman" w:hAnsi="Times New Roman" w:cs="Times New Roman"/>
          <w:sz w:val="24"/>
          <w:szCs w:val="24"/>
        </w:rPr>
        <w:footnoteReference w:id="2"/>
      </w:r>
      <w:r w:rsidR="00521FB4">
        <w:rPr>
          <w:rFonts w:ascii="Times New Roman" w:hAnsi="Times New Roman" w:cs="Times New Roman"/>
          <w:sz w:val="24"/>
          <w:szCs w:val="24"/>
        </w:rPr>
        <w:t xml:space="preserve"> the Commission President called, </w:t>
      </w:r>
      <w:r w:rsidR="00521FB4">
        <w:rPr>
          <w:rFonts w:ascii="Times New Roman" w:hAnsi="Times New Roman" w:cs="Times New Roman"/>
          <w:i/>
          <w:sz w:val="24"/>
          <w:szCs w:val="24"/>
        </w:rPr>
        <w:t>inter alia</w:t>
      </w:r>
      <w:r w:rsidR="00521FB4">
        <w:rPr>
          <w:rFonts w:ascii="Times New Roman" w:hAnsi="Times New Roman" w:cs="Times New Roman"/>
          <w:sz w:val="24"/>
          <w:szCs w:val="24"/>
        </w:rPr>
        <w:t>,</w:t>
      </w:r>
      <w:r w:rsidR="00521FB4" w:rsidRPr="00521FB4">
        <w:rPr>
          <w:rFonts w:ascii="Times New Roman" w:hAnsi="Times New Roman" w:cs="Times New Roman"/>
          <w:sz w:val="24"/>
          <w:szCs w:val="24"/>
        </w:rPr>
        <w:t xml:space="preserve"> </w:t>
      </w:r>
      <w:r w:rsidR="00CA09B8">
        <w:rPr>
          <w:rFonts w:ascii="Times New Roman" w:hAnsi="Times New Roman" w:cs="Times New Roman"/>
          <w:sz w:val="24"/>
          <w:szCs w:val="24"/>
        </w:rPr>
        <w:t>for a Union in which “</w:t>
      </w:r>
      <w:r w:rsidR="00521FB4">
        <w:rPr>
          <w:rFonts w:ascii="Times New Roman" w:hAnsi="Times New Roman" w:cs="Times New Roman"/>
          <w:sz w:val="24"/>
          <w:szCs w:val="24"/>
        </w:rPr>
        <w:t>Europeans wake up to a Europe where we have managed to agree on a st</w:t>
      </w:r>
      <w:r w:rsidR="00CA09B8">
        <w:rPr>
          <w:rFonts w:ascii="Times New Roman" w:hAnsi="Times New Roman" w:cs="Times New Roman"/>
          <w:sz w:val="24"/>
          <w:szCs w:val="24"/>
        </w:rPr>
        <w:t>rong pillar of social standards”</w:t>
      </w:r>
      <w:r w:rsidR="00521FB4">
        <w:rPr>
          <w:rFonts w:ascii="Times New Roman" w:hAnsi="Times New Roman" w:cs="Times New Roman"/>
          <w:sz w:val="24"/>
          <w:szCs w:val="24"/>
        </w:rPr>
        <w:t>.</w:t>
      </w:r>
      <w:r w:rsidR="00521FB4">
        <w:rPr>
          <w:rStyle w:val="FootnoteReference"/>
          <w:rFonts w:ascii="Times New Roman" w:hAnsi="Times New Roman" w:cs="Times New Roman"/>
          <w:sz w:val="24"/>
          <w:szCs w:val="24"/>
        </w:rPr>
        <w:footnoteReference w:id="3"/>
      </w:r>
      <w:r w:rsidR="00521FB4">
        <w:rPr>
          <w:rFonts w:ascii="Times New Roman" w:hAnsi="Times New Roman" w:cs="Times New Roman"/>
          <w:sz w:val="24"/>
          <w:szCs w:val="24"/>
        </w:rPr>
        <w:t xml:space="preserve"> </w:t>
      </w:r>
    </w:p>
    <w:p w:rsidR="002F33D2" w:rsidRDefault="0080656A" w:rsidP="002F33D2">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However, </w:t>
      </w:r>
      <w:r w:rsidR="00521FB4">
        <w:rPr>
          <w:rFonts w:ascii="Times New Roman" w:hAnsi="Times New Roman" w:cs="Times New Roman"/>
          <w:sz w:val="24"/>
          <w:szCs w:val="24"/>
        </w:rPr>
        <w:t xml:space="preserve">to be effective </w:t>
      </w:r>
      <w:r>
        <w:rPr>
          <w:rFonts w:ascii="Times New Roman" w:hAnsi="Times New Roman" w:cs="Times New Roman"/>
          <w:sz w:val="24"/>
          <w:szCs w:val="24"/>
        </w:rPr>
        <w:t>such an approach must offer something</w:t>
      </w:r>
      <w:r w:rsidR="00F35104">
        <w:rPr>
          <w:rFonts w:ascii="Times New Roman" w:hAnsi="Times New Roman" w:cs="Times New Roman"/>
          <w:sz w:val="24"/>
          <w:szCs w:val="24"/>
        </w:rPr>
        <w:t xml:space="preserve"> genuinely novel.</w:t>
      </w:r>
      <w:r w:rsidR="009E6070">
        <w:rPr>
          <w:rFonts w:ascii="Times New Roman" w:hAnsi="Times New Roman" w:cs="Times New Roman"/>
          <w:sz w:val="24"/>
          <w:szCs w:val="24"/>
        </w:rPr>
        <w:t xml:space="preserve"> After all,</w:t>
      </w:r>
      <w:r w:rsidR="00521FB4">
        <w:rPr>
          <w:rFonts w:ascii="Times New Roman" w:hAnsi="Times New Roman" w:cs="Times New Roman"/>
          <w:sz w:val="24"/>
          <w:szCs w:val="24"/>
        </w:rPr>
        <w:t xml:space="preserve"> the Maastricht Treaty </w:t>
      </w:r>
      <w:r w:rsidR="0076330C">
        <w:rPr>
          <w:rFonts w:ascii="Times New Roman" w:hAnsi="Times New Roman" w:cs="Times New Roman"/>
          <w:sz w:val="24"/>
          <w:szCs w:val="24"/>
        </w:rPr>
        <w:t xml:space="preserve">sought to </w:t>
      </w:r>
      <w:r w:rsidR="00132E12">
        <w:rPr>
          <w:rFonts w:ascii="Times New Roman" w:hAnsi="Times New Roman" w:cs="Times New Roman"/>
          <w:sz w:val="24"/>
          <w:szCs w:val="24"/>
        </w:rPr>
        <w:t>expand the EU’s</w:t>
      </w:r>
      <w:r w:rsidR="00411177">
        <w:rPr>
          <w:rFonts w:ascii="Times New Roman" w:hAnsi="Times New Roman" w:cs="Times New Roman"/>
          <w:sz w:val="24"/>
          <w:szCs w:val="24"/>
        </w:rPr>
        <w:t xml:space="preserve"> decidedly economic</w:t>
      </w:r>
      <w:r w:rsidR="00132E12">
        <w:rPr>
          <w:rFonts w:ascii="Times New Roman" w:hAnsi="Times New Roman" w:cs="Times New Roman"/>
          <w:sz w:val="24"/>
          <w:szCs w:val="24"/>
        </w:rPr>
        <w:t xml:space="preserve"> </w:t>
      </w:r>
      <w:r w:rsidR="00132E12">
        <w:rPr>
          <w:rFonts w:ascii="Times New Roman" w:hAnsi="Times New Roman" w:cs="Times New Roman"/>
          <w:i/>
          <w:sz w:val="24"/>
          <w:szCs w:val="24"/>
        </w:rPr>
        <w:t xml:space="preserve">raison d’être </w:t>
      </w:r>
      <w:r w:rsidR="00822021">
        <w:rPr>
          <w:rFonts w:ascii="Times New Roman" w:hAnsi="Times New Roman" w:cs="Times New Roman"/>
          <w:sz w:val="24"/>
          <w:szCs w:val="24"/>
        </w:rPr>
        <w:t xml:space="preserve">to include </w:t>
      </w:r>
      <w:r w:rsidR="00132E12">
        <w:rPr>
          <w:rFonts w:ascii="Times New Roman" w:hAnsi="Times New Roman" w:cs="Times New Roman"/>
          <w:sz w:val="24"/>
          <w:szCs w:val="24"/>
        </w:rPr>
        <w:t>social and political unio</w:t>
      </w:r>
      <w:r w:rsidR="00E674D5">
        <w:rPr>
          <w:rFonts w:ascii="Times New Roman" w:hAnsi="Times New Roman" w:cs="Times New Roman"/>
          <w:sz w:val="24"/>
          <w:szCs w:val="24"/>
        </w:rPr>
        <w:t>n</w:t>
      </w:r>
      <w:r w:rsidR="007A391E">
        <w:rPr>
          <w:rFonts w:ascii="Times New Roman" w:hAnsi="Times New Roman" w:cs="Times New Roman"/>
          <w:sz w:val="24"/>
          <w:szCs w:val="24"/>
        </w:rPr>
        <w:t xml:space="preserve"> as far back as 1993</w:t>
      </w:r>
      <w:r w:rsidR="00E674D5">
        <w:rPr>
          <w:rFonts w:ascii="Times New Roman" w:hAnsi="Times New Roman" w:cs="Times New Roman"/>
          <w:sz w:val="24"/>
          <w:szCs w:val="24"/>
        </w:rPr>
        <w:t xml:space="preserve">. </w:t>
      </w:r>
      <w:r w:rsidR="007A391E">
        <w:rPr>
          <w:rFonts w:ascii="Times New Roman" w:hAnsi="Times New Roman" w:cs="Times New Roman"/>
          <w:sz w:val="24"/>
          <w:szCs w:val="24"/>
        </w:rPr>
        <w:t>Indeed, t</w:t>
      </w:r>
      <w:r w:rsidR="00521FB4">
        <w:rPr>
          <w:rFonts w:ascii="Times New Roman" w:hAnsi="Times New Roman" w:cs="Times New Roman"/>
          <w:sz w:val="24"/>
          <w:szCs w:val="24"/>
        </w:rPr>
        <w:t>he vast array of policy areas covered by the contemporary Treaties</w:t>
      </w:r>
      <w:r w:rsidR="00D3178B">
        <w:rPr>
          <w:rFonts w:ascii="Times New Roman" w:hAnsi="Times New Roman" w:cs="Times New Roman"/>
          <w:sz w:val="24"/>
          <w:szCs w:val="24"/>
        </w:rPr>
        <w:t xml:space="preserve"> </w:t>
      </w:r>
      <w:r w:rsidR="00521FB4">
        <w:rPr>
          <w:rFonts w:ascii="Times New Roman" w:hAnsi="Times New Roman" w:cs="Times New Roman"/>
          <w:sz w:val="24"/>
          <w:szCs w:val="24"/>
        </w:rPr>
        <w:t>have already greatly ex</w:t>
      </w:r>
      <w:r w:rsidR="00822021">
        <w:rPr>
          <w:rFonts w:ascii="Times New Roman" w:hAnsi="Times New Roman" w:cs="Times New Roman"/>
          <w:sz w:val="24"/>
          <w:szCs w:val="24"/>
        </w:rPr>
        <w:t>tended</w:t>
      </w:r>
      <w:r w:rsidR="00521FB4">
        <w:rPr>
          <w:rFonts w:ascii="Times New Roman" w:hAnsi="Times New Roman" w:cs="Times New Roman"/>
          <w:sz w:val="24"/>
          <w:szCs w:val="24"/>
        </w:rPr>
        <w:t xml:space="preserve"> the manner in which the Member States can pursue European integration, albeit that the Union’s compe</w:t>
      </w:r>
      <w:r w:rsidR="00C0466D">
        <w:rPr>
          <w:rFonts w:ascii="Times New Roman" w:hAnsi="Times New Roman" w:cs="Times New Roman"/>
          <w:sz w:val="24"/>
          <w:szCs w:val="24"/>
        </w:rPr>
        <w:t xml:space="preserve">tence to act differs across </w:t>
      </w:r>
      <w:r w:rsidR="00521FB4">
        <w:rPr>
          <w:rFonts w:ascii="Times New Roman" w:hAnsi="Times New Roman" w:cs="Times New Roman"/>
          <w:sz w:val="24"/>
          <w:szCs w:val="24"/>
        </w:rPr>
        <w:t>various fields.</w:t>
      </w:r>
      <w:r w:rsidR="00822021">
        <w:rPr>
          <w:rFonts w:ascii="Times New Roman" w:hAnsi="Times New Roman" w:cs="Times New Roman"/>
          <w:sz w:val="24"/>
          <w:szCs w:val="24"/>
        </w:rPr>
        <w:t xml:space="preserve"> </w:t>
      </w:r>
      <w:r w:rsidR="00ED6784">
        <w:rPr>
          <w:rFonts w:ascii="Times New Roman" w:hAnsi="Times New Roman" w:cs="Times New Roman"/>
          <w:sz w:val="24"/>
          <w:szCs w:val="24"/>
        </w:rPr>
        <w:t>Critically, though</w:t>
      </w:r>
      <w:r w:rsidR="0033278D">
        <w:rPr>
          <w:rFonts w:ascii="Times New Roman" w:hAnsi="Times New Roman" w:cs="Times New Roman"/>
          <w:sz w:val="24"/>
          <w:szCs w:val="24"/>
        </w:rPr>
        <w:t xml:space="preserve"> each p</w:t>
      </w:r>
      <w:r w:rsidR="001A343E">
        <w:rPr>
          <w:rFonts w:ascii="Times New Roman" w:hAnsi="Times New Roman" w:cs="Times New Roman"/>
          <w:sz w:val="24"/>
          <w:szCs w:val="24"/>
        </w:rPr>
        <w:t xml:space="preserve">olicy area </w:t>
      </w:r>
      <w:r w:rsidR="0033278D">
        <w:rPr>
          <w:rFonts w:ascii="Times New Roman" w:hAnsi="Times New Roman" w:cs="Times New Roman"/>
          <w:sz w:val="24"/>
          <w:szCs w:val="24"/>
        </w:rPr>
        <w:t>boast</w:t>
      </w:r>
      <w:r w:rsidR="001A343E">
        <w:rPr>
          <w:rFonts w:ascii="Times New Roman" w:hAnsi="Times New Roman" w:cs="Times New Roman"/>
          <w:sz w:val="24"/>
          <w:szCs w:val="24"/>
        </w:rPr>
        <w:t>s</w:t>
      </w:r>
      <w:r w:rsidR="0033278D">
        <w:rPr>
          <w:rFonts w:ascii="Times New Roman" w:hAnsi="Times New Roman" w:cs="Times New Roman"/>
          <w:sz w:val="24"/>
          <w:szCs w:val="24"/>
        </w:rPr>
        <w:t xml:space="preserve"> its own successes,</w:t>
      </w:r>
      <w:r w:rsidR="00E674D5">
        <w:rPr>
          <w:rFonts w:ascii="Times New Roman" w:hAnsi="Times New Roman" w:cs="Times New Roman"/>
          <w:sz w:val="24"/>
          <w:szCs w:val="24"/>
        </w:rPr>
        <w:t xml:space="preserve"> </w:t>
      </w:r>
      <w:r w:rsidR="00B95D79">
        <w:rPr>
          <w:rFonts w:ascii="Times New Roman" w:hAnsi="Times New Roman" w:cs="Times New Roman"/>
          <w:sz w:val="24"/>
          <w:szCs w:val="24"/>
        </w:rPr>
        <w:t>the</w:t>
      </w:r>
      <w:r w:rsidR="001C46F4">
        <w:rPr>
          <w:rFonts w:ascii="Times New Roman" w:hAnsi="Times New Roman" w:cs="Times New Roman"/>
          <w:sz w:val="24"/>
          <w:szCs w:val="24"/>
        </w:rPr>
        <w:t xml:space="preserve"> </w:t>
      </w:r>
      <w:r w:rsidR="00B95625">
        <w:rPr>
          <w:rFonts w:ascii="Times New Roman" w:hAnsi="Times New Roman" w:cs="Times New Roman"/>
          <w:sz w:val="24"/>
          <w:szCs w:val="24"/>
        </w:rPr>
        <w:t>broadening</w:t>
      </w:r>
      <w:r w:rsidR="00427F57">
        <w:rPr>
          <w:rFonts w:ascii="Times New Roman" w:hAnsi="Times New Roman" w:cs="Times New Roman"/>
          <w:sz w:val="24"/>
          <w:szCs w:val="24"/>
        </w:rPr>
        <w:t xml:space="preserve"> of the </w:t>
      </w:r>
      <w:r w:rsidR="00B95D79">
        <w:rPr>
          <w:rFonts w:ascii="Times New Roman" w:hAnsi="Times New Roman" w:cs="Times New Roman"/>
          <w:sz w:val="24"/>
          <w:szCs w:val="24"/>
        </w:rPr>
        <w:t>Treaties</w:t>
      </w:r>
      <w:r w:rsidR="00822021">
        <w:rPr>
          <w:rFonts w:ascii="Times New Roman" w:hAnsi="Times New Roman" w:cs="Times New Roman"/>
          <w:sz w:val="24"/>
          <w:szCs w:val="24"/>
        </w:rPr>
        <w:t>’ remit seems to have</w:t>
      </w:r>
      <w:r w:rsidR="00427F57">
        <w:rPr>
          <w:rFonts w:ascii="Times New Roman" w:hAnsi="Times New Roman" w:cs="Times New Roman"/>
          <w:sz w:val="24"/>
          <w:szCs w:val="24"/>
        </w:rPr>
        <w:t xml:space="preserve"> done relatively little, one way or the other, </w:t>
      </w:r>
      <w:r w:rsidR="00CA09B8">
        <w:rPr>
          <w:rFonts w:ascii="Times New Roman" w:hAnsi="Times New Roman" w:cs="Times New Roman"/>
          <w:sz w:val="24"/>
          <w:szCs w:val="24"/>
        </w:rPr>
        <w:t>to convince the “peoples of Europe”</w:t>
      </w:r>
      <w:r w:rsidR="0033278D">
        <w:rPr>
          <w:rFonts w:ascii="Times New Roman" w:hAnsi="Times New Roman" w:cs="Times New Roman"/>
          <w:sz w:val="24"/>
          <w:szCs w:val="24"/>
        </w:rPr>
        <w:t xml:space="preserve"> of the merits of ‘ever-closer union’</w:t>
      </w:r>
      <w:r w:rsidR="00EF6AD1">
        <w:rPr>
          <w:rFonts w:ascii="Times New Roman" w:hAnsi="Times New Roman" w:cs="Times New Roman"/>
          <w:sz w:val="24"/>
          <w:szCs w:val="24"/>
        </w:rPr>
        <w:t xml:space="preserve">. </w:t>
      </w:r>
      <w:r w:rsidR="00E936CF">
        <w:rPr>
          <w:rFonts w:ascii="Times New Roman" w:hAnsi="Times New Roman" w:cs="Times New Roman"/>
          <w:sz w:val="24"/>
          <w:szCs w:val="24"/>
        </w:rPr>
        <w:t>In fact,</w:t>
      </w:r>
      <w:r w:rsidR="00895E0B">
        <w:rPr>
          <w:rFonts w:ascii="Times New Roman" w:hAnsi="Times New Roman" w:cs="Times New Roman"/>
          <w:sz w:val="24"/>
          <w:szCs w:val="24"/>
        </w:rPr>
        <w:t xml:space="preserve"> </w:t>
      </w:r>
      <w:r w:rsidR="00B95D79">
        <w:rPr>
          <w:rFonts w:ascii="Times New Roman" w:hAnsi="Times New Roman" w:cs="Times New Roman"/>
          <w:sz w:val="24"/>
          <w:szCs w:val="24"/>
        </w:rPr>
        <w:t xml:space="preserve">ironically </w:t>
      </w:r>
      <w:r w:rsidR="00895E0B">
        <w:rPr>
          <w:rFonts w:ascii="Times New Roman" w:hAnsi="Times New Roman" w:cs="Times New Roman"/>
          <w:sz w:val="24"/>
          <w:szCs w:val="24"/>
        </w:rPr>
        <w:t>the EU citizenry –</w:t>
      </w:r>
      <w:r w:rsidR="00E936CF">
        <w:rPr>
          <w:rFonts w:ascii="Times New Roman" w:hAnsi="Times New Roman" w:cs="Times New Roman"/>
          <w:sz w:val="24"/>
          <w:szCs w:val="24"/>
        </w:rPr>
        <w:t xml:space="preserve"> or at least those sections of it ab</w:t>
      </w:r>
      <w:r w:rsidR="00895E0B">
        <w:rPr>
          <w:rFonts w:ascii="Times New Roman" w:hAnsi="Times New Roman" w:cs="Times New Roman"/>
          <w:sz w:val="24"/>
          <w:szCs w:val="24"/>
        </w:rPr>
        <w:t xml:space="preserve">le to vote in </w:t>
      </w:r>
      <w:r w:rsidR="00B15511">
        <w:rPr>
          <w:rFonts w:ascii="Times New Roman" w:hAnsi="Times New Roman" w:cs="Times New Roman"/>
          <w:sz w:val="24"/>
          <w:szCs w:val="24"/>
        </w:rPr>
        <w:t xml:space="preserve">relevant </w:t>
      </w:r>
      <w:r w:rsidR="00895E0B">
        <w:rPr>
          <w:rFonts w:ascii="Times New Roman" w:hAnsi="Times New Roman" w:cs="Times New Roman"/>
          <w:sz w:val="24"/>
          <w:szCs w:val="24"/>
        </w:rPr>
        <w:t>popular referenda –</w:t>
      </w:r>
      <w:r w:rsidR="00E936CF">
        <w:rPr>
          <w:rFonts w:ascii="Times New Roman" w:hAnsi="Times New Roman" w:cs="Times New Roman"/>
          <w:sz w:val="24"/>
          <w:szCs w:val="24"/>
        </w:rPr>
        <w:t xml:space="preserve"> appear</w:t>
      </w:r>
      <w:r w:rsidR="007750CD">
        <w:rPr>
          <w:rFonts w:ascii="Times New Roman" w:hAnsi="Times New Roman" w:cs="Times New Roman"/>
          <w:sz w:val="24"/>
          <w:szCs w:val="24"/>
        </w:rPr>
        <w:t>s</w:t>
      </w:r>
      <w:r w:rsidR="00E936CF">
        <w:rPr>
          <w:rFonts w:ascii="Times New Roman" w:hAnsi="Times New Roman" w:cs="Times New Roman"/>
          <w:sz w:val="24"/>
          <w:szCs w:val="24"/>
        </w:rPr>
        <w:t xml:space="preserve"> resistant </w:t>
      </w:r>
      <w:r w:rsidR="00B65501">
        <w:rPr>
          <w:rFonts w:ascii="Times New Roman" w:hAnsi="Times New Roman" w:cs="Times New Roman"/>
          <w:sz w:val="24"/>
          <w:szCs w:val="24"/>
        </w:rPr>
        <w:t>to some of the political and social</w:t>
      </w:r>
      <w:r w:rsidR="007750CD">
        <w:rPr>
          <w:rFonts w:ascii="Times New Roman" w:hAnsi="Times New Roman" w:cs="Times New Roman"/>
          <w:sz w:val="24"/>
          <w:szCs w:val="24"/>
        </w:rPr>
        <w:t xml:space="preserve"> mechanisms that seek to make the Union about</w:t>
      </w:r>
      <w:r w:rsidR="007963FA">
        <w:rPr>
          <w:rFonts w:ascii="Times New Roman" w:hAnsi="Times New Roman" w:cs="Times New Roman"/>
          <w:sz w:val="24"/>
          <w:szCs w:val="24"/>
        </w:rPr>
        <w:t xml:space="preserve"> its</w:t>
      </w:r>
      <w:r w:rsidR="007750CD">
        <w:rPr>
          <w:rFonts w:ascii="Times New Roman" w:hAnsi="Times New Roman" w:cs="Times New Roman"/>
          <w:sz w:val="24"/>
          <w:szCs w:val="24"/>
        </w:rPr>
        <w:t xml:space="preserve"> </w:t>
      </w:r>
      <w:r w:rsidR="007750CD">
        <w:rPr>
          <w:rFonts w:ascii="Times New Roman" w:hAnsi="Times New Roman" w:cs="Times New Roman"/>
          <w:i/>
          <w:sz w:val="24"/>
          <w:szCs w:val="24"/>
        </w:rPr>
        <w:t>people</w:t>
      </w:r>
      <w:r w:rsidR="007750CD">
        <w:rPr>
          <w:rFonts w:ascii="Times New Roman" w:hAnsi="Times New Roman" w:cs="Times New Roman"/>
          <w:sz w:val="24"/>
          <w:szCs w:val="24"/>
        </w:rPr>
        <w:t xml:space="preserve"> rather than the market.</w:t>
      </w:r>
    </w:p>
    <w:p w:rsidR="00121F32" w:rsidRDefault="00B65501" w:rsidP="002F33D2">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Accordingly</w:t>
      </w:r>
      <w:r w:rsidR="00895E0B">
        <w:rPr>
          <w:rFonts w:ascii="Times New Roman" w:hAnsi="Times New Roman" w:cs="Times New Roman"/>
          <w:sz w:val="24"/>
          <w:szCs w:val="24"/>
        </w:rPr>
        <w:t>,</w:t>
      </w:r>
      <w:r w:rsidR="0012071F">
        <w:rPr>
          <w:rFonts w:ascii="Times New Roman" w:hAnsi="Times New Roman" w:cs="Times New Roman"/>
          <w:sz w:val="24"/>
          <w:szCs w:val="24"/>
        </w:rPr>
        <w:t xml:space="preserve"> as it prepares to enter the post-Brexit era, the EU must pursue social integration differently if it is to a</w:t>
      </w:r>
      <w:r w:rsidR="00A114CF">
        <w:rPr>
          <w:rFonts w:ascii="Times New Roman" w:hAnsi="Times New Roman" w:cs="Times New Roman"/>
          <w:sz w:val="24"/>
          <w:szCs w:val="24"/>
        </w:rPr>
        <w:t xml:space="preserve">void </w:t>
      </w:r>
      <w:r w:rsidR="0012071F">
        <w:rPr>
          <w:rFonts w:ascii="Times New Roman" w:hAnsi="Times New Roman" w:cs="Times New Roman"/>
          <w:sz w:val="24"/>
          <w:szCs w:val="24"/>
        </w:rPr>
        <w:t>the same old pitfalls.</w:t>
      </w:r>
      <w:r w:rsidR="00822021">
        <w:rPr>
          <w:rFonts w:ascii="Times New Roman" w:hAnsi="Times New Roman" w:cs="Times New Roman"/>
          <w:sz w:val="24"/>
          <w:szCs w:val="24"/>
        </w:rPr>
        <w:t xml:space="preserve"> </w:t>
      </w:r>
      <w:r w:rsidR="00A114CF">
        <w:rPr>
          <w:rFonts w:ascii="Times New Roman" w:hAnsi="Times New Roman" w:cs="Times New Roman"/>
          <w:sz w:val="24"/>
          <w:szCs w:val="24"/>
        </w:rPr>
        <w:t>As a vital means of informing potential ways forward, this</w:t>
      </w:r>
      <w:r w:rsidR="00822021">
        <w:rPr>
          <w:rFonts w:ascii="Times New Roman" w:hAnsi="Times New Roman" w:cs="Times New Roman"/>
          <w:sz w:val="24"/>
          <w:szCs w:val="24"/>
        </w:rPr>
        <w:t xml:space="preserve"> article conducts a much-needed historical analy</w:t>
      </w:r>
      <w:r w:rsidR="00CA09B8">
        <w:rPr>
          <w:rFonts w:ascii="Times New Roman" w:hAnsi="Times New Roman" w:cs="Times New Roman"/>
          <w:sz w:val="24"/>
          <w:szCs w:val="24"/>
        </w:rPr>
        <w:t>sis of the evolving nature of “social integration”</w:t>
      </w:r>
      <w:r w:rsidR="00822021">
        <w:rPr>
          <w:rFonts w:ascii="Times New Roman" w:hAnsi="Times New Roman" w:cs="Times New Roman"/>
          <w:sz w:val="24"/>
          <w:szCs w:val="24"/>
        </w:rPr>
        <w:t xml:space="preserve"> within the Union legal order</w:t>
      </w:r>
      <w:r w:rsidR="00D3178B">
        <w:rPr>
          <w:rFonts w:ascii="Times New Roman" w:hAnsi="Times New Roman" w:cs="Times New Roman"/>
          <w:sz w:val="24"/>
          <w:szCs w:val="24"/>
        </w:rPr>
        <w:t>,</w:t>
      </w:r>
      <w:r w:rsidR="00822021">
        <w:rPr>
          <w:rFonts w:ascii="Times New Roman" w:hAnsi="Times New Roman" w:cs="Times New Roman"/>
          <w:sz w:val="24"/>
          <w:szCs w:val="24"/>
        </w:rPr>
        <w:t xml:space="preserve"> providing essential insights into the causes of existing tensions</w:t>
      </w:r>
      <w:r w:rsidR="00A114CF">
        <w:rPr>
          <w:rFonts w:ascii="Times New Roman" w:hAnsi="Times New Roman" w:cs="Times New Roman"/>
          <w:sz w:val="24"/>
          <w:szCs w:val="24"/>
        </w:rPr>
        <w:t>.</w:t>
      </w:r>
      <w:r w:rsidR="00822021">
        <w:rPr>
          <w:rFonts w:ascii="Times New Roman" w:hAnsi="Times New Roman" w:cs="Times New Roman"/>
          <w:sz w:val="24"/>
          <w:szCs w:val="24"/>
        </w:rPr>
        <w:t xml:space="preserve"> </w:t>
      </w:r>
      <w:r w:rsidR="00603F78">
        <w:rPr>
          <w:rFonts w:ascii="Times New Roman" w:hAnsi="Times New Roman" w:cs="Times New Roman"/>
          <w:sz w:val="24"/>
          <w:szCs w:val="24"/>
        </w:rPr>
        <w:t>Ultimately, the investigation demonstrates the inherent</w:t>
      </w:r>
      <w:r w:rsidR="00605367">
        <w:rPr>
          <w:rFonts w:ascii="Times New Roman" w:hAnsi="Times New Roman" w:cs="Times New Roman"/>
          <w:sz w:val="24"/>
          <w:szCs w:val="24"/>
        </w:rPr>
        <w:t xml:space="preserve"> malleability of</w:t>
      </w:r>
      <w:r w:rsidR="002C6CE4">
        <w:rPr>
          <w:rFonts w:ascii="Times New Roman" w:hAnsi="Times New Roman" w:cs="Times New Roman"/>
          <w:sz w:val="24"/>
          <w:szCs w:val="24"/>
        </w:rPr>
        <w:t xml:space="preserve"> </w:t>
      </w:r>
      <w:r w:rsidR="00CA09B8">
        <w:rPr>
          <w:rFonts w:ascii="Times New Roman" w:hAnsi="Times New Roman" w:cs="Times New Roman"/>
          <w:sz w:val="24"/>
          <w:szCs w:val="24"/>
        </w:rPr>
        <w:t>“</w:t>
      </w:r>
      <w:r w:rsidR="00603F78">
        <w:rPr>
          <w:rFonts w:ascii="Times New Roman" w:hAnsi="Times New Roman" w:cs="Times New Roman"/>
          <w:sz w:val="24"/>
          <w:szCs w:val="24"/>
        </w:rPr>
        <w:t>social integratio</w:t>
      </w:r>
      <w:r w:rsidR="00CA09B8">
        <w:rPr>
          <w:rFonts w:ascii="Times New Roman" w:hAnsi="Times New Roman" w:cs="Times New Roman"/>
          <w:sz w:val="24"/>
          <w:szCs w:val="24"/>
        </w:rPr>
        <w:t>n”</w:t>
      </w:r>
      <w:r w:rsidR="002C6CE4">
        <w:rPr>
          <w:rFonts w:ascii="Times New Roman" w:hAnsi="Times New Roman" w:cs="Times New Roman"/>
          <w:sz w:val="24"/>
          <w:szCs w:val="24"/>
        </w:rPr>
        <w:t xml:space="preserve"> as a concept</w:t>
      </w:r>
      <w:r w:rsidR="00022AD1">
        <w:rPr>
          <w:rFonts w:ascii="Times New Roman" w:hAnsi="Times New Roman" w:cs="Times New Roman"/>
          <w:sz w:val="24"/>
          <w:szCs w:val="24"/>
        </w:rPr>
        <w:t xml:space="preserve"> in Union law. Its content</w:t>
      </w:r>
      <w:r w:rsidR="00603F78">
        <w:rPr>
          <w:rFonts w:ascii="Times New Roman" w:hAnsi="Times New Roman" w:cs="Times New Roman"/>
          <w:sz w:val="24"/>
          <w:szCs w:val="24"/>
        </w:rPr>
        <w:t xml:space="preserve"> has not </w:t>
      </w:r>
      <w:r w:rsidR="003F1CB5">
        <w:rPr>
          <w:rFonts w:ascii="Times New Roman" w:hAnsi="Times New Roman" w:cs="Times New Roman"/>
          <w:sz w:val="24"/>
          <w:szCs w:val="24"/>
        </w:rPr>
        <w:t>only</w:t>
      </w:r>
      <w:r w:rsidR="00603F78">
        <w:rPr>
          <w:rFonts w:ascii="Times New Roman" w:hAnsi="Times New Roman" w:cs="Times New Roman"/>
          <w:sz w:val="24"/>
          <w:szCs w:val="24"/>
        </w:rPr>
        <w:t xml:space="preserve"> evolved over the decades of the EU’s development</w:t>
      </w:r>
      <w:r w:rsidR="002F33D2">
        <w:rPr>
          <w:rFonts w:ascii="Times New Roman" w:hAnsi="Times New Roman" w:cs="Times New Roman"/>
          <w:sz w:val="24"/>
          <w:szCs w:val="24"/>
        </w:rPr>
        <w:t>; it</w:t>
      </w:r>
      <w:r w:rsidR="003F1CB5">
        <w:rPr>
          <w:rFonts w:ascii="Times New Roman" w:hAnsi="Times New Roman" w:cs="Times New Roman"/>
          <w:sz w:val="24"/>
          <w:szCs w:val="24"/>
        </w:rPr>
        <w:t xml:space="preserve"> can simultaneously represent a number of approaches, which can, themselves, come into conflict with one another.</w:t>
      </w:r>
    </w:p>
    <w:p w:rsidR="002F33D2" w:rsidRDefault="00980C1E" w:rsidP="002F33D2">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Speci</w:t>
      </w:r>
      <w:r w:rsidR="00CA09B8">
        <w:rPr>
          <w:rFonts w:ascii="Times New Roman" w:hAnsi="Times New Roman" w:cs="Times New Roman"/>
          <w:sz w:val="24"/>
          <w:szCs w:val="24"/>
        </w:rPr>
        <w:t>fically, in the Union context, “</w:t>
      </w:r>
      <w:r>
        <w:rPr>
          <w:rFonts w:ascii="Times New Roman" w:hAnsi="Times New Roman" w:cs="Times New Roman"/>
          <w:sz w:val="24"/>
          <w:szCs w:val="24"/>
        </w:rPr>
        <w:t>social integ</w:t>
      </w:r>
      <w:r w:rsidR="00CA09B8">
        <w:rPr>
          <w:rFonts w:ascii="Times New Roman" w:hAnsi="Times New Roman" w:cs="Times New Roman"/>
          <w:sz w:val="24"/>
          <w:szCs w:val="24"/>
        </w:rPr>
        <w:t>ration”</w:t>
      </w:r>
      <w:r>
        <w:rPr>
          <w:rFonts w:ascii="Times New Roman" w:hAnsi="Times New Roman" w:cs="Times New Roman"/>
          <w:sz w:val="24"/>
          <w:szCs w:val="24"/>
        </w:rPr>
        <w:t xml:space="preserve"> can </w:t>
      </w:r>
      <w:r w:rsidR="005A4AB1">
        <w:rPr>
          <w:rFonts w:ascii="Times New Roman" w:hAnsi="Times New Roman" w:cs="Times New Roman"/>
          <w:sz w:val="24"/>
          <w:szCs w:val="24"/>
        </w:rPr>
        <w:t>embody</w:t>
      </w:r>
      <w:r w:rsidR="00A478BF">
        <w:rPr>
          <w:rFonts w:ascii="Times New Roman" w:hAnsi="Times New Roman" w:cs="Times New Roman"/>
          <w:sz w:val="24"/>
          <w:szCs w:val="24"/>
        </w:rPr>
        <w:t xml:space="preserve">, </w:t>
      </w:r>
      <w:r w:rsidR="00A478BF">
        <w:rPr>
          <w:rFonts w:ascii="Times New Roman" w:hAnsi="Times New Roman" w:cs="Times New Roman"/>
          <w:i/>
          <w:sz w:val="24"/>
          <w:szCs w:val="24"/>
        </w:rPr>
        <w:t>inter alia</w:t>
      </w:r>
      <w:r w:rsidR="00A478BF">
        <w:rPr>
          <w:rFonts w:ascii="Times New Roman" w:hAnsi="Times New Roman" w:cs="Times New Roman"/>
          <w:sz w:val="24"/>
          <w:szCs w:val="24"/>
        </w:rPr>
        <w:t>,</w:t>
      </w:r>
      <w:r w:rsidR="00CA09B8">
        <w:rPr>
          <w:rFonts w:ascii="Times New Roman" w:hAnsi="Times New Roman" w:cs="Times New Roman"/>
          <w:sz w:val="24"/>
          <w:szCs w:val="24"/>
        </w:rPr>
        <w:t xml:space="preserve"> the aim of social progress</w:t>
      </w:r>
      <w:r>
        <w:rPr>
          <w:rFonts w:ascii="Times New Roman" w:hAnsi="Times New Roman" w:cs="Times New Roman"/>
          <w:sz w:val="24"/>
          <w:szCs w:val="24"/>
        </w:rPr>
        <w:t>, pursued as a mere by-product of the internal market or as an independent EU objective</w:t>
      </w:r>
      <w:r w:rsidR="005A4AB1">
        <w:rPr>
          <w:rFonts w:ascii="Times New Roman" w:hAnsi="Times New Roman" w:cs="Times New Roman"/>
          <w:sz w:val="24"/>
          <w:szCs w:val="24"/>
        </w:rPr>
        <w:t>. It can encompass</w:t>
      </w:r>
      <w:r>
        <w:rPr>
          <w:rFonts w:ascii="Times New Roman" w:hAnsi="Times New Roman" w:cs="Times New Roman"/>
          <w:sz w:val="24"/>
          <w:szCs w:val="24"/>
        </w:rPr>
        <w:t xml:space="preserve"> concrete Union social policymaking</w:t>
      </w:r>
      <w:r w:rsidR="005A4AB1">
        <w:rPr>
          <w:rFonts w:ascii="Times New Roman" w:hAnsi="Times New Roman" w:cs="Times New Roman"/>
          <w:sz w:val="24"/>
          <w:szCs w:val="24"/>
        </w:rPr>
        <w:t>. It can cover i</w:t>
      </w:r>
      <w:r w:rsidR="00A478BF">
        <w:rPr>
          <w:rFonts w:ascii="Times New Roman" w:hAnsi="Times New Roman" w:cs="Times New Roman"/>
          <w:sz w:val="24"/>
          <w:szCs w:val="24"/>
        </w:rPr>
        <w:t xml:space="preserve">ntegration in the </w:t>
      </w:r>
      <w:r w:rsidR="005A4AB1">
        <w:rPr>
          <w:rFonts w:ascii="Times New Roman" w:hAnsi="Times New Roman" w:cs="Times New Roman"/>
          <w:sz w:val="24"/>
          <w:szCs w:val="24"/>
        </w:rPr>
        <w:t xml:space="preserve">sense of </w:t>
      </w:r>
      <w:r w:rsidR="00A478BF">
        <w:rPr>
          <w:rFonts w:ascii="Times New Roman" w:hAnsi="Times New Roman" w:cs="Times New Roman"/>
          <w:sz w:val="24"/>
          <w:szCs w:val="24"/>
        </w:rPr>
        <w:t xml:space="preserve">securing the effectiveness of Union law </w:t>
      </w:r>
      <w:r w:rsidR="00C14D4A">
        <w:rPr>
          <w:rFonts w:ascii="Times New Roman" w:hAnsi="Times New Roman" w:cs="Times New Roman"/>
          <w:sz w:val="24"/>
          <w:szCs w:val="24"/>
        </w:rPr>
        <w:t>across the Member States by means of</w:t>
      </w:r>
      <w:r w:rsidR="00A478BF">
        <w:rPr>
          <w:rFonts w:ascii="Times New Roman" w:hAnsi="Times New Roman" w:cs="Times New Roman"/>
          <w:sz w:val="24"/>
          <w:szCs w:val="24"/>
        </w:rPr>
        <w:t xml:space="preserve"> </w:t>
      </w:r>
      <w:r w:rsidR="002F33D2">
        <w:rPr>
          <w:rFonts w:ascii="Times New Roman" w:hAnsi="Times New Roman" w:cs="Times New Roman"/>
          <w:sz w:val="24"/>
          <w:szCs w:val="24"/>
        </w:rPr>
        <w:t xml:space="preserve">both minimum and </w:t>
      </w:r>
      <w:r w:rsidR="00A478BF">
        <w:rPr>
          <w:rFonts w:ascii="Times New Roman" w:hAnsi="Times New Roman" w:cs="Times New Roman"/>
          <w:sz w:val="24"/>
          <w:szCs w:val="24"/>
        </w:rPr>
        <w:t>maximum standards of social protection whilst facilitating economic activity</w:t>
      </w:r>
      <w:r w:rsidR="005A4AB1">
        <w:rPr>
          <w:rFonts w:ascii="Times New Roman" w:hAnsi="Times New Roman" w:cs="Times New Roman"/>
          <w:sz w:val="24"/>
          <w:szCs w:val="24"/>
        </w:rPr>
        <w:t xml:space="preserve">. It can signify attempts to </w:t>
      </w:r>
      <w:r w:rsidR="00A478BF">
        <w:rPr>
          <w:rFonts w:ascii="Times New Roman" w:hAnsi="Times New Roman" w:cs="Times New Roman"/>
          <w:sz w:val="24"/>
          <w:szCs w:val="24"/>
        </w:rPr>
        <w:t>creat</w:t>
      </w:r>
      <w:r w:rsidR="005A4AB1">
        <w:rPr>
          <w:rFonts w:ascii="Times New Roman" w:hAnsi="Times New Roman" w:cs="Times New Roman"/>
          <w:sz w:val="24"/>
          <w:szCs w:val="24"/>
        </w:rPr>
        <w:t>e</w:t>
      </w:r>
      <w:r w:rsidR="00A478BF">
        <w:rPr>
          <w:rFonts w:ascii="Times New Roman" w:hAnsi="Times New Roman" w:cs="Times New Roman"/>
          <w:sz w:val="24"/>
          <w:szCs w:val="24"/>
        </w:rPr>
        <w:t xml:space="preserve"> a European social space through the negative integrative process of requiring Member States to open up their existing domestic social spaces to non-nation</w:t>
      </w:r>
      <w:r w:rsidR="00CA09B8">
        <w:rPr>
          <w:rFonts w:ascii="Times New Roman" w:hAnsi="Times New Roman" w:cs="Times New Roman"/>
          <w:sz w:val="24"/>
          <w:szCs w:val="24"/>
        </w:rPr>
        <w:t>al EU citizens. This “European social space”</w:t>
      </w:r>
      <w:r w:rsidR="005A4AB1">
        <w:rPr>
          <w:rFonts w:ascii="Times New Roman" w:hAnsi="Times New Roman" w:cs="Times New Roman"/>
          <w:sz w:val="24"/>
          <w:szCs w:val="24"/>
        </w:rPr>
        <w:t xml:space="preserve"> can be understood as concrete access to social assistance but also as an effort to </w:t>
      </w:r>
      <w:r w:rsidR="00BB7D54">
        <w:rPr>
          <w:rFonts w:ascii="Times New Roman" w:hAnsi="Times New Roman" w:cs="Times New Roman"/>
          <w:sz w:val="24"/>
          <w:szCs w:val="24"/>
        </w:rPr>
        <w:t>re-</w:t>
      </w:r>
      <w:r w:rsidR="005A4AB1">
        <w:rPr>
          <w:rFonts w:ascii="Times New Roman" w:hAnsi="Times New Roman" w:cs="Times New Roman"/>
          <w:sz w:val="24"/>
          <w:szCs w:val="24"/>
        </w:rPr>
        <w:t xml:space="preserve">create the collective bonds of solidarity between </w:t>
      </w:r>
      <w:r w:rsidR="005A4AB1">
        <w:rPr>
          <w:rFonts w:ascii="Times New Roman" w:hAnsi="Times New Roman" w:cs="Times New Roman"/>
          <w:i/>
          <w:sz w:val="24"/>
          <w:szCs w:val="24"/>
        </w:rPr>
        <w:t xml:space="preserve">Union </w:t>
      </w:r>
      <w:r w:rsidR="005A4AB1">
        <w:rPr>
          <w:rFonts w:ascii="Times New Roman" w:hAnsi="Times New Roman" w:cs="Times New Roman"/>
          <w:sz w:val="24"/>
          <w:szCs w:val="24"/>
        </w:rPr>
        <w:t xml:space="preserve">citizens that are </w:t>
      </w:r>
      <w:r w:rsidR="006724FC">
        <w:rPr>
          <w:rFonts w:ascii="Times New Roman" w:hAnsi="Times New Roman" w:cs="Times New Roman"/>
          <w:sz w:val="24"/>
          <w:szCs w:val="24"/>
        </w:rPr>
        <w:t xml:space="preserve">traditionally presented as existing between nationals and </w:t>
      </w:r>
      <w:r w:rsidR="00BB7D54">
        <w:rPr>
          <w:rFonts w:ascii="Times New Roman" w:hAnsi="Times New Roman" w:cs="Times New Roman"/>
          <w:sz w:val="24"/>
          <w:szCs w:val="24"/>
        </w:rPr>
        <w:t xml:space="preserve">as </w:t>
      </w:r>
      <w:r w:rsidR="006724FC">
        <w:rPr>
          <w:rFonts w:ascii="Times New Roman" w:hAnsi="Times New Roman" w:cs="Times New Roman"/>
          <w:sz w:val="24"/>
          <w:szCs w:val="24"/>
        </w:rPr>
        <w:t>underp</w:t>
      </w:r>
      <w:r w:rsidR="00E83960">
        <w:rPr>
          <w:rFonts w:ascii="Times New Roman" w:hAnsi="Times New Roman" w:cs="Times New Roman"/>
          <w:sz w:val="24"/>
          <w:szCs w:val="24"/>
        </w:rPr>
        <w:t>inning domestic</w:t>
      </w:r>
      <w:r w:rsidR="00912603">
        <w:rPr>
          <w:rFonts w:ascii="Times New Roman" w:hAnsi="Times New Roman" w:cs="Times New Roman"/>
          <w:sz w:val="24"/>
          <w:szCs w:val="24"/>
        </w:rPr>
        <w:t xml:space="preserve"> welfare states</w:t>
      </w:r>
      <w:r w:rsidR="00BB7D54">
        <w:rPr>
          <w:rFonts w:ascii="Times New Roman" w:hAnsi="Times New Roman" w:cs="Times New Roman"/>
          <w:sz w:val="24"/>
          <w:szCs w:val="24"/>
        </w:rPr>
        <w:t>.</w:t>
      </w:r>
      <w:r w:rsidR="00A478BF">
        <w:rPr>
          <w:rStyle w:val="FootnoteReference"/>
          <w:rFonts w:ascii="Times New Roman" w:hAnsi="Times New Roman" w:cs="Times New Roman"/>
          <w:sz w:val="24"/>
          <w:szCs w:val="24"/>
        </w:rPr>
        <w:footnoteReference w:id="4"/>
      </w:r>
      <w:r w:rsidR="00CA09B8">
        <w:rPr>
          <w:rFonts w:ascii="Times New Roman" w:hAnsi="Times New Roman" w:cs="Times New Roman"/>
          <w:sz w:val="24"/>
          <w:szCs w:val="24"/>
        </w:rPr>
        <w:t xml:space="preserve"> Finally, social integration</w:t>
      </w:r>
      <w:r w:rsidR="00BB7D54">
        <w:rPr>
          <w:rFonts w:ascii="Times New Roman" w:hAnsi="Times New Roman" w:cs="Times New Roman"/>
          <w:sz w:val="24"/>
          <w:szCs w:val="24"/>
        </w:rPr>
        <w:t xml:space="preserve"> can operate as an individual duty on EU citizens to integrate into their host society. </w:t>
      </w:r>
      <w:r>
        <w:rPr>
          <w:rFonts w:ascii="Times New Roman" w:hAnsi="Times New Roman" w:cs="Times New Roman"/>
          <w:sz w:val="24"/>
          <w:szCs w:val="24"/>
        </w:rPr>
        <w:t>Thus, for the purposes of this discussion,</w:t>
      </w:r>
      <w:r w:rsidR="00BB7D54">
        <w:rPr>
          <w:rFonts w:ascii="Times New Roman" w:hAnsi="Times New Roman" w:cs="Times New Roman"/>
          <w:sz w:val="24"/>
          <w:szCs w:val="24"/>
        </w:rPr>
        <w:t xml:space="preserve"> the concept</w:t>
      </w:r>
      <w:r>
        <w:rPr>
          <w:rFonts w:ascii="Times New Roman" w:hAnsi="Times New Roman" w:cs="Times New Roman"/>
          <w:sz w:val="24"/>
          <w:szCs w:val="24"/>
        </w:rPr>
        <w:t xml:space="preserve"> should be understood as an umbrella term</w:t>
      </w:r>
      <w:r w:rsidR="008343B5">
        <w:rPr>
          <w:rFonts w:ascii="Times New Roman" w:hAnsi="Times New Roman" w:cs="Times New Roman"/>
          <w:sz w:val="24"/>
          <w:szCs w:val="24"/>
        </w:rPr>
        <w:t xml:space="preserve"> for d</w:t>
      </w:r>
      <w:r w:rsidR="00AA11DD">
        <w:rPr>
          <w:rFonts w:ascii="Times New Roman" w:hAnsi="Times New Roman" w:cs="Times New Roman"/>
          <w:sz w:val="24"/>
          <w:szCs w:val="24"/>
        </w:rPr>
        <w:t>iverse social integration endea</w:t>
      </w:r>
      <w:r w:rsidR="008343B5">
        <w:rPr>
          <w:rFonts w:ascii="Times New Roman" w:hAnsi="Times New Roman" w:cs="Times New Roman"/>
          <w:sz w:val="24"/>
          <w:szCs w:val="24"/>
        </w:rPr>
        <w:t>vours</w:t>
      </w:r>
      <w:r>
        <w:rPr>
          <w:rFonts w:ascii="Times New Roman" w:hAnsi="Times New Roman" w:cs="Times New Roman"/>
          <w:sz w:val="24"/>
          <w:szCs w:val="24"/>
        </w:rPr>
        <w:t>, rather than an explicitly adopted nomenclature</w:t>
      </w:r>
      <w:r w:rsidR="002F33D2">
        <w:rPr>
          <w:rFonts w:ascii="Times New Roman" w:hAnsi="Times New Roman" w:cs="Times New Roman"/>
          <w:sz w:val="24"/>
          <w:szCs w:val="24"/>
        </w:rPr>
        <w:t xml:space="preserve"> within</w:t>
      </w:r>
      <w:r w:rsidR="00AA11DD">
        <w:rPr>
          <w:rFonts w:ascii="Times New Roman" w:hAnsi="Times New Roman" w:cs="Times New Roman"/>
          <w:sz w:val="24"/>
          <w:szCs w:val="24"/>
        </w:rPr>
        <w:t xml:space="preserve"> specified activity</w:t>
      </w:r>
      <w:r>
        <w:rPr>
          <w:rFonts w:ascii="Times New Roman" w:hAnsi="Times New Roman" w:cs="Times New Roman"/>
          <w:sz w:val="24"/>
          <w:szCs w:val="24"/>
        </w:rPr>
        <w:t>.</w:t>
      </w:r>
    </w:p>
    <w:p w:rsidR="002F33D2" w:rsidRDefault="00BB7D54" w:rsidP="002F33D2">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order to explore these developments, first, </w:t>
      </w:r>
      <w:r w:rsidR="00822021">
        <w:rPr>
          <w:rFonts w:ascii="Times New Roman" w:hAnsi="Times New Roman" w:cs="Times New Roman"/>
          <w:sz w:val="24"/>
          <w:szCs w:val="24"/>
        </w:rPr>
        <w:t>section two examines the</w:t>
      </w:r>
      <w:r w:rsidR="002F33D2">
        <w:rPr>
          <w:rFonts w:ascii="Times New Roman" w:hAnsi="Times New Roman" w:cs="Times New Roman"/>
          <w:sz w:val="24"/>
          <w:szCs w:val="24"/>
        </w:rPr>
        <w:t xml:space="preserve"> early manifestation of social integration as a by-product of economic integration.</w:t>
      </w:r>
      <w:r w:rsidR="00822021">
        <w:rPr>
          <w:rFonts w:ascii="Times New Roman" w:hAnsi="Times New Roman" w:cs="Times New Roman"/>
          <w:sz w:val="24"/>
          <w:szCs w:val="24"/>
        </w:rPr>
        <w:t xml:space="preserve"> It </w:t>
      </w:r>
      <w:r w:rsidR="002F33D2">
        <w:rPr>
          <w:rFonts w:ascii="Times New Roman" w:hAnsi="Times New Roman" w:cs="Times New Roman"/>
          <w:sz w:val="24"/>
          <w:szCs w:val="24"/>
        </w:rPr>
        <w:t>identifies</w:t>
      </w:r>
      <w:r w:rsidR="00822021">
        <w:rPr>
          <w:rFonts w:ascii="Times New Roman" w:hAnsi="Times New Roman" w:cs="Times New Roman"/>
          <w:sz w:val="24"/>
          <w:szCs w:val="24"/>
        </w:rPr>
        <w:t xml:space="preserve"> the early acceptance </w:t>
      </w:r>
      <w:r w:rsidR="00456A54">
        <w:rPr>
          <w:rFonts w:ascii="Times New Roman" w:hAnsi="Times New Roman" w:cs="Times New Roman"/>
          <w:sz w:val="24"/>
          <w:szCs w:val="24"/>
        </w:rPr>
        <w:t>of an economic/social dichotomy</w:t>
      </w:r>
      <w:r w:rsidR="00822021">
        <w:rPr>
          <w:rFonts w:ascii="Times New Roman" w:hAnsi="Times New Roman" w:cs="Times New Roman"/>
          <w:sz w:val="24"/>
          <w:szCs w:val="24"/>
        </w:rPr>
        <w:t xml:space="preserve"> structured a</w:t>
      </w:r>
      <w:r w:rsidR="00456A54">
        <w:rPr>
          <w:rFonts w:ascii="Times New Roman" w:hAnsi="Times New Roman" w:cs="Times New Roman"/>
          <w:sz w:val="24"/>
          <w:szCs w:val="24"/>
        </w:rPr>
        <w:t>long a European/national divide, which ultimately</w:t>
      </w:r>
      <w:r w:rsidR="002F33D2">
        <w:rPr>
          <w:rFonts w:ascii="Times New Roman" w:hAnsi="Times New Roman" w:cs="Times New Roman"/>
          <w:sz w:val="24"/>
          <w:szCs w:val="24"/>
        </w:rPr>
        <w:t xml:space="preserve"> proved to be a myth as the</w:t>
      </w:r>
      <w:r w:rsidR="00042C3D">
        <w:rPr>
          <w:rFonts w:ascii="Times New Roman" w:hAnsi="Times New Roman" w:cs="Times New Roman"/>
          <w:sz w:val="24"/>
          <w:szCs w:val="24"/>
        </w:rPr>
        <w:t xml:space="preserve"> expansion of the market freedoms</w:t>
      </w:r>
      <w:r w:rsidR="007A391E">
        <w:rPr>
          <w:rFonts w:ascii="Times New Roman" w:hAnsi="Times New Roman" w:cs="Times New Roman"/>
          <w:sz w:val="24"/>
          <w:szCs w:val="24"/>
        </w:rPr>
        <w:t xml:space="preserve"> led to increased inte</w:t>
      </w:r>
      <w:r>
        <w:rPr>
          <w:rFonts w:ascii="Times New Roman" w:hAnsi="Times New Roman" w:cs="Times New Roman"/>
          <w:sz w:val="24"/>
          <w:szCs w:val="24"/>
        </w:rPr>
        <w:t>ractions between free movement</w:t>
      </w:r>
      <w:r w:rsidR="007A391E">
        <w:rPr>
          <w:rFonts w:ascii="Times New Roman" w:hAnsi="Times New Roman" w:cs="Times New Roman"/>
          <w:sz w:val="24"/>
          <w:szCs w:val="24"/>
        </w:rPr>
        <w:t xml:space="preserve"> and national </w:t>
      </w:r>
      <w:r w:rsidR="00A41FEF">
        <w:rPr>
          <w:rFonts w:ascii="Times New Roman" w:hAnsi="Times New Roman" w:cs="Times New Roman"/>
          <w:sz w:val="24"/>
          <w:szCs w:val="24"/>
        </w:rPr>
        <w:t>social rules</w:t>
      </w:r>
      <w:r w:rsidR="002F33D2">
        <w:rPr>
          <w:rFonts w:ascii="Times New Roman" w:hAnsi="Times New Roman" w:cs="Times New Roman"/>
          <w:sz w:val="24"/>
          <w:szCs w:val="24"/>
        </w:rPr>
        <w:t>.</w:t>
      </w:r>
      <w:r w:rsidR="007A391E">
        <w:rPr>
          <w:rFonts w:ascii="Times New Roman" w:hAnsi="Times New Roman" w:cs="Times New Roman"/>
          <w:sz w:val="24"/>
          <w:szCs w:val="24"/>
        </w:rPr>
        <w:t xml:space="preserve"> Falling within the internal market, these tensions were adjudicated in a manner which structurally favoured the Union’s economic integrativ</w:t>
      </w:r>
      <w:r w:rsidR="002F33D2">
        <w:rPr>
          <w:rFonts w:ascii="Times New Roman" w:hAnsi="Times New Roman" w:cs="Times New Roman"/>
          <w:sz w:val="24"/>
          <w:szCs w:val="24"/>
        </w:rPr>
        <w:t>e endeavours.</w:t>
      </w:r>
    </w:p>
    <w:p w:rsidR="00456A54" w:rsidRDefault="002F33D2" w:rsidP="00456A5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Section three tracks the emergence of social integration as an ind</w:t>
      </w:r>
      <w:r w:rsidR="00456A54">
        <w:rPr>
          <w:rFonts w:ascii="Times New Roman" w:hAnsi="Times New Roman" w:cs="Times New Roman"/>
          <w:sz w:val="24"/>
          <w:szCs w:val="24"/>
        </w:rPr>
        <w:t xml:space="preserve">ependent Union aim. It notes that the strengthening of Union social values has long been seen as a crucial factor in </w:t>
      </w:r>
      <w:r w:rsidR="00456A54">
        <w:rPr>
          <w:rFonts w:ascii="Times New Roman" w:hAnsi="Times New Roman" w:cs="Times New Roman"/>
          <w:sz w:val="24"/>
          <w:szCs w:val="24"/>
        </w:rPr>
        <w:lastRenderedPageBreak/>
        <w:t>securing Union legitimacy but demonstrates that, regardless of the EU’s increasing social competence, the legacy of the economic/social dichotomy has been to constrain the Union’s capacity to offer an EU-level social counter-balance to the potentially deregulatory effects of economic integration.</w:t>
      </w:r>
    </w:p>
    <w:p w:rsidR="0082018D" w:rsidRDefault="00D368C8" w:rsidP="0082018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Section </w:t>
      </w:r>
      <w:r w:rsidR="00456A54">
        <w:rPr>
          <w:rFonts w:ascii="Times New Roman" w:hAnsi="Times New Roman" w:cs="Times New Roman"/>
          <w:sz w:val="24"/>
          <w:szCs w:val="24"/>
        </w:rPr>
        <w:t>four</w:t>
      </w:r>
      <w:r>
        <w:rPr>
          <w:rFonts w:ascii="Times New Roman" w:hAnsi="Times New Roman" w:cs="Times New Roman"/>
          <w:sz w:val="24"/>
          <w:szCs w:val="24"/>
        </w:rPr>
        <w:t xml:space="preserve"> </w:t>
      </w:r>
      <w:r w:rsidR="00C0466D">
        <w:rPr>
          <w:rFonts w:ascii="Times New Roman" w:hAnsi="Times New Roman" w:cs="Times New Roman"/>
          <w:sz w:val="24"/>
          <w:szCs w:val="24"/>
        </w:rPr>
        <w:t>highlights, nevertheless</w:t>
      </w:r>
      <w:r w:rsidR="00042C3D">
        <w:rPr>
          <w:rFonts w:ascii="Times New Roman" w:hAnsi="Times New Roman" w:cs="Times New Roman"/>
          <w:sz w:val="24"/>
          <w:szCs w:val="24"/>
        </w:rPr>
        <w:t>, that the success of the int</w:t>
      </w:r>
      <w:r w:rsidR="007F2367">
        <w:rPr>
          <w:rFonts w:ascii="Times New Roman" w:hAnsi="Times New Roman" w:cs="Times New Roman"/>
          <w:sz w:val="24"/>
          <w:szCs w:val="24"/>
        </w:rPr>
        <w:t>ernal market inspired a new manifestation</w:t>
      </w:r>
      <w:r w:rsidR="00CA09B8">
        <w:rPr>
          <w:rFonts w:ascii="Times New Roman" w:hAnsi="Times New Roman" w:cs="Times New Roman"/>
          <w:sz w:val="24"/>
          <w:szCs w:val="24"/>
        </w:rPr>
        <w:t xml:space="preserve"> of social integration</w:t>
      </w:r>
      <w:r w:rsidR="00042C3D">
        <w:rPr>
          <w:rFonts w:ascii="Times New Roman" w:hAnsi="Times New Roman" w:cs="Times New Roman"/>
          <w:sz w:val="24"/>
          <w:szCs w:val="24"/>
        </w:rPr>
        <w:t xml:space="preserve"> in the form of equal access for EU citizens to existing domestic social spaces. </w:t>
      </w:r>
      <w:r w:rsidR="007F2367">
        <w:rPr>
          <w:rFonts w:ascii="Times New Roman" w:hAnsi="Times New Roman" w:cs="Times New Roman"/>
          <w:sz w:val="24"/>
          <w:szCs w:val="24"/>
        </w:rPr>
        <w:t>Free movement and the Union’s social integration endeavours</w:t>
      </w:r>
      <w:r w:rsidR="00042C3D">
        <w:rPr>
          <w:rFonts w:ascii="Times New Roman" w:hAnsi="Times New Roman" w:cs="Times New Roman"/>
          <w:sz w:val="24"/>
          <w:szCs w:val="24"/>
        </w:rPr>
        <w:t xml:space="preserve"> could be used by citizens as twin swords to enforce their rights. </w:t>
      </w:r>
      <w:r w:rsidR="0082018D">
        <w:rPr>
          <w:rFonts w:ascii="Times New Roman" w:hAnsi="Times New Roman" w:cs="Times New Roman"/>
          <w:sz w:val="24"/>
          <w:szCs w:val="24"/>
        </w:rPr>
        <w:t>This approach appeared to be concretised by the formal recognition of Union citizenship at Maastricht. However, shaped by the structures of the internal market, the social integration potential of EU citizenship has always been inherently restricted and these limitations ultimately paved the way for a new model of social integration focused on individual duty.</w:t>
      </w:r>
    </w:p>
    <w:p w:rsidR="00425E1D" w:rsidRDefault="0082018D" w:rsidP="00425E1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Section five charts this metamorphosis of social integration within </w:t>
      </w:r>
      <w:r w:rsidR="00425E1D">
        <w:rPr>
          <w:rFonts w:ascii="Times New Roman" w:hAnsi="Times New Roman" w:cs="Times New Roman"/>
          <w:sz w:val="24"/>
          <w:szCs w:val="24"/>
        </w:rPr>
        <w:t>Union citizenship. It recognises that, i</w:t>
      </w:r>
      <w:r w:rsidR="007F2367">
        <w:rPr>
          <w:rFonts w:ascii="Times New Roman" w:hAnsi="Times New Roman" w:cs="Times New Roman"/>
          <w:sz w:val="24"/>
          <w:szCs w:val="24"/>
        </w:rPr>
        <w:t>n practice, this</w:t>
      </w:r>
      <w:r w:rsidR="00D81605">
        <w:rPr>
          <w:rFonts w:ascii="Times New Roman" w:hAnsi="Times New Roman" w:cs="Times New Roman"/>
          <w:sz w:val="24"/>
          <w:szCs w:val="24"/>
        </w:rPr>
        <w:t xml:space="preserve"> form of integration is</w:t>
      </w:r>
      <w:r w:rsidR="007F2367">
        <w:rPr>
          <w:rFonts w:ascii="Times New Roman" w:hAnsi="Times New Roman" w:cs="Times New Roman"/>
          <w:sz w:val="24"/>
          <w:szCs w:val="24"/>
        </w:rPr>
        <w:t xml:space="preserve"> reduced to economic activity and compliance with the domestic criminal law</w:t>
      </w:r>
      <w:r w:rsidR="00D81605">
        <w:rPr>
          <w:rFonts w:ascii="Times New Roman" w:hAnsi="Times New Roman" w:cs="Times New Roman"/>
          <w:sz w:val="24"/>
          <w:szCs w:val="24"/>
        </w:rPr>
        <w:t>,</w:t>
      </w:r>
      <w:r w:rsidR="00456A54">
        <w:rPr>
          <w:rFonts w:ascii="Times New Roman" w:hAnsi="Times New Roman" w:cs="Times New Roman"/>
          <w:sz w:val="24"/>
          <w:szCs w:val="24"/>
        </w:rPr>
        <w:t xml:space="preserve"> rendering any broader form of social integration</w:t>
      </w:r>
      <w:r w:rsidR="00D81605">
        <w:rPr>
          <w:rFonts w:ascii="Times New Roman" w:hAnsi="Times New Roman" w:cs="Times New Roman"/>
          <w:sz w:val="24"/>
          <w:szCs w:val="24"/>
        </w:rPr>
        <w:t xml:space="preserve"> as a means of enforcing one’s rights irrelevant. </w:t>
      </w:r>
      <w:r w:rsidR="00CA09B8">
        <w:rPr>
          <w:rFonts w:ascii="Times New Roman" w:hAnsi="Times New Roman" w:cs="Times New Roman"/>
          <w:sz w:val="24"/>
          <w:szCs w:val="24"/>
        </w:rPr>
        <w:t>Rather “social integration”</w:t>
      </w:r>
      <w:r w:rsidR="00D81605">
        <w:rPr>
          <w:rFonts w:ascii="Times New Roman" w:hAnsi="Times New Roman" w:cs="Times New Roman"/>
          <w:sz w:val="24"/>
          <w:szCs w:val="24"/>
        </w:rPr>
        <w:t xml:space="preserve"> operates as a mechanism by which Member States can</w:t>
      </w:r>
      <w:r w:rsidR="00D3178B">
        <w:rPr>
          <w:rFonts w:ascii="Times New Roman" w:hAnsi="Times New Roman" w:cs="Times New Roman"/>
          <w:sz w:val="24"/>
          <w:szCs w:val="24"/>
        </w:rPr>
        <w:t xml:space="preserve"> ‘shield’ the national social sphere from non-national EU citizens.</w:t>
      </w:r>
      <w:r w:rsidR="00D81605">
        <w:rPr>
          <w:rFonts w:ascii="Times New Roman" w:hAnsi="Times New Roman" w:cs="Times New Roman"/>
          <w:sz w:val="24"/>
          <w:szCs w:val="24"/>
        </w:rPr>
        <w:t xml:space="preserve"> This overlooks the genuine social bonds that non-national EU citizens can form in their host St</w:t>
      </w:r>
      <w:r w:rsidR="00D02FFD">
        <w:rPr>
          <w:rFonts w:ascii="Times New Roman" w:hAnsi="Times New Roman" w:cs="Times New Roman"/>
          <w:sz w:val="24"/>
          <w:szCs w:val="24"/>
        </w:rPr>
        <w:t>ate communities, arguably directly undermining the core integrative ambition of Union citizenship.</w:t>
      </w:r>
      <w:r w:rsidR="00456A54">
        <w:rPr>
          <w:rFonts w:ascii="Times New Roman" w:hAnsi="Times New Roman" w:cs="Times New Roman"/>
          <w:sz w:val="24"/>
          <w:szCs w:val="24"/>
        </w:rPr>
        <w:t xml:space="preserve"> Meanwhile, this</w:t>
      </w:r>
      <w:r w:rsidR="00D81605">
        <w:rPr>
          <w:rFonts w:ascii="Times New Roman" w:hAnsi="Times New Roman" w:cs="Times New Roman"/>
          <w:sz w:val="24"/>
          <w:szCs w:val="24"/>
        </w:rPr>
        <w:t xml:space="preserve"> shift in judicial ap</w:t>
      </w:r>
      <w:r w:rsidR="00096CBA">
        <w:rPr>
          <w:rFonts w:ascii="Times New Roman" w:hAnsi="Times New Roman" w:cs="Times New Roman"/>
          <w:sz w:val="24"/>
          <w:szCs w:val="24"/>
        </w:rPr>
        <w:t>proach has made little difference</w:t>
      </w:r>
      <w:r w:rsidR="00D81605">
        <w:rPr>
          <w:rFonts w:ascii="Times New Roman" w:hAnsi="Times New Roman" w:cs="Times New Roman"/>
          <w:sz w:val="24"/>
          <w:szCs w:val="24"/>
        </w:rPr>
        <w:t xml:space="preserve"> to the operation of free movement more generally and so is unlikely to address popular concerns about the Union project over the longer-term, while its focus on already marginalised EU citizens </w:t>
      </w:r>
      <w:r w:rsidR="00096CBA">
        <w:rPr>
          <w:rFonts w:ascii="Times New Roman" w:hAnsi="Times New Roman" w:cs="Times New Roman"/>
          <w:sz w:val="24"/>
          <w:szCs w:val="24"/>
        </w:rPr>
        <w:t>undercuts</w:t>
      </w:r>
      <w:r w:rsidR="00D81605">
        <w:rPr>
          <w:rFonts w:ascii="Times New Roman" w:hAnsi="Times New Roman" w:cs="Times New Roman"/>
          <w:sz w:val="24"/>
          <w:szCs w:val="24"/>
        </w:rPr>
        <w:t xml:space="preserve"> the Union’s wider social objectives. </w:t>
      </w:r>
      <w:r w:rsidR="00D368C8">
        <w:rPr>
          <w:rFonts w:ascii="Times New Roman" w:hAnsi="Times New Roman" w:cs="Times New Roman"/>
          <w:sz w:val="24"/>
          <w:szCs w:val="24"/>
        </w:rPr>
        <w:t xml:space="preserve"> </w:t>
      </w:r>
    </w:p>
    <w:p w:rsidR="00711D04" w:rsidRDefault="00D333B9" w:rsidP="00425E1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Co</w:t>
      </w:r>
      <w:r w:rsidR="00C41E9E">
        <w:rPr>
          <w:rFonts w:ascii="Times New Roman" w:hAnsi="Times New Roman" w:cs="Times New Roman"/>
          <w:sz w:val="24"/>
          <w:szCs w:val="24"/>
        </w:rPr>
        <w:t xml:space="preserve">nsequently, section </w:t>
      </w:r>
      <w:r w:rsidR="00425E1D">
        <w:rPr>
          <w:rFonts w:ascii="Times New Roman" w:hAnsi="Times New Roman" w:cs="Times New Roman"/>
          <w:sz w:val="24"/>
          <w:szCs w:val="24"/>
        </w:rPr>
        <w:t>six</w:t>
      </w:r>
      <w:r w:rsidR="00C41E9E">
        <w:rPr>
          <w:rFonts w:ascii="Times New Roman" w:hAnsi="Times New Roman" w:cs="Times New Roman"/>
          <w:sz w:val="24"/>
          <w:szCs w:val="24"/>
        </w:rPr>
        <w:t xml:space="preserve"> </w:t>
      </w:r>
      <w:r w:rsidR="00746F5D">
        <w:rPr>
          <w:rFonts w:ascii="Times New Roman" w:hAnsi="Times New Roman" w:cs="Times New Roman"/>
          <w:sz w:val="24"/>
          <w:szCs w:val="24"/>
        </w:rPr>
        <w:t>proposes</w:t>
      </w:r>
      <w:r w:rsidR="00CA5DAD">
        <w:rPr>
          <w:rFonts w:ascii="Times New Roman" w:hAnsi="Times New Roman" w:cs="Times New Roman"/>
          <w:sz w:val="24"/>
          <w:szCs w:val="24"/>
        </w:rPr>
        <w:t xml:space="preserve"> that the Court of Justice</w:t>
      </w:r>
      <w:r w:rsidR="00A924C3">
        <w:rPr>
          <w:rFonts w:ascii="Times New Roman" w:hAnsi="Times New Roman" w:cs="Times New Roman"/>
          <w:sz w:val="24"/>
          <w:szCs w:val="24"/>
        </w:rPr>
        <w:t xml:space="preserve"> take a new approach to its adjudicati</w:t>
      </w:r>
      <w:r w:rsidR="00E53AAB">
        <w:rPr>
          <w:rFonts w:ascii="Times New Roman" w:hAnsi="Times New Roman" w:cs="Times New Roman"/>
          <w:sz w:val="24"/>
          <w:szCs w:val="24"/>
        </w:rPr>
        <w:t>on of tensions between the</w:t>
      </w:r>
      <w:r w:rsidR="00A924C3">
        <w:rPr>
          <w:rFonts w:ascii="Times New Roman" w:hAnsi="Times New Roman" w:cs="Times New Roman"/>
          <w:sz w:val="24"/>
          <w:szCs w:val="24"/>
        </w:rPr>
        <w:t xml:space="preserve"> market freedo</w:t>
      </w:r>
      <w:r w:rsidR="001A343E">
        <w:rPr>
          <w:rFonts w:ascii="Times New Roman" w:hAnsi="Times New Roman" w:cs="Times New Roman"/>
          <w:sz w:val="24"/>
          <w:szCs w:val="24"/>
        </w:rPr>
        <w:t>ms and domestic social policies; one</w:t>
      </w:r>
      <w:r w:rsidR="00A924C3">
        <w:rPr>
          <w:rFonts w:ascii="Times New Roman" w:hAnsi="Times New Roman" w:cs="Times New Roman"/>
          <w:sz w:val="24"/>
          <w:szCs w:val="24"/>
        </w:rPr>
        <w:t xml:space="preserve"> which views the latter as potentially contributing to a shared constitutional space. This would require assessment of the reciprocal impacts of economic and social objectives on one another</w:t>
      </w:r>
      <w:r w:rsidR="00711D04">
        <w:rPr>
          <w:rFonts w:ascii="Times New Roman" w:hAnsi="Times New Roman" w:cs="Times New Roman"/>
          <w:sz w:val="24"/>
          <w:szCs w:val="24"/>
        </w:rPr>
        <w:t xml:space="preserve">. </w:t>
      </w:r>
      <w:r w:rsidR="00C0466D">
        <w:rPr>
          <w:rFonts w:ascii="Times New Roman" w:hAnsi="Times New Roman" w:cs="Times New Roman"/>
          <w:sz w:val="24"/>
          <w:szCs w:val="24"/>
        </w:rPr>
        <w:t xml:space="preserve">This more holistic method of adjudication would serve a number of aims. </w:t>
      </w:r>
      <w:r w:rsidR="00A843A4">
        <w:rPr>
          <w:rFonts w:ascii="Times New Roman" w:hAnsi="Times New Roman" w:cs="Times New Roman"/>
          <w:sz w:val="24"/>
          <w:szCs w:val="24"/>
        </w:rPr>
        <w:t>First, it</w:t>
      </w:r>
      <w:r w:rsidR="00A924C3">
        <w:rPr>
          <w:rFonts w:ascii="Times New Roman" w:hAnsi="Times New Roman" w:cs="Times New Roman"/>
          <w:sz w:val="24"/>
          <w:szCs w:val="24"/>
        </w:rPr>
        <w:t xml:space="preserve"> would</w:t>
      </w:r>
      <w:r w:rsidR="00B23807">
        <w:rPr>
          <w:rFonts w:ascii="Times New Roman" w:hAnsi="Times New Roman" w:cs="Times New Roman"/>
          <w:sz w:val="24"/>
          <w:szCs w:val="24"/>
        </w:rPr>
        <w:t xml:space="preserve"> provide a means by which the Union can pursue its social ambition despite the persistent confines of the</w:t>
      </w:r>
      <w:r w:rsidR="00711D04">
        <w:rPr>
          <w:rFonts w:ascii="Times New Roman" w:hAnsi="Times New Roman" w:cs="Times New Roman"/>
          <w:sz w:val="24"/>
          <w:szCs w:val="24"/>
        </w:rPr>
        <w:t xml:space="preserve"> economic/social d</w:t>
      </w:r>
      <w:r w:rsidR="00E53AAB">
        <w:rPr>
          <w:rFonts w:ascii="Times New Roman" w:hAnsi="Times New Roman" w:cs="Times New Roman"/>
          <w:sz w:val="24"/>
          <w:szCs w:val="24"/>
        </w:rPr>
        <w:t>ichotomy. Second, greater</w:t>
      </w:r>
      <w:r w:rsidR="00711D04">
        <w:rPr>
          <w:rFonts w:ascii="Times New Roman" w:hAnsi="Times New Roman" w:cs="Times New Roman"/>
          <w:sz w:val="24"/>
          <w:szCs w:val="24"/>
        </w:rPr>
        <w:t xml:space="preserve"> flexibility across free movement law generally might reduce the political pressure t</w:t>
      </w:r>
      <w:r w:rsidR="001B7E31">
        <w:rPr>
          <w:rFonts w:ascii="Times New Roman" w:hAnsi="Times New Roman" w:cs="Times New Roman"/>
          <w:sz w:val="24"/>
          <w:szCs w:val="24"/>
        </w:rPr>
        <w:t>o</w:t>
      </w:r>
      <w:r w:rsidR="005B2076">
        <w:rPr>
          <w:rFonts w:ascii="Times New Roman" w:hAnsi="Times New Roman" w:cs="Times New Roman"/>
          <w:sz w:val="24"/>
          <w:szCs w:val="24"/>
        </w:rPr>
        <w:t xml:space="preserve"> limit</w:t>
      </w:r>
      <w:r w:rsidR="00CA09B8">
        <w:rPr>
          <w:rFonts w:ascii="Times New Roman" w:hAnsi="Times New Roman" w:cs="Times New Roman"/>
          <w:sz w:val="24"/>
          <w:szCs w:val="24"/>
        </w:rPr>
        <w:t xml:space="preserve"> social integration</w:t>
      </w:r>
      <w:r w:rsidR="005B2076">
        <w:rPr>
          <w:rFonts w:ascii="Times New Roman" w:hAnsi="Times New Roman" w:cs="Times New Roman"/>
          <w:sz w:val="24"/>
          <w:szCs w:val="24"/>
        </w:rPr>
        <w:t xml:space="preserve"> to the performance of economic duties within the host State, which marginalises sections of the EU citizenry.</w:t>
      </w:r>
      <w:r w:rsidR="00711D04">
        <w:rPr>
          <w:rFonts w:ascii="Times New Roman" w:hAnsi="Times New Roman" w:cs="Times New Roman"/>
          <w:sz w:val="24"/>
          <w:szCs w:val="24"/>
        </w:rPr>
        <w:t xml:space="preserve"> Finally, an approach more respectful of Member States</w:t>
      </w:r>
      <w:r w:rsidR="00B65501">
        <w:rPr>
          <w:rFonts w:ascii="Times New Roman" w:hAnsi="Times New Roman" w:cs="Times New Roman"/>
          <w:sz w:val="24"/>
          <w:szCs w:val="24"/>
        </w:rPr>
        <w:t>’</w:t>
      </w:r>
      <w:r w:rsidR="00CA09B8">
        <w:rPr>
          <w:rFonts w:ascii="Times New Roman" w:hAnsi="Times New Roman" w:cs="Times New Roman"/>
          <w:sz w:val="24"/>
          <w:szCs w:val="24"/>
        </w:rPr>
        <w:t xml:space="preserve"> “</w:t>
      </w:r>
      <w:r w:rsidR="00711D04">
        <w:rPr>
          <w:rFonts w:ascii="Times New Roman" w:hAnsi="Times New Roman" w:cs="Times New Roman"/>
          <w:sz w:val="24"/>
          <w:szCs w:val="24"/>
        </w:rPr>
        <w:t>soc</w:t>
      </w:r>
      <w:r w:rsidR="00CA09B8">
        <w:rPr>
          <w:rFonts w:ascii="Times New Roman" w:hAnsi="Times New Roman" w:cs="Times New Roman"/>
          <w:sz w:val="24"/>
          <w:szCs w:val="24"/>
        </w:rPr>
        <w:t>ial sovereignty”</w:t>
      </w:r>
      <w:r w:rsidR="00711D04">
        <w:rPr>
          <w:rFonts w:ascii="Times New Roman" w:hAnsi="Times New Roman" w:cs="Times New Roman"/>
          <w:sz w:val="24"/>
          <w:szCs w:val="24"/>
        </w:rPr>
        <w:t xml:space="preserve"> might </w:t>
      </w:r>
      <w:r w:rsidR="00711D04">
        <w:rPr>
          <w:rFonts w:ascii="Times New Roman" w:hAnsi="Times New Roman" w:cs="Times New Roman"/>
          <w:sz w:val="24"/>
          <w:szCs w:val="24"/>
        </w:rPr>
        <w:lastRenderedPageBreak/>
        <w:t>actually strengthen the legitimacy of</w:t>
      </w:r>
      <w:r w:rsidR="001B7E31">
        <w:rPr>
          <w:rFonts w:ascii="Times New Roman" w:hAnsi="Times New Roman" w:cs="Times New Roman"/>
          <w:sz w:val="24"/>
          <w:szCs w:val="24"/>
        </w:rPr>
        <w:t xml:space="preserve"> the EU social space</w:t>
      </w:r>
      <w:r w:rsidR="00A843A4">
        <w:rPr>
          <w:rFonts w:ascii="Times New Roman" w:hAnsi="Times New Roman" w:cs="Times New Roman"/>
          <w:sz w:val="24"/>
          <w:szCs w:val="24"/>
        </w:rPr>
        <w:t xml:space="preserve">, facilitating </w:t>
      </w:r>
      <w:r w:rsidR="00B26A02">
        <w:rPr>
          <w:rFonts w:ascii="Times New Roman" w:hAnsi="Times New Roman" w:cs="Times New Roman"/>
          <w:sz w:val="24"/>
          <w:szCs w:val="24"/>
        </w:rPr>
        <w:t>supranational policy</w:t>
      </w:r>
      <w:r w:rsidR="00B23807">
        <w:rPr>
          <w:rFonts w:ascii="Times New Roman" w:hAnsi="Times New Roman" w:cs="Times New Roman"/>
          <w:sz w:val="24"/>
          <w:szCs w:val="24"/>
        </w:rPr>
        <w:t>making, where appropriate, in the future.</w:t>
      </w:r>
      <w:r w:rsidR="00711D04">
        <w:rPr>
          <w:rFonts w:ascii="Times New Roman" w:hAnsi="Times New Roman" w:cs="Times New Roman"/>
          <w:sz w:val="24"/>
          <w:szCs w:val="24"/>
        </w:rPr>
        <w:t xml:space="preserve">    </w:t>
      </w:r>
      <w:r w:rsidR="00746F5D">
        <w:rPr>
          <w:rFonts w:ascii="Times New Roman" w:hAnsi="Times New Roman" w:cs="Times New Roman"/>
          <w:sz w:val="24"/>
          <w:szCs w:val="24"/>
        </w:rPr>
        <w:t xml:space="preserve"> </w:t>
      </w:r>
    </w:p>
    <w:p w:rsidR="00042C3D" w:rsidRDefault="00042C3D" w:rsidP="002F33D2">
      <w:pPr>
        <w:pStyle w:val="NoSpacing"/>
        <w:spacing w:line="360" w:lineRule="auto"/>
        <w:jc w:val="both"/>
        <w:rPr>
          <w:rFonts w:ascii="Times New Roman" w:hAnsi="Times New Roman" w:cs="Times New Roman"/>
          <w:b/>
          <w:sz w:val="24"/>
          <w:szCs w:val="24"/>
        </w:rPr>
      </w:pPr>
    </w:p>
    <w:p w:rsidR="00A075CE" w:rsidRDefault="00A075CE" w:rsidP="002F33D2">
      <w:pPr>
        <w:pStyle w:val="NoSpacing"/>
        <w:spacing w:line="360" w:lineRule="auto"/>
        <w:ind w:left="720"/>
        <w:jc w:val="both"/>
        <w:rPr>
          <w:rFonts w:ascii="Times New Roman" w:hAnsi="Times New Roman" w:cs="Times New Roman"/>
          <w:b/>
          <w:sz w:val="24"/>
          <w:szCs w:val="24"/>
        </w:rPr>
      </w:pPr>
    </w:p>
    <w:p w:rsidR="00544E28" w:rsidRDefault="00E67456" w:rsidP="00E6745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425E1D">
        <w:rPr>
          <w:rFonts w:ascii="Times New Roman" w:hAnsi="Times New Roman" w:cs="Times New Roman"/>
          <w:b/>
          <w:sz w:val="24"/>
          <w:szCs w:val="24"/>
        </w:rPr>
        <w:t>EXPLAINING THE PARADOX: THE HISTORICAL LIMITATIONS ON EUR</w:t>
      </w:r>
      <w:r w:rsidR="00FB1FD9">
        <w:rPr>
          <w:rFonts w:ascii="Times New Roman" w:hAnsi="Times New Roman" w:cs="Times New Roman"/>
          <w:b/>
          <w:sz w:val="24"/>
          <w:szCs w:val="24"/>
        </w:rPr>
        <w:t>OP</w:t>
      </w:r>
      <w:r w:rsidR="00425E1D">
        <w:rPr>
          <w:rFonts w:ascii="Times New Roman" w:hAnsi="Times New Roman" w:cs="Times New Roman"/>
          <w:b/>
          <w:sz w:val="24"/>
          <w:szCs w:val="24"/>
        </w:rPr>
        <w:t>EAN ‘SOCIAL INTEGRATION’ AS A COUNTER-BALANCE TO THE INTERNAL MARKET</w:t>
      </w:r>
    </w:p>
    <w:p w:rsidR="00B23807" w:rsidRDefault="00B23807" w:rsidP="002F33D2">
      <w:pPr>
        <w:pStyle w:val="NoSpacing"/>
        <w:spacing w:line="360" w:lineRule="auto"/>
        <w:jc w:val="both"/>
        <w:rPr>
          <w:rFonts w:ascii="Times New Roman" w:hAnsi="Times New Roman" w:cs="Times New Roman"/>
          <w:b/>
          <w:sz w:val="24"/>
          <w:szCs w:val="24"/>
        </w:rPr>
      </w:pPr>
    </w:p>
    <w:p w:rsidR="006574E0" w:rsidRDefault="004037A8"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When it comes to social integration, the EU seems to find itself in a paradoxical situation. Socially-oriented activity appears necessary to counteract some of the deregulatory effects</w:t>
      </w:r>
      <w:r w:rsidR="00CA09B8">
        <w:rPr>
          <w:rFonts w:ascii="Times New Roman" w:hAnsi="Times New Roman" w:cs="Times New Roman"/>
          <w:sz w:val="24"/>
          <w:szCs w:val="24"/>
        </w:rPr>
        <w:t xml:space="preserve"> of economic integration. Yet, “</w:t>
      </w:r>
      <w:r>
        <w:rPr>
          <w:rFonts w:ascii="Times New Roman" w:hAnsi="Times New Roman" w:cs="Times New Roman"/>
          <w:sz w:val="24"/>
          <w:szCs w:val="24"/>
        </w:rPr>
        <w:t>soc</w:t>
      </w:r>
      <w:r w:rsidR="00CA09B8">
        <w:rPr>
          <w:rFonts w:ascii="Times New Roman" w:hAnsi="Times New Roman" w:cs="Times New Roman"/>
          <w:sz w:val="24"/>
          <w:szCs w:val="24"/>
        </w:rPr>
        <w:t>ial Europe”</w:t>
      </w:r>
      <w:r>
        <w:rPr>
          <w:rFonts w:ascii="Times New Roman" w:hAnsi="Times New Roman" w:cs="Times New Roman"/>
          <w:sz w:val="24"/>
          <w:szCs w:val="24"/>
        </w:rPr>
        <w:t xml:space="preserve"> often seems at risk of being represented as</w:t>
      </w:r>
      <w:r w:rsidR="00CA09B8">
        <w:rPr>
          <w:rFonts w:ascii="Times New Roman" w:hAnsi="Times New Roman" w:cs="Times New Roman"/>
          <w:sz w:val="24"/>
          <w:szCs w:val="24"/>
        </w:rPr>
        <w:t xml:space="preserve"> further European interference</w:t>
      </w:r>
      <w:r>
        <w:rPr>
          <w:rFonts w:ascii="Times New Roman" w:hAnsi="Times New Roman" w:cs="Times New Roman"/>
          <w:sz w:val="24"/>
          <w:szCs w:val="24"/>
        </w:rPr>
        <w:t xml:space="preserve">. </w:t>
      </w:r>
      <w:r w:rsidR="008343B5">
        <w:rPr>
          <w:rFonts w:ascii="Times New Roman" w:hAnsi="Times New Roman" w:cs="Times New Roman"/>
          <w:sz w:val="24"/>
          <w:szCs w:val="24"/>
        </w:rPr>
        <w:t>T</w:t>
      </w:r>
      <w:r w:rsidR="00480CF1">
        <w:rPr>
          <w:rFonts w:ascii="Times New Roman" w:hAnsi="Times New Roman" w:cs="Times New Roman"/>
          <w:sz w:val="24"/>
          <w:szCs w:val="24"/>
        </w:rPr>
        <w:t>his section explains this phenomenon</w:t>
      </w:r>
      <w:r w:rsidR="006341F1">
        <w:rPr>
          <w:rFonts w:ascii="Times New Roman" w:hAnsi="Times New Roman" w:cs="Times New Roman"/>
          <w:sz w:val="24"/>
          <w:szCs w:val="24"/>
        </w:rPr>
        <w:t>. First, it identifies that the Rome</w:t>
      </w:r>
      <w:r w:rsidR="007F061D">
        <w:rPr>
          <w:rFonts w:ascii="Times New Roman" w:hAnsi="Times New Roman" w:cs="Times New Roman"/>
          <w:sz w:val="24"/>
          <w:szCs w:val="24"/>
        </w:rPr>
        <w:t xml:space="preserve"> Treaty maintained and solidifi</w:t>
      </w:r>
      <w:r w:rsidR="006341F1">
        <w:rPr>
          <w:rFonts w:ascii="Times New Roman" w:hAnsi="Times New Roman" w:cs="Times New Roman"/>
          <w:sz w:val="24"/>
          <w:szCs w:val="24"/>
        </w:rPr>
        <w:t xml:space="preserve">ed an economic/social dichotomy across a European/national divide, largely leaving concrete </w:t>
      </w:r>
      <w:r w:rsidR="00B217A3">
        <w:rPr>
          <w:rFonts w:ascii="Times New Roman" w:hAnsi="Times New Roman" w:cs="Times New Roman"/>
          <w:sz w:val="24"/>
          <w:szCs w:val="24"/>
        </w:rPr>
        <w:t xml:space="preserve">social </w:t>
      </w:r>
      <w:r w:rsidR="006341F1">
        <w:rPr>
          <w:rFonts w:ascii="Times New Roman" w:hAnsi="Times New Roman" w:cs="Times New Roman"/>
          <w:sz w:val="24"/>
          <w:szCs w:val="24"/>
        </w:rPr>
        <w:t>policymaking within the domestic realm. Second, it highlights that the judicially-driven expansion of the Treaty’s market freedoms nevertheless blurred these lines, leading to tensions between the Union’s economic rules and domestic social policy. Third, the section demonstrates that, although the economic/social dichotomy had been</w:t>
      </w:r>
      <w:r w:rsidR="00022415">
        <w:rPr>
          <w:rFonts w:ascii="Times New Roman" w:hAnsi="Times New Roman" w:cs="Times New Roman"/>
          <w:sz w:val="24"/>
          <w:szCs w:val="24"/>
        </w:rPr>
        <w:t xml:space="preserve"> exposed as a myth, it continues</w:t>
      </w:r>
      <w:r w:rsidR="006341F1">
        <w:rPr>
          <w:rFonts w:ascii="Times New Roman" w:hAnsi="Times New Roman" w:cs="Times New Roman"/>
          <w:sz w:val="24"/>
          <w:szCs w:val="24"/>
        </w:rPr>
        <w:t xml:space="preserve"> to limit the EU’s capacity to pursue social integration</w:t>
      </w:r>
      <w:r w:rsidR="00022415">
        <w:rPr>
          <w:rFonts w:ascii="Times New Roman" w:hAnsi="Times New Roman" w:cs="Times New Roman"/>
          <w:sz w:val="24"/>
          <w:szCs w:val="24"/>
        </w:rPr>
        <w:t xml:space="preserve">, presenting </w:t>
      </w:r>
      <w:r w:rsidR="00757BCF">
        <w:rPr>
          <w:rFonts w:ascii="Times New Roman" w:hAnsi="Times New Roman" w:cs="Times New Roman"/>
          <w:sz w:val="24"/>
          <w:szCs w:val="24"/>
        </w:rPr>
        <w:t xml:space="preserve">supranational social activity </w:t>
      </w:r>
      <w:r w:rsidR="00022415">
        <w:rPr>
          <w:rFonts w:ascii="Times New Roman" w:hAnsi="Times New Roman" w:cs="Times New Roman"/>
          <w:sz w:val="24"/>
          <w:szCs w:val="24"/>
        </w:rPr>
        <w:t>as a further erosion in to the domestic social space</w:t>
      </w:r>
      <w:r w:rsidR="007F061D">
        <w:rPr>
          <w:rFonts w:ascii="Times New Roman" w:hAnsi="Times New Roman" w:cs="Times New Roman"/>
          <w:sz w:val="24"/>
          <w:szCs w:val="24"/>
        </w:rPr>
        <w:t xml:space="preserve">. </w:t>
      </w:r>
      <w:r w:rsidR="006574E0">
        <w:rPr>
          <w:rFonts w:ascii="Times New Roman" w:hAnsi="Times New Roman" w:cs="Times New Roman"/>
          <w:sz w:val="24"/>
          <w:szCs w:val="24"/>
        </w:rPr>
        <w:t xml:space="preserve"> </w:t>
      </w:r>
    </w:p>
    <w:p w:rsidR="00711D04" w:rsidRPr="006341F1" w:rsidRDefault="00711D04" w:rsidP="002F33D2">
      <w:pPr>
        <w:pStyle w:val="NoSpacing"/>
        <w:spacing w:line="360" w:lineRule="auto"/>
        <w:jc w:val="both"/>
        <w:rPr>
          <w:rFonts w:ascii="Times New Roman" w:hAnsi="Times New Roman" w:cs="Times New Roman"/>
          <w:sz w:val="24"/>
          <w:szCs w:val="24"/>
        </w:rPr>
      </w:pPr>
    </w:p>
    <w:p w:rsidR="002A5E69" w:rsidRPr="006341F1" w:rsidRDefault="002A5E69" w:rsidP="002F33D2">
      <w:pPr>
        <w:pStyle w:val="NoSpacing"/>
        <w:spacing w:line="360" w:lineRule="auto"/>
        <w:jc w:val="both"/>
        <w:rPr>
          <w:rFonts w:ascii="Times New Roman" w:hAnsi="Times New Roman" w:cs="Times New Roman"/>
          <w:b/>
          <w:sz w:val="24"/>
          <w:szCs w:val="24"/>
        </w:rPr>
      </w:pPr>
    </w:p>
    <w:p w:rsidR="00F61616" w:rsidRPr="00425E1D" w:rsidRDefault="00425E1D" w:rsidP="00425E1D">
      <w:pPr>
        <w:pStyle w:val="NoSpacing"/>
        <w:spacing w:line="360" w:lineRule="auto"/>
        <w:jc w:val="both"/>
        <w:rPr>
          <w:rFonts w:ascii="Times New Roman" w:hAnsi="Times New Roman" w:cs="Times New Roman"/>
          <w:sz w:val="24"/>
          <w:szCs w:val="24"/>
        </w:rPr>
      </w:pPr>
      <w:r w:rsidRPr="00425E1D">
        <w:rPr>
          <w:rFonts w:ascii="Times New Roman" w:hAnsi="Times New Roman" w:cs="Times New Roman"/>
          <w:sz w:val="24"/>
          <w:szCs w:val="24"/>
        </w:rPr>
        <w:t>II</w:t>
      </w:r>
      <w:r>
        <w:rPr>
          <w:rFonts w:ascii="Times New Roman" w:hAnsi="Times New Roman" w:cs="Times New Roman"/>
          <w:sz w:val="24"/>
          <w:szCs w:val="24"/>
        </w:rPr>
        <w:t>.1 THE TRADITIONAL EUROPEAN/NATIONAL DIVIDE IN THE ECONOMIC/SOCIAL DICHOTOMY: SOCIAL PROGRESS AS A BY-PRODUCT OF ECONOMIC INTEGRATION</w:t>
      </w:r>
    </w:p>
    <w:p w:rsidR="00F61616" w:rsidRPr="00425E1D" w:rsidRDefault="00F61616" w:rsidP="002F33D2">
      <w:pPr>
        <w:pStyle w:val="NoSpacing"/>
        <w:spacing w:line="360" w:lineRule="auto"/>
        <w:jc w:val="both"/>
        <w:rPr>
          <w:rFonts w:ascii="Times New Roman" w:hAnsi="Times New Roman" w:cs="Times New Roman"/>
          <w:sz w:val="24"/>
          <w:szCs w:val="24"/>
        </w:rPr>
      </w:pPr>
    </w:p>
    <w:p w:rsidR="00425E1D" w:rsidRDefault="007F061D"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Wi</w:t>
      </w:r>
      <w:r w:rsidR="00CA09B8">
        <w:rPr>
          <w:rFonts w:ascii="Times New Roman" w:hAnsi="Times New Roman" w:cs="Times New Roman"/>
          <w:sz w:val="24"/>
          <w:szCs w:val="24"/>
        </w:rPr>
        <w:t>th the ambition of creating an “</w:t>
      </w:r>
      <w:r>
        <w:rPr>
          <w:rFonts w:ascii="Times New Roman" w:hAnsi="Times New Roman" w:cs="Times New Roman"/>
          <w:sz w:val="24"/>
          <w:szCs w:val="24"/>
        </w:rPr>
        <w:t>ever-closer union among the peoples of Euro</w:t>
      </w:r>
      <w:r w:rsidR="00CA09B8">
        <w:rPr>
          <w:rFonts w:ascii="Times New Roman" w:hAnsi="Times New Roman" w:cs="Times New Roman"/>
          <w:sz w:val="24"/>
          <w:szCs w:val="24"/>
        </w:rPr>
        <w:t>pe”</w:t>
      </w:r>
      <w:r>
        <w:rPr>
          <w:rFonts w:ascii="Times New Roman" w:hAnsi="Times New Roman" w:cs="Times New Roman"/>
          <w:sz w:val="24"/>
          <w:szCs w:val="24"/>
        </w:rPr>
        <w:t xml:space="preserve"> in the aftermath of the Second World War,</w:t>
      </w:r>
      <w:r w:rsidR="00F62385" w:rsidRPr="006341F1">
        <w:rPr>
          <w:rFonts w:ascii="Times New Roman" w:hAnsi="Times New Roman" w:cs="Times New Roman"/>
          <w:sz w:val="24"/>
          <w:szCs w:val="24"/>
        </w:rPr>
        <w:t xml:space="preserve"> </w:t>
      </w:r>
      <w:r>
        <w:rPr>
          <w:rFonts w:ascii="Times New Roman" w:hAnsi="Times New Roman" w:cs="Times New Roman"/>
          <w:sz w:val="24"/>
          <w:szCs w:val="24"/>
        </w:rPr>
        <w:t xml:space="preserve">the European Economic Community (EEC) was always about more than economic integration. </w:t>
      </w:r>
      <w:r w:rsidR="00AC5299" w:rsidRPr="006341F1">
        <w:rPr>
          <w:rFonts w:ascii="Times New Roman" w:hAnsi="Times New Roman" w:cs="Times New Roman"/>
          <w:sz w:val="24"/>
          <w:szCs w:val="24"/>
        </w:rPr>
        <w:t>N</w:t>
      </w:r>
      <w:r>
        <w:rPr>
          <w:rFonts w:ascii="Times New Roman" w:hAnsi="Times New Roman" w:cs="Times New Roman"/>
          <w:sz w:val="24"/>
          <w:szCs w:val="24"/>
        </w:rPr>
        <w:t>evertheless, the Rome Treaty clearly created an economic framework for this European project.</w:t>
      </w:r>
      <w:r w:rsidR="00D25856">
        <w:rPr>
          <w:rFonts w:ascii="Times New Roman" w:hAnsi="Times New Roman" w:cs="Times New Roman"/>
          <w:sz w:val="24"/>
          <w:szCs w:val="24"/>
        </w:rPr>
        <w:t xml:space="preserve"> One of the EEC’s primary tas</w:t>
      </w:r>
      <w:r w:rsidR="00CA09B8">
        <w:rPr>
          <w:rFonts w:ascii="Times New Roman" w:hAnsi="Times New Roman" w:cs="Times New Roman"/>
          <w:sz w:val="24"/>
          <w:szCs w:val="24"/>
        </w:rPr>
        <w:t>ks was the “</w:t>
      </w:r>
      <w:r w:rsidR="00D25856">
        <w:rPr>
          <w:rFonts w:ascii="Times New Roman" w:hAnsi="Times New Roman" w:cs="Times New Roman"/>
          <w:sz w:val="24"/>
          <w:szCs w:val="24"/>
        </w:rPr>
        <w:t>harmonious dev</w:t>
      </w:r>
      <w:r w:rsidR="00CA09B8">
        <w:rPr>
          <w:rFonts w:ascii="Times New Roman" w:hAnsi="Times New Roman" w:cs="Times New Roman"/>
          <w:sz w:val="24"/>
          <w:szCs w:val="24"/>
        </w:rPr>
        <w:t>elopment of economic activities”</w:t>
      </w:r>
      <w:r w:rsidR="00D25856">
        <w:rPr>
          <w:rFonts w:ascii="Times New Roman" w:hAnsi="Times New Roman" w:cs="Times New Roman"/>
          <w:sz w:val="24"/>
          <w:szCs w:val="24"/>
        </w:rPr>
        <w:t xml:space="preserve"> by means of the establishment of a Common Market and the progressive approximation of the economic policies of the Member </w:t>
      </w:r>
      <w:r w:rsidR="00D25856">
        <w:rPr>
          <w:rFonts w:ascii="Times New Roman" w:hAnsi="Times New Roman" w:cs="Times New Roman"/>
          <w:sz w:val="24"/>
          <w:szCs w:val="24"/>
        </w:rPr>
        <w:lastRenderedPageBreak/>
        <w:t>States,</w:t>
      </w:r>
      <w:r w:rsidR="00D25856">
        <w:rPr>
          <w:rStyle w:val="FootnoteReference"/>
          <w:rFonts w:ascii="Times New Roman" w:hAnsi="Times New Roman" w:cs="Times New Roman"/>
          <w:sz w:val="24"/>
          <w:szCs w:val="24"/>
        </w:rPr>
        <w:footnoteReference w:id="5"/>
      </w:r>
      <w:r w:rsidR="00D25856">
        <w:rPr>
          <w:rFonts w:ascii="Times New Roman" w:hAnsi="Times New Roman" w:cs="Times New Roman"/>
          <w:sz w:val="24"/>
          <w:szCs w:val="24"/>
        </w:rPr>
        <w:t xml:space="preserve"> while the Community’s activities, such as the abolition of barriers to freedom of economic movement, focused on this objective.</w:t>
      </w:r>
      <w:r w:rsidR="00D25856">
        <w:rPr>
          <w:rStyle w:val="FootnoteReference"/>
          <w:rFonts w:ascii="Times New Roman" w:hAnsi="Times New Roman" w:cs="Times New Roman"/>
          <w:sz w:val="24"/>
          <w:szCs w:val="24"/>
        </w:rPr>
        <w:footnoteReference w:id="6"/>
      </w:r>
    </w:p>
    <w:p w:rsidR="00425E1D" w:rsidRDefault="00D25856" w:rsidP="00425E1D">
      <w:pPr>
        <w:pStyle w:val="NoSpacing"/>
        <w:spacing w:line="360" w:lineRule="auto"/>
        <w:ind w:firstLine="284"/>
        <w:jc w:val="both"/>
        <w:rPr>
          <w:rFonts w:ascii="Times New Roman" w:hAnsi="Times New Roman" w:cs="Times New Roman"/>
          <w:sz w:val="24"/>
          <w:szCs w:val="20"/>
        </w:rPr>
      </w:pPr>
      <w:r>
        <w:rPr>
          <w:rFonts w:ascii="Times New Roman" w:hAnsi="Times New Roman" w:cs="Times New Roman"/>
          <w:sz w:val="24"/>
          <w:szCs w:val="24"/>
        </w:rPr>
        <w:t>This is not to say that the Rome Treaty did not have social ambition. Its prea</w:t>
      </w:r>
      <w:r w:rsidR="004158F4">
        <w:rPr>
          <w:rFonts w:ascii="Times New Roman" w:hAnsi="Times New Roman" w:cs="Times New Roman"/>
          <w:sz w:val="24"/>
          <w:szCs w:val="24"/>
        </w:rPr>
        <w:t>mble asserted that the EEC was “</w:t>
      </w:r>
      <w:r>
        <w:rPr>
          <w:rFonts w:ascii="Times New Roman" w:hAnsi="Times New Roman" w:cs="Times New Roman"/>
          <w:sz w:val="24"/>
          <w:szCs w:val="24"/>
        </w:rPr>
        <w:t xml:space="preserve">resolved to ensure the economic </w:t>
      </w:r>
      <w:r>
        <w:rPr>
          <w:rFonts w:ascii="Times New Roman" w:hAnsi="Times New Roman" w:cs="Times New Roman"/>
          <w:i/>
          <w:sz w:val="24"/>
          <w:szCs w:val="24"/>
        </w:rPr>
        <w:t>and</w:t>
      </w:r>
      <w:r>
        <w:rPr>
          <w:rFonts w:ascii="Times New Roman" w:hAnsi="Times New Roman" w:cs="Times New Roman"/>
          <w:sz w:val="24"/>
          <w:szCs w:val="24"/>
        </w:rPr>
        <w:t xml:space="preserve"> social progress [emphasis added]’ of its Membe</w:t>
      </w:r>
      <w:r w:rsidR="004158F4">
        <w:rPr>
          <w:rFonts w:ascii="Times New Roman" w:hAnsi="Times New Roman" w:cs="Times New Roman"/>
          <w:sz w:val="24"/>
          <w:szCs w:val="24"/>
        </w:rPr>
        <w:t>r States”</w:t>
      </w:r>
      <w:r>
        <w:rPr>
          <w:rFonts w:ascii="Times New Roman" w:hAnsi="Times New Roman" w:cs="Times New Roman"/>
          <w:sz w:val="24"/>
          <w:szCs w:val="24"/>
        </w:rPr>
        <w:t>. Nonetheless, structured on a liberal market ideology, social progress was principally viewed as a by-product of economic integration</w:t>
      </w:r>
      <w:r w:rsidR="006E6FB7">
        <w:rPr>
          <w:rFonts w:ascii="Times New Roman" w:hAnsi="Times New Roman" w:cs="Times New Roman"/>
          <w:sz w:val="24"/>
          <w:szCs w:val="24"/>
        </w:rPr>
        <w:t>. Ar</w:t>
      </w:r>
      <w:r w:rsidR="004158F4">
        <w:rPr>
          <w:rFonts w:ascii="Times New Roman" w:hAnsi="Times New Roman" w:cs="Times New Roman"/>
          <w:sz w:val="24"/>
          <w:szCs w:val="24"/>
        </w:rPr>
        <w:t>ticle 2 EEC proclaimed that an “</w:t>
      </w:r>
      <w:r w:rsidR="006E6FB7">
        <w:rPr>
          <w:rFonts w:ascii="Times New Roman" w:hAnsi="Times New Roman" w:cs="Times New Roman"/>
          <w:sz w:val="24"/>
          <w:szCs w:val="24"/>
        </w:rPr>
        <w:t>accelerated raising of the standard of living</w:t>
      </w:r>
      <w:r w:rsidR="00C0466D">
        <w:rPr>
          <w:rFonts w:ascii="Times New Roman" w:hAnsi="Times New Roman" w:cs="Times New Roman"/>
          <w:sz w:val="24"/>
          <w:szCs w:val="24"/>
        </w:rPr>
        <w:t>’</w:t>
      </w:r>
      <w:r w:rsidR="006E6FB7">
        <w:rPr>
          <w:rFonts w:ascii="Times New Roman" w:hAnsi="Times New Roman" w:cs="Times New Roman"/>
          <w:sz w:val="24"/>
          <w:szCs w:val="24"/>
        </w:rPr>
        <w:t xml:space="preserve"> would be achieved ‘by establis</w:t>
      </w:r>
      <w:r w:rsidR="004158F4">
        <w:rPr>
          <w:rFonts w:ascii="Times New Roman" w:hAnsi="Times New Roman" w:cs="Times New Roman"/>
          <w:sz w:val="24"/>
          <w:szCs w:val="24"/>
        </w:rPr>
        <w:t xml:space="preserve">hing a common market”. As </w:t>
      </w:r>
      <w:proofErr w:type="spellStart"/>
      <w:r w:rsidR="004158F4">
        <w:rPr>
          <w:rFonts w:ascii="Times New Roman" w:hAnsi="Times New Roman" w:cs="Times New Roman"/>
          <w:sz w:val="24"/>
          <w:szCs w:val="24"/>
        </w:rPr>
        <w:t>Schiek</w:t>
      </w:r>
      <w:proofErr w:type="spellEnd"/>
      <w:r w:rsidR="004158F4">
        <w:rPr>
          <w:rFonts w:ascii="Times New Roman" w:hAnsi="Times New Roman" w:cs="Times New Roman"/>
          <w:sz w:val="24"/>
          <w:szCs w:val="24"/>
        </w:rPr>
        <w:t xml:space="preserve"> puts it, since “</w:t>
      </w:r>
      <w:r w:rsidR="006E6FB7">
        <w:rPr>
          <w:rFonts w:ascii="Times New Roman" w:hAnsi="Times New Roman" w:cs="Times New Roman"/>
          <w:sz w:val="24"/>
          <w:szCs w:val="24"/>
        </w:rPr>
        <w:t>social integration would be the natural result of unfettered markets… The EEC itself would only need social policies directly related to the common market</w:t>
      </w:r>
      <w:r w:rsidR="004158F4">
        <w:rPr>
          <w:rFonts w:ascii="Times New Roman" w:hAnsi="Times New Roman" w:cs="Times New Roman"/>
          <w:sz w:val="24"/>
          <w:szCs w:val="24"/>
        </w:rPr>
        <w:t>”</w:t>
      </w:r>
      <w:r w:rsidR="006E6FB7">
        <w:rPr>
          <w:rFonts w:ascii="Times New Roman" w:hAnsi="Times New Roman" w:cs="Times New Roman"/>
          <w:sz w:val="24"/>
          <w:szCs w:val="24"/>
        </w:rPr>
        <w:t>.</w:t>
      </w:r>
      <w:r w:rsidR="00957C78" w:rsidRPr="006E6FB7">
        <w:rPr>
          <w:rStyle w:val="FootnoteReference"/>
          <w:rFonts w:ascii="Times New Roman" w:hAnsi="Times New Roman" w:cs="Times New Roman"/>
          <w:sz w:val="24"/>
          <w:szCs w:val="20"/>
        </w:rPr>
        <w:footnoteReference w:id="7"/>
      </w:r>
      <w:r w:rsidR="006E6FB7">
        <w:rPr>
          <w:rFonts w:ascii="Times New Roman" w:hAnsi="Times New Roman" w:cs="Times New Roman"/>
          <w:sz w:val="24"/>
          <w:szCs w:val="24"/>
        </w:rPr>
        <w:t xml:space="preserve"> Thus, Rome’s limited social chapter focused on promoting improved working conditions and raising the</w:t>
      </w:r>
      <w:r w:rsidR="00C0466D">
        <w:rPr>
          <w:rFonts w:ascii="Times New Roman" w:hAnsi="Times New Roman" w:cs="Times New Roman"/>
          <w:sz w:val="24"/>
          <w:szCs w:val="24"/>
        </w:rPr>
        <w:t xml:space="preserve"> standard of living for workers,</w:t>
      </w:r>
      <w:r w:rsidR="006E6FB7">
        <w:rPr>
          <w:rStyle w:val="FootnoteReference"/>
          <w:rFonts w:ascii="Times New Roman" w:hAnsi="Times New Roman" w:cs="Times New Roman"/>
          <w:sz w:val="24"/>
          <w:szCs w:val="24"/>
        </w:rPr>
        <w:footnoteReference w:id="8"/>
      </w:r>
      <w:r w:rsidR="00C0466D">
        <w:rPr>
          <w:rFonts w:ascii="Times New Roman" w:hAnsi="Times New Roman" w:cs="Times New Roman"/>
          <w:sz w:val="24"/>
          <w:szCs w:val="24"/>
        </w:rPr>
        <w:t xml:space="preserve"> while p</w:t>
      </w:r>
      <w:r w:rsidR="006E6FB7">
        <w:rPr>
          <w:rFonts w:ascii="Times New Roman" w:hAnsi="Times New Roman" w:cs="Times New Roman"/>
          <w:sz w:val="24"/>
          <w:szCs w:val="24"/>
        </w:rPr>
        <w:t>rovisions such as Article 119 EEC – requiring Member States to ensure and maintain the principle that women and men receive equal pay for equal work – were</w:t>
      </w:r>
      <w:r w:rsidR="00C0466D">
        <w:rPr>
          <w:rFonts w:ascii="Times New Roman" w:hAnsi="Times New Roman" w:cs="Times New Roman"/>
          <w:sz w:val="24"/>
          <w:szCs w:val="24"/>
        </w:rPr>
        <w:t>, at the time, targeted at preventing distortions of competition.</w:t>
      </w:r>
      <w:r w:rsidR="006E6FB7">
        <w:rPr>
          <w:rStyle w:val="FootnoteReference"/>
          <w:rFonts w:ascii="Times New Roman" w:hAnsi="Times New Roman" w:cs="Times New Roman"/>
          <w:sz w:val="24"/>
          <w:szCs w:val="24"/>
        </w:rPr>
        <w:footnoteReference w:id="9"/>
      </w:r>
    </w:p>
    <w:p w:rsidR="00425E1D" w:rsidRDefault="009C4627" w:rsidP="00425E1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Nevertheless, from an historical perspective, the Rome Treaty provid</w:t>
      </w:r>
      <w:r w:rsidR="001435D2">
        <w:rPr>
          <w:rFonts w:ascii="Times New Roman" w:hAnsi="Times New Roman" w:cs="Times New Roman"/>
          <w:sz w:val="24"/>
          <w:szCs w:val="24"/>
        </w:rPr>
        <w:t xml:space="preserve">ed an </w:t>
      </w:r>
      <w:proofErr w:type="spellStart"/>
      <w:r w:rsidR="001435D2">
        <w:rPr>
          <w:rFonts w:ascii="Times New Roman" w:hAnsi="Times New Roman" w:cs="Times New Roman"/>
          <w:sz w:val="24"/>
          <w:szCs w:val="24"/>
        </w:rPr>
        <w:t>apposite</w:t>
      </w:r>
      <w:proofErr w:type="spellEnd"/>
      <w:r w:rsidR="001435D2">
        <w:rPr>
          <w:rFonts w:ascii="Times New Roman" w:hAnsi="Times New Roman" w:cs="Times New Roman"/>
          <w:sz w:val="24"/>
          <w:szCs w:val="24"/>
        </w:rPr>
        <w:t xml:space="preserve"> means of accomplishing</w:t>
      </w:r>
      <w:r>
        <w:rPr>
          <w:rFonts w:ascii="Times New Roman" w:hAnsi="Times New Roman" w:cs="Times New Roman"/>
          <w:sz w:val="24"/>
          <w:szCs w:val="24"/>
        </w:rPr>
        <w:t xml:space="preserve"> European integration</w:t>
      </w:r>
      <w:r w:rsidR="006E6FB7">
        <w:rPr>
          <w:rFonts w:ascii="Times New Roman" w:hAnsi="Times New Roman" w:cs="Times New Roman"/>
          <w:sz w:val="24"/>
          <w:szCs w:val="24"/>
        </w:rPr>
        <w:t xml:space="preserve">. </w:t>
      </w:r>
      <w:r w:rsidR="00022415">
        <w:rPr>
          <w:rFonts w:ascii="Times New Roman" w:hAnsi="Times New Roman" w:cs="Times New Roman"/>
          <w:sz w:val="24"/>
          <w:szCs w:val="24"/>
        </w:rPr>
        <w:t>Where</w:t>
      </w:r>
      <w:r w:rsidR="001C08A5">
        <w:rPr>
          <w:rFonts w:ascii="Times New Roman" w:hAnsi="Times New Roman" w:cs="Times New Roman"/>
          <w:sz w:val="24"/>
          <w:szCs w:val="24"/>
        </w:rPr>
        <w:t xml:space="preserve"> p</w:t>
      </w:r>
      <w:r w:rsidR="006E6FB7">
        <w:rPr>
          <w:rFonts w:ascii="Times New Roman" w:hAnsi="Times New Roman" w:cs="Times New Roman"/>
          <w:sz w:val="24"/>
          <w:szCs w:val="24"/>
        </w:rPr>
        <w:t>revious attempts at building the European Defence Community and the European</w:t>
      </w:r>
      <w:r w:rsidR="001C08A5">
        <w:rPr>
          <w:rFonts w:ascii="Times New Roman" w:hAnsi="Times New Roman" w:cs="Times New Roman"/>
          <w:sz w:val="24"/>
          <w:szCs w:val="24"/>
        </w:rPr>
        <w:t xml:space="preserve"> Political Community had failed,</w:t>
      </w:r>
      <w:r w:rsidR="006E6FB7">
        <w:rPr>
          <w:rStyle w:val="FootnoteReference"/>
          <w:rFonts w:ascii="Times New Roman" w:hAnsi="Times New Roman" w:cs="Times New Roman"/>
          <w:sz w:val="24"/>
          <w:szCs w:val="24"/>
        </w:rPr>
        <w:footnoteReference w:id="10"/>
      </w:r>
      <w:r w:rsidR="001C08A5">
        <w:rPr>
          <w:rFonts w:ascii="Times New Roman" w:hAnsi="Times New Roman" w:cs="Times New Roman"/>
          <w:sz w:val="24"/>
          <w:szCs w:val="24"/>
        </w:rPr>
        <w:t xml:space="preserve"> the handing over</w:t>
      </w:r>
      <w:r w:rsidR="004158F4">
        <w:rPr>
          <w:rFonts w:ascii="Times New Roman" w:hAnsi="Times New Roman" w:cs="Times New Roman"/>
          <w:sz w:val="24"/>
          <w:szCs w:val="24"/>
        </w:rPr>
        <w:t xml:space="preserve"> of economic governance to the “</w:t>
      </w:r>
      <w:r w:rsidR="001C08A5">
        <w:rPr>
          <w:rFonts w:ascii="Times New Roman" w:hAnsi="Times New Roman" w:cs="Times New Roman"/>
          <w:sz w:val="24"/>
          <w:szCs w:val="24"/>
        </w:rPr>
        <w:t>spontaneo</w:t>
      </w:r>
      <w:r w:rsidR="004158F4">
        <w:rPr>
          <w:rFonts w:ascii="Times New Roman" w:hAnsi="Times New Roman" w:cs="Times New Roman"/>
          <w:sz w:val="24"/>
          <w:szCs w:val="24"/>
        </w:rPr>
        <w:t>us order of competitive markets”</w:t>
      </w:r>
      <w:r w:rsidR="001C08A5">
        <w:rPr>
          <w:rFonts w:ascii="Times New Roman" w:hAnsi="Times New Roman" w:cs="Times New Roman"/>
          <w:sz w:val="24"/>
          <w:szCs w:val="24"/>
        </w:rPr>
        <w:t>,</w:t>
      </w:r>
      <w:r w:rsidR="001C08A5">
        <w:rPr>
          <w:rStyle w:val="FootnoteReference"/>
          <w:rFonts w:ascii="Times New Roman" w:hAnsi="Times New Roman" w:cs="Times New Roman"/>
          <w:sz w:val="24"/>
          <w:szCs w:val="24"/>
        </w:rPr>
        <w:footnoteReference w:id="11"/>
      </w:r>
      <w:r w:rsidR="001C08A5">
        <w:rPr>
          <w:rFonts w:ascii="Times New Roman" w:hAnsi="Times New Roman" w:cs="Times New Roman"/>
          <w:sz w:val="24"/>
          <w:szCs w:val="24"/>
        </w:rPr>
        <w:t xml:space="preserve"> at the European-level spoke to the ordo-liberal ideologies of the era. Meanwhile social integration could be achieved as a welcome side-effect – in terms of raised standards of living – while more concrete social policy-making could be left to individual Member States, given </w:t>
      </w:r>
      <w:r w:rsidR="002B660A">
        <w:rPr>
          <w:rFonts w:ascii="Times New Roman" w:hAnsi="Times New Roman" w:cs="Times New Roman"/>
          <w:sz w:val="24"/>
          <w:szCs w:val="24"/>
        </w:rPr>
        <w:t xml:space="preserve">the democratic legitimacy </w:t>
      </w:r>
      <w:r w:rsidR="00AA5F51">
        <w:rPr>
          <w:rFonts w:ascii="Times New Roman" w:hAnsi="Times New Roman" w:cs="Times New Roman"/>
          <w:sz w:val="24"/>
          <w:szCs w:val="24"/>
        </w:rPr>
        <w:t xml:space="preserve">arguably </w:t>
      </w:r>
      <w:r w:rsidR="004158F4">
        <w:rPr>
          <w:rFonts w:ascii="Times New Roman" w:hAnsi="Times New Roman" w:cs="Times New Roman"/>
          <w:sz w:val="24"/>
          <w:szCs w:val="24"/>
        </w:rPr>
        <w:t>needed in such a “highly political”</w:t>
      </w:r>
      <w:r w:rsidR="002B660A">
        <w:rPr>
          <w:rFonts w:ascii="Times New Roman" w:hAnsi="Times New Roman" w:cs="Times New Roman"/>
          <w:sz w:val="24"/>
          <w:szCs w:val="24"/>
        </w:rPr>
        <w:t xml:space="preserve"> field.</w:t>
      </w:r>
      <w:r w:rsidR="002B660A">
        <w:rPr>
          <w:rStyle w:val="FootnoteReference"/>
          <w:rFonts w:ascii="Times New Roman" w:hAnsi="Times New Roman" w:cs="Times New Roman"/>
          <w:sz w:val="24"/>
          <w:szCs w:val="24"/>
        </w:rPr>
        <w:footnoteReference w:id="12"/>
      </w:r>
      <w:r w:rsidR="002B660A">
        <w:rPr>
          <w:rFonts w:ascii="Times New Roman" w:hAnsi="Times New Roman" w:cs="Times New Roman"/>
          <w:sz w:val="24"/>
          <w:szCs w:val="24"/>
        </w:rPr>
        <w:t xml:space="preserve"> </w:t>
      </w:r>
      <w:r w:rsidR="001D7713">
        <w:rPr>
          <w:rFonts w:ascii="Times New Roman" w:hAnsi="Times New Roman" w:cs="Times New Roman"/>
          <w:sz w:val="24"/>
          <w:szCs w:val="24"/>
        </w:rPr>
        <w:t>In</w:t>
      </w:r>
      <w:r w:rsidR="00884DCC">
        <w:rPr>
          <w:rFonts w:ascii="Times New Roman" w:hAnsi="Times New Roman" w:cs="Times New Roman"/>
          <w:sz w:val="24"/>
          <w:szCs w:val="24"/>
        </w:rPr>
        <w:t xml:space="preserve"> short</w:t>
      </w:r>
      <w:r w:rsidR="004158F4">
        <w:rPr>
          <w:rFonts w:ascii="Times New Roman" w:hAnsi="Times New Roman" w:cs="Times New Roman"/>
          <w:sz w:val="24"/>
          <w:szCs w:val="24"/>
        </w:rPr>
        <w:t>: “</w:t>
      </w:r>
      <w:r w:rsidR="001C08A5">
        <w:rPr>
          <w:rFonts w:ascii="Times New Roman" w:hAnsi="Times New Roman" w:cs="Times New Roman"/>
          <w:sz w:val="24"/>
          <w:szCs w:val="24"/>
        </w:rPr>
        <w:t>t</w:t>
      </w:r>
      <w:r w:rsidR="001D7713" w:rsidRPr="001D7713">
        <w:rPr>
          <w:rFonts w:ascii="Times New Roman" w:hAnsi="Times New Roman" w:cs="Times New Roman"/>
          <w:sz w:val="24"/>
          <w:szCs w:val="24"/>
        </w:rPr>
        <w:t>he original constitutional deal was premised upon a transfer of responsibilities for economic integration to EU institutions while domestic institutions retained their fundamental role</w:t>
      </w:r>
      <w:r w:rsidR="004158F4">
        <w:rPr>
          <w:rFonts w:ascii="Times New Roman" w:hAnsi="Times New Roman" w:cs="Times New Roman"/>
          <w:sz w:val="24"/>
          <w:szCs w:val="24"/>
        </w:rPr>
        <w:t xml:space="preserve"> in defending social solidarity”</w:t>
      </w:r>
      <w:r w:rsidR="001D7713" w:rsidRPr="001D7713">
        <w:rPr>
          <w:rFonts w:ascii="Times New Roman" w:hAnsi="Times New Roman" w:cs="Times New Roman"/>
          <w:sz w:val="24"/>
          <w:szCs w:val="24"/>
        </w:rPr>
        <w:t>.</w:t>
      </w:r>
      <w:r w:rsidR="001D7713">
        <w:rPr>
          <w:rStyle w:val="FootnoteReference"/>
          <w:rFonts w:ascii="Times New Roman" w:hAnsi="Times New Roman" w:cs="Times New Roman"/>
          <w:sz w:val="24"/>
          <w:szCs w:val="24"/>
        </w:rPr>
        <w:footnoteReference w:id="13"/>
      </w:r>
      <w:r w:rsidR="00425E1D">
        <w:rPr>
          <w:rFonts w:ascii="Times New Roman" w:hAnsi="Times New Roman" w:cs="Times New Roman"/>
          <w:sz w:val="24"/>
          <w:szCs w:val="24"/>
        </w:rPr>
        <w:t xml:space="preserve"> </w:t>
      </w:r>
    </w:p>
    <w:p w:rsidR="002B660A" w:rsidRDefault="00037D27" w:rsidP="00425E1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However, th</w:t>
      </w:r>
      <w:r w:rsidR="001C08A5">
        <w:rPr>
          <w:rFonts w:ascii="Times New Roman" w:hAnsi="Times New Roman" w:cs="Times New Roman"/>
          <w:sz w:val="24"/>
          <w:szCs w:val="24"/>
        </w:rPr>
        <w:t>e presumption that an economic/social dichotomy could be neatly divided across European/national lines has proven untenable.</w:t>
      </w:r>
      <w:r w:rsidR="002B660A">
        <w:rPr>
          <w:rFonts w:ascii="Times New Roman" w:hAnsi="Times New Roman" w:cs="Times New Roman"/>
          <w:sz w:val="24"/>
          <w:szCs w:val="24"/>
        </w:rPr>
        <w:t xml:space="preserve"> </w:t>
      </w:r>
      <w:r w:rsidR="003D7BDE">
        <w:rPr>
          <w:rFonts w:ascii="Times New Roman" w:hAnsi="Times New Roman" w:cs="Times New Roman"/>
          <w:sz w:val="24"/>
          <w:szCs w:val="24"/>
        </w:rPr>
        <w:t>As t</w:t>
      </w:r>
      <w:r w:rsidR="00884DCC">
        <w:rPr>
          <w:rFonts w:ascii="Times New Roman" w:hAnsi="Times New Roman" w:cs="Times New Roman"/>
          <w:sz w:val="24"/>
          <w:szCs w:val="24"/>
        </w:rPr>
        <w:t>he Treaty’s market freedoms</w:t>
      </w:r>
      <w:r w:rsidR="003D7BDE">
        <w:rPr>
          <w:rFonts w:ascii="Times New Roman" w:hAnsi="Times New Roman" w:cs="Times New Roman"/>
          <w:sz w:val="24"/>
          <w:szCs w:val="24"/>
        </w:rPr>
        <w:t xml:space="preserve"> expanded, t</w:t>
      </w:r>
      <w:r w:rsidR="00BF71DE">
        <w:rPr>
          <w:rFonts w:ascii="Times New Roman" w:hAnsi="Times New Roman" w:cs="Times New Roman"/>
          <w:sz w:val="24"/>
          <w:szCs w:val="24"/>
        </w:rPr>
        <w:t>he line between the European economic space and the national social sphere</w:t>
      </w:r>
      <w:r w:rsidR="001A67C4">
        <w:rPr>
          <w:rFonts w:ascii="Times New Roman" w:hAnsi="Times New Roman" w:cs="Times New Roman"/>
          <w:sz w:val="24"/>
          <w:szCs w:val="24"/>
        </w:rPr>
        <w:t xml:space="preserve"> </w:t>
      </w:r>
      <w:r w:rsidR="00E42099">
        <w:rPr>
          <w:rFonts w:ascii="Times New Roman" w:hAnsi="Times New Roman" w:cs="Times New Roman"/>
          <w:sz w:val="24"/>
          <w:szCs w:val="24"/>
        </w:rPr>
        <w:t>became more blurred</w:t>
      </w:r>
      <w:r w:rsidR="00873349">
        <w:rPr>
          <w:rFonts w:ascii="Times New Roman" w:hAnsi="Times New Roman" w:cs="Times New Roman"/>
          <w:sz w:val="24"/>
          <w:szCs w:val="24"/>
        </w:rPr>
        <w:t>.</w:t>
      </w:r>
      <w:r w:rsidR="00E42099">
        <w:rPr>
          <w:rFonts w:ascii="Times New Roman" w:hAnsi="Times New Roman" w:cs="Times New Roman"/>
          <w:sz w:val="24"/>
          <w:szCs w:val="24"/>
        </w:rPr>
        <w:t xml:space="preserve"> </w:t>
      </w:r>
    </w:p>
    <w:p w:rsidR="007F46A6" w:rsidRPr="00A075CE" w:rsidRDefault="007F46A6" w:rsidP="002F33D2">
      <w:pPr>
        <w:pStyle w:val="NoSpacing"/>
        <w:spacing w:line="360" w:lineRule="auto"/>
        <w:jc w:val="both"/>
        <w:rPr>
          <w:rFonts w:ascii="Times New Roman" w:hAnsi="Times New Roman" w:cs="Times New Roman"/>
          <w:sz w:val="24"/>
          <w:szCs w:val="24"/>
        </w:rPr>
      </w:pPr>
    </w:p>
    <w:p w:rsidR="00A075CE" w:rsidRDefault="00A075CE" w:rsidP="002F33D2">
      <w:pPr>
        <w:pStyle w:val="NoSpacing"/>
        <w:spacing w:line="360" w:lineRule="auto"/>
        <w:ind w:left="1080"/>
        <w:jc w:val="both"/>
        <w:rPr>
          <w:rFonts w:ascii="Times New Roman" w:hAnsi="Times New Roman" w:cs="Times New Roman"/>
          <w:b/>
          <w:i/>
          <w:sz w:val="24"/>
          <w:szCs w:val="24"/>
        </w:rPr>
      </w:pPr>
    </w:p>
    <w:p w:rsidR="001963A4" w:rsidRDefault="00620664" w:rsidP="006206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II.2 EXPANDING THE MARKET FREEDOMS INTO THE DOMESTIC SOCIAL SPACE</w:t>
      </w:r>
    </w:p>
    <w:p w:rsidR="00620664" w:rsidRPr="00620664" w:rsidRDefault="00620664" w:rsidP="00620664">
      <w:pPr>
        <w:pStyle w:val="NoSpacing"/>
        <w:spacing w:line="360" w:lineRule="auto"/>
        <w:jc w:val="both"/>
        <w:rPr>
          <w:rFonts w:ascii="Times New Roman" w:hAnsi="Times New Roman" w:cs="Times New Roman"/>
          <w:b/>
          <w:i/>
          <w:sz w:val="24"/>
          <w:szCs w:val="24"/>
        </w:rPr>
      </w:pPr>
    </w:p>
    <w:p w:rsidR="00620664" w:rsidRDefault="001963A4"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Most would accept that th</w:t>
      </w:r>
      <w:r w:rsidR="00B136FE">
        <w:rPr>
          <w:rFonts w:ascii="Times New Roman" w:hAnsi="Times New Roman" w:cs="Times New Roman"/>
          <w:sz w:val="24"/>
          <w:szCs w:val="24"/>
        </w:rPr>
        <w:t>e contemporary functioning of the internal market is the result, rightly</w:t>
      </w:r>
      <w:r>
        <w:rPr>
          <w:rFonts w:ascii="Times New Roman" w:hAnsi="Times New Roman" w:cs="Times New Roman"/>
          <w:sz w:val="24"/>
          <w:szCs w:val="24"/>
        </w:rPr>
        <w:t xml:space="preserve"> or wrongly, of the progressive extension of the market freedoms, primarily at the instigation of the </w:t>
      </w:r>
      <w:r w:rsidR="000A17E8">
        <w:rPr>
          <w:rFonts w:ascii="Times New Roman" w:hAnsi="Times New Roman" w:cs="Times New Roman"/>
          <w:sz w:val="24"/>
          <w:szCs w:val="24"/>
        </w:rPr>
        <w:t>Court</w:t>
      </w:r>
      <w:r w:rsidR="00121F32">
        <w:rPr>
          <w:rFonts w:ascii="Times New Roman" w:hAnsi="Times New Roman" w:cs="Times New Roman"/>
          <w:sz w:val="24"/>
          <w:szCs w:val="24"/>
        </w:rPr>
        <w:t xml:space="preserve"> of Justice</w:t>
      </w:r>
      <w:r>
        <w:rPr>
          <w:rFonts w:ascii="Times New Roman" w:hAnsi="Times New Roman" w:cs="Times New Roman"/>
          <w:sz w:val="24"/>
          <w:szCs w:val="24"/>
        </w:rPr>
        <w:t>. Crucially, however,</w:t>
      </w:r>
      <w:r w:rsidR="00B136FE">
        <w:rPr>
          <w:rFonts w:ascii="Times New Roman" w:hAnsi="Times New Roman" w:cs="Times New Roman"/>
          <w:sz w:val="24"/>
          <w:szCs w:val="24"/>
        </w:rPr>
        <w:t xml:space="preserve"> as this subsection demonstrates </w:t>
      </w:r>
      <w:r w:rsidR="006724A9">
        <w:rPr>
          <w:rFonts w:ascii="Times New Roman" w:hAnsi="Times New Roman" w:cs="Times New Roman"/>
          <w:sz w:val="24"/>
          <w:szCs w:val="24"/>
        </w:rPr>
        <w:t xml:space="preserve">those same expansions </w:t>
      </w:r>
      <w:r>
        <w:rPr>
          <w:rFonts w:ascii="Times New Roman" w:hAnsi="Times New Roman" w:cs="Times New Roman"/>
          <w:sz w:val="24"/>
          <w:szCs w:val="24"/>
        </w:rPr>
        <w:t>brought free movement into more frequent contact with domestic social policies</w:t>
      </w:r>
      <w:r w:rsidR="00B136FE">
        <w:rPr>
          <w:rFonts w:ascii="Times New Roman" w:hAnsi="Times New Roman" w:cs="Times New Roman"/>
          <w:sz w:val="24"/>
          <w:szCs w:val="24"/>
        </w:rPr>
        <w:t xml:space="preserve"> blurring the lines of the economic/social dichotomy. More importantly,</w:t>
      </w:r>
      <w:r w:rsidR="00620664">
        <w:rPr>
          <w:rFonts w:ascii="Times New Roman" w:hAnsi="Times New Roman" w:cs="Times New Roman"/>
          <w:sz w:val="24"/>
          <w:szCs w:val="24"/>
        </w:rPr>
        <w:t xml:space="preserve"> as the next subsection establishes,</w:t>
      </w:r>
      <w:r w:rsidR="00B136FE">
        <w:rPr>
          <w:rFonts w:ascii="Times New Roman" w:hAnsi="Times New Roman" w:cs="Times New Roman"/>
          <w:sz w:val="24"/>
          <w:szCs w:val="24"/>
        </w:rPr>
        <w:t xml:space="preserve"> those interactions were adjudicated through a judicial methodology that prioritise</w:t>
      </w:r>
      <w:r w:rsidR="006724A9">
        <w:rPr>
          <w:rFonts w:ascii="Times New Roman" w:hAnsi="Times New Roman" w:cs="Times New Roman"/>
          <w:sz w:val="24"/>
          <w:szCs w:val="24"/>
        </w:rPr>
        <w:t>d</w:t>
      </w:r>
      <w:r w:rsidR="00B136FE">
        <w:rPr>
          <w:rFonts w:ascii="Times New Roman" w:hAnsi="Times New Roman" w:cs="Times New Roman"/>
          <w:sz w:val="24"/>
          <w:szCs w:val="24"/>
        </w:rPr>
        <w:t xml:space="preserve"> the market freedoms. This revealed</w:t>
      </w:r>
      <w:r>
        <w:rPr>
          <w:rFonts w:ascii="Times New Roman" w:hAnsi="Times New Roman" w:cs="Times New Roman"/>
          <w:sz w:val="24"/>
          <w:szCs w:val="24"/>
        </w:rPr>
        <w:t xml:space="preserve"> the presumptions upon which the Rome Treaty’s social integration</w:t>
      </w:r>
      <w:r w:rsidR="00B136FE">
        <w:rPr>
          <w:rFonts w:ascii="Times New Roman" w:hAnsi="Times New Roman" w:cs="Times New Roman"/>
          <w:sz w:val="24"/>
          <w:szCs w:val="24"/>
        </w:rPr>
        <w:t xml:space="preserve"> strategies</w:t>
      </w:r>
      <w:r w:rsidR="00884DCC">
        <w:rPr>
          <w:rFonts w:ascii="Times New Roman" w:hAnsi="Times New Roman" w:cs="Times New Roman"/>
          <w:sz w:val="24"/>
          <w:szCs w:val="24"/>
        </w:rPr>
        <w:t xml:space="preserve"> were based</w:t>
      </w:r>
      <w:r w:rsidR="00B136FE">
        <w:rPr>
          <w:rFonts w:ascii="Times New Roman" w:hAnsi="Times New Roman" w:cs="Times New Roman"/>
          <w:sz w:val="24"/>
          <w:szCs w:val="24"/>
        </w:rPr>
        <w:t xml:space="preserve"> to be fallacious</w:t>
      </w:r>
      <w:r>
        <w:rPr>
          <w:rFonts w:ascii="Times New Roman" w:hAnsi="Times New Roman" w:cs="Times New Roman"/>
          <w:sz w:val="24"/>
          <w:szCs w:val="24"/>
        </w:rPr>
        <w:t>.</w:t>
      </w:r>
      <w:r w:rsidR="00EE182E">
        <w:rPr>
          <w:rFonts w:ascii="Times New Roman" w:hAnsi="Times New Roman" w:cs="Times New Roman"/>
          <w:sz w:val="24"/>
          <w:szCs w:val="24"/>
        </w:rPr>
        <w:t xml:space="preserve"> </w:t>
      </w:r>
      <w:r w:rsidR="00620664">
        <w:rPr>
          <w:rFonts w:ascii="Times New Roman" w:hAnsi="Times New Roman" w:cs="Times New Roman"/>
          <w:sz w:val="24"/>
          <w:szCs w:val="24"/>
        </w:rPr>
        <w:t xml:space="preserve"> </w:t>
      </w:r>
    </w:p>
    <w:p w:rsidR="00620664" w:rsidRDefault="00884DCC"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As is well-know</w:t>
      </w:r>
      <w:r w:rsidR="004F0F1B">
        <w:rPr>
          <w:rFonts w:ascii="Times New Roman" w:hAnsi="Times New Roman" w:cs="Times New Roman"/>
          <w:sz w:val="24"/>
          <w:szCs w:val="24"/>
        </w:rPr>
        <w:t>n</w:t>
      </w:r>
      <w:r>
        <w:rPr>
          <w:rFonts w:ascii="Times New Roman" w:hAnsi="Times New Roman" w:cs="Times New Roman"/>
          <w:sz w:val="24"/>
          <w:szCs w:val="24"/>
        </w:rPr>
        <w:t>, over</w:t>
      </w:r>
      <w:r w:rsidR="004F0F1B">
        <w:rPr>
          <w:rFonts w:ascii="Times New Roman" w:hAnsi="Times New Roman" w:cs="Times New Roman"/>
          <w:sz w:val="24"/>
          <w:szCs w:val="24"/>
        </w:rPr>
        <w:t xml:space="preserve"> the decades since Rome, the material scope of the market freedoms has broadened to cover indirect discrimination,</w:t>
      </w:r>
      <w:r w:rsidR="004F0F1B">
        <w:rPr>
          <w:rStyle w:val="FootnoteReference"/>
          <w:rFonts w:ascii="Times New Roman" w:hAnsi="Times New Roman" w:cs="Times New Roman"/>
          <w:sz w:val="24"/>
          <w:szCs w:val="24"/>
        </w:rPr>
        <w:footnoteReference w:id="14"/>
      </w:r>
      <w:r w:rsidR="004F0F1B">
        <w:rPr>
          <w:rFonts w:ascii="Times New Roman" w:hAnsi="Times New Roman" w:cs="Times New Roman"/>
          <w:sz w:val="24"/>
          <w:szCs w:val="24"/>
        </w:rPr>
        <w:t xml:space="preserve">  dual regulatory burdens</w:t>
      </w:r>
      <w:r w:rsidR="004F0F1B">
        <w:rPr>
          <w:rStyle w:val="FootnoteReference"/>
          <w:rFonts w:ascii="Times New Roman" w:hAnsi="Times New Roman" w:cs="Times New Roman"/>
          <w:sz w:val="24"/>
          <w:szCs w:val="24"/>
        </w:rPr>
        <w:footnoteReference w:id="15"/>
      </w:r>
      <w:r w:rsidR="004F0F1B">
        <w:rPr>
          <w:rFonts w:ascii="Times New Roman" w:hAnsi="Times New Roman" w:cs="Times New Roman"/>
          <w:sz w:val="24"/>
          <w:szCs w:val="24"/>
        </w:rPr>
        <w:t xml:space="preserve"> and,</w:t>
      </w:r>
      <w:r w:rsidR="003D7BDE">
        <w:rPr>
          <w:rFonts w:ascii="Times New Roman" w:hAnsi="Times New Roman" w:cs="Times New Roman"/>
          <w:sz w:val="24"/>
          <w:szCs w:val="24"/>
        </w:rPr>
        <w:t xml:space="preserve"> </w:t>
      </w:r>
      <w:r w:rsidR="000A0D6C">
        <w:rPr>
          <w:rFonts w:ascii="Times New Roman" w:hAnsi="Times New Roman" w:cs="Times New Roman"/>
          <w:sz w:val="24"/>
          <w:szCs w:val="24"/>
        </w:rPr>
        <w:t xml:space="preserve">in most cases, </w:t>
      </w:r>
      <w:r w:rsidR="004F0F1B">
        <w:rPr>
          <w:rFonts w:ascii="Times New Roman" w:hAnsi="Times New Roman" w:cs="Times New Roman"/>
          <w:sz w:val="24"/>
          <w:szCs w:val="24"/>
        </w:rPr>
        <w:t>national measures that hinder or make less attractive intra-Union trade.</w:t>
      </w:r>
      <w:r w:rsidR="007837EE">
        <w:rPr>
          <w:rStyle w:val="FootnoteReference"/>
          <w:rFonts w:ascii="Times New Roman" w:hAnsi="Times New Roman" w:cs="Times New Roman"/>
          <w:sz w:val="24"/>
          <w:szCs w:val="24"/>
        </w:rPr>
        <w:footnoteReference w:id="16"/>
      </w:r>
      <w:r w:rsidR="007837EE">
        <w:rPr>
          <w:rFonts w:ascii="Times New Roman" w:hAnsi="Times New Roman" w:cs="Times New Roman"/>
          <w:sz w:val="24"/>
          <w:szCs w:val="24"/>
        </w:rPr>
        <w:t xml:space="preserve"> </w:t>
      </w:r>
      <w:r w:rsidR="004F0F1B">
        <w:rPr>
          <w:rFonts w:ascii="Times New Roman" w:hAnsi="Times New Roman" w:cs="Times New Roman"/>
          <w:sz w:val="24"/>
          <w:szCs w:val="24"/>
        </w:rPr>
        <w:t xml:space="preserve"> Their personal scope has</w:t>
      </w:r>
      <w:r w:rsidR="000A0D6C">
        <w:rPr>
          <w:rFonts w:ascii="Times New Roman" w:hAnsi="Times New Roman" w:cs="Times New Roman"/>
          <w:sz w:val="24"/>
          <w:szCs w:val="24"/>
        </w:rPr>
        <w:t xml:space="preserve"> also</w:t>
      </w:r>
      <w:r w:rsidR="004F0F1B">
        <w:rPr>
          <w:rFonts w:ascii="Times New Roman" w:hAnsi="Times New Roman" w:cs="Times New Roman"/>
          <w:sz w:val="24"/>
          <w:szCs w:val="24"/>
        </w:rPr>
        <w:t xml:space="preserve"> been extended, for instance, to the service recipient</w:t>
      </w:r>
      <w:r w:rsidR="007837EE">
        <w:rPr>
          <w:rStyle w:val="FootnoteReference"/>
          <w:rFonts w:ascii="Times New Roman" w:hAnsi="Times New Roman" w:cs="Times New Roman"/>
          <w:sz w:val="24"/>
          <w:szCs w:val="24"/>
        </w:rPr>
        <w:footnoteReference w:id="17"/>
      </w:r>
      <w:r w:rsidR="004F0F1B">
        <w:rPr>
          <w:rFonts w:ascii="Times New Roman" w:hAnsi="Times New Roman" w:cs="Times New Roman"/>
          <w:sz w:val="24"/>
          <w:szCs w:val="24"/>
        </w:rPr>
        <w:t xml:space="preserve"> and the </w:t>
      </w:r>
      <w:proofErr w:type="spellStart"/>
      <w:r w:rsidR="004F0F1B">
        <w:rPr>
          <w:rFonts w:ascii="Times New Roman" w:hAnsi="Times New Roman" w:cs="Times New Roman"/>
          <w:sz w:val="24"/>
          <w:szCs w:val="24"/>
        </w:rPr>
        <w:t>workseeker</w:t>
      </w:r>
      <w:proofErr w:type="spellEnd"/>
      <w:r w:rsidR="004F0F1B">
        <w:rPr>
          <w:rFonts w:ascii="Times New Roman" w:hAnsi="Times New Roman" w:cs="Times New Roman"/>
          <w:sz w:val="24"/>
          <w:szCs w:val="24"/>
        </w:rPr>
        <w:t>.</w:t>
      </w:r>
      <w:r w:rsidR="007837EE">
        <w:rPr>
          <w:rStyle w:val="FootnoteReference"/>
          <w:rFonts w:ascii="Times New Roman" w:hAnsi="Times New Roman" w:cs="Times New Roman"/>
          <w:sz w:val="24"/>
          <w:szCs w:val="24"/>
        </w:rPr>
        <w:footnoteReference w:id="18"/>
      </w:r>
      <w:r w:rsidR="007837EE">
        <w:rPr>
          <w:rFonts w:ascii="Times New Roman" w:hAnsi="Times New Roman" w:cs="Times New Roman"/>
          <w:sz w:val="24"/>
          <w:szCs w:val="24"/>
        </w:rPr>
        <w:t xml:space="preserve"> </w:t>
      </w:r>
      <w:r w:rsidR="00BC1870">
        <w:rPr>
          <w:rFonts w:ascii="Times New Roman" w:hAnsi="Times New Roman" w:cs="Times New Roman"/>
          <w:sz w:val="24"/>
          <w:szCs w:val="24"/>
        </w:rPr>
        <w:t>Moreover, a</w:t>
      </w:r>
      <w:r w:rsidR="004F0F1B">
        <w:rPr>
          <w:rFonts w:ascii="Times New Roman" w:hAnsi="Times New Roman" w:cs="Times New Roman"/>
          <w:sz w:val="24"/>
          <w:szCs w:val="24"/>
        </w:rPr>
        <w:t>ll of the Treaty’s economic freedoms now enjoy some degree of direct effect.</w:t>
      </w:r>
      <w:r w:rsidR="007837EE" w:rsidRPr="00CA7C24">
        <w:rPr>
          <w:rStyle w:val="FootnoteReference"/>
          <w:rFonts w:ascii="Times New Roman" w:hAnsi="Times New Roman" w:cs="Times New Roman"/>
          <w:sz w:val="24"/>
          <w:szCs w:val="24"/>
        </w:rPr>
        <w:footnoteReference w:id="19"/>
      </w:r>
      <w:r w:rsidR="004F0F1B">
        <w:rPr>
          <w:rFonts w:ascii="Times New Roman" w:hAnsi="Times New Roman" w:cs="Times New Roman"/>
          <w:sz w:val="24"/>
          <w:szCs w:val="24"/>
        </w:rPr>
        <w:t xml:space="preserve"> Thus, individuals can enforce their free movement rights</w:t>
      </w:r>
      <w:r w:rsidR="007837EE">
        <w:rPr>
          <w:rFonts w:ascii="Times New Roman" w:hAnsi="Times New Roman" w:cs="Times New Roman"/>
          <w:sz w:val="24"/>
          <w:szCs w:val="24"/>
        </w:rPr>
        <w:t xml:space="preserve"> in national courts, </w:t>
      </w:r>
      <w:r w:rsidR="007837EE">
        <w:rPr>
          <w:rFonts w:ascii="Times New Roman" w:hAnsi="Times New Roman" w:cs="Times New Roman"/>
          <w:sz w:val="24"/>
          <w:szCs w:val="24"/>
        </w:rPr>
        <w:lastRenderedPageBreak/>
        <w:t>and can, ex</w:t>
      </w:r>
      <w:r w:rsidR="004F0F1B">
        <w:rPr>
          <w:rFonts w:ascii="Times New Roman" w:hAnsi="Times New Roman" w:cs="Times New Roman"/>
          <w:sz w:val="24"/>
          <w:szCs w:val="24"/>
        </w:rPr>
        <w:t>cept in exceptional circumstances,</w:t>
      </w:r>
      <w:r w:rsidR="007837EE">
        <w:rPr>
          <w:rStyle w:val="FootnoteReference"/>
          <w:rFonts w:ascii="Times New Roman" w:hAnsi="Times New Roman" w:cs="Times New Roman"/>
          <w:sz w:val="24"/>
          <w:szCs w:val="24"/>
        </w:rPr>
        <w:footnoteReference w:id="20"/>
      </w:r>
      <w:r w:rsidR="004F0F1B">
        <w:rPr>
          <w:rFonts w:ascii="Times New Roman" w:hAnsi="Times New Roman" w:cs="Times New Roman"/>
          <w:sz w:val="24"/>
          <w:szCs w:val="24"/>
        </w:rPr>
        <w:t xml:space="preserve"> rely</w:t>
      </w:r>
      <w:r w:rsidR="00145A2C">
        <w:rPr>
          <w:rFonts w:ascii="Times New Roman" w:hAnsi="Times New Roman" w:cs="Times New Roman"/>
          <w:sz w:val="24"/>
          <w:szCs w:val="24"/>
        </w:rPr>
        <w:t xml:space="preserve"> on the twin doctrines of primac</w:t>
      </w:r>
      <w:r w:rsidR="004F0F1B">
        <w:rPr>
          <w:rFonts w:ascii="Times New Roman" w:hAnsi="Times New Roman" w:cs="Times New Roman"/>
          <w:sz w:val="24"/>
          <w:szCs w:val="24"/>
        </w:rPr>
        <w:t>y and effective judicial protection to ensure the</w:t>
      </w:r>
      <w:r w:rsidR="007837EE">
        <w:rPr>
          <w:rFonts w:ascii="Times New Roman" w:hAnsi="Times New Roman" w:cs="Times New Roman"/>
          <w:sz w:val="24"/>
          <w:szCs w:val="24"/>
        </w:rPr>
        <w:t xml:space="preserve"> immediate</w:t>
      </w:r>
      <w:r w:rsidR="004F0F1B">
        <w:rPr>
          <w:rFonts w:ascii="Times New Roman" w:hAnsi="Times New Roman" w:cs="Times New Roman"/>
          <w:sz w:val="24"/>
          <w:szCs w:val="24"/>
        </w:rPr>
        <w:t xml:space="preserve"> disapplication of conflicting domestic rules.</w:t>
      </w:r>
      <w:r w:rsidR="007837EE" w:rsidRPr="003B3EC8">
        <w:rPr>
          <w:rStyle w:val="FootnoteReference"/>
          <w:rFonts w:ascii="Times New Roman" w:hAnsi="Times New Roman" w:cs="Times New Roman"/>
          <w:sz w:val="24"/>
          <w:szCs w:val="24"/>
        </w:rPr>
        <w:footnoteReference w:id="21"/>
      </w:r>
      <w:r w:rsidR="00BC1870">
        <w:rPr>
          <w:rFonts w:ascii="Times New Roman" w:hAnsi="Times New Roman" w:cs="Times New Roman"/>
          <w:sz w:val="24"/>
          <w:szCs w:val="24"/>
        </w:rPr>
        <w:t xml:space="preserve"> </w:t>
      </w:r>
    </w:p>
    <w:p w:rsidR="00620664" w:rsidRDefault="00BC1870"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While these developments have undoubtedly helped to underpin the market freedoms as the </w:t>
      </w:r>
      <w:r w:rsidR="004158F4">
        <w:rPr>
          <w:rFonts w:ascii="Times New Roman" w:hAnsi="Times New Roman" w:cs="Times New Roman"/>
          <w:sz w:val="24"/>
          <w:szCs w:val="24"/>
        </w:rPr>
        <w:t>“</w:t>
      </w:r>
      <w:r w:rsidR="001963A4">
        <w:rPr>
          <w:rFonts w:ascii="Times New Roman" w:hAnsi="Times New Roman" w:cs="Times New Roman"/>
          <w:sz w:val="24"/>
          <w:szCs w:val="24"/>
        </w:rPr>
        <w:t>pillars of a</w:t>
      </w:r>
      <w:r w:rsidR="004158F4">
        <w:rPr>
          <w:rFonts w:ascii="Times New Roman" w:hAnsi="Times New Roman" w:cs="Times New Roman"/>
          <w:sz w:val="24"/>
          <w:szCs w:val="24"/>
        </w:rPr>
        <w:t xml:space="preserve"> powerful economic constitution”</w:t>
      </w:r>
      <w:r w:rsidR="001963A4">
        <w:rPr>
          <w:rFonts w:ascii="Times New Roman" w:hAnsi="Times New Roman" w:cs="Times New Roman"/>
          <w:sz w:val="24"/>
          <w:szCs w:val="24"/>
        </w:rPr>
        <w:t>,</w:t>
      </w:r>
      <w:r w:rsidR="001963A4">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1963A4">
        <w:rPr>
          <w:rFonts w:ascii="Times New Roman" w:hAnsi="Times New Roman" w:cs="Times New Roman"/>
          <w:sz w:val="24"/>
          <w:szCs w:val="24"/>
        </w:rPr>
        <w:t>they also brought free movement into increasingly frequent contact with domestic social policy, broadly conceived, including but not limited to national rules on healthcare,</w:t>
      </w:r>
      <w:r w:rsidR="001963A4">
        <w:rPr>
          <w:rStyle w:val="FootnoteReference"/>
          <w:rFonts w:ascii="Times New Roman" w:hAnsi="Times New Roman" w:cs="Times New Roman"/>
          <w:sz w:val="24"/>
          <w:szCs w:val="24"/>
        </w:rPr>
        <w:footnoteReference w:id="23"/>
      </w:r>
      <w:r w:rsidR="001963A4">
        <w:rPr>
          <w:rFonts w:ascii="Times New Roman" w:hAnsi="Times New Roman" w:cs="Times New Roman"/>
          <w:sz w:val="24"/>
          <w:szCs w:val="24"/>
        </w:rPr>
        <w:t xml:space="preserve"> housing,</w:t>
      </w:r>
      <w:r w:rsidR="001963A4">
        <w:rPr>
          <w:rStyle w:val="FootnoteReference"/>
          <w:rFonts w:ascii="Times New Roman" w:hAnsi="Times New Roman" w:cs="Times New Roman"/>
          <w:sz w:val="24"/>
          <w:szCs w:val="24"/>
        </w:rPr>
        <w:footnoteReference w:id="24"/>
      </w:r>
      <w:r w:rsidR="001963A4">
        <w:rPr>
          <w:rFonts w:ascii="Times New Roman" w:hAnsi="Times New Roman" w:cs="Times New Roman"/>
          <w:sz w:val="24"/>
          <w:szCs w:val="24"/>
        </w:rPr>
        <w:t xml:space="preserve"> criminal injuries compensation,</w:t>
      </w:r>
      <w:r w:rsidR="001963A4">
        <w:rPr>
          <w:rStyle w:val="FootnoteReference"/>
          <w:rFonts w:ascii="Times New Roman" w:hAnsi="Times New Roman" w:cs="Times New Roman"/>
          <w:sz w:val="24"/>
          <w:szCs w:val="24"/>
        </w:rPr>
        <w:footnoteReference w:id="25"/>
      </w:r>
      <w:r w:rsidR="001963A4">
        <w:rPr>
          <w:rFonts w:ascii="Times New Roman" w:hAnsi="Times New Roman" w:cs="Times New Roman"/>
          <w:sz w:val="24"/>
          <w:szCs w:val="24"/>
        </w:rPr>
        <w:t xml:space="preserve"> public health,</w:t>
      </w:r>
      <w:r w:rsidR="001963A4">
        <w:rPr>
          <w:rStyle w:val="FootnoteReference"/>
          <w:rFonts w:ascii="Times New Roman" w:hAnsi="Times New Roman" w:cs="Times New Roman"/>
          <w:sz w:val="24"/>
          <w:szCs w:val="24"/>
        </w:rPr>
        <w:footnoteReference w:id="26"/>
      </w:r>
      <w:r w:rsidR="001963A4">
        <w:rPr>
          <w:rFonts w:ascii="Times New Roman" w:hAnsi="Times New Roman" w:cs="Times New Roman"/>
          <w:sz w:val="24"/>
          <w:szCs w:val="24"/>
        </w:rPr>
        <w:t xml:space="preserve"> wage-levels in the context of public procurement,</w:t>
      </w:r>
      <w:r w:rsidR="001963A4">
        <w:rPr>
          <w:rStyle w:val="FootnoteReference"/>
          <w:rFonts w:ascii="Times New Roman" w:hAnsi="Times New Roman" w:cs="Times New Roman"/>
          <w:sz w:val="24"/>
          <w:szCs w:val="24"/>
        </w:rPr>
        <w:footnoteReference w:id="27"/>
      </w:r>
      <w:r w:rsidR="001963A4">
        <w:rPr>
          <w:rFonts w:ascii="Times New Roman" w:hAnsi="Times New Roman" w:cs="Times New Roman"/>
          <w:sz w:val="24"/>
          <w:szCs w:val="24"/>
        </w:rPr>
        <w:t xml:space="preserve"> ac</w:t>
      </w:r>
      <w:r w:rsidR="00AB1EDF">
        <w:rPr>
          <w:rFonts w:ascii="Times New Roman" w:hAnsi="Times New Roman" w:cs="Times New Roman"/>
          <w:sz w:val="24"/>
          <w:szCs w:val="24"/>
        </w:rPr>
        <w:t>cess to social assistance</w:t>
      </w:r>
      <w:r w:rsidR="001963A4">
        <w:rPr>
          <w:rStyle w:val="FootnoteReference"/>
          <w:rFonts w:ascii="Times New Roman" w:hAnsi="Times New Roman" w:cs="Times New Roman"/>
          <w:sz w:val="24"/>
          <w:szCs w:val="24"/>
        </w:rPr>
        <w:footnoteReference w:id="28"/>
      </w:r>
      <w:r w:rsidR="001963A4">
        <w:rPr>
          <w:rFonts w:ascii="Times New Roman" w:hAnsi="Times New Roman" w:cs="Times New Roman"/>
          <w:sz w:val="24"/>
          <w:szCs w:val="24"/>
        </w:rPr>
        <w:t xml:space="preserve"> and access to education.</w:t>
      </w:r>
      <w:r w:rsidR="001963A4">
        <w:rPr>
          <w:rStyle w:val="FootnoteReference"/>
          <w:rFonts w:ascii="Times New Roman" w:hAnsi="Times New Roman" w:cs="Times New Roman"/>
          <w:sz w:val="24"/>
          <w:szCs w:val="24"/>
        </w:rPr>
        <w:footnoteReference w:id="29"/>
      </w:r>
      <w:r w:rsidR="00667302">
        <w:rPr>
          <w:rFonts w:ascii="Times New Roman" w:hAnsi="Times New Roman" w:cs="Times New Roman"/>
          <w:sz w:val="24"/>
          <w:szCs w:val="24"/>
        </w:rPr>
        <w:t xml:space="preserve"> As</w:t>
      </w:r>
      <w:r w:rsidR="001963A4">
        <w:rPr>
          <w:rFonts w:ascii="Times New Roman" w:hAnsi="Times New Roman" w:cs="Times New Roman"/>
          <w:sz w:val="24"/>
          <w:szCs w:val="24"/>
        </w:rPr>
        <w:t xml:space="preserve"> a specific example, the now infamous </w:t>
      </w:r>
      <w:r w:rsidR="001963A4">
        <w:rPr>
          <w:rFonts w:ascii="Times New Roman" w:hAnsi="Times New Roman" w:cs="Times New Roman"/>
          <w:i/>
          <w:sz w:val="24"/>
          <w:szCs w:val="24"/>
        </w:rPr>
        <w:t xml:space="preserve">Viking </w:t>
      </w:r>
      <w:r w:rsidR="001963A4">
        <w:rPr>
          <w:rFonts w:ascii="Times New Roman" w:hAnsi="Times New Roman" w:cs="Times New Roman"/>
          <w:sz w:val="24"/>
          <w:szCs w:val="24"/>
        </w:rPr>
        <w:t xml:space="preserve">and </w:t>
      </w:r>
      <w:r w:rsidR="001963A4">
        <w:rPr>
          <w:rFonts w:ascii="Times New Roman" w:hAnsi="Times New Roman" w:cs="Times New Roman"/>
          <w:i/>
          <w:sz w:val="24"/>
          <w:szCs w:val="24"/>
        </w:rPr>
        <w:t>Laval</w:t>
      </w:r>
      <w:r w:rsidR="001963A4">
        <w:rPr>
          <w:rFonts w:ascii="Times New Roman" w:hAnsi="Times New Roman" w:cs="Times New Roman"/>
          <w:sz w:val="24"/>
          <w:szCs w:val="24"/>
        </w:rPr>
        <w:t xml:space="preserve"> decisions</w:t>
      </w:r>
      <w:r w:rsidR="001963A4">
        <w:rPr>
          <w:rStyle w:val="FootnoteReference"/>
          <w:rFonts w:ascii="Times New Roman" w:hAnsi="Times New Roman" w:cs="Times New Roman"/>
          <w:sz w:val="24"/>
          <w:szCs w:val="24"/>
        </w:rPr>
        <w:footnoteReference w:id="30"/>
      </w:r>
      <w:r w:rsidR="001963A4">
        <w:rPr>
          <w:rFonts w:ascii="Times New Roman" w:hAnsi="Times New Roman" w:cs="Times New Roman"/>
          <w:sz w:val="24"/>
          <w:szCs w:val="24"/>
        </w:rPr>
        <w:t xml:space="preserve"> - which saw clashes between the freedoms of establishment and services</w:t>
      </w:r>
      <w:r w:rsidR="00CD082B">
        <w:rPr>
          <w:rFonts w:ascii="Times New Roman" w:hAnsi="Times New Roman" w:cs="Times New Roman"/>
          <w:sz w:val="24"/>
          <w:szCs w:val="24"/>
        </w:rPr>
        <w:t xml:space="preserve"> respectively</w:t>
      </w:r>
      <w:r w:rsidR="001963A4">
        <w:rPr>
          <w:rFonts w:ascii="Times New Roman" w:hAnsi="Times New Roman" w:cs="Times New Roman"/>
          <w:sz w:val="24"/>
          <w:szCs w:val="24"/>
        </w:rPr>
        <w:t>, on the one hand, and the Scandinavian industrial relations model, on the other – could not have occurred without the expansion of the scope of Articles 49 and 56 TFEU to include restrictions to market access and the extension of the direct effect of those provisions horizontally to certain private parties.</w:t>
      </w:r>
      <w:r w:rsidR="00667302">
        <w:rPr>
          <w:rFonts w:ascii="Times New Roman" w:hAnsi="Times New Roman" w:cs="Times New Roman"/>
          <w:sz w:val="24"/>
          <w:szCs w:val="24"/>
        </w:rPr>
        <w:t xml:space="preserve"> I</w:t>
      </w:r>
      <w:r w:rsidR="001A15AF">
        <w:rPr>
          <w:rFonts w:ascii="Times New Roman" w:hAnsi="Times New Roman" w:cs="Times New Roman"/>
          <w:sz w:val="24"/>
          <w:szCs w:val="24"/>
        </w:rPr>
        <w:t>n both cases</w:t>
      </w:r>
      <w:r w:rsidR="00EF5480">
        <w:rPr>
          <w:rFonts w:ascii="Times New Roman" w:hAnsi="Times New Roman" w:cs="Times New Roman"/>
          <w:sz w:val="24"/>
          <w:szCs w:val="24"/>
        </w:rPr>
        <w:t xml:space="preserve"> the Court rooted its</w:t>
      </w:r>
      <w:r w:rsidR="001A15AF">
        <w:rPr>
          <w:rFonts w:ascii="Times New Roman" w:hAnsi="Times New Roman" w:cs="Times New Roman"/>
          <w:sz w:val="24"/>
          <w:szCs w:val="24"/>
        </w:rPr>
        <w:t xml:space="preserve"> application of the relevant market freedoms</w:t>
      </w:r>
      <w:r w:rsidR="00EF5480">
        <w:rPr>
          <w:rFonts w:ascii="Times New Roman" w:hAnsi="Times New Roman" w:cs="Times New Roman"/>
          <w:sz w:val="24"/>
          <w:szCs w:val="24"/>
        </w:rPr>
        <w:t xml:space="preserve"> to trade unions in the Union’s economic integrative objectives.</w:t>
      </w:r>
      <w:r w:rsidR="00EF5480">
        <w:rPr>
          <w:rStyle w:val="FootnoteReference"/>
          <w:rFonts w:ascii="Times New Roman" w:hAnsi="Times New Roman" w:cs="Times New Roman"/>
          <w:sz w:val="24"/>
          <w:szCs w:val="24"/>
        </w:rPr>
        <w:footnoteReference w:id="31"/>
      </w:r>
    </w:p>
    <w:p w:rsidR="00356CE7" w:rsidRDefault="00356CE7"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Accordingly, over time, these interactions have called into question the validity of the economic/social dicho</w:t>
      </w:r>
      <w:r w:rsidR="00884DCC">
        <w:rPr>
          <w:rFonts w:ascii="Times New Roman" w:hAnsi="Times New Roman" w:cs="Times New Roman"/>
          <w:sz w:val="24"/>
          <w:szCs w:val="24"/>
        </w:rPr>
        <w:t>tomy. Rather than</w:t>
      </w:r>
      <w:r w:rsidR="00145A2C">
        <w:rPr>
          <w:rFonts w:ascii="Times New Roman" w:hAnsi="Times New Roman" w:cs="Times New Roman"/>
          <w:sz w:val="24"/>
          <w:szCs w:val="24"/>
        </w:rPr>
        <w:t xml:space="preserve"> simply</w:t>
      </w:r>
      <w:r w:rsidR="00884DCC">
        <w:rPr>
          <w:rFonts w:ascii="Times New Roman" w:hAnsi="Times New Roman" w:cs="Times New Roman"/>
          <w:sz w:val="24"/>
          <w:szCs w:val="24"/>
        </w:rPr>
        <w:t xml:space="preserve"> facilitating</w:t>
      </w:r>
      <w:r>
        <w:rPr>
          <w:rFonts w:ascii="Times New Roman" w:hAnsi="Times New Roman" w:cs="Times New Roman"/>
          <w:sz w:val="24"/>
          <w:szCs w:val="24"/>
        </w:rPr>
        <w:t xml:space="preserve"> social integration in a general sense, by contributing to improved living standards whilst leaving the rest to the Member States, the instruments of the internal market were frequently coming into contact with specific domestic social policies. Moreover, since </w:t>
      </w:r>
      <w:r w:rsidR="00145A2C">
        <w:rPr>
          <w:rFonts w:ascii="Times New Roman" w:hAnsi="Times New Roman" w:cs="Times New Roman"/>
          <w:sz w:val="24"/>
          <w:szCs w:val="24"/>
        </w:rPr>
        <w:t xml:space="preserve">the </w:t>
      </w:r>
      <w:r w:rsidR="00CD082B">
        <w:rPr>
          <w:rFonts w:ascii="Times New Roman" w:hAnsi="Times New Roman" w:cs="Times New Roman"/>
          <w:sz w:val="24"/>
          <w:szCs w:val="24"/>
        </w:rPr>
        <w:t xml:space="preserve">market freedoms pursue economic integration principally through </w:t>
      </w:r>
      <w:r>
        <w:rPr>
          <w:rFonts w:ascii="Times New Roman" w:hAnsi="Times New Roman" w:cs="Times New Roman"/>
          <w:sz w:val="24"/>
          <w:szCs w:val="24"/>
        </w:rPr>
        <w:t>a deregulatory logic,</w:t>
      </w:r>
      <w:r w:rsidR="00EF5480" w:rsidRPr="00356CE7">
        <w:rPr>
          <w:rStyle w:val="FootnoteReference"/>
          <w:rFonts w:ascii="Times New Roman" w:hAnsi="Times New Roman" w:cs="Times New Roman"/>
          <w:sz w:val="24"/>
          <w:szCs w:val="24"/>
        </w:rPr>
        <w:footnoteReference w:id="32"/>
      </w:r>
      <w:r w:rsidR="00CD082B">
        <w:rPr>
          <w:rFonts w:ascii="Times New Roman" w:hAnsi="Times New Roman" w:cs="Times New Roman"/>
          <w:sz w:val="24"/>
          <w:szCs w:val="24"/>
        </w:rPr>
        <w:t xml:space="preserve"> the social aims behind national policies w</w:t>
      </w:r>
      <w:r w:rsidR="00884DCC">
        <w:rPr>
          <w:rFonts w:ascii="Times New Roman" w:hAnsi="Times New Roman" w:cs="Times New Roman"/>
          <w:sz w:val="24"/>
          <w:szCs w:val="24"/>
        </w:rPr>
        <w:t>ere at risk of being overlooked and</w:t>
      </w:r>
      <w:r w:rsidR="00CD082B">
        <w:rPr>
          <w:rFonts w:ascii="Times New Roman" w:hAnsi="Times New Roman" w:cs="Times New Roman"/>
          <w:sz w:val="24"/>
          <w:szCs w:val="24"/>
        </w:rPr>
        <w:t xml:space="preserve"> treated primarily as barriers to movement.</w:t>
      </w:r>
    </w:p>
    <w:p w:rsidR="00620664" w:rsidRDefault="00620664" w:rsidP="00620664">
      <w:pPr>
        <w:pStyle w:val="NoSpacing"/>
        <w:spacing w:line="360" w:lineRule="auto"/>
        <w:jc w:val="both"/>
        <w:rPr>
          <w:rFonts w:ascii="Times New Roman" w:hAnsi="Times New Roman" w:cs="Times New Roman"/>
          <w:sz w:val="24"/>
          <w:szCs w:val="24"/>
        </w:rPr>
      </w:pPr>
    </w:p>
    <w:p w:rsidR="00620664" w:rsidRDefault="00620664" w:rsidP="006206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II.3 UNFIT FOR PURPOSE: THE STRUCTURAL PRIORITISATION OF FREE MOVEMENT AND THE FALLACY OF THE ECONOMIC/SOCIAL DICHOTOMY</w:t>
      </w:r>
    </w:p>
    <w:p w:rsidR="00620664" w:rsidRDefault="00620664" w:rsidP="002F33D2">
      <w:pPr>
        <w:pStyle w:val="NoSpacing"/>
        <w:spacing w:line="360" w:lineRule="auto"/>
        <w:jc w:val="both"/>
        <w:rPr>
          <w:rFonts w:ascii="Times New Roman" w:hAnsi="Times New Roman" w:cs="Times New Roman"/>
          <w:sz w:val="24"/>
          <w:szCs w:val="24"/>
        </w:rPr>
      </w:pPr>
    </w:p>
    <w:p w:rsidR="00620664" w:rsidRDefault="002D08BB"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An examination of the manner in which the Court adjudicates tensions between the market freedoms and national law</w:t>
      </w:r>
      <w:r w:rsidR="00884DCC">
        <w:rPr>
          <w:rFonts w:ascii="Times New Roman" w:hAnsi="Times New Roman" w:cs="Times New Roman"/>
          <w:sz w:val="24"/>
          <w:szCs w:val="24"/>
        </w:rPr>
        <w:t xml:space="preserve"> </w:t>
      </w:r>
      <w:r>
        <w:rPr>
          <w:rFonts w:ascii="Times New Roman" w:hAnsi="Times New Roman" w:cs="Times New Roman"/>
          <w:sz w:val="24"/>
          <w:szCs w:val="24"/>
        </w:rPr>
        <w:t>demonstrates</w:t>
      </w:r>
      <w:r w:rsidR="008D72F7">
        <w:rPr>
          <w:rFonts w:ascii="Times New Roman" w:hAnsi="Times New Roman" w:cs="Times New Roman"/>
          <w:sz w:val="24"/>
          <w:szCs w:val="24"/>
        </w:rPr>
        <w:t xml:space="preserve"> how and why</w:t>
      </w:r>
      <w:r w:rsidR="004A59E3">
        <w:rPr>
          <w:rFonts w:ascii="Times New Roman" w:hAnsi="Times New Roman" w:cs="Times New Roman"/>
          <w:sz w:val="24"/>
          <w:szCs w:val="24"/>
        </w:rPr>
        <w:t xml:space="preserve"> internal market mechanisms are not yet adequately equipped to acknowledge the social en</w:t>
      </w:r>
      <w:r w:rsidR="008D72F7">
        <w:rPr>
          <w:rFonts w:ascii="Times New Roman" w:hAnsi="Times New Roman" w:cs="Times New Roman"/>
          <w:sz w:val="24"/>
          <w:szCs w:val="24"/>
        </w:rPr>
        <w:t>deavours behind national rules</w:t>
      </w:r>
      <w:r w:rsidR="004A59E3">
        <w:rPr>
          <w:rFonts w:ascii="Times New Roman" w:hAnsi="Times New Roman" w:cs="Times New Roman"/>
          <w:sz w:val="24"/>
          <w:szCs w:val="24"/>
        </w:rPr>
        <w:t>.</w:t>
      </w:r>
      <w:r>
        <w:rPr>
          <w:rFonts w:ascii="Times New Roman" w:hAnsi="Times New Roman" w:cs="Times New Roman"/>
          <w:sz w:val="24"/>
          <w:szCs w:val="24"/>
        </w:rPr>
        <w:t xml:space="preserve"> </w:t>
      </w:r>
      <w:r w:rsidR="00E2488D">
        <w:rPr>
          <w:rFonts w:ascii="Times New Roman" w:hAnsi="Times New Roman" w:cs="Times New Roman"/>
          <w:sz w:val="24"/>
          <w:szCs w:val="24"/>
        </w:rPr>
        <w:t xml:space="preserve">From the very beginning, the </w:t>
      </w:r>
      <w:r w:rsidR="000A17E8">
        <w:rPr>
          <w:rFonts w:ascii="Times New Roman" w:hAnsi="Times New Roman" w:cs="Times New Roman"/>
          <w:sz w:val="24"/>
          <w:szCs w:val="24"/>
        </w:rPr>
        <w:t>Court</w:t>
      </w:r>
      <w:r w:rsidR="00E2488D">
        <w:rPr>
          <w:rFonts w:ascii="Times New Roman" w:hAnsi="Times New Roman" w:cs="Times New Roman"/>
          <w:sz w:val="24"/>
          <w:szCs w:val="24"/>
        </w:rPr>
        <w:t xml:space="preserve"> has </w:t>
      </w:r>
      <w:r>
        <w:rPr>
          <w:rFonts w:ascii="Times New Roman" w:hAnsi="Times New Roman" w:cs="Times New Roman"/>
          <w:sz w:val="24"/>
          <w:szCs w:val="24"/>
        </w:rPr>
        <w:t>adjudicated tensions between primary free movement law a</w:t>
      </w:r>
      <w:r w:rsidR="00E2488D">
        <w:rPr>
          <w:rFonts w:ascii="Times New Roman" w:hAnsi="Times New Roman" w:cs="Times New Roman"/>
          <w:sz w:val="24"/>
          <w:szCs w:val="24"/>
        </w:rPr>
        <w:t>nd domestic r</w:t>
      </w:r>
      <w:r w:rsidR="001B6EA8">
        <w:rPr>
          <w:rFonts w:ascii="Times New Roman" w:hAnsi="Times New Roman" w:cs="Times New Roman"/>
          <w:sz w:val="24"/>
          <w:szCs w:val="24"/>
        </w:rPr>
        <w:t>ules through a two-stage breach/</w:t>
      </w:r>
      <w:r w:rsidR="00E2488D">
        <w:rPr>
          <w:rFonts w:ascii="Times New Roman" w:hAnsi="Times New Roman" w:cs="Times New Roman"/>
          <w:sz w:val="24"/>
          <w:szCs w:val="24"/>
        </w:rPr>
        <w:t>justification procedure.</w:t>
      </w:r>
      <w:r w:rsidR="00E2488D">
        <w:rPr>
          <w:rStyle w:val="FootnoteReference"/>
          <w:rFonts w:ascii="Times New Roman" w:hAnsi="Times New Roman" w:cs="Times New Roman"/>
          <w:sz w:val="24"/>
          <w:szCs w:val="24"/>
        </w:rPr>
        <w:footnoteReference w:id="33"/>
      </w:r>
      <w:r w:rsidR="00E2488D">
        <w:rPr>
          <w:rFonts w:ascii="Times New Roman" w:hAnsi="Times New Roman" w:cs="Times New Roman"/>
          <w:sz w:val="24"/>
          <w:szCs w:val="24"/>
        </w:rPr>
        <w:t xml:space="preserve"> This model asks, first, whether there has been a restriction on the market freedom i</w:t>
      </w:r>
      <w:r w:rsidR="001B6EA8">
        <w:rPr>
          <w:rFonts w:ascii="Times New Roman" w:hAnsi="Times New Roman" w:cs="Times New Roman"/>
          <w:sz w:val="24"/>
          <w:szCs w:val="24"/>
        </w:rPr>
        <w:t xml:space="preserve">n question and, second, if this </w:t>
      </w:r>
      <w:r w:rsidR="00E2488D">
        <w:rPr>
          <w:rFonts w:ascii="Times New Roman" w:hAnsi="Times New Roman" w:cs="Times New Roman"/>
          <w:sz w:val="24"/>
          <w:szCs w:val="24"/>
        </w:rPr>
        <w:t xml:space="preserve">can be justified. </w:t>
      </w:r>
      <w:r w:rsidR="001963A4">
        <w:rPr>
          <w:rFonts w:ascii="Times New Roman" w:hAnsi="Times New Roman" w:cs="Times New Roman"/>
          <w:sz w:val="24"/>
          <w:szCs w:val="24"/>
        </w:rPr>
        <w:t>This places national law and policy on the procedural back-foot</w:t>
      </w:r>
      <w:r w:rsidR="001963A4">
        <w:rPr>
          <w:rStyle w:val="FootnoteReference"/>
          <w:rFonts w:ascii="Times New Roman" w:hAnsi="Times New Roman" w:cs="Times New Roman"/>
          <w:sz w:val="24"/>
          <w:szCs w:val="24"/>
        </w:rPr>
        <w:footnoteReference w:id="34"/>
      </w:r>
      <w:r w:rsidR="001963A4">
        <w:rPr>
          <w:rFonts w:ascii="Times New Roman" w:hAnsi="Times New Roman" w:cs="Times New Roman"/>
          <w:sz w:val="24"/>
          <w:szCs w:val="24"/>
        </w:rPr>
        <w:t xml:space="preserve"> since it is structurally presented as a </w:t>
      </w:r>
      <w:r w:rsidR="001963A4">
        <w:rPr>
          <w:rFonts w:ascii="Times New Roman" w:hAnsi="Times New Roman" w:cs="Times New Roman"/>
          <w:i/>
          <w:sz w:val="24"/>
          <w:szCs w:val="24"/>
        </w:rPr>
        <w:t xml:space="preserve">prima facie </w:t>
      </w:r>
      <w:r w:rsidR="001963A4">
        <w:rPr>
          <w:rFonts w:ascii="Times New Roman" w:hAnsi="Times New Roman" w:cs="Times New Roman"/>
          <w:sz w:val="24"/>
          <w:szCs w:val="24"/>
        </w:rPr>
        <w:t>wrong</w:t>
      </w:r>
      <w:r w:rsidR="001B6EA8">
        <w:rPr>
          <w:rFonts w:ascii="Times New Roman" w:hAnsi="Times New Roman" w:cs="Times New Roman"/>
          <w:sz w:val="24"/>
          <w:szCs w:val="24"/>
        </w:rPr>
        <w:t xml:space="preserve"> that must be defended</w:t>
      </w:r>
      <w:r w:rsidR="001963A4">
        <w:rPr>
          <w:rFonts w:ascii="Times New Roman" w:hAnsi="Times New Roman" w:cs="Times New Roman"/>
          <w:sz w:val="24"/>
          <w:szCs w:val="24"/>
        </w:rPr>
        <w:t>.</w:t>
      </w:r>
      <w:r w:rsidR="00E2488D">
        <w:rPr>
          <w:rFonts w:ascii="Times New Roman" w:hAnsi="Times New Roman" w:cs="Times New Roman"/>
          <w:sz w:val="24"/>
          <w:szCs w:val="24"/>
        </w:rPr>
        <w:t xml:space="preserve"> Member State rules are treated as</w:t>
      </w:r>
      <w:r w:rsidR="001963A4">
        <w:rPr>
          <w:rFonts w:ascii="Times New Roman" w:hAnsi="Times New Roman" w:cs="Times New Roman"/>
          <w:sz w:val="24"/>
          <w:szCs w:val="24"/>
        </w:rPr>
        <w:t xml:space="preserve"> </w:t>
      </w:r>
      <w:r w:rsidR="001963A4">
        <w:rPr>
          <w:rFonts w:ascii="Times New Roman" w:hAnsi="Times New Roman" w:cs="Times New Roman"/>
          <w:i/>
          <w:sz w:val="24"/>
          <w:szCs w:val="24"/>
        </w:rPr>
        <w:t>derogations</w:t>
      </w:r>
      <w:r w:rsidR="001963A4" w:rsidRPr="00456F7B">
        <w:rPr>
          <w:rStyle w:val="FootnoteReference"/>
          <w:rFonts w:ascii="Times New Roman" w:hAnsi="Times New Roman" w:cs="Times New Roman"/>
          <w:sz w:val="24"/>
          <w:szCs w:val="24"/>
        </w:rPr>
        <w:footnoteReference w:id="35"/>
      </w:r>
      <w:r w:rsidR="001963A4">
        <w:rPr>
          <w:rFonts w:ascii="Times New Roman" w:hAnsi="Times New Roman" w:cs="Times New Roman"/>
          <w:i/>
          <w:sz w:val="24"/>
          <w:szCs w:val="24"/>
        </w:rPr>
        <w:t xml:space="preserve"> </w:t>
      </w:r>
      <w:r w:rsidR="001963A4">
        <w:rPr>
          <w:rFonts w:ascii="Times New Roman" w:hAnsi="Times New Roman" w:cs="Times New Roman"/>
          <w:sz w:val="24"/>
          <w:szCs w:val="24"/>
        </w:rPr>
        <w:t>to be interpreted ‘strictly’.</w:t>
      </w:r>
      <w:r w:rsidR="001963A4">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620664" w:rsidRDefault="002D08BB"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In the context of protectionist or directly discriminatory domestic policies,</w:t>
      </w:r>
      <w:r w:rsidR="004A59E3">
        <w:rPr>
          <w:rFonts w:ascii="Times New Roman" w:hAnsi="Times New Roman" w:cs="Times New Roman"/>
          <w:sz w:val="24"/>
          <w:szCs w:val="24"/>
        </w:rPr>
        <w:t xml:space="preserve"> </w:t>
      </w:r>
      <w:r w:rsidR="00B82838">
        <w:rPr>
          <w:rFonts w:ascii="Times New Roman" w:hAnsi="Times New Roman" w:cs="Times New Roman"/>
          <w:sz w:val="24"/>
          <w:szCs w:val="24"/>
        </w:rPr>
        <w:t xml:space="preserve">with </w:t>
      </w:r>
      <w:r w:rsidR="004A59E3">
        <w:rPr>
          <w:rFonts w:ascii="Times New Roman" w:hAnsi="Times New Roman" w:cs="Times New Roman"/>
          <w:sz w:val="24"/>
          <w:szCs w:val="24"/>
        </w:rPr>
        <w:t>which the market freedoms originally interacted,</w:t>
      </w:r>
      <w:r>
        <w:rPr>
          <w:rFonts w:ascii="Times New Roman" w:hAnsi="Times New Roman" w:cs="Times New Roman"/>
          <w:sz w:val="24"/>
          <w:szCs w:val="24"/>
        </w:rPr>
        <w:t xml:space="preserve"> such an approach ma</w:t>
      </w:r>
      <w:r w:rsidR="00B82838">
        <w:rPr>
          <w:rFonts w:ascii="Times New Roman" w:hAnsi="Times New Roman" w:cs="Times New Roman"/>
          <w:sz w:val="24"/>
          <w:szCs w:val="24"/>
        </w:rPr>
        <w:t>de</w:t>
      </w:r>
      <w:r>
        <w:rPr>
          <w:rFonts w:ascii="Times New Roman" w:hAnsi="Times New Roman" w:cs="Times New Roman"/>
          <w:sz w:val="24"/>
          <w:szCs w:val="24"/>
        </w:rPr>
        <w:t xml:space="preserve"> sense</w:t>
      </w:r>
      <w:r w:rsidR="001B6EA8">
        <w:rPr>
          <w:rFonts w:ascii="Times New Roman" w:hAnsi="Times New Roman" w:cs="Times New Roman"/>
          <w:sz w:val="24"/>
          <w:szCs w:val="24"/>
        </w:rPr>
        <w:t>. S</w:t>
      </w:r>
      <w:r>
        <w:rPr>
          <w:rFonts w:ascii="Times New Roman" w:hAnsi="Times New Roman" w:cs="Times New Roman"/>
          <w:sz w:val="24"/>
          <w:szCs w:val="24"/>
        </w:rPr>
        <w:t>uch rules strike directly at the heart of the integrative ambition</w:t>
      </w:r>
      <w:r w:rsidR="00B82838">
        <w:rPr>
          <w:rFonts w:ascii="Times New Roman" w:hAnsi="Times New Roman" w:cs="Times New Roman"/>
          <w:sz w:val="24"/>
          <w:szCs w:val="24"/>
        </w:rPr>
        <w:t xml:space="preserve"> the Member States had agreed upon at Rome</w:t>
      </w:r>
      <w:r>
        <w:rPr>
          <w:rFonts w:ascii="Times New Roman" w:hAnsi="Times New Roman" w:cs="Times New Roman"/>
          <w:sz w:val="24"/>
          <w:szCs w:val="24"/>
        </w:rPr>
        <w:t>: economic integration via the internal market.</w:t>
      </w:r>
      <w:r w:rsidR="002431F0">
        <w:rPr>
          <w:rFonts w:ascii="Times New Roman" w:hAnsi="Times New Roman" w:cs="Times New Roman"/>
          <w:sz w:val="24"/>
          <w:szCs w:val="24"/>
        </w:rPr>
        <w:t xml:space="preserve"> </w:t>
      </w:r>
      <w:r w:rsidR="009754F5">
        <w:rPr>
          <w:rFonts w:ascii="Times New Roman" w:hAnsi="Times New Roman" w:cs="Times New Roman"/>
          <w:sz w:val="24"/>
          <w:szCs w:val="24"/>
        </w:rPr>
        <w:t>However, the breach/justification model was retained when the expanded free movement provisions began to interact with the qualitatively different Member State rules on social policy.</w:t>
      </w:r>
      <w:r w:rsidR="009754F5">
        <w:rPr>
          <w:rStyle w:val="FootnoteReference"/>
          <w:rFonts w:ascii="Times New Roman" w:hAnsi="Times New Roman" w:cs="Times New Roman"/>
          <w:sz w:val="24"/>
          <w:szCs w:val="24"/>
        </w:rPr>
        <w:footnoteReference w:id="37"/>
      </w:r>
      <w:r w:rsidR="009754F5">
        <w:rPr>
          <w:rFonts w:ascii="Times New Roman" w:hAnsi="Times New Roman" w:cs="Times New Roman"/>
          <w:sz w:val="24"/>
          <w:szCs w:val="24"/>
        </w:rPr>
        <w:t xml:space="preserve"> This raised serious doubts about the economic/social dichotomy </w:t>
      </w:r>
      <w:r w:rsidR="00321BF7">
        <w:rPr>
          <w:rFonts w:ascii="Times New Roman" w:hAnsi="Times New Roman" w:cs="Times New Roman"/>
          <w:sz w:val="24"/>
          <w:szCs w:val="24"/>
        </w:rPr>
        <w:t>up</w:t>
      </w:r>
      <w:r w:rsidR="009754F5">
        <w:rPr>
          <w:rFonts w:ascii="Times New Roman" w:hAnsi="Times New Roman" w:cs="Times New Roman"/>
          <w:sz w:val="24"/>
          <w:szCs w:val="24"/>
        </w:rPr>
        <w:t xml:space="preserve">on which the Union’s integrative project was originally based. </w:t>
      </w:r>
      <w:r w:rsidR="004A59E3">
        <w:rPr>
          <w:rFonts w:ascii="Times New Roman" w:hAnsi="Times New Roman" w:cs="Times New Roman"/>
          <w:sz w:val="24"/>
          <w:szCs w:val="24"/>
        </w:rPr>
        <w:t>First, Union-level social integration could no longer be viewed</w:t>
      </w:r>
      <w:r w:rsidR="00562CF1">
        <w:rPr>
          <w:rFonts w:ascii="Times New Roman" w:hAnsi="Times New Roman" w:cs="Times New Roman"/>
          <w:sz w:val="24"/>
          <w:szCs w:val="24"/>
        </w:rPr>
        <w:t xml:space="preserve"> only</w:t>
      </w:r>
      <w:r w:rsidR="004A59E3">
        <w:rPr>
          <w:rFonts w:ascii="Times New Roman" w:hAnsi="Times New Roman" w:cs="Times New Roman"/>
          <w:sz w:val="24"/>
          <w:szCs w:val="24"/>
        </w:rPr>
        <w:t xml:space="preserve"> as a congruent by-product of the internal market, since the latter was coming into direct conflict with n</w:t>
      </w:r>
      <w:r w:rsidR="00884DCC">
        <w:rPr>
          <w:rFonts w:ascii="Times New Roman" w:hAnsi="Times New Roman" w:cs="Times New Roman"/>
          <w:sz w:val="24"/>
          <w:szCs w:val="24"/>
        </w:rPr>
        <w:t xml:space="preserve">ational-level social </w:t>
      </w:r>
      <w:r w:rsidR="004A59E3">
        <w:rPr>
          <w:rFonts w:ascii="Times New Roman" w:hAnsi="Times New Roman" w:cs="Times New Roman"/>
          <w:sz w:val="24"/>
          <w:szCs w:val="24"/>
        </w:rPr>
        <w:t>measures. Second,</w:t>
      </w:r>
      <w:r w:rsidR="00562CF1">
        <w:rPr>
          <w:rFonts w:ascii="Times New Roman" w:hAnsi="Times New Roman" w:cs="Times New Roman"/>
          <w:sz w:val="24"/>
          <w:szCs w:val="24"/>
        </w:rPr>
        <w:t xml:space="preserve"> relatedly,</w:t>
      </w:r>
      <w:r w:rsidR="004A59E3">
        <w:rPr>
          <w:rFonts w:ascii="Times New Roman" w:hAnsi="Times New Roman" w:cs="Times New Roman"/>
          <w:sz w:val="24"/>
          <w:szCs w:val="24"/>
        </w:rPr>
        <w:t xml:space="preserve"> Member State</w:t>
      </w:r>
      <w:r w:rsidR="004158F4">
        <w:rPr>
          <w:rFonts w:ascii="Times New Roman" w:hAnsi="Times New Roman" w:cs="Times New Roman"/>
          <w:sz w:val="24"/>
          <w:szCs w:val="24"/>
        </w:rPr>
        <w:t>s were not being left alone to “</w:t>
      </w:r>
      <w:r w:rsidR="004A59E3">
        <w:rPr>
          <w:rFonts w:ascii="Times New Roman" w:hAnsi="Times New Roman" w:cs="Times New Roman"/>
          <w:sz w:val="24"/>
          <w:szCs w:val="24"/>
        </w:rPr>
        <w:t>provide the requisite [social] protection w</w:t>
      </w:r>
      <w:r w:rsidR="004158F4">
        <w:rPr>
          <w:rFonts w:ascii="Times New Roman" w:hAnsi="Times New Roman" w:cs="Times New Roman"/>
          <w:sz w:val="24"/>
          <w:szCs w:val="24"/>
        </w:rPr>
        <w:t>ithout unnecessary interference”</w:t>
      </w:r>
      <w:r w:rsidR="004A59E3">
        <w:rPr>
          <w:rFonts w:ascii="Times New Roman" w:hAnsi="Times New Roman" w:cs="Times New Roman"/>
          <w:sz w:val="24"/>
          <w:szCs w:val="24"/>
        </w:rPr>
        <w:t>.</w:t>
      </w:r>
      <w:r w:rsidR="004A59E3">
        <w:rPr>
          <w:rStyle w:val="FootnoteReference"/>
          <w:rFonts w:ascii="Times New Roman" w:hAnsi="Times New Roman" w:cs="Times New Roman"/>
          <w:sz w:val="24"/>
          <w:szCs w:val="24"/>
        </w:rPr>
        <w:footnoteReference w:id="38"/>
      </w:r>
      <w:r w:rsidR="004A59E3">
        <w:rPr>
          <w:rFonts w:ascii="Times New Roman" w:hAnsi="Times New Roman" w:cs="Times New Roman"/>
          <w:sz w:val="24"/>
          <w:szCs w:val="24"/>
        </w:rPr>
        <w:t xml:space="preserve"> Rather the breadth of the free movement provisions was leaving Member States’ social policy choices exposed to </w:t>
      </w:r>
      <w:r w:rsidR="00994ECB">
        <w:rPr>
          <w:rFonts w:ascii="Times New Roman" w:hAnsi="Times New Roman" w:cs="Times New Roman"/>
          <w:sz w:val="24"/>
          <w:szCs w:val="24"/>
        </w:rPr>
        <w:lastRenderedPageBreak/>
        <w:t>evaluation by the Court</w:t>
      </w:r>
      <w:r w:rsidR="00B82838">
        <w:rPr>
          <w:rFonts w:ascii="Times New Roman" w:hAnsi="Times New Roman" w:cs="Times New Roman"/>
          <w:sz w:val="24"/>
          <w:szCs w:val="24"/>
        </w:rPr>
        <w:t xml:space="preserve"> </w:t>
      </w:r>
      <w:r w:rsidR="001B6EA8">
        <w:rPr>
          <w:rFonts w:ascii="Times New Roman" w:hAnsi="Times New Roman" w:cs="Times New Roman"/>
          <w:sz w:val="24"/>
          <w:szCs w:val="24"/>
        </w:rPr>
        <w:t xml:space="preserve">via </w:t>
      </w:r>
      <w:r w:rsidR="00B82838">
        <w:rPr>
          <w:rFonts w:ascii="Times New Roman" w:hAnsi="Times New Roman" w:cs="Times New Roman"/>
          <w:sz w:val="24"/>
          <w:szCs w:val="24"/>
        </w:rPr>
        <w:t>an ad</w:t>
      </w:r>
      <w:r w:rsidR="008D72F7">
        <w:rPr>
          <w:rFonts w:ascii="Times New Roman" w:hAnsi="Times New Roman" w:cs="Times New Roman"/>
          <w:sz w:val="24"/>
          <w:szCs w:val="24"/>
        </w:rPr>
        <w:t xml:space="preserve">judicative framework that </w:t>
      </w:r>
      <w:r w:rsidR="00884DCC">
        <w:rPr>
          <w:rFonts w:ascii="Times New Roman" w:hAnsi="Times New Roman" w:cs="Times New Roman"/>
          <w:sz w:val="24"/>
          <w:szCs w:val="24"/>
        </w:rPr>
        <w:t xml:space="preserve">left them </w:t>
      </w:r>
      <w:r w:rsidR="008D72F7">
        <w:rPr>
          <w:rFonts w:ascii="Times New Roman" w:hAnsi="Times New Roman" w:cs="Times New Roman"/>
          <w:sz w:val="24"/>
          <w:szCs w:val="24"/>
        </w:rPr>
        <w:t>structurally</w:t>
      </w:r>
      <w:r w:rsidR="00884DCC">
        <w:rPr>
          <w:rFonts w:ascii="Times New Roman" w:hAnsi="Times New Roman" w:cs="Times New Roman"/>
          <w:sz w:val="24"/>
          <w:szCs w:val="24"/>
        </w:rPr>
        <w:t xml:space="preserve"> disadvantaged</w:t>
      </w:r>
      <w:r w:rsidR="00B82838">
        <w:rPr>
          <w:rFonts w:ascii="Times New Roman" w:hAnsi="Times New Roman" w:cs="Times New Roman"/>
          <w:sz w:val="24"/>
          <w:szCs w:val="24"/>
        </w:rPr>
        <w:t>.</w:t>
      </w:r>
    </w:p>
    <w:p w:rsidR="00620664" w:rsidRDefault="001B6EA8"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Specifically</w:t>
      </w:r>
      <w:r w:rsidR="00B82838">
        <w:rPr>
          <w:rFonts w:ascii="Times New Roman" w:hAnsi="Times New Roman" w:cs="Times New Roman"/>
          <w:sz w:val="24"/>
          <w:szCs w:val="24"/>
        </w:rPr>
        <w:t>, significant evidentiary hurdles operate at the justification phase of the Court’s two-stage model. Activity conflicting with the market freedoms must pursue a legitimate aim, in a way that is both appropriate and necessary.</w:t>
      </w:r>
      <w:r w:rsidR="00B82838">
        <w:rPr>
          <w:rStyle w:val="FootnoteReference"/>
          <w:rFonts w:ascii="Times New Roman" w:hAnsi="Times New Roman" w:cs="Times New Roman"/>
          <w:sz w:val="24"/>
          <w:szCs w:val="24"/>
        </w:rPr>
        <w:footnoteReference w:id="39"/>
      </w:r>
      <w:r w:rsidR="00B82838">
        <w:rPr>
          <w:rFonts w:ascii="Times New Roman" w:hAnsi="Times New Roman" w:cs="Times New Roman"/>
          <w:sz w:val="24"/>
          <w:szCs w:val="24"/>
        </w:rPr>
        <w:t xml:space="preserve"> Necessity is usually defined by reference to whether measures less restrictive of free movement are avail</w:t>
      </w:r>
      <w:r w:rsidR="00884DCC">
        <w:rPr>
          <w:rFonts w:ascii="Times New Roman" w:hAnsi="Times New Roman" w:cs="Times New Roman"/>
          <w:sz w:val="24"/>
          <w:szCs w:val="24"/>
        </w:rPr>
        <w:t>able</w:t>
      </w:r>
      <w:r w:rsidR="002D01EE">
        <w:rPr>
          <w:rFonts w:ascii="Times New Roman" w:hAnsi="Times New Roman" w:cs="Times New Roman"/>
          <w:sz w:val="24"/>
          <w:szCs w:val="24"/>
        </w:rPr>
        <w:t>.</w:t>
      </w:r>
      <w:r w:rsidR="00B82838">
        <w:rPr>
          <w:rStyle w:val="FootnoteReference"/>
          <w:rFonts w:ascii="Times New Roman" w:hAnsi="Times New Roman" w:cs="Times New Roman"/>
          <w:sz w:val="24"/>
          <w:szCs w:val="24"/>
        </w:rPr>
        <w:footnoteReference w:id="40"/>
      </w:r>
      <w:r w:rsidR="002D01EE">
        <w:rPr>
          <w:rFonts w:ascii="Times New Roman" w:hAnsi="Times New Roman" w:cs="Times New Roman"/>
          <w:sz w:val="24"/>
          <w:szCs w:val="24"/>
        </w:rPr>
        <w:t xml:space="preserve"> This can impose particularly onerous evidential burdens on domestic social considerations. </w:t>
      </w:r>
      <w:r w:rsidR="0082276B">
        <w:rPr>
          <w:rFonts w:ascii="Times New Roman" w:hAnsi="Times New Roman" w:cs="Times New Roman"/>
          <w:sz w:val="24"/>
          <w:szCs w:val="24"/>
        </w:rPr>
        <w:t xml:space="preserve">For instance, in </w:t>
      </w:r>
      <w:r w:rsidR="0082276B">
        <w:rPr>
          <w:rFonts w:ascii="Times New Roman" w:hAnsi="Times New Roman" w:cs="Times New Roman"/>
          <w:i/>
          <w:sz w:val="24"/>
          <w:szCs w:val="24"/>
        </w:rPr>
        <w:t>Commission v Luxembourg</w:t>
      </w:r>
      <w:r w:rsidR="0082276B">
        <w:rPr>
          <w:rFonts w:ascii="Times New Roman" w:hAnsi="Times New Roman" w:cs="Times New Roman"/>
          <w:sz w:val="24"/>
          <w:szCs w:val="24"/>
        </w:rPr>
        <w:t xml:space="preserve"> public order legislation targeted at worker protection but in conflict </w:t>
      </w:r>
      <w:r w:rsidR="004158F4">
        <w:rPr>
          <w:rFonts w:ascii="Times New Roman" w:hAnsi="Times New Roman" w:cs="Times New Roman"/>
          <w:sz w:val="24"/>
          <w:szCs w:val="24"/>
        </w:rPr>
        <w:t>with free movement had to be “</w:t>
      </w:r>
      <w:r w:rsidR="0082276B">
        <w:rPr>
          <w:rFonts w:ascii="Times New Roman" w:hAnsi="Times New Roman" w:cs="Times New Roman"/>
          <w:sz w:val="24"/>
          <w:szCs w:val="24"/>
        </w:rPr>
        <w:t xml:space="preserve">so crucial for the protection of the political, social or economic order in the Member State concerned as to require compliance therewith </w:t>
      </w:r>
      <w:r w:rsidR="004158F4">
        <w:rPr>
          <w:rFonts w:ascii="Times New Roman" w:hAnsi="Times New Roman" w:cs="Times New Roman"/>
          <w:sz w:val="24"/>
          <w:szCs w:val="24"/>
        </w:rPr>
        <w:t>by all persons on the territory”</w:t>
      </w:r>
      <w:r w:rsidR="0082276B">
        <w:rPr>
          <w:rFonts w:ascii="Times New Roman" w:hAnsi="Times New Roman" w:cs="Times New Roman"/>
          <w:sz w:val="24"/>
          <w:szCs w:val="24"/>
        </w:rPr>
        <w:t>.</w:t>
      </w:r>
      <w:r w:rsidR="0082276B">
        <w:rPr>
          <w:rStyle w:val="FootnoteReference"/>
          <w:rFonts w:ascii="Times New Roman" w:hAnsi="Times New Roman" w:cs="Times New Roman"/>
          <w:sz w:val="24"/>
          <w:szCs w:val="24"/>
        </w:rPr>
        <w:footnoteReference w:id="41"/>
      </w:r>
      <w:r w:rsidR="0082276B">
        <w:rPr>
          <w:rFonts w:ascii="Times New Roman" w:hAnsi="Times New Roman" w:cs="Times New Roman"/>
          <w:sz w:val="24"/>
          <w:szCs w:val="24"/>
        </w:rPr>
        <w:t xml:space="preserve"> </w:t>
      </w:r>
      <w:r w:rsidR="001A63DF">
        <w:rPr>
          <w:rFonts w:ascii="Times New Roman" w:hAnsi="Times New Roman" w:cs="Times New Roman"/>
          <w:sz w:val="24"/>
          <w:szCs w:val="24"/>
        </w:rPr>
        <w:t>Likewise, Gallo points out that w</w:t>
      </w:r>
      <w:r w:rsidR="0082276B">
        <w:rPr>
          <w:rFonts w:ascii="Times New Roman" w:hAnsi="Times New Roman" w:cs="Times New Roman"/>
          <w:sz w:val="24"/>
          <w:szCs w:val="24"/>
        </w:rPr>
        <w:t>ithin the free movement of capital</w:t>
      </w:r>
      <w:r w:rsidR="001A63DF">
        <w:rPr>
          <w:rFonts w:ascii="Times New Roman" w:hAnsi="Times New Roman" w:cs="Times New Roman"/>
          <w:sz w:val="24"/>
          <w:szCs w:val="24"/>
        </w:rPr>
        <w:t>’s gol</w:t>
      </w:r>
      <w:r w:rsidR="0082276B">
        <w:rPr>
          <w:rFonts w:ascii="Times New Roman" w:hAnsi="Times New Roman" w:cs="Times New Roman"/>
          <w:sz w:val="24"/>
          <w:szCs w:val="24"/>
        </w:rPr>
        <w:t>den-shares</w:t>
      </w:r>
      <w:r w:rsidR="001A63DF">
        <w:rPr>
          <w:rFonts w:ascii="Times New Roman" w:hAnsi="Times New Roman" w:cs="Times New Roman"/>
          <w:sz w:val="24"/>
          <w:szCs w:val="24"/>
        </w:rPr>
        <w:t xml:space="preserve"> case-law,</w:t>
      </w:r>
      <w:r w:rsidR="0082276B">
        <w:rPr>
          <w:rFonts w:ascii="Times New Roman" w:hAnsi="Times New Roman" w:cs="Times New Roman"/>
          <w:sz w:val="24"/>
          <w:szCs w:val="24"/>
        </w:rPr>
        <w:t xml:space="preserve"> </w:t>
      </w:r>
      <w:r w:rsidR="001A63DF">
        <w:rPr>
          <w:rFonts w:ascii="Times New Roman" w:hAnsi="Times New Roman" w:cs="Times New Roman"/>
          <w:sz w:val="24"/>
          <w:szCs w:val="24"/>
        </w:rPr>
        <w:t xml:space="preserve">the </w:t>
      </w:r>
      <w:r w:rsidR="0082276B">
        <w:rPr>
          <w:rFonts w:ascii="Times New Roman" w:hAnsi="Times New Roman" w:cs="Times New Roman"/>
          <w:sz w:val="24"/>
          <w:szCs w:val="24"/>
        </w:rPr>
        <w:t>retention of special powers held by the Sta</w:t>
      </w:r>
      <w:r w:rsidR="001A63DF">
        <w:rPr>
          <w:rFonts w:ascii="Times New Roman" w:hAnsi="Times New Roman" w:cs="Times New Roman"/>
          <w:sz w:val="24"/>
          <w:szCs w:val="24"/>
        </w:rPr>
        <w:t>te in formerly public companies is very rarely justified in practice.</w:t>
      </w:r>
      <w:r w:rsidR="0082276B">
        <w:rPr>
          <w:rStyle w:val="FootnoteReference"/>
          <w:rFonts w:ascii="Times New Roman" w:hAnsi="Times New Roman" w:cs="Times New Roman"/>
          <w:sz w:val="24"/>
          <w:szCs w:val="24"/>
        </w:rPr>
        <w:footnoteReference w:id="42"/>
      </w:r>
      <w:r w:rsidR="0082276B">
        <w:rPr>
          <w:rFonts w:ascii="Times New Roman" w:hAnsi="Times New Roman" w:cs="Times New Roman"/>
          <w:sz w:val="24"/>
          <w:szCs w:val="24"/>
        </w:rPr>
        <w:t xml:space="preserve"> </w:t>
      </w:r>
      <w:r w:rsidR="008D72F7">
        <w:rPr>
          <w:rFonts w:ascii="Times New Roman" w:hAnsi="Times New Roman" w:cs="Times New Roman"/>
          <w:sz w:val="24"/>
          <w:szCs w:val="24"/>
        </w:rPr>
        <w:t>He identifies the</w:t>
      </w:r>
      <w:r w:rsidR="0082276B">
        <w:rPr>
          <w:rFonts w:ascii="Times New Roman" w:hAnsi="Times New Roman" w:cs="Times New Roman"/>
          <w:sz w:val="24"/>
          <w:szCs w:val="24"/>
        </w:rPr>
        <w:t xml:space="preserve"> requirement th</w:t>
      </w:r>
      <w:r w:rsidR="004158F4">
        <w:rPr>
          <w:rFonts w:ascii="Times New Roman" w:hAnsi="Times New Roman" w:cs="Times New Roman"/>
          <w:sz w:val="24"/>
          <w:szCs w:val="24"/>
        </w:rPr>
        <w:t>at Member States demonstrate a “</w:t>
      </w:r>
      <w:r w:rsidR="0082276B">
        <w:rPr>
          <w:rFonts w:ascii="Times New Roman" w:hAnsi="Times New Roman" w:cs="Times New Roman"/>
          <w:sz w:val="24"/>
          <w:szCs w:val="24"/>
        </w:rPr>
        <w:t xml:space="preserve">genuine and sufficiently serious threat’ to the supply of public services, affecting one of the fundamental interests of </w:t>
      </w:r>
      <w:r w:rsidR="004158F4">
        <w:rPr>
          <w:rFonts w:ascii="Times New Roman" w:hAnsi="Times New Roman" w:cs="Times New Roman"/>
          <w:sz w:val="24"/>
          <w:szCs w:val="24"/>
        </w:rPr>
        <w:t>society”</w:t>
      </w:r>
      <w:r w:rsidR="0082276B">
        <w:rPr>
          <w:rStyle w:val="FootnoteReference"/>
          <w:rFonts w:ascii="Times New Roman" w:hAnsi="Times New Roman" w:cs="Times New Roman"/>
          <w:sz w:val="24"/>
          <w:szCs w:val="24"/>
        </w:rPr>
        <w:footnoteReference w:id="43"/>
      </w:r>
      <w:r w:rsidR="0082276B">
        <w:rPr>
          <w:rFonts w:ascii="Times New Roman" w:hAnsi="Times New Roman" w:cs="Times New Roman"/>
          <w:sz w:val="24"/>
          <w:szCs w:val="24"/>
        </w:rPr>
        <w:t xml:space="preserve"> at the justification stage</w:t>
      </w:r>
      <w:r w:rsidR="008D72F7">
        <w:rPr>
          <w:rFonts w:ascii="Times New Roman" w:hAnsi="Times New Roman" w:cs="Times New Roman"/>
          <w:sz w:val="24"/>
          <w:szCs w:val="24"/>
        </w:rPr>
        <w:t xml:space="preserve"> as one of the reasons for this</w:t>
      </w:r>
      <w:r w:rsidR="0082276B">
        <w:rPr>
          <w:rFonts w:ascii="Times New Roman" w:hAnsi="Times New Roman" w:cs="Times New Roman"/>
          <w:sz w:val="24"/>
          <w:szCs w:val="24"/>
        </w:rPr>
        <w:t>. Th</w:t>
      </w:r>
      <w:r w:rsidR="001A63DF">
        <w:rPr>
          <w:rFonts w:ascii="Times New Roman" w:hAnsi="Times New Roman" w:cs="Times New Roman"/>
          <w:sz w:val="24"/>
          <w:szCs w:val="24"/>
        </w:rPr>
        <w:t>e Court’s</w:t>
      </w:r>
      <w:r w:rsidR="0082276B">
        <w:rPr>
          <w:rFonts w:ascii="Times New Roman" w:hAnsi="Times New Roman" w:cs="Times New Roman"/>
          <w:sz w:val="24"/>
          <w:szCs w:val="24"/>
        </w:rPr>
        <w:t xml:space="preserve"> adjudicat</w:t>
      </w:r>
      <w:r w:rsidR="004158F4">
        <w:rPr>
          <w:rFonts w:ascii="Times New Roman" w:hAnsi="Times New Roman" w:cs="Times New Roman"/>
          <w:sz w:val="24"/>
          <w:szCs w:val="24"/>
        </w:rPr>
        <w:t>ive architecture presumes that “</w:t>
      </w:r>
      <w:r w:rsidR="0082276B">
        <w:rPr>
          <w:rFonts w:ascii="Times New Roman" w:hAnsi="Times New Roman" w:cs="Times New Roman"/>
          <w:sz w:val="24"/>
          <w:szCs w:val="24"/>
        </w:rPr>
        <w:t xml:space="preserve">the State performs a regulatory function with the primary aim </w:t>
      </w:r>
      <w:r w:rsidR="008D72F7">
        <w:rPr>
          <w:rFonts w:ascii="Times New Roman" w:hAnsi="Times New Roman" w:cs="Times New Roman"/>
          <w:sz w:val="24"/>
          <w:szCs w:val="24"/>
        </w:rPr>
        <w:t>of restricting market access</w:t>
      </w:r>
      <w:r w:rsidR="004158F4">
        <w:rPr>
          <w:rFonts w:ascii="Times New Roman" w:hAnsi="Times New Roman" w:cs="Times New Roman"/>
          <w:sz w:val="24"/>
          <w:szCs w:val="24"/>
        </w:rPr>
        <w:t>”</w:t>
      </w:r>
      <w:r w:rsidR="0082276B">
        <w:rPr>
          <w:rStyle w:val="FootnoteReference"/>
          <w:rFonts w:ascii="Times New Roman" w:hAnsi="Times New Roman" w:cs="Times New Roman"/>
          <w:sz w:val="24"/>
          <w:szCs w:val="24"/>
        </w:rPr>
        <w:footnoteReference w:id="44"/>
      </w:r>
      <w:r w:rsidR="004158F4">
        <w:rPr>
          <w:rFonts w:ascii="Times New Roman" w:hAnsi="Times New Roman" w:cs="Times New Roman"/>
          <w:sz w:val="24"/>
          <w:szCs w:val="24"/>
        </w:rPr>
        <w:t xml:space="preserve"> and overlooks the fact that “</w:t>
      </w:r>
      <w:r w:rsidR="0082276B">
        <w:rPr>
          <w:rFonts w:ascii="Times New Roman" w:hAnsi="Times New Roman" w:cs="Times New Roman"/>
          <w:sz w:val="24"/>
          <w:szCs w:val="24"/>
        </w:rPr>
        <w:t>the underlying purpose of golden shares – at least on paper – is the protectio</w:t>
      </w:r>
      <w:r w:rsidR="004158F4">
        <w:rPr>
          <w:rFonts w:ascii="Times New Roman" w:hAnsi="Times New Roman" w:cs="Times New Roman"/>
          <w:sz w:val="24"/>
          <w:szCs w:val="24"/>
        </w:rPr>
        <w:t>n of national general interests”</w:t>
      </w:r>
      <w:r w:rsidR="0082276B">
        <w:rPr>
          <w:rFonts w:ascii="Times New Roman" w:hAnsi="Times New Roman" w:cs="Times New Roman"/>
          <w:sz w:val="24"/>
          <w:szCs w:val="24"/>
        </w:rPr>
        <w:t xml:space="preserve"> in a profit-making environment.</w:t>
      </w:r>
      <w:r w:rsidR="0082276B">
        <w:rPr>
          <w:rStyle w:val="FootnoteReference"/>
          <w:rFonts w:ascii="Times New Roman" w:hAnsi="Times New Roman" w:cs="Times New Roman"/>
          <w:sz w:val="24"/>
          <w:szCs w:val="24"/>
        </w:rPr>
        <w:footnoteReference w:id="45"/>
      </w:r>
      <w:r w:rsidR="00E12F7E">
        <w:rPr>
          <w:rFonts w:ascii="Times New Roman" w:hAnsi="Times New Roman" w:cs="Times New Roman"/>
          <w:sz w:val="24"/>
          <w:szCs w:val="24"/>
        </w:rPr>
        <w:t xml:space="preserve"> </w:t>
      </w:r>
      <w:r w:rsidR="007147C2">
        <w:rPr>
          <w:rFonts w:ascii="Times New Roman" w:hAnsi="Times New Roman" w:cs="Times New Roman"/>
          <w:sz w:val="24"/>
          <w:szCs w:val="24"/>
        </w:rPr>
        <w:t>Indeed, the manner in which tensions between free movement and domestic social policies are adjudicated can lead to a number of issues that ultimately expose the economic/social dichotomy as a myth.</w:t>
      </w:r>
    </w:p>
    <w:p w:rsidR="00620664" w:rsidRDefault="001A3097"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First, the idiosyncrasies of domestic social spaces can be overlooked despite national competence retention. I</w:t>
      </w:r>
      <w:r w:rsidR="00F12F23" w:rsidRPr="00A63CDA">
        <w:rPr>
          <w:rFonts w:ascii="Times New Roman" w:hAnsi="Times New Roman" w:cs="Times New Roman"/>
          <w:sz w:val="24"/>
          <w:szCs w:val="24"/>
        </w:rPr>
        <w:t xml:space="preserve">n </w:t>
      </w:r>
      <w:r w:rsidR="00F12F23" w:rsidRPr="00A63CDA">
        <w:rPr>
          <w:rFonts w:ascii="Times New Roman" w:hAnsi="Times New Roman" w:cs="Times New Roman"/>
          <w:i/>
          <w:sz w:val="24"/>
          <w:szCs w:val="24"/>
        </w:rPr>
        <w:t>Laval</w:t>
      </w:r>
      <w:r w:rsidR="00F12F23" w:rsidRPr="00A63CDA">
        <w:rPr>
          <w:rFonts w:ascii="Times New Roman" w:hAnsi="Times New Roman" w:cs="Times New Roman"/>
          <w:sz w:val="24"/>
          <w:szCs w:val="24"/>
        </w:rPr>
        <w:t xml:space="preserve">, </w:t>
      </w:r>
      <w:r w:rsidR="00535482" w:rsidRPr="00A63CDA">
        <w:rPr>
          <w:rFonts w:ascii="Times New Roman" w:hAnsi="Times New Roman" w:cs="Times New Roman"/>
          <w:sz w:val="24"/>
          <w:szCs w:val="24"/>
        </w:rPr>
        <w:t>a trade union was found to have committed an unjust</w:t>
      </w:r>
      <w:r w:rsidR="00786DCA">
        <w:rPr>
          <w:rFonts w:ascii="Times New Roman" w:hAnsi="Times New Roman" w:cs="Times New Roman"/>
          <w:sz w:val="24"/>
          <w:szCs w:val="24"/>
        </w:rPr>
        <w:t>ified breach of Article 56 TFEU</w:t>
      </w:r>
      <w:r w:rsidR="00535482" w:rsidRPr="00A63CDA">
        <w:rPr>
          <w:rFonts w:ascii="Times New Roman" w:hAnsi="Times New Roman" w:cs="Times New Roman"/>
          <w:sz w:val="24"/>
          <w:szCs w:val="24"/>
        </w:rPr>
        <w:t xml:space="preserve"> by engaging in collective action to seek to ensure that a Latvian service provider afforded workers </w:t>
      </w:r>
      <w:r w:rsidR="00786DCA">
        <w:rPr>
          <w:rFonts w:ascii="Times New Roman" w:hAnsi="Times New Roman" w:cs="Times New Roman"/>
          <w:sz w:val="24"/>
          <w:szCs w:val="24"/>
        </w:rPr>
        <w:t>who</w:t>
      </w:r>
      <w:r w:rsidR="00535482" w:rsidRPr="00A63CDA">
        <w:rPr>
          <w:rFonts w:ascii="Times New Roman" w:hAnsi="Times New Roman" w:cs="Times New Roman"/>
          <w:sz w:val="24"/>
          <w:szCs w:val="24"/>
        </w:rPr>
        <w:t xml:space="preserve"> it posted into Sweden </w:t>
      </w:r>
      <w:r>
        <w:rPr>
          <w:rFonts w:ascii="Times New Roman" w:hAnsi="Times New Roman" w:cs="Times New Roman"/>
          <w:sz w:val="24"/>
          <w:szCs w:val="24"/>
        </w:rPr>
        <w:t xml:space="preserve">the </w:t>
      </w:r>
      <w:r w:rsidR="00535482" w:rsidRPr="00A63CDA">
        <w:rPr>
          <w:rFonts w:ascii="Times New Roman" w:hAnsi="Times New Roman" w:cs="Times New Roman"/>
          <w:sz w:val="24"/>
          <w:szCs w:val="24"/>
        </w:rPr>
        <w:t xml:space="preserve">terms and conditions </w:t>
      </w:r>
      <w:r w:rsidR="00535482" w:rsidRPr="00A63CDA">
        <w:rPr>
          <w:rFonts w:ascii="Times New Roman" w:hAnsi="Times New Roman" w:cs="Times New Roman"/>
          <w:sz w:val="24"/>
          <w:szCs w:val="24"/>
        </w:rPr>
        <w:lastRenderedPageBreak/>
        <w:t>contained in a Swedish collective agreement.</w:t>
      </w:r>
      <w:r w:rsidR="00535482" w:rsidRPr="00A63CDA">
        <w:rPr>
          <w:rStyle w:val="FootnoteReference"/>
          <w:rFonts w:ascii="Times New Roman" w:hAnsi="Times New Roman" w:cs="Times New Roman"/>
          <w:sz w:val="24"/>
          <w:szCs w:val="24"/>
        </w:rPr>
        <w:footnoteReference w:id="46"/>
      </w:r>
      <w:r w:rsidR="003D5BC3" w:rsidRPr="00A63CDA">
        <w:rPr>
          <w:rFonts w:ascii="Times New Roman" w:hAnsi="Times New Roman" w:cs="Times New Roman"/>
          <w:sz w:val="24"/>
          <w:szCs w:val="24"/>
        </w:rPr>
        <w:t xml:space="preserve"> </w:t>
      </w:r>
      <w:r w:rsidR="004158F4">
        <w:rPr>
          <w:rFonts w:ascii="Times New Roman" w:hAnsi="Times New Roman" w:cs="Times New Roman"/>
          <w:sz w:val="24"/>
          <w:szCs w:val="24"/>
        </w:rPr>
        <w:t xml:space="preserve">The Court accepted </w:t>
      </w:r>
      <w:r w:rsidR="00535482" w:rsidRPr="00A63CDA">
        <w:rPr>
          <w:rFonts w:ascii="Times New Roman" w:hAnsi="Times New Roman" w:cs="Times New Roman"/>
          <w:sz w:val="24"/>
          <w:szCs w:val="24"/>
        </w:rPr>
        <w:t>worker protection as a legitimate aim, in principle</w:t>
      </w:r>
      <w:r w:rsidR="003D5BC3" w:rsidRPr="00A63CDA">
        <w:rPr>
          <w:rFonts w:ascii="Times New Roman" w:hAnsi="Times New Roman" w:cs="Times New Roman"/>
          <w:sz w:val="24"/>
          <w:szCs w:val="24"/>
        </w:rPr>
        <w:t xml:space="preserve">, </w:t>
      </w:r>
      <w:r w:rsidR="00535482" w:rsidRPr="00A63CDA">
        <w:rPr>
          <w:rFonts w:ascii="Times New Roman" w:hAnsi="Times New Roman" w:cs="Times New Roman"/>
          <w:sz w:val="24"/>
          <w:szCs w:val="24"/>
        </w:rPr>
        <w:t>for restrictions on intra-EU service provision.</w:t>
      </w:r>
      <w:r w:rsidR="00D938DF" w:rsidRPr="00A63CDA">
        <w:rPr>
          <w:rStyle w:val="FootnoteReference"/>
          <w:rFonts w:ascii="Times New Roman" w:hAnsi="Times New Roman" w:cs="Times New Roman"/>
          <w:sz w:val="24"/>
          <w:szCs w:val="24"/>
        </w:rPr>
        <w:footnoteReference w:id="47"/>
      </w:r>
      <w:r w:rsidR="00D938DF" w:rsidRPr="00A63CDA">
        <w:rPr>
          <w:rFonts w:ascii="Times New Roman" w:hAnsi="Times New Roman" w:cs="Times New Roman"/>
          <w:sz w:val="24"/>
          <w:szCs w:val="24"/>
        </w:rPr>
        <w:t xml:space="preserve"> </w:t>
      </w:r>
      <w:r w:rsidR="00535482" w:rsidRPr="00A63CDA">
        <w:rPr>
          <w:rFonts w:ascii="Times New Roman" w:hAnsi="Times New Roman" w:cs="Times New Roman"/>
          <w:sz w:val="24"/>
          <w:szCs w:val="24"/>
        </w:rPr>
        <w:t xml:space="preserve"> However, it found that the Posted Workers’ Directive (PWD)</w:t>
      </w:r>
      <w:r w:rsidR="003D5BC3" w:rsidRPr="00A63CDA">
        <w:rPr>
          <w:rStyle w:val="FootnoteReference"/>
          <w:rFonts w:ascii="Times New Roman" w:hAnsi="Times New Roman" w:cs="Times New Roman"/>
          <w:sz w:val="24"/>
          <w:szCs w:val="24"/>
        </w:rPr>
        <w:footnoteReference w:id="48"/>
      </w:r>
      <w:r w:rsidR="004158F4">
        <w:rPr>
          <w:rFonts w:ascii="Times New Roman" w:hAnsi="Times New Roman" w:cs="Times New Roman"/>
          <w:sz w:val="24"/>
          <w:szCs w:val="24"/>
        </w:rPr>
        <w:t xml:space="preserve"> imposed a ceiling</w:t>
      </w:r>
      <w:r w:rsidR="00535482" w:rsidRPr="00A63CDA">
        <w:rPr>
          <w:rFonts w:ascii="Times New Roman" w:hAnsi="Times New Roman" w:cs="Times New Roman"/>
          <w:sz w:val="24"/>
          <w:szCs w:val="24"/>
        </w:rPr>
        <w:t xml:space="preserve"> of protection as regards which rules host States could apply to</w:t>
      </w:r>
      <w:r>
        <w:rPr>
          <w:rFonts w:ascii="Times New Roman" w:hAnsi="Times New Roman" w:cs="Times New Roman"/>
          <w:sz w:val="24"/>
          <w:szCs w:val="24"/>
        </w:rPr>
        <w:t xml:space="preserve"> posted</w:t>
      </w:r>
      <w:r w:rsidR="00535482" w:rsidRPr="00A63CDA">
        <w:rPr>
          <w:rFonts w:ascii="Times New Roman" w:hAnsi="Times New Roman" w:cs="Times New Roman"/>
          <w:sz w:val="24"/>
          <w:szCs w:val="24"/>
        </w:rPr>
        <w:t xml:space="preserve"> workers</w:t>
      </w:r>
      <w:r>
        <w:rPr>
          <w:rFonts w:ascii="Times New Roman" w:hAnsi="Times New Roman" w:cs="Times New Roman"/>
          <w:sz w:val="24"/>
          <w:szCs w:val="24"/>
        </w:rPr>
        <w:t>.</w:t>
      </w:r>
      <w:r w:rsidR="003D5BC3" w:rsidRPr="00A63CDA">
        <w:rPr>
          <w:rStyle w:val="FootnoteReference"/>
          <w:rFonts w:ascii="Times New Roman" w:hAnsi="Times New Roman" w:cs="Times New Roman"/>
          <w:sz w:val="24"/>
          <w:szCs w:val="24"/>
        </w:rPr>
        <w:footnoteReference w:id="49"/>
      </w:r>
      <w:r w:rsidR="00535482" w:rsidRPr="00A63CDA">
        <w:rPr>
          <w:rFonts w:ascii="Times New Roman" w:hAnsi="Times New Roman" w:cs="Times New Roman"/>
          <w:sz w:val="24"/>
          <w:szCs w:val="24"/>
        </w:rPr>
        <w:t xml:space="preserve"> </w:t>
      </w:r>
      <w:r w:rsidR="00321BF7">
        <w:rPr>
          <w:rFonts w:ascii="Times New Roman" w:hAnsi="Times New Roman" w:cs="Times New Roman"/>
          <w:sz w:val="24"/>
          <w:szCs w:val="24"/>
        </w:rPr>
        <w:t>A</w:t>
      </w:r>
      <w:r w:rsidR="00786DCA">
        <w:rPr>
          <w:rFonts w:ascii="Times New Roman" w:hAnsi="Times New Roman" w:cs="Times New Roman"/>
          <w:sz w:val="24"/>
          <w:szCs w:val="24"/>
        </w:rPr>
        <w:t>s a brief aside, this reveals another variant of</w:t>
      </w:r>
      <w:r w:rsidR="004158F4">
        <w:rPr>
          <w:rFonts w:ascii="Times New Roman" w:hAnsi="Times New Roman" w:cs="Times New Roman"/>
          <w:sz w:val="24"/>
          <w:szCs w:val="24"/>
        </w:rPr>
        <w:t xml:space="preserve"> social integration</w:t>
      </w:r>
      <w:r w:rsidR="00321BF7">
        <w:rPr>
          <w:rFonts w:ascii="Times New Roman" w:hAnsi="Times New Roman" w:cs="Times New Roman"/>
          <w:sz w:val="24"/>
          <w:szCs w:val="24"/>
        </w:rPr>
        <w:t xml:space="preserve"> </w:t>
      </w:r>
      <w:r w:rsidR="00D938DF">
        <w:rPr>
          <w:rFonts w:ascii="Times New Roman" w:hAnsi="Times New Roman" w:cs="Times New Roman"/>
          <w:sz w:val="24"/>
          <w:szCs w:val="24"/>
        </w:rPr>
        <w:t xml:space="preserve">focused on the effectiveness of EU law and </w:t>
      </w:r>
      <w:r w:rsidR="00321BF7">
        <w:rPr>
          <w:rFonts w:ascii="Times New Roman" w:hAnsi="Times New Roman" w:cs="Times New Roman"/>
          <w:sz w:val="24"/>
          <w:szCs w:val="24"/>
        </w:rPr>
        <w:t>understood</w:t>
      </w:r>
      <w:r w:rsidR="003D5BC3" w:rsidRPr="00A63CDA">
        <w:rPr>
          <w:rFonts w:ascii="Times New Roman" w:hAnsi="Times New Roman" w:cs="Times New Roman"/>
          <w:sz w:val="24"/>
          <w:szCs w:val="24"/>
        </w:rPr>
        <w:t xml:space="preserve"> as</w:t>
      </w:r>
      <w:r w:rsidR="00321BF7">
        <w:rPr>
          <w:rFonts w:ascii="Times New Roman" w:hAnsi="Times New Roman" w:cs="Times New Roman"/>
          <w:sz w:val="24"/>
          <w:szCs w:val="24"/>
        </w:rPr>
        <w:t>, at best,</w:t>
      </w:r>
      <w:r w:rsidR="004158F4">
        <w:rPr>
          <w:rFonts w:ascii="Times New Roman" w:hAnsi="Times New Roman" w:cs="Times New Roman"/>
          <w:sz w:val="24"/>
          <w:szCs w:val="24"/>
        </w:rPr>
        <w:t xml:space="preserve"> the operation of an effective </w:t>
      </w:r>
      <w:r w:rsidR="003D5BC3" w:rsidRPr="00A63CDA">
        <w:rPr>
          <w:rFonts w:ascii="Times New Roman" w:hAnsi="Times New Roman" w:cs="Times New Roman"/>
          <w:sz w:val="24"/>
          <w:szCs w:val="24"/>
        </w:rPr>
        <w:t>European</w:t>
      </w:r>
      <w:r w:rsidR="00D938DF">
        <w:rPr>
          <w:rFonts w:ascii="Times New Roman" w:hAnsi="Times New Roman" w:cs="Times New Roman"/>
          <w:sz w:val="24"/>
          <w:szCs w:val="24"/>
        </w:rPr>
        <w:t xml:space="preserve"> legal</w:t>
      </w:r>
      <w:r w:rsidR="004158F4">
        <w:rPr>
          <w:rFonts w:ascii="Times New Roman" w:hAnsi="Times New Roman" w:cs="Times New Roman"/>
          <w:sz w:val="24"/>
          <w:szCs w:val="24"/>
        </w:rPr>
        <w:t xml:space="preserve"> space</w:t>
      </w:r>
      <w:r w:rsidR="003D5BC3" w:rsidRPr="00A63CDA">
        <w:rPr>
          <w:rFonts w:ascii="Times New Roman" w:hAnsi="Times New Roman" w:cs="Times New Roman"/>
          <w:sz w:val="24"/>
          <w:szCs w:val="24"/>
        </w:rPr>
        <w:t xml:space="preserve"> within which the Union’s coordination of maximum standards offers basic protection to workers whilst facilitating economic activity.</w:t>
      </w:r>
      <w:r w:rsidR="003D5BC3" w:rsidRPr="00A63CDA">
        <w:rPr>
          <w:rStyle w:val="FootnoteReference"/>
          <w:rFonts w:ascii="Times New Roman" w:hAnsi="Times New Roman" w:cs="Times New Roman"/>
          <w:sz w:val="24"/>
          <w:szCs w:val="24"/>
        </w:rPr>
        <w:footnoteReference w:id="50"/>
      </w:r>
      <w:r w:rsidR="003D5BC3" w:rsidRPr="00A63CDA">
        <w:rPr>
          <w:rFonts w:ascii="Times New Roman" w:hAnsi="Times New Roman" w:cs="Times New Roman"/>
          <w:sz w:val="24"/>
          <w:szCs w:val="24"/>
        </w:rPr>
        <w:t xml:space="preserve"> </w:t>
      </w:r>
      <w:r w:rsidR="00535482" w:rsidRPr="00A63CDA">
        <w:rPr>
          <w:rFonts w:ascii="Times New Roman" w:hAnsi="Times New Roman" w:cs="Times New Roman"/>
          <w:sz w:val="24"/>
          <w:szCs w:val="24"/>
        </w:rPr>
        <w:t>Although Article 3(10) Posted Workers’ Directive (PWD) allowed for the applications of terms a</w:t>
      </w:r>
      <w:r w:rsidR="004158F4">
        <w:rPr>
          <w:rFonts w:ascii="Times New Roman" w:hAnsi="Times New Roman" w:cs="Times New Roman"/>
          <w:sz w:val="24"/>
          <w:szCs w:val="24"/>
        </w:rPr>
        <w:t>nd conditions going beyond the core nucleus</w:t>
      </w:r>
      <w:r w:rsidR="00535482" w:rsidRPr="00A63CDA">
        <w:rPr>
          <w:rFonts w:ascii="Times New Roman" w:hAnsi="Times New Roman" w:cs="Times New Roman"/>
          <w:sz w:val="24"/>
          <w:szCs w:val="24"/>
        </w:rPr>
        <w:t xml:space="preserve"> of protec</w:t>
      </w:r>
      <w:r>
        <w:rPr>
          <w:rFonts w:ascii="Times New Roman" w:hAnsi="Times New Roman" w:cs="Times New Roman"/>
          <w:sz w:val="24"/>
          <w:szCs w:val="24"/>
        </w:rPr>
        <w:t>tion conta</w:t>
      </w:r>
      <w:r w:rsidR="001B6EA8">
        <w:rPr>
          <w:rFonts w:ascii="Times New Roman" w:hAnsi="Times New Roman" w:cs="Times New Roman"/>
          <w:sz w:val="24"/>
          <w:szCs w:val="24"/>
        </w:rPr>
        <w:t>ined in the PWD</w:t>
      </w:r>
      <w:r w:rsidR="00535482" w:rsidRPr="00A63CDA">
        <w:rPr>
          <w:rFonts w:ascii="Times New Roman" w:hAnsi="Times New Roman" w:cs="Times New Roman"/>
          <w:sz w:val="24"/>
          <w:szCs w:val="24"/>
        </w:rPr>
        <w:t xml:space="preserve"> for reasons of public policy, trade unions, as private actors</w:t>
      </w:r>
      <w:r>
        <w:rPr>
          <w:rFonts w:ascii="Times New Roman" w:hAnsi="Times New Roman" w:cs="Times New Roman"/>
          <w:sz w:val="24"/>
          <w:szCs w:val="24"/>
        </w:rPr>
        <w:t>,</w:t>
      </w:r>
      <w:r w:rsidR="001B6EA8">
        <w:rPr>
          <w:rFonts w:ascii="Times New Roman" w:hAnsi="Times New Roman" w:cs="Times New Roman"/>
          <w:sz w:val="24"/>
          <w:szCs w:val="24"/>
        </w:rPr>
        <w:t xml:space="preserve"> could not </w:t>
      </w:r>
      <w:r w:rsidR="00535482" w:rsidRPr="00A63CDA">
        <w:rPr>
          <w:rFonts w:ascii="Times New Roman" w:hAnsi="Times New Roman" w:cs="Times New Roman"/>
          <w:sz w:val="24"/>
          <w:szCs w:val="24"/>
        </w:rPr>
        <w:t>access</w:t>
      </w:r>
      <w:r w:rsidR="00786DCA">
        <w:rPr>
          <w:rFonts w:ascii="Times New Roman" w:hAnsi="Times New Roman" w:cs="Times New Roman"/>
          <w:sz w:val="24"/>
          <w:szCs w:val="24"/>
        </w:rPr>
        <w:t xml:space="preserve"> this</w:t>
      </w:r>
      <w:r w:rsidR="00535482" w:rsidRPr="00A63CDA">
        <w:rPr>
          <w:rFonts w:ascii="Times New Roman" w:hAnsi="Times New Roman" w:cs="Times New Roman"/>
          <w:sz w:val="24"/>
          <w:szCs w:val="24"/>
        </w:rPr>
        <w:t xml:space="preserve"> justification.</w:t>
      </w:r>
      <w:r w:rsidR="003D5BC3" w:rsidRPr="00A63CDA">
        <w:rPr>
          <w:rStyle w:val="FootnoteReference"/>
          <w:rFonts w:ascii="Times New Roman" w:hAnsi="Times New Roman" w:cs="Times New Roman"/>
          <w:sz w:val="24"/>
          <w:szCs w:val="24"/>
        </w:rPr>
        <w:footnoteReference w:id="51"/>
      </w:r>
      <w:r w:rsidR="008D72F7">
        <w:rPr>
          <w:rFonts w:ascii="Times New Roman" w:hAnsi="Times New Roman" w:cs="Times New Roman"/>
          <w:sz w:val="24"/>
          <w:szCs w:val="24"/>
        </w:rPr>
        <w:t xml:space="preserve"> This arguably underappreciates</w:t>
      </w:r>
      <w:r w:rsidR="003D5BC3" w:rsidRPr="00A63CDA">
        <w:rPr>
          <w:rFonts w:ascii="Times New Roman" w:hAnsi="Times New Roman" w:cs="Times New Roman"/>
          <w:sz w:val="24"/>
          <w:szCs w:val="24"/>
        </w:rPr>
        <w:t xml:space="preserve"> the particular role of trade unions within the idiosyncrasies of the Scandinavian social model.</w:t>
      </w:r>
      <w:r w:rsidR="00773420" w:rsidRPr="00A63CDA">
        <w:rPr>
          <w:rStyle w:val="FootnoteReference"/>
          <w:rFonts w:ascii="Times New Roman" w:hAnsi="Times New Roman" w:cs="Times New Roman"/>
          <w:sz w:val="24"/>
          <w:szCs w:val="24"/>
        </w:rPr>
        <w:footnoteReference w:id="52"/>
      </w:r>
      <w:r w:rsidR="003D5BC3" w:rsidRPr="00A63CDA">
        <w:rPr>
          <w:rFonts w:ascii="Times New Roman" w:hAnsi="Times New Roman" w:cs="Times New Roman"/>
          <w:sz w:val="24"/>
          <w:szCs w:val="24"/>
        </w:rPr>
        <w:t xml:space="preserve"> </w:t>
      </w:r>
      <w:r w:rsidR="00A63CDA" w:rsidRPr="00A63CDA">
        <w:rPr>
          <w:rFonts w:ascii="Times New Roman" w:hAnsi="Times New Roman" w:cs="Times New Roman"/>
          <w:sz w:val="24"/>
          <w:szCs w:val="24"/>
        </w:rPr>
        <w:t>Similarly, the Court held that although the PWD allowed for the imposition of minimum rates of pay, collective action to ensure this could not be justified within a national system of case-by-case determination of that minimum, which made it impossible or excessively difficult for undertakings to determine their obligations.</w:t>
      </w:r>
      <w:r w:rsidR="00A63CDA" w:rsidRPr="00A63CDA">
        <w:rPr>
          <w:rStyle w:val="FootnoteReference"/>
          <w:rFonts w:ascii="Times New Roman" w:hAnsi="Times New Roman" w:cs="Times New Roman"/>
          <w:sz w:val="24"/>
          <w:szCs w:val="24"/>
        </w:rPr>
        <w:footnoteReference w:id="53"/>
      </w:r>
      <w:r w:rsidR="00A63CDA" w:rsidRPr="00A63CDA">
        <w:rPr>
          <w:rFonts w:ascii="Times New Roman" w:hAnsi="Times New Roman" w:cs="Times New Roman"/>
          <w:sz w:val="24"/>
          <w:szCs w:val="24"/>
        </w:rPr>
        <w:t xml:space="preserve"> Thus, even though both pay and the right to strike are explicitly </w:t>
      </w:r>
      <w:r w:rsidR="00773420">
        <w:rPr>
          <w:rFonts w:ascii="Times New Roman" w:hAnsi="Times New Roman" w:cs="Times New Roman"/>
          <w:sz w:val="24"/>
          <w:szCs w:val="24"/>
        </w:rPr>
        <w:t>excluded from the Union’s competences,</w:t>
      </w:r>
      <w:r w:rsidR="00A63CDA">
        <w:rPr>
          <w:rStyle w:val="FootnoteReference"/>
          <w:rFonts w:ascii="Times New Roman" w:hAnsi="Times New Roman" w:cs="Times New Roman"/>
          <w:sz w:val="24"/>
          <w:szCs w:val="24"/>
        </w:rPr>
        <w:footnoteReference w:id="54"/>
      </w:r>
      <w:r w:rsidR="0082276B">
        <w:rPr>
          <w:rFonts w:ascii="Times New Roman" w:hAnsi="Times New Roman" w:cs="Times New Roman"/>
          <w:sz w:val="24"/>
          <w:szCs w:val="24"/>
        </w:rPr>
        <w:t xml:space="preserve"> the broad nature of the internal market provisions, and</w:t>
      </w:r>
      <w:r w:rsidR="00A63CDA" w:rsidRPr="00A63CDA">
        <w:rPr>
          <w:rFonts w:ascii="Times New Roman" w:hAnsi="Times New Roman" w:cs="Times New Roman"/>
          <w:sz w:val="24"/>
          <w:szCs w:val="24"/>
        </w:rPr>
        <w:t xml:space="preserve"> the requirement that Member States compl</w:t>
      </w:r>
      <w:r w:rsidR="001B6EA8">
        <w:rPr>
          <w:rFonts w:ascii="Times New Roman" w:hAnsi="Times New Roman" w:cs="Times New Roman"/>
          <w:sz w:val="24"/>
          <w:szCs w:val="24"/>
        </w:rPr>
        <w:t xml:space="preserve">y with Union law when acting </w:t>
      </w:r>
      <w:r w:rsidR="00773420">
        <w:rPr>
          <w:rFonts w:ascii="Times New Roman" w:hAnsi="Times New Roman" w:cs="Times New Roman"/>
          <w:sz w:val="24"/>
          <w:szCs w:val="24"/>
        </w:rPr>
        <w:t>within their competence</w:t>
      </w:r>
      <w:r w:rsidR="0082276B">
        <w:rPr>
          <w:rFonts w:ascii="Times New Roman" w:hAnsi="Times New Roman" w:cs="Times New Roman"/>
          <w:sz w:val="24"/>
          <w:szCs w:val="24"/>
        </w:rPr>
        <w:t>,</w:t>
      </w:r>
      <w:r w:rsidR="00A63CDA">
        <w:rPr>
          <w:rStyle w:val="FootnoteReference"/>
          <w:rFonts w:ascii="Times New Roman" w:hAnsi="Times New Roman" w:cs="Times New Roman"/>
          <w:sz w:val="24"/>
          <w:szCs w:val="24"/>
        </w:rPr>
        <w:footnoteReference w:id="55"/>
      </w:r>
      <w:r w:rsidR="00A63CDA" w:rsidRPr="00A63CDA">
        <w:rPr>
          <w:rFonts w:ascii="Times New Roman" w:hAnsi="Times New Roman" w:cs="Times New Roman"/>
          <w:sz w:val="24"/>
          <w:szCs w:val="24"/>
        </w:rPr>
        <w:t xml:space="preserve"> meant that key aspects of the Scandinavian industrial relations model would, at the very least</w:t>
      </w:r>
      <w:r w:rsidR="00773420">
        <w:rPr>
          <w:rFonts w:ascii="Times New Roman" w:hAnsi="Times New Roman" w:cs="Times New Roman"/>
          <w:sz w:val="24"/>
          <w:szCs w:val="24"/>
        </w:rPr>
        <w:t>,</w:t>
      </w:r>
      <w:r w:rsidR="00A63CDA" w:rsidRPr="00A63CDA">
        <w:rPr>
          <w:rFonts w:ascii="Times New Roman" w:hAnsi="Times New Roman" w:cs="Times New Roman"/>
          <w:sz w:val="24"/>
          <w:szCs w:val="24"/>
        </w:rPr>
        <w:t xml:space="preserve"> need to be re-thought.</w:t>
      </w:r>
    </w:p>
    <w:p w:rsidR="00620664" w:rsidRDefault="001A3097" w:rsidP="00DA2469">
      <w:pPr>
        <w:pStyle w:val="NoSpacing"/>
        <w:spacing w:line="360" w:lineRule="auto"/>
        <w:ind w:firstLine="284"/>
        <w:jc w:val="both"/>
        <w:rPr>
          <w:rFonts w:ascii="Times New Roman" w:hAnsi="Times New Roman" w:cs="Times New Roman"/>
          <w:sz w:val="24"/>
          <w:szCs w:val="24"/>
        </w:rPr>
      </w:pPr>
      <w:r w:rsidRPr="0034270E">
        <w:rPr>
          <w:rFonts w:ascii="Times New Roman" w:hAnsi="Times New Roman" w:cs="Times New Roman"/>
          <w:sz w:val="24"/>
          <w:szCs w:val="24"/>
        </w:rPr>
        <w:t>Second,</w:t>
      </w:r>
      <w:r w:rsidR="00CD7BF9" w:rsidRPr="0034270E">
        <w:rPr>
          <w:rFonts w:ascii="Times New Roman" w:hAnsi="Times New Roman" w:cs="Times New Roman"/>
          <w:sz w:val="24"/>
          <w:szCs w:val="24"/>
        </w:rPr>
        <w:t xml:space="preserve"> alongside an under-appreciation of the idiosyncrasies of domestic social approaches is a lack of consideration of the knock-on consequences of the Court’s current adjudicative approach for the practical delivery of national social schemes,</w:t>
      </w:r>
      <w:r w:rsidR="00620664">
        <w:rPr>
          <w:rFonts w:ascii="Times New Roman" w:hAnsi="Times New Roman" w:cs="Times New Roman"/>
          <w:sz w:val="24"/>
          <w:szCs w:val="24"/>
        </w:rPr>
        <w:t xml:space="preserve"> funded from budgets that face competing demands.</w:t>
      </w:r>
      <w:r w:rsidR="00CD7BF9" w:rsidRPr="0034270E">
        <w:rPr>
          <w:rFonts w:ascii="Times New Roman" w:hAnsi="Times New Roman" w:cs="Times New Roman"/>
          <w:sz w:val="24"/>
          <w:szCs w:val="24"/>
        </w:rPr>
        <w:t xml:space="preserve"> The </w:t>
      </w:r>
      <w:r w:rsidR="00CD7BF9" w:rsidRPr="0034270E">
        <w:rPr>
          <w:rFonts w:ascii="Times New Roman" w:hAnsi="Times New Roman" w:cs="Times New Roman"/>
          <w:i/>
          <w:sz w:val="24"/>
          <w:szCs w:val="24"/>
        </w:rPr>
        <w:t xml:space="preserve">Watts </w:t>
      </w:r>
      <w:r w:rsidR="00CD7BF9" w:rsidRPr="0034270E">
        <w:rPr>
          <w:rFonts w:ascii="Times New Roman" w:hAnsi="Times New Roman" w:cs="Times New Roman"/>
          <w:sz w:val="24"/>
          <w:szCs w:val="24"/>
        </w:rPr>
        <w:t xml:space="preserve">case offers an example of these inter-related </w:t>
      </w:r>
      <w:r w:rsidR="00CD7BF9" w:rsidRPr="0034270E">
        <w:rPr>
          <w:rFonts w:ascii="Times New Roman" w:hAnsi="Times New Roman" w:cs="Times New Roman"/>
          <w:sz w:val="24"/>
          <w:szCs w:val="24"/>
        </w:rPr>
        <w:lastRenderedPageBreak/>
        <w:t>issues.</w:t>
      </w:r>
      <w:r w:rsidR="00CD7BF9" w:rsidRPr="0034270E">
        <w:rPr>
          <w:rStyle w:val="FootnoteReference"/>
          <w:rFonts w:ascii="Times New Roman" w:hAnsi="Times New Roman" w:cs="Times New Roman"/>
          <w:sz w:val="24"/>
          <w:szCs w:val="24"/>
        </w:rPr>
        <w:footnoteReference w:id="56"/>
      </w:r>
      <w:r w:rsidR="00CD7BF9" w:rsidRPr="0034270E">
        <w:rPr>
          <w:rFonts w:ascii="Times New Roman" w:hAnsi="Times New Roman" w:cs="Times New Roman"/>
          <w:sz w:val="24"/>
          <w:szCs w:val="24"/>
        </w:rPr>
        <w:t xml:space="preserve"> There,</w:t>
      </w:r>
      <w:r w:rsidR="00D938DF">
        <w:rPr>
          <w:rFonts w:ascii="Times New Roman" w:hAnsi="Times New Roman" w:cs="Times New Roman"/>
          <w:sz w:val="24"/>
          <w:szCs w:val="24"/>
        </w:rPr>
        <w:t xml:space="preserve"> the fact that </w:t>
      </w:r>
      <w:r w:rsidR="0034270E" w:rsidRPr="0034270E">
        <w:rPr>
          <w:rFonts w:ascii="Times New Roman" w:hAnsi="Times New Roman" w:cs="Times New Roman"/>
          <w:sz w:val="24"/>
          <w:szCs w:val="24"/>
        </w:rPr>
        <w:t xml:space="preserve">service recipients fell within the </w:t>
      </w:r>
      <w:r w:rsidR="00D938DF">
        <w:rPr>
          <w:rFonts w:ascii="Times New Roman" w:hAnsi="Times New Roman" w:cs="Times New Roman"/>
          <w:sz w:val="24"/>
          <w:szCs w:val="24"/>
        </w:rPr>
        <w:t xml:space="preserve">personal </w:t>
      </w:r>
      <w:r w:rsidR="0034270E" w:rsidRPr="0034270E">
        <w:rPr>
          <w:rFonts w:ascii="Times New Roman" w:hAnsi="Times New Roman" w:cs="Times New Roman"/>
          <w:sz w:val="24"/>
          <w:szCs w:val="24"/>
        </w:rPr>
        <w:t>scope of Article 56 TFEU and that the applicant had paid for medical treatment in another Member State meant that, under certain conditions, she was entitled to claim reimbursement from the UK’s National Health Service. This was despite the fact that, as a free-at-the-point-of service healthcare system, funded from general taxation, the NHS had no system for allocating or distributing resources for such reimbursement at that time.</w:t>
      </w:r>
      <w:r w:rsidR="00620664" w:rsidRPr="00620664">
        <w:rPr>
          <w:rFonts w:ascii="Times New Roman" w:hAnsi="Times New Roman" w:cs="Times New Roman"/>
          <w:sz w:val="24"/>
          <w:szCs w:val="24"/>
        </w:rPr>
        <w:t xml:space="preserve"> </w:t>
      </w:r>
      <w:r w:rsidR="00620664">
        <w:rPr>
          <w:rFonts w:ascii="Times New Roman" w:hAnsi="Times New Roman" w:cs="Times New Roman"/>
          <w:sz w:val="24"/>
          <w:szCs w:val="24"/>
        </w:rPr>
        <w:t xml:space="preserve">As </w:t>
      </w:r>
      <w:proofErr w:type="spellStart"/>
      <w:r w:rsidR="00620664">
        <w:rPr>
          <w:rFonts w:ascii="Times New Roman" w:hAnsi="Times New Roman" w:cs="Times New Roman"/>
          <w:sz w:val="24"/>
          <w:szCs w:val="24"/>
        </w:rPr>
        <w:t>Nic</w:t>
      </w:r>
      <w:proofErr w:type="spellEnd"/>
      <w:r w:rsidR="00620664">
        <w:rPr>
          <w:rFonts w:ascii="Times New Roman" w:hAnsi="Times New Roman" w:cs="Times New Roman"/>
          <w:sz w:val="24"/>
          <w:szCs w:val="24"/>
        </w:rPr>
        <w:t xml:space="preserve"> </w:t>
      </w:r>
      <w:proofErr w:type="spellStart"/>
      <w:r w:rsidR="00620664">
        <w:rPr>
          <w:rFonts w:ascii="Times New Roman" w:hAnsi="Times New Roman" w:cs="Times New Roman"/>
          <w:sz w:val="24"/>
          <w:szCs w:val="24"/>
        </w:rPr>
        <w:t>Shuibhne</w:t>
      </w:r>
      <w:proofErr w:type="spellEnd"/>
      <w:r w:rsidR="00620664">
        <w:rPr>
          <w:rFonts w:ascii="Times New Roman" w:hAnsi="Times New Roman" w:cs="Times New Roman"/>
          <w:sz w:val="24"/>
          <w:szCs w:val="24"/>
        </w:rPr>
        <w:t xml:space="preserve"> and Maci argue, t</w:t>
      </w:r>
      <w:r w:rsidR="00620664" w:rsidRPr="008A1BBF">
        <w:rPr>
          <w:rFonts w:ascii="Times New Roman" w:hAnsi="Times New Roman" w:cs="Times New Roman"/>
          <w:sz w:val="24"/>
          <w:szCs w:val="24"/>
        </w:rPr>
        <w:t>he C</w:t>
      </w:r>
      <w:r w:rsidR="00994ECB">
        <w:rPr>
          <w:rFonts w:ascii="Times New Roman" w:hAnsi="Times New Roman" w:cs="Times New Roman"/>
          <w:sz w:val="24"/>
          <w:szCs w:val="24"/>
        </w:rPr>
        <w:t>ourt</w:t>
      </w:r>
      <w:r w:rsidR="004158F4">
        <w:rPr>
          <w:rFonts w:ascii="Times New Roman" w:hAnsi="Times New Roman" w:cs="Times New Roman"/>
          <w:sz w:val="24"/>
          <w:szCs w:val="24"/>
        </w:rPr>
        <w:t xml:space="preserve"> opens a “</w:t>
      </w:r>
      <w:r w:rsidR="00620664" w:rsidRPr="008A1BBF">
        <w:rPr>
          <w:rFonts w:ascii="Times New Roman" w:hAnsi="Times New Roman" w:cs="Times New Roman"/>
          <w:sz w:val="24"/>
          <w:szCs w:val="24"/>
        </w:rPr>
        <w:t>precarious avenue of review in the suggestion that it, or any cou</w:t>
      </w:r>
      <w:r w:rsidR="004158F4">
        <w:rPr>
          <w:rFonts w:ascii="Times New Roman" w:hAnsi="Times New Roman" w:cs="Times New Roman"/>
          <w:sz w:val="24"/>
          <w:szCs w:val="24"/>
        </w:rPr>
        <w:t>rt, can work out the financial ‘balance’</w:t>
      </w:r>
      <w:r w:rsidR="00620664" w:rsidRPr="008A1BBF">
        <w:rPr>
          <w:rFonts w:ascii="Times New Roman" w:hAnsi="Times New Roman" w:cs="Times New Roman"/>
          <w:sz w:val="24"/>
          <w:szCs w:val="24"/>
        </w:rPr>
        <w:t xml:space="preserve"> of an entire national budget by reflecting on whether one policy choice could have been</w:t>
      </w:r>
      <w:r w:rsidR="004158F4">
        <w:rPr>
          <w:rFonts w:ascii="Times New Roman" w:hAnsi="Times New Roman" w:cs="Times New Roman"/>
          <w:sz w:val="24"/>
          <w:szCs w:val="24"/>
        </w:rPr>
        <w:t xml:space="preserve"> implemented less restrictively”</w:t>
      </w:r>
      <w:r w:rsidR="00620664" w:rsidRPr="008A1BBF">
        <w:rPr>
          <w:rFonts w:ascii="Times New Roman" w:hAnsi="Times New Roman" w:cs="Times New Roman"/>
          <w:sz w:val="24"/>
          <w:szCs w:val="24"/>
        </w:rPr>
        <w:t>.</w:t>
      </w:r>
      <w:r w:rsidR="00620664" w:rsidRPr="008A1BBF">
        <w:rPr>
          <w:rStyle w:val="FootnoteReference"/>
          <w:rFonts w:ascii="Times New Roman" w:hAnsi="Times New Roman" w:cs="Times New Roman"/>
          <w:sz w:val="24"/>
          <w:szCs w:val="24"/>
        </w:rPr>
        <w:footnoteReference w:id="57"/>
      </w:r>
    </w:p>
    <w:p w:rsidR="00620664" w:rsidRDefault="008A1BBF"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Finally, </w:t>
      </w:r>
      <w:r w:rsidR="00396D8B">
        <w:rPr>
          <w:rFonts w:ascii="Times New Roman" w:hAnsi="Times New Roman" w:cs="Times New Roman"/>
          <w:sz w:val="24"/>
          <w:szCs w:val="24"/>
        </w:rPr>
        <w:t>the current approach can undermine the specific nature of the social right in question. I</w:t>
      </w:r>
      <w:r>
        <w:rPr>
          <w:rFonts w:ascii="Times New Roman" w:hAnsi="Times New Roman" w:cs="Times New Roman"/>
          <w:sz w:val="24"/>
          <w:szCs w:val="24"/>
        </w:rPr>
        <w:t xml:space="preserve">n </w:t>
      </w:r>
      <w:r>
        <w:rPr>
          <w:rFonts w:ascii="Times New Roman" w:hAnsi="Times New Roman" w:cs="Times New Roman"/>
          <w:i/>
          <w:sz w:val="24"/>
          <w:szCs w:val="24"/>
        </w:rPr>
        <w:t>Viking</w:t>
      </w:r>
      <w:r w:rsidR="00994ECB">
        <w:rPr>
          <w:rFonts w:ascii="Times New Roman" w:hAnsi="Times New Roman" w:cs="Times New Roman"/>
          <w:sz w:val="24"/>
          <w:szCs w:val="24"/>
        </w:rPr>
        <w:t>, the Court</w:t>
      </w:r>
      <w:r>
        <w:rPr>
          <w:rFonts w:ascii="Times New Roman" w:hAnsi="Times New Roman" w:cs="Times New Roman"/>
          <w:sz w:val="24"/>
          <w:szCs w:val="24"/>
        </w:rPr>
        <w:t xml:space="preserve"> called upon the referring court to consider whether measures less restrictive of the freedom of establishment than the collective actio</w:t>
      </w:r>
      <w:r w:rsidR="00396D8B">
        <w:rPr>
          <w:rFonts w:ascii="Times New Roman" w:hAnsi="Times New Roman" w:cs="Times New Roman"/>
          <w:sz w:val="24"/>
          <w:szCs w:val="24"/>
        </w:rPr>
        <w:t>n under consideration</w:t>
      </w:r>
      <w:r>
        <w:rPr>
          <w:rFonts w:ascii="Times New Roman" w:hAnsi="Times New Roman" w:cs="Times New Roman"/>
          <w:sz w:val="24"/>
          <w:szCs w:val="24"/>
        </w:rPr>
        <w:t xml:space="preserve"> were available.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Yet, in the context of disputes between trade unions and cross-border undertakings, any industrial action less restrictive of free movement would also inevitably reduce the effectiveness of exercising the right to strike as a means of securing social protection in the first place.</w:t>
      </w:r>
      <w:r>
        <w:rPr>
          <w:rStyle w:val="FootnoteReference"/>
          <w:rFonts w:ascii="Times New Roman" w:hAnsi="Times New Roman" w:cs="Times New Roman"/>
          <w:sz w:val="24"/>
          <w:szCs w:val="24"/>
        </w:rPr>
        <w:footnoteReference w:id="59"/>
      </w:r>
      <w:r w:rsidR="00F1196E">
        <w:rPr>
          <w:rFonts w:ascii="Times New Roman" w:hAnsi="Times New Roman" w:cs="Times New Roman"/>
          <w:sz w:val="24"/>
          <w:szCs w:val="24"/>
        </w:rPr>
        <w:t xml:space="preserve"> Of course, this might raise questions about how to balance the right to take collection action with the market freedoms of service providers should there be instances of clearly protectionist collective action. However, the requirement that </w:t>
      </w:r>
      <w:r w:rsidR="004158F4">
        <w:rPr>
          <w:rFonts w:ascii="Times New Roman" w:hAnsi="Times New Roman" w:cs="Times New Roman"/>
          <w:sz w:val="24"/>
          <w:szCs w:val="24"/>
        </w:rPr>
        <w:t>actors pursue a legitimate aim</w:t>
      </w:r>
      <w:r w:rsidR="00826DE8">
        <w:rPr>
          <w:rFonts w:ascii="Times New Roman" w:hAnsi="Times New Roman" w:cs="Times New Roman"/>
          <w:sz w:val="24"/>
          <w:szCs w:val="24"/>
        </w:rPr>
        <w:t xml:space="preserve"> </w:t>
      </w:r>
      <w:r w:rsidR="00F1196E">
        <w:rPr>
          <w:rFonts w:ascii="Times New Roman" w:hAnsi="Times New Roman" w:cs="Times New Roman"/>
          <w:sz w:val="24"/>
          <w:szCs w:val="24"/>
        </w:rPr>
        <w:t xml:space="preserve">already </w:t>
      </w:r>
      <w:r w:rsidR="000B1F5A">
        <w:rPr>
          <w:rFonts w:ascii="Times New Roman" w:hAnsi="Times New Roman" w:cs="Times New Roman"/>
          <w:sz w:val="24"/>
          <w:szCs w:val="24"/>
        </w:rPr>
        <w:t>address</w:t>
      </w:r>
      <w:r w:rsidR="00826DE8">
        <w:rPr>
          <w:rFonts w:ascii="Times New Roman" w:hAnsi="Times New Roman" w:cs="Times New Roman"/>
          <w:sz w:val="24"/>
          <w:szCs w:val="24"/>
        </w:rPr>
        <w:t>es</w:t>
      </w:r>
      <w:r w:rsidR="000B1F5A">
        <w:rPr>
          <w:rFonts w:ascii="Times New Roman" w:hAnsi="Times New Roman" w:cs="Times New Roman"/>
          <w:sz w:val="24"/>
          <w:szCs w:val="24"/>
        </w:rPr>
        <w:t xml:space="preserve"> this concern, without the additional need for a one-sided assessment of the proportionality of collective action. On the nature of the collective action, domestic rules already seek to demarcate collective action and political protest from more problematic conduct.</w:t>
      </w:r>
      <w:r w:rsidR="000B1F5A">
        <w:rPr>
          <w:rStyle w:val="FootnoteReference"/>
          <w:rFonts w:ascii="Times New Roman" w:hAnsi="Times New Roman" w:cs="Times New Roman"/>
          <w:sz w:val="24"/>
          <w:szCs w:val="24"/>
        </w:rPr>
        <w:footnoteReference w:id="60"/>
      </w:r>
      <w:r w:rsidR="00F1196E">
        <w:rPr>
          <w:rFonts w:ascii="Times New Roman" w:hAnsi="Times New Roman" w:cs="Times New Roman"/>
          <w:sz w:val="24"/>
          <w:szCs w:val="24"/>
        </w:rPr>
        <w:t xml:space="preserve"> </w:t>
      </w:r>
    </w:p>
    <w:p w:rsidR="00620664" w:rsidRDefault="008A1BBF" w:rsidP="00620664">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The purpose of this discussion, however, is not to assert that the breach/justification model has had particular, deleterious effects on domestic social endeavours in specific cases; nor to suggest, one way or the other</w:t>
      </w:r>
      <w:r w:rsidR="00396D8B">
        <w:rPr>
          <w:rFonts w:ascii="Times New Roman" w:hAnsi="Times New Roman" w:cs="Times New Roman"/>
          <w:sz w:val="24"/>
          <w:szCs w:val="24"/>
        </w:rPr>
        <w:t>,</w:t>
      </w:r>
      <w:r>
        <w:rPr>
          <w:rFonts w:ascii="Times New Roman" w:hAnsi="Times New Roman" w:cs="Times New Roman"/>
          <w:sz w:val="24"/>
          <w:szCs w:val="24"/>
        </w:rPr>
        <w:t xml:space="preserve"> that individual Member States have been making an especially good job of social integration.</w:t>
      </w:r>
      <w:r w:rsidR="006E5968">
        <w:rPr>
          <w:rFonts w:ascii="Times New Roman" w:hAnsi="Times New Roman" w:cs="Times New Roman"/>
          <w:sz w:val="24"/>
          <w:szCs w:val="24"/>
        </w:rPr>
        <w:t xml:space="preserve"> Rather, what this historical analysis has demonstrated is that</w:t>
      </w:r>
      <w:r w:rsidR="00087574">
        <w:rPr>
          <w:rFonts w:ascii="Times New Roman" w:hAnsi="Times New Roman" w:cs="Times New Roman"/>
          <w:sz w:val="24"/>
          <w:szCs w:val="24"/>
        </w:rPr>
        <w:t>, while the Rome Treaty</w:t>
      </w:r>
      <w:r w:rsidR="00826DE8">
        <w:rPr>
          <w:rFonts w:ascii="Times New Roman" w:hAnsi="Times New Roman" w:cs="Times New Roman"/>
          <w:sz w:val="24"/>
          <w:szCs w:val="24"/>
        </w:rPr>
        <w:t xml:space="preserve"> foresaw the pursuit of</w:t>
      </w:r>
      <w:r w:rsidR="00087574">
        <w:rPr>
          <w:rFonts w:ascii="Times New Roman" w:hAnsi="Times New Roman" w:cs="Times New Roman"/>
          <w:sz w:val="24"/>
          <w:szCs w:val="24"/>
        </w:rPr>
        <w:t xml:space="preserve"> social integration as a by-product of the </w:t>
      </w:r>
      <w:r w:rsidR="00087574">
        <w:rPr>
          <w:rFonts w:ascii="Times New Roman" w:hAnsi="Times New Roman" w:cs="Times New Roman"/>
          <w:sz w:val="24"/>
          <w:szCs w:val="24"/>
        </w:rPr>
        <w:lastRenderedPageBreak/>
        <w:t xml:space="preserve">internal market, </w:t>
      </w:r>
      <w:r w:rsidR="006E5968">
        <w:rPr>
          <w:rFonts w:ascii="Times New Roman" w:hAnsi="Times New Roman" w:cs="Times New Roman"/>
          <w:sz w:val="24"/>
          <w:szCs w:val="24"/>
        </w:rPr>
        <w:t>whilst leaving concrete social policymaking to the domestic</w:t>
      </w:r>
      <w:r w:rsidR="007223E7">
        <w:rPr>
          <w:rFonts w:ascii="Times New Roman" w:hAnsi="Times New Roman" w:cs="Times New Roman"/>
          <w:sz w:val="24"/>
          <w:szCs w:val="24"/>
        </w:rPr>
        <w:t>-level</w:t>
      </w:r>
      <w:r w:rsidR="006E5968">
        <w:rPr>
          <w:rFonts w:ascii="Times New Roman" w:hAnsi="Times New Roman" w:cs="Times New Roman"/>
          <w:sz w:val="24"/>
          <w:szCs w:val="24"/>
        </w:rPr>
        <w:t>, the reality of the route to economic integration via the in</w:t>
      </w:r>
      <w:r w:rsidR="00087574">
        <w:rPr>
          <w:rFonts w:ascii="Times New Roman" w:hAnsi="Times New Roman" w:cs="Times New Roman"/>
          <w:sz w:val="24"/>
          <w:szCs w:val="24"/>
        </w:rPr>
        <w:t>ternal market has laid bare the</w:t>
      </w:r>
      <w:r w:rsidR="006E5968">
        <w:rPr>
          <w:rFonts w:ascii="Times New Roman" w:hAnsi="Times New Roman" w:cs="Times New Roman"/>
          <w:sz w:val="24"/>
          <w:szCs w:val="24"/>
        </w:rPr>
        <w:t xml:space="preserve"> presumption</w:t>
      </w:r>
      <w:r w:rsidR="00087574">
        <w:rPr>
          <w:rFonts w:ascii="Times New Roman" w:hAnsi="Times New Roman" w:cs="Times New Roman"/>
          <w:sz w:val="24"/>
          <w:szCs w:val="24"/>
        </w:rPr>
        <w:t>s of this economic/social dichotomy</w:t>
      </w:r>
      <w:r w:rsidR="006E5968">
        <w:rPr>
          <w:rFonts w:ascii="Times New Roman" w:hAnsi="Times New Roman" w:cs="Times New Roman"/>
          <w:sz w:val="24"/>
          <w:szCs w:val="24"/>
        </w:rPr>
        <w:t>. The expansion of the market freedoms has brought them into direct conflict with national social choices</w:t>
      </w:r>
      <w:r w:rsidR="007223E7">
        <w:rPr>
          <w:rFonts w:ascii="Times New Roman" w:hAnsi="Times New Roman" w:cs="Times New Roman"/>
          <w:sz w:val="24"/>
          <w:szCs w:val="24"/>
        </w:rPr>
        <w:t>, placing</w:t>
      </w:r>
      <w:r w:rsidR="00087574">
        <w:rPr>
          <w:rFonts w:ascii="Times New Roman" w:hAnsi="Times New Roman" w:cs="Times New Roman"/>
          <w:sz w:val="24"/>
          <w:szCs w:val="24"/>
        </w:rPr>
        <w:t xml:space="preserve"> the latter</w:t>
      </w:r>
      <w:r w:rsidR="006E5968">
        <w:rPr>
          <w:rFonts w:ascii="Times New Roman" w:hAnsi="Times New Roman" w:cs="Times New Roman"/>
          <w:sz w:val="24"/>
          <w:szCs w:val="24"/>
        </w:rPr>
        <w:t xml:space="preserve"> on the procedural back-foot. </w:t>
      </w:r>
      <w:r w:rsidR="00396D8B">
        <w:rPr>
          <w:rFonts w:ascii="Times New Roman" w:hAnsi="Times New Roman" w:cs="Times New Roman"/>
          <w:sz w:val="24"/>
          <w:szCs w:val="24"/>
        </w:rPr>
        <w:t>This has arguably contributed to the Union’s legitimacy deficit</w:t>
      </w:r>
      <w:r w:rsidR="006E5968">
        <w:rPr>
          <w:rFonts w:ascii="Times New Roman" w:hAnsi="Times New Roman" w:cs="Times New Roman"/>
          <w:sz w:val="24"/>
          <w:szCs w:val="24"/>
        </w:rPr>
        <w:t>.</w:t>
      </w:r>
    </w:p>
    <w:p w:rsidR="00620664" w:rsidRDefault="00620664" w:rsidP="00620664">
      <w:pPr>
        <w:pStyle w:val="NoSpacing"/>
        <w:spacing w:line="360" w:lineRule="auto"/>
        <w:ind w:firstLine="284"/>
        <w:jc w:val="both"/>
        <w:rPr>
          <w:rFonts w:ascii="Times New Roman" w:hAnsi="Times New Roman" w:cs="Times New Roman"/>
          <w:sz w:val="24"/>
          <w:szCs w:val="24"/>
        </w:rPr>
      </w:pPr>
    </w:p>
    <w:p w:rsidR="00820850" w:rsidRDefault="00620664" w:rsidP="00E6745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II.4 CONTRIBUTING TO A LEGITIMACY DEFICIT?</w:t>
      </w:r>
      <w:r w:rsidR="001963A4" w:rsidRPr="00620664">
        <w:rPr>
          <w:rFonts w:ascii="Times New Roman" w:hAnsi="Times New Roman" w:cs="Times New Roman"/>
          <w:sz w:val="24"/>
          <w:szCs w:val="24"/>
        </w:rPr>
        <w:t xml:space="preserve"> </w:t>
      </w:r>
    </w:p>
    <w:p w:rsidR="001963A4" w:rsidRPr="00620664" w:rsidRDefault="001963A4" w:rsidP="00E67456">
      <w:pPr>
        <w:pStyle w:val="NoSpacing"/>
        <w:spacing w:line="360" w:lineRule="auto"/>
        <w:jc w:val="both"/>
        <w:rPr>
          <w:rFonts w:ascii="Times New Roman" w:hAnsi="Times New Roman" w:cs="Times New Roman"/>
          <w:sz w:val="24"/>
          <w:szCs w:val="24"/>
        </w:rPr>
      </w:pPr>
      <w:r w:rsidRPr="00620664">
        <w:rPr>
          <w:rFonts w:ascii="Times New Roman" w:hAnsi="Times New Roman" w:cs="Times New Roman"/>
          <w:sz w:val="24"/>
          <w:szCs w:val="24"/>
        </w:rPr>
        <w:t xml:space="preserve"> </w:t>
      </w:r>
    </w:p>
    <w:p w:rsidR="00CA09B8" w:rsidRPr="00CA09B8" w:rsidRDefault="006E5968" w:rsidP="00820850">
      <w:pPr>
        <w:pStyle w:val="NoSpacing"/>
        <w:spacing w:line="360" w:lineRule="auto"/>
        <w:jc w:val="both"/>
        <w:rPr>
          <w:rFonts w:ascii="Times New Roman" w:hAnsi="Times New Roman" w:cs="Times New Roman"/>
          <w:sz w:val="24"/>
          <w:szCs w:val="24"/>
        </w:rPr>
      </w:pPr>
      <w:r w:rsidRPr="00CA09B8">
        <w:rPr>
          <w:rFonts w:ascii="Times New Roman" w:hAnsi="Times New Roman" w:cs="Times New Roman"/>
          <w:sz w:val="24"/>
          <w:szCs w:val="24"/>
        </w:rPr>
        <w:t>First,</w:t>
      </w:r>
      <w:r w:rsidR="00826DE8" w:rsidRPr="00CA09B8">
        <w:rPr>
          <w:rFonts w:ascii="Times New Roman" w:hAnsi="Times New Roman" w:cs="Times New Roman"/>
          <w:sz w:val="24"/>
          <w:szCs w:val="24"/>
        </w:rPr>
        <w:t xml:space="preserve"> by narrowing the EU’s social integration endeavours to social progress as a by-product of the internal market, while largely leaving concrete social policymaking to the Member States, the </w:t>
      </w:r>
      <w:r w:rsidRPr="00CA09B8">
        <w:rPr>
          <w:rFonts w:ascii="Times New Roman" w:hAnsi="Times New Roman" w:cs="Times New Roman"/>
          <w:sz w:val="24"/>
          <w:szCs w:val="24"/>
        </w:rPr>
        <w:t xml:space="preserve">economic/social dichotomy </w:t>
      </w:r>
      <w:r w:rsidR="00826DE8" w:rsidRPr="00CA09B8">
        <w:rPr>
          <w:rFonts w:ascii="Times New Roman" w:hAnsi="Times New Roman" w:cs="Times New Roman"/>
          <w:sz w:val="24"/>
          <w:szCs w:val="24"/>
        </w:rPr>
        <w:t xml:space="preserve">visible in the Rome Treaty </w:t>
      </w:r>
      <w:r w:rsidRPr="00CA09B8">
        <w:rPr>
          <w:rFonts w:ascii="Times New Roman" w:hAnsi="Times New Roman" w:cs="Times New Roman"/>
          <w:sz w:val="24"/>
          <w:szCs w:val="24"/>
        </w:rPr>
        <w:t>reinforced the idea of the Memb</w:t>
      </w:r>
      <w:r w:rsidR="004158F4">
        <w:rPr>
          <w:rFonts w:ascii="Times New Roman" w:hAnsi="Times New Roman" w:cs="Times New Roman"/>
          <w:sz w:val="24"/>
          <w:szCs w:val="24"/>
        </w:rPr>
        <w:t>er States’ social sovereignty</w:t>
      </w:r>
      <w:r w:rsidR="00826DE8" w:rsidRPr="00CA09B8">
        <w:rPr>
          <w:rFonts w:ascii="Times New Roman" w:hAnsi="Times New Roman" w:cs="Times New Roman"/>
          <w:sz w:val="24"/>
          <w:szCs w:val="24"/>
        </w:rPr>
        <w:t>.</w:t>
      </w:r>
      <w:r w:rsidRPr="00CA09B8">
        <w:rPr>
          <w:rStyle w:val="FootnoteReference"/>
          <w:rFonts w:ascii="Times New Roman" w:hAnsi="Times New Roman" w:cs="Times New Roman"/>
          <w:sz w:val="24"/>
          <w:szCs w:val="24"/>
        </w:rPr>
        <w:footnoteReference w:id="61"/>
      </w:r>
      <w:r w:rsidRPr="00CA09B8">
        <w:rPr>
          <w:rFonts w:ascii="Times New Roman" w:hAnsi="Times New Roman" w:cs="Times New Roman"/>
          <w:sz w:val="24"/>
          <w:szCs w:val="24"/>
        </w:rPr>
        <w:t xml:space="preserve"> </w:t>
      </w:r>
      <w:r w:rsidR="00826DE8" w:rsidRPr="00CA09B8">
        <w:rPr>
          <w:rFonts w:ascii="Times New Roman" w:hAnsi="Times New Roman" w:cs="Times New Roman"/>
          <w:sz w:val="24"/>
          <w:szCs w:val="24"/>
        </w:rPr>
        <w:t xml:space="preserve">However, </w:t>
      </w:r>
      <w:r w:rsidRPr="00CA09B8">
        <w:rPr>
          <w:rFonts w:ascii="Times New Roman" w:hAnsi="Times New Roman" w:cs="Times New Roman"/>
          <w:sz w:val="24"/>
          <w:szCs w:val="24"/>
        </w:rPr>
        <w:t xml:space="preserve">the </w:t>
      </w:r>
      <w:r w:rsidR="00826DE8" w:rsidRPr="00CA09B8">
        <w:rPr>
          <w:rFonts w:ascii="Times New Roman" w:hAnsi="Times New Roman" w:cs="Times New Roman"/>
          <w:sz w:val="24"/>
          <w:szCs w:val="24"/>
        </w:rPr>
        <w:t xml:space="preserve">subsequent </w:t>
      </w:r>
      <w:r w:rsidRPr="00CA09B8">
        <w:rPr>
          <w:rFonts w:ascii="Times New Roman" w:hAnsi="Times New Roman" w:cs="Times New Roman"/>
          <w:sz w:val="24"/>
          <w:szCs w:val="24"/>
        </w:rPr>
        <w:t>expansion of t</w:t>
      </w:r>
      <w:r w:rsidR="009200D0" w:rsidRPr="00CA09B8">
        <w:rPr>
          <w:rFonts w:ascii="Times New Roman" w:hAnsi="Times New Roman" w:cs="Times New Roman"/>
          <w:sz w:val="24"/>
          <w:szCs w:val="24"/>
        </w:rPr>
        <w:t xml:space="preserve">he market freedoms </w:t>
      </w:r>
      <w:r w:rsidR="00826DE8" w:rsidRPr="00CA09B8">
        <w:rPr>
          <w:rFonts w:ascii="Times New Roman" w:hAnsi="Times New Roman" w:cs="Times New Roman"/>
          <w:sz w:val="24"/>
          <w:szCs w:val="24"/>
        </w:rPr>
        <w:t xml:space="preserve">instead risked triggering </w:t>
      </w:r>
      <w:r w:rsidR="009200D0" w:rsidRPr="00CA09B8">
        <w:rPr>
          <w:rFonts w:ascii="Times New Roman" w:hAnsi="Times New Roman" w:cs="Times New Roman"/>
          <w:sz w:val="24"/>
          <w:szCs w:val="24"/>
        </w:rPr>
        <w:t xml:space="preserve">competition between domestic regulatory systems. As </w:t>
      </w:r>
      <w:proofErr w:type="spellStart"/>
      <w:r w:rsidR="009200D0" w:rsidRPr="00CA09B8">
        <w:rPr>
          <w:rFonts w:ascii="Times New Roman" w:hAnsi="Times New Roman" w:cs="Times New Roman"/>
          <w:sz w:val="24"/>
          <w:szCs w:val="24"/>
        </w:rPr>
        <w:t>Schie</w:t>
      </w:r>
      <w:r w:rsidR="00396D8B" w:rsidRPr="00CA09B8">
        <w:rPr>
          <w:rFonts w:ascii="Times New Roman" w:hAnsi="Times New Roman" w:cs="Times New Roman"/>
          <w:sz w:val="24"/>
          <w:szCs w:val="24"/>
        </w:rPr>
        <w:t>k</w:t>
      </w:r>
      <w:proofErr w:type="spellEnd"/>
      <w:r w:rsidR="00396D8B" w:rsidRPr="00CA09B8">
        <w:rPr>
          <w:rFonts w:ascii="Times New Roman" w:hAnsi="Times New Roman" w:cs="Times New Roman"/>
          <w:sz w:val="24"/>
          <w:szCs w:val="24"/>
        </w:rPr>
        <w:t xml:space="preserve"> notes,</w:t>
      </w:r>
      <w:r w:rsidR="001B7604" w:rsidRPr="00CA09B8">
        <w:rPr>
          <w:rFonts w:ascii="Times New Roman" w:hAnsi="Times New Roman" w:cs="Times New Roman"/>
          <w:sz w:val="24"/>
          <w:szCs w:val="24"/>
        </w:rPr>
        <w:t xml:space="preserve"> though workers might be attracted to Member States with, for example, the best public childcare,</w:t>
      </w:r>
      <w:r w:rsidR="00396D8B" w:rsidRPr="00CA09B8">
        <w:rPr>
          <w:rFonts w:ascii="Times New Roman" w:hAnsi="Times New Roman" w:cs="Times New Roman"/>
          <w:sz w:val="24"/>
          <w:szCs w:val="24"/>
        </w:rPr>
        <w:t xml:space="preserve"> </w:t>
      </w:r>
      <w:r w:rsidR="004158F4">
        <w:rPr>
          <w:rFonts w:ascii="Times New Roman" w:hAnsi="Times New Roman" w:cs="Times New Roman"/>
          <w:sz w:val="24"/>
          <w:szCs w:val="24"/>
        </w:rPr>
        <w:t>since “</w:t>
      </w:r>
      <w:r w:rsidR="009200D0" w:rsidRPr="00CA09B8">
        <w:rPr>
          <w:rFonts w:ascii="Times New Roman" w:hAnsi="Times New Roman" w:cs="Times New Roman"/>
          <w:sz w:val="24"/>
          <w:szCs w:val="24"/>
        </w:rPr>
        <w:t>real people move with less ease than capital</w:t>
      </w:r>
      <w:r w:rsidR="004158F4">
        <w:rPr>
          <w:rFonts w:ascii="Times New Roman" w:hAnsi="Times New Roman" w:cs="Times New Roman"/>
          <w:sz w:val="24"/>
          <w:szCs w:val="24"/>
        </w:rPr>
        <w:t>”</w:t>
      </w:r>
      <w:r w:rsidR="00EA2439" w:rsidRPr="00CA09B8">
        <w:rPr>
          <w:rFonts w:ascii="Times New Roman" w:hAnsi="Times New Roman" w:cs="Times New Roman"/>
          <w:sz w:val="24"/>
          <w:szCs w:val="24"/>
        </w:rPr>
        <w:t>,</w:t>
      </w:r>
      <w:r w:rsidR="00396D8B" w:rsidRPr="00CA09B8">
        <w:rPr>
          <w:rFonts w:ascii="Times New Roman" w:hAnsi="Times New Roman" w:cs="Times New Roman"/>
          <w:sz w:val="24"/>
          <w:szCs w:val="24"/>
        </w:rPr>
        <w:t xml:space="preserve"> c</w:t>
      </w:r>
      <w:r w:rsidR="009200D0" w:rsidRPr="00CA09B8">
        <w:rPr>
          <w:rFonts w:ascii="Times New Roman" w:hAnsi="Times New Roman" w:cs="Times New Roman"/>
          <w:sz w:val="24"/>
          <w:szCs w:val="24"/>
        </w:rPr>
        <w:t>ompanies and capital will generally benefit</w:t>
      </w:r>
      <w:r w:rsidR="00EA2439" w:rsidRPr="00CA09B8">
        <w:rPr>
          <w:rFonts w:ascii="Times New Roman" w:hAnsi="Times New Roman" w:cs="Times New Roman"/>
          <w:sz w:val="24"/>
          <w:szCs w:val="24"/>
        </w:rPr>
        <w:t xml:space="preserve"> from regulatory competition more than workers do,</w:t>
      </w:r>
      <w:r w:rsidR="009200D0" w:rsidRPr="00CA09B8">
        <w:rPr>
          <w:rStyle w:val="FootnoteReference"/>
          <w:rFonts w:ascii="Times New Roman" w:hAnsi="Times New Roman" w:cs="Times New Roman"/>
          <w:sz w:val="24"/>
          <w:szCs w:val="24"/>
        </w:rPr>
        <w:footnoteReference w:id="62"/>
      </w:r>
      <w:r w:rsidR="00EA2439" w:rsidRPr="00CA09B8">
        <w:rPr>
          <w:rFonts w:ascii="Times New Roman" w:hAnsi="Times New Roman" w:cs="Times New Roman"/>
          <w:sz w:val="24"/>
          <w:szCs w:val="24"/>
        </w:rPr>
        <w:t xml:space="preserve"> exercising their free movement entitlements to select favourable regulatory environments.</w:t>
      </w:r>
      <w:r w:rsidR="00EA2439" w:rsidRPr="00CA09B8">
        <w:rPr>
          <w:rStyle w:val="FootnoteReference"/>
          <w:rFonts w:ascii="Times New Roman" w:hAnsi="Times New Roman" w:cs="Times New Roman"/>
          <w:sz w:val="24"/>
          <w:szCs w:val="24"/>
        </w:rPr>
        <w:footnoteReference w:id="63"/>
      </w:r>
      <w:r w:rsidR="009200D0" w:rsidRPr="00CA09B8">
        <w:rPr>
          <w:rFonts w:ascii="Times New Roman" w:hAnsi="Times New Roman" w:cs="Times New Roman"/>
          <w:sz w:val="24"/>
          <w:szCs w:val="24"/>
        </w:rPr>
        <w:t xml:space="preserve"> This can lead to the perception that the positive effects of European economic integration are mainly enjoyed by an elite population,</w:t>
      </w:r>
      <w:r w:rsidR="009200D0" w:rsidRPr="00CA09B8">
        <w:rPr>
          <w:rStyle w:val="FootnoteReference"/>
          <w:rFonts w:ascii="Times New Roman" w:hAnsi="Times New Roman" w:cs="Times New Roman"/>
          <w:sz w:val="24"/>
          <w:szCs w:val="24"/>
        </w:rPr>
        <w:footnoteReference w:id="64"/>
      </w:r>
      <w:r w:rsidR="009200D0" w:rsidRPr="00CA09B8">
        <w:rPr>
          <w:rFonts w:ascii="Times New Roman" w:hAnsi="Times New Roman" w:cs="Times New Roman"/>
          <w:sz w:val="24"/>
          <w:szCs w:val="24"/>
        </w:rPr>
        <w:t xml:space="preserve"> whil</w:t>
      </w:r>
      <w:r w:rsidR="00396D8B" w:rsidRPr="00CA09B8">
        <w:rPr>
          <w:rFonts w:ascii="Times New Roman" w:hAnsi="Times New Roman" w:cs="Times New Roman"/>
          <w:sz w:val="24"/>
          <w:szCs w:val="24"/>
        </w:rPr>
        <w:t xml:space="preserve">st putting </w:t>
      </w:r>
      <w:r w:rsidR="00E02E5B" w:rsidRPr="00CA09B8">
        <w:rPr>
          <w:rFonts w:ascii="Times New Roman" w:hAnsi="Times New Roman" w:cs="Times New Roman"/>
          <w:sz w:val="24"/>
          <w:szCs w:val="24"/>
        </w:rPr>
        <w:t>established social entitlements at risk</w:t>
      </w:r>
      <w:r w:rsidR="00396D8B" w:rsidRPr="00CA09B8">
        <w:rPr>
          <w:rFonts w:ascii="Times New Roman" w:hAnsi="Times New Roman" w:cs="Times New Roman"/>
          <w:sz w:val="24"/>
          <w:szCs w:val="24"/>
        </w:rPr>
        <w:t>.</w:t>
      </w:r>
      <w:r w:rsidR="001963A4" w:rsidRPr="00CA09B8">
        <w:rPr>
          <w:rFonts w:ascii="Times New Roman" w:hAnsi="Times New Roman" w:cs="Times New Roman"/>
          <w:sz w:val="24"/>
          <w:szCs w:val="24"/>
        </w:rPr>
        <w:t xml:space="preserve"> </w:t>
      </w:r>
      <w:r w:rsidR="009200D0" w:rsidRPr="00CA09B8">
        <w:rPr>
          <w:rFonts w:ascii="Times New Roman" w:hAnsi="Times New Roman" w:cs="Times New Roman"/>
          <w:sz w:val="24"/>
          <w:szCs w:val="24"/>
        </w:rPr>
        <w:t>A high-profile example of this is the</w:t>
      </w:r>
      <w:r w:rsidR="00E02E5B" w:rsidRPr="00CA09B8">
        <w:rPr>
          <w:rFonts w:ascii="Times New Roman" w:hAnsi="Times New Roman" w:cs="Times New Roman"/>
          <w:sz w:val="24"/>
          <w:szCs w:val="24"/>
        </w:rPr>
        <w:t xml:space="preserve"> Lindsey oil refinery strikes in which British construction workers walked out in protest</w:t>
      </w:r>
      <w:r w:rsidR="00337200" w:rsidRPr="00CA09B8">
        <w:rPr>
          <w:rFonts w:ascii="Times New Roman" w:hAnsi="Times New Roman" w:cs="Times New Roman"/>
          <w:sz w:val="24"/>
          <w:szCs w:val="24"/>
        </w:rPr>
        <w:t xml:space="preserve"> – some under the controversial slogan ‘British Jobs for British Workers’ –</w:t>
      </w:r>
      <w:r w:rsidR="00E02E5B" w:rsidRPr="00CA09B8">
        <w:rPr>
          <w:rFonts w:ascii="Times New Roman" w:hAnsi="Times New Roman" w:cs="Times New Roman"/>
          <w:sz w:val="24"/>
          <w:szCs w:val="24"/>
        </w:rPr>
        <w:t xml:space="preserve"> at</w:t>
      </w:r>
      <w:r w:rsidR="00337200" w:rsidRPr="00CA09B8">
        <w:rPr>
          <w:rFonts w:ascii="Times New Roman" w:hAnsi="Times New Roman" w:cs="Times New Roman"/>
          <w:sz w:val="24"/>
          <w:szCs w:val="24"/>
        </w:rPr>
        <w:t xml:space="preserve"> apparent attempts by an Italian</w:t>
      </w:r>
      <w:r w:rsidR="00E02E5B" w:rsidRPr="00CA09B8">
        <w:rPr>
          <w:rFonts w:ascii="Times New Roman" w:hAnsi="Times New Roman" w:cs="Times New Roman"/>
          <w:sz w:val="24"/>
          <w:szCs w:val="24"/>
        </w:rPr>
        <w:t xml:space="preserve"> </w:t>
      </w:r>
      <w:r w:rsidR="00337200" w:rsidRPr="00CA09B8">
        <w:rPr>
          <w:rFonts w:ascii="Times New Roman" w:hAnsi="Times New Roman" w:cs="Times New Roman"/>
          <w:sz w:val="24"/>
          <w:szCs w:val="24"/>
        </w:rPr>
        <w:t>service provider</w:t>
      </w:r>
      <w:r w:rsidR="00E02E5B" w:rsidRPr="00CA09B8">
        <w:rPr>
          <w:rFonts w:ascii="Times New Roman" w:hAnsi="Times New Roman" w:cs="Times New Roman"/>
          <w:sz w:val="24"/>
          <w:szCs w:val="24"/>
        </w:rPr>
        <w:t xml:space="preserve"> IREM</w:t>
      </w:r>
      <w:r w:rsidR="00337200" w:rsidRPr="00CA09B8">
        <w:rPr>
          <w:rFonts w:ascii="Times New Roman" w:hAnsi="Times New Roman" w:cs="Times New Roman"/>
          <w:sz w:val="24"/>
          <w:szCs w:val="24"/>
        </w:rPr>
        <w:t xml:space="preserve">, themselves awarded the contract by French multinational TOTAL, to undercut existing wages and conditions by posting </w:t>
      </w:r>
      <w:r w:rsidR="00CA09B8" w:rsidRPr="00CA09B8">
        <w:rPr>
          <w:rFonts w:ascii="Times New Roman" w:hAnsi="Times New Roman" w:cs="Times New Roman"/>
          <w:sz w:val="24"/>
          <w:szCs w:val="24"/>
        </w:rPr>
        <w:t>migrant workers t</w:t>
      </w:r>
      <w:r w:rsidR="00337200" w:rsidRPr="00CA09B8">
        <w:rPr>
          <w:rFonts w:ascii="Times New Roman" w:hAnsi="Times New Roman" w:cs="Times New Roman"/>
          <w:sz w:val="24"/>
          <w:szCs w:val="24"/>
        </w:rPr>
        <w:t>o the site.</w:t>
      </w:r>
      <w:r w:rsidR="009200D0" w:rsidRPr="00CA09B8">
        <w:rPr>
          <w:rStyle w:val="FootnoteReference"/>
          <w:rFonts w:ascii="Times New Roman" w:hAnsi="Times New Roman" w:cs="Times New Roman"/>
          <w:sz w:val="24"/>
          <w:szCs w:val="24"/>
        </w:rPr>
        <w:footnoteReference w:id="65"/>
      </w:r>
    </w:p>
    <w:p w:rsidR="00CA09B8" w:rsidRPr="00CA09B8" w:rsidRDefault="001B7604" w:rsidP="00CA09B8">
      <w:pPr>
        <w:pStyle w:val="NoSpacing"/>
        <w:spacing w:line="360" w:lineRule="auto"/>
        <w:ind w:firstLine="284"/>
        <w:jc w:val="both"/>
        <w:rPr>
          <w:rFonts w:ascii="Times New Roman" w:hAnsi="Times New Roman" w:cs="Times New Roman"/>
          <w:sz w:val="24"/>
          <w:szCs w:val="24"/>
        </w:rPr>
      </w:pPr>
      <w:r w:rsidRPr="00CA09B8">
        <w:rPr>
          <w:rFonts w:ascii="Times New Roman" w:hAnsi="Times New Roman" w:cs="Times New Roman"/>
          <w:sz w:val="24"/>
          <w:szCs w:val="24"/>
        </w:rPr>
        <w:t>Second, the current breach/justificatio</w:t>
      </w:r>
      <w:r w:rsidR="009200D0" w:rsidRPr="00CA09B8">
        <w:rPr>
          <w:rFonts w:ascii="Times New Roman" w:hAnsi="Times New Roman" w:cs="Times New Roman"/>
          <w:sz w:val="24"/>
          <w:szCs w:val="24"/>
        </w:rPr>
        <w:t>n procedure requires Member States to justify the restrictions their social policy choices impose on free movement</w:t>
      </w:r>
      <w:r w:rsidRPr="00CA09B8">
        <w:rPr>
          <w:rFonts w:ascii="Times New Roman" w:hAnsi="Times New Roman" w:cs="Times New Roman"/>
          <w:sz w:val="24"/>
          <w:szCs w:val="24"/>
        </w:rPr>
        <w:t xml:space="preserve"> by means of high evidentiary hurdles</w:t>
      </w:r>
      <w:r w:rsidR="009200D0" w:rsidRPr="00CA09B8">
        <w:rPr>
          <w:rFonts w:ascii="Times New Roman" w:hAnsi="Times New Roman" w:cs="Times New Roman"/>
          <w:sz w:val="24"/>
          <w:szCs w:val="24"/>
        </w:rPr>
        <w:t>,</w:t>
      </w:r>
      <w:r w:rsidR="00786713" w:rsidRPr="00CA09B8">
        <w:rPr>
          <w:rStyle w:val="FootnoteReference"/>
          <w:rFonts w:ascii="Times New Roman" w:hAnsi="Times New Roman" w:cs="Times New Roman"/>
          <w:sz w:val="24"/>
          <w:szCs w:val="24"/>
        </w:rPr>
        <w:footnoteReference w:id="66"/>
      </w:r>
      <w:r w:rsidR="009200D0" w:rsidRPr="00CA09B8">
        <w:rPr>
          <w:rFonts w:ascii="Times New Roman" w:hAnsi="Times New Roman" w:cs="Times New Roman"/>
          <w:sz w:val="24"/>
          <w:szCs w:val="24"/>
        </w:rPr>
        <w:t xml:space="preserve"> even where these restrictions might only be</w:t>
      </w:r>
      <w:r w:rsidRPr="00CA09B8">
        <w:rPr>
          <w:rFonts w:ascii="Times New Roman" w:hAnsi="Times New Roman" w:cs="Times New Roman"/>
          <w:sz w:val="24"/>
          <w:szCs w:val="24"/>
        </w:rPr>
        <w:t xml:space="preserve"> indirect or potential</w:t>
      </w:r>
      <w:r w:rsidR="009200D0" w:rsidRPr="00CA09B8">
        <w:rPr>
          <w:rFonts w:ascii="Times New Roman" w:hAnsi="Times New Roman" w:cs="Times New Roman"/>
          <w:sz w:val="24"/>
          <w:szCs w:val="24"/>
        </w:rPr>
        <w:t>.</w:t>
      </w:r>
      <w:r w:rsidR="009200D0" w:rsidRPr="00CA09B8">
        <w:rPr>
          <w:rStyle w:val="FootnoteReference"/>
          <w:rFonts w:ascii="Times New Roman" w:hAnsi="Times New Roman" w:cs="Times New Roman"/>
          <w:sz w:val="24"/>
          <w:szCs w:val="24"/>
        </w:rPr>
        <w:footnoteReference w:id="67"/>
      </w:r>
      <w:r w:rsidR="001963A4" w:rsidRPr="00CA09B8">
        <w:rPr>
          <w:rFonts w:ascii="Times New Roman" w:hAnsi="Times New Roman" w:cs="Times New Roman"/>
          <w:sz w:val="24"/>
          <w:szCs w:val="24"/>
        </w:rPr>
        <w:t xml:space="preserve"> </w:t>
      </w:r>
      <w:r w:rsidR="005935E9" w:rsidRPr="00CA09B8">
        <w:rPr>
          <w:rFonts w:ascii="Times New Roman" w:hAnsi="Times New Roman" w:cs="Times New Roman"/>
          <w:sz w:val="24"/>
          <w:szCs w:val="24"/>
        </w:rPr>
        <w:t>By contrast,</w:t>
      </w:r>
      <w:r w:rsidR="004158F4">
        <w:rPr>
          <w:rFonts w:ascii="Times New Roman" w:hAnsi="Times New Roman" w:cs="Times New Roman"/>
          <w:sz w:val="24"/>
          <w:szCs w:val="24"/>
        </w:rPr>
        <w:t xml:space="preserve"> the EU is “</w:t>
      </w:r>
      <w:r w:rsidR="001963A4" w:rsidRPr="00CA09B8">
        <w:rPr>
          <w:rFonts w:ascii="Times New Roman" w:hAnsi="Times New Roman" w:cs="Times New Roman"/>
          <w:sz w:val="24"/>
          <w:szCs w:val="24"/>
        </w:rPr>
        <w:t xml:space="preserve">under no obligation to justify the intrusion in national policies and the </w:t>
      </w:r>
      <w:r w:rsidR="001963A4" w:rsidRPr="00CA09B8">
        <w:rPr>
          <w:rFonts w:ascii="Times New Roman" w:hAnsi="Times New Roman" w:cs="Times New Roman"/>
          <w:sz w:val="24"/>
          <w:szCs w:val="24"/>
        </w:rPr>
        <w:lastRenderedPageBreak/>
        <w:t>rejection of the complementary social values i</w:t>
      </w:r>
      <w:r w:rsidR="004158F4">
        <w:rPr>
          <w:rFonts w:ascii="Times New Roman" w:hAnsi="Times New Roman" w:cs="Times New Roman"/>
          <w:sz w:val="24"/>
          <w:szCs w:val="24"/>
        </w:rPr>
        <w:t>n the name of economic freedoms”</w:t>
      </w:r>
      <w:r w:rsidR="001963A4" w:rsidRPr="00CA09B8">
        <w:rPr>
          <w:rFonts w:ascii="Times New Roman" w:hAnsi="Times New Roman" w:cs="Times New Roman"/>
          <w:sz w:val="24"/>
          <w:szCs w:val="24"/>
        </w:rPr>
        <w:t>.</w:t>
      </w:r>
      <w:r w:rsidR="001963A4" w:rsidRPr="00CA09B8">
        <w:rPr>
          <w:rStyle w:val="FootnoteReference"/>
          <w:rFonts w:ascii="Times New Roman" w:hAnsi="Times New Roman" w:cs="Times New Roman"/>
          <w:sz w:val="24"/>
          <w:szCs w:val="24"/>
        </w:rPr>
        <w:footnoteReference w:id="68"/>
      </w:r>
      <w:r w:rsidR="001963A4" w:rsidRPr="00CA09B8">
        <w:rPr>
          <w:rFonts w:ascii="Times New Roman" w:hAnsi="Times New Roman" w:cs="Times New Roman"/>
          <w:sz w:val="24"/>
          <w:szCs w:val="24"/>
        </w:rPr>
        <w:t xml:space="preserve"> </w:t>
      </w:r>
      <w:r w:rsidR="005935E9" w:rsidRPr="00CA09B8">
        <w:rPr>
          <w:rFonts w:ascii="Times New Roman" w:hAnsi="Times New Roman" w:cs="Times New Roman"/>
          <w:sz w:val="24"/>
          <w:szCs w:val="24"/>
        </w:rPr>
        <w:t xml:space="preserve">Given </w:t>
      </w:r>
      <w:r w:rsidR="004178C0" w:rsidRPr="00CA09B8">
        <w:rPr>
          <w:rFonts w:ascii="Times New Roman" w:hAnsi="Times New Roman" w:cs="Times New Roman"/>
          <w:sz w:val="24"/>
          <w:szCs w:val="24"/>
        </w:rPr>
        <w:t xml:space="preserve">that </w:t>
      </w:r>
      <w:r w:rsidR="005935E9" w:rsidRPr="00CA09B8">
        <w:rPr>
          <w:rFonts w:ascii="Times New Roman" w:hAnsi="Times New Roman" w:cs="Times New Roman"/>
          <w:sz w:val="24"/>
          <w:szCs w:val="24"/>
        </w:rPr>
        <w:t>the economic/</w:t>
      </w:r>
      <w:r w:rsidR="00396D8B" w:rsidRPr="00CA09B8">
        <w:rPr>
          <w:rFonts w:ascii="Times New Roman" w:hAnsi="Times New Roman" w:cs="Times New Roman"/>
          <w:sz w:val="24"/>
          <w:szCs w:val="24"/>
        </w:rPr>
        <w:t xml:space="preserve">social </w:t>
      </w:r>
      <w:r w:rsidR="005935E9" w:rsidRPr="00CA09B8">
        <w:rPr>
          <w:rFonts w:ascii="Times New Roman" w:hAnsi="Times New Roman" w:cs="Times New Roman"/>
          <w:sz w:val="24"/>
          <w:szCs w:val="24"/>
        </w:rPr>
        <w:t>dichotomy</w:t>
      </w:r>
      <w:r w:rsidR="00396D8B" w:rsidRPr="00CA09B8">
        <w:rPr>
          <w:rFonts w:ascii="Times New Roman" w:hAnsi="Times New Roman" w:cs="Times New Roman"/>
          <w:sz w:val="24"/>
          <w:szCs w:val="24"/>
        </w:rPr>
        <w:t xml:space="preserve"> divides across European/national lines</w:t>
      </w:r>
      <w:r w:rsidR="005935E9" w:rsidRPr="00CA09B8">
        <w:rPr>
          <w:rFonts w:ascii="Times New Roman" w:hAnsi="Times New Roman" w:cs="Times New Roman"/>
          <w:sz w:val="24"/>
          <w:szCs w:val="24"/>
        </w:rPr>
        <w:t>, this</w:t>
      </w:r>
      <w:r w:rsidR="00786713" w:rsidRPr="00CA09B8">
        <w:rPr>
          <w:rFonts w:ascii="Times New Roman" w:hAnsi="Times New Roman" w:cs="Times New Roman"/>
          <w:sz w:val="24"/>
          <w:szCs w:val="24"/>
        </w:rPr>
        <w:t xml:space="preserve"> approach</w:t>
      </w:r>
      <w:r w:rsidR="005935E9" w:rsidRPr="00CA09B8">
        <w:rPr>
          <w:rFonts w:ascii="Times New Roman" w:hAnsi="Times New Roman" w:cs="Times New Roman"/>
          <w:sz w:val="24"/>
          <w:szCs w:val="24"/>
        </w:rPr>
        <w:t xml:space="preserve"> risked looking very much like</w:t>
      </w:r>
      <w:r w:rsidR="00786713" w:rsidRPr="00CA09B8">
        <w:rPr>
          <w:rFonts w:ascii="Times New Roman" w:hAnsi="Times New Roman" w:cs="Times New Roman"/>
          <w:sz w:val="24"/>
          <w:szCs w:val="24"/>
        </w:rPr>
        <w:t xml:space="preserve"> unchecked interference with </w:t>
      </w:r>
      <w:r w:rsidR="001963A4" w:rsidRPr="00CA09B8">
        <w:rPr>
          <w:rFonts w:ascii="Times New Roman" w:hAnsi="Times New Roman" w:cs="Times New Roman"/>
          <w:sz w:val="24"/>
          <w:szCs w:val="24"/>
        </w:rPr>
        <w:t>Member States’ traditional</w:t>
      </w:r>
      <w:r w:rsidRPr="00CA09B8">
        <w:rPr>
          <w:rFonts w:ascii="Times New Roman" w:hAnsi="Times New Roman" w:cs="Times New Roman"/>
          <w:sz w:val="24"/>
          <w:szCs w:val="24"/>
        </w:rPr>
        <w:t xml:space="preserve"> social</w:t>
      </w:r>
      <w:r w:rsidR="00786713" w:rsidRPr="00CA09B8">
        <w:rPr>
          <w:rFonts w:ascii="Times New Roman" w:hAnsi="Times New Roman" w:cs="Times New Roman"/>
          <w:sz w:val="24"/>
          <w:szCs w:val="24"/>
        </w:rPr>
        <w:t xml:space="preserve"> sovereignty. The legitimacy questions this raises are exacerbated by the fact that</w:t>
      </w:r>
      <w:r w:rsidR="005935E9" w:rsidRPr="00CA09B8">
        <w:rPr>
          <w:rFonts w:ascii="Times New Roman" w:hAnsi="Times New Roman" w:cs="Times New Roman"/>
          <w:sz w:val="24"/>
          <w:szCs w:val="24"/>
        </w:rPr>
        <w:t xml:space="preserve"> much of the momentum for </w:t>
      </w:r>
      <w:r w:rsidR="001963A4" w:rsidRPr="00CA09B8">
        <w:rPr>
          <w:rFonts w:ascii="Times New Roman" w:hAnsi="Times New Roman" w:cs="Times New Roman"/>
          <w:sz w:val="24"/>
          <w:szCs w:val="24"/>
        </w:rPr>
        <w:t>free movement’s expansion came from the EU’s judicial branch.</w:t>
      </w:r>
      <w:r w:rsidR="00396D8B" w:rsidRPr="00CA09B8">
        <w:rPr>
          <w:rFonts w:ascii="Times New Roman" w:hAnsi="Times New Roman" w:cs="Times New Roman"/>
          <w:sz w:val="24"/>
          <w:szCs w:val="24"/>
        </w:rPr>
        <w:t xml:space="preserve"> </w:t>
      </w:r>
      <w:r w:rsidR="00F67F49" w:rsidRPr="00CA09B8">
        <w:rPr>
          <w:rFonts w:ascii="Times New Roman" w:hAnsi="Times New Roman" w:cs="Times New Roman"/>
          <w:sz w:val="24"/>
          <w:szCs w:val="24"/>
        </w:rPr>
        <w:t>Horsley argues that, in its free movement case-law</w:t>
      </w:r>
      <w:r w:rsidR="004158F4">
        <w:rPr>
          <w:rFonts w:ascii="Times New Roman" w:hAnsi="Times New Roman" w:cs="Times New Roman"/>
          <w:sz w:val="24"/>
          <w:szCs w:val="24"/>
        </w:rPr>
        <w:t>, the Court has “</w:t>
      </w:r>
      <w:r w:rsidR="005935E9" w:rsidRPr="00CA09B8">
        <w:rPr>
          <w:rFonts w:ascii="Times New Roman" w:hAnsi="Times New Roman" w:cs="Times New Roman"/>
          <w:sz w:val="24"/>
          <w:szCs w:val="24"/>
        </w:rPr>
        <w:t xml:space="preserve">interposed itself as a political actor in EU </w:t>
      </w:r>
      <w:r w:rsidR="004158F4">
        <w:rPr>
          <w:rFonts w:ascii="Times New Roman" w:hAnsi="Times New Roman" w:cs="Times New Roman"/>
          <w:sz w:val="24"/>
          <w:szCs w:val="24"/>
        </w:rPr>
        <w:t>integration”</w:t>
      </w:r>
      <w:r w:rsidR="005935E9" w:rsidRPr="00CA09B8">
        <w:rPr>
          <w:rStyle w:val="FootnoteReference"/>
          <w:rFonts w:ascii="Times New Roman" w:hAnsi="Times New Roman" w:cs="Times New Roman"/>
          <w:sz w:val="24"/>
          <w:szCs w:val="24"/>
        </w:rPr>
        <w:footnoteReference w:id="69"/>
      </w:r>
      <w:r w:rsidR="005935E9" w:rsidRPr="00CA09B8">
        <w:rPr>
          <w:rFonts w:ascii="Times New Roman" w:hAnsi="Times New Roman" w:cs="Times New Roman"/>
          <w:sz w:val="24"/>
          <w:szCs w:val="24"/>
        </w:rPr>
        <w:t xml:space="preserve"> and made policy choices in s</w:t>
      </w:r>
      <w:r w:rsidR="00994ECB">
        <w:rPr>
          <w:rFonts w:ascii="Times New Roman" w:hAnsi="Times New Roman" w:cs="Times New Roman"/>
          <w:sz w:val="24"/>
          <w:szCs w:val="24"/>
        </w:rPr>
        <w:t>ensitive areas that, in the Court</w:t>
      </w:r>
      <w:r w:rsidR="005935E9" w:rsidRPr="00CA09B8">
        <w:rPr>
          <w:rFonts w:ascii="Times New Roman" w:hAnsi="Times New Roman" w:cs="Times New Roman"/>
          <w:sz w:val="24"/>
          <w:szCs w:val="24"/>
        </w:rPr>
        <w:t>’s absence ‘would simply not make it onto the discussion table’.</w:t>
      </w:r>
      <w:r w:rsidR="005935E9" w:rsidRPr="00CA09B8">
        <w:rPr>
          <w:rStyle w:val="FootnoteReference"/>
          <w:rFonts w:ascii="Times New Roman" w:hAnsi="Times New Roman" w:cs="Times New Roman"/>
          <w:sz w:val="24"/>
          <w:szCs w:val="24"/>
        </w:rPr>
        <w:footnoteReference w:id="70"/>
      </w:r>
      <w:r w:rsidRPr="00CA09B8">
        <w:rPr>
          <w:rFonts w:ascii="Times New Roman" w:hAnsi="Times New Roman" w:cs="Times New Roman"/>
          <w:sz w:val="24"/>
          <w:szCs w:val="24"/>
        </w:rPr>
        <w:t xml:space="preserve"> This arguably</w:t>
      </w:r>
      <w:r w:rsidR="005935E9" w:rsidRPr="00CA09B8">
        <w:rPr>
          <w:rFonts w:ascii="Times New Roman" w:hAnsi="Times New Roman" w:cs="Times New Roman"/>
          <w:sz w:val="24"/>
          <w:szCs w:val="24"/>
        </w:rPr>
        <w:t xml:space="preserve"> risk</w:t>
      </w:r>
      <w:r w:rsidR="00396D8B" w:rsidRPr="00CA09B8">
        <w:rPr>
          <w:rFonts w:ascii="Times New Roman" w:hAnsi="Times New Roman" w:cs="Times New Roman"/>
          <w:sz w:val="24"/>
          <w:szCs w:val="24"/>
        </w:rPr>
        <w:t>s</w:t>
      </w:r>
      <w:r w:rsidR="005935E9" w:rsidRPr="00CA09B8">
        <w:rPr>
          <w:rFonts w:ascii="Times New Roman" w:hAnsi="Times New Roman" w:cs="Times New Roman"/>
          <w:sz w:val="24"/>
          <w:szCs w:val="24"/>
        </w:rPr>
        <w:t xml:space="preserve"> causing a disconnection between the EU and its citizenry.</w:t>
      </w:r>
      <w:r w:rsidR="005935E9" w:rsidRPr="00CA09B8">
        <w:rPr>
          <w:rStyle w:val="FootnoteReference"/>
          <w:rFonts w:ascii="Times New Roman" w:hAnsi="Times New Roman" w:cs="Times New Roman"/>
          <w:sz w:val="24"/>
          <w:szCs w:val="24"/>
        </w:rPr>
        <w:footnoteReference w:id="71"/>
      </w:r>
      <w:r w:rsidR="005935E9" w:rsidRPr="00CA09B8">
        <w:rPr>
          <w:rFonts w:ascii="Times New Roman" w:hAnsi="Times New Roman" w:cs="Times New Roman"/>
          <w:sz w:val="24"/>
          <w:szCs w:val="24"/>
        </w:rPr>
        <w:t xml:space="preserve">  </w:t>
      </w:r>
      <w:r w:rsidR="001963A4" w:rsidRPr="00CA09B8">
        <w:rPr>
          <w:rFonts w:ascii="Times New Roman" w:hAnsi="Times New Roman" w:cs="Times New Roman"/>
          <w:sz w:val="24"/>
          <w:szCs w:val="24"/>
        </w:rPr>
        <w:t>Consequently, though the reasons for</w:t>
      </w:r>
      <w:r w:rsidR="00386FA8" w:rsidRPr="00CA09B8">
        <w:rPr>
          <w:rFonts w:ascii="Times New Roman" w:hAnsi="Times New Roman" w:cs="Times New Roman"/>
          <w:sz w:val="24"/>
          <w:szCs w:val="24"/>
        </w:rPr>
        <w:t xml:space="preserve"> the various</w:t>
      </w:r>
      <w:r w:rsidR="001963A4" w:rsidRPr="00CA09B8">
        <w:rPr>
          <w:rFonts w:ascii="Times New Roman" w:hAnsi="Times New Roman" w:cs="Times New Roman"/>
          <w:sz w:val="24"/>
          <w:szCs w:val="24"/>
        </w:rPr>
        <w:t xml:space="preserve"> Treaty change</w:t>
      </w:r>
      <w:r w:rsidR="00386FA8" w:rsidRPr="00CA09B8">
        <w:rPr>
          <w:rFonts w:ascii="Times New Roman" w:hAnsi="Times New Roman" w:cs="Times New Roman"/>
          <w:sz w:val="24"/>
          <w:szCs w:val="24"/>
        </w:rPr>
        <w:t>s since Rome a</w:t>
      </w:r>
      <w:r w:rsidR="001963A4" w:rsidRPr="00CA09B8">
        <w:rPr>
          <w:rFonts w:ascii="Times New Roman" w:hAnsi="Times New Roman" w:cs="Times New Roman"/>
          <w:sz w:val="24"/>
          <w:szCs w:val="24"/>
        </w:rPr>
        <w:t>re manifold, a frequently occurring justification has been the need to counter-balance the potentially detrimental effects of the inte</w:t>
      </w:r>
      <w:r w:rsidR="00CA09B8" w:rsidRPr="00CA09B8">
        <w:rPr>
          <w:rFonts w:ascii="Times New Roman" w:hAnsi="Times New Roman" w:cs="Times New Roman"/>
          <w:sz w:val="24"/>
          <w:szCs w:val="24"/>
        </w:rPr>
        <w:t>rnal market on social progress.</w:t>
      </w:r>
    </w:p>
    <w:p w:rsidR="00CA09B8" w:rsidRPr="00CA09B8" w:rsidRDefault="00CA09B8" w:rsidP="00CA09B8">
      <w:pPr>
        <w:pStyle w:val="NoSpacing"/>
        <w:spacing w:line="360" w:lineRule="auto"/>
        <w:jc w:val="both"/>
        <w:rPr>
          <w:rFonts w:ascii="Times New Roman" w:hAnsi="Times New Roman" w:cs="Times New Roman"/>
          <w:b/>
          <w:i/>
          <w:sz w:val="24"/>
          <w:szCs w:val="24"/>
        </w:rPr>
      </w:pPr>
    </w:p>
    <w:p w:rsidR="0089044F" w:rsidRDefault="00CA09B8" w:rsidP="00CA09B8">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III ‘SOCIAL EUROPE’: MAINTAINING THE ARTIFICAL BOUNDARIES OF SOCIAL AND ECONOMIC INTEGRATION</w:t>
      </w:r>
    </w:p>
    <w:p w:rsidR="00CA09B8" w:rsidRPr="00CA09B8" w:rsidRDefault="00CA09B8" w:rsidP="00CA09B8">
      <w:pPr>
        <w:pStyle w:val="NoSpacing"/>
        <w:spacing w:line="360" w:lineRule="auto"/>
        <w:jc w:val="both"/>
        <w:rPr>
          <w:rFonts w:ascii="Times New Roman" w:hAnsi="Times New Roman" w:cs="Times New Roman"/>
          <w:sz w:val="24"/>
          <w:szCs w:val="24"/>
        </w:rPr>
      </w:pPr>
    </w:p>
    <w:p w:rsidR="00CA09B8" w:rsidRDefault="00FC598F" w:rsidP="00CA09B8">
      <w:pPr>
        <w:pStyle w:val="NoSpacing"/>
        <w:spacing w:line="360" w:lineRule="auto"/>
        <w:jc w:val="both"/>
        <w:rPr>
          <w:rFonts w:ascii="Times New Roman" w:hAnsi="Times New Roman" w:cs="Times New Roman"/>
          <w:sz w:val="24"/>
          <w:szCs w:val="24"/>
        </w:rPr>
      </w:pPr>
      <w:r w:rsidRPr="00CA09B8">
        <w:rPr>
          <w:rFonts w:ascii="Times New Roman" w:hAnsi="Times New Roman" w:cs="Times New Roman"/>
          <w:sz w:val="24"/>
          <w:szCs w:val="24"/>
        </w:rPr>
        <w:t>The examples of increased interaction between internal market rules and national social policy provided</w:t>
      </w:r>
      <w:r w:rsidR="00C54176" w:rsidRPr="00CA09B8">
        <w:rPr>
          <w:rFonts w:ascii="Times New Roman" w:hAnsi="Times New Roman" w:cs="Times New Roman"/>
          <w:sz w:val="24"/>
          <w:szCs w:val="24"/>
        </w:rPr>
        <w:t xml:space="preserve"> above</w:t>
      </w:r>
      <w:r w:rsidRPr="00CA09B8">
        <w:rPr>
          <w:rFonts w:ascii="Times New Roman" w:hAnsi="Times New Roman" w:cs="Times New Roman"/>
          <w:sz w:val="24"/>
          <w:szCs w:val="24"/>
        </w:rPr>
        <w:t xml:space="preserve"> are drawn from various points in the Union’s developmental history. </w:t>
      </w:r>
      <w:r w:rsidR="00C54176" w:rsidRPr="00CA09B8">
        <w:rPr>
          <w:rFonts w:ascii="Times New Roman" w:hAnsi="Times New Roman" w:cs="Times New Roman"/>
          <w:sz w:val="24"/>
          <w:szCs w:val="24"/>
        </w:rPr>
        <w:t xml:space="preserve">Accordingly, </w:t>
      </w:r>
      <w:r w:rsidRPr="00CA09B8">
        <w:rPr>
          <w:rFonts w:ascii="Times New Roman" w:hAnsi="Times New Roman" w:cs="Times New Roman"/>
          <w:sz w:val="24"/>
          <w:szCs w:val="24"/>
        </w:rPr>
        <w:t>the analysis should not be understood as linear but as encapsulating a matrix of economic and social dynamics. Within this matrix is the accompanying exp</w:t>
      </w:r>
      <w:r w:rsidR="00C54176" w:rsidRPr="00CA09B8">
        <w:rPr>
          <w:rFonts w:ascii="Times New Roman" w:hAnsi="Times New Roman" w:cs="Times New Roman"/>
          <w:sz w:val="24"/>
          <w:szCs w:val="24"/>
        </w:rPr>
        <w:t>ansion of the EU’s social remit</w:t>
      </w:r>
      <w:r w:rsidR="00B63A48" w:rsidRPr="00CA09B8">
        <w:rPr>
          <w:rFonts w:ascii="Times New Roman" w:hAnsi="Times New Roman" w:cs="Times New Roman"/>
          <w:sz w:val="24"/>
          <w:szCs w:val="24"/>
        </w:rPr>
        <w:t xml:space="preserve">, within </w:t>
      </w:r>
      <w:r w:rsidR="00331876" w:rsidRPr="00CA09B8">
        <w:rPr>
          <w:rFonts w:ascii="Times New Roman" w:hAnsi="Times New Roman" w:cs="Times New Roman"/>
          <w:sz w:val="24"/>
          <w:szCs w:val="24"/>
        </w:rPr>
        <w:t>which social integration be</w:t>
      </w:r>
      <w:r w:rsidR="00450EAE" w:rsidRPr="00CA09B8">
        <w:rPr>
          <w:rFonts w:ascii="Times New Roman" w:hAnsi="Times New Roman" w:cs="Times New Roman"/>
          <w:sz w:val="24"/>
          <w:szCs w:val="24"/>
        </w:rPr>
        <w:t xml:space="preserve">gan to manifest as </w:t>
      </w:r>
      <w:r w:rsidR="00B63A48" w:rsidRPr="00CA09B8">
        <w:rPr>
          <w:rFonts w:ascii="Times New Roman" w:hAnsi="Times New Roman" w:cs="Times New Roman"/>
          <w:sz w:val="24"/>
          <w:szCs w:val="24"/>
        </w:rPr>
        <w:t>an independent Union aim</w:t>
      </w:r>
      <w:r w:rsidR="00CA09B8">
        <w:rPr>
          <w:rFonts w:ascii="Times New Roman" w:hAnsi="Times New Roman" w:cs="Times New Roman"/>
          <w:sz w:val="24"/>
          <w:szCs w:val="24"/>
        </w:rPr>
        <w:t xml:space="preserve">. This </w:t>
      </w:r>
      <w:r w:rsidR="00C54176" w:rsidRPr="00CA09B8">
        <w:rPr>
          <w:rFonts w:ascii="Times New Roman" w:hAnsi="Times New Roman" w:cs="Times New Roman"/>
          <w:sz w:val="24"/>
          <w:szCs w:val="24"/>
        </w:rPr>
        <w:t xml:space="preserve">section, first, charts this evolution, establishing that it was motivated, at least in part, by the acknowledgement that the economic/social dichotomy was unfit for purpose and the belief that social integration was an essential component in enhancing Union legitimacy. Nevertheless, </w:t>
      </w:r>
      <w:r w:rsidR="00B63A48" w:rsidRPr="00CA09B8">
        <w:rPr>
          <w:rFonts w:ascii="Times New Roman" w:hAnsi="Times New Roman" w:cs="Times New Roman"/>
          <w:sz w:val="24"/>
          <w:szCs w:val="24"/>
        </w:rPr>
        <w:t xml:space="preserve">second, </w:t>
      </w:r>
      <w:r w:rsidR="00CA09B8">
        <w:rPr>
          <w:rFonts w:ascii="Times New Roman" w:hAnsi="Times New Roman" w:cs="Times New Roman"/>
          <w:sz w:val="24"/>
          <w:szCs w:val="24"/>
        </w:rPr>
        <w:t xml:space="preserve">the </w:t>
      </w:r>
      <w:r w:rsidR="00C54176" w:rsidRPr="00CA09B8">
        <w:rPr>
          <w:rFonts w:ascii="Times New Roman" w:hAnsi="Times New Roman" w:cs="Times New Roman"/>
          <w:sz w:val="24"/>
          <w:szCs w:val="24"/>
        </w:rPr>
        <w:t>section ide</w:t>
      </w:r>
      <w:r w:rsidR="00B63A48" w:rsidRPr="00CA09B8">
        <w:rPr>
          <w:rFonts w:ascii="Times New Roman" w:hAnsi="Times New Roman" w:cs="Times New Roman"/>
          <w:sz w:val="24"/>
          <w:szCs w:val="24"/>
        </w:rPr>
        <w:t xml:space="preserve">ntifies the continuing constraints the economic/social dichotomy places on </w:t>
      </w:r>
      <w:r w:rsidR="00331876" w:rsidRPr="00CA09B8">
        <w:rPr>
          <w:rFonts w:ascii="Times New Roman" w:hAnsi="Times New Roman" w:cs="Times New Roman"/>
          <w:sz w:val="24"/>
          <w:szCs w:val="24"/>
        </w:rPr>
        <w:t>the extent to which the EU can</w:t>
      </w:r>
      <w:r w:rsidR="00B63A48" w:rsidRPr="00CA09B8">
        <w:rPr>
          <w:rFonts w:ascii="Times New Roman" w:hAnsi="Times New Roman" w:cs="Times New Roman"/>
          <w:sz w:val="24"/>
          <w:szCs w:val="24"/>
        </w:rPr>
        <w:t xml:space="preserve"> deliver social integration as a counter-balance to the internal market. </w:t>
      </w:r>
      <w:r w:rsidR="00C54176" w:rsidRPr="00CA09B8">
        <w:rPr>
          <w:rFonts w:ascii="Times New Roman" w:hAnsi="Times New Roman" w:cs="Times New Roman"/>
          <w:sz w:val="24"/>
          <w:szCs w:val="24"/>
        </w:rPr>
        <w:t xml:space="preserve"> </w:t>
      </w:r>
    </w:p>
    <w:p w:rsidR="00CA09B8" w:rsidRDefault="00CA09B8" w:rsidP="00CA09B8">
      <w:pPr>
        <w:pStyle w:val="NoSpacing"/>
        <w:spacing w:line="360" w:lineRule="auto"/>
        <w:jc w:val="both"/>
        <w:rPr>
          <w:rFonts w:ascii="Times New Roman" w:hAnsi="Times New Roman" w:cs="Times New Roman"/>
          <w:sz w:val="24"/>
          <w:szCs w:val="24"/>
        </w:rPr>
      </w:pPr>
    </w:p>
    <w:p w:rsidR="00FC598F" w:rsidRDefault="00CA09B8" w:rsidP="00CA09B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III.1 THE EMERGENCE AND EVOLUTION OF SOCIAL INTEGRATION AS A (CONSTRAINED) INDEPENDENT UNION AIM</w:t>
      </w:r>
    </w:p>
    <w:p w:rsidR="00CA09B8" w:rsidRPr="00F22BC6" w:rsidRDefault="00CA09B8" w:rsidP="00CA09B8">
      <w:pPr>
        <w:pStyle w:val="NoSpacing"/>
        <w:spacing w:line="360" w:lineRule="auto"/>
        <w:jc w:val="both"/>
        <w:rPr>
          <w:rFonts w:ascii="Times New Roman" w:hAnsi="Times New Roman" w:cs="Times New Roman"/>
          <w:sz w:val="24"/>
          <w:szCs w:val="24"/>
        </w:rPr>
      </w:pPr>
    </w:p>
    <w:p w:rsidR="00CA09B8" w:rsidRDefault="00FC598F" w:rsidP="002F33D2">
      <w:pPr>
        <w:pStyle w:val="NoSpacing"/>
        <w:spacing w:line="360" w:lineRule="auto"/>
        <w:jc w:val="both"/>
        <w:rPr>
          <w:rFonts w:ascii="Times New Roman" w:hAnsi="Times New Roman" w:cs="Times New Roman"/>
          <w:sz w:val="24"/>
          <w:szCs w:val="24"/>
        </w:rPr>
      </w:pPr>
      <w:r w:rsidRPr="00F22BC6">
        <w:rPr>
          <w:rFonts w:ascii="Times New Roman" w:hAnsi="Times New Roman" w:cs="Times New Roman"/>
          <w:sz w:val="24"/>
          <w:szCs w:val="24"/>
        </w:rPr>
        <w:t>The Union’s political branches took steps relatively early on</w:t>
      </w:r>
      <w:r w:rsidR="00E624AC" w:rsidRPr="00F22BC6">
        <w:rPr>
          <w:rFonts w:ascii="Times New Roman" w:hAnsi="Times New Roman" w:cs="Times New Roman"/>
          <w:sz w:val="24"/>
          <w:szCs w:val="24"/>
        </w:rPr>
        <w:t xml:space="preserve"> </w:t>
      </w:r>
      <w:r w:rsidRPr="00F22BC6">
        <w:rPr>
          <w:rFonts w:ascii="Times New Roman" w:hAnsi="Times New Roman" w:cs="Times New Roman"/>
          <w:sz w:val="24"/>
          <w:szCs w:val="24"/>
        </w:rPr>
        <w:t xml:space="preserve">to </w:t>
      </w:r>
      <w:r w:rsidR="00BD25D0">
        <w:rPr>
          <w:rFonts w:ascii="Times New Roman" w:hAnsi="Times New Roman" w:cs="Times New Roman"/>
          <w:sz w:val="24"/>
          <w:szCs w:val="24"/>
        </w:rPr>
        <w:t>assert</w:t>
      </w:r>
      <w:r w:rsidR="004158F4">
        <w:rPr>
          <w:rFonts w:ascii="Times New Roman" w:hAnsi="Times New Roman" w:cs="Times New Roman"/>
          <w:sz w:val="24"/>
          <w:szCs w:val="24"/>
        </w:rPr>
        <w:t xml:space="preserve"> that “</w:t>
      </w:r>
      <w:r w:rsidRPr="00F22BC6">
        <w:rPr>
          <w:rFonts w:ascii="Times New Roman" w:hAnsi="Times New Roman" w:cs="Times New Roman"/>
          <w:sz w:val="24"/>
          <w:szCs w:val="24"/>
        </w:rPr>
        <w:t>economic expansion is not an end in itself but should result in</w:t>
      </w:r>
      <w:r w:rsidR="00BD25D0">
        <w:rPr>
          <w:rFonts w:ascii="Times New Roman" w:hAnsi="Times New Roman" w:cs="Times New Roman"/>
          <w:sz w:val="24"/>
          <w:szCs w:val="24"/>
        </w:rPr>
        <w:t xml:space="preserve"> an</w:t>
      </w:r>
      <w:r w:rsidRPr="00F22BC6">
        <w:rPr>
          <w:rFonts w:ascii="Times New Roman" w:hAnsi="Times New Roman" w:cs="Times New Roman"/>
          <w:sz w:val="24"/>
          <w:szCs w:val="24"/>
        </w:rPr>
        <w:t xml:space="preserve"> improvement in the quality of life as</w:t>
      </w:r>
      <w:r w:rsidR="004158F4">
        <w:rPr>
          <w:rFonts w:ascii="Times New Roman" w:hAnsi="Times New Roman" w:cs="Times New Roman"/>
          <w:sz w:val="24"/>
          <w:szCs w:val="24"/>
        </w:rPr>
        <w:t xml:space="preserve"> well as the standard of living”</w:t>
      </w:r>
      <w:r w:rsidRPr="00F22BC6">
        <w:rPr>
          <w:rFonts w:ascii="Times New Roman" w:hAnsi="Times New Roman" w:cs="Times New Roman"/>
          <w:sz w:val="24"/>
          <w:szCs w:val="24"/>
        </w:rPr>
        <w:t>.</w:t>
      </w:r>
      <w:r w:rsidRPr="00F22BC6">
        <w:rPr>
          <w:rStyle w:val="FootnoteReference"/>
          <w:rFonts w:ascii="Times New Roman" w:hAnsi="Times New Roman" w:cs="Times New Roman"/>
          <w:sz w:val="24"/>
          <w:szCs w:val="24"/>
        </w:rPr>
        <w:footnoteReference w:id="72"/>
      </w:r>
      <w:r w:rsidRPr="00F22BC6">
        <w:rPr>
          <w:rFonts w:ascii="Times New Roman" w:hAnsi="Times New Roman" w:cs="Times New Roman"/>
          <w:sz w:val="24"/>
          <w:szCs w:val="24"/>
        </w:rPr>
        <w:t xml:space="preserve"> The Council’s 1974 Resolution </w:t>
      </w:r>
      <w:r w:rsidR="00E624AC" w:rsidRPr="00F22BC6">
        <w:rPr>
          <w:rFonts w:ascii="Times New Roman" w:hAnsi="Times New Roman" w:cs="Times New Roman"/>
          <w:sz w:val="24"/>
          <w:szCs w:val="24"/>
        </w:rPr>
        <w:t>on a Social Action Programme</w:t>
      </w:r>
      <w:r w:rsidRPr="00F22BC6">
        <w:rPr>
          <w:rFonts w:ascii="Times New Roman" w:hAnsi="Times New Roman" w:cs="Times New Roman"/>
          <w:sz w:val="24"/>
          <w:szCs w:val="24"/>
        </w:rPr>
        <w:t xml:space="preserve"> explicitly rec</w:t>
      </w:r>
      <w:r w:rsidR="004158F4">
        <w:rPr>
          <w:rFonts w:ascii="Times New Roman" w:hAnsi="Times New Roman" w:cs="Times New Roman"/>
          <w:sz w:val="24"/>
          <w:szCs w:val="24"/>
        </w:rPr>
        <w:t>ognised that social policy had “an individual role to play”</w:t>
      </w:r>
      <w:r w:rsidRPr="00F22BC6">
        <w:rPr>
          <w:rFonts w:ascii="Times New Roman" w:hAnsi="Times New Roman" w:cs="Times New Roman"/>
          <w:sz w:val="24"/>
          <w:szCs w:val="24"/>
        </w:rPr>
        <w:t>,</w:t>
      </w:r>
      <w:r w:rsidRPr="00F22BC6">
        <w:rPr>
          <w:rStyle w:val="FootnoteReference"/>
          <w:rFonts w:ascii="Times New Roman" w:hAnsi="Times New Roman" w:cs="Times New Roman"/>
          <w:sz w:val="24"/>
          <w:szCs w:val="24"/>
        </w:rPr>
        <w:footnoteReference w:id="73"/>
      </w:r>
      <w:r w:rsidRPr="00F22BC6">
        <w:rPr>
          <w:rFonts w:ascii="Times New Roman" w:hAnsi="Times New Roman" w:cs="Times New Roman"/>
          <w:sz w:val="24"/>
          <w:szCs w:val="24"/>
        </w:rPr>
        <w:t xml:space="preserve"> </w:t>
      </w:r>
      <w:r w:rsidR="00E624AC" w:rsidRPr="00F22BC6">
        <w:rPr>
          <w:rFonts w:ascii="Times New Roman" w:hAnsi="Times New Roman" w:cs="Times New Roman"/>
          <w:sz w:val="24"/>
          <w:szCs w:val="24"/>
        </w:rPr>
        <w:t>and saw this as an important means of</w:t>
      </w:r>
      <w:r w:rsidRPr="00F22BC6">
        <w:rPr>
          <w:rFonts w:ascii="Times New Roman" w:hAnsi="Times New Roman" w:cs="Times New Roman"/>
          <w:sz w:val="24"/>
          <w:szCs w:val="24"/>
        </w:rPr>
        <w:t xml:space="preserve"> </w:t>
      </w:r>
      <w:r w:rsidR="004158F4">
        <w:rPr>
          <w:rFonts w:ascii="Times New Roman" w:hAnsi="Times New Roman" w:cs="Times New Roman"/>
          <w:sz w:val="24"/>
          <w:szCs w:val="24"/>
        </w:rPr>
        <w:t>“</w:t>
      </w:r>
      <w:r w:rsidRPr="00F22BC6">
        <w:rPr>
          <w:rFonts w:ascii="Times New Roman" w:hAnsi="Times New Roman" w:cs="Times New Roman"/>
          <w:sz w:val="24"/>
          <w:szCs w:val="24"/>
        </w:rPr>
        <w:t xml:space="preserve">enhancing EEC legitimacy in </w:t>
      </w:r>
      <w:r w:rsidR="004158F4">
        <w:rPr>
          <w:rFonts w:ascii="Times New Roman" w:hAnsi="Times New Roman" w:cs="Times New Roman"/>
          <w:sz w:val="24"/>
          <w:szCs w:val="24"/>
        </w:rPr>
        <w:t>the eyes of citizens”</w:t>
      </w:r>
      <w:r w:rsidRPr="00F22BC6">
        <w:rPr>
          <w:rFonts w:ascii="Times New Roman" w:hAnsi="Times New Roman" w:cs="Times New Roman"/>
          <w:sz w:val="24"/>
          <w:szCs w:val="24"/>
        </w:rPr>
        <w:t>.</w:t>
      </w:r>
      <w:r w:rsidRPr="00F22BC6">
        <w:rPr>
          <w:rStyle w:val="FootnoteReference"/>
          <w:rFonts w:ascii="Times New Roman" w:hAnsi="Times New Roman" w:cs="Times New Roman"/>
          <w:sz w:val="24"/>
          <w:szCs w:val="24"/>
        </w:rPr>
        <w:footnoteReference w:id="74"/>
      </w:r>
      <w:r w:rsidRPr="00F22BC6">
        <w:rPr>
          <w:rFonts w:ascii="Times New Roman" w:hAnsi="Times New Roman" w:cs="Times New Roman"/>
          <w:sz w:val="24"/>
          <w:szCs w:val="24"/>
        </w:rPr>
        <w:t xml:space="preserve"> </w:t>
      </w:r>
      <w:r w:rsidR="00BF74E0" w:rsidRPr="00F22BC6">
        <w:rPr>
          <w:rFonts w:ascii="Times New Roman" w:hAnsi="Times New Roman" w:cs="Times New Roman"/>
          <w:sz w:val="24"/>
          <w:szCs w:val="24"/>
        </w:rPr>
        <w:t>This was a</w:t>
      </w:r>
      <w:r w:rsidR="00994ECB">
        <w:rPr>
          <w:rFonts w:ascii="Times New Roman" w:hAnsi="Times New Roman" w:cs="Times New Roman"/>
          <w:sz w:val="24"/>
          <w:szCs w:val="24"/>
        </w:rPr>
        <w:t>lso the period in which the Court</w:t>
      </w:r>
      <w:r w:rsidR="00BF74E0" w:rsidRPr="00F22BC6">
        <w:rPr>
          <w:rFonts w:ascii="Times New Roman" w:hAnsi="Times New Roman" w:cs="Times New Roman"/>
          <w:sz w:val="24"/>
          <w:szCs w:val="24"/>
        </w:rPr>
        <w:t xml:space="preserve"> recognised the direct effect of the Union’s primary law provisions on equal pay.</w:t>
      </w:r>
      <w:r w:rsidR="00BF74E0" w:rsidRPr="00F22BC6">
        <w:rPr>
          <w:rStyle w:val="FootnoteReference"/>
          <w:rFonts w:ascii="Times New Roman" w:hAnsi="Times New Roman" w:cs="Times New Roman"/>
          <w:sz w:val="24"/>
          <w:szCs w:val="24"/>
        </w:rPr>
        <w:footnoteReference w:id="75"/>
      </w:r>
      <w:r w:rsidR="00BF74E0" w:rsidRPr="00F22BC6">
        <w:rPr>
          <w:rFonts w:ascii="Times New Roman" w:hAnsi="Times New Roman" w:cs="Times New Roman"/>
          <w:sz w:val="24"/>
          <w:szCs w:val="24"/>
        </w:rPr>
        <w:t xml:space="preserve"> </w:t>
      </w:r>
      <w:r w:rsidR="00E624AC" w:rsidRPr="00F22BC6">
        <w:rPr>
          <w:rFonts w:ascii="Times New Roman" w:hAnsi="Times New Roman" w:cs="Times New Roman"/>
          <w:sz w:val="24"/>
          <w:szCs w:val="24"/>
        </w:rPr>
        <w:t>Nevertheless,</w:t>
      </w:r>
      <w:r w:rsidR="00BD25D0">
        <w:rPr>
          <w:rFonts w:ascii="Times New Roman" w:hAnsi="Times New Roman" w:cs="Times New Roman"/>
          <w:sz w:val="24"/>
          <w:szCs w:val="24"/>
        </w:rPr>
        <w:t xml:space="preserve"> </w:t>
      </w:r>
      <w:r w:rsidR="00E624AC" w:rsidRPr="00F22BC6">
        <w:rPr>
          <w:rFonts w:ascii="Times New Roman" w:hAnsi="Times New Roman" w:cs="Times New Roman"/>
          <w:sz w:val="24"/>
          <w:szCs w:val="24"/>
        </w:rPr>
        <w:t>the Council remained conscious of the traditional social s</w:t>
      </w:r>
      <w:r w:rsidR="00BD25D0">
        <w:rPr>
          <w:rFonts w:ascii="Times New Roman" w:hAnsi="Times New Roman" w:cs="Times New Roman"/>
          <w:sz w:val="24"/>
          <w:szCs w:val="24"/>
        </w:rPr>
        <w:t>overeignty of the Member States, emphasising that</w:t>
      </w:r>
      <w:r w:rsidRPr="00F22BC6">
        <w:rPr>
          <w:rFonts w:ascii="Times New Roman" w:hAnsi="Times New Roman" w:cs="Times New Roman"/>
          <w:sz w:val="24"/>
          <w:szCs w:val="24"/>
        </w:rPr>
        <w:t xml:space="preserve"> </w:t>
      </w:r>
      <w:r w:rsidR="00E624AC" w:rsidRPr="00F22BC6">
        <w:rPr>
          <w:rFonts w:ascii="Times New Roman" w:hAnsi="Times New Roman" w:cs="Times New Roman"/>
          <w:sz w:val="24"/>
          <w:szCs w:val="24"/>
        </w:rPr>
        <w:t>EEC</w:t>
      </w:r>
      <w:r w:rsidR="004158F4">
        <w:rPr>
          <w:rFonts w:ascii="Times New Roman" w:hAnsi="Times New Roman" w:cs="Times New Roman"/>
          <w:sz w:val="24"/>
          <w:szCs w:val="24"/>
        </w:rPr>
        <w:t xml:space="preserve"> measures should not seek “</w:t>
      </w:r>
      <w:r w:rsidRPr="00F22BC6">
        <w:rPr>
          <w:rFonts w:ascii="Times New Roman" w:hAnsi="Times New Roman" w:cs="Times New Roman"/>
          <w:sz w:val="24"/>
          <w:szCs w:val="24"/>
        </w:rPr>
        <w:t>a standard solution to all social problems</w:t>
      </w:r>
      <w:r w:rsidR="004158F4">
        <w:rPr>
          <w:rFonts w:ascii="Times New Roman" w:hAnsi="Times New Roman" w:cs="Times New Roman"/>
          <w:sz w:val="24"/>
          <w:szCs w:val="24"/>
        </w:rPr>
        <w:t>”</w:t>
      </w:r>
      <w:r w:rsidR="00E624AC" w:rsidRPr="00F22BC6">
        <w:rPr>
          <w:rFonts w:ascii="Times New Roman" w:hAnsi="Times New Roman" w:cs="Times New Roman"/>
          <w:sz w:val="24"/>
          <w:szCs w:val="24"/>
        </w:rPr>
        <w:t>.</w:t>
      </w:r>
      <w:r w:rsidR="001312DF" w:rsidRPr="00F22BC6">
        <w:rPr>
          <w:rStyle w:val="FootnoteReference"/>
          <w:rFonts w:ascii="Times New Roman" w:hAnsi="Times New Roman" w:cs="Times New Roman"/>
          <w:sz w:val="24"/>
          <w:szCs w:val="24"/>
        </w:rPr>
        <w:footnoteReference w:id="76"/>
      </w:r>
      <w:r w:rsidR="004A3BAB" w:rsidRPr="00F22BC6">
        <w:rPr>
          <w:rFonts w:ascii="Times New Roman" w:hAnsi="Times New Roman" w:cs="Times New Roman"/>
          <w:sz w:val="24"/>
          <w:szCs w:val="24"/>
        </w:rPr>
        <w:t xml:space="preserve"> </w:t>
      </w:r>
      <w:r w:rsidR="00BF74E0" w:rsidRPr="00F22BC6">
        <w:rPr>
          <w:rFonts w:ascii="Times New Roman" w:hAnsi="Times New Roman" w:cs="Times New Roman"/>
          <w:sz w:val="24"/>
          <w:szCs w:val="24"/>
        </w:rPr>
        <w:t>The EU’s social evolution has followed this pattern</w:t>
      </w:r>
      <w:r w:rsidR="00CA09B8">
        <w:rPr>
          <w:rFonts w:ascii="Times New Roman" w:hAnsi="Times New Roman" w:cs="Times New Roman"/>
          <w:sz w:val="24"/>
          <w:szCs w:val="24"/>
        </w:rPr>
        <w:t xml:space="preserve"> ever since. </w:t>
      </w:r>
    </w:p>
    <w:p w:rsidR="00CA09B8" w:rsidRDefault="004A3BAB" w:rsidP="00CA09B8">
      <w:pPr>
        <w:pStyle w:val="NoSpacing"/>
        <w:spacing w:line="360" w:lineRule="auto"/>
        <w:ind w:firstLine="284"/>
        <w:jc w:val="both"/>
        <w:rPr>
          <w:rFonts w:ascii="Times New Roman" w:hAnsi="Times New Roman" w:cs="Times New Roman"/>
          <w:sz w:val="24"/>
          <w:szCs w:val="24"/>
        </w:rPr>
      </w:pPr>
      <w:r w:rsidRPr="00F22BC6">
        <w:rPr>
          <w:rFonts w:ascii="Times New Roman" w:hAnsi="Times New Roman" w:cs="Times New Roman"/>
          <w:sz w:val="24"/>
          <w:szCs w:val="24"/>
        </w:rPr>
        <w:t>First,</w:t>
      </w:r>
      <w:r w:rsidR="00BF74E0" w:rsidRPr="00F22BC6">
        <w:rPr>
          <w:rFonts w:ascii="Times New Roman" w:hAnsi="Times New Roman" w:cs="Times New Roman"/>
          <w:sz w:val="24"/>
          <w:szCs w:val="24"/>
        </w:rPr>
        <w:t xml:space="preserve"> the Union strengthens its recognition of its social aims</w:t>
      </w:r>
      <w:r w:rsidRPr="00F22BC6">
        <w:rPr>
          <w:rFonts w:ascii="Times New Roman" w:hAnsi="Times New Roman" w:cs="Times New Roman"/>
          <w:sz w:val="24"/>
          <w:szCs w:val="24"/>
        </w:rPr>
        <w:t xml:space="preserve">. </w:t>
      </w:r>
      <w:r w:rsidR="00BF74E0" w:rsidRPr="00F22BC6">
        <w:rPr>
          <w:rFonts w:ascii="Times New Roman" w:hAnsi="Times New Roman" w:cs="Times New Roman"/>
          <w:sz w:val="24"/>
          <w:szCs w:val="24"/>
        </w:rPr>
        <w:t>Thus, the Commission’s</w:t>
      </w:r>
      <w:r w:rsidRPr="00F22BC6">
        <w:rPr>
          <w:rFonts w:ascii="Times New Roman" w:hAnsi="Times New Roman" w:cs="Times New Roman"/>
          <w:sz w:val="24"/>
          <w:szCs w:val="24"/>
        </w:rPr>
        <w:t xml:space="preserve"> </w:t>
      </w:r>
      <w:r w:rsidR="00BF74E0" w:rsidRPr="00F22BC6">
        <w:rPr>
          <w:rFonts w:ascii="Times New Roman" w:hAnsi="Times New Roman" w:cs="Times New Roman"/>
          <w:sz w:val="24"/>
          <w:szCs w:val="24"/>
        </w:rPr>
        <w:t>1985 White Paper, though still viewing economic integration as an effective stimulus of social progress,</w:t>
      </w:r>
      <w:r w:rsidR="00BF74E0" w:rsidRPr="00F22BC6">
        <w:rPr>
          <w:rStyle w:val="FootnoteReference"/>
          <w:rFonts w:ascii="Times New Roman" w:hAnsi="Times New Roman" w:cs="Times New Roman"/>
          <w:sz w:val="24"/>
          <w:szCs w:val="24"/>
        </w:rPr>
        <w:footnoteReference w:id="77"/>
      </w:r>
      <w:r w:rsidR="00BF74E0" w:rsidRPr="00F22BC6">
        <w:rPr>
          <w:rFonts w:ascii="Times New Roman" w:hAnsi="Times New Roman" w:cs="Times New Roman"/>
          <w:sz w:val="24"/>
          <w:szCs w:val="24"/>
        </w:rPr>
        <w:t xml:space="preserve"> accepted that facilitating free movement to </w:t>
      </w:r>
      <w:r w:rsidR="004158F4">
        <w:rPr>
          <w:rFonts w:ascii="Times New Roman" w:hAnsi="Times New Roman" w:cs="Times New Roman"/>
          <w:sz w:val="24"/>
          <w:szCs w:val="24"/>
        </w:rPr>
        <w:t>“</w:t>
      </w:r>
      <w:r w:rsidR="00BF74E0" w:rsidRPr="00F22BC6">
        <w:rPr>
          <w:rFonts w:ascii="Times New Roman" w:hAnsi="Times New Roman" w:cs="Times New Roman"/>
          <w:sz w:val="24"/>
          <w:szCs w:val="24"/>
        </w:rPr>
        <w:t>areas of greatest economic advantage’ might exacerbate existin</w:t>
      </w:r>
      <w:r w:rsidR="004158F4">
        <w:rPr>
          <w:rFonts w:ascii="Times New Roman" w:hAnsi="Times New Roman" w:cs="Times New Roman"/>
          <w:sz w:val="24"/>
          <w:szCs w:val="24"/>
        </w:rPr>
        <w:t>g discrepancies between regions”</w:t>
      </w:r>
      <w:r w:rsidR="00BF74E0" w:rsidRPr="00F22BC6">
        <w:rPr>
          <w:rFonts w:ascii="Times New Roman" w:hAnsi="Times New Roman" w:cs="Times New Roman"/>
          <w:sz w:val="24"/>
          <w:szCs w:val="24"/>
        </w:rPr>
        <w:t>.</w:t>
      </w:r>
      <w:r w:rsidR="00BF74E0" w:rsidRPr="00F22BC6">
        <w:rPr>
          <w:rStyle w:val="FootnoteReference"/>
          <w:rFonts w:ascii="Times New Roman" w:hAnsi="Times New Roman" w:cs="Times New Roman"/>
          <w:sz w:val="24"/>
          <w:szCs w:val="24"/>
        </w:rPr>
        <w:footnoteReference w:id="78"/>
      </w:r>
      <w:r w:rsidR="00BF74E0" w:rsidRPr="00F22BC6">
        <w:rPr>
          <w:rFonts w:ascii="Times New Roman" w:hAnsi="Times New Roman" w:cs="Times New Roman"/>
          <w:sz w:val="24"/>
          <w:szCs w:val="24"/>
        </w:rPr>
        <w:t xml:space="preserve"> The </w:t>
      </w:r>
      <w:r w:rsidR="00FC598F" w:rsidRPr="00F22BC6">
        <w:rPr>
          <w:rFonts w:ascii="Times New Roman" w:hAnsi="Times New Roman" w:cs="Times New Roman"/>
          <w:sz w:val="24"/>
          <w:szCs w:val="24"/>
        </w:rPr>
        <w:t>subsequent Single Euro</w:t>
      </w:r>
      <w:r w:rsidR="004158F4">
        <w:rPr>
          <w:rFonts w:ascii="Times New Roman" w:hAnsi="Times New Roman" w:cs="Times New Roman"/>
          <w:sz w:val="24"/>
          <w:szCs w:val="24"/>
        </w:rPr>
        <w:t>pean Act (SEA) spoke of an EEC “</w:t>
      </w:r>
      <w:r w:rsidR="00FC598F" w:rsidRPr="00F22BC6">
        <w:rPr>
          <w:rFonts w:ascii="Times New Roman" w:hAnsi="Times New Roman" w:cs="Times New Roman"/>
          <w:sz w:val="24"/>
          <w:szCs w:val="24"/>
        </w:rPr>
        <w:t>determined to improve the economic and social situation by extending common polic</w:t>
      </w:r>
      <w:r w:rsidR="004158F4">
        <w:rPr>
          <w:rFonts w:ascii="Times New Roman" w:hAnsi="Times New Roman" w:cs="Times New Roman"/>
          <w:sz w:val="24"/>
          <w:szCs w:val="24"/>
        </w:rPr>
        <w:t>ies and pursuing new objectives”</w:t>
      </w:r>
      <w:r w:rsidR="00FC598F" w:rsidRPr="00F22BC6">
        <w:rPr>
          <w:rFonts w:ascii="Times New Roman" w:hAnsi="Times New Roman" w:cs="Times New Roman"/>
          <w:sz w:val="24"/>
          <w:szCs w:val="24"/>
        </w:rPr>
        <w:t>.</w:t>
      </w:r>
      <w:r w:rsidR="00FC598F" w:rsidRPr="00F22BC6">
        <w:rPr>
          <w:rStyle w:val="FootnoteReference"/>
          <w:rFonts w:ascii="Times New Roman" w:hAnsi="Times New Roman" w:cs="Times New Roman"/>
          <w:sz w:val="24"/>
          <w:szCs w:val="24"/>
        </w:rPr>
        <w:footnoteReference w:id="79"/>
      </w:r>
      <w:r w:rsidR="00BF74E0" w:rsidRPr="00F22BC6">
        <w:rPr>
          <w:rFonts w:ascii="Times New Roman" w:hAnsi="Times New Roman" w:cs="Times New Roman"/>
          <w:sz w:val="24"/>
          <w:szCs w:val="24"/>
        </w:rPr>
        <w:t xml:space="preserve"> By Maastricht, </w:t>
      </w:r>
      <w:r w:rsidR="004158F4">
        <w:rPr>
          <w:rFonts w:ascii="Times New Roman" w:hAnsi="Times New Roman" w:cs="Times New Roman"/>
          <w:sz w:val="24"/>
          <w:szCs w:val="24"/>
        </w:rPr>
        <w:t>the Union had pledged to “</w:t>
      </w:r>
      <w:r w:rsidRPr="00F22BC6">
        <w:rPr>
          <w:rFonts w:ascii="Times New Roman" w:hAnsi="Times New Roman" w:cs="Times New Roman"/>
          <w:sz w:val="24"/>
          <w:szCs w:val="24"/>
        </w:rPr>
        <w:t>implement policies ensuring that advances in economic integration are accompanied by pa</w:t>
      </w:r>
      <w:r w:rsidR="004158F4">
        <w:rPr>
          <w:rFonts w:ascii="Times New Roman" w:hAnsi="Times New Roman" w:cs="Times New Roman"/>
          <w:sz w:val="24"/>
          <w:szCs w:val="24"/>
        </w:rPr>
        <w:t>rallel progress in other fields”</w:t>
      </w:r>
      <w:r w:rsidRPr="00F22BC6">
        <w:rPr>
          <w:rFonts w:ascii="Times New Roman" w:hAnsi="Times New Roman" w:cs="Times New Roman"/>
          <w:sz w:val="24"/>
          <w:szCs w:val="24"/>
        </w:rPr>
        <w:t>.</w:t>
      </w:r>
      <w:r w:rsidRPr="00F22BC6">
        <w:rPr>
          <w:rStyle w:val="FootnoteReference"/>
          <w:rFonts w:ascii="Times New Roman" w:hAnsi="Times New Roman" w:cs="Times New Roman"/>
          <w:sz w:val="24"/>
          <w:szCs w:val="24"/>
        </w:rPr>
        <w:footnoteReference w:id="80"/>
      </w:r>
      <w:r w:rsidRPr="00F22BC6">
        <w:rPr>
          <w:rFonts w:ascii="Times New Roman" w:hAnsi="Times New Roman" w:cs="Times New Roman"/>
          <w:sz w:val="24"/>
          <w:szCs w:val="24"/>
        </w:rPr>
        <w:t xml:space="preserve"> The Amsterda</w:t>
      </w:r>
      <w:r w:rsidR="004158F4">
        <w:rPr>
          <w:rFonts w:ascii="Times New Roman" w:hAnsi="Times New Roman" w:cs="Times New Roman"/>
          <w:sz w:val="24"/>
          <w:szCs w:val="24"/>
        </w:rPr>
        <w:t>m Treaty confirmed the Union’s “</w:t>
      </w:r>
      <w:r w:rsidRPr="00F22BC6">
        <w:rPr>
          <w:rFonts w:ascii="Times New Roman" w:hAnsi="Times New Roman" w:cs="Times New Roman"/>
          <w:sz w:val="24"/>
          <w:szCs w:val="24"/>
        </w:rPr>
        <w:t>attachment to fundamental social r</w:t>
      </w:r>
      <w:r w:rsidR="004158F4">
        <w:rPr>
          <w:rFonts w:ascii="Times New Roman" w:hAnsi="Times New Roman" w:cs="Times New Roman"/>
          <w:sz w:val="24"/>
          <w:szCs w:val="24"/>
        </w:rPr>
        <w:t>ights”</w:t>
      </w:r>
      <w:r w:rsidRPr="00F22BC6">
        <w:rPr>
          <w:rStyle w:val="FootnoteReference"/>
          <w:rFonts w:ascii="Times New Roman" w:hAnsi="Times New Roman" w:cs="Times New Roman"/>
          <w:sz w:val="24"/>
          <w:szCs w:val="24"/>
        </w:rPr>
        <w:footnoteReference w:id="81"/>
      </w:r>
      <w:r w:rsidR="00A57564">
        <w:rPr>
          <w:rFonts w:ascii="Times New Roman" w:hAnsi="Times New Roman" w:cs="Times New Roman"/>
          <w:sz w:val="24"/>
          <w:szCs w:val="24"/>
        </w:rPr>
        <w:t xml:space="preserve"> and </w:t>
      </w:r>
      <w:r w:rsidRPr="00F22BC6">
        <w:rPr>
          <w:rFonts w:ascii="Times New Roman" w:hAnsi="Times New Roman" w:cs="Times New Roman"/>
          <w:sz w:val="24"/>
          <w:szCs w:val="24"/>
        </w:rPr>
        <w:t>broadened the EU’s socia</w:t>
      </w:r>
      <w:r w:rsidR="004158F4">
        <w:rPr>
          <w:rFonts w:ascii="Times New Roman" w:hAnsi="Times New Roman" w:cs="Times New Roman"/>
          <w:sz w:val="24"/>
          <w:szCs w:val="24"/>
        </w:rPr>
        <w:t>l policy endeavours to include “proper social protection” and the “</w:t>
      </w:r>
      <w:r w:rsidRPr="00F22BC6">
        <w:rPr>
          <w:rFonts w:ascii="Times New Roman" w:hAnsi="Times New Roman" w:cs="Times New Roman"/>
          <w:sz w:val="24"/>
          <w:szCs w:val="24"/>
        </w:rPr>
        <w:t xml:space="preserve">combating of </w:t>
      </w:r>
      <w:r w:rsidR="004158F4">
        <w:rPr>
          <w:rFonts w:ascii="Times New Roman" w:hAnsi="Times New Roman" w:cs="Times New Roman"/>
          <w:sz w:val="24"/>
          <w:szCs w:val="24"/>
        </w:rPr>
        <w:t>exclusion”</w:t>
      </w:r>
      <w:r w:rsidRPr="00F22BC6">
        <w:rPr>
          <w:rFonts w:ascii="Times New Roman" w:hAnsi="Times New Roman" w:cs="Times New Roman"/>
          <w:sz w:val="24"/>
          <w:szCs w:val="24"/>
        </w:rPr>
        <w:t>.</w:t>
      </w:r>
      <w:r w:rsidR="00A57564" w:rsidRPr="00F22BC6">
        <w:rPr>
          <w:rStyle w:val="FootnoteReference"/>
          <w:rFonts w:ascii="Times New Roman" w:hAnsi="Times New Roman" w:cs="Times New Roman"/>
          <w:sz w:val="24"/>
          <w:szCs w:val="24"/>
        </w:rPr>
        <w:footnoteReference w:id="82"/>
      </w:r>
      <w:r w:rsidR="00A57564">
        <w:rPr>
          <w:rFonts w:ascii="Times New Roman" w:hAnsi="Times New Roman" w:cs="Times New Roman"/>
          <w:sz w:val="24"/>
          <w:szCs w:val="24"/>
        </w:rPr>
        <w:t xml:space="preserve"> </w:t>
      </w:r>
      <w:r w:rsidRPr="00F22BC6">
        <w:rPr>
          <w:rFonts w:ascii="Times New Roman" w:hAnsi="Times New Roman" w:cs="Times New Roman"/>
          <w:sz w:val="24"/>
          <w:szCs w:val="24"/>
        </w:rPr>
        <w:t>The contemporary Union, under the Lisbon Treaty, has as its aim the promotion of peace, its values and the well-being of its people.</w:t>
      </w:r>
      <w:r w:rsidRPr="00F22BC6">
        <w:rPr>
          <w:rStyle w:val="FootnoteReference"/>
          <w:rFonts w:ascii="Times New Roman" w:hAnsi="Times New Roman" w:cs="Times New Roman"/>
          <w:sz w:val="24"/>
          <w:szCs w:val="24"/>
        </w:rPr>
        <w:footnoteReference w:id="83"/>
      </w:r>
      <w:r w:rsidRPr="00F22BC6">
        <w:rPr>
          <w:rFonts w:ascii="Times New Roman" w:hAnsi="Times New Roman" w:cs="Times New Roman"/>
          <w:sz w:val="24"/>
          <w:szCs w:val="24"/>
        </w:rPr>
        <w:t xml:space="preserve"> Crucially, social integration is no longer presented as a by-product of a functioning internal market. Rather</w:t>
      </w:r>
      <w:r w:rsidR="004158F4">
        <w:rPr>
          <w:rFonts w:ascii="Times New Roman" w:hAnsi="Times New Roman" w:cs="Times New Roman"/>
          <w:sz w:val="24"/>
          <w:szCs w:val="24"/>
        </w:rPr>
        <w:t xml:space="preserve">, the internal market </w:t>
      </w:r>
      <w:r w:rsidR="004158F4">
        <w:rPr>
          <w:rFonts w:ascii="Times New Roman" w:hAnsi="Times New Roman" w:cs="Times New Roman"/>
          <w:sz w:val="24"/>
          <w:szCs w:val="24"/>
        </w:rPr>
        <w:lastRenderedPageBreak/>
        <w:t>must “</w:t>
      </w:r>
      <w:r w:rsidRPr="00F22BC6">
        <w:rPr>
          <w:rFonts w:ascii="Times New Roman" w:hAnsi="Times New Roman" w:cs="Times New Roman"/>
          <w:sz w:val="24"/>
          <w:szCs w:val="24"/>
        </w:rPr>
        <w:t>work for the sustainable development of Europe based</w:t>
      </w:r>
      <w:proofErr w:type="gramStart"/>
      <w:r w:rsidRPr="00F22BC6">
        <w:rPr>
          <w:rFonts w:ascii="Times New Roman" w:hAnsi="Times New Roman" w:cs="Times New Roman"/>
          <w:sz w:val="24"/>
          <w:szCs w:val="24"/>
        </w:rPr>
        <w:t>…[</w:t>
      </w:r>
      <w:proofErr w:type="gramEnd"/>
      <w:r w:rsidRPr="00F22BC6">
        <w:rPr>
          <w:rFonts w:ascii="Times New Roman" w:hAnsi="Times New Roman" w:cs="Times New Roman"/>
          <w:i/>
          <w:sz w:val="24"/>
          <w:szCs w:val="24"/>
        </w:rPr>
        <w:t>inter alia</w:t>
      </w:r>
      <w:r w:rsidRPr="00F22BC6">
        <w:rPr>
          <w:rFonts w:ascii="Times New Roman" w:hAnsi="Times New Roman" w:cs="Times New Roman"/>
          <w:sz w:val="24"/>
          <w:szCs w:val="24"/>
        </w:rPr>
        <w:t>] on a highly competitive social market economy, aiming at full</w:t>
      </w:r>
      <w:r w:rsidR="004158F4">
        <w:rPr>
          <w:rFonts w:ascii="Times New Roman" w:hAnsi="Times New Roman" w:cs="Times New Roman"/>
          <w:sz w:val="24"/>
          <w:szCs w:val="24"/>
        </w:rPr>
        <w:t xml:space="preserve"> employment and social progress”</w:t>
      </w:r>
      <w:r w:rsidRPr="00F22BC6">
        <w:rPr>
          <w:rFonts w:ascii="Times New Roman" w:hAnsi="Times New Roman" w:cs="Times New Roman"/>
          <w:sz w:val="24"/>
          <w:szCs w:val="24"/>
        </w:rPr>
        <w:t>.</w:t>
      </w:r>
      <w:r w:rsidRPr="00F22BC6">
        <w:rPr>
          <w:rStyle w:val="FootnoteReference"/>
          <w:rFonts w:ascii="Times New Roman" w:hAnsi="Times New Roman" w:cs="Times New Roman"/>
          <w:sz w:val="24"/>
          <w:szCs w:val="24"/>
        </w:rPr>
        <w:footnoteReference w:id="84"/>
      </w:r>
      <w:r w:rsidR="009F0C1D">
        <w:rPr>
          <w:rFonts w:ascii="Times New Roman" w:hAnsi="Times New Roman" w:cs="Times New Roman"/>
          <w:sz w:val="24"/>
          <w:szCs w:val="24"/>
        </w:rPr>
        <w:t xml:space="preserve"> Most recently, </w:t>
      </w:r>
      <w:r w:rsidR="00A57564">
        <w:rPr>
          <w:rFonts w:ascii="Times New Roman" w:hAnsi="Times New Roman" w:cs="Times New Roman"/>
          <w:sz w:val="24"/>
          <w:szCs w:val="24"/>
        </w:rPr>
        <w:t xml:space="preserve">the </w:t>
      </w:r>
      <w:r w:rsidR="009F0C1D">
        <w:rPr>
          <w:rFonts w:ascii="Times New Roman" w:hAnsi="Times New Roman" w:cs="Times New Roman"/>
          <w:sz w:val="24"/>
          <w:szCs w:val="24"/>
        </w:rPr>
        <w:t>Commission President ha</w:t>
      </w:r>
      <w:r w:rsidR="00A57564">
        <w:rPr>
          <w:rFonts w:ascii="Times New Roman" w:hAnsi="Times New Roman" w:cs="Times New Roman"/>
          <w:sz w:val="24"/>
          <w:szCs w:val="24"/>
        </w:rPr>
        <w:t>s called for a</w:t>
      </w:r>
      <w:r w:rsidR="009F0C1D">
        <w:rPr>
          <w:rFonts w:ascii="Times New Roman" w:hAnsi="Times New Roman" w:cs="Times New Roman"/>
          <w:sz w:val="24"/>
          <w:szCs w:val="24"/>
        </w:rPr>
        <w:t xml:space="preserve"> European Soci</w:t>
      </w:r>
      <w:r w:rsidR="004158F4">
        <w:rPr>
          <w:rFonts w:ascii="Times New Roman" w:hAnsi="Times New Roman" w:cs="Times New Roman"/>
          <w:sz w:val="24"/>
          <w:szCs w:val="24"/>
        </w:rPr>
        <w:t>al Standards Union to foster a “</w:t>
      </w:r>
      <w:r w:rsidR="009F0C1D">
        <w:rPr>
          <w:rFonts w:ascii="Times New Roman" w:hAnsi="Times New Roman" w:cs="Times New Roman"/>
          <w:sz w:val="24"/>
          <w:szCs w:val="24"/>
        </w:rPr>
        <w:t>common understanding of what is soc</w:t>
      </w:r>
      <w:r w:rsidR="004158F4">
        <w:rPr>
          <w:rFonts w:ascii="Times New Roman" w:hAnsi="Times New Roman" w:cs="Times New Roman"/>
          <w:sz w:val="24"/>
          <w:szCs w:val="24"/>
        </w:rPr>
        <w:t>ially fair in our single market”</w:t>
      </w:r>
      <w:r w:rsidR="009F0C1D">
        <w:rPr>
          <w:rFonts w:ascii="Times New Roman" w:hAnsi="Times New Roman" w:cs="Times New Roman"/>
          <w:sz w:val="24"/>
          <w:szCs w:val="24"/>
        </w:rPr>
        <w:t>.</w:t>
      </w:r>
      <w:r w:rsidR="009F0C1D">
        <w:rPr>
          <w:rStyle w:val="FootnoteReference"/>
          <w:rFonts w:ascii="Times New Roman" w:hAnsi="Times New Roman" w:cs="Times New Roman"/>
          <w:sz w:val="24"/>
          <w:szCs w:val="24"/>
        </w:rPr>
        <w:footnoteReference w:id="85"/>
      </w:r>
    </w:p>
    <w:p w:rsidR="00CA09B8" w:rsidRDefault="004A3BAB" w:rsidP="00CA09B8">
      <w:pPr>
        <w:pStyle w:val="NoSpacing"/>
        <w:spacing w:line="360" w:lineRule="auto"/>
        <w:ind w:firstLine="284"/>
        <w:jc w:val="both"/>
        <w:rPr>
          <w:rFonts w:ascii="Times New Roman" w:hAnsi="Times New Roman" w:cs="Times New Roman"/>
          <w:sz w:val="24"/>
          <w:szCs w:val="24"/>
        </w:rPr>
      </w:pPr>
      <w:r w:rsidRPr="00F22BC6">
        <w:rPr>
          <w:rFonts w:ascii="Times New Roman" w:hAnsi="Times New Roman" w:cs="Times New Roman"/>
          <w:sz w:val="24"/>
          <w:szCs w:val="24"/>
        </w:rPr>
        <w:t>Second, these developments are presented as a crucial factor in securing the Union’s legitimacy.</w:t>
      </w:r>
      <w:r w:rsidR="00F22BC6" w:rsidRPr="00F22BC6">
        <w:rPr>
          <w:rFonts w:ascii="Times New Roman" w:hAnsi="Times New Roman" w:cs="Times New Roman"/>
          <w:sz w:val="24"/>
          <w:szCs w:val="24"/>
        </w:rPr>
        <w:t xml:space="preserve"> The move towards political and social union at Maastricht, for example, had been initiated, </w:t>
      </w:r>
      <w:r w:rsidR="00F22BC6" w:rsidRPr="00F22BC6">
        <w:rPr>
          <w:rFonts w:ascii="Times New Roman" w:hAnsi="Times New Roman" w:cs="Times New Roman"/>
          <w:i/>
          <w:sz w:val="24"/>
          <w:szCs w:val="24"/>
        </w:rPr>
        <w:t>inter alia</w:t>
      </w:r>
      <w:r w:rsidR="00F22BC6" w:rsidRPr="00F22BC6">
        <w:rPr>
          <w:rFonts w:ascii="Times New Roman" w:hAnsi="Times New Roman" w:cs="Times New Roman"/>
          <w:sz w:val="24"/>
          <w:szCs w:val="24"/>
        </w:rPr>
        <w:t xml:space="preserve">, by the belief of the French President and German Chancellor that this would </w:t>
      </w:r>
      <w:r w:rsidR="004158F4">
        <w:rPr>
          <w:rFonts w:ascii="Times New Roman" w:hAnsi="Times New Roman" w:cs="Times New Roman"/>
          <w:sz w:val="24"/>
          <w:szCs w:val="24"/>
        </w:rPr>
        <w:t>offer a means of “</w:t>
      </w:r>
      <w:r w:rsidR="00F22BC6" w:rsidRPr="00F22BC6">
        <w:rPr>
          <w:rFonts w:ascii="Times New Roman" w:hAnsi="Times New Roman" w:cs="Times New Roman"/>
          <w:sz w:val="24"/>
          <w:szCs w:val="24"/>
        </w:rPr>
        <w:t>strengthening the democratic legitimacy of the union</w:t>
      </w:r>
      <w:r w:rsidR="004158F4">
        <w:rPr>
          <w:rFonts w:ascii="Times New Roman" w:hAnsi="Times New Roman" w:cs="Times New Roman"/>
          <w:sz w:val="24"/>
          <w:szCs w:val="24"/>
        </w:rPr>
        <w:t>”</w:t>
      </w:r>
      <w:r w:rsidR="00F22BC6" w:rsidRPr="00F22BC6">
        <w:rPr>
          <w:rFonts w:ascii="Times New Roman" w:hAnsi="Times New Roman" w:cs="Times New Roman"/>
          <w:sz w:val="24"/>
          <w:szCs w:val="24"/>
        </w:rPr>
        <w:t>.</w:t>
      </w:r>
      <w:r w:rsidR="00F22BC6" w:rsidRPr="00F22BC6">
        <w:rPr>
          <w:rStyle w:val="FootnoteReference"/>
          <w:rFonts w:ascii="Times New Roman" w:hAnsi="Times New Roman" w:cs="Times New Roman"/>
          <w:sz w:val="24"/>
          <w:szCs w:val="24"/>
        </w:rPr>
        <w:footnoteReference w:id="86"/>
      </w:r>
      <w:r w:rsidR="00F22BC6" w:rsidRPr="00F22BC6">
        <w:rPr>
          <w:rFonts w:ascii="Times New Roman" w:hAnsi="Times New Roman" w:cs="Times New Roman"/>
          <w:sz w:val="24"/>
          <w:szCs w:val="24"/>
        </w:rPr>
        <w:t xml:space="preserve"> The </w:t>
      </w:r>
      <w:proofErr w:type="spellStart"/>
      <w:r w:rsidR="00F22BC6" w:rsidRPr="00F22BC6">
        <w:rPr>
          <w:rFonts w:ascii="Times New Roman" w:hAnsi="Times New Roman" w:cs="Times New Roman"/>
          <w:sz w:val="24"/>
          <w:szCs w:val="24"/>
        </w:rPr>
        <w:t>Laeken</w:t>
      </w:r>
      <w:proofErr w:type="spellEnd"/>
      <w:r w:rsidR="00F22BC6" w:rsidRPr="00F22BC6">
        <w:rPr>
          <w:rFonts w:ascii="Times New Roman" w:hAnsi="Times New Roman" w:cs="Times New Roman"/>
          <w:sz w:val="24"/>
          <w:szCs w:val="24"/>
        </w:rPr>
        <w:t xml:space="preserve"> Declaration, which preceded the Convention on the Future of Europe and the drafting of the now abandoned Con</w:t>
      </w:r>
      <w:r w:rsidR="004158F4">
        <w:rPr>
          <w:rFonts w:ascii="Times New Roman" w:hAnsi="Times New Roman" w:cs="Times New Roman"/>
          <w:sz w:val="24"/>
          <w:szCs w:val="24"/>
        </w:rPr>
        <w:t>stitutional Treaty stated that “</w:t>
      </w:r>
      <w:r w:rsidR="00F22BC6" w:rsidRPr="00F22BC6">
        <w:rPr>
          <w:rFonts w:ascii="Times New Roman" w:hAnsi="Times New Roman" w:cs="Times New Roman"/>
          <w:sz w:val="24"/>
          <w:szCs w:val="24"/>
        </w:rPr>
        <w:t>[c]</w:t>
      </w:r>
      <w:proofErr w:type="spellStart"/>
      <w:r w:rsidR="00F22BC6" w:rsidRPr="00F22BC6">
        <w:rPr>
          <w:rFonts w:ascii="Times New Roman" w:hAnsi="Times New Roman" w:cs="Times New Roman"/>
          <w:sz w:val="24"/>
          <w:szCs w:val="24"/>
        </w:rPr>
        <w:t>itizens</w:t>
      </w:r>
      <w:proofErr w:type="spellEnd"/>
      <w:r w:rsidR="00F22BC6" w:rsidRPr="00F22BC6">
        <w:rPr>
          <w:rFonts w:ascii="Times New Roman" w:hAnsi="Times New Roman" w:cs="Times New Roman"/>
          <w:sz w:val="24"/>
          <w:szCs w:val="24"/>
        </w:rPr>
        <w:t xml:space="preserve"> want results in the fields of employment, combating poverty and social exclusion, as well as in the field </w:t>
      </w:r>
      <w:r w:rsidR="004158F4">
        <w:rPr>
          <w:rFonts w:ascii="Times New Roman" w:hAnsi="Times New Roman" w:cs="Times New Roman"/>
          <w:sz w:val="24"/>
          <w:szCs w:val="24"/>
        </w:rPr>
        <w:t>of economic and social cohesion”</w:t>
      </w:r>
      <w:r w:rsidR="00F22BC6" w:rsidRPr="00F22BC6">
        <w:rPr>
          <w:rFonts w:ascii="Times New Roman" w:hAnsi="Times New Roman" w:cs="Times New Roman"/>
          <w:sz w:val="24"/>
          <w:szCs w:val="24"/>
        </w:rPr>
        <w:t>.</w:t>
      </w:r>
      <w:r w:rsidR="00F22BC6" w:rsidRPr="00F22BC6">
        <w:rPr>
          <w:rStyle w:val="FootnoteReference"/>
          <w:rFonts w:ascii="Times New Roman" w:hAnsi="Times New Roman" w:cs="Times New Roman"/>
          <w:sz w:val="24"/>
          <w:szCs w:val="24"/>
        </w:rPr>
        <w:footnoteReference w:id="87"/>
      </w:r>
    </w:p>
    <w:p w:rsidR="00CA09B8" w:rsidRDefault="00F22BC6" w:rsidP="00CA09B8">
      <w:pPr>
        <w:pStyle w:val="NoSpacing"/>
        <w:spacing w:line="360" w:lineRule="auto"/>
        <w:ind w:firstLine="284"/>
        <w:jc w:val="both"/>
        <w:rPr>
          <w:rFonts w:ascii="Times New Roman" w:hAnsi="Times New Roman" w:cs="Times New Roman"/>
          <w:sz w:val="24"/>
          <w:szCs w:val="24"/>
        </w:rPr>
      </w:pPr>
      <w:r w:rsidRPr="00D54C2E">
        <w:rPr>
          <w:rFonts w:ascii="Times New Roman" w:hAnsi="Times New Roman" w:cs="Times New Roman"/>
          <w:sz w:val="24"/>
          <w:szCs w:val="24"/>
        </w:rPr>
        <w:t xml:space="preserve">Third, the growing independence of the Union’s social aims was accompanied by new tasks, legislative competences, and </w:t>
      </w:r>
      <w:r w:rsidR="009056E4">
        <w:rPr>
          <w:rFonts w:ascii="Times New Roman" w:hAnsi="Times New Roman" w:cs="Times New Roman"/>
          <w:sz w:val="24"/>
          <w:szCs w:val="24"/>
        </w:rPr>
        <w:t>decision-making efficiency</w:t>
      </w:r>
      <w:r w:rsidRPr="00D54C2E">
        <w:rPr>
          <w:rFonts w:ascii="Times New Roman" w:hAnsi="Times New Roman" w:cs="Times New Roman"/>
          <w:sz w:val="24"/>
          <w:szCs w:val="24"/>
        </w:rPr>
        <w:t xml:space="preserve"> measures. The SEA, for instance, introduced new competence in relation to the working environment</w:t>
      </w:r>
      <w:r w:rsidRPr="00D54C2E">
        <w:rPr>
          <w:rStyle w:val="FootnoteReference"/>
          <w:rFonts w:ascii="Times New Roman" w:hAnsi="Times New Roman" w:cs="Times New Roman"/>
          <w:sz w:val="24"/>
          <w:szCs w:val="24"/>
        </w:rPr>
        <w:footnoteReference w:id="88"/>
      </w:r>
      <w:r w:rsidRPr="00D54C2E">
        <w:rPr>
          <w:rFonts w:ascii="Times New Roman" w:hAnsi="Times New Roman" w:cs="Times New Roman"/>
          <w:sz w:val="24"/>
          <w:szCs w:val="24"/>
        </w:rPr>
        <w:t xml:space="preserve"> and required the strengthening of economic and social cohesion to be taken into account in the implementation of the internal market.</w:t>
      </w:r>
      <w:r w:rsidRPr="00D54C2E">
        <w:rPr>
          <w:rStyle w:val="FootnoteReference"/>
          <w:rFonts w:ascii="Times New Roman" w:hAnsi="Times New Roman" w:cs="Times New Roman"/>
          <w:sz w:val="24"/>
          <w:szCs w:val="24"/>
        </w:rPr>
        <w:footnoteReference w:id="89"/>
      </w:r>
      <w:r w:rsidRPr="00D54C2E">
        <w:rPr>
          <w:rFonts w:ascii="Times New Roman" w:hAnsi="Times New Roman" w:cs="Times New Roman"/>
          <w:sz w:val="24"/>
          <w:szCs w:val="24"/>
        </w:rPr>
        <w:t xml:space="preserve"> The introduction of co-decision and the expansion of qualified majority voting (QMV) paved the way for greater legislative activity including as regards employment protection for pregna</w:t>
      </w:r>
      <w:r w:rsidR="009056E4">
        <w:rPr>
          <w:rFonts w:ascii="Times New Roman" w:hAnsi="Times New Roman" w:cs="Times New Roman"/>
          <w:sz w:val="24"/>
          <w:szCs w:val="24"/>
        </w:rPr>
        <w:t>nt workers.</w:t>
      </w:r>
      <w:r w:rsidRPr="00D54C2E">
        <w:rPr>
          <w:rStyle w:val="FootnoteReference"/>
          <w:rFonts w:ascii="Times New Roman" w:hAnsi="Times New Roman" w:cs="Times New Roman"/>
          <w:sz w:val="24"/>
          <w:szCs w:val="24"/>
        </w:rPr>
        <w:footnoteReference w:id="90"/>
      </w:r>
      <w:r w:rsidR="009056E4">
        <w:rPr>
          <w:rFonts w:ascii="Times New Roman" w:hAnsi="Times New Roman" w:cs="Times New Roman"/>
          <w:sz w:val="24"/>
          <w:szCs w:val="24"/>
        </w:rPr>
        <w:t xml:space="preserve"> </w:t>
      </w:r>
      <w:r w:rsidR="00D54C2E" w:rsidRPr="00D54C2E">
        <w:rPr>
          <w:rFonts w:ascii="Times New Roman" w:hAnsi="Times New Roman" w:cs="Times New Roman"/>
          <w:sz w:val="24"/>
          <w:szCs w:val="24"/>
        </w:rPr>
        <w:t xml:space="preserve">At Maastricht, the European Economic Community </w:t>
      </w:r>
      <w:r w:rsidR="00D54C2E">
        <w:rPr>
          <w:rFonts w:ascii="Times New Roman" w:hAnsi="Times New Roman" w:cs="Times New Roman"/>
          <w:sz w:val="24"/>
          <w:szCs w:val="24"/>
        </w:rPr>
        <w:t>b</w:t>
      </w:r>
      <w:r w:rsidR="00D54C2E" w:rsidRPr="00D54C2E">
        <w:rPr>
          <w:rFonts w:ascii="Times New Roman" w:hAnsi="Times New Roman" w:cs="Times New Roman"/>
          <w:sz w:val="24"/>
          <w:szCs w:val="24"/>
        </w:rPr>
        <w:t>ecame the European Community,</w:t>
      </w:r>
      <w:r w:rsidR="00D54C2E" w:rsidRPr="00D54C2E">
        <w:rPr>
          <w:rStyle w:val="FootnoteReference"/>
          <w:rFonts w:ascii="Times New Roman" w:hAnsi="Times New Roman" w:cs="Times New Roman"/>
          <w:sz w:val="24"/>
          <w:szCs w:val="24"/>
        </w:rPr>
        <w:footnoteReference w:id="91"/>
      </w:r>
      <w:r w:rsidR="001D5241">
        <w:rPr>
          <w:rFonts w:ascii="Times New Roman" w:hAnsi="Times New Roman" w:cs="Times New Roman"/>
          <w:sz w:val="24"/>
          <w:szCs w:val="24"/>
        </w:rPr>
        <w:t xml:space="preserve">  which itself was </w:t>
      </w:r>
      <w:r w:rsidR="00D54C2E" w:rsidRPr="00D54C2E">
        <w:rPr>
          <w:rFonts w:ascii="Times New Roman" w:hAnsi="Times New Roman" w:cs="Times New Roman"/>
          <w:sz w:val="24"/>
          <w:szCs w:val="24"/>
        </w:rPr>
        <w:t>just one pillar of a European Union alongside new intergovernmental pillars in common foreign and security policy</w:t>
      </w:r>
      <w:r w:rsidR="00D54C2E" w:rsidRPr="00D54C2E">
        <w:rPr>
          <w:rStyle w:val="FootnoteReference"/>
          <w:rFonts w:ascii="Times New Roman" w:hAnsi="Times New Roman" w:cs="Times New Roman"/>
          <w:sz w:val="24"/>
          <w:szCs w:val="24"/>
        </w:rPr>
        <w:footnoteReference w:id="92"/>
      </w:r>
      <w:r w:rsidR="00D54C2E">
        <w:rPr>
          <w:rFonts w:ascii="Times New Roman" w:hAnsi="Times New Roman" w:cs="Times New Roman"/>
          <w:sz w:val="24"/>
          <w:szCs w:val="24"/>
        </w:rPr>
        <w:t xml:space="preserve"> and justice and home affairs.</w:t>
      </w:r>
      <w:r w:rsidR="00D54C2E" w:rsidRPr="00D54C2E">
        <w:rPr>
          <w:rStyle w:val="FootnoteReference"/>
          <w:rFonts w:ascii="Times New Roman" w:hAnsi="Times New Roman" w:cs="Times New Roman"/>
          <w:sz w:val="24"/>
          <w:szCs w:val="24"/>
        </w:rPr>
        <w:footnoteReference w:id="93"/>
      </w:r>
      <w:r w:rsidR="00D54C2E" w:rsidRPr="00D54C2E">
        <w:rPr>
          <w:rFonts w:ascii="Times New Roman" w:hAnsi="Times New Roman" w:cs="Times New Roman"/>
          <w:sz w:val="24"/>
          <w:szCs w:val="24"/>
        </w:rPr>
        <w:t xml:space="preserve"> Union citizenship was</w:t>
      </w:r>
      <w:r w:rsidR="009056E4">
        <w:rPr>
          <w:rFonts w:ascii="Times New Roman" w:hAnsi="Times New Roman" w:cs="Times New Roman"/>
          <w:sz w:val="24"/>
          <w:szCs w:val="24"/>
        </w:rPr>
        <w:t xml:space="preserve"> formalised</w:t>
      </w:r>
      <w:r w:rsidR="00D54C2E" w:rsidRPr="00D54C2E">
        <w:rPr>
          <w:rFonts w:ascii="Times New Roman" w:hAnsi="Times New Roman" w:cs="Times New Roman"/>
          <w:sz w:val="24"/>
          <w:szCs w:val="24"/>
        </w:rPr>
        <w:t xml:space="preserve"> </w:t>
      </w:r>
      <w:r w:rsidR="00A57564">
        <w:rPr>
          <w:rFonts w:ascii="Times New Roman" w:hAnsi="Times New Roman" w:cs="Times New Roman"/>
          <w:sz w:val="24"/>
          <w:szCs w:val="24"/>
        </w:rPr>
        <w:t>within Union primary law</w:t>
      </w:r>
      <w:r w:rsidR="00D54C2E" w:rsidRPr="00D54C2E">
        <w:rPr>
          <w:rStyle w:val="FootnoteReference"/>
          <w:rFonts w:ascii="Times New Roman" w:hAnsi="Times New Roman" w:cs="Times New Roman"/>
          <w:sz w:val="24"/>
          <w:szCs w:val="24"/>
        </w:rPr>
        <w:footnoteReference w:id="94"/>
      </w:r>
      <w:r w:rsidR="00D54C2E" w:rsidRPr="00D54C2E">
        <w:rPr>
          <w:rFonts w:ascii="Times New Roman" w:hAnsi="Times New Roman" w:cs="Times New Roman"/>
          <w:sz w:val="24"/>
          <w:szCs w:val="24"/>
        </w:rPr>
        <w:t xml:space="preserve"> and new</w:t>
      </w:r>
      <w:r w:rsidR="0035304B">
        <w:rPr>
          <w:rFonts w:ascii="Times New Roman" w:hAnsi="Times New Roman" w:cs="Times New Roman"/>
          <w:sz w:val="24"/>
          <w:szCs w:val="24"/>
        </w:rPr>
        <w:t xml:space="preserve"> more socially-oriented</w:t>
      </w:r>
      <w:r w:rsidR="00D54C2E" w:rsidRPr="00D54C2E">
        <w:rPr>
          <w:rFonts w:ascii="Times New Roman" w:hAnsi="Times New Roman" w:cs="Times New Roman"/>
          <w:sz w:val="24"/>
          <w:szCs w:val="24"/>
        </w:rPr>
        <w:t xml:space="preserve"> Titles were added covering, </w:t>
      </w:r>
      <w:r w:rsidR="00D54C2E" w:rsidRPr="00D54C2E">
        <w:rPr>
          <w:rFonts w:ascii="Times New Roman" w:hAnsi="Times New Roman" w:cs="Times New Roman"/>
          <w:i/>
          <w:sz w:val="24"/>
          <w:szCs w:val="24"/>
        </w:rPr>
        <w:t>inter alia</w:t>
      </w:r>
      <w:r w:rsidR="00D54C2E" w:rsidRPr="00D54C2E">
        <w:rPr>
          <w:rFonts w:ascii="Times New Roman" w:hAnsi="Times New Roman" w:cs="Times New Roman"/>
          <w:sz w:val="24"/>
          <w:szCs w:val="24"/>
        </w:rPr>
        <w:t>, culture,</w:t>
      </w:r>
      <w:r w:rsidR="00D54C2E" w:rsidRPr="00D54C2E">
        <w:rPr>
          <w:rStyle w:val="FootnoteReference"/>
          <w:rFonts w:ascii="Times New Roman" w:hAnsi="Times New Roman" w:cs="Times New Roman"/>
          <w:sz w:val="24"/>
          <w:szCs w:val="24"/>
        </w:rPr>
        <w:footnoteReference w:id="95"/>
      </w:r>
      <w:r w:rsidR="00D54C2E" w:rsidRPr="00D54C2E">
        <w:rPr>
          <w:rFonts w:ascii="Times New Roman" w:hAnsi="Times New Roman" w:cs="Times New Roman"/>
          <w:sz w:val="24"/>
          <w:szCs w:val="24"/>
        </w:rPr>
        <w:t xml:space="preserve"> public health</w:t>
      </w:r>
      <w:r w:rsidR="00D54C2E" w:rsidRPr="00D54C2E">
        <w:rPr>
          <w:rStyle w:val="FootnoteReference"/>
          <w:rFonts w:ascii="Times New Roman" w:hAnsi="Times New Roman" w:cs="Times New Roman"/>
          <w:sz w:val="24"/>
          <w:szCs w:val="24"/>
        </w:rPr>
        <w:footnoteReference w:id="96"/>
      </w:r>
      <w:r w:rsidR="00D54C2E">
        <w:rPr>
          <w:rFonts w:ascii="Times New Roman" w:hAnsi="Times New Roman" w:cs="Times New Roman"/>
          <w:sz w:val="24"/>
          <w:szCs w:val="24"/>
        </w:rPr>
        <w:t xml:space="preserve"> and consumer protection.</w:t>
      </w:r>
      <w:r w:rsidR="00D54C2E" w:rsidRPr="00D54C2E">
        <w:rPr>
          <w:rStyle w:val="FootnoteReference"/>
          <w:rFonts w:ascii="Times New Roman" w:hAnsi="Times New Roman" w:cs="Times New Roman"/>
          <w:sz w:val="24"/>
          <w:szCs w:val="24"/>
        </w:rPr>
        <w:footnoteReference w:id="97"/>
      </w:r>
      <w:r w:rsidR="00D54C2E">
        <w:rPr>
          <w:rFonts w:ascii="Times New Roman" w:hAnsi="Times New Roman" w:cs="Times New Roman"/>
          <w:sz w:val="24"/>
          <w:szCs w:val="24"/>
        </w:rPr>
        <w:t xml:space="preserve"> While Maastricht had strengthened and </w:t>
      </w:r>
      <w:r w:rsidR="00D54C2E">
        <w:rPr>
          <w:rFonts w:ascii="Times New Roman" w:hAnsi="Times New Roman" w:cs="Times New Roman"/>
          <w:sz w:val="24"/>
          <w:szCs w:val="24"/>
        </w:rPr>
        <w:lastRenderedPageBreak/>
        <w:t>broadened the EU’s socially-</w:t>
      </w:r>
      <w:r w:rsidR="0035304B">
        <w:rPr>
          <w:rFonts w:ascii="Times New Roman" w:hAnsi="Times New Roman" w:cs="Times New Roman"/>
          <w:sz w:val="24"/>
          <w:szCs w:val="24"/>
        </w:rPr>
        <w:t>focused</w:t>
      </w:r>
      <w:r w:rsidR="00D54C2E">
        <w:rPr>
          <w:rFonts w:ascii="Times New Roman" w:hAnsi="Times New Roman" w:cs="Times New Roman"/>
          <w:sz w:val="24"/>
          <w:szCs w:val="24"/>
        </w:rPr>
        <w:t xml:space="preserve"> activities through the Social Policy Protocol,</w:t>
      </w:r>
      <w:r w:rsidR="00D54C2E" w:rsidRPr="00D54C2E">
        <w:rPr>
          <w:rStyle w:val="FootnoteReference"/>
          <w:rFonts w:ascii="Times New Roman" w:hAnsi="Times New Roman" w:cs="Times New Roman"/>
          <w:sz w:val="24"/>
          <w:szCs w:val="24"/>
        </w:rPr>
        <w:footnoteReference w:id="98"/>
      </w:r>
      <w:r w:rsidR="00D54C2E">
        <w:rPr>
          <w:rFonts w:ascii="Times New Roman" w:hAnsi="Times New Roman" w:cs="Times New Roman"/>
          <w:sz w:val="24"/>
          <w:szCs w:val="24"/>
        </w:rPr>
        <w:t xml:space="preserve"> Amsterdam brought this within the Treaty proper. M</w:t>
      </w:r>
      <w:r w:rsidR="0035304B">
        <w:rPr>
          <w:rFonts w:ascii="Times New Roman" w:hAnsi="Times New Roman" w:cs="Times New Roman"/>
          <w:sz w:val="24"/>
          <w:szCs w:val="24"/>
        </w:rPr>
        <w:t>oreover, a new Employment Title</w:t>
      </w:r>
      <w:r w:rsidR="00D54C2E">
        <w:rPr>
          <w:rStyle w:val="FootnoteReference"/>
          <w:rFonts w:ascii="Times New Roman" w:hAnsi="Times New Roman" w:cs="Times New Roman"/>
          <w:sz w:val="24"/>
          <w:szCs w:val="24"/>
        </w:rPr>
        <w:footnoteReference w:id="99"/>
      </w:r>
      <w:r w:rsidR="004158F4">
        <w:rPr>
          <w:rFonts w:ascii="Times New Roman" w:hAnsi="Times New Roman" w:cs="Times New Roman"/>
          <w:sz w:val="24"/>
          <w:szCs w:val="24"/>
        </w:rPr>
        <w:t xml:space="preserve"> focused on unemployment was “</w:t>
      </w:r>
      <w:r w:rsidR="00D54C2E">
        <w:rPr>
          <w:rFonts w:ascii="Times New Roman" w:hAnsi="Times New Roman" w:cs="Times New Roman"/>
          <w:sz w:val="24"/>
          <w:szCs w:val="24"/>
        </w:rPr>
        <w:t>indicative of a move away from a purely economic conception of the EU towards a more</w:t>
      </w:r>
      <w:r w:rsidR="004158F4">
        <w:rPr>
          <w:rFonts w:ascii="Times New Roman" w:hAnsi="Times New Roman" w:cs="Times New Roman"/>
          <w:sz w:val="24"/>
          <w:szCs w:val="24"/>
        </w:rPr>
        <w:t xml:space="preserve"> overtly political organisation”</w:t>
      </w:r>
      <w:r w:rsidR="0035304B">
        <w:rPr>
          <w:rFonts w:ascii="Times New Roman" w:hAnsi="Times New Roman" w:cs="Times New Roman"/>
          <w:sz w:val="24"/>
          <w:szCs w:val="24"/>
        </w:rPr>
        <w:t>.</w:t>
      </w:r>
      <w:r w:rsidR="00D54C2E">
        <w:rPr>
          <w:rStyle w:val="FootnoteReference"/>
          <w:rFonts w:ascii="Times New Roman" w:hAnsi="Times New Roman" w:cs="Times New Roman"/>
          <w:sz w:val="24"/>
          <w:szCs w:val="24"/>
        </w:rPr>
        <w:footnoteReference w:id="100"/>
      </w:r>
      <w:r w:rsidR="00D54C2E">
        <w:rPr>
          <w:rFonts w:ascii="Times New Roman" w:hAnsi="Times New Roman" w:cs="Times New Roman"/>
          <w:sz w:val="24"/>
          <w:szCs w:val="24"/>
        </w:rPr>
        <w:t xml:space="preserve"> Lisbon</w:t>
      </w:r>
      <w:r w:rsidR="00BD25D0">
        <w:rPr>
          <w:rFonts w:ascii="Times New Roman" w:hAnsi="Times New Roman" w:cs="Times New Roman"/>
          <w:sz w:val="24"/>
          <w:szCs w:val="24"/>
        </w:rPr>
        <w:t xml:space="preserve">, </w:t>
      </w:r>
      <w:r w:rsidR="00BD25D0">
        <w:rPr>
          <w:rFonts w:ascii="Times New Roman" w:hAnsi="Times New Roman" w:cs="Times New Roman"/>
          <w:i/>
          <w:sz w:val="24"/>
          <w:szCs w:val="24"/>
        </w:rPr>
        <w:t>inter alia</w:t>
      </w:r>
      <w:r w:rsidR="00BD25D0">
        <w:rPr>
          <w:rFonts w:ascii="Times New Roman" w:hAnsi="Times New Roman" w:cs="Times New Roman"/>
          <w:sz w:val="24"/>
          <w:szCs w:val="24"/>
        </w:rPr>
        <w:t>,</w:t>
      </w:r>
      <w:r w:rsidR="00D54C2E">
        <w:rPr>
          <w:rFonts w:ascii="Times New Roman" w:hAnsi="Times New Roman" w:cs="Times New Roman"/>
          <w:sz w:val="24"/>
          <w:szCs w:val="24"/>
        </w:rPr>
        <w:t xml:space="preserve"> </w:t>
      </w:r>
      <w:r w:rsidR="00BD25D0">
        <w:rPr>
          <w:rFonts w:ascii="Times New Roman" w:hAnsi="Times New Roman" w:cs="Times New Roman"/>
          <w:sz w:val="24"/>
          <w:szCs w:val="24"/>
        </w:rPr>
        <w:t>widened the TFEU’s horizontal provisions. In particular, t</w:t>
      </w:r>
      <w:r w:rsidR="00D54C2E">
        <w:rPr>
          <w:rFonts w:ascii="Times New Roman" w:hAnsi="Times New Roman" w:cs="Times New Roman"/>
          <w:sz w:val="24"/>
          <w:szCs w:val="24"/>
        </w:rPr>
        <w:t xml:space="preserve">he </w:t>
      </w:r>
      <w:r w:rsidR="00BD25D0">
        <w:rPr>
          <w:rFonts w:ascii="Times New Roman" w:hAnsi="Times New Roman" w:cs="Times New Roman"/>
          <w:sz w:val="24"/>
          <w:szCs w:val="24"/>
        </w:rPr>
        <w:t>contemporary Union is</w:t>
      </w:r>
      <w:r w:rsidR="00D54C2E">
        <w:rPr>
          <w:rFonts w:ascii="Times New Roman" w:hAnsi="Times New Roman" w:cs="Times New Roman"/>
          <w:sz w:val="24"/>
          <w:szCs w:val="24"/>
        </w:rPr>
        <w:t xml:space="preserve"> required</w:t>
      </w:r>
      <w:r w:rsidR="001D5241">
        <w:rPr>
          <w:rFonts w:ascii="Times New Roman" w:hAnsi="Times New Roman" w:cs="Times New Roman"/>
          <w:sz w:val="24"/>
          <w:szCs w:val="24"/>
        </w:rPr>
        <w:t>,</w:t>
      </w:r>
      <w:r w:rsidR="00D54C2E">
        <w:rPr>
          <w:rFonts w:ascii="Times New Roman" w:hAnsi="Times New Roman" w:cs="Times New Roman"/>
          <w:sz w:val="24"/>
          <w:szCs w:val="24"/>
        </w:rPr>
        <w:t xml:space="preserve"> </w:t>
      </w:r>
      <w:r w:rsidR="001679CD">
        <w:rPr>
          <w:rFonts w:ascii="Times New Roman" w:hAnsi="Times New Roman" w:cs="Times New Roman"/>
          <w:sz w:val="24"/>
          <w:szCs w:val="24"/>
        </w:rPr>
        <w:t>in defining its policies and activities</w:t>
      </w:r>
      <w:r w:rsidR="001D5241">
        <w:rPr>
          <w:rFonts w:ascii="Times New Roman" w:hAnsi="Times New Roman" w:cs="Times New Roman"/>
          <w:sz w:val="24"/>
          <w:szCs w:val="24"/>
        </w:rPr>
        <w:t>,</w:t>
      </w:r>
      <w:r w:rsidR="001679CD">
        <w:rPr>
          <w:rFonts w:ascii="Times New Roman" w:hAnsi="Times New Roman" w:cs="Times New Roman"/>
          <w:sz w:val="24"/>
          <w:szCs w:val="24"/>
        </w:rPr>
        <w:t xml:space="preserve"> </w:t>
      </w:r>
      <w:r w:rsidR="00D54C2E">
        <w:rPr>
          <w:rFonts w:ascii="Times New Roman" w:hAnsi="Times New Roman" w:cs="Times New Roman"/>
          <w:sz w:val="24"/>
          <w:szCs w:val="24"/>
        </w:rPr>
        <w:t>to</w:t>
      </w:r>
      <w:r w:rsidR="00BD25D0">
        <w:rPr>
          <w:rFonts w:ascii="Times New Roman" w:hAnsi="Times New Roman" w:cs="Times New Roman"/>
          <w:sz w:val="24"/>
          <w:szCs w:val="24"/>
        </w:rPr>
        <w:t xml:space="preserve"> take into account</w:t>
      </w:r>
      <w:r w:rsidR="001D290D">
        <w:rPr>
          <w:rFonts w:ascii="Times New Roman" w:hAnsi="Times New Roman" w:cs="Times New Roman"/>
          <w:sz w:val="24"/>
          <w:szCs w:val="24"/>
        </w:rPr>
        <w:t xml:space="preserve"> </w:t>
      </w:r>
      <w:r w:rsidR="001679CD">
        <w:rPr>
          <w:rFonts w:ascii="Times New Roman" w:hAnsi="Times New Roman" w:cs="Times New Roman"/>
          <w:sz w:val="24"/>
          <w:szCs w:val="24"/>
        </w:rPr>
        <w:t>the promotion of</w:t>
      </w:r>
      <w:r w:rsidR="00D54C2E">
        <w:rPr>
          <w:rFonts w:ascii="Times New Roman" w:hAnsi="Times New Roman" w:cs="Times New Roman"/>
          <w:sz w:val="24"/>
          <w:szCs w:val="24"/>
        </w:rPr>
        <w:t xml:space="preserve"> social protection, high employment, social inclusion, education, training and public health,</w:t>
      </w:r>
      <w:r w:rsidR="00D54C2E">
        <w:rPr>
          <w:rStyle w:val="FootnoteReference"/>
          <w:rFonts w:ascii="Times New Roman" w:hAnsi="Times New Roman" w:cs="Times New Roman"/>
          <w:sz w:val="24"/>
          <w:szCs w:val="24"/>
        </w:rPr>
        <w:footnoteReference w:id="101"/>
      </w:r>
      <w:r w:rsidR="00D54C2E">
        <w:rPr>
          <w:rFonts w:ascii="Times New Roman" w:hAnsi="Times New Roman" w:cs="Times New Roman"/>
          <w:sz w:val="24"/>
          <w:szCs w:val="24"/>
        </w:rPr>
        <w:t xml:space="preserve"> as well as</w:t>
      </w:r>
      <w:r w:rsidR="009F0C1D">
        <w:rPr>
          <w:rFonts w:ascii="Times New Roman" w:hAnsi="Times New Roman" w:cs="Times New Roman"/>
          <w:sz w:val="24"/>
          <w:szCs w:val="24"/>
        </w:rPr>
        <w:t xml:space="preserve"> environmental protection</w:t>
      </w:r>
      <w:r w:rsidR="001D290D">
        <w:rPr>
          <w:rFonts w:ascii="Times New Roman" w:hAnsi="Times New Roman" w:cs="Times New Roman"/>
          <w:sz w:val="24"/>
          <w:szCs w:val="24"/>
        </w:rPr>
        <w:t>,</w:t>
      </w:r>
      <w:r w:rsidR="009F0C1D">
        <w:rPr>
          <w:rStyle w:val="FootnoteReference"/>
          <w:rFonts w:ascii="Times New Roman" w:hAnsi="Times New Roman" w:cs="Times New Roman"/>
          <w:sz w:val="24"/>
          <w:szCs w:val="24"/>
        </w:rPr>
        <w:footnoteReference w:id="102"/>
      </w:r>
      <w:r w:rsidR="00A57564">
        <w:rPr>
          <w:rFonts w:ascii="Times New Roman" w:hAnsi="Times New Roman" w:cs="Times New Roman"/>
          <w:sz w:val="24"/>
          <w:szCs w:val="24"/>
        </w:rPr>
        <w:t xml:space="preserve"> consumer protection,</w:t>
      </w:r>
      <w:r w:rsidR="009F0C1D">
        <w:rPr>
          <w:rStyle w:val="FootnoteReference"/>
          <w:rFonts w:ascii="Times New Roman" w:hAnsi="Times New Roman" w:cs="Times New Roman"/>
          <w:sz w:val="24"/>
          <w:szCs w:val="24"/>
        </w:rPr>
        <w:footnoteReference w:id="103"/>
      </w:r>
      <w:r w:rsidR="001D5241">
        <w:rPr>
          <w:rFonts w:ascii="Times New Roman" w:hAnsi="Times New Roman" w:cs="Times New Roman"/>
          <w:sz w:val="24"/>
          <w:szCs w:val="24"/>
        </w:rPr>
        <w:t xml:space="preserve"> and combat</w:t>
      </w:r>
      <w:r w:rsidR="00A57564">
        <w:rPr>
          <w:rFonts w:ascii="Times New Roman" w:hAnsi="Times New Roman" w:cs="Times New Roman"/>
          <w:sz w:val="24"/>
          <w:szCs w:val="24"/>
        </w:rPr>
        <w:t>ing discrimination.</w:t>
      </w:r>
      <w:r w:rsidR="00A57564">
        <w:rPr>
          <w:rStyle w:val="FootnoteReference"/>
          <w:rFonts w:ascii="Times New Roman" w:hAnsi="Times New Roman" w:cs="Times New Roman"/>
          <w:sz w:val="24"/>
          <w:szCs w:val="24"/>
        </w:rPr>
        <w:footnoteReference w:id="104"/>
      </w:r>
    </w:p>
    <w:p w:rsidR="00CA09B8" w:rsidRDefault="009F0C1D" w:rsidP="00CA09B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Nevertheless, each </w:t>
      </w:r>
      <w:r w:rsidR="00E2585C">
        <w:rPr>
          <w:rFonts w:ascii="Times New Roman" w:hAnsi="Times New Roman" w:cs="Times New Roman"/>
          <w:sz w:val="24"/>
          <w:szCs w:val="24"/>
        </w:rPr>
        <w:t xml:space="preserve">(potential) </w:t>
      </w:r>
      <w:r>
        <w:rPr>
          <w:rFonts w:ascii="Times New Roman" w:hAnsi="Times New Roman" w:cs="Times New Roman"/>
          <w:sz w:val="24"/>
          <w:szCs w:val="24"/>
        </w:rPr>
        <w:t xml:space="preserve">expansion of the Union’s social remit is accompanied, fourth, by reassurances that the EU understands the importance of domestic social sovereignty. Thus, though it asserted that European citizens </w:t>
      </w:r>
      <w:r w:rsidR="004158F4">
        <w:rPr>
          <w:rFonts w:ascii="Times New Roman" w:hAnsi="Times New Roman" w:cs="Times New Roman"/>
          <w:sz w:val="24"/>
          <w:szCs w:val="24"/>
        </w:rPr>
        <w:t>“</w:t>
      </w:r>
      <w:r w:rsidR="00C0657C">
        <w:rPr>
          <w:rFonts w:ascii="Times New Roman" w:hAnsi="Times New Roman" w:cs="Times New Roman"/>
          <w:sz w:val="24"/>
          <w:szCs w:val="24"/>
        </w:rPr>
        <w:t>undoubtedly s</w:t>
      </w:r>
      <w:r w:rsidR="004158F4">
        <w:rPr>
          <w:rFonts w:ascii="Times New Roman" w:hAnsi="Times New Roman" w:cs="Times New Roman"/>
          <w:sz w:val="24"/>
          <w:szCs w:val="24"/>
        </w:rPr>
        <w:t>upported the Union’s broad aims”</w:t>
      </w:r>
      <w:r>
        <w:rPr>
          <w:rFonts w:ascii="Times New Roman" w:hAnsi="Times New Roman" w:cs="Times New Roman"/>
          <w:sz w:val="24"/>
          <w:szCs w:val="24"/>
        </w:rPr>
        <w:t>,</w:t>
      </w:r>
      <w:r w:rsidR="00C0657C">
        <w:rPr>
          <w:rFonts w:ascii="Times New Roman" w:hAnsi="Times New Roman" w:cs="Times New Roman"/>
          <w:sz w:val="24"/>
          <w:szCs w:val="24"/>
        </w:rPr>
        <w:t xml:space="preserve"> the </w:t>
      </w:r>
      <w:proofErr w:type="spellStart"/>
      <w:r w:rsidR="00C0657C">
        <w:rPr>
          <w:rFonts w:ascii="Times New Roman" w:hAnsi="Times New Roman" w:cs="Times New Roman"/>
          <w:sz w:val="24"/>
          <w:szCs w:val="24"/>
        </w:rPr>
        <w:t>Laeken</w:t>
      </w:r>
      <w:proofErr w:type="spellEnd"/>
      <w:r w:rsidR="00C0657C">
        <w:rPr>
          <w:rFonts w:ascii="Times New Roman" w:hAnsi="Times New Roman" w:cs="Times New Roman"/>
          <w:sz w:val="24"/>
          <w:szCs w:val="24"/>
        </w:rPr>
        <w:t xml:space="preserve"> Declarat</w:t>
      </w:r>
      <w:r w:rsidR="00CA09B8">
        <w:rPr>
          <w:rFonts w:ascii="Times New Roman" w:hAnsi="Times New Roman" w:cs="Times New Roman"/>
          <w:sz w:val="24"/>
          <w:szCs w:val="24"/>
        </w:rPr>
        <w:t xml:space="preserve">ion also accepted </w:t>
      </w:r>
      <w:r w:rsidR="00CA09B8" w:rsidRPr="00CA09B8">
        <w:rPr>
          <w:rFonts w:ascii="Times New Roman" w:hAnsi="Times New Roman" w:cs="Times New Roman"/>
          <w:sz w:val="24"/>
          <w:szCs w:val="24"/>
        </w:rPr>
        <w:t>that “[m]</w:t>
      </w:r>
      <w:r w:rsidR="00C0657C" w:rsidRPr="00CA09B8">
        <w:rPr>
          <w:rFonts w:ascii="Times New Roman" w:hAnsi="Times New Roman" w:cs="Times New Roman"/>
          <w:sz w:val="24"/>
          <w:szCs w:val="24"/>
        </w:rPr>
        <w:t xml:space="preserve">any also feel that the Union should involve itself more with particular concerns, instead of intervening…in matters by their nature better left to Member States and regions’ elected representatives. This is even perceived by some </w:t>
      </w:r>
      <w:r w:rsidR="00CA09B8" w:rsidRPr="00CA09B8">
        <w:rPr>
          <w:rFonts w:ascii="Times New Roman" w:hAnsi="Times New Roman" w:cs="Times New Roman"/>
          <w:sz w:val="24"/>
          <w:szCs w:val="24"/>
        </w:rPr>
        <w:t>as a threat to their identity”.</w:t>
      </w:r>
      <w:r w:rsidR="00C0657C" w:rsidRPr="00CA09B8">
        <w:rPr>
          <w:rStyle w:val="FootnoteReference"/>
          <w:rFonts w:ascii="Times New Roman" w:hAnsi="Times New Roman" w:cs="Times New Roman"/>
          <w:sz w:val="24"/>
          <w:szCs w:val="24"/>
        </w:rPr>
        <w:footnoteReference w:id="105"/>
      </w:r>
      <w:r w:rsidR="00C0657C" w:rsidRPr="00CA09B8">
        <w:rPr>
          <w:rFonts w:ascii="Times New Roman" w:hAnsi="Times New Roman" w:cs="Times New Roman"/>
          <w:sz w:val="24"/>
          <w:szCs w:val="24"/>
        </w:rPr>
        <w:t xml:space="preserve"> </w:t>
      </w:r>
    </w:p>
    <w:p w:rsidR="004E353B" w:rsidRDefault="00511994" w:rsidP="004E353B">
      <w:pPr>
        <w:pStyle w:val="NoSpacing"/>
        <w:spacing w:line="360" w:lineRule="auto"/>
        <w:ind w:firstLine="284"/>
        <w:jc w:val="both"/>
        <w:rPr>
          <w:rFonts w:ascii="Times New Roman" w:hAnsi="Times New Roman" w:cs="Times New Roman"/>
          <w:sz w:val="24"/>
          <w:szCs w:val="24"/>
        </w:rPr>
      </w:pPr>
      <w:r w:rsidRPr="004F6FA9">
        <w:rPr>
          <w:rFonts w:ascii="Times New Roman" w:hAnsi="Times New Roman" w:cs="Times New Roman"/>
          <w:sz w:val="24"/>
          <w:szCs w:val="24"/>
        </w:rPr>
        <w:t>At Maastricht, the EU’s venture into areas such as education was accompa</w:t>
      </w:r>
      <w:r w:rsidR="004158F4">
        <w:rPr>
          <w:rFonts w:ascii="Times New Roman" w:hAnsi="Times New Roman" w:cs="Times New Roman"/>
          <w:sz w:val="24"/>
          <w:szCs w:val="24"/>
        </w:rPr>
        <w:t>nied by statements that it was “</w:t>
      </w:r>
      <w:r w:rsidRPr="004F6FA9">
        <w:rPr>
          <w:rFonts w:ascii="Times New Roman" w:hAnsi="Times New Roman" w:cs="Times New Roman"/>
          <w:sz w:val="24"/>
          <w:szCs w:val="24"/>
        </w:rPr>
        <w:t xml:space="preserve">fully respectful </w:t>
      </w:r>
      <w:r w:rsidRPr="004F6FA9">
        <w:rPr>
          <w:rStyle w:val="FootnoteReference"/>
          <w:rFonts w:ascii="Times New Roman" w:hAnsi="Times New Roman" w:cs="Times New Roman"/>
          <w:sz w:val="24"/>
          <w:szCs w:val="24"/>
        </w:rPr>
        <w:footnoteReference w:id="106"/>
      </w:r>
      <w:r w:rsidRPr="004F6FA9">
        <w:rPr>
          <w:rFonts w:ascii="Times New Roman" w:hAnsi="Times New Roman" w:cs="Times New Roman"/>
          <w:sz w:val="24"/>
          <w:szCs w:val="24"/>
        </w:rPr>
        <w:t>of the responsibility of the Member States for the content of teaching</w:t>
      </w:r>
      <w:r w:rsidR="001679CD">
        <w:rPr>
          <w:rFonts w:ascii="Times New Roman" w:hAnsi="Times New Roman" w:cs="Times New Roman"/>
          <w:sz w:val="24"/>
          <w:szCs w:val="24"/>
        </w:rPr>
        <w:t>,</w:t>
      </w:r>
      <w:r w:rsidRPr="004F6FA9">
        <w:rPr>
          <w:rFonts w:ascii="Times New Roman" w:hAnsi="Times New Roman" w:cs="Times New Roman"/>
          <w:sz w:val="24"/>
          <w:szCs w:val="24"/>
        </w:rPr>
        <w:t xml:space="preserve"> organisation of their education systems and their cu</w:t>
      </w:r>
      <w:r w:rsidR="004158F4">
        <w:rPr>
          <w:rFonts w:ascii="Times New Roman" w:hAnsi="Times New Roman" w:cs="Times New Roman"/>
          <w:sz w:val="24"/>
          <w:szCs w:val="24"/>
        </w:rPr>
        <w:t>ltural and linguistic diversity”</w:t>
      </w:r>
      <w:r w:rsidRPr="004F6FA9">
        <w:rPr>
          <w:rFonts w:ascii="Times New Roman" w:hAnsi="Times New Roman" w:cs="Times New Roman"/>
          <w:sz w:val="24"/>
          <w:szCs w:val="24"/>
        </w:rPr>
        <w:t>.</w:t>
      </w:r>
      <w:r w:rsidRPr="004F6FA9">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w:t>
      </w:r>
      <w:r w:rsidR="00281A8A" w:rsidRPr="004F6FA9">
        <w:rPr>
          <w:rFonts w:ascii="Times New Roman" w:hAnsi="Times New Roman" w:cs="Times New Roman"/>
          <w:sz w:val="24"/>
          <w:szCs w:val="24"/>
        </w:rPr>
        <w:t>Most notably,</w:t>
      </w:r>
      <w:r w:rsidR="00281A8A">
        <w:rPr>
          <w:rFonts w:ascii="Times New Roman" w:hAnsi="Times New Roman" w:cs="Times New Roman"/>
          <w:sz w:val="24"/>
          <w:szCs w:val="24"/>
        </w:rPr>
        <w:t xml:space="preserve"> with</w:t>
      </w:r>
      <w:r w:rsidR="00281A8A" w:rsidRPr="004F6FA9">
        <w:rPr>
          <w:rFonts w:ascii="Times New Roman" w:hAnsi="Times New Roman" w:cs="Times New Roman"/>
          <w:sz w:val="24"/>
          <w:szCs w:val="24"/>
        </w:rPr>
        <w:t xml:space="preserve"> </w:t>
      </w:r>
      <w:r w:rsidR="00281A8A">
        <w:rPr>
          <w:rFonts w:ascii="Times New Roman" w:hAnsi="Times New Roman" w:cs="Times New Roman"/>
          <w:sz w:val="24"/>
          <w:szCs w:val="24"/>
        </w:rPr>
        <w:t>the UK initially opting out of the Social Chapter, Maastricht saw the concept of differentiat</w:t>
      </w:r>
      <w:r w:rsidR="001679CD">
        <w:rPr>
          <w:rFonts w:ascii="Times New Roman" w:hAnsi="Times New Roman" w:cs="Times New Roman"/>
          <w:sz w:val="24"/>
          <w:szCs w:val="24"/>
        </w:rPr>
        <w:t>ed participation become part of</w:t>
      </w:r>
      <w:r w:rsidR="00281A8A">
        <w:rPr>
          <w:rFonts w:ascii="Times New Roman" w:hAnsi="Times New Roman" w:cs="Times New Roman"/>
          <w:sz w:val="24"/>
          <w:szCs w:val="24"/>
        </w:rPr>
        <w:t xml:space="preserve"> the Union’s integration processes. </w:t>
      </w:r>
      <w:r>
        <w:rPr>
          <w:rFonts w:ascii="Times New Roman" w:hAnsi="Times New Roman" w:cs="Times New Roman"/>
          <w:sz w:val="24"/>
          <w:szCs w:val="24"/>
        </w:rPr>
        <w:t>Lisbon strengthened</w:t>
      </w:r>
      <w:r w:rsidR="001D0A89">
        <w:rPr>
          <w:rFonts w:ascii="Times New Roman" w:hAnsi="Times New Roman" w:cs="Times New Roman"/>
          <w:sz w:val="24"/>
          <w:szCs w:val="24"/>
        </w:rPr>
        <w:t xml:space="preserve"> the national identity clause</w:t>
      </w:r>
      <w:r w:rsidR="00E2585C">
        <w:rPr>
          <w:rFonts w:ascii="Times New Roman" w:hAnsi="Times New Roman" w:cs="Times New Roman"/>
          <w:sz w:val="24"/>
          <w:szCs w:val="24"/>
        </w:rPr>
        <w:t>,</w:t>
      </w:r>
      <w:r w:rsidR="00E2585C">
        <w:rPr>
          <w:rStyle w:val="FootnoteReference"/>
          <w:rFonts w:ascii="Times New Roman" w:hAnsi="Times New Roman" w:cs="Times New Roman"/>
          <w:sz w:val="24"/>
          <w:szCs w:val="24"/>
        </w:rPr>
        <w:footnoteReference w:id="108"/>
      </w:r>
      <w:r w:rsidR="00E2585C">
        <w:rPr>
          <w:rFonts w:ascii="Times New Roman" w:hAnsi="Times New Roman" w:cs="Times New Roman"/>
          <w:sz w:val="24"/>
          <w:szCs w:val="24"/>
        </w:rPr>
        <w:t xml:space="preserve"> while measures such as the emergency brake - which allows a Member State to refer draft legislation to the European Council where it would affect fundamental aspects</w:t>
      </w:r>
      <w:r w:rsidR="001D290D">
        <w:rPr>
          <w:rFonts w:ascii="Times New Roman" w:hAnsi="Times New Roman" w:cs="Times New Roman"/>
          <w:sz w:val="24"/>
          <w:szCs w:val="24"/>
        </w:rPr>
        <w:t>,</w:t>
      </w:r>
      <w:r w:rsidR="00E2585C">
        <w:rPr>
          <w:rFonts w:ascii="Times New Roman" w:hAnsi="Times New Roman" w:cs="Times New Roman"/>
          <w:sz w:val="24"/>
          <w:szCs w:val="24"/>
        </w:rPr>
        <w:t xml:space="preserve"> or the financial balance</w:t>
      </w:r>
      <w:r w:rsidR="001D290D">
        <w:rPr>
          <w:rFonts w:ascii="Times New Roman" w:hAnsi="Times New Roman" w:cs="Times New Roman"/>
          <w:sz w:val="24"/>
          <w:szCs w:val="24"/>
        </w:rPr>
        <w:t>,</w:t>
      </w:r>
      <w:r w:rsidR="00E2585C">
        <w:rPr>
          <w:rFonts w:ascii="Times New Roman" w:hAnsi="Times New Roman" w:cs="Times New Roman"/>
          <w:sz w:val="24"/>
          <w:szCs w:val="24"/>
        </w:rPr>
        <w:t xml:space="preserve"> of its social security system – were introduced</w:t>
      </w:r>
      <w:r w:rsidR="00E2585C" w:rsidRPr="004F6FA9">
        <w:rPr>
          <w:rFonts w:ascii="Times New Roman" w:hAnsi="Times New Roman" w:cs="Times New Roman"/>
          <w:sz w:val="24"/>
          <w:szCs w:val="24"/>
        </w:rPr>
        <w:t>.</w:t>
      </w:r>
      <w:r w:rsidR="00E2585C" w:rsidRPr="004F6FA9">
        <w:rPr>
          <w:rStyle w:val="FootnoteReference"/>
          <w:rFonts w:ascii="Times New Roman" w:hAnsi="Times New Roman" w:cs="Times New Roman"/>
          <w:sz w:val="24"/>
          <w:szCs w:val="24"/>
        </w:rPr>
        <w:footnoteReference w:id="109"/>
      </w:r>
      <w:r w:rsidR="00E2585C">
        <w:rPr>
          <w:rFonts w:ascii="Times New Roman" w:hAnsi="Times New Roman" w:cs="Times New Roman"/>
          <w:sz w:val="24"/>
          <w:szCs w:val="24"/>
        </w:rPr>
        <w:t xml:space="preserve"> Indeed, while the EU’s social competence has</w:t>
      </w:r>
      <w:r w:rsidR="004B7DCB">
        <w:rPr>
          <w:rFonts w:ascii="Times New Roman" w:hAnsi="Times New Roman" w:cs="Times New Roman"/>
          <w:sz w:val="24"/>
          <w:szCs w:val="24"/>
        </w:rPr>
        <w:t xml:space="preserve"> grown</w:t>
      </w:r>
      <w:r w:rsidR="00E2585C">
        <w:rPr>
          <w:rFonts w:ascii="Times New Roman" w:hAnsi="Times New Roman" w:cs="Times New Roman"/>
          <w:sz w:val="24"/>
          <w:szCs w:val="24"/>
        </w:rPr>
        <w:t xml:space="preserve"> </w:t>
      </w:r>
      <w:r w:rsidR="009056E4">
        <w:rPr>
          <w:rFonts w:ascii="Times New Roman" w:hAnsi="Times New Roman" w:cs="Times New Roman"/>
          <w:sz w:val="24"/>
          <w:szCs w:val="24"/>
        </w:rPr>
        <w:t>greatly</w:t>
      </w:r>
      <w:r w:rsidR="00E2585C">
        <w:rPr>
          <w:rFonts w:ascii="Times New Roman" w:hAnsi="Times New Roman" w:cs="Times New Roman"/>
          <w:sz w:val="24"/>
          <w:szCs w:val="24"/>
        </w:rPr>
        <w:t xml:space="preserve"> since Rome, </w:t>
      </w:r>
      <w:r w:rsidR="00FC598F">
        <w:rPr>
          <w:rFonts w:ascii="Times New Roman" w:hAnsi="Times New Roman" w:cs="Times New Roman"/>
          <w:sz w:val="24"/>
          <w:szCs w:val="24"/>
        </w:rPr>
        <w:t>the Union is still far from being able to boast a social constitution a</w:t>
      </w:r>
      <w:r w:rsidR="00A57564">
        <w:rPr>
          <w:rFonts w:ascii="Times New Roman" w:hAnsi="Times New Roman" w:cs="Times New Roman"/>
          <w:sz w:val="24"/>
          <w:szCs w:val="24"/>
        </w:rPr>
        <w:t xml:space="preserve">s </w:t>
      </w:r>
      <w:r w:rsidR="00A57564">
        <w:rPr>
          <w:rFonts w:ascii="Times New Roman" w:hAnsi="Times New Roman" w:cs="Times New Roman"/>
          <w:sz w:val="24"/>
          <w:szCs w:val="24"/>
        </w:rPr>
        <w:lastRenderedPageBreak/>
        <w:t>powerful as its economic one. I</w:t>
      </w:r>
      <w:r w:rsidR="00E2585C">
        <w:rPr>
          <w:rFonts w:ascii="Times New Roman" w:hAnsi="Times New Roman" w:cs="Times New Roman"/>
          <w:sz w:val="24"/>
          <w:szCs w:val="24"/>
        </w:rPr>
        <w:t>t</w:t>
      </w:r>
      <w:r w:rsidR="00FC598F">
        <w:rPr>
          <w:rFonts w:ascii="Times New Roman" w:hAnsi="Times New Roman" w:cs="Times New Roman"/>
          <w:sz w:val="24"/>
          <w:szCs w:val="24"/>
        </w:rPr>
        <w:t>s ability to offset the effects of economi</w:t>
      </w:r>
      <w:r w:rsidR="00E2585C">
        <w:rPr>
          <w:rFonts w:ascii="Times New Roman" w:hAnsi="Times New Roman" w:cs="Times New Roman"/>
          <w:sz w:val="24"/>
          <w:szCs w:val="24"/>
        </w:rPr>
        <w:t>c integration on social integration</w:t>
      </w:r>
      <w:r w:rsidR="00A57564">
        <w:rPr>
          <w:rFonts w:ascii="Times New Roman" w:hAnsi="Times New Roman" w:cs="Times New Roman"/>
          <w:sz w:val="24"/>
          <w:szCs w:val="24"/>
        </w:rPr>
        <w:t xml:space="preserve"> remain</w:t>
      </w:r>
      <w:r w:rsidR="00FC598F">
        <w:rPr>
          <w:rFonts w:ascii="Times New Roman" w:hAnsi="Times New Roman" w:cs="Times New Roman"/>
          <w:sz w:val="24"/>
          <w:szCs w:val="24"/>
        </w:rPr>
        <w:t xml:space="preserve">s </w:t>
      </w:r>
      <w:r w:rsidR="00E2585C">
        <w:rPr>
          <w:rFonts w:ascii="Times New Roman" w:hAnsi="Times New Roman" w:cs="Times New Roman"/>
          <w:sz w:val="24"/>
          <w:szCs w:val="24"/>
        </w:rPr>
        <w:t xml:space="preserve">constrained. </w:t>
      </w:r>
    </w:p>
    <w:p w:rsidR="004E353B" w:rsidRDefault="004E353B" w:rsidP="004E353B">
      <w:pPr>
        <w:pStyle w:val="NoSpacing"/>
        <w:spacing w:line="360" w:lineRule="auto"/>
        <w:ind w:firstLine="284"/>
        <w:jc w:val="both"/>
        <w:rPr>
          <w:rFonts w:ascii="Times New Roman" w:hAnsi="Times New Roman" w:cs="Times New Roman"/>
          <w:sz w:val="24"/>
          <w:szCs w:val="24"/>
        </w:rPr>
      </w:pPr>
    </w:p>
    <w:p w:rsidR="004E353B" w:rsidRDefault="004E353B"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III.2 LIMITS ON SOCIAL INTEGRATION RESULTING FROM THE ECONOMIC/SOCIAL DICHOTOMY </w:t>
      </w:r>
    </w:p>
    <w:p w:rsidR="004E353B" w:rsidRDefault="004E353B" w:rsidP="002F33D2">
      <w:pPr>
        <w:pStyle w:val="NoSpacing"/>
        <w:spacing w:line="360" w:lineRule="auto"/>
        <w:jc w:val="both"/>
        <w:rPr>
          <w:rFonts w:ascii="Times New Roman" w:hAnsi="Times New Roman" w:cs="Times New Roman"/>
          <w:sz w:val="24"/>
          <w:szCs w:val="24"/>
        </w:rPr>
      </w:pPr>
    </w:p>
    <w:p w:rsidR="00E67456" w:rsidRDefault="004E353B"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0657C">
        <w:rPr>
          <w:rFonts w:ascii="Times New Roman" w:hAnsi="Times New Roman" w:cs="Times New Roman"/>
          <w:sz w:val="24"/>
          <w:szCs w:val="24"/>
        </w:rPr>
        <w:t xml:space="preserve">hough </w:t>
      </w:r>
      <w:r w:rsidR="00C3047E">
        <w:rPr>
          <w:rFonts w:ascii="Times New Roman" w:hAnsi="Times New Roman" w:cs="Times New Roman"/>
          <w:sz w:val="24"/>
          <w:szCs w:val="24"/>
        </w:rPr>
        <w:t xml:space="preserve">the economic/social dichotomy has proven to be a myth, its legacy is </w:t>
      </w:r>
      <w:r w:rsidR="00C0657C">
        <w:rPr>
          <w:rFonts w:ascii="Times New Roman" w:hAnsi="Times New Roman" w:cs="Times New Roman"/>
          <w:sz w:val="24"/>
          <w:szCs w:val="24"/>
        </w:rPr>
        <w:t xml:space="preserve">the continuing concern that Union-level social integration represents further European interference rather than a necessary counterweight to the internal market. Consequently, </w:t>
      </w:r>
      <w:r w:rsidR="001679CD">
        <w:rPr>
          <w:rFonts w:ascii="Times New Roman" w:hAnsi="Times New Roman" w:cs="Times New Roman"/>
          <w:sz w:val="24"/>
          <w:szCs w:val="24"/>
        </w:rPr>
        <w:t>while the Union enjoys a</w:t>
      </w:r>
      <w:r w:rsidR="00FC598F" w:rsidRPr="004F6FA9">
        <w:rPr>
          <w:rFonts w:ascii="Times New Roman" w:hAnsi="Times New Roman" w:cs="Times New Roman"/>
          <w:sz w:val="24"/>
          <w:szCs w:val="24"/>
        </w:rPr>
        <w:t xml:space="preserve"> range of exclusive and shared regulatory competences in the internal market domain,</w:t>
      </w:r>
      <w:r w:rsidR="00FC598F" w:rsidRPr="004F6FA9">
        <w:rPr>
          <w:rStyle w:val="FootnoteReference"/>
          <w:rFonts w:ascii="Times New Roman" w:hAnsi="Times New Roman" w:cs="Times New Roman"/>
          <w:sz w:val="24"/>
          <w:szCs w:val="24"/>
        </w:rPr>
        <w:footnoteReference w:id="110"/>
      </w:r>
      <w:r w:rsidR="00FC598F" w:rsidRPr="004F6FA9">
        <w:rPr>
          <w:rFonts w:ascii="Times New Roman" w:hAnsi="Times New Roman" w:cs="Times New Roman"/>
          <w:sz w:val="24"/>
          <w:szCs w:val="24"/>
        </w:rPr>
        <w:t xml:space="preserve"> the expansion of EU activity into social policy</w:t>
      </w:r>
      <w:r w:rsidR="00283D34">
        <w:rPr>
          <w:rFonts w:ascii="Times New Roman" w:hAnsi="Times New Roman" w:cs="Times New Roman"/>
          <w:sz w:val="24"/>
          <w:szCs w:val="24"/>
        </w:rPr>
        <w:t xml:space="preserve"> and related</w:t>
      </w:r>
      <w:r w:rsidR="00FC598F" w:rsidRPr="004F6FA9">
        <w:rPr>
          <w:rFonts w:ascii="Times New Roman" w:hAnsi="Times New Roman" w:cs="Times New Roman"/>
          <w:sz w:val="24"/>
          <w:szCs w:val="24"/>
        </w:rPr>
        <w:t xml:space="preserve"> areas, such as consumer protection, the envi</w:t>
      </w:r>
      <w:r w:rsidR="00C0657C">
        <w:rPr>
          <w:rFonts w:ascii="Times New Roman" w:hAnsi="Times New Roman" w:cs="Times New Roman"/>
          <w:sz w:val="24"/>
          <w:szCs w:val="24"/>
        </w:rPr>
        <w:t>ronment, education and</w:t>
      </w:r>
      <w:r w:rsidR="00FC598F" w:rsidRPr="004F6FA9">
        <w:rPr>
          <w:rFonts w:ascii="Times New Roman" w:hAnsi="Times New Roman" w:cs="Times New Roman"/>
          <w:sz w:val="24"/>
          <w:szCs w:val="24"/>
        </w:rPr>
        <w:t xml:space="preserve"> health is largely restricted to shared</w:t>
      </w:r>
      <w:r w:rsidR="00FC598F" w:rsidRPr="004F6FA9">
        <w:rPr>
          <w:rStyle w:val="FootnoteReference"/>
          <w:rFonts w:ascii="Times New Roman" w:hAnsi="Times New Roman" w:cs="Times New Roman"/>
          <w:sz w:val="24"/>
          <w:szCs w:val="24"/>
        </w:rPr>
        <w:footnoteReference w:id="111"/>
      </w:r>
      <w:r w:rsidR="00066B84">
        <w:rPr>
          <w:rFonts w:ascii="Times New Roman" w:hAnsi="Times New Roman" w:cs="Times New Roman"/>
          <w:sz w:val="24"/>
          <w:szCs w:val="24"/>
        </w:rPr>
        <w:t xml:space="preserve"> or complementary</w:t>
      </w:r>
      <w:r w:rsidR="00FC598F" w:rsidRPr="004F6FA9">
        <w:rPr>
          <w:rStyle w:val="FootnoteReference"/>
          <w:rFonts w:ascii="Times New Roman" w:hAnsi="Times New Roman" w:cs="Times New Roman"/>
          <w:sz w:val="24"/>
          <w:szCs w:val="24"/>
        </w:rPr>
        <w:footnoteReference w:id="112"/>
      </w:r>
      <w:r w:rsidR="00E761FC">
        <w:rPr>
          <w:rFonts w:ascii="Times New Roman" w:hAnsi="Times New Roman" w:cs="Times New Roman"/>
          <w:sz w:val="24"/>
          <w:szCs w:val="24"/>
        </w:rPr>
        <w:t xml:space="preserve"> competence, </w:t>
      </w:r>
      <w:r w:rsidR="00B04B07">
        <w:rPr>
          <w:rFonts w:ascii="Times New Roman" w:hAnsi="Times New Roman" w:cs="Times New Roman"/>
          <w:sz w:val="24"/>
          <w:szCs w:val="24"/>
        </w:rPr>
        <w:t xml:space="preserve">often </w:t>
      </w:r>
      <w:r w:rsidR="00E761FC">
        <w:rPr>
          <w:rFonts w:ascii="Times New Roman" w:hAnsi="Times New Roman" w:cs="Times New Roman"/>
          <w:sz w:val="24"/>
          <w:szCs w:val="24"/>
        </w:rPr>
        <w:t xml:space="preserve">with a </w:t>
      </w:r>
      <w:r w:rsidR="00FC598F" w:rsidRPr="004F6FA9">
        <w:rPr>
          <w:rFonts w:ascii="Times New Roman" w:hAnsi="Times New Roman" w:cs="Times New Roman"/>
          <w:sz w:val="24"/>
          <w:szCs w:val="24"/>
        </w:rPr>
        <w:t>focus on minimum requirements.</w:t>
      </w:r>
      <w:r w:rsidR="00FC598F" w:rsidRPr="004F6FA9">
        <w:rPr>
          <w:rStyle w:val="FootnoteReference"/>
          <w:rFonts w:ascii="Times New Roman" w:hAnsi="Times New Roman" w:cs="Times New Roman"/>
          <w:sz w:val="24"/>
          <w:szCs w:val="24"/>
        </w:rPr>
        <w:footnoteReference w:id="113"/>
      </w:r>
      <w:r w:rsidR="00C47694" w:rsidRPr="004F6FA9">
        <w:rPr>
          <w:rFonts w:ascii="Times New Roman" w:hAnsi="Times New Roman" w:cs="Times New Roman"/>
          <w:sz w:val="24"/>
          <w:szCs w:val="24"/>
        </w:rPr>
        <w:t xml:space="preserve"> That is not to say that the EU</w:t>
      </w:r>
      <w:r w:rsidR="001679CD">
        <w:rPr>
          <w:rFonts w:ascii="Times New Roman" w:hAnsi="Times New Roman" w:cs="Times New Roman"/>
          <w:sz w:val="24"/>
          <w:szCs w:val="24"/>
        </w:rPr>
        <w:t xml:space="preserve"> does not act in</w:t>
      </w:r>
      <w:r w:rsidR="00C47694" w:rsidRPr="004F6FA9">
        <w:rPr>
          <w:rFonts w:ascii="Times New Roman" w:hAnsi="Times New Roman" w:cs="Times New Roman"/>
          <w:sz w:val="24"/>
          <w:szCs w:val="24"/>
        </w:rPr>
        <w:t xml:space="preserve"> key areas, but simply that its</w:t>
      </w:r>
      <w:r w:rsidR="00B04B07">
        <w:rPr>
          <w:rFonts w:ascii="Times New Roman" w:hAnsi="Times New Roman" w:cs="Times New Roman"/>
          <w:sz w:val="24"/>
          <w:szCs w:val="24"/>
        </w:rPr>
        <w:t xml:space="preserve"> general social competences are more limited than its economic powers</w:t>
      </w:r>
      <w:r w:rsidR="001679CD">
        <w:rPr>
          <w:rFonts w:ascii="Times New Roman" w:hAnsi="Times New Roman" w:cs="Times New Roman"/>
          <w:sz w:val="24"/>
          <w:szCs w:val="24"/>
        </w:rPr>
        <w:t>.</w:t>
      </w:r>
      <w:r w:rsidR="00C47694" w:rsidRPr="004F6FA9">
        <w:rPr>
          <w:rStyle w:val="FootnoteReference"/>
          <w:rFonts w:ascii="Times New Roman" w:hAnsi="Times New Roman" w:cs="Times New Roman"/>
          <w:sz w:val="24"/>
          <w:szCs w:val="24"/>
        </w:rPr>
        <w:footnoteReference w:id="114"/>
      </w:r>
      <w:r w:rsidR="00283D34">
        <w:rPr>
          <w:rFonts w:ascii="Times New Roman" w:hAnsi="Times New Roman" w:cs="Times New Roman"/>
          <w:sz w:val="24"/>
          <w:szCs w:val="24"/>
        </w:rPr>
        <w:t xml:space="preserve"> Crucially, </w:t>
      </w:r>
      <w:r w:rsidR="00FC598F" w:rsidRPr="004F6FA9">
        <w:rPr>
          <w:rFonts w:ascii="Times New Roman" w:hAnsi="Times New Roman" w:cs="Times New Roman"/>
          <w:sz w:val="24"/>
          <w:szCs w:val="24"/>
        </w:rPr>
        <w:t>the free movement provisions have rem</w:t>
      </w:r>
      <w:r w:rsidR="00283D34">
        <w:rPr>
          <w:rFonts w:ascii="Times New Roman" w:hAnsi="Times New Roman" w:cs="Times New Roman"/>
          <w:sz w:val="24"/>
          <w:szCs w:val="24"/>
        </w:rPr>
        <w:t>ained largely unchanged,</w:t>
      </w:r>
      <w:r w:rsidR="00FC598F" w:rsidRPr="004F6FA9">
        <w:rPr>
          <w:rStyle w:val="FootnoteReference"/>
          <w:rFonts w:ascii="Times New Roman" w:hAnsi="Times New Roman" w:cs="Times New Roman"/>
          <w:sz w:val="24"/>
          <w:szCs w:val="24"/>
        </w:rPr>
        <w:footnoteReference w:id="115"/>
      </w:r>
      <w:r w:rsidR="00283D34">
        <w:rPr>
          <w:rFonts w:ascii="Times New Roman" w:hAnsi="Times New Roman" w:cs="Times New Roman"/>
          <w:sz w:val="24"/>
          <w:szCs w:val="24"/>
        </w:rPr>
        <w:t xml:space="preserve"> despite the</w:t>
      </w:r>
      <w:r w:rsidR="001679CD">
        <w:rPr>
          <w:rFonts w:ascii="Times New Roman" w:hAnsi="Times New Roman" w:cs="Times New Roman"/>
          <w:sz w:val="24"/>
          <w:szCs w:val="24"/>
        </w:rPr>
        <w:t xml:space="preserve"> Treaties’ wider,</w:t>
      </w:r>
      <w:r w:rsidR="00283D34">
        <w:rPr>
          <w:rFonts w:ascii="Times New Roman" w:hAnsi="Times New Roman" w:cs="Times New Roman"/>
          <w:sz w:val="24"/>
          <w:szCs w:val="24"/>
        </w:rPr>
        <w:t xml:space="preserve"> evolving social goals</w:t>
      </w:r>
      <w:r w:rsidR="001679CD">
        <w:rPr>
          <w:rFonts w:ascii="Times New Roman" w:hAnsi="Times New Roman" w:cs="Times New Roman"/>
          <w:sz w:val="24"/>
          <w:szCs w:val="24"/>
        </w:rPr>
        <w:t>.</w:t>
      </w:r>
      <w:r w:rsidR="00B6559D">
        <w:rPr>
          <w:rFonts w:ascii="Times New Roman" w:hAnsi="Times New Roman" w:cs="Times New Roman"/>
          <w:sz w:val="24"/>
          <w:szCs w:val="24"/>
        </w:rPr>
        <w:t xml:space="preserve"> S</w:t>
      </w:r>
      <w:r w:rsidR="00B04B07">
        <w:rPr>
          <w:rFonts w:ascii="Times New Roman" w:hAnsi="Times New Roman" w:cs="Times New Roman"/>
          <w:sz w:val="24"/>
          <w:szCs w:val="24"/>
        </w:rPr>
        <w:t xml:space="preserve">ocial concerns are still treated as </w:t>
      </w:r>
      <w:r w:rsidR="00B04B07">
        <w:rPr>
          <w:rFonts w:ascii="Times New Roman" w:hAnsi="Times New Roman" w:cs="Times New Roman"/>
          <w:i/>
          <w:sz w:val="24"/>
          <w:szCs w:val="24"/>
        </w:rPr>
        <w:t xml:space="preserve">derogations </w:t>
      </w:r>
      <w:r w:rsidR="00B04B07">
        <w:rPr>
          <w:rFonts w:ascii="Times New Roman" w:hAnsi="Times New Roman" w:cs="Times New Roman"/>
          <w:sz w:val="24"/>
          <w:szCs w:val="24"/>
        </w:rPr>
        <w:t>from fundamental market freedoms</w:t>
      </w:r>
      <w:r w:rsidR="001F0AEB">
        <w:rPr>
          <w:rFonts w:ascii="Times New Roman" w:hAnsi="Times New Roman" w:cs="Times New Roman"/>
          <w:sz w:val="24"/>
          <w:szCs w:val="24"/>
        </w:rPr>
        <w:t xml:space="preserve"> in the internal market context</w:t>
      </w:r>
      <w:r w:rsidR="00B04B07">
        <w:rPr>
          <w:rFonts w:ascii="Times New Roman" w:hAnsi="Times New Roman" w:cs="Times New Roman"/>
          <w:sz w:val="24"/>
          <w:szCs w:val="24"/>
        </w:rPr>
        <w:t>.</w:t>
      </w:r>
      <w:r w:rsidR="001F0AEB">
        <w:rPr>
          <w:rStyle w:val="FootnoteReference"/>
          <w:rFonts w:ascii="Times New Roman" w:hAnsi="Times New Roman" w:cs="Times New Roman"/>
          <w:sz w:val="24"/>
          <w:szCs w:val="24"/>
        </w:rPr>
        <w:footnoteReference w:id="116"/>
      </w:r>
      <w:r w:rsidR="00FC598F" w:rsidRPr="004F6FA9">
        <w:rPr>
          <w:rFonts w:ascii="Times New Roman" w:hAnsi="Times New Roman" w:cs="Times New Roman"/>
          <w:sz w:val="24"/>
          <w:szCs w:val="24"/>
        </w:rPr>
        <w:t xml:space="preserve"> </w:t>
      </w:r>
      <w:r w:rsidR="001F0AEB">
        <w:rPr>
          <w:rFonts w:ascii="Times New Roman" w:hAnsi="Times New Roman" w:cs="Times New Roman"/>
          <w:sz w:val="24"/>
          <w:szCs w:val="24"/>
        </w:rPr>
        <w:t>In this sense,</w:t>
      </w:r>
      <w:r w:rsidR="00C70E13">
        <w:rPr>
          <w:rFonts w:ascii="Times New Roman" w:hAnsi="Times New Roman" w:cs="Times New Roman"/>
          <w:sz w:val="24"/>
          <w:szCs w:val="24"/>
        </w:rPr>
        <w:t xml:space="preserve"> rather than offering a counterweight to the deregulatory effects of economic integration, and the ultimately i</w:t>
      </w:r>
      <w:r>
        <w:rPr>
          <w:rFonts w:ascii="Times New Roman" w:hAnsi="Times New Roman" w:cs="Times New Roman"/>
          <w:sz w:val="24"/>
          <w:szCs w:val="24"/>
        </w:rPr>
        <w:t>nsufficient model of social integration</w:t>
      </w:r>
      <w:r w:rsidR="00C70E13">
        <w:rPr>
          <w:rFonts w:ascii="Times New Roman" w:hAnsi="Times New Roman" w:cs="Times New Roman"/>
          <w:sz w:val="24"/>
          <w:szCs w:val="24"/>
        </w:rPr>
        <w:t xml:space="preserve"> as a by-product of the internal </w:t>
      </w:r>
      <w:r>
        <w:rPr>
          <w:rFonts w:ascii="Times New Roman" w:hAnsi="Times New Roman" w:cs="Times New Roman"/>
          <w:sz w:val="24"/>
          <w:szCs w:val="24"/>
        </w:rPr>
        <w:t>market, the notion of European social integration</w:t>
      </w:r>
      <w:r w:rsidR="00C70E13">
        <w:rPr>
          <w:rFonts w:ascii="Times New Roman" w:hAnsi="Times New Roman" w:cs="Times New Roman"/>
          <w:sz w:val="24"/>
          <w:szCs w:val="24"/>
        </w:rPr>
        <w:t xml:space="preserve"> as an independent aim is largely functionally distinct from the internal market.</w:t>
      </w:r>
      <w:r w:rsidR="001F0AEB">
        <w:rPr>
          <w:rFonts w:ascii="Times New Roman" w:hAnsi="Times New Roman" w:cs="Times New Roman"/>
          <w:sz w:val="24"/>
          <w:szCs w:val="24"/>
        </w:rPr>
        <w:t xml:space="preserve"> The</w:t>
      </w:r>
      <w:r w:rsidR="00B04B07">
        <w:rPr>
          <w:rFonts w:ascii="Times New Roman" w:hAnsi="Times New Roman" w:cs="Times New Roman"/>
          <w:sz w:val="24"/>
          <w:szCs w:val="24"/>
        </w:rPr>
        <w:t xml:space="preserve"> market freedoms</w:t>
      </w:r>
      <w:r w:rsidR="001F0AEB">
        <w:rPr>
          <w:rFonts w:ascii="Times New Roman" w:hAnsi="Times New Roman" w:cs="Times New Roman"/>
          <w:sz w:val="24"/>
          <w:szCs w:val="24"/>
        </w:rPr>
        <w:t xml:space="preserve"> continue to</w:t>
      </w:r>
      <w:r w:rsidR="00B04B07">
        <w:rPr>
          <w:rFonts w:ascii="Times New Roman" w:hAnsi="Times New Roman" w:cs="Times New Roman"/>
          <w:sz w:val="24"/>
          <w:szCs w:val="24"/>
        </w:rPr>
        <w:t xml:space="preserve"> benefit</w:t>
      </w:r>
      <w:r w:rsidR="001F0AEB">
        <w:rPr>
          <w:rFonts w:ascii="Times New Roman" w:hAnsi="Times New Roman" w:cs="Times New Roman"/>
          <w:sz w:val="24"/>
          <w:szCs w:val="24"/>
        </w:rPr>
        <w:t xml:space="preserve"> </w:t>
      </w:r>
      <w:r w:rsidR="00B04B07">
        <w:rPr>
          <w:rFonts w:ascii="Times New Roman" w:hAnsi="Times New Roman" w:cs="Times New Roman"/>
          <w:sz w:val="24"/>
          <w:szCs w:val="24"/>
        </w:rPr>
        <w:t>from direct application within the Member States</w:t>
      </w:r>
      <w:r w:rsidR="001F0AEB">
        <w:rPr>
          <w:rFonts w:ascii="Times New Roman" w:hAnsi="Times New Roman" w:cs="Times New Roman"/>
          <w:sz w:val="24"/>
          <w:szCs w:val="24"/>
        </w:rPr>
        <w:t>,</w:t>
      </w:r>
      <w:r>
        <w:rPr>
          <w:rFonts w:ascii="Times New Roman" w:hAnsi="Times New Roman" w:cs="Times New Roman"/>
          <w:sz w:val="24"/>
          <w:szCs w:val="24"/>
        </w:rPr>
        <w:t xml:space="preserve"> </w:t>
      </w:r>
      <w:r w:rsidR="00A35AC2">
        <w:rPr>
          <w:rFonts w:ascii="Times New Roman" w:hAnsi="Times New Roman" w:cs="Times New Roman"/>
          <w:sz w:val="24"/>
          <w:szCs w:val="24"/>
        </w:rPr>
        <w:t>“</w:t>
      </w:r>
      <w:r w:rsidR="00FC598F" w:rsidRPr="004F6FA9">
        <w:rPr>
          <w:rFonts w:ascii="Times New Roman" w:hAnsi="Times New Roman" w:cs="Times New Roman"/>
          <w:sz w:val="24"/>
          <w:szCs w:val="24"/>
        </w:rPr>
        <w:t>enforced by a judiciary enjoying a wider com</w:t>
      </w:r>
      <w:r>
        <w:rPr>
          <w:rFonts w:ascii="Times New Roman" w:hAnsi="Times New Roman" w:cs="Times New Roman"/>
          <w:sz w:val="24"/>
          <w:szCs w:val="24"/>
        </w:rPr>
        <w:t>petence than the EU legislator”</w:t>
      </w:r>
      <w:r w:rsidR="001F0AEB">
        <w:rPr>
          <w:rFonts w:ascii="Times New Roman" w:hAnsi="Times New Roman" w:cs="Times New Roman"/>
          <w:sz w:val="24"/>
          <w:szCs w:val="24"/>
        </w:rPr>
        <w:t>,</w:t>
      </w:r>
      <w:r w:rsidR="00FC598F" w:rsidRPr="004F6FA9">
        <w:rPr>
          <w:rStyle w:val="FootnoteReference"/>
          <w:rFonts w:ascii="Times New Roman" w:hAnsi="Times New Roman" w:cs="Times New Roman"/>
          <w:sz w:val="24"/>
          <w:szCs w:val="24"/>
        </w:rPr>
        <w:footnoteReference w:id="117"/>
      </w:r>
      <w:r w:rsidR="001F0AEB">
        <w:rPr>
          <w:rFonts w:ascii="Times New Roman" w:hAnsi="Times New Roman" w:cs="Times New Roman"/>
          <w:sz w:val="24"/>
          <w:szCs w:val="24"/>
        </w:rPr>
        <w:t xml:space="preserve"> and so still pose the same challenges to social policy regardless of the Union’s own concrete social policymaking.</w:t>
      </w:r>
      <w:r w:rsidR="00D51638" w:rsidRPr="004F6FA9">
        <w:rPr>
          <w:rFonts w:ascii="Times New Roman" w:hAnsi="Times New Roman" w:cs="Times New Roman"/>
          <w:sz w:val="24"/>
          <w:szCs w:val="24"/>
        </w:rPr>
        <w:t xml:space="preserve"> </w:t>
      </w:r>
      <w:r w:rsidR="001679CD">
        <w:rPr>
          <w:rFonts w:ascii="Times New Roman" w:hAnsi="Times New Roman" w:cs="Times New Roman"/>
          <w:sz w:val="24"/>
          <w:szCs w:val="24"/>
        </w:rPr>
        <w:t>Thus</w:t>
      </w:r>
      <w:r w:rsidR="00283D34">
        <w:rPr>
          <w:rFonts w:ascii="Times New Roman" w:hAnsi="Times New Roman" w:cs="Times New Roman"/>
          <w:sz w:val="24"/>
          <w:szCs w:val="24"/>
        </w:rPr>
        <w:t xml:space="preserve">, </w:t>
      </w:r>
      <w:r w:rsidR="001D5241">
        <w:rPr>
          <w:rFonts w:ascii="Times New Roman" w:hAnsi="Times New Roman" w:cs="Times New Roman"/>
          <w:sz w:val="24"/>
          <w:szCs w:val="24"/>
        </w:rPr>
        <w:t xml:space="preserve">for instance, </w:t>
      </w:r>
      <w:r w:rsidR="00283D34">
        <w:rPr>
          <w:rFonts w:ascii="Times New Roman" w:hAnsi="Times New Roman" w:cs="Times New Roman"/>
          <w:sz w:val="24"/>
          <w:szCs w:val="24"/>
        </w:rPr>
        <w:t xml:space="preserve">the EU’s merely complementary competence in the field of health did not preclude the Court from </w:t>
      </w:r>
      <w:r w:rsidR="00283D34">
        <w:rPr>
          <w:rFonts w:ascii="Times New Roman" w:hAnsi="Times New Roman" w:cs="Times New Roman"/>
          <w:sz w:val="24"/>
          <w:szCs w:val="24"/>
        </w:rPr>
        <w:lastRenderedPageBreak/>
        <w:t>assessing a free-at-the-point-of-delivery healthcare system as a restriction on the free movement of services.</w:t>
      </w:r>
      <w:r w:rsidR="00FC598F" w:rsidRPr="004F6FA9">
        <w:rPr>
          <w:rStyle w:val="FootnoteReference"/>
          <w:rFonts w:ascii="Times New Roman" w:hAnsi="Times New Roman" w:cs="Times New Roman"/>
          <w:sz w:val="24"/>
          <w:szCs w:val="24"/>
        </w:rPr>
        <w:footnoteReference w:id="118"/>
      </w:r>
      <w:r w:rsidR="00FC598F" w:rsidRPr="004F6FA9">
        <w:rPr>
          <w:rFonts w:ascii="Times New Roman" w:hAnsi="Times New Roman" w:cs="Times New Roman"/>
          <w:sz w:val="24"/>
          <w:szCs w:val="24"/>
        </w:rPr>
        <w:t xml:space="preserve"> </w:t>
      </w:r>
      <w:r w:rsidR="00C70E13">
        <w:rPr>
          <w:rFonts w:ascii="Times New Roman" w:hAnsi="Times New Roman" w:cs="Times New Roman"/>
          <w:sz w:val="24"/>
          <w:szCs w:val="24"/>
        </w:rPr>
        <w:t xml:space="preserve">The Treaty’s </w:t>
      </w:r>
      <w:r w:rsidR="00FC598F" w:rsidRPr="004F6FA9">
        <w:rPr>
          <w:rFonts w:ascii="Times New Roman" w:hAnsi="Times New Roman" w:cs="Times New Roman"/>
          <w:sz w:val="24"/>
          <w:szCs w:val="24"/>
        </w:rPr>
        <w:t>express exclusion of competence as rega</w:t>
      </w:r>
      <w:r w:rsidR="00C70E13">
        <w:rPr>
          <w:rFonts w:ascii="Times New Roman" w:hAnsi="Times New Roman" w:cs="Times New Roman"/>
          <w:sz w:val="24"/>
          <w:szCs w:val="24"/>
        </w:rPr>
        <w:t>rds pay and the right to strike</w:t>
      </w:r>
      <w:r w:rsidR="00FC598F" w:rsidRPr="004F6FA9">
        <w:rPr>
          <w:rStyle w:val="FootnoteReference"/>
          <w:rFonts w:ascii="Times New Roman" w:hAnsi="Times New Roman" w:cs="Times New Roman"/>
          <w:sz w:val="24"/>
          <w:szCs w:val="24"/>
        </w:rPr>
        <w:footnoteReference w:id="119"/>
      </w:r>
      <w:r w:rsidR="00C70E13">
        <w:rPr>
          <w:rFonts w:ascii="Times New Roman" w:hAnsi="Times New Roman" w:cs="Times New Roman"/>
          <w:sz w:val="24"/>
          <w:szCs w:val="24"/>
        </w:rPr>
        <w:t xml:space="preserve"> did not</w:t>
      </w:r>
      <w:r w:rsidR="00994ECB">
        <w:rPr>
          <w:rFonts w:ascii="Times New Roman" w:hAnsi="Times New Roman" w:cs="Times New Roman"/>
          <w:sz w:val="24"/>
          <w:szCs w:val="24"/>
        </w:rPr>
        <w:t xml:space="preserve"> deter the Court</w:t>
      </w:r>
      <w:r w:rsidR="00FC598F" w:rsidRPr="004F6FA9">
        <w:rPr>
          <w:rFonts w:ascii="Times New Roman" w:hAnsi="Times New Roman" w:cs="Times New Roman"/>
          <w:sz w:val="24"/>
          <w:szCs w:val="24"/>
        </w:rPr>
        <w:t xml:space="preserve"> from finding that </w:t>
      </w:r>
      <w:r w:rsidR="0035048C" w:rsidRPr="004F6FA9">
        <w:rPr>
          <w:rFonts w:ascii="Times New Roman" w:hAnsi="Times New Roman" w:cs="Times New Roman"/>
          <w:sz w:val="24"/>
          <w:szCs w:val="24"/>
        </w:rPr>
        <w:t xml:space="preserve">the </w:t>
      </w:r>
      <w:r w:rsidR="00FC598F" w:rsidRPr="004F6FA9">
        <w:rPr>
          <w:rFonts w:ascii="Times New Roman" w:hAnsi="Times New Roman" w:cs="Times New Roman"/>
          <w:sz w:val="24"/>
          <w:szCs w:val="24"/>
        </w:rPr>
        <w:t xml:space="preserve">trade union in </w:t>
      </w:r>
      <w:r w:rsidR="00FC598F" w:rsidRPr="004F6FA9">
        <w:rPr>
          <w:rFonts w:ascii="Times New Roman" w:hAnsi="Times New Roman" w:cs="Times New Roman"/>
          <w:i/>
          <w:sz w:val="24"/>
          <w:szCs w:val="24"/>
        </w:rPr>
        <w:t xml:space="preserve">Laval </w:t>
      </w:r>
      <w:r w:rsidR="00FC598F" w:rsidRPr="004F6FA9">
        <w:rPr>
          <w:rFonts w:ascii="Times New Roman" w:hAnsi="Times New Roman" w:cs="Times New Roman"/>
          <w:sz w:val="24"/>
          <w:szCs w:val="24"/>
        </w:rPr>
        <w:t>had unjustifiably breached Article 56 TFEU</w:t>
      </w:r>
      <w:r w:rsidR="00C70E13">
        <w:rPr>
          <w:rFonts w:ascii="Times New Roman" w:hAnsi="Times New Roman" w:cs="Times New Roman"/>
          <w:sz w:val="24"/>
          <w:szCs w:val="24"/>
        </w:rPr>
        <w:t xml:space="preserve">, nor did the Court’s </w:t>
      </w:r>
      <w:r w:rsidR="00A35AC2">
        <w:rPr>
          <w:rFonts w:ascii="Times New Roman" w:hAnsi="Times New Roman" w:cs="Times New Roman"/>
          <w:sz w:val="24"/>
          <w:szCs w:val="24"/>
        </w:rPr>
        <w:t>recognition of the Union’s “social purpose”</w:t>
      </w:r>
      <w:r w:rsidR="00C70E13">
        <w:rPr>
          <w:rFonts w:ascii="Times New Roman" w:hAnsi="Times New Roman" w:cs="Times New Roman"/>
          <w:sz w:val="24"/>
          <w:szCs w:val="24"/>
        </w:rPr>
        <w:t>,</w:t>
      </w:r>
      <w:r w:rsidR="00A35AC2">
        <w:rPr>
          <w:rStyle w:val="FootnoteReference"/>
          <w:rFonts w:ascii="Times New Roman" w:hAnsi="Times New Roman" w:cs="Times New Roman"/>
          <w:sz w:val="24"/>
          <w:szCs w:val="24"/>
        </w:rPr>
        <w:footnoteReference w:id="120"/>
      </w:r>
      <w:r w:rsidR="00C70E13">
        <w:rPr>
          <w:rFonts w:ascii="Times New Roman" w:hAnsi="Times New Roman" w:cs="Times New Roman"/>
          <w:sz w:val="24"/>
          <w:szCs w:val="24"/>
        </w:rPr>
        <w:t xml:space="preserve"> in that case, make any difference to the j</w:t>
      </w:r>
      <w:r>
        <w:rPr>
          <w:rFonts w:ascii="Times New Roman" w:hAnsi="Times New Roman" w:cs="Times New Roman"/>
          <w:sz w:val="24"/>
          <w:szCs w:val="24"/>
        </w:rPr>
        <w:t>udicial processing of collective</w:t>
      </w:r>
      <w:r w:rsidR="00C70E13">
        <w:rPr>
          <w:rFonts w:ascii="Times New Roman" w:hAnsi="Times New Roman" w:cs="Times New Roman"/>
          <w:sz w:val="24"/>
          <w:szCs w:val="24"/>
        </w:rPr>
        <w:t xml:space="preserve"> action as a derogation from the free provision of services</w:t>
      </w:r>
      <w:r w:rsidR="00E67456">
        <w:rPr>
          <w:rFonts w:ascii="Times New Roman" w:hAnsi="Times New Roman" w:cs="Times New Roman"/>
          <w:sz w:val="24"/>
          <w:szCs w:val="24"/>
        </w:rPr>
        <w:t>.</w:t>
      </w:r>
    </w:p>
    <w:p w:rsidR="00E67456" w:rsidRDefault="00C70E13" w:rsidP="00E67456">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w:t>
      </w:r>
      <w:r w:rsidR="0004107D">
        <w:rPr>
          <w:rFonts w:ascii="Times New Roman" w:hAnsi="Times New Roman" w:cs="Times New Roman"/>
          <w:sz w:val="24"/>
          <w:szCs w:val="24"/>
        </w:rPr>
        <w:t xml:space="preserve">ven if Union-level social integration is needed to offset the effects of economic integration, </w:t>
      </w:r>
      <w:r w:rsidR="00FC598F" w:rsidRPr="004F6FA9">
        <w:rPr>
          <w:rFonts w:ascii="Times New Roman" w:hAnsi="Times New Roman" w:cs="Times New Roman"/>
          <w:sz w:val="24"/>
          <w:szCs w:val="24"/>
        </w:rPr>
        <w:t>it seems unlikely that</w:t>
      </w:r>
      <w:r w:rsidR="001679CD">
        <w:rPr>
          <w:rFonts w:ascii="Times New Roman" w:hAnsi="Times New Roman" w:cs="Times New Roman"/>
          <w:sz w:val="24"/>
          <w:szCs w:val="24"/>
        </w:rPr>
        <w:t xml:space="preserve"> more potent social instruments, at least as regards hard law, could be offered under the Treaties anytime soon.</w:t>
      </w:r>
      <w:r w:rsidR="00FC598F" w:rsidRPr="004F6FA9">
        <w:rPr>
          <w:rFonts w:ascii="Times New Roman" w:hAnsi="Times New Roman" w:cs="Times New Roman"/>
          <w:sz w:val="24"/>
          <w:szCs w:val="24"/>
        </w:rPr>
        <w:t xml:space="preserve"> </w:t>
      </w:r>
      <w:r w:rsidR="0004107D">
        <w:rPr>
          <w:rFonts w:ascii="Times New Roman" w:hAnsi="Times New Roman" w:cs="Times New Roman"/>
          <w:sz w:val="24"/>
          <w:szCs w:val="24"/>
        </w:rPr>
        <w:t>The economic/social dichotomy is indicative of a paradox in the EU’s constitutional framework: the Union is often perceived as lacking the popular legitimacy needed to introduce the social and political mechanisms that might otherwise contribute to its</w:t>
      </w:r>
      <w:r w:rsidR="00E67456">
        <w:rPr>
          <w:rFonts w:ascii="Times New Roman" w:hAnsi="Times New Roman" w:cs="Times New Roman"/>
          <w:sz w:val="24"/>
          <w:szCs w:val="24"/>
        </w:rPr>
        <w:t xml:space="preserve"> legitimacy. Thus, to secure a “yes”</w:t>
      </w:r>
      <w:r w:rsidR="00B04B07">
        <w:rPr>
          <w:rFonts w:ascii="Times New Roman" w:hAnsi="Times New Roman" w:cs="Times New Roman"/>
          <w:sz w:val="24"/>
          <w:szCs w:val="24"/>
        </w:rPr>
        <w:t xml:space="preserve"> vote from the Danish electorate</w:t>
      </w:r>
      <w:r w:rsidR="002D4CA7">
        <w:rPr>
          <w:rFonts w:ascii="Times New Roman" w:hAnsi="Times New Roman" w:cs="Times New Roman"/>
          <w:sz w:val="24"/>
          <w:szCs w:val="24"/>
        </w:rPr>
        <w:t>, following its</w:t>
      </w:r>
      <w:r w:rsidR="0004107D">
        <w:rPr>
          <w:rFonts w:ascii="Times New Roman" w:hAnsi="Times New Roman" w:cs="Times New Roman"/>
          <w:sz w:val="24"/>
          <w:szCs w:val="24"/>
        </w:rPr>
        <w:t xml:space="preserve"> rejection of the Maastricht Treaty, a declaration stated that </w:t>
      </w:r>
      <w:r w:rsidR="0004107D" w:rsidRPr="004F6FA9">
        <w:rPr>
          <w:rFonts w:ascii="Times New Roman" w:hAnsi="Times New Roman" w:cs="Times New Roman"/>
          <w:sz w:val="24"/>
          <w:szCs w:val="24"/>
        </w:rPr>
        <w:t>the newly-formalised EU citizenship was additional to and did not rep</w:t>
      </w:r>
      <w:r w:rsidR="00E761FC">
        <w:rPr>
          <w:rFonts w:ascii="Times New Roman" w:hAnsi="Times New Roman" w:cs="Times New Roman"/>
          <w:sz w:val="24"/>
          <w:szCs w:val="24"/>
        </w:rPr>
        <w:t>lace national citizenship.</w:t>
      </w:r>
      <w:r w:rsidR="0004107D" w:rsidRPr="004F6FA9">
        <w:rPr>
          <w:rStyle w:val="FootnoteReference"/>
          <w:rFonts w:ascii="Times New Roman" w:hAnsi="Times New Roman" w:cs="Times New Roman"/>
          <w:sz w:val="24"/>
          <w:szCs w:val="24"/>
        </w:rPr>
        <w:footnoteReference w:id="121"/>
      </w:r>
      <w:r w:rsidR="0004107D" w:rsidRPr="004F6FA9">
        <w:rPr>
          <w:rFonts w:ascii="Times New Roman" w:hAnsi="Times New Roman" w:cs="Times New Roman"/>
          <w:sz w:val="24"/>
          <w:szCs w:val="24"/>
        </w:rPr>
        <w:t xml:space="preserve"> </w:t>
      </w:r>
      <w:r w:rsidR="00E761FC">
        <w:rPr>
          <w:rFonts w:ascii="Times New Roman" w:hAnsi="Times New Roman" w:cs="Times New Roman"/>
          <w:sz w:val="24"/>
          <w:szCs w:val="24"/>
        </w:rPr>
        <w:t xml:space="preserve">This was </w:t>
      </w:r>
      <w:r w:rsidR="0004107D" w:rsidRPr="004F6FA9">
        <w:rPr>
          <w:rFonts w:ascii="Times New Roman" w:hAnsi="Times New Roman" w:cs="Times New Roman"/>
          <w:sz w:val="24"/>
          <w:szCs w:val="24"/>
        </w:rPr>
        <w:t xml:space="preserve">seemingly rooted, </w:t>
      </w:r>
      <w:r w:rsidR="0004107D" w:rsidRPr="004F6FA9">
        <w:rPr>
          <w:rFonts w:ascii="Times New Roman" w:hAnsi="Times New Roman" w:cs="Times New Roman"/>
          <w:i/>
          <w:sz w:val="24"/>
          <w:szCs w:val="24"/>
        </w:rPr>
        <w:t>inter alia</w:t>
      </w:r>
      <w:r w:rsidR="0004107D" w:rsidRPr="004F6FA9">
        <w:rPr>
          <w:rFonts w:ascii="Times New Roman" w:hAnsi="Times New Roman" w:cs="Times New Roman"/>
          <w:sz w:val="24"/>
          <w:szCs w:val="24"/>
        </w:rPr>
        <w:t>, in concerns that Union citizenship could extend the Treaty’s scope into social security.</w:t>
      </w:r>
      <w:r w:rsidR="0004107D" w:rsidRPr="004F6FA9">
        <w:rPr>
          <w:rStyle w:val="FootnoteReference"/>
          <w:rFonts w:ascii="Times New Roman" w:hAnsi="Times New Roman" w:cs="Times New Roman"/>
          <w:sz w:val="24"/>
          <w:szCs w:val="24"/>
        </w:rPr>
        <w:footnoteReference w:id="122"/>
      </w:r>
      <w:r w:rsidR="0004107D">
        <w:rPr>
          <w:rFonts w:ascii="Times New Roman" w:hAnsi="Times New Roman" w:cs="Times New Roman"/>
          <w:sz w:val="24"/>
          <w:szCs w:val="24"/>
        </w:rPr>
        <w:t xml:space="preserve"> </w:t>
      </w:r>
      <w:r w:rsidR="00FC598F" w:rsidRPr="004F6FA9">
        <w:rPr>
          <w:rFonts w:ascii="Times New Roman" w:hAnsi="Times New Roman" w:cs="Times New Roman"/>
          <w:sz w:val="24"/>
          <w:szCs w:val="24"/>
        </w:rPr>
        <w:t>Lisbon removed the Charter from the main Treaty text following the Dutch and French rejection of the Constitution</w:t>
      </w:r>
      <w:r w:rsidR="0004107D">
        <w:rPr>
          <w:rFonts w:ascii="Times New Roman" w:hAnsi="Times New Roman" w:cs="Times New Roman"/>
          <w:sz w:val="24"/>
          <w:szCs w:val="24"/>
        </w:rPr>
        <w:t>al Treaty</w:t>
      </w:r>
      <w:r w:rsidR="002D4CA7">
        <w:rPr>
          <w:rFonts w:ascii="Times New Roman" w:hAnsi="Times New Roman" w:cs="Times New Roman"/>
          <w:sz w:val="24"/>
          <w:szCs w:val="24"/>
        </w:rPr>
        <w:t>, while</w:t>
      </w:r>
      <w:r w:rsidR="00B04B07">
        <w:rPr>
          <w:rFonts w:ascii="Times New Roman" w:hAnsi="Times New Roman" w:cs="Times New Roman"/>
          <w:sz w:val="24"/>
          <w:szCs w:val="24"/>
        </w:rPr>
        <w:t xml:space="preserve"> the Eurobarometer identified social i</w:t>
      </w:r>
      <w:r w:rsidR="00E67456">
        <w:rPr>
          <w:rFonts w:ascii="Times New Roman" w:hAnsi="Times New Roman" w:cs="Times New Roman"/>
          <w:sz w:val="24"/>
          <w:szCs w:val="24"/>
        </w:rPr>
        <w:t>ssues as central to the French “no”</w:t>
      </w:r>
      <w:r w:rsidR="00B04B07">
        <w:rPr>
          <w:rFonts w:ascii="Times New Roman" w:hAnsi="Times New Roman" w:cs="Times New Roman"/>
          <w:sz w:val="24"/>
          <w:szCs w:val="24"/>
        </w:rPr>
        <w:t xml:space="preserve"> vote.</w:t>
      </w:r>
      <w:r w:rsidR="00C22EB9">
        <w:rPr>
          <w:rStyle w:val="FootnoteReference"/>
          <w:rFonts w:ascii="Times New Roman" w:hAnsi="Times New Roman" w:cs="Times New Roman"/>
          <w:sz w:val="24"/>
          <w:szCs w:val="24"/>
        </w:rPr>
        <w:footnoteReference w:id="123"/>
      </w:r>
      <w:r w:rsidR="00B04B07">
        <w:rPr>
          <w:rFonts w:ascii="Times New Roman" w:hAnsi="Times New Roman" w:cs="Times New Roman"/>
          <w:sz w:val="24"/>
          <w:szCs w:val="24"/>
        </w:rPr>
        <w:t xml:space="preserve"> T</w:t>
      </w:r>
      <w:r w:rsidR="00E67456">
        <w:rPr>
          <w:rFonts w:ascii="Times New Roman" w:hAnsi="Times New Roman" w:cs="Times New Roman"/>
          <w:sz w:val="24"/>
          <w:szCs w:val="24"/>
        </w:rPr>
        <w:t>he European Council had to “</w:t>
      </w:r>
      <w:r w:rsidR="0004107D">
        <w:rPr>
          <w:rFonts w:ascii="Times New Roman" w:hAnsi="Times New Roman" w:cs="Times New Roman"/>
          <w:sz w:val="24"/>
          <w:szCs w:val="24"/>
        </w:rPr>
        <w:t>carefully note</w:t>
      </w:r>
      <w:r w:rsidR="0004107D" w:rsidRPr="004F6FA9">
        <w:rPr>
          <w:rFonts w:ascii="Times New Roman" w:hAnsi="Times New Roman" w:cs="Times New Roman"/>
          <w:sz w:val="24"/>
          <w:szCs w:val="24"/>
        </w:rPr>
        <w:t xml:space="preserve"> the concerns of the Irish people…relating to taxation policy, family, so</w:t>
      </w:r>
      <w:r w:rsidR="00E67456">
        <w:rPr>
          <w:rFonts w:ascii="Times New Roman" w:hAnsi="Times New Roman" w:cs="Times New Roman"/>
          <w:sz w:val="24"/>
          <w:szCs w:val="24"/>
        </w:rPr>
        <w:t>cial and ethical issues”</w:t>
      </w:r>
      <w:r w:rsidR="0004107D" w:rsidRPr="004F6FA9">
        <w:rPr>
          <w:rFonts w:ascii="Times New Roman" w:hAnsi="Times New Roman" w:cs="Times New Roman"/>
          <w:sz w:val="24"/>
          <w:szCs w:val="24"/>
        </w:rPr>
        <w:t>,</w:t>
      </w:r>
      <w:r w:rsidR="0004107D" w:rsidRPr="004F6FA9">
        <w:rPr>
          <w:rStyle w:val="FootnoteReference"/>
          <w:rFonts w:ascii="Times New Roman" w:hAnsi="Times New Roman" w:cs="Times New Roman"/>
          <w:sz w:val="24"/>
          <w:szCs w:val="24"/>
        </w:rPr>
        <w:footnoteReference w:id="124"/>
      </w:r>
      <w:r w:rsidR="0004107D">
        <w:rPr>
          <w:rFonts w:ascii="Times New Roman" w:hAnsi="Times New Roman" w:cs="Times New Roman"/>
          <w:sz w:val="24"/>
          <w:szCs w:val="24"/>
        </w:rPr>
        <w:t xml:space="preserve"> before a vote in favour of Lisbon</w:t>
      </w:r>
      <w:r w:rsidR="00C22EB9">
        <w:rPr>
          <w:rFonts w:ascii="Times New Roman" w:hAnsi="Times New Roman" w:cs="Times New Roman"/>
          <w:sz w:val="24"/>
          <w:szCs w:val="24"/>
        </w:rPr>
        <w:t xml:space="preserve"> was delivered</w:t>
      </w:r>
      <w:r w:rsidR="0004107D" w:rsidRPr="004F6FA9">
        <w:rPr>
          <w:rFonts w:ascii="Times New Roman" w:hAnsi="Times New Roman" w:cs="Times New Roman"/>
          <w:sz w:val="24"/>
          <w:szCs w:val="24"/>
        </w:rPr>
        <w:t>.</w:t>
      </w:r>
      <w:r w:rsidR="0004107D">
        <w:rPr>
          <w:rFonts w:ascii="Times New Roman" w:hAnsi="Times New Roman" w:cs="Times New Roman"/>
          <w:sz w:val="24"/>
          <w:szCs w:val="24"/>
        </w:rPr>
        <w:t xml:space="preserve"> Even as President Juncker identified social standards as essential for continuing support for the Union in the post-Brexit era, he emphasised that</w:t>
      </w:r>
      <w:r w:rsidR="00E67456">
        <w:rPr>
          <w:rFonts w:ascii="Times New Roman" w:hAnsi="Times New Roman" w:cs="Times New Roman"/>
          <w:sz w:val="24"/>
          <w:szCs w:val="24"/>
        </w:rPr>
        <w:t xml:space="preserve"> “</w:t>
      </w:r>
      <w:r w:rsidR="0004107D" w:rsidRPr="004F6FA9">
        <w:rPr>
          <w:rFonts w:ascii="Times New Roman" w:hAnsi="Times New Roman" w:cs="Times New Roman"/>
          <w:sz w:val="24"/>
          <w:szCs w:val="24"/>
        </w:rPr>
        <w:t>national systems will still rema</w:t>
      </w:r>
      <w:r w:rsidR="00E67456">
        <w:rPr>
          <w:rFonts w:ascii="Times New Roman" w:hAnsi="Times New Roman" w:cs="Times New Roman"/>
          <w:sz w:val="24"/>
          <w:szCs w:val="24"/>
        </w:rPr>
        <w:t>in diverse…for a long time”</w:t>
      </w:r>
      <w:r w:rsidR="0004107D" w:rsidRPr="004F6FA9">
        <w:rPr>
          <w:rFonts w:ascii="Times New Roman" w:hAnsi="Times New Roman" w:cs="Times New Roman"/>
          <w:sz w:val="24"/>
          <w:szCs w:val="24"/>
        </w:rPr>
        <w:t>.</w:t>
      </w:r>
      <w:r w:rsidR="0004107D" w:rsidRPr="004F6FA9">
        <w:rPr>
          <w:rStyle w:val="FootnoteReference"/>
          <w:rFonts w:ascii="Times New Roman" w:hAnsi="Times New Roman" w:cs="Times New Roman"/>
          <w:sz w:val="24"/>
          <w:szCs w:val="24"/>
        </w:rPr>
        <w:footnoteReference w:id="125"/>
      </w:r>
    </w:p>
    <w:p w:rsidR="004C463C" w:rsidRDefault="00E761FC" w:rsidP="00E67456">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Ultimately, </w:t>
      </w:r>
      <w:r w:rsidR="002731F0">
        <w:rPr>
          <w:rFonts w:ascii="Times New Roman" w:hAnsi="Times New Roman" w:cs="Times New Roman"/>
          <w:sz w:val="24"/>
          <w:szCs w:val="24"/>
        </w:rPr>
        <w:t xml:space="preserve">even </w:t>
      </w:r>
      <w:r w:rsidR="00E67456">
        <w:rPr>
          <w:rFonts w:ascii="Times New Roman" w:hAnsi="Times New Roman" w:cs="Times New Roman"/>
          <w:sz w:val="24"/>
          <w:szCs w:val="24"/>
        </w:rPr>
        <w:t>as the internal market impacts on</w:t>
      </w:r>
      <w:r w:rsidR="002731F0">
        <w:rPr>
          <w:rFonts w:ascii="Times New Roman" w:hAnsi="Times New Roman" w:cs="Times New Roman"/>
          <w:sz w:val="24"/>
          <w:szCs w:val="24"/>
        </w:rPr>
        <w:t xml:space="preserve"> </w:t>
      </w:r>
      <w:r w:rsidR="00683397">
        <w:rPr>
          <w:rFonts w:ascii="Times New Roman" w:hAnsi="Times New Roman" w:cs="Times New Roman"/>
          <w:sz w:val="24"/>
          <w:szCs w:val="24"/>
        </w:rPr>
        <w:t>Member State discretion to pursue social values</w:t>
      </w:r>
      <w:r w:rsidR="00E67456">
        <w:rPr>
          <w:rFonts w:ascii="Times New Roman" w:hAnsi="Times New Roman" w:cs="Times New Roman"/>
          <w:sz w:val="24"/>
          <w:szCs w:val="24"/>
        </w:rPr>
        <w:t>, the EU might “</w:t>
      </w:r>
      <w:r w:rsidR="002731F0">
        <w:rPr>
          <w:rFonts w:ascii="Times New Roman" w:hAnsi="Times New Roman" w:cs="Times New Roman"/>
          <w:sz w:val="24"/>
          <w:szCs w:val="24"/>
        </w:rPr>
        <w:t>not b</w:t>
      </w:r>
      <w:r w:rsidR="001679CD">
        <w:rPr>
          <w:rFonts w:ascii="Times New Roman" w:hAnsi="Times New Roman" w:cs="Times New Roman"/>
          <w:sz w:val="24"/>
          <w:szCs w:val="24"/>
        </w:rPr>
        <w:t>e capable of generating the kind</w:t>
      </w:r>
      <w:r w:rsidR="002731F0">
        <w:rPr>
          <w:rFonts w:ascii="Times New Roman" w:hAnsi="Times New Roman" w:cs="Times New Roman"/>
          <w:sz w:val="24"/>
          <w:szCs w:val="24"/>
        </w:rPr>
        <w:t xml:space="preserve"> of popu</w:t>
      </w:r>
      <w:r w:rsidR="00E67456">
        <w:rPr>
          <w:rFonts w:ascii="Times New Roman" w:hAnsi="Times New Roman" w:cs="Times New Roman"/>
          <w:sz w:val="24"/>
          <w:szCs w:val="24"/>
        </w:rPr>
        <w:t>lar legitimacy”</w:t>
      </w:r>
      <w:r w:rsidR="002D4CA7">
        <w:rPr>
          <w:rFonts w:ascii="Times New Roman" w:hAnsi="Times New Roman" w:cs="Times New Roman"/>
          <w:sz w:val="24"/>
          <w:szCs w:val="24"/>
        </w:rPr>
        <w:t xml:space="preserve"> needed to secure</w:t>
      </w:r>
      <w:r w:rsidR="002731F0">
        <w:rPr>
          <w:rFonts w:ascii="Times New Roman" w:hAnsi="Times New Roman" w:cs="Times New Roman"/>
          <w:sz w:val="24"/>
          <w:szCs w:val="24"/>
        </w:rPr>
        <w:t xml:space="preserve"> those values at the Union-level.</w:t>
      </w:r>
      <w:r w:rsidR="00FC598F" w:rsidRPr="004F6FA9">
        <w:rPr>
          <w:rStyle w:val="FootnoteReference"/>
          <w:rFonts w:ascii="Times New Roman" w:hAnsi="Times New Roman" w:cs="Times New Roman"/>
          <w:sz w:val="24"/>
          <w:szCs w:val="24"/>
        </w:rPr>
        <w:footnoteReference w:id="126"/>
      </w:r>
      <w:r w:rsidR="002731F0">
        <w:rPr>
          <w:rFonts w:ascii="Times New Roman" w:hAnsi="Times New Roman" w:cs="Times New Roman"/>
          <w:sz w:val="24"/>
          <w:szCs w:val="24"/>
        </w:rPr>
        <w:t xml:space="preserve"> </w:t>
      </w:r>
      <w:r w:rsidR="00994ECB">
        <w:rPr>
          <w:rFonts w:ascii="Times New Roman" w:hAnsi="Times New Roman" w:cs="Times New Roman"/>
          <w:sz w:val="24"/>
          <w:szCs w:val="24"/>
        </w:rPr>
        <w:t>The Court of Justice</w:t>
      </w:r>
      <w:r w:rsidR="00FC598F" w:rsidRPr="004F6FA9">
        <w:rPr>
          <w:rFonts w:ascii="Times New Roman" w:hAnsi="Times New Roman" w:cs="Times New Roman"/>
          <w:sz w:val="24"/>
          <w:szCs w:val="24"/>
        </w:rPr>
        <w:t xml:space="preserve"> is not unaware of the </w:t>
      </w:r>
      <w:r w:rsidR="00FC598F" w:rsidRPr="004F6FA9">
        <w:rPr>
          <w:rFonts w:ascii="Times New Roman" w:hAnsi="Times New Roman" w:cs="Times New Roman"/>
          <w:sz w:val="24"/>
          <w:szCs w:val="24"/>
        </w:rPr>
        <w:lastRenderedPageBreak/>
        <w:t>Gordian knot that the judicially-driven process of</w:t>
      </w:r>
      <w:r>
        <w:rPr>
          <w:rFonts w:ascii="Times New Roman" w:hAnsi="Times New Roman" w:cs="Times New Roman"/>
          <w:sz w:val="24"/>
          <w:szCs w:val="24"/>
        </w:rPr>
        <w:t xml:space="preserve"> economic integration has tied</w:t>
      </w:r>
      <w:r w:rsidR="00FC598F" w:rsidRPr="004F6FA9">
        <w:rPr>
          <w:rFonts w:ascii="Times New Roman" w:hAnsi="Times New Roman" w:cs="Times New Roman"/>
          <w:sz w:val="24"/>
          <w:szCs w:val="24"/>
        </w:rPr>
        <w:t xml:space="preserve"> the Union’s political organs up in.</w:t>
      </w:r>
      <w:r w:rsidR="004C463C">
        <w:rPr>
          <w:rFonts w:ascii="Times New Roman" w:hAnsi="Times New Roman" w:cs="Times New Roman"/>
          <w:sz w:val="24"/>
          <w:szCs w:val="24"/>
        </w:rPr>
        <w:t xml:space="preserve"> Thus, alongside the expansion of the Treaties</w:t>
      </w:r>
      <w:r>
        <w:rPr>
          <w:rFonts w:ascii="Times New Roman" w:hAnsi="Times New Roman" w:cs="Times New Roman"/>
          <w:sz w:val="24"/>
          <w:szCs w:val="24"/>
        </w:rPr>
        <w:t>’</w:t>
      </w:r>
      <w:r w:rsidR="00D4579A">
        <w:rPr>
          <w:rFonts w:ascii="Times New Roman" w:hAnsi="Times New Roman" w:cs="Times New Roman"/>
          <w:sz w:val="24"/>
          <w:szCs w:val="24"/>
        </w:rPr>
        <w:t xml:space="preserve"> social remit</w:t>
      </w:r>
      <w:r w:rsidR="004C463C">
        <w:rPr>
          <w:rFonts w:ascii="Times New Roman" w:hAnsi="Times New Roman" w:cs="Times New Roman"/>
          <w:sz w:val="24"/>
          <w:szCs w:val="24"/>
        </w:rPr>
        <w:t>, we must add judicial contributions to the conce</w:t>
      </w:r>
      <w:r w:rsidR="00E67456">
        <w:rPr>
          <w:rFonts w:ascii="Times New Roman" w:hAnsi="Times New Roman" w:cs="Times New Roman"/>
          <w:sz w:val="24"/>
          <w:szCs w:val="24"/>
        </w:rPr>
        <w:t>pt of social integration</w:t>
      </w:r>
      <w:r w:rsidR="002D4CA7">
        <w:rPr>
          <w:rFonts w:ascii="Times New Roman" w:hAnsi="Times New Roman" w:cs="Times New Roman"/>
          <w:sz w:val="24"/>
          <w:szCs w:val="24"/>
        </w:rPr>
        <w:t xml:space="preserve"> to our</w:t>
      </w:r>
      <w:r w:rsidR="00D4579A">
        <w:rPr>
          <w:rFonts w:ascii="Times New Roman" w:hAnsi="Times New Roman" w:cs="Times New Roman"/>
          <w:sz w:val="24"/>
          <w:szCs w:val="24"/>
        </w:rPr>
        <w:t xml:space="preserve"> evolutionary matrix.</w:t>
      </w:r>
      <w:r w:rsidR="004C463C">
        <w:rPr>
          <w:rFonts w:ascii="Times New Roman" w:hAnsi="Times New Roman" w:cs="Times New Roman"/>
          <w:sz w:val="24"/>
          <w:szCs w:val="24"/>
        </w:rPr>
        <w:t xml:space="preserve">  </w:t>
      </w:r>
    </w:p>
    <w:p w:rsidR="0089044F" w:rsidRPr="004F6FA9" w:rsidRDefault="0089044F" w:rsidP="002F33D2">
      <w:pPr>
        <w:pStyle w:val="NoSpacing"/>
        <w:spacing w:line="360" w:lineRule="auto"/>
        <w:jc w:val="both"/>
        <w:rPr>
          <w:rFonts w:ascii="Times New Roman" w:hAnsi="Times New Roman" w:cs="Times New Roman"/>
          <w:sz w:val="24"/>
          <w:szCs w:val="24"/>
        </w:rPr>
      </w:pPr>
    </w:p>
    <w:p w:rsidR="005107FE" w:rsidRPr="004F6FA9" w:rsidRDefault="005107FE" w:rsidP="002F33D2">
      <w:pPr>
        <w:pStyle w:val="NoSpacing"/>
        <w:spacing w:line="360" w:lineRule="auto"/>
        <w:jc w:val="both"/>
        <w:rPr>
          <w:rFonts w:ascii="Times New Roman" w:hAnsi="Times New Roman" w:cs="Times New Roman"/>
          <w:sz w:val="24"/>
          <w:szCs w:val="24"/>
        </w:rPr>
      </w:pPr>
    </w:p>
    <w:p w:rsidR="0098744A" w:rsidRPr="0098744A" w:rsidRDefault="00E67456" w:rsidP="00E67456">
      <w:pPr>
        <w:pStyle w:val="NoSpacing"/>
        <w:spacing w:line="360" w:lineRule="auto"/>
        <w:jc w:val="both"/>
        <w:rPr>
          <w:rFonts w:ascii="Times New Roman" w:hAnsi="Times New Roman" w:cs="Times New Roman"/>
          <w:b/>
          <w:i/>
          <w:sz w:val="24"/>
          <w:szCs w:val="24"/>
        </w:rPr>
      </w:pPr>
      <w:r>
        <w:rPr>
          <w:rFonts w:ascii="Times New Roman" w:hAnsi="Times New Roman" w:cs="Times New Roman"/>
          <w:b/>
          <w:sz w:val="24"/>
          <w:szCs w:val="24"/>
        </w:rPr>
        <w:t>IV FREE MOVEMENT AS A SWORD TO ACCESS THE DOMESTIC SOCIAL SPACE: EUROPEAN SOCIAL INTEGRATION VIA THE NEGATIVE PROCESSES OF THE INTERNAL MARKET</w:t>
      </w:r>
    </w:p>
    <w:p w:rsidR="0098744A" w:rsidRDefault="0098744A" w:rsidP="002F33D2">
      <w:pPr>
        <w:pStyle w:val="NoSpacing"/>
        <w:spacing w:line="360" w:lineRule="auto"/>
        <w:jc w:val="both"/>
        <w:rPr>
          <w:rFonts w:ascii="Times New Roman" w:hAnsi="Times New Roman" w:cs="Times New Roman"/>
          <w:b/>
          <w:sz w:val="24"/>
          <w:szCs w:val="24"/>
        </w:rPr>
      </w:pPr>
    </w:p>
    <w:p w:rsidR="00B614D1" w:rsidRDefault="00E67456"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7514E">
        <w:rPr>
          <w:rFonts w:ascii="Times New Roman" w:hAnsi="Times New Roman" w:cs="Times New Roman"/>
          <w:sz w:val="24"/>
          <w:szCs w:val="24"/>
        </w:rPr>
        <w:t>hough</w:t>
      </w:r>
      <w:r w:rsidR="00166A0B">
        <w:rPr>
          <w:rFonts w:ascii="Times New Roman" w:hAnsi="Times New Roman" w:cs="Times New Roman"/>
          <w:sz w:val="24"/>
          <w:szCs w:val="24"/>
        </w:rPr>
        <w:t xml:space="preserve"> the expansion of the free movement provisions into areas of national social policy </w:t>
      </w:r>
      <w:r w:rsidR="0037514E">
        <w:rPr>
          <w:rFonts w:ascii="Times New Roman" w:hAnsi="Times New Roman" w:cs="Times New Roman"/>
          <w:sz w:val="24"/>
          <w:szCs w:val="24"/>
        </w:rPr>
        <w:t>exposed the economic/social dichotomy as a fallacy</w:t>
      </w:r>
      <w:r w:rsidR="004D054E">
        <w:rPr>
          <w:rFonts w:ascii="Times New Roman" w:hAnsi="Times New Roman" w:cs="Times New Roman"/>
          <w:sz w:val="24"/>
          <w:szCs w:val="24"/>
        </w:rPr>
        <w:t>,</w:t>
      </w:r>
      <w:r w:rsidR="00DC42FF">
        <w:rPr>
          <w:rFonts w:ascii="Times New Roman" w:hAnsi="Times New Roman" w:cs="Times New Roman"/>
          <w:sz w:val="24"/>
          <w:szCs w:val="24"/>
        </w:rPr>
        <w:t xml:space="preserve"> this</w:t>
      </w:r>
      <w:r w:rsidR="0037514E">
        <w:rPr>
          <w:rFonts w:ascii="Times New Roman" w:hAnsi="Times New Roman" w:cs="Times New Roman"/>
          <w:sz w:val="24"/>
          <w:szCs w:val="24"/>
        </w:rPr>
        <w:t xml:space="preserve"> judicially-driven negative integrative proces</w:t>
      </w:r>
      <w:r w:rsidR="00DC42FF">
        <w:rPr>
          <w:rFonts w:ascii="Times New Roman" w:hAnsi="Times New Roman" w:cs="Times New Roman"/>
          <w:sz w:val="24"/>
          <w:szCs w:val="24"/>
        </w:rPr>
        <w:t>s</w:t>
      </w:r>
      <w:r w:rsidR="0037514E">
        <w:rPr>
          <w:rFonts w:ascii="Times New Roman" w:hAnsi="Times New Roman" w:cs="Times New Roman"/>
          <w:sz w:val="24"/>
          <w:szCs w:val="24"/>
        </w:rPr>
        <w:t xml:space="preserve"> point</w:t>
      </w:r>
      <w:r w:rsidR="00DC42FF">
        <w:rPr>
          <w:rFonts w:ascii="Times New Roman" w:hAnsi="Times New Roman" w:cs="Times New Roman"/>
          <w:sz w:val="24"/>
          <w:szCs w:val="24"/>
        </w:rPr>
        <w:t>ed</w:t>
      </w:r>
      <w:r w:rsidR="0037514E">
        <w:rPr>
          <w:rFonts w:ascii="Times New Roman" w:hAnsi="Times New Roman" w:cs="Times New Roman"/>
          <w:sz w:val="24"/>
          <w:szCs w:val="24"/>
        </w:rPr>
        <w:t xml:space="preserve"> to a potential way forward as regards</w:t>
      </w:r>
      <w:r w:rsidR="008A75A8">
        <w:rPr>
          <w:rFonts w:ascii="Times New Roman" w:hAnsi="Times New Roman" w:cs="Times New Roman"/>
          <w:sz w:val="24"/>
          <w:szCs w:val="24"/>
        </w:rPr>
        <w:t xml:space="preserve"> European</w:t>
      </w:r>
      <w:r w:rsidR="0037514E">
        <w:rPr>
          <w:rFonts w:ascii="Times New Roman" w:hAnsi="Times New Roman" w:cs="Times New Roman"/>
          <w:sz w:val="24"/>
          <w:szCs w:val="24"/>
        </w:rPr>
        <w:t xml:space="preserve"> social integration. Specifically,</w:t>
      </w:r>
      <w:r w:rsidR="008A75A8">
        <w:rPr>
          <w:rFonts w:ascii="Times New Roman" w:hAnsi="Times New Roman" w:cs="Times New Roman"/>
          <w:sz w:val="24"/>
          <w:szCs w:val="24"/>
        </w:rPr>
        <w:t xml:space="preserve"> free movement rights and</w:t>
      </w:r>
      <w:r w:rsidR="007F7B71">
        <w:rPr>
          <w:rFonts w:ascii="Times New Roman" w:hAnsi="Times New Roman" w:cs="Times New Roman"/>
          <w:sz w:val="24"/>
          <w:szCs w:val="24"/>
        </w:rPr>
        <w:t xml:space="preserve"> the aim of</w:t>
      </w:r>
      <w:r w:rsidR="008A75A8">
        <w:rPr>
          <w:rFonts w:ascii="Times New Roman" w:hAnsi="Times New Roman" w:cs="Times New Roman"/>
          <w:sz w:val="24"/>
          <w:szCs w:val="24"/>
        </w:rPr>
        <w:t xml:space="preserve"> social integration could be understood as a sword, securing access to existing domestic social spaces. </w:t>
      </w:r>
      <w:r w:rsidR="004D054E">
        <w:rPr>
          <w:rFonts w:ascii="Times New Roman" w:hAnsi="Times New Roman" w:cs="Times New Roman"/>
          <w:sz w:val="24"/>
          <w:szCs w:val="24"/>
        </w:rPr>
        <w:t>The inclusion of non-national EU citizens within previously c</w:t>
      </w:r>
      <w:r w:rsidR="009D7B10">
        <w:rPr>
          <w:rFonts w:ascii="Times New Roman" w:hAnsi="Times New Roman" w:cs="Times New Roman"/>
          <w:sz w:val="24"/>
          <w:szCs w:val="24"/>
        </w:rPr>
        <w:t>losed-off national social spheres</w:t>
      </w:r>
      <w:r w:rsidR="00A40B16">
        <w:rPr>
          <w:rStyle w:val="FootnoteReference"/>
          <w:rFonts w:ascii="Times New Roman" w:hAnsi="Times New Roman" w:cs="Times New Roman"/>
          <w:sz w:val="24"/>
          <w:szCs w:val="24"/>
        </w:rPr>
        <w:footnoteReference w:id="127"/>
      </w:r>
      <w:r w:rsidR="004D054E">
        <w:rPr>
          <w:rFonts w:ascii="Times New Roman" w:hAnsi="Times New Roman" w:cs="Times New Roman"/>
          <w:sz w:val="24"/>
          <w:szCs w:val="24"/>
        </w:rPr>
        <w:t xml:space="preserve"> would be emblematic of a socially integrated Union.</w:t>
      </w:r>
      <w:r>
        <w:rPr>
          <w:rFonts w:ascii="Times New Roman" w:hAnsi="Times New Roman" w:cs="Times New Roman"/>
          <w:sz w:val="24"/>
          <w:szCs w:val="24"/>
        </w:rPr>
        <w:t xml:space="preserve"> The potential of this model of social integration, however, has proven to be inherently restricted by its in</w:t>
      </w:r>
      <w:r w:rsidR="00B614D1">
        <w:rPr>
          <w:rFonts w:ascii="Times New Roman" w:hAnsi="Times New Roman" w:cs="Times New Roman"/>
          <w:sz w:val="24"/>
          <w:szCs w:val="24"/>
        </w:rPr>
        <w:t>ternal market roots and t</w:t>
      </w:r>
      <w:r>
        <w:rPr>
          <w:rFonts w:ascii="Times New Roman" w:hAnsi="Times New Roman" w:cs="Times New Roman"/>
          <w:sz w:val="24"/>
          <w:szCs w:val="24"/>
        </w:rPr>
        <w:t>hese limitations</w:t>
      </w:r>
      <w:r w:rsidR="00B614D1">
        <w:rPr>
          <w:rFonts w:ascii="Times New Roman" w:hAnsi="Times New Roman" w:cs="Times New Roman"/>
          <w:sz w:val="24"/>
          <w:szCs w:val="24"/>
        </w:rPr>
        <w:t xml:space="preserve"> have</w:t>
      </w:r>
      <w:r>
        <w:rPr>
          <w:rFonts w:ascii="Times New Roman" w:hAnsi="Times New Roman" w:cs="Times New Roman"/>
          <w:sz w:val="24"/>
          <w:szCs w:val="24"/>
        </w:rPr>
        <w:t xml:space="preserve"> ultimately paved the way for social integration to be converted into an individual duty. </w:t>
      </w:r>
      <w:r w:rsidR="004D054E">
        <w:rPr>
          <w:rFonts w:ascii="Times New Roman" w:hAnsi="Times New Roman" w:cs="Times New Roman"/>
          <w:sz w:val="24"/>
          <w:szCs w:val="24"/>
        </w:rPr>
        <w:t xml:space="preserve"> </w:t>
      </w:r>
    </w:p>
    <w:p w:rsidR="00B614D1" w:rsidRDefault="0007176D" w:rsidP="00B614D1">
      <w:pPr>
        <w:pStyle w:val="NoSpacing"/>
        <w:spacing w:line="360" w:lineRule="auto"/>
        <w:ind w:firstLine="284"/>
        <w:jc w:val="both"/>
        <w:rPr>
          <w:rFonts w:ascii="Times New Roman" w:hAnsi="Times New Roman" w:cs="Times New Roman"/>
          <w:sz w:val="24"/>
          <w:szCs w:val="24"/>
        </w:rPr>
      </w:pPr>
      <w:r w:rsidRPr="0028652E">
        <w:rPr>
          <w:rFonts w:ascii="Times New Roman" w:hAnsi="Times New Roman" w:cs="Times New Roman"/>
          <w:sz w:val="24"/>
          <w:szCs w:val="24"/>
        </w:rPr>
        <w:t xml:space="preserve">The Union’s political and judicial branches </w:t>
      </w:r>
      <w:r w:rsidR="00105ECF" w:rsidRPr="0028652E">
        <w:rPr>
          <w:rFonts w:ascii="Times New Roman" w:hAnsi="Times New Roman" w:cs="Times New Roman"/>
          <w:sz w:val="24"/>
          <w:szCs w:val="24"/>
        </w:rPr>
        <w:t>both recognised fairly early on that the free</w:t>
      </w:r>
      <w:r w:rsidR="00105ECF">
        <w:rPr>
          <w:rFonts w:ascii="Times New Roman" w:hAnsi="Times New Roman" w:cs="Times New Roman"/>
          <w:sz w:val="24"/>
          <w:szCs w:val="24"/>
        </w:rPr>
        <w:t xml:space="preserve"> movement of labour, a</w:t>
      </w:r>
      <w:r w:rsidR="00302637">
        <w:rPr>
          <w:rFonts w:ascii="Times New Roman" w:hAnsi="Times New Roman" w:cs="Times New Roman"/>
          <w:sz w:val="24"/>
          <w:szCs w:val="24"/>
        </w:rPr>
        <w:t>s a</w:t>
      </w:r>
      <w:r w:rsidR="00105ECF">
        <w:rPr>
          <w:rFonts w:ascii="Times New Roman" w:hAnsi="Times New Roman" w:cs="Times New Roman"/>
          <w:sz w:val="24"/>
          <w:szCs w:val="24"/>
        </w:rPr>
        <w:t xml:space="preserve"> pillar </w:t>
      </w:r>
      <w:r>
        <w:rPr>
          <w:rFonts w:ascii="Times New Roman" w:hAnsi="Times New Roman" w:cs="Times New Roman"/>
          <w:sz w:val="24"/>
          <w:szCs w:val="24"/>
        </w:rPr>
        <w:t>of the internal marke</w:t>
      </w:r>
      <w:r w:rsidR="00105ECF">
        <w:rPr>
          <w:rFonts w:ascii="Times New Roman" w:hAnsi="Times New Roman" w:cs="Times New Roman"/>
          <w:sz w:val="24"/>
          <w:szCs w:val="24"/>
        </w:rPr>
        <w:t xml:space="preserve">t, </w:t>
      </w:r>
      <w:r>
        <w:rPr>
          <w:rFonts w:ascii="Times New Roman" w:hAnsi="Times New Roman" w:cs="Times New Roman"/>
          <w:sz w:val="24"/>
          <w:szCs w:val="24"/>
        </w:rPr>
        <w:t xml:space="preserve">was unlikely to be realised if the needs of the human being behind the </w:t>
      </w:r>
      <w:r w:rsidR="0028652E">
        <w:rPr>
          <w:rFonts w:ascii="Times New Roman" w:hAnsi="Times New Roman" w:cs="Times New Roman"/>
          <w:sz w:val="24"/>
          <w:szCs w:val="24"/>
        </w:rPr>
        <w:t>EU worker were not met.</w:t>
      </w:r>
      <w:r w:rsidR="00F85581">
        <w:rPr>
          <w:rFonts w:ascii="Times New Roman" w:hAnsi="Times New Roman" w:cs="Times New Roman"/>
          <w:sz w:val="24"/>
          <w:szCs w:val="24"/>
        </w:rPr>
        <w:t xml:space="preserve"> Thus, </w:t>
      </w:r>
      <w:r w:rsidR="001C525B">
        <w:rPr>
          <w:rFonts w:ascii="Times New Roman" w:hAnsi="Times New Roman" w:cs="Times New Roman"/>
          <w:sz w:val="24"/>
          <w:szCs w:val="24"/>
        </w:rPr>
        <w:t>U</w:t>
      </w:r>
      <w:r w:rsidR="0028652E">
        <w:rPr>
          <w:rFonts w:ascii="Times New Roman" w:hAnsi="Times New Roman" w:cs="Times New Roman"/>
          <w:sz w:val="24"/>
          <w:szCs w:val="24"/>
        </w:rPr>
        <w:t>nion</w:t>
      </w:r>
      <w:r w:rsidR="001C525B">
        <w:rPr>
          <w:rFonts w:ascii="Times New Roman" w:hAnsi="Times New Roman" w:cs="Times New Roman"/>
          <w:sz w:val="24"/>
          <w:szCs w:val="24"/>
        </w:rPr>
        <w:t xml:space="preserve"> </w:t>
      </w:r>
      <w:r w:rsidR="0028652E">
        <w:rPr>
          <w:rFonts w:ascii="Times New Roman" w:hAnsi="Times New Roman" w:cs="Times New Roman"/>
          <w:sz w:val="24"/>
          <w:szCs w:val="24"/>
        </w:rPr>
        <w:t>legislation wa</w:t>
      </w:r>
      <w:r w:rsidR="00870100">
        <w:rPr>
          <w:rFonts w:ascii="Times New Roman" w:hAnsi="Times New Roman" w:cs="Times New Roman"/>
          <w:sz w:val="24"/>
          <w:szCs w:val="24"/>
        </w:rPr>
        <w:t>s introduced, for example,</w:t>
      </w:r>
      <w:r w:rsidR="0028652E">
        <w:rPr>
          <w:rFonts w:ascii="Times New Roman" w:hAnsi="Times New Roman" w:cs="Times New Roman"/>
          <w:sz w:val="24"/>
          <w:szCs w:val="24"/>
        </w:rPr>
        <w:t xml:space="preserve"> to permit EU workers to be accompanied by certain family members in their host State</w:t>
      </w:r>
      <w:r w:rsidR="0028652E">
        <w:rPr>
          <w:rStyle w:val="FootnoteReference"/>
          <w:rFonts w:ascii="Times New Roman" w:hAnsi="Times New Roman" w:cs="Times New Roman"/>
          <w:sz w:val="24"/>
          <w:szCs w:val="24"/>
        </w:rPr>
        <w:footnoteReference w:id="128"/>
      </w:r>
      <w:r w:rsidR="0028652E">
        <w:rPr>
          <w:rFonts w:ascii="Times New Roman" w:hAnsi="Times New Roman" w:cs="Times New Roman"/>
          <w:sz w:val="24"/>
          <w:szCs w:val="24"/>
        </w:rPr>
        <w:t xml:space="preserve"> and for their children to be educated there.</w:t>
      </w:r>
      <w:r w:rsidR="0028652E">
        <w:rPr>
          <w:rStyle w:val="FootnoteReference"/>
          <w:rFonts w:ascii="Times New Roman" w:hAnsi="Times New Roman" w:cs="Times New Roman"/>
          <w:sz w:val="24"/>
          <w:szCs w:val="24"/>
        </w:rPr>
        <w:footnoteReference w:id="129"/>
      </w:r>
      <w:r w:rsidR="00781372">
        <w:rPr>
          <w:rFonts w:ascii="Times New Roman" w:hAnsi="Times New Roman" w:cs="Times New Roman"/>
          <w:sz w:val="24"/>
          <w:szCs w:val="24"/>
        </w:rPr>
        <w:t xml:space="preserve"> </w:t>
      </w:r>
      <w:r w:rsidR="00F85581">
        <w:rPr>
          <w:rFonts w:ascii="Times New Roman" w:hAnsi="Times New Roman" w:cs="Times New Roman"/>
          <w:sz w:val="24"/>
          <w:szCs w:val="24"/>
        </w:rPr>
        <w:t xml:space="preserve">Union workers were also entitled to </w:t>
      </w:r>
      <w:r w:rsidR="00B614D1">
        <w:rPr>
          <w:rFonts w:ascii="Times New Roman" w:hAnsi="Times New Roman" w:cs="Times New Roman"/>
          <w:sz w:val="24"/>
          <w:szCs w:val="24"/>
        </w:rPr>
        <w:t>“</w:t>
      </w:r>
      <w:r w:rsidR="001C525B">
        <w:rPr>
          <w:rFonts w:ascii="Times New Roman" w:hAnsi="Times New Roman" w:cs="Times New Roman"/>
          <w:sz w:val="24"/>
          <w:szCs w:val="24"/>
        </w:rPr>
        <w:t>enjoy the same social and tax</w:t>
      </w:r>
      <w:r w:rsidR="00B614D1">
        <w:rPr>
          <w:rFonts w:ascii="Times New Roman" w:hAnsi="Times New Roman" w:cs="Times New Roman"/>
          <w:sz w:val="24"/>
          <w:szCs w:val="24"/>
        </w:rPr>
        <w:t xml:space="preserve"> advantages as national workers”</w:t>
      </w:r>
      <w:r w:rsidR="001C525B">
        <w:rPr>
          <w:rFonts w:ascii="Times New Roman" w:hAnsi="Times New Roman" w:cs="Times New Roman"/>
          <w:sz w:val="24"/>
          <w:szCs w:val="24"/>
        </w:rPr>
        <w:t>.</w:t>
      </w:r>
      <w:r w:rsidR="001C525B">
        <w:rPr>
          <w:rStyle w:val="FootnoteReference"/>
          <w:rFonts w:ascii="Times New Roman" w:hAnsi="Times New Roman" w:cs="Times New Roman"/>
          <w:sz w:val="24"/>
          <w:szCs w:val="24"/>
        </w:rPr>
        <w:footnoteReference w:id="130"/>
      </w:r>
      <w:r w:rsidR="00F85581">
        <w:rPr>
          <w:rFonts w:ascii="Times New Roman" w:hAnsi="Times New Roman" w:cs="Times New Roman"/>
          <w:sz w:val="24"/>
          <w:szCs w:val="24"/>
        </w:rPr>
        <w:t xml:space="preserve"> T</w:t>
      </w:r>
      <w:r w:rsidR="00994ECB">
        <w:rPr>
          <w:rFonts w:ascii="Times New Roman" w:hAnsi="Times New Roman" w:cs="Times New Roman"/>
          <w:sz w:val="24"/>
          <w:szCs w:val="24"/>
        </w:rPr>
        <w:t>he Court</w:t>
      </w:r>
      <w:r w:rsidR="001C525B">
        <w:rPr>
          <w:rFonts w:ascii="Times New Roman" w:hAnsi="Times New Roman" w:cs="Times New Roman"/>
          <w:sz w:val="24"/>
          <w:szCs w:val="24"/>
        </w:rPr>
        <w:t xml:space="preserve"> interpreted this provision widely,</w:t>
      </w:r>
      <w:r w:rsidR="00F85581">
        <w:rPr>
          <w:rFonts w:ascii="Times New Roman" w:hAnsi="Times New Roman" w:cs="Times New Roman"/>
          <w:sz w:val="24"/>
          <w:szCs w:val="24"/>
        </w:rPr>
        <w:t xml:space="preserve"> extending it to cover not onl</w:t>
      </w:r>
      <w:r w:rsidR="00FA4139">
        <w:rPr>
          <w:rFonts w:ascii="Times New Roman" w:hAnsi="Times New Roman" w:cs="Times New Roman"/>
          <w:sz w:val="24"/>
          <w:szCs w:val="24"/>
        </w:rPr>
        <w:t>y benefits accompanying</w:t>
      </w:r>
      <w:r w:rsidR="00F85581">
        <w:rPr>
          <w:rFonts w:ascii="Times New Roman" w:hAnsi="Times New Roman" w:cs="Times New Roman"/>
          <w:sz w:val="24"/>
          <w:szCs w:val="24"/>
        </w:rPr>
        <w:t xml:space="preserve"> worker status but those attached to residence on the host State territory.</w:t>
      </w:r>
      <w:r w:rsidR="00781372">
        <w:rPr>
          <w:rStyle w:val="FootnoteReference"/>
          <w:rFonts w:ascii="Times New Roman" w:hAnsi="Times New Roman" w:cs="Times New Roman"/>
          <w:sz w:val="24"/>
          <w:szCs w:val="24"/>
        </w:rPr>
        <w:footnoteReference w:id="131"/>
      </w:r>
      <w:r w:rsidR="000F7D1F">
        <w:rPr>
          <w:rFonts w:ascii="Times New Roman" w:hAnsi="Times New Roman" w:cs="Times New Roman"/>
          <w:sz w:val="24"/>
          <w:szCs w:val="24"/>
        </w:rPr>
        <w:t xml:space="preserve"> </w:t>
      </w:r>
      <w:r w:rsidR="006339F8">
        <w:rPr>
          <w:rFonts w:ascii="Times New Roman" w:hAnsi="Times New Roman" w:cs="Times New Roman"/>
          <w:sz w:val="24"/>
          <w:szCs w:val="24"/>
        </w:rPr>
        <w:t xml:space="preserve">The acknowledgement that it was necessary to cater for the social aspects of free movement </w:t>
      </w:r>
      <w:r w:rsidR="006339F8">
        <w:rPr>
          <w:rFonts w:ascii="Times New Roman" w:hAnsi="Times New Roman" w:cs="Times New Roman"/>
          <w:sz w:val="24"/>
          <w:szCs w:val="24"/>
        </w:rPr>
        <w:lastRenderedPageBreak/>
        <w:t>revealed the potential of free movement as a tool of social integration. Indeed, the Commission</w:t>
      </w:r>
      <w:r w:rsidR="00B614D1">
        <w:rPr>
          <w:rFonts w:ascii="Times New Roman" w:hAnsi="Times New Roman" w:cs="Times New Roman"/>
          <w:sz w:val="24"/>
          <w:szCs w:val="24"/>
        </w:rPr>
        <w:t xml:space="preserve"> recognised free movement as “</w:t>
      </w:r>
      <w:r w:rsidR="008438AF" w:rsidRPr="00F769E6">
        <w:rPr>
          <w:rFonts w:ascii="Times New Roman" w:hAnsi="Times New Roman" w:cs="Times New Roman"/>
          <w:sz w:val="24"/>
          <w:szCs w:val="24"/>
        </w:rPr>
        <w:t>le premier aspe</w:t>
      </w:r>
      <w:r w:rsidR="00B614D1">
        <w:rPr>
          <w:rFonts w:ascii="Times New Roman" w:hAnsi="Times New Roman" w:cs="Times New Roman"/>
          <w:sz w:val="24"/>
          <w:szCs w:val="24"/>
        </w:rPr>
        <w:t xml:space="preserve">ct </w:t>
      </w:r>
      <w:proofErr w:type="spellStart"/>
      <w:r w:rsidR="00B614D1">
        <w:rPr>
          <w:rFonts w:ascii="Times New Roman" w:hAnsi="Times New Roman" w:cs="Times New Roman"/>
          <w:sz w:val="24"/>
          <w:szCs w:val="24"/>
        </w:rPr>
        <w:t>d’une</w:t>
      </w:r>
      <w:proofErr w:type="spellEnd"/>
      <w:r w:rsidR="00B614D1">
        <w:rPr>
          <w:rFonts w:ascii="Times New Roman" w:hAnsi="Times New Roman" w:cs="Times New Roman"/>
          <w:sz w:val="24"/>
          <w:szCs w:val="24"/>
        </w:rPr>
        <w:t xml:space="preserve"> </w:t>
      </w:r>
      <w:proofErr w:type="spellStart"/>
      <w:r w:rsidR="00B614D1">
        <w:rPr>
          <w:rFonts w:ascii="Times New Roman" w:hAnsi="Times New Roman" w:cs="Times New Roman"/>
          <w:sz w:val="24"/>
          <w:szCs w:val="24"/>
        </w:rPr>
        <w:t>citoyenneté</w:t>
      </w:r>
      <w:proofErr w:type="spellEnd"/>
      <w:r w:rsidR="00B614D1">
        <w:rPr>
          <w:rFonts w:ascii="Times New Roman" w:hAnsi="Times New Roman" w:cs="Times New Roman"/>
          <w:sz w:val="24"/>
          <w:szCs w:val="24"/>
        </w:rPr>
        <w:t xml:space="preserve"> </w:t>
      </w:r>
      <w:proofErr w:type="spellStart"/>
      <w:r w:rsidR="00B614D1">
        <w:rPr>
          <w:rFonts w:ascii="Times New Roman" w:hAnsi="Times New Roman" w:cs="Times New Roman"/>
          <w:sz w:val="24"/>
          <w:szCs w:val="24"/>
        </w:rPr>
        <w:t>européenne</w:t>
      </w:r>
      <w:proofErr w:type="spellEnd"/>
      <w:r w:rsidR="00B614D1">
        <w:rPr>
          <w:rFonts w:ascii="Times New Roman" w:hAnsi="Times New Roman" w:cs="Times New Roman"/>
          <w:sz w:val="24"/>
          <w:szCs w:val="24"/>
        </w:rPr>
        <w:t>”</w:t>
      </w:r>
      <w:r w:rsidR="008438AF" w:rsidRPr="00F769E6">
        <w:rPr>
          <w:rFonts w:ascii="Times New Roman" w:hAnsi="Times New Roman" w:cs="Times New Roman"/>
          <w:sz w:val="24"/>
          <w:szCs w:val="24"/>
        </w:rPr>
        <w:t xml:space="preserve"> in the early 1960s</w:t>
      </w:r>
      <w:r w:rsidR="00750482" w:rsidRPr="00F769E6">
        <w:rPr>
          <w:rFonts w:ascii="Times New Roman" w:hAnsi="Times New Roman" w:cs="Times New Roman"/>
          <w:sz w:val="24"/>
          <w:szCs w:val="24"/>
        </w:rPr>
        <w:t>.</w:t>
      </w:r>
      <w:r w:rsidR="008438AF" w:rsidRPr="00F769E6">
        <w:rPr>
          <w:rStyle w:val="FootnoteReference"/>
          <w:rFonts w:ascii="Times New Roman" w:hAnsi="Times New Roman" w:cs="Times New Roman"/>
          <w:sz w:val="24"/>
          <w:szCs w:val="24"/>
        </w:rPr>
        <w:footnoteReference w:id="132"/>
      </w:r>
      <w:r w:rsidR="00C77558" w:rsidRPr="00F769E6">
        <w:rPr>
          <w:rFonts w:ascii="Times New Roman" w:hAnsi="Times New Roman" w:cs="Times New Roman"/>
          <w:sz w:val="24"/>
          <w:szCs w:val="24"/>
        </w:rPr>
        <w:t xml:space="preserve"> </w:t>
      </w:r>
    </w:p>
    <w:p w:rsidR="00B614D1" w:rsidRDefault="00750482" w:rsidP="00B614D1">
      <w:pPr>
        <w:pStyle w:val="NoSpacing"/>
        <w:spacing w:line="360" w:lineRule="auto"/>
        <w:ind w:firstLine="284"/>
        <w:jc w:val="both"/>
        <w:rPr>
          <w:rFonts w:ascii="Times New Roman" w:hAnsi="Times New Roman" w:cs="Times New Roman"/>
          <w:sz w:val="24"/>
          <w:szCs w:val="24"/>
        </w:rPr>
      </w:pPr>
      <w:r w:rsidRPr="00F769E6">
        <w:rPr>
          <w:rFonts w:ascii="Times New Roman" w:hAnsi="Times New Roman" w:cs="Times New Roman"/>
          <w:sz w:val="24"/>
          <w:szCs w:val="24"/>
        </w:rPr>
        <w:t xml:space="preserve">This form of social integration is </w:t>
      </w:r>
      <w:r w:rsidR="0090475C">
        <w:rPr>
          <w:rFonts w:ascii="Times New Roman" w:hAnsi="Times New Roman" w:cs="Times New Roman"/>
          <w:sz w:val="24"/>
          <w:szCs w:val="24"/>
        </w:rPr>
        <w:t xml:space="preserve">a </w:t>
      </w:r>
      <w:r w:rsidRPr="00F769E6">
        <w:rPr>
          <w:rFonts w:ascii="Times New Roman" w:hAnsi="Times New Roman" w:cs="Times New Roman"/>
          <w:sz w:val="24"/>
          <w:szCs w:val="24"/>
        </w:rPr>
        <w:t>negative</w:t>
      </w:r>
      <w:r w:rsidR="0090475C">
        <w:rPr>
          <w:rFonts w:ascii="Times New Roman" w:hAnsi="Times New Roman" w:cs="Times New Roman"/>
          <w:sz w:val="24"/>
          <w:szCs w:val="24"/>
        </w:rPr>
        <w:t xml:space="preserve"> process</w:t>
      </w:r>
      <w:r w:rsidRPr="00F769E6">
        <w:rPr>
          <w:rFonts w:ascii="Times New Roman" w:hAnsi="Times New Roman" w:cs="Times New Roman"/>
          <w:sz w:val="24"/>
          <w:szCs w:val="24"/>
        </w:rPr>
        <w:t xml:space="preserve">, working towards a European social space by requiring Member States to welcome non-national EU citizens into </w:t>
      </w:r>
      <w:r w:rsidR="0090475C">
        <w:rPr>
          <w:rFonts w:ascii="Times New Roman" w:hAnsi="Times New Roman" w:cs="Times New Roman"/>
          <w:sz w:val="24"/>
          <w:szCs w:val="24"/>
        </w:rPr>
        <w:t xml:space="preserve">existing </w:t>
      </w:r>
      <w:r w:rsidRPr="00F769E6">
        <w:rPr>
          <w:rFonts w:ascii="Times New Roman" w:hAnsi="Times New Roman" w:cs="Times New Roman"/>
          <w:sz w:val="24"/>
          <w:szCs w:val="24"/>
        </w:rPr>
        <w:t>domestic social assistance schemes ordinarily the preserve of nationals.</w:t>
      </w:r>
      <w:r w:rsidR="00040952">
        <w:rPr>
          <w:rFonts w:ascii="Times New Roman" w:hAnsi="Times New Roman" w:cs="Times New Roman"/>
          <w:sz w:val="24"/>
          <w:szCs w:val="24"/>
        </w:rPr>
        <w:t xml:space="preserve"> As O’Brie</w:t>
      </w:r>
      <w:r w:rsidR="00B614D1">
        <w:rPr>
          <w:rFonts w:ascii="Times New Roman" w:hAnsi="Times New Roman" w:cs="Times New Roman"/>
          <w:sz w:val="24"/>
          <w:szCs w:val="24"/>
        </w:rPr>
        <w:t>n notes, “</w:t>
      </w:r>
      <w:r w:rsidR="00040952">
        <w:rPr>
          <w:rFonts w:ascii="Times New Roman" w:hAnsi="Times New Roman" w:cs="Times New Roman"/>
          <w:sz w:val="24"/>
          <w:szCs w:val="24"/>
        </w:rPr>
        <w:t>the very concept of the welfare state implies a citizen-state relationship and, by extension is linked to nationality and citizenship. The idea of social justice is bound up with that of solidarity, suggesting a network of relationships and the notion of membership</w:t>
      </w:r>
      <w:r w:rsidR="00B614D1">
        <w:rPr>
          <w:rFonts w:ascii="Times New Roman" w:hAnsi="Times New Roman" w:cs="Times New Roman"/>
          <w:sz w:val="24"/>
          <w:szCs w:val="24"/>
        </w:rPr>
        <w:t>”</w:t>
      </w:r>
      <w:r w:rsidR="00040952">
        <w:rPr>
          <w:rFonts w:ascii="Times New Roman" w:hAnsi="Times New Roman" w:cs="Times New Roman"/>
          <w:sz w:val="24"/>
          <w:szCs w:val="24"/>
        </w:rPr>
        <w:t>.</w:t>
      </w:r>
      <w:r w:rsidR="00040952">
        <w:rPr>
          <w:rStyle w:val="FootnoteReference"/>
          <w:rFonts w:ascii="Times New Roman" w:hAnsi="Times New Roman" w:cs="Times New Roman"/>
          <w:sz w:val="24"/>
          <w:szCs w:val="24"/>
        </w:rPr>
        <w:footnoteReference w:id="133"/>
      </w:r>
      <w:r w:rsidR="00B614D1">
        <w:rPr>
          <w:rFonts w:ascii="Times New Roman" w:hAnsi="Times New Roman" w:cs="Times New Roman"/>
          <w:sz w:val="24"/>
          <w:szCs w:val="24"/>
        </w:rPr>
        <w:t xml:space="preserve"> Thus, this form of social integration</w:t>
      </w:r>
      <w:r w:rsidR="00832381">
        <w:rPr>
          <w:rFonts w:ascii="Times New Roman" w:hAnsi="Times New Roman" w:cs="Times New Roman"/>
          <w:sz w:val="24"/>
          <w:szCs w:val="24"/>
        </w:rPr>
        <w:t xml:space="preserve"> </w:t>
      </w:r>
      <w:r w:rsidR="00D9709E">
        <w:rPr>
          <w:rFonts w:ascii="Times New Roman" w:hAnsi="Times New Roman" w:cs="Times New Roman"/>
          <w:sz w:val="24"/>
          <w:szCs w:val="24"/>
        </w:rPr>
        <w:t>not only claims to facilitate the inclusion</w:t>
      </w:r>
      <w:r w:rsidR="00832381">
        <w:rPr>
          <w:rFonts w:ascii="Times New Roman" w:hAnsi="Times New Roman" w:cs="Times New Roman"/>
          <w:sz w:val="24"/>
          <w:szCs w:val="24"/>
        </w:rPr>
        <w:t xml:space="preserve"> of non-national EU citizens within the circle of solidarity that is traditionally thought to exist between nationals</w:t>
      </w:r>
      <w:r w:rsidR="00D9709E">
        <w:rPr>
          <w:rFonts w:ascii="Times New Roman" w:hAnsi="Times New Roman" w:cs="Times New Roman"/>
          <w:sz w:val="24"/>
          <w:szCs w:val="24"/>
        </w:rPr>
        <w:t xml:space="preserve"> but also implicitly seeks to encourage their acceptance within that circle.</w:t>
      </w:r>
      <w:r w:rsidR="001A4272">
        <w:rPr>
          <w:rStyle w:val="FootnoteReference"/>
          <w:rFonts w:ascii="Times New Roman" w:hAnsi="Times New Roman" w:cs="Times New Roman"/>
          <w:sz w:val="24"/>
          <w:szCs w:val="24"/>
        </w:rPr>
        <w:footnoteReference w:id="134"/>
      </w:r>
      <w:r w:rsidR="009317E8">
        <w:rPr>
          <w:rFonts w:ascii="Times New Roman" w:hAnsi="Times New Roman" w:cs="Times New Roman"/>
          <w:sz w:val="24"/>
          <w:szCs w:val="24"/>
        </w:rPr>
        <w:t xml:space="preserve"> </w:t>
      </w:r>
      <w:r w:rsidR="006339F8">
        <w:rPr>
          <w:rFonts w:ascii="Times New Roman" w:hAnsi="Times New Roman" w:cs="Times New Roman"/>
          <w:sz w:val="24"/>
          <w:szCs w:val="24"/>
        </w:rPr>
        <w:t>Since</w:t>
      </w:r>
      <w:r w:rsidR="00D9709E">
        <w:rPr>
          <w:rFonts w:ascii="Times New Roman" w:hAnsi="Times New Roman" w:cs="Times New Roman"/>
          <w:sz w:val="24"/>
          <w:szCs w:val="24"/>
        </w:rPr>
        <w:t xml:space="preserve"> the free movement rights of economic actors was the route</w:t>
      </w:r>
      <w:r w:rsidR="006339F8">
        <w:rPr>
          <w:rFonts w:ascii="Times New Roman" w:hAnsi="Times New Roman" w:cs="Times New Roman"/>
          <w:sz w:val="24"/>
          <w:szCs w:val="24"/>
        </w:rPr>
        <w:t xml:space="preserve"> to this form of social integration</w:t>
      </w:r>
      <w:r w:rsidR="00D9709E">
        <w:rPr>
          <w:rFonts w:ascii="Times New Roman" w:hAnsi="Times New Roman" w:cs="Times New Roman"/>
          <w:sz w:val="24"/>
          <w:szCs w:val="24"/>
        </w:rPr>
        <w:t xml:space="preserve">, </w:t>
      </w:r>
      <w:r w:rsidR="00CA3A47">
        <w:rPr>
          <w:rFonts w:ascii="Times New Roman" w:hAnsi="Times New Roman" w:cs="Times New Roman"/>
          <w:sz w:val="24"/>
          <w:szCs w:val="24"/>
        </w:rPr>
        <w:t>the Court</w:t>
      </w:r>
      <w:r w:rsidR="006339F8">
        <w:rPr>
          <w:rFonts w:ascii="Times New Roman" w:hAnsi="Times New Roman" w:cs="Times New Roman"/>
          <w:sz w:val="24"/>
          <w:szCs w:val="24"/>
        </w:rPr>
        <w:t xml:space="preserve"> bega</w:t>
      </w:r>
      <w:r w:rsidR="00B614D1">
        <w:rPr>
          <w:rFonts w:ascii="Times New Roman" w:hAnsi="Times New Roman" w:cs="Times New Roman"/>
          <w:sz w:val="24"/>
          <w:szCs w:val="24"/>
        </w:rPr>
        <w:t>n to broaden the definition of economic actor</w:t>
      </w:r>
      <w:r w:rsidR="00870100">
        <w:rPr>
          <w:rFonts w:ascii="Times New Roman" w:hAnsi="Times New Roman" w:cs="Times New Roman"/>
          <w:sz w:val="24"/>
          <w:szCs w:val="24"/>
        </w:rPr>
        <w:t xml:space="preserve">. </w:t>
      </w:r>
      <w:r w:rsidR="00B614D1">
        <w:rPr>
          <w:rFonts w:ascii="Times New Roman" w:hAnsi="Times New Roman" w:cs="Times New Roman"/>
          <w:sz w:val="24"/>
          <w:szCs w:val="24"/>
        </w:rPr>
        <w:t>“</w:t>
      </w:r>
      <w:r w:rsidR="006339F8">
        <w:rPr>
          <w:rFonts w:ascii="Times New Roman" w:hAnsi="Times New Roman" w:cs="Times New Roman"/>
          <w:sz w:val="24"/>
          <w:szCs w:val="24"/>
        </w:rPr>
        <w:t xml:space="preserve">EU </w:t>
      </w:r>
      <w:r w:rsidR="00B614D1">
        <w:rPr>
          <w:rFonts w:ascii="Times New Roman" w:hAnsi="Times New Roman" w:cs="Times New Roman"/>
          <w:sz w:val="24"/>
          <w:szCs w:val="24"/>
        </w:rPr>
        <w:t>worker” covered those whose work was “</w:t>
      </w:r>
      <w:r w:rsidR="006339F8">
        <w:rPr>
          <w:rFonts w:ascii="Times New Roman" w:hAnsi="Times New Roman" w:cs="Times New Roman"/>
          <w:sz w:val="24"/>
          <w:szCs w:val="24"/>
        </w:rPr>
        <w:t>genuine</w:t>
      </w:r>
      <w:r w:rsidR="00B614D1">
        <w:rPr>
          <w:rFonts w:ascii="Times New Roman" w:hAnsi="Times New Roman" w:cs="Times New Roman"/>
          <w:sz w:val="24"/>
          <w:szCs w:val="24"/>
        </w:rPr>
        <w:t xml:space="preserve"> and effective”</w:t>
      </w:r>
      <w:r w:rsidR="006339F8">
        <w:rPr>
          <w:rFonts w:ascii="Times New Roman" w:hAnsi="Times New Roman" w:cs="Times New Roman"/>
          <w:sz w:val="24"/>
          <w:szCs w:val="24"/>
        </w:rPr>
        <w:t xml:space="preserve"> even if they were not net contributors to their host</w:t>
      </w:r>
      <w:r w:rsidR="00870100">
        <w:rPr>
          <w:rFonts w:ascii="Times New Roman" w:hAnsi="Times New Roman" w:cs="Times New Roman"/>
          <w:sz w:val="24"/>
          <w:szCs w:val="24"/>
        </w:rPr>
        <w:t xml:space="preserve"> State’s social security system.</w:t>
      </w:r>
      <w:r w:rsidR="006F374C" w:rsidRPr="00F769E6">
        <w:rPr>
          <w:rStyle w:val="FootnoteReference"/>
          <w:rFonts w:ascii="Times New Roman" w:hAnsi="Times New Roman" w:cs="Times New Roman"/>
          <w:sz w:val="24"/>
          <w:szCs w:val="24"/>
        </w:rPr>
        <w:footnoteReference w:id="135"/>
      </w:r>
      <w:r w:rsidR="00870100">
        <w:rPr>
          <w:rFonts w:ascii="Times New Roman" w:hAnsi="Times New Roman" w:cs="Times New Roman"/>
          <w:sz w:val="24"/>
          <w:szCs w:val="24"/>
        </w:rPr>
        <w:t xml:space="preserve"> T</w:t>
      </w:r>
      <w:r w:rsidR="006339F8">
        <w:rPr>
          <w:rFonts w:ascii="Times New Roman" w:hAnsi="Times New Roman" w:cs="Times New Roman"/>
          <w:sz w:val="24"/>
          <w:szCs w:val="24"/>
        </w:rPr>
        <w:t>he judicial introduction of</w:t>
      </w:r>
      <w:r w:rsidR="00B614D1">
        <w:rPr>
          <w:rFonts w:ascii="Times New Roman" w:hAnsi="Times New Roman" w:cs="Times New Roman"/>
          <w:sz w:val="24"/>
          <w:szCs w:val="24"/>
        </w:rPr>
        <w:t xml:space="preserve"> the “service recipient”</w:t>
      </w:r>
      <w:r w:rsidR="00E80B93" w:rsidRPr="00F769E6">
        <w:rPr>
          <w:rFonts w:ascii="Times New Roman" w:hAnsi="Times New Roman" w:cs="Times New Roman"/>
          <w:sz w:val="24"/>
          <w:szCs w:val="24"/>
        </w:rPr>
        <w:t xml:space="preserve"> opened up, for instance, Member States’ criminal injuries compensation schemes to EU citizens who were tourists on their territory.</w:t>
      </w:r>
      <w:r w:rsidR="00E80B93" w:rsidRPr="00F769E6">
        <w:rPr>
          <w:rStyle w:val="FootnoteReference"/>
          <w:rFonts w:ascii="Times New Roman" w:hAnsi="Times New Roman" w:cs="Times New Roman"/>
          <w:sz w:val="24"/>
          <w:szCs w:val="24"/>
        </w:rPr>
        <w:footnoteReference w:id="136"/>
      </w:r>
      <w:r w:rsidR="00F311E4" w:rsidRPr="00F769E6">
        <w:rPr>
          <w:rFonts w:ascii="Times New Roman" w:hAnsi="Times New Roman" w:cs="Times New Roman"/>
          <w:sz w:val="24"/>
          <w:szCs w:val="24"/>
        </w:rPr>
        <w:t xml:space="preserve"> </w:t>
      </w:r>
      <w:r w:rsidR="00D9709E">
        <w:rPr>
          <w:rFonts w:ascii="Times New Roman" w:hAnsi="Times New Roman" w:cs="Times New Roman"/>
          <w:sz w:val="24"/>
          <w:szCs w:val="24"/>
        </w:rPr>
        <w:t>Eventually, in</w:t>
      </w:r>
      <w:r w:rsidR="006339F8">
        <w:rPr>
          <w:rFonts w:ascii="Times New Roman" w:hAnsi="Times New Roman" w:cs="Times New Roman"/>
          <w:sz w:val="24"/>
          <w:szCs w:val="24"/>
        </w:rPr>
        <w:t xml:space="preserve"> the 1990s, </w:t>
      </w:r>
      <w:r w:rsidR="00F311E4" w:rsidRPr="00F769E6">
        <w:rPr>
          <w:rFonts w:ascii="Times New Roman" w:hAnsi="Times New Roman" w:cs="Times New Roman"/>
          <w:sz w:val="24"/>
          <w:szCs w:val="24"/>
        </w:rPr>
        <w:t>the EU legislature began extending free movement rights to non-economically active EU citizens, though they had to be self-sufficient.</w:t>
      </w:r>
      <w:r w:rsidR="00F311E4" w:rsidRPr="00F769E6">
        <w:rPr>
          <w:rStyle w:val="FootnoteReference"/>
          <w:rFonts w:ascii="Times New Roman" w:hAnsi="Times New Roman" w:cs="Times New Roman"/>
          <w:sz w:val="24"/>
          <w:szCs w:val="24"/>
        </w:rPr>
        <w:footnoteReference w:id="137"/>
      </w:r>
      <w:r w:rsidR="00F311E4" w:rsidRPr="00F769E6">
        <w:rPr>
          <w:rFonts w:ascii="Times New Roman" w:hAnsi="Times New Roman" w:cs="Times New Roman"/>
          <w:sz w:val="24"/>
          <w:szCs w:val="24"/>
        </w:rPr>
        <w:t xml:space="preserve"> In this way, free movement</w:t>
      </w:r>
      <w:r w:rsidR="00B614D1">
        <w:rPr>
          <w:rFonts w:ascii="Times New Roman" w:hAnsi="Times New Roman" w:cs="Times New Roman"/>
          <w:sz w:val="24"/>
          <w:szCs w:val="24"/>
        </w:rPr>
        <w:t xml:space="preserve"> emerged as a tool by which to “</w:t>
      </w:r>
      <w:r w:rsidR="00F311E4" w:rsidRPr="00F769E6">
        <w:rPr>
          <w:rFonts w:ascii="Times New Roman" w:hAnsi="Times New Roman" w:cs="Times New Roman"/>
          <w:sz w:val="24"/>
          <w:szCs w:val="24"/>
        </w:rPr>
        <w:t xml:space="preserve">transcend </w:t>
      </w:r>
      <w:r w:rsidR="00816575" w:rsidRPr="00F769E6">
        <w:rPr>
          <w:rFonts w:ascii="Times New Roman" w:hAnsi="Times New Roman" w:cs="Times New Roman"/>
          <w:sz w:val="24"/>
          <w:szCs w:val="24"/>
        </w:rPr>
        <w:t>the char</w:t>
      </w:r>
      <w:r w:rsidR="00847AC2" w:rsidRPr="00F769E6">
        <w:rPr>
          <w:rFonts w:ascii="Times New Roman" w:hAnsi="Times New Roman" w:cs="Times New Roman"/>
          <w:sz w:val="24"/>
          <w:szCs w:val="24"/>
        </w:rPr>
        <w:t>a</w:t>
      </w:r>
      <w:r w:rsidR="00816575" w:rsidRPr="00F769E6">
        <w:rPr>
          <w:rFonts w:ascii="Times New Roman" w:hAnsi="Times New Roman" w:cs="Times New Roman"/>
          <w:sz w:val="24"/>
          <w:szCs w:val="24"/>
        </w:rPr>
        <w:t>cter of European integration as a purely economic project and to develop it in the dir</w:t>
      </w:r>
      <w:r w:rsidR="00B614D1">
        <w:rPr>
          <w:rFonts w:ascii="Times New Roman" w:hAnsi="Times New Roman" w:cs="Times New Roman"/>
          <w:sz w:val="24"/>
          <w:szCs w:val="24"/>
        </w:rPr>
        <w:t>ection of a political community”</w:t>
      </w:r>
      <w:r w:rsidR="00816575" w:rsidRPr="00F769E6">
        <w:rPr>
          <w:rFonts w:ascii="Times New Roman" w:hAnsi="Times New Roman" w:cs="Times New Roman"/>
          <w:sz w:val="24"/>
          <w:szCs w:val="24"/>
        </w:rPr>
        <w:t>.</w:t>
      </w:r>
      <w:r w:rsidR="00816575" w:rsidRPr="00F769E6">
        <w:rPr>
          <w:rStyle w:val="FootnoteReference"/>
          <w:rFonts w:ascii="Times New Roman" w:hAnsi="Times New Roman" w:cs="Times New Roman"/>
          <w:sz w:val="24"/>
          <w:szCs w:val="24"/>
        </w:rPr>
        <w:footnoteReference w:id="138"/>
      </w:r>
    </w:p>
    <w:p w:rsidR="00B614D1" w:rsidRDefault="000F30B9" w:rsidP="00B614D1">
      <w:pPr>
        <w:pStyle w:val="NoSpacing"/>
        <w:spacing w:line="360" w:lineRule="auto"/>
        <w:ind w:firstLine="284"/>
        <w:jc w:val="both"/>
        <w:rPr>
          <w:rFonts w:ascii="Times New Roman" w:hAnsi="Times New Roman" w:cs="Times New Roman"/>
          <w:sz w:val="24"/>
          <w:szCs w:val="24"/>
        </w:rPr>
      </w:pPr>
      <w:r w:rsidRPr="00F769E6">
        <w:rPr>
          <w:rFonts w:ascii="Times New Roman" w:hAnsi="Times New Roman" w:cs="Times New Roman"/>
          <w:sz w:val="24"/>
          <w:szCs w:val="24"/>
        </w:rPr>
        <w:t>As i</w:t>
      </w:r>
      <w:r w:rsidR="00B614D1">
        <w:rPr>
          <w:rFonts w:ascii="Times New Roman" w:hAnsi="Times New Roman" w:cs="Times New Roman"/>
          <w:sz w:val="24"/>
          <w:szCs w:val="24"/>
        </w:rPr>
        <w:t>s well-known, this incremental “market citizenship”</w:t>
      </w:r>
      <w:r w:rsidRPr="00F769E6">
        <w:rPr>
          <w:rFonts w:ascii="Times New Roman" w:hAnsi="Times New Roman" w:cs="Times New Roman"/>
          <w:sz w:val="24"/>
          <w:szCs w:val="24"/>
        </w:rPr>
        <w:t xml:space="preserve"> culminated in the formal rec</w:t>
      </w:r>
      <w:r w:rsidR="00B614D1">
        <w:rPr>
          <w:rFonts w:ascii="Times New Roman" w:hAnsi="Times New Roman" w:cs="Times New Roman"/>
          <w:sz w:val="24"/>
          <w:szCs w:val="24"/>
        </w:rPr>
        <w:t>ognition of Union citizenship in</w:t>
      </w:r>
      <w:r w:rsidRPr="00F769E6">
        <w:rPr>
          <w:rFonts w:ascii="Times New Roman" w:hAnsi="Times New Roman" w:cs="Times New Roman"/>
          <w:sz w:val="24"/>
          <w:szCs w:val="24"/>
        </w:rPr>
        <w:t xml:space="preserve"> the Maastricht Treaty.</w:t>
      </w:r>
      <w:r w:rsidRPr="00F769E6">
        <w:rPr>
          <w:rStyle w:val="FootnoteReference"/>
          <w:rFonts w:ascii="Times New Roman" w:hAnsi="Times New Roman" w:cs="Times New Roman"/>
          <w:sz w:val="24"/>
          <w:szCs w:val="24"/>
        </w:rPr>
        <w:footnoteReference w:id="139"/>
      </w:r>
      <w:r w:rsidRPr="00F769E6">
        <w:rPr>
          <w:rFonts w:ascii="Times New Roman" w:hAnsi="Times New Roman" w:cs="Times New Roman"/>
          <w:sz w:val="24"/>
          <w:szCs w:val="24"/>
        </w:rPr>
        <w:t xml:space="preserve"> </w:t>
      </w:r>
      <w:r w:rsidR="006339F8">
        <w:rPr>
          <w:rFonts w:ascii="Times New Roman" w:hAnsi="Times New Roman" w:cs="Times New Roman"/>
          <w:sz w:val="24"/>
          <w:szCs w:val="24"/>
        </w:rPr>
        <w:t xml:space="preserve">This strengthened the opportunity for a Court-driven pursuit of social integration via the same negative processes </w:t>
      </w:r>
      <w:r w:rsidR="006339F8">
        <w:rPr>
          <w:rFonts w:ascii="Times New Roman" w:hAnsi="Times New Roman" w:cs="Times New Roman"/>
          <w:sz w:val="24"/>
          <w:szCs w:val="24"/>
        </w:rPr>
        <w:lastRenderedPageBreak/>
        <w:t>that had been so successful in the internal market.</w:t>
      </w:r>
      <w:r w:rsidR="00BE4BCE">
        <w:rPr>
          <w:rFonts w:ascii="Times New Roman" w:hAnsi="Times New Roman" w:cs="Times New Roman"/>
          <w:sz w:val="24"/>
          <w:szCs w:val="24"/>
        </w:rPr>
        <w:t xml:space="preserve"> Specifically, exercise of one’s personal, primary right to move under Article 21 TFEU triggered the principle of non-discrimination, under Article 18 TFEU, and therefore equal access to domestic social welfare systems.</w:t>
      </w:r>
      <w:r w:rsidR="00AF2DAA">
        <w:rPr>
          <w:rStyle w:val="FootnoteReference"/>
          <w:rFonts w:ascii="Times New Roman" w:hAnsi="Times New Roman" w:cs="Times New Roman"/>
          <w:sz w:val="24"/>
          <w:szCs w:val="24"/>
        </w:rPr>
        <w:footnoteReference w:id="140"/>
      </w:r>
      <w:r w:rsidR="00A7014A">
        <w:rPr>
          <w:rFonts w:ascii="Times New Roman" w:hAnsi="Times New Roman" w:cs="Times New Roman"/>
          <w:sz w:val="24"/>
          <w:szCs w:val="24"/>
        </w:rPr>
        <w:t xml:space="preserve"> </w:t>
      </w:r>
      <w:proofErr w:type="spellStart"/>
      <w:r w:rsidR="00A7014A">
        <w:rPr>
          <w:rFonts w:ascii="Times New Roman" w:hAnsi="Times New Roman" w:cs="Times New Roman"/>
          <w:i/>
          <w:sz w:val="24"/>
          <w:szCs w:val="24"/>
        </w:rPr>
        <w:t>Grzelczyk</w:t>
      </w:r>
      <w:proofErr w:type="spellEnd"/>
      <w:r w:rsidR="0035080E" w:rsidRPr="00FE70CA">
        <w:rPr>
          <w:rStyle w:val="FootnoteReference"/>
          <w:rFonts w:ascii="Times New Roman" w:hAnsi="Times New Roman" w:cs="Times New Roman"/>
          <w:sz w:val="24"/>
          <w:szCs w:val="24"/>
        </w:rPr>
        <w:footnoteReference w:id="141"/>
      </w:r>
      <w:r w:rsidR="00A7014A">
        <w:rPr>
          <w:rFonts w:ascii="Times New Roman" w:hAnsi="Times New Roman" w:cs="Times New Roman"/>
          <w:i/>
          <w:sz w:val="24"/>
          <w:szCs w:val="24"/>
        </w:rPr>
        <w:t xml:space="preserve"> </w:t>
      </w:r>
      <w:r w:rsidR="00A7014A">
        <w:rPr>
          <w:rFonts w:ascii="Times New Roman" w:hAnsi="Times New Roman" w:cs="Times New Roman"/>
          <w:sz w:val="24"/>
          <w:szCs w:val="24"/>
        </w:rPr>
        <w:t>implied</w:t>
      </w:r>
      <w:r w:rsidR="00C33087">
        <w:rPr>
          <w:rFonts w:ascii="Times New Roman" w:hAnsi="Times New Roman" w:cs="Times New Roman"/>
          <w:sz w:val="24"/>
          <w:szCs w:val="24"/>
        </w:rPr>
        <w:t xml:space="preserve"> that this was firmly rooted in the EU</w:t>
      </w:r>
      <w:r w:rsidR="00BE556A">
        <w:rPr>
          <w:rFonts w:ascii="Times New Roman" w:hAnsi="Times New Roman" w:cs="Times New Roman"/>
          <w:sz w:val="24"/>
          <w:szCs w:val="24"/>
        </w:rPr>
        <w:t>’s broader integrative ambition:</w:t>
      </w:r>
      <w:r w:rsidR="00BE4BCE">
        <w:rPr>
          <w:rFonts w:ascii="Times New Roman" w:hAnsi="Times New Roman" w:cs="Times New Roman"/>
          <w:sz w:val="24"/>
          <w:szCs w:val="24"/>
        </w:rPr>
        <w:t xml:space="preserve"> Union citizens</w:t>
      </w:r>
      <w:r w:rsidR="00B614D1">
        <w:rPr>
          <w:rFonts w:ascii="Times New Roman" w:hAnsi="Times New Roman" w:cs="Times New Roman"/>
          <w:sz w:val="24"/>
          <w:szCs w:val="24"/>
        </w:rPr>
        <w:t>hip was “</w:t>
      </w:r>
      <w:r w:rsidR="00BE4BCE">
        <w:rPr>
          <w:rFonts w:ascii="Times New Roman" w:hAnsi="Times New Roman" w:cs="Times New Roman"/>
          <w:sz w:val="24"/>
          <w:szCs w:val="24"/>
        </w:rPr>
        <w:t>destined to be the fundamental status of</w:t>
      </w:r>
      <w:r w:rsidR="00B614D1">
        <w:rPr>
          <w:rFonts w:ascii="Times New Roman" w:hAnsi="Times New Roman" w:cs="Times New Roman"/>
          <w:sz w:val="24"/>
          <w:szCs w:val="24"/>
        </w:rPr>
        <w:t xml:space="preserve"> nationals of the Member States”</w:t>
      </w:r>
      <w:r w:rsidR="00BE4BCE">
        <w:rPr>
          <w:rFonts w:ascii="Times New Roman" w:hAnsi="Times New Roman" w:cs="Times New Roman"/>
          <w:sz w:val="24"/>
          <w:szCs w:val="24"/>
        </w:rPr>
        <w:t>.</w:t>
      </w:r>
      <w:r w:rsidR="00BE4BCE">
        <w:rPr>
          <w:rStyle w:val="FootnoteReference"/>
          <w:rFonts w:ascii="Times New Roman" w:hAnsi="Times New Roman" w:cs="Times New Roman"/>
          <w:sz w:val="24"/>
          <w:szCs w:val="24"/>
        </w:rPr>
        <w:footnoteReference w:id="142"/>
      </w:r>
      <w:r w:rsidR="00BE4BCE">
        <w:rPr>
          <w:rFonts w:ascii="Times New Roman" w:hAnsi="Times New Roman" w:cs="Times New Roman"/>
          <w:sz w:val="24"/>
          <w:szCs w:val="24"/>
        </w:rPr>
        <w:t xml:space="preserve"> Accordingly, non-economically active Union citizens were entitled to equal access to national social assistance if they were legall</w:t>
      </w:r>
      <w:r w:rsidR="00924CFA">
        <w:rPr>
          <w:rFonts w:ascii="Times New Roman" w:hAnsi="Times New Roman" w:cs="Times New Roman"/>
          <w:sz w:val="24"/>
          <w:szCs w:val="24"/>
        </w:rPr>
        <w:t>y resident in their host State.</w:t>
      </w:r>
      <w:r w:rsidR="00D9709E">
        <w:rPr>
          <w:rStyle w:val="FootnoteReference"/>
          <w:rFonts w:ascii="Times New Roman" w:hAnsi="Times New Roman" w:cs="Times New Roman"/>
          <w:sz w:val="24"/>
          <w:szCs w:val="24"/>
        </w:rPr>
        <w:footnoteReference w:id="143"/>
      </w:r>
      <w:r w:rsidR="00BD68AF">
        <w:rPr>
          <w:rFonts w:ascii="Times New Roman" w:hAnsi="Times New Roman" w:cs="Times New Roman"/>
          <w:sz w:val="24"/>
          <w:szCs w:val="24"/>
        </w:rPr>
        <w:t xml:space="preserve"> </w:t>
      </w:r>
      <w:r w:rsidR="00BD68AF" w:rsidRPr="00BD68AF">
        <w:rPr>
          <w:rFonts w:ascii="Times New Roman" w:hAnsi="Times New Roman" w:cs="Times New Roman"/>
          <w:sz w:val="24"/>
          <w:szCs w:val="24"/>
        </w:rPr>
        <w:t xml:space="preserve">Though </w:t>
      </w:r>
      <w:r w:rsidR="00B614D1">
        <w:rPr>
          <w:rFonts w:ascii="Times New Roman" w:hAnsi="Times New Roman" w:cs="Times New Roman"/>
          <w:sz w:val="24"/>
          <w:szCs w:val="24"/>
        </w:rPr>
        <w:t>they could not constitute an “unreasonable burden” upon domestic welfare, a “</w:t>
      </w:r>
      <w:r w:rsidR="00BD68AF" w:rsidRPr="00BD68AF">
        <w:rPr>
          <w:rFonts w:ascii="Times New Roman" w:hAnsi="Times New Roman" w:cs="Times New Roman"/>
          <w:sz w:val="24"/>
          <w:szCs w:val="24"/>
        </w:rPr>
        <w:t>certain</w:t>
      </w:r>
      <w:r w:rsidR="00B614D1">
        <w:rPr>
          <w:rFonts w:ascii="Times New Roman" w:hAnsi="Times New Roman" w:cs="Times New Roman"/>
          <w:sz w:val="24"/>
          <w:szCs w:val="24"/>
        </w:rPr>
        <w:t xml:space="preserve"> degree of financial solidarity”</w:t>
      </w:r>
      <w:r w:rsidR="00BD68AF" w:rsidRPr="00BD68AF">
        <w:rPr>
          <w:rFonts w:ascii="Times New Roman" w:hAnsi="Times New Roman" w:cs="Times New Roman"/>
          <w:sz w:val="24"/>
          <w:szCs w:val="24"/>
        </w:rPr>
        <w:t xml:space="preserve"> was expected between the </w:t>
      </w:r>
      <w:r w:rsidR="00A075DE">
        <w:rPr>
          <w:rFonts w:ascii="Times New Roman" w:hAnsi="Times New Roman" w:cs="Times New Roman"/>
          <w:sz w:val="24"/>
          <w:szCs w:val="24"/>
        </w:rPr>
        <w:t xml:space="preserve">nationals of the </w:t>
      </w:r>
      <w:r w:rsidR="00BD68AF" w:rsidRPr="00BD68AF">
        <w:rPr>
          <w:rFonts w:ascii="Times New Roman" w:hAnsi="Times New Roman" w:cs="Times New Roman"/>
          <w:sz w:val="24"/>
          <w:szCs w:val="24"/>
        </w:rPr>
        <w:t>Member States.</w:t>
      </w:r>
      <w:r w:rsidR="00BD68AF" w:rsidRPr="00BD68AF">
        <w:rPr>
          <w:rStyle w:val="FootnoteReference"/>
          <w:rFonts w:ascii="Times New Roman" w:hAnsi="Times New Roman" w:cs="Times New Roman"/>
          <w:sz w:val="24"/>
          <w:szCs w:val="24"/>
        </w:rPr>
        <w:footnoteReference w:id="144"/>
      </w:r>
      <w:r w:rsidR="00D9709E">
        <w:rPr>
          <w:rFonts w:ascii="Times New Roman" w:hAnsi="Times New Roman" w:cs="Times New Roman"/>
          <w:sz w:val="24"/>
          <w:szCs w:val="24"/>
        </w:rPr>
        <w:t xml:space="preserve"> Under certain conditions, this rationale also saw national jobseekers’ allowance extended to Union </w:t>
      </w:r>
      <w:proofErr w:type="spellStart"/>
      <w:r w:rsidR="00D9709E">
        <w:rPr>
          <w:rFonts w:ascii="Times New Roman" w:hAnsi="Times New Roman" w:cs="Times New Roman"/>
          <w:sz w:val="24"/>
          <w:szCs w:val="24"/>
        </w:rPr>
        <w:t>workseekers</w:t>
      </w:r>
      <w:proofErr w:type="spellEnd"/>
      <w:r w:rsidR="00D9709E">
        <w:rPr>
          <w:rStyle w:val="FootnoteReference"/>
          <w:rFonts w:ascii="Times New Roman" w:hAnsi="Times New Roman" w:cs="Times New Roman"/>
          <w:sz w:val="24"/>
          <w:szCs w:val="24"/>
        </w:rPr>
        <w:footnoteReference w:id="145"/>
      </w:r>
      <w:r w:rsidR="00D9709E">
        <w:rPr>
          <w:rFonts w:ascii="Times New Roman" w:hAnsi="Times New Roman" w:cs="Times New Roman"/>
          <w:sz w:val="24"/>
          <w:szCs w:val="24"/>
        </w:rPr>
        <w:t xml:space="preserve"> and student maintenance made available to EU students,</w:t>
      </w:r>
      <w:r w:rsidR="00D9709E">
        <w:rPr>
          <w:rStyle w:val="FootnoteReference"/>
          <w:rFonts w:ascii="Times New Roman" w:hAnsi="Times New Roman" w:cs="Times New Roman"/>
          <w:sz w:val="24"/>
          <w:szCs w:val="24"/>
        </w:rPr>
        <w:footnoteReference w:id="146"/>
      </w:r>
      <w:r w:rsidR="00D9709E">
        <w:rPr>
          <w:rFonts w:ascii="Times New Roman" w:hAnsi="Times New Roman" w:cs="Times New Roman"/>
          <w:sz w:val="24"/>
          <w:szCs w:val="24"/>
        </w:rPr>
        <w:t xml:space="preserve"> where previously these had been denied.</w:t>
      </w:r>
      <w:r w:rsidR="00D9709E">
        <w:rPr>
          <w:rStyle w:val="FootnoteReference"/>
          <w:rFonts w:ascii="Times New Roman" w:hAnsi="Times New Roman" w:cs="Times New Roman"/>
          <w:sz w:val="24"/>
          <w:szCs w:val="24"/>
        </w:rPr>
        <w:footnoteReference w:id="147"/>
      </w:r>
    </w:p>
    <w:p w:rsidR="00B614D1" w:rsidRDefault="000F7D1F" w:rsidP="00B614D1">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This </w:t>
      </w:r>
      <w:r w:rsidR="004E03F7">
        <w:rPr>
          <w:rFonts w:ascii="Times New Roman" w:hAnsi="Times New Roman" w:cs="Times New Roman"/>
          <w:sz w:val="24"/>
          <w:szCs w:val="24"/>
        </w:rPr>
        <w:t>foster</w:t>
      </w:r>
      <w:r>
        <w:rPr>
          <w:rFonts w:ascii="Times New Roman" w:hAnsi="Times New Roman" w:cs="Times New Roman"/>
          <w:sz w:val="24"/>
          <w:szCs w:val="24"/>
        </w:rPr>
        <w:t>ing of</w:t>
      </w:r>
      <w:r w:rsidR="004E03F7">
        <w:rPr>
          <w:rFonts w:ascii="Times New Roman" w:hAnsi="Times New Roman" w:cs="Times New Roman"/>
          <w:sz w:val="24"/>
          <w:szCs w:val="24"/>
        </w:rPr>
        <w:t xml:space="preserve"> a European social space by ensuring non-national EU citizens’ inclusion in the national social sphere also extended to prote</w:t>
      </w:r>
      <w:r w:rsidR="00D13674">
        <w:rPr>
          <w:rFonts w:ascii="Times New Roman" w:hAnsi="Times New Roman" w:cs="Times New Roman"/>
          <w:sz w:val="24"/>
          <w:szCs w:val="24"/>
        </w:rPr>
        <w:t>cting them from expulsions</w:t>
      </w:r>
      <w:r w:rsidR="004E03F7">
        <w:rPr>
          <w:rFonts w:ascii="Times New Roman" w:hAnsi="Times New Roman" w:cs="Times New Roman"/>
          <w:sz w:val="24"/>
          <w:szCs w:val="24"/>
        </w:rPr>
        <w:t xml:space="preserve">. Thus, in </w:t>
      </w:r>
      <w:proofErr w:type="spellStart"/>
      <w:r w:rsidR="004E03F7">
        <w:rPr>
          <w:rFonts w:ascii="Times New Roman" w:hAnsi="Times New Roman" w:cs="Times New Roman"/>
          <w:i/>
          <w:sz w:val="24"/>
          <w:szCs w:val="24"/>
        </w:rPr>
        <w:t>Orfanopoulos</w:t>
      </w:r>
      <w:proofErr w:type="spellEnd"/>
      <w:r w:rsidR="004E03F7">
        <w:rPr>
          <w:rFonts w:ascii="Times New Roman" w:hAnsi="Times New Roman" w:cs="Times New Roman"/>
          <w:sz w:val="24"/>
          <w:szCs w:val="24"/>
        </w:rPr>
        <w:t>,</w:t>
      </w:r>
      <w:r w:rsidR="004E03F7">
        <w:rPr>
          <w:rStyle w:val="FootnoteReference"/>
          <w:rFonts w:ascii="Times New Roman" w:hAnsi="Times New Roman" w:cs="Times New Roman"/>
          <w:sz w:val="24"/>
          <w:szCs w:val="24"/>
        </w:rPr>
        <w:footnoteReference w:id="148"/>
      </w:r>
      <w:r w:rsidR="00B614D1">
        <w:rPr>
          <w:rFonts w:ascii="Times New Roman" w:hAnsi="Times New Roman" w:cs="Times New Roman"/>
          <w:sz w:val="24"/>
          <w:szCs w:val="24"/>
        </w:rPr>
        <w:t xml:space="preserve"> the Court held that a “</w:t>
      </w:r>
      <w:r w:rsidR="004E03F7">
        <w:rPr>
          <w:rFonts w:ascii="Times New Roman" w:hAnsi="Times New Roman" w:cs="Times New Roman"/>
          <w:sz w:val="24"/>
          <w:szCs w:val="24"/>
        </w:rPr>
        <w:t>pa</w:t>
      </w:r>
      <w:r w:rsidR="00B614D1">
        <w:rPr>
          <w:rFonts w:ascii="Times New Roman" w:hAnsi="Times New Roman" w:cs="Times New Roman"/>
          <w:sz w:val="24"/>
          <w:szCs w:val="24"/>
        </w:rPr>
        <w:t>rticularly restrictive approach”</w:t>
      </w:r>
      <w:r w:rsidR="004E03F7">
        <w:rPr>
          <w:rFonts w:ascii="Times New Roman" w:hAnsi="Times New Roman" w:cs="Times New Roman"/>
          <w:sz w:val="24"/>
          <w:szCs w:val="24"/>
        </w:rPr>
        <w:t xml:space="preserve"> to expulsions was needed </w:t>
      </w:r>
      <w:r w:rsidR="008D081E">
        <w:rPr>
          <w:rFonts w:ascii="Times New Roman" w:hAnsi="Times New Roman" w:cs="Times New Roman"/>
          <w:sz w:val="24"/>
          <w:szCs w:val="24"/>
        </w:rPr>
        <w:t>since such removals</w:t>
      </w:r>
      <w:r w:rsidR="004E03F7">
        <w:rPr>
          <w:rFonts w:ascii="Times New Roman" w:hAnsi="Times New Roman" w:cs="Times New Roman"/>
          <w:sz w:val="24"/>
          <w:szCs w:val="24"/>
        </w:rPr>
        <w:t xml:space="preserve"> constituted an obstacle to the primary free movement rights of individuals holding the fundamental status of Union citizen.</w:t>
      </w:r>
      <w:r w:rsidR="004E03F7">
        <w:rPr>
          <w:rStyle w:val="FootnoteReference"/>
          <w:rFonts w:ascii="Times New Roman" w:hAnsi="Times New Roman" w:cs="Times New Roman"/>
          <w:sz w:val="24"/>
          <w:szCs w:val="24"/>
        </w:rPr>
        <w:footnoteReference w:id="149"/>
      </w:r>
      <w:r w:rsidR="00D13674">
        <w:rPr>
          <w:rFonts w:ascii="Times New Roman" w:hAnsi="Times New Roman" w:cs="Times New Roman"/>
          <w:sz w:val="24"/>
          <w:szCs w:val="24"/>
        </w:rPr>
        <w:t xml:space="preserve"> </w:t>
      </w:r>
      <w:r w:rsidR="006B5082">
        <w:rPr>
          <w:rFonts w:ascii="Times New Roman" w:hAnsi="Times New Roman" w:cs="Times New Roman"/>
          <w:sz w:val="24"/>
          <w:szCs w:val="24"/>
        </w:rPr>
        <w:t xml:space="preserve">Later, in </w:t>
      </w:r>
      <w:proofErr w:type="spellStart"/>
      <w:r w:rsidR="006B5082">
        <w:rPr>
          <w:rFonts w:ascii="Times New Roman" w:hAnsi="Times New Roman" w:cs="Times New Roman"/>
          <w:i/>
          <w:sz w:val="24"/>
          <w:szCs w:val="24"/>
        </w:rPr>
        <w:t>Tsakouridis</w:t>
      </w:r>
      <w:proofErr w:type="spellEnd"/>
      <w:r w:rsidR="006B5082">
        <w:rPr>
          <w:rFonts w:ascii="Times New Roman" w:hAnsi="Times New Roman" w:cs="Times New Roman"/>
          <w:sz w:val="24"/>
          <w:szCs w:val="24"/>
        </w:rPr>
        <w:t>, t</w:t>
      </w:r>
      <w:r w:rsidR="00CA3A47">
        <w:rPr>
          <w:rFonts w:ascii="Times New Roman" w:hAnsi="Times New Roman" w:cs="Times New Roman"/>
          <w:sz w:val="24"/>
          <w:szCs w:val="24"/>
        </w:rPr>
        <w:t>he Court</w:t>
      </w:r>
      <w:r w:rsidR="00B614D1">
        <w:rPr>
          <w:rFonts w:ascii="Times New Roman" w:hAnsi="Times New Roman" w:cs="Times New Roman"/>
          <w:sz w:val="24"/>
          <w:szCs w:val="24"/>
        </w:rPr>
        <w:t xml:space="preserve"> also acknowledged that “</w:t>
      </w:r>
      <w:r w:rsidR="008D081E">
        <w:rPr>
          <w:rFonts w:ascii="Times New Roman" w:hAnsi="Times New Roman" w:cs="Times New Roman"/>
          <w:sz w:val="24"/>
          <w:szCs w:val="24"/>
        </w:rPr>
        <w:t>expulsion of U</w:t>
      </w:r>
      <w:r w:rsidR="006B5082">
        <w:rPr>
          <w:rFonts w:ascii="Times New Roman" w:hAnsi="Times New Roman" w:cs="Times New Roman"/>
          <w:sz w:val="24"/>
          <w:szCs w:val="24"/>
        </w:rPr>
        <w:t>nion citizens…can seriously harm persons who, having availed themselves of the rights and freedoms conferred on them by the Treaty, have become genuinely integr</w:t>
      </w:r>
      <w:r w:rsidR="00B614D1">
        <w:rPr>
          <w:rFonts w:ascii="Times New Roman" w:hAnsi="Times New Roman" w:cs="Times New Roman"/>
          <w:sz w:val="24"/>
          <w:szCs w:val="24"/>
        </w:rPr>
        <w:t>ated into the host Member State”</w:t>
      </w:r>
      <w:r w:rsidR="006B5082">
        <w:rPr>
          <w:rFonts w:ascii="Times New Roman" w:hAnsi="Times New Roman" w:cs="Times New Roman"/>
          <w:sz w:val="24"/>
          <w:szCs w:val="24"/>
        </w:rPr>
        <w:t>.</w:t>
      </w:r>
      <w:r w:rsidR="006B5082">
        <w:rPr>
          <w:rStyle w:val="FootnoteReference"/>
          <w:rFonts w:ascii="Times New Roman" w:hAnsi="Times New Roman" w:cs="Times New Roman"/>
          <w:sz w:val="24"/>
          <w:szCs w:val="24"/>
        </w:rPr>
        <w:footnoteReference w:id="150"/>
      </w:r>
      <w:r w:rsidR="00A075DE">
        <w:rPr>
          <w:rFonts w:ascii="Times New Roman" w:hAnsi="Times New Roman" w:cs="Times New Roman"/>
          <w:sz w:val="24"/>
          <w:szCs w:val="24"/>
        </w:rPr>
        <w:t xml:space="preserve"> Thus, integration was something to be maintained and protected and, seemingly, about more than just economic activity.</w:t>
      </w:r>
    </w:p>
    <w:p w:rsidR="00B614D1" w:rsidRDefault="00F32DB2" w:rsidP="00B614D1">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Nevert</w:t>
      </w:r>
      <w:r w:rsidR="000A3D2C">
        <w:rPr>
          <w:rFonts w:ascii="Times New Roman" w:hAnsi="Times New Roman" w:cs="Times New Roman"/>
          <w:sz w:val="24"/>
          <w:szCs w:val="24"/>
        </w:rPr>
        <w:t>heless, since it is has its origin</w:t>
      </w:r>
      <w:r>
        <w:rPr>
          <w:rFonts w:ascii="Times New Roman" w:hAnsi="Times New Roman" w:cs="Times New Roman"/>
          <w:sz w:val="24"/>
          <w:szCs w:val="24"/>
        </w:rPr>
        <w:t>s in the internal market, the pursuit of social integration</w:t>
      </w:r>
      <w:r w:rsidR="00FA4139">
        <w:rPr>
          <w:rFonts w:ascii="Times New Roman" w:hAnsi="Times New Roman" w:cs="Times New Roman"/>
          <w:sz w:val="24"/>
          <w:szCs w:val="24"/>
        </w:rPr>
        <w:t xml:space="preserve"> through free movement</w:t>
      </w:r>
      <w:r>
        <w:rPr>
          <w:rFonts w:ascii="Times New Roman" w:hAnsi="Times New Roman" w:cs="Times New Roman"/>
          <w:sz w:val="24"/>
          <w:szCs w:val="24"/>
        </w:rPr>
        <w:t xml:space="preserve"> is inherently lim</w:t>
      </w:r>
      <w:r w:rsidR="00D13674">
        <w:rPr>
          <w:rFonts w:ascii="Times New Roman" w:hAnsi="Times New Roman" w:cs="Times New Roman"/>
          <w:sz w:val="24"/>
          <w:szCs w:val="24"/>
        </w:rPr>
        <w:t>ited.</w:t>
      </w:r>
      <w:r>
        <w:rPr>
          <w:rFonts w:ascii="Times New Roman" w:hAnsi="Times New Roman" w:cs="Times New Roman"/>
          <w:sz w:val="24"/>
          <w:szCs w:val="24"/>
        </w:rPr>
        <w:t xml:space="preserve"> For non-economically ac</w:t>
      </w:r>
      <w:r w:rsidR="005B472C">
        <w:rPr>
          <w:rFonts w:ascii="Times New Roman" w:hAnsi="Times New Roman" w:cs="Times New Roman"/>
          <w:sz w:val="24"/>
          <w:szCs w:val="24"/>
        </w:rPr>
        <w:t xml:space="preserve">tive EU citizens, the Court </w:t>
      </w:r>
      <w:r>
        <w:rPr>
          <w:rFonts w:ascii="Times New Roman" w:hAnsi="Times New Roman" w:cs="Times New Roman"/>
          <w:sz w:val="24"/>
          <w:szCs w:val="24"/>
        </w:rPr>
        <w:t>expressly introduced integration requirements for access to host State</w:t>
      </w:r>
      <w:r w:rsidR="00B614D1">
        <w:rPr>
          <w:rFonts w:ascii="Times New Roman" w:hAnsi="Times New Roman" w:cs="Times New Roman"/>
          <w:sz w:val="24"/>
          <w:szCs w:val="24"/>
        </w:rPr>
        <w:t xml:space="preserve"> </w:t>
      </w:r>
      <w:r w:rsidR="00B614D1">
        <w:rPr>
          <w:rFonts w:ascii="Times New Roman" w:hAnsi="Times New Roman" w:cs="Times New Roman"/>
          <w:sz w:val="24"/>
          <w:szCs w:val="24"/>
        </w:rPr>
        <w:lastRenderedPageBreak/>
        <w:t>social systems, including the “real link”</w:t>
      </w:r>
      <w:r>
        <w:rPr>
          <w:rFonts w:ascii="Times New Roman" w:hAnsi="Times New Roman" w:cs="Times New Roman"/>
          <w:sz w:val="24"/>
          <w:szCs w:val="24"/>
        </w:rPr>
        <w:t xml:space="preserve"> test</w:t>
      </w:r>
      <w:r>
        <w:rPr>
          <w:rStyle w:val="FootnoteReference"/>
          <w:rFonts w:ascii="Times New Roman" w:hAnsi="Times New Roman" w:cs="Times New Roman"/>
          <w:sz w:val="24"/>
          <w:szCs w:val="24"/>
        </w:rPr>
        <w:footnoteReference w:id="151"/>
      </w:r>
      <w:r w:rsidR="00B614D1">
        <w:rPr>
          <w:rFonts w:ascii="Times New Roman" w:hAnsi="Times New Roman" w:cs="Times New Roman"/>
          <w:sz w:val="24"/>
          <w:szCs w:val="24"/>
        </w:rPr>
        <w:t xml:space="preserve"> and the “</w:t>
      </w:r>
      <w:r>
        <w:rPr>
          <w:rFonts w:ascii="Times New Roman" w:hAnsi="Times New Roman" w:cs="Times New Roman"/>
          <w:sz w:val="24"/>
          <w:szCs w:val="24"/>
        </w:rPr>
        <w:t>certain degree of</w:t>
      </w:r>
      <w:r w:rsidR="00B614D1">
        <w:rPr>
          <w:rFonts w:ascii="Times New Roman" w:hAnsi="Times New Roman" w:cs="Times New Roman"/>
          <w:sz w:val="24"/>
          <w:szCs w:val="24"/>
        </w:rPr>
        <w:t xml:space="preserve"> integration”</w:t>
      </w:r>
      <w:r>
        <w:rPr>
          <w:rFonts w:ascii="Times New Roman" w:hAnsi="Times New Roman" w:cs="Times New Roman"/>
          <w:sz w:val="24"/>
          <w:szCs w:val="24"/>
        </w:rPr>
        <w:t xml:space="preserve"> condition.</w:t>
      </w:r>
      <w:r>
        <w:rPr>
          <w:rStyle w:val="FootnoteReference"/>
          <w:rFonts w:ascii="Times New Roman" w:hAnsi="Times New Roman" w:cs="Times New Roman"/>
          <w:sz w:val="24"/>
          <w:szCs w:val="24"/>
        </w:rPr>
        <w:footnoteReference w:id="152"/>
      </w:r>
      <w:r w:rsidR="00CA3A47">
        <w:rPr>
          <w:rFonts w:ascii="Times New Roman" w:hAnsi="Times New Roman" w:cs="Times New Roman"/>
          <w:sz w:val="24"/>
          <w:szCs w:val="24"/>
        </w:rPr>
        <w:t xml:space="preserve"> More broadly, the Court</w:t>
      </w:r>
      <w:r w:rsidR="00906BA2">
        <w:rPr>
          <w:rFonts w:ascii="Times New Roman" w:hAnsi="Times New Roman" w:cs="Times New Roman"/>
          <w:sz w:val="24"/>
          <w:szCs w:val="24"/>
        </w:rPr>
        <w:t xml:space="preserve"> has m</w:t>
      </w:r>
      <w:r w:rsidR="00B614D1">
        <w:rPr>
          <w:rFonts w:ascii="Times New Roman" w:hAnsi="Times New Roman" w:cs="Times New Roman"/>
          <w:sz w:val="24"/>
          <w:szCs w:val="24"/>
        </w:rPr>
        <w:t>ade plain that integration has “qualitative elements”</w:t>
      </w:r>
      <w:r w:rsidR="001D5241">
        <w:rPr>
          <w:rFonts w:ascii="Times New Roman" w:hAnsi="Times New Roman" w:cs="Times New Roman"/>
          <w:sz w:val="24"/>
          <w:szCs w:val="24"/>
        </w:rPr>
        <w:t xml:space="preserve"> that principally</w:t>
      </w:r>
      <w:r w:rsidR="00906BA2">
        <w:rPr>
          <w:rFonts w:ascii="Times New Roman" w:hAnsi="Times New Roman" w:cs="Times New Roman"/>
          <w:sz w:val="24"/>
          <w:szCs w:val="24"/>
        </w:rPr>
        <w:t xml:space="preserve"> rest on economic activity</w:t>
      </w:r>
      <w:r w:rsidR="00906BA2">
        <w:rPr>
          <w:rStyle w:val="FootnoteReference"/>
          <w:rFonts w:ascii="Times New Roman" w:hAnsi="Times New Roman" w:cs="Times New Roman"/>
          <w:sz w:val="24"/>
          <w:szCs w:val="24"/>
        </w:rPr>
        <w:footnoteReference w:id="153"/>
      </w:r>
      <w:r w:rsidR="00AA403B">
        <w:rPr>
          <w:rFonts w:ascii="Times New Roman" w:hAnsi="Times New Roman" w:cs="Times New Roman"/>
          <w:sz w:val="24"/>
          <w:szCs w:val="24"/>
        </w:rPr>
        <w:t xml:space="preserve"> and, more </w:t>
      </w:r>
      <w:r w:rsidR="00906BA2">
        <w:rPr>
          <w:rFonts w:ascii="Times New Roman" w:hAnsi="Times New Roman" w:cs="Times New Roman"/>
          <w:sz w:val="24"/>
          <w:szCs w:val="24"/>
        </w:rPr>
        <w:t xml:space="preserve">recently, </w:t>
      </w:r>
      <w:r w:rsidR="001D5241">
        <w:rPr>
          <w:rFonts w:ascii="Times New Roman" w:hAnsi="Times New Roman" w:cs="Times New Roman"/>
          <w:sz w:val="24"/>
          <w:szCs w:val="24"/>
        </w:rPr>
        <w:t xml:space="preserve">on </w:t>
      </w:r>
      <w:r w:rsidR="00906BA2">
        <w:rPr>
          <w:rFonts w:ascii="Times New Roman" w:hAnsi="Times New Roman" w:cs="Times New Roman"/>
          <w:sz w:val="24"/>
          <w:szCs w:val="24"/>
        </w:rPr>
        <w:t>compliance with the values of the host State society as expressed in its criminal code.</w:t>
      </w:r>
      <w:r w:rsidR="00906BA2">
        <w:rPr>
          <w:rStyle w:val="FootnoteReference"/>
          <w:rFonts w:ascii="Times New Roman" w:hAnsi="Times New Roman" w:cs="Times New Roman"/>
          <w:sz w:val="24"/>
          <w:szCs w:val="24"/>
        </w:rPr>
        <w:footnoteReference w:id="154"/>
      </w:r>
      <w:r w:rsidR="00906BA2">
        <w:rPr>
          <w:rFonts w:ascii="Times New Roman" w:hAnsi="Times New Roman" w:cs="Times New Roman"/>
          <w:sz w:val="24"/>
          <w:szCs w:val="24"/>
        </w:rPr>
        <w:t xml:space="preserve">  These developments pave</w:t>
      </w:r>
      <w:r w:rsidR="00D13674">
        <w:rPr>
          <w:rFonts w:ascii="Times New Roman" w:hAnsi="Times New Roman" w:cs="Times New Roman"/>
          <w:sz w:val="24"/>
          <w:szCs w:val="24"/>
        </w:rPr>
        <w:t>d</w:t>
      </w:r>
      <w:r>
        <w:rPr>
          <w:rFonts w:ascii="Times New Roman" w:hAnsi="Times New Roman" w:cs="Times New Roman"/>
          <w:sz w:val="24"/>
          <w:szCs w:val="24"/>
        </w:rPr>
        <w:t xml:space="preserve"> the way for the co</w:t>
      </w:r>
      <w:r w:rsidR="00B614D1">
        <w:rPr>
          <w:rFonts w:ascii="Times New Roman" w:hAnsi="Times New Roman" w:cs="Times New Roman"/>
          <w:sz w:val="24"/>
          <w:szCs w:val="24"/>
        </w:rPr>
        <w:t>nversion of “social integration”</w:t>
      </w:r>
      <w:r>
        <w:rPr>
          <w:rFonts w:ascii="Times New Roman" w:hAnsi="Times New Roman" w:cs="Times New Roman"/>
          <w:sz w:val="24"/>
          <w:szCs w:val="24"/>
        </w:rPr>
        <w:t xml:space="preserve"> from a Union aim, which EU citizens could use</w:t>
      </w:r>
      <w:r w:rsidR="00A075DE">
        <w:rPr>
          <w:rFonts w:ascii="Times New Roman" w:hAnsi="Times New Roman" w:cs="Times New Roman"/>
          <w:sz w:val="24"/>
          <w:szCs w:val="24"/>
        </w:rPr>
        <w:t xml:space="preserve"> together with free movement rights</w:t>
      </w:r>
      <w:r>
        <w:rPr>
          <w:rFonts w:ascii="Times New Roman" w:hAnsi="Times New Roman" w:cs="Times New Roman"/>
          <w:sz w:val="24"/>
          <w:szCs w:val="24"/>
        </w:rPr>
        <w:t xml:space="preserve"> as a sword to access domesti</w:t>
      </w:r>
      <w:r w:rsidR="00FD2F50">
        <w:rPr>
          <w:rFonts w:ascii="Times New Roman" w:hAnsi="Times New Roman" w:cs="Times New Roman"/>
          <w:sz w:val="24"/>
          <w:szCs w:val="24"/>
        </w:rPr>
        <w:t xml:space="preserve">c social </w:t>
      </w:r>
      <w:r>
        <w:rPr>
          <w:rFonts w:ascii="Times New Roman" w:hAnsi="Times New Roman" w:cs="Times New Roman"/>
          <w:sz w:val="24"/>
          <w:szCs w:val="24"/>
        </w:rPr>
        <w:t>spaces</w:t>
      </w:r>
      <w:r w:rsidR="00FD2F50">
        <w:rPr>
          <w:rFonts w:ascii="Times New Roman" w:hAnsi="Times New Roman" w:cs="Times New Roman"/>
          <w:sz w:val="24"/>
          <w:szCs w:val="24"/>
        </w:rPr>
        <w:t>,</w:t>
      </w:r>
      <w:r>
        <w:rPr>
          <w:rFonts w:ascii="Times New Roman" w:hAnsi="Times New Roman" w:cs="Times New Roman"/>
          <w:sz w:val="24"/>
          <w:szCs w:val="24"/>
        </w:rPr>
        <w:t xml:space="preserve"> to an individual duty</w:t>
      </w:r>
      <w:r w:rsidR="00BD68AF">
        <w:rPr>
          <w:rFonts w:ascii="Times New Roman" w:hAnsi="Times New Roman" w:cs="Times New Roman"/>
          <w:sz w:val="24"/>
          <w:szCs w:val="24"/>
        </w:rPr>
        <w:t xml:space="preserve"> to contribute to one’s host State society</w:t>
      </w:r>
      <w:r>
        <w:rPr>
          <w:rFonts w:ascii="Times New Roman" w:hAnsi="Times New Roman" w:cs="Times New Roman"/>
          <w:sz w:val="24"/>
          <w:szCs w:val="24"/>
        </w:rPr>
        <w:t>, which, if not met, would leave non-national EU citizens excluded f</w:t>
      </w:r>
      <w:r w:rsidR="00CF3107">
        <w:rPr>
          <w:rFonts w:ascii="Times New Roman" w:hAnsi="Times New Roman" w:cs="Times New Roman"/>
          <w:sz w:val="24"/>
          <w:szCs w:val="24"/>
        </w:rPr>
        <w:t>rom national social assistance.</w:t>
      </w:r>
      <w:r w:rsidR="00BD68AF">
        <w:rPr>
          <w:rFonts w:ascii="Times New Roman" w:hAnsi="Times New Roman" w:cs="Times New Roman"/>
          <w:sz w:val="24"/>
          <w:szCs w:val="24"/>
        </w:rPr>
        <w:t xml:space="preserve"> Moreover, the notion of integrating in host State generally boils down to economic activity.</w:t>
      </w:r>
      <w:r w:rsidR="00EF1683">
        <w:rPr>
          <w:rFonts w:ascii="Times New Roman" w:hAnsi="Times New Roman" w:cs="Times New Roman"/>
          <w:sz w:val="24"/>
          <w:szCs w:val="24"/>
        </w:rPr>
        <w:t xml:space="preserve"> I</w:t>
      </w:r>
      <w:r w:rsidR="00FD2F50">
        <w:rPr>
          <w:rFonts w:ascii="Times New Roman" w:hAnsi="Times New Roman" w:cs="Times New Roman"/>
          <w:sz w:val="24"/>
          <w:szCs w:val="24"/>
        </w:rPr>
        <w:t xml:space="preserve">n </w:t>
      </w:r>
      <w:r w:rsidR="00FD2F50">
        <w:rPr>
          <w:rFonts w:ascii="Times New Roman" w:hAnsi="Times New Roman" w:cs="Times New Roman"/>
          <w:i/>
          <w:sz w:val="24"/>
          <w:szCs w:val="24"/>
        </w:rPr>
        <w:t>Commission v Netherlands</w:t>
      </w:r>
      <w:r w:rsidR="00CA3A47">
        <w:rPr>
          <w:rFonts w:ascii="Times New Roman" w:hAnsi="Times New Roman" w:cs="Times New Roman"/>
          <w:sz w:val="24"/>
          <w:szCs w:val="24"/>
        </w:rPr>
        <w:t>, the Court</w:t>
      </w:r>
      <w:r w:rsidR="00FD2F50">
        <w:rPr>
          <w:rFonts w:ascii="Times New Roman" w:hAnsi="Times New Roman" w:cs="Times New Roman"/>
          <w:sz w:val="24"/>
          <w:szCs w:val="24"/>
        </w:rPr>
        <w:t xml:space="preserve"> e</w:t>
      </w:r>
      <w:r w:rsidR="00B614D1">
        <w:rPr>
          <w:rFonts w:ascii="Times New Roman" w:hAnsi="Times New Roman" w:cs="Times New Roman"/>
          <w:sz w:val="24"/>
          <w:szCs w:val="24"/>
        </w:rPr>
        <w:t xml:space="preserve">xplained: </w:t>
      </w:r>
      <w:r w:rsidR="00B614D1" w:rsidRPr="00B614D1">
        <w:rPr>
          <w:rFonts w:ascii="Times New Roman" w:hAnsi="Times New Roman" w:cs="Times New Roman"/>
          <w:sz w:val="24"/>
          <w:szCs w:val="24"/>
        </w:rPr>
        <w:t>“</w:t>
      </w:r>
      <w:r w:rsidR="00FD2F50" w:rsidRPr="00B614D1">
        <w:rPr>
          <w:rFonts w:ascii="Times New Roman" w:hAnsi="Times New Roman" w:cs="Times New Roman"/>
          <w:sz w:val="24"/>
          <w:szCs w:val="24"/>
        </w:rPr>
        <w:t>The link of integration arises from…the fact that, through the taxes which he pays in the host Member State by virtue of his employment, the migrant worker also contributes to the financing of the social policies of that State and should profit from them under the same conditions as national workers</w:t>
      </w:r>
      <w:r w:rsidR="00B614D1" w:rsidRPr="00B614D1">
        <w:rPr>
          <w:rFonts w:ascii="Times New Roman" w:hAnsi="Times New Roman" w:cs="Times New Roman"/>
          <w:sz w:val="24"/>
          <w:szCs w:val="24"/>
        </w:rPr>
        <w:t>”</w:t>
      </w:r>
      <w:r w:rsidR="00FD2F50" w:rsidRPr="00B614D1">
        <w:rPr>
          <w:rFonts w:ascii="Times New Roman" w:hAnsi="Times New Roman" w:cs="Times New Roman"/>
          <w:sz w:val="24"/>
          <w:szCs w:val="24"/>
        </w:rPr>
        <w:t>.</w:t>
      </w:r>
      <w:r w:rsidR="00FD2F50" w:rsidRPr="00B614D1">
        <w:rPr>
          <w:rStyle w:val="FootnoteReference"/>
          <w:rFonts w:ascii="Times New Roman" w:hAnsi="Times New Roman" w:cs="Times New Roman"/>
          <w:sz w:val="24"/>
          <w:szCs w:val="24"/>
        </w:rPr>
        <w:footnoteReference w:id="155"/>
      </w:r>
      <w:r w:rsidR="00B614D1">
        <w:rPr>
          <w:rFonts w:ascii="Times New Roman" w:hAnsi="Times New Roman" w:cs="Times New Roman"/>
          <w:sz w:val="24"/>
          <w:szCs w:val="24"/>
        </w:rPr>
        <w:t xml:space="preserve"> </w:t>
      </w:r>
    </w:p>
    <w:p w:rsidR="00B614D1" w:rsidRDefault="00A075DE" w:rsidP="00B614D1">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Thus, while</w:t>
      </w:r>
      <w:r w:rsidR="00B614D1">
        <w:rPr>
          <w:rFonts w:ascii="Times New Roman" w:hAnsi="Times New Roman" w:cs="Times New Roman"/>
          <w:sz w:val="24"/>
          <w:szCs w:val="24"/>
        </w:rPr>
        <w:t xml:space="preserve"> the notion of a</w:t>
      </w:r>
      <w:r>
        <w:rPr>
          <w:rFonts w:ascii="Times New Roman" w:hAnsi="Times New Roman" w:cs="Times New Roman"/>
          <w:sz w:val="24"/>
          <w:szCs w:val="24"/>
        </w:rPr>
        <w:t xml:space="preserve"> Union citizenship </w:t>
      </w:r>
      <w:r w:rsidR="00B614D1">
        <w:rPr>
          <w:rFonts w:ascii="Times New Roman" w:hAnsi="Times New Roman" w:cs="Times New Roman"/>
          <w:sz w:val="24"/>
          <w:szCs w:val="24"/>
        </w:rPr>
        <w:t xml:space="preserve">might seem </w:t>
      </w:r>
      <w:r>
        <w:rPr>
          <w:rFonts w:ascii="Times New Roman" w:hAnsi="Times New Roman" w:cs="Times New Roman"/>
          <w:sz w:val="24"/>
          <w:szCs w:val="24"/>
        </w:rPr>
        <w:t>intrinsically</w:t>
      </w:r>
      <w:r w:rsidR="00B614D1">
        <w:rPr>
          <w:rFonts w:ascii="Times New Roman" w:hAnsi="Times New Roman" w:cs="Times New Roman"/>
          <w:sz w:val="24"/>
          <w:szCs w:val="24"/>
        </w:rPr>
        <w:t xml:space="preserve"> connected</w:t>
      </w:r>
      <w:r>
        <w:rPr>
          <w:rFonts w:ascii="Times New Roman" w:hAnsi="Times New Roman" w:cs="Times New Roman"/>
          <w:sz w:val="24"/>
          <w:szCs w:val="24"/>
        </w:rPr>
        <w:t xml:space="preserve"> to the concept of ‘social integration’, its origins in the internal market have</w:t>
      </w:r>
      <w:r w:rsidR="007A356D">
        <w:rPr>
          <w:rFonts w:ascii="Times New Roman" w:hAnsi="Times New Roman" w:cs="Times New Roman"/>
          <w:sz w:val="24"/>
          <w:szCs w:val="24"/>
        </w:rPr>
        <w:t xml:space="preserve"> </w:t>
      </w:r>
      <w:r>
        <w:rPr>
          <w:rFonts w:ascii="Times New Roman" w:hAnsi="Times New Roman" w:cs="Times New Roman"/>
          <w:sz w:val="24"/>
          <w:szCs w:val="24"/>
        </w:rPr>
        <w:t>meant</w:t>
      </w:r>
      <w:r w:rsidR="007A356D">
        <w:rPr>
          <w:rFonts w:ascii="Times New Roman" w:hAnsi="Times New Roman" w:cs="Times New Roman"/>
          <w:sz w:val="24"/>
          <w:szCs w:val="24"/>
        </w:rPr>
        <w:t xml:space="preserve"> that</w:t>
      </w:r>
      <w:r>
        <w:rPr>
          <w:rFonts w:ascii="Times New Roman" w:hAnsi="Times New Roman" w:cs="Times New Roman"/>
          <w:sz w:val="24"/>
          <w:szCs w:val="24"/>
        </w:rPr>
        <w:t xml:space="preserve"> what it offers, in </w:t>
      </w:r>
      <w:r w:rsidR="0099029E">
        <w:rPr>
          <w:rFonts w:ascii="Times New Roman" w:hAnsi="Times New Roman" w:cs="Times New Roman"/>
          <w:sz w:val="24"/>
          <w:szCs w:val="24"/>
        </w:rPr>
        <w:t>practice, has always been</w:t>
      </w:r>
      <w:r>
        <w:rPr>
          <w:rFonts w:ascii="Times New Roman" w:hAnsi="Times New Roman" w:cs="Times New Roman"/>
          <w:sz w:val="24"/>
          <w:szCs w:val="24"/>
        </w:rPr>
        <w:t xml:space="preserve"> more limited. </w:t>
      </w:r>
      <w:r w:rsidR="007230CC">
        <w:rPr>
          <w:rFonts w:ascii="Times New Roman" w:hAnsi="Times New Roman" w:cs="Times New Roman"/>
          <w:sz w:val="24"/>
          <w:szCs w:val="24"/>
        </w:rPr>
        <w:t xml:space="preserve">While at first glance, the </w:t>
      </w:r>
      <w:proofErr w:type="spellStart"/>
      <w:r w:rsidR="007230CC">
        <w:rPr>
          <w:rFonts w:ascii="Times New Roman" w:hAnsi="Times New Roman" w:cs="Times New Roman"/>
          <w:i/>
          <w:sz w:val="24"/>
          <w:szCs w:val="24"/>
        </w:rPr>
        <w:t>Grzelczyk</w:t>
      </w:r>
      <w:proofErr w:type="spellEnd"/>
      <w:r w:rsidR="007230CC">
        <w:rPr>
          <w:rFonts w:ascii="Times New Roman" w:hAnsi="Times New Roman" w:cs="Times New Roman"/>
          <w:i/>
          <w:sz w:val="24"/>
          <w:szCs w:val="24"/>
        </w:rPr>
        <w:t xml:space="preserve"> </w:t>
      </w:r>
      <w:r w:rsidR="007230CC">
        <w:rPr>
          <w:rFonts w:ascii="Times New Roman" w:hAnsi="Times New Roman" w:cs="Times New Roman"/>
          <w:sz w:val="24"/>
          <w:szCs w:val="24"/>
        </w:rPr>
        <w:t>case might indeed indicate a re-drawing of the boundaries of solidarity as regards non-economically active Union citizens, this was limited</w:t>
      </w:r>
      <w:r w:rsidR="00B614D1">
        <w:rPr>
          <w:rFonts w:ascii="Times New Roman" w:hAnsi="Times New Roman" w:cs="Times New Roman"/>
          <w:sz w:val="24"/>
          <w:szCs w:val="24"/>
        </w:rPr>
        <w:t>, in practice,</w:t>
      </w:r>
      <w:r w:rsidR="007230CC">
        <w:rPr>
          <w:rFonts w:ascii="Times New Roman" w:hAnsi="Times New Roman" w:cs="Times New Roman"/>
          <w:sz w:val="24"/>
          <w:szCs w:val="24"/>
        </w:rPr>
        <w:t xml:space="preserve"> to financial solidarity for a temporary period. As O’Brien argues, this does ‘not amount to a direct entitlement for non-nationals to equal treatment, but to a much more muted right to have restrictions on benefit eligibility applied proportionality’.</w:t>
      </w:r>
      <w:r w:rsidR="007230CC">
        <w:rPr>
          <w:rStyle w:val="FootnoteReference"/>
          <w:rFonts w:ascii="Times New Roman" w:hAnsi="Times New Roman" w:cs="Times New Roman"/>
          <w:sz w:val="24"/>
          <w:szCs w:val="24"/>
        </w:rPr>
        <w:footnoteReference w:id="156"/>
      </w:r>
      <w:r w:rsidR="007E322C">
        <w:rPr>
          <w:rFonts w:ascii="Times New Roman" w:hAnsi="Times New Roman" w:cs="Times New Roman"/>
          <w:sz w:val="24"/>
          <w:szCs w:val="24"/>
        </w:rPr>
        <w:t xml:space="preserve"> </w:t>
      </w:r>
      <w:proofErr w:type="spellStart"/>
      <w:r w:rsidR="00B8044C">
        <w:rPr>
          <w:rFonts w:ascii="Times New Roman" w:hAnsi="Times New Roman" w:cs="Times New Roman"/>
          <w:i/>
          <w:sz w:val="24"/>
          <w:szCs w:val="24"/>
        </w:rPr>
        <w:t>Trojani</w:t>
      </w:r>
      <w:proofErr w:type="spellEnd"/>
      <w:r w:rsidR="00B8044C">
        <w:rPr>
          <w:rFonts w:ascii="Times New Roman" w:hAnsi="Times New Roman" w:cs="Times New Roman"/>
          <w:sz w:val="24"/>
          <w:szCs w:val="24"/>
        </w:rPr>
        <w:t xml:space="preserve"> made plain that a non-national EU citizen could still be viewed as a potential burden on national social assistance schemes.</w:t>
      </w:r>
      <w:r w:rsidR="000F7D1F">
        <w:rPr>
          <w:rStyle w:val="FootnoteReference"/>
          <w:rFonts w:ascii="Times New Roman" w:hAnsi="Times New Roman" w:cs="Times New Roman"/>
          <w:sz w:val="24"/>
          <w:szCs w:val="24"/>
        </w:rPr>
        <w:footnoteReference w:id="157"/>
      </w:r>
      <w:r w:rsidR="00B8044C">
        <w:rPr>
          <w:rFonts w:ascii="Times New Roman" w:hAnsi="Times New Roman" w:cs="Times New Roman"/>
          <w:sz w:val="24"/>
          <w:szCs w:val="24"/>
        </w:rPr>
        <w:t xml:space="preserve"> Subject to proportionality assessments, if a non-ec</w:t>
      </w:r>
      <w:r w:rsidR="003D23C7">
        <w:rPr>
          <w:rFonts w:ascii="Times New Roman" w:hAnsi="Times New Roman" w:cs="Times New Roman"/>
          <w:sz w:val="24"/>
          <w:szCs w:val="24"/>
        </w:rPr>
        <w:t>onomically active EU citizen were</w:t>
      </w:r>
      <w:r w:rsidR="00B8044C">
        <w:rPr>
          <w:rFonts w:ascii="Times New Roman" w:hAnsi="Times New Roman" w:cs="Times New Roman"/>
          <w:sz w:val="24"/>
          <w:szCs w:val="24"/>
        </w:rPr>
        <w:t xml:space="preserve"> not se</w:t>
      </w:r>
      <w:r w:rsidR="00CB1BCA">
        <w:rPr>
          <w:rFonts w:ascii="Times New Roman" w:hAnsi="Times New Roman" w:cs="Times New Roman"/>
          <w:sz w:val="24"/>
          <w:szCs w:val="24"/>
        </w:rPr>
        <w:t xml:space="preserve">lf-sufficient, they could </w:t>
      </w:r>
      <w:r w:rsidR="00B8044C">
        <w:rPr>
          <w:rFonts w:ascii="Times New Roman" w:hAnsi="Times New Roman" w:cs="Times New Roman"/>
          <w:sz w:val="24"/>
          <w:szCs w:val="24"/>
        </w:rPr>
        <w:t>be found not to be legally resident and therefore not to be entitled to equal treatment within the domestic social space.</w:t>
      </w:r>
      <w:r w:rsidR="007E322C">
        <w:rPr>
          <w:rFonts w:ascii="Times New Roman" w:hAnsi="Times New Roman" w:cs="Times New Roman"/>
          <w:sz w:val="24"/>
          <w:szCs w:val="24"/>
        </w:rPr>
        <w:t xml:space="preserve"> Removals from the host State could merely not be the ‘automatic’ consequence of a request for social assistance.</w:t>
      </w:r>
      <w:r w:rsidR="007E322C">
        <w:rPr>
          <w:rStyle w:val="FootnoteReference"/>
          <w:rFonts w:ascii="Times New Roman" w:hAnsi="Times New Roman" w:cs="Times New Roman"/>
          <w:sz w:val="24"/>
          <w:szCs w:val="24"/>
        </w:rPr>
        <w:footnoteReference w:id="158"/>
      </w:r>
      <w:r w:rsidR="00B8044C">
        <w:rPr>
          <w:rFonts w:ascii="Times New Roman" w:hAnsi="Times New Roman" w:cs="Times New Roman"/>
          <w:sz w:val="24"/>
          <w:szCs w:val="24"/>
        </w:rPr>
        <w:t xml:space="preserve"> </w:t>
      </w:r>
      <w:r w:rsidR="00637490">
        <w:rPr>
          <w:rFonts w:ascii="Times New Roman" w:hAnsi="Times New Roman" w:cs="Times New Roman"/>
          <w:sz w:val="24"/>
          <w:szCs w:val="24"/>
        </w:rPr>
        <w:t>Accordingly,</w:t>
      </w:r>
      <w:r w:rsidR="00AD778F">
        <w:rPr>
          <w:rFonts w:ascii="Times New Roman" w:hAnsi="Times New Roman" w:cs="Times New Roman"/>
          <w:sz w:val="24"/>
          <w:szCs w:val="24"/>
        </w:rPr>
        <w:t xml:space="preserve"> Union citizenship appears, at best, to offer individuals the opportunity to demonstrate that they qualify for</w:t>
      </w:r>
      <w:r w:rsidR="007A356D">
        <w:rPr>
          <w:rFonts w:ascii="Times New Roman" w:hAnsi="Times New Roman" w:cs="Times New Roman"/>
          <w:sz w:val="24"/>
          <w:szCs w:val="24"/>
        </w:rPr>
        <w:t xml:space="preserve"> access to</w:t>
      </w:r>
      <w:r w:rsidR="00AD778F">
        <w:rPr>
          <w:rFonts w:ascii="Times New Roman" w:hAnsi="Times New Roman" w:cs="Times New Roman"/>
          <w:sz w:val="24"/>
          <w:szCs w:val="24"/>
        </w:rPr>
        <w:t xml:space="preserve"> national solidarity mechanisms, rather than redefine the boundaries of </w:t>
      </w:r>
      <w:r w:rsidR="007A356D">
        <w:rPr>
          <w:rFonts w:ascii="Times New Roman" w:hAnsi="Times New Roman" w:cs="Times New Roman"/>
          <w:sz w:val="24"/>
          <w:szCs w:val="24"/>
        </w:rPr>
        <w:lastRenderedPageBreak/>
        <w:t xml:space="preserve">(national) </w:t>
      </w:r>
      <w:r w:rsidR="00AD778F">
        <w:rPr>
          <w:rFonts w:ascii="Times New Roman" w:hAnsi="Times New Roman" w:cs="Times New Roman"/>
          <w:sz w:val="24"/>
          <w:szCs w:val="24"/>
        </w:rPr>
        <w:t>solidarity itself.</w:t>
      </w:r>
      <w:r w:rsidR="007A356D" w:rsidRPr="007A356D">
        <w:rPr>
          <w:rStyle w:val="FootnoteReference"/>
          <w:rFonts w:ascii="Times New Roman" w:hAnsi="Times New Roman" w:cs="Times New Roman"/>
          <w:sz w:val="24"/>
          <w:szCs w:val="24"/>
        </w:rPr>
        <w:footnoteReference w:id="159"/>
      </w:r>
      <w:r w:rsidR="00C40F9B">
        <w:rPr>
          <w:rFonts w:ascii="Times New Roman" w:hAnsi="Times New Roman" w:cs="Times New Roman"/>
          <w:sz w:val="24"/>
          <w:szCs w:val="24"/>
        </w:rPr>
        <w:t xml:space="preserve"> Any</w:t>
      </w:r>
      <w:r w:rsidR="00637490">
        <w:rPr>
          <w:rFonts w:ascii="Times New Roman" w:hAnsi="Times New Roman" w:cs="Times New Roman"/>
          <w:sz w:val="24"/>
          <w:szCs w:val="24"/>
        </w:rPr>
        <w:t xml:space="preserve"> </w:t>
      </w:r>
      <w:r w:rsidR="0060684A">
        <w:rPr>
          <w:rFonts w:ascii="Times New Roman" w:hAnsi="Times New Roman" w:cs="Times New Roman"/>
          <w:sz w:val="24"/>
          <w:szCs w:val="24"/>
        </w:rPr>
        <w:t>“</w:t>
      </w:r>
      <w:r w:rsidR="00637490">
        <w:rPr>
          <w:rFonts w:ascii="Times New Roman" w:hAnsi="Times New Roman" w:cs="Times New Roman"/>
          <w:sz w:val="24"/>
          <w:szCs w:val="24"/>
        </w:rPr>
        <w:t>E</w:t>
      </w:r>
      <w:r w:rsidR="00C40F9B">
        <w:rPr>
          <w:rFonts w:ascii="Times New Roman" w:hAnsi="Times New Roman" w:cs="Times New Roman"/>
          <w:sz w:val="24"/>
          <w:szCs w:val="24"/>
        </w:rPr>
        <w:t xml:space="preserve">uropean </w:t>
      </w:r>
      <w:r w:rsidR="0060684A">
        <w:rPr>
          <w:rFonts w:ascii="Times New Roman" w:hAnsi="Times New Roman" w:cs="Times New Roman"/>
          <w:sz w:val="24"/>
          <w:szCs w:val="24"/>
        </w:rPr>
        <w:t>social space”</w:t>
      </w:r>
      <w:r w:rsidR="00637490">
        <w:rPr>
          <w:rFonts w:ascii="Times New Roman" w:hAnsi="Times New Roman" w:cs="Times New Roman"/>
          <w:sz w:val="24"/>
          <w:szCs w:val="24"/>
        </w:rPr>
        <w:t xml:space="preserve"> created through this process is generally only accessible to those who are economically active or can demonstrate their integration into</w:t>
      </w:r>
      <w:r w:rsidR="00574A48">
        <w:rPr>
          <w:rFonts w:ascii="Times New Roman" w:hAnsi="Times New Roman" w:cs="Times New Roman"/>
          <w:sz w:val="24"/>
          <w:szCs w:val="24"/>
        </w:rPr>
        <w:t xml:space="preserve"> the host State under other </w:t>
      </w:r>
      <w:r w:rsidR="00637490">
        <w:rPr>
          <w:rFonts w:ascii="Times New Roman" w:hAnsi="Times New Roman" w:cs="Times New Roman"/>
          <w:sz w:val="24"/>
          <w:szCs w:val="24"/>
        </w:rPr>
        <w:t>more limited circumstances</w:t>
      </w:r>
      <w:r w:rsidR="00C40F9B">
        <w:rPr>
          <w:rFonts w:ascii="Times New Roman" w:hAnsi="Times New Roman" w:cs="Times New Roman"/>
          <w:sz w:val="24"/>
          <w:szCs w:val="24"/>
        </w:rPr>
        <w:t>, calling into question whether it is a truly ‘social’, rather than market-focused, space at all.</w:t>
      </w:r>
      <w:r w:rsidR="00637490">
        <w:rPr>
          <w:rFonts w:ascii="Times New Roman" w:hAnsi="Times New Roman" w:cs="Times New Roman"/>
          <w:sz w:val="24"/>
          <w:szCs w:val="24"/>
        </w:rPr>
        <w:t xml:space="preserve"> </w:t>
      </w:r>
      <w:r w:rsidR="00B8044C">
        <w:rPr>
          <w:rFonts w:ascii="Times New Roman" w:hAnsi="Times New Roman" w:cs="Times New Roman"/>
          <w:sz w:val="24"/>
          <w:szCs w:val="24"/>
        </w:rPr>
        <w:t xml:space="preserve">Interestingly, the Opinion of Advocate General </w:t>
      </w:r>
      <w:proofErr w:type="spellStart"/>
      <w:r w:rsidR="00B8044C">
        <w:rPr>
          <w:rFonts w:ascii="Times New Roman" w:hAnsi="Times New Roman" w:cs="Times New Roman"/>
          <w:sz w:val="24"/>
          <w:szCs w:val="24"/>
        </w:rPr>
        <w:t>Geelhoed</w:t>
      </w:r>
      <w:proofErr w:type="spellEnd"/>
      <w:r w:rsidR="00B8044C">
        <w:rPr>
          <w:rFonts w:ascii="Times New Roman" w:hAnsi="Times New Roman" w:cs="Times New Roman"/>
          <w:sz w:val="24"/>
          <w:szCs w:val="24"/>
        </w:rPr>
        <w:t xml:space="preserve"> in</w:t>
      </w:r>
      <w:r w:rsidR="00574A48">
        <w:rPr>
          <w:rFonts w:ascii="Times New Roman" w:hAnsi="Times New Roman" w:cs="Times New Roman"/>
          <w:sz w:val="24"/>
          <w:szCs w:val="24"/>
        </w:rPr>
        <w:t xml:space="preserve"> </w:t>
      </w:r>
      <w:proofErr w:type="spellStart"/>
      <w:r w:rsidR="00574A48">
        <w:rPr>
          <w:rFonts w:ascii="Times New Roman" w:hAnsi="Times New Roman" w:cs="Times New Roman"/>
          <w:i/>
          <w:sz w:val="24"/>
          <w:szCs w:val="24"/>
        </w:rPr>
        <w:t>Trojani</w:t>
      </w:r>
      <w:proofErr w:type="spellEnd"/>
      <w:r w:rsidR="00B8044C">
        <w:rPr>
          <w:rFonts w:ascii="Times New Roman" w:hAnsi="Times New Roman" w:cs="Times New Roman"/>
          <w:sz w:val="24"/>
          <w:szCs w:val="24"/>
        </w:rPr>
        <w:t xml:space="preserve"> appears to situate this approach within</w:t>
      </w:r>
      <w:r w:rsidR="00B614D1">
        <w:rPr>
          <w:rFonts w:ascii="Times New Roman" w:hAnsi="Times New Roman" w:cs="Times New Roman"/>
          <w:sz w:val="24"/>
          <w:szCs w:val="24"/>
        </w:rPr>
        <w:t xml:space="preserve"> the economic/social dichotomy: </w:t>
      </w:r>
      <w:r w:rsidR="00B614D1" w:rsidRPr="00B614D1">
        <w:rPr>
          <w:rFonts w:ascii="Times New Roman" w:hAnsi="Times New Roman" w:cs="Times New Roman"/>
          <w:sz w:val="24"/>
          <w:szCs w:val="24"/>
        </w:rPr>
        <w:t>“</w:t>
      </w:r>
      <w:r w:rsidR="00E929A4" w:rsidRPr="00B614D1">
        <w:rPr>
          <w:rFonts w:ascii="Times New Roman" w:hAnsi="Times New Roman" w:cs="Times New Roman"/>
          <w:sz w:val="24"/>
          <w:szCs w:val="24"/>
        </w:rPr>
        <w:t>So long as social security systems have not been harmonised…there remains a risk of</w:t>
      </w:r>
      <w:r w:rsidR="00B8044C" w:rsidRPr="00B614D1">
        <w:rPr>
          <w:rFonts w:ascii="Times New Roman" w:hAnsi="Times New Roman" w:cs="Times New Roman"/>
          <w:sz w:val="24"/>
          <w:szCs w:val="24"/>
        </w:rPr>
        <w:t xml:space="preserve"> social tourism… </w:t>
      </w:r>
      <w:r w:rsidR="00D908A4" w:rsidRPr="00B614D1">
        <w:rPr>
          <w:rFonts w:ascii="Times New Roman" w:hAnsi="Times New Roman" w:cs="Times New Roman"/>
          <w:sz w:val="24"/>
          <w:szCs w:val="24"/>
        </w:rPr>
        <w:t>And that is certainly not the intention of the EC Treaty, which to a considerable extent leaves responsibility for social policy in the hands of the Member States</w:t>
      </w:r>
      <w:r w:rsidR="00B614D1" w:rsidRPr="00B614D1">
        <w:rPr>
          <w:rFonts w:ascii="Times New Roman" w:hAnsi="Times New Roman" w:cs="Times New Roman"/>
          <w:sz w:val="24"/>
          <w:szCs w:val="24"/>
        </w:rPr>
        <w:t>”</w:t>
      </w:r>
      <w:r w:rsidR="00D908A4" w:rsidRPr="00B614D1">
        <w:rPr>
          <w:rFonts w:ascii="Times New Roman" w:hAnsi="Times New Roman" w:cs="Times New Roman"/>
          <w:sz w:val="24"/>
          <w:szCs w:val="24"/>
        </w:rPr>
        <w:t>.</w:t>
      </w:r>
      <w:r w:rsidR="00D908A4" w:rsidRPr="00B614D1">
        <w:rPr>
          <w:rStyle w:val="FootnoteReference"/>
          <w:rFonts w:ascii="Times New Roman" w:hAnsi="Times New Roman" w:cs="Times New Roman"/>
          <w:sz w:val="24"/>
          <w:szCs w:val="24"/>
        </w:rPr>
        <w:footnoteReference w:id="160"/>
      </w:r>
    </w:p>
    <w:p w:rsidR="00F143A3" w:rsidRDefault="007157A4" w:rsidP="00B614D1">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The Court</w:t>
      </w:r>
      <w:r w:rsidR="00FA4139">
        <w:rPr>
          <w:rFonts w:ascii="Times New Roman" w:hAnsi="Times New Roman" w:cs="Times New Roman"/>
          <w:sz w:val="24"/>
          <w:szCs w:val="24"/>
        </w:rPr>
        <w:t xml:space="preserve"> itself has</w:t>
      </w:r>
      <w:r>
        <w:rPr>
          <w:rFonts w:ascii="Times New Roman" w:hAnsi="Times New Roman" w:cs="Times New Roman"/>
          <w:sz w:val="24"/>
          <w:szCs w:val="24"/>
        </w:rPr>
        <w:t xml:space="preserve"> also endorsed the argument that Member States should be</w:t>
      </w:r>
      <w:r w:rsidR="00B614D1">
        <w:rPr>
          <w:rFonts w:ascii="Times New Roman" w:hAnsi="Times New Roman" w:cs="Times New Roman"/>
          <w:sz w:val="24"/>
          <w:szCs w:val="24"/>
        </w:rPr>
        <w:t xml:space="preserve"> able</w:t>
      </w:r>
      <w:r>
        <w:rPr>
          <w:rFonts w:ascii="Times New Roman" w:hAnsi="Times New Roman" w:cs="Times New Roman"/>
          <w:sz w:val="24"/>
          <w:szCs w:val="24"/>
        </w:rPr>
        <w:t xml:space="preserve"> to ensure that providing assistance to non-economically active EU citizens d</w:t>
      </w:r>
      <w:r w:rsidR="00FA4139">
        <w:rPr>
          <w:rFonts w:ascii="Times New Roman" w:hAnsi="Times New Roman" w:cs="Times New Roman"/>
          <w:sz w:val="24"/>
          <w:szCs w:val="24"/>
        </w:rPr>
        <w:t>oes</w:t>
      </w:r>
      <w:r>
        <w:rPr>
          <w:rFonts w:ascii="Times New Roman" w:hAnsi="Times New Roman" w:cs="Times New Roman"/>
          <w:sz w:val="24"/>
          <w:szCs w:val="24"/>
        </w:rPr>
        <w:t xml:space="preserve"> not have ‘consequences for the overall level of assistance tha</w:t>
      </w:r>
      <w:r w:rsidR="00C13E53">
        <w:rPr>
          <w:rFonts w:ascii="Times New Roman" w:hAnsi="Times New Roman" w:cs="Times New Roman"/>
          <w:sz w:val="24"/>
          <w:szCs w:val="24"/>
        </w:rPr>
        <w:t>t may be granted by that State’,</w:t>
      </w:r>
      <w:r>
        <w:rPr>
          <w:rStyle w:val="FootnoteReference"/>
          <w:rFonts w:ascii="Times New Roman" w:hAnsi="Times New Roman" w:cs="Times New Roman"/>
          <w:sz w:val="24"/>
          <w:szCs w:val="24"/>
        </w:rPr>
        <w:footnoteReference w:id="161"/>
      </w:r>
      <w:r w:rsidR="00C13E53">
        <w:rPr>
          <w:rFonts w:ascii="Times New Roman" w:hAnsi="Times New Roman" w:cs="Times New Roman"/>
          <w:sz w:val="24"/>
          <w:szCs w:val="24"/>
        </w:rPr>
        <w:t xml:space="preserve"> where historically economic justifications for restrictions on free movement have not been permitted.</w:t>
      </w:r>
      <w:r w:rsidR="00C13E53">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Acceptance</w:t>
      </w:r>
      <w:r w:rsidR="00FA4139">
        <w:rPr>
          <w:rFonts w:ascii="Times New Roman" w:hAnsi="Times New Roman" w:cs="Times New Roman"/>
          <w:sz w:val="24"/>
          <w:szCs w:val="24"/>
        </w:rPr>
        <w:t xml:space="preserve"> by the Union’s judicial branch</w:t>
      </w:r>
      <w:r>
        <w:rPr>
          <w:rFonts w:ascii="Times New Roman" w:hAnsi="Times New Roman" w:cs="Times New Roman"/>
          <w:sz w:val="24"/>
          <w:szCs w:val="24"/>
        </w:rPr>
        <w:t xml:space="preserve"> of the existence of social tourism, alongside the continued prioritisation of econom</w:t>
      </w:r>
      <w:r w:rsidR="00340474">
        <w:rPr>
          <w:rFonts w:ascii="Times New Roman" w:hAnsi="Times New Roman" w:cs="Times New Roman"/>
          <w:sz w:val="24"/>
          <w:szCs w:val="24"/>
        </w:rPr>
        <w:t>ic activity as a route to wider</w:t>
      </w:r>
      <w:r>
        <w:rPr>
          <w:rFonts w:ascii="Times New Roman" w:hAnsi="Times New Roman" w:cs="Times New Roman"/>
          <w:sz w:val="24"/>
          <w:szCs w:val="24"/>
        </w:rPr>
        <w:t xml:space="preserve"> inte</w:t>
      </w:r>
      <w:r w:rsidR="00FA4139">
        <w:rPr>
          <w:rFonts w:ascii="Times New Roman" w:hAnsi="Times New Roman" w:cs="Times New Roman"/>
          <w:sz w:val="24"/>
          <w:szCs w:val="24"/>
        </w:rPr>
        <w:t>gration, meant that when the political winds changed –</w:t>
      </w:r>
      <w:r>
        <w:rPr>
          <w:rFonts w:ascii="Times New Roman" w:hAnsi="Times New Roman" w:cs="Times New Roman"/>
          <w:sz w:val="24"/>
          <w:szCs w:val="24"/>
        </w:rPr>
        <w:t xml:space="preserve"> against a</w:t>
      </w:r>
      <w:r w:rsidR="00340474">
        <w:rPr>
          <w:rFonts w:ascii="Times New Roman" w:hAnsi="Times New Roman" w:cs="Times New Roman"/>
          <w:sz w:val="24"/>
          <w:szCs w:val="24"/>
        </w:rPr>
        <w:t xml:space="preserve"> broader</w:t>
      </w:r>
      <w:r>
        <w:rPr>
          <w:rFonts w:ascii="Times New Roman" w:hAnsi="Times New Roman" w:cs="Times New Roman"/>
          <w:sz w:val="24"/>
          <w:szCs w:val="24"/>
        </w:rPr>
        <w:t xml:space="preserve"> backdrop of global economic crisis, connected concerns about the Eurozone</w:t>
      </w:r>
      <w:r>
        <w:rPr>
          <w:rStyle w:val="FootnoteReference"/>
          <w:rFonts w:ascii="Times New Roman" w:hAnsi="Times New Roman" w:cs="Times New Roman"/>
          <w:sz w:val="24"/>
          <w:szCs w:val="24"/>
        </w:rPr>
        <w:footnoteReference w:id="163"/>
      </w:r>
      <w:r>
        <w:rPr>
          <w:rFonts w:ascii="Times New Roman" w:hAnsi="Times New Roman" w:cs="Times New Roman"/>
          <w:sz w:val="24"/>
          <w:szCs w:val="24"/>
        </w:rPr>
        <w:t xml:space="preserve"> and a rise of austerity economics – </w:t>
      </w:r>
      <w:r w:rsidR="00FA4139">
        <w:rPr>
          <w:rFonts w:ascii="Times New Roman" w:hAnsi="Times New Roman" w:cs="Times New Roman"/>
          <w:sz w:val="24"/>
          <w:szCs w:val="24"/>
        </w:rPr>
        <w:t xml:space="preserve">and </w:t>
      </w:r>
      <w:r w:rsidR="00942E15">
        <w:rPr>
          <w:rFonts w:ascii="Times New Roman" w:hAnsi="Times New Roman" w:cs="Times New Roman"/>
          <w:sz w:val="24"/>
          <w:szCs w:val="24"/>
        </w:rPr>
        <w:t>clamping-down on “rogue EU benefits claim”</w:t>
      </w:r>
      <w:r>
        <w:rPr>
          <w:rFonts w:ascii="Times New Roman" w:hAnsi="Times New Roman" w:cs="Times New Roman"/>
          <w:sz w:val="24"/>
          <w:szCs w:val="24"/>
        </w:rPr>
        <w:t xml:space="preserve"> became increasin</w:t>
      </w:r>
      <w:r w:rsidR="00FA4139">
        <w:rPr>
          <w:rFonts w:ascii="Times New Roman" w:hAnsi="Times New Roman" w:cs="Times New Roman"/>
          <w:sz w:val="24"/>
          <w:szCs w:val="24"/>
        </w:rPr>
        <w:t>gly popular</w:t>
      </w:r>
      <w:r>
        <w:rPr>
          <w:rFonts w:ascii="Times New Roman" w:hAnsi="Times New Roman" w:cs="Times New Roman"/>
          <w:sz w:val="24"/>
          <w:szCs w:val="24"/>
        </w:rPr>
        <w:t xml:space="preserve"> within mainstream domestic political rhetoric,</w:t>
      </w:r>
      <w:r>
        <w:rPr>
          <w:rStyle w:val="FootnoteReference"/>
          <w:rFonts w:ascii="Times New Roman" w:hAnsi="Times New Roman" w:cs="Times New Roman"/>
          <w:sz w:val="24"/>
          <w:szCs w:val="24"/>
        </w:rPr>
        <w:footnoteReference w:id="164"/>
      </w:r>
      <w:r w:rsidR="00FA4139">
        <w:rPr>
          <w:rFonts w:ascii="Times New Roman" w:hAnsi="Times New Roman" w:cs="Times New Roman"/>
          <w:sz w:val="24"/>
          <w:szCs w:val="24"/>
        </w:rPr>
        <w:t xml:space="preserve"> Member States already had the necessary tools to re-close their social systems.</w:t>
      </w:r>
    </w:p>
    <w:p w:rsidR="00F143A3" w:rsidRDefault="00F143A3" w:rsidP="00F143A3">
      <w:pPr>
        <w:pStyle w:val="NoSpacing"/>
        <w:spacing w:line="360" w:lineRule="auto"/>
        <w:jc w:val="both"/>
        <w:rPr>
          <w:rFonts w:ascii="Times New Roman" w:hAnsi="Times New Roman" w:cs="Times New Roman"/>
          <w:sz w:val="24"/>
          <w:szCs w:val="24"/>
        </w:rPr>
      </w:pPr>
    </w:p>
    <w:p w:rsidR="0098744A" w:rsidRDefault="00F143A3" w:rsidP="00F143A3">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V RESTRICTING FREE MOVEMENT RIGHTS: ‘SOCIAL INTEGRATION’ AS AN INDIVIDUAL DUTY AND COURT-ENDORSED MEMBER STATE SHIELD</w:t>
      </w:r>
    </w:p>
    <w:p w:rsidR="00F143A3" w:rsidRPr="00F143A3" w:rsidRDefault="00F143A3" w:rsidP="00F143A3">
      <w:pPr>
        <w:pStyle w:val="NoSpacing"/>
        <w:spacing w:line="360" w:lineRule="auto"/>
        <w:jc w:val="both"/>
        <w:rPr>
          <w:rFonts w:ascii="Times New Roman" w:hAnsi="Times New Roman" w:cs="Times New Roman"/>
          <w:sz w:val="24"/>
          <w:szCs w:val="24"/>
        </w:rPr>
      </w:pPr>
    </w:p>
    <w:p w:rsidR="001377CC" w:rsidRDefault="003111A5"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Crucially,</w:t>
      </w:r>
      <w:r w:rsidR="001377CC">
        <w:rPr>
          <w:rFonts w:ascii="Times New Roman" w:hAnsi="Times New Roman" w:cs="Times New Roman"/>
          <w:sz w:val="24"/>
          <w:szCs w:val="24"/>
        </w:rPr>
        <w:t xml:space="preserve"> </w:t>
      </w:r>
      <w:r>
        <w:rPr>
          <w:rFonts w:ascii="Times New Roman" w:hAnsi="Times New Roman" w:cs="Times New Roman"/>
          <w:sz w:val="24"/>
          <w:szCs w:val="24"/>
        </w:rPr>
        <w:t>the Court has</w:t>
      </w:r>
      <w:r w:rsidR="00311C69">
        <w:rPr>
          <w:rFonts w:ascii="Times New Roman" w:hAnsi="Times New Roman" w:cs="Times New Roman"/>
          <w:sz w:val="24"/>
          <w:szCs w:val="24"/>
        </w:rPr>
        <w:t xml:space="preserve"> recently</w:t>
      </w:r>
      <w:r>
        <w:rPr>
          <w:rFonts w:ascii="Times New Roman" w:hAnsi="Times New Roman" w:cs="Times New Roman"/>
          <w:sz w:val="24"/>
          <w:szCs w:val="24"/>
        </w:rPr>
        <w:t xml:space="preserve"> endor</w:t>
      </w:r>
      <w:r w:rsidR="00311C69">
        <w:rPr>
          <w:rFonts w:ascii="Times New Roman" w:hAnsi="Times New Roman" w:cs="Times New Roman"/>
          <w:sz w:val="24"/>
          <w:szCs w:val="24"/>
        </w:rPr>
        <w:t>sed these emerging Member State practices</w:t>
      </w:r>
      <w:r w:rsidR="00F143A3">
        <w:rPr>
          <w:rFonts w:ascii="Times New Roman" w:hAnsi="Times New Roman" w:cs="Times New Roman"/>
          <w:sz w:val="24"/>
          <w:szCs w:val="24"/>
        </w:rPr>
        <w:t xml:space="preserve"> of re-closure</w:t>
      </w:r>
      <w:r w:rsidR="001377CC">
        <w:rPr>
          <w:rFonts w:ascii="Times New Roman" w:hAnsi="Times New Roman" w:cs="Times New Roman"/>
          <w:sz w:val="24"/>
          <w:szCs w:val="24"/>
        </w:rPr>
        <w:t xml:space="preserve">. Thus, the </w:t>
      </w:r>
      <w:r w:rsidR="005F1566">
        <w:rPr>
          <w:rFonts w:ascii="Times New Roman" w:hAnsi="Times New Roman" w:cs="Times New Roman"/>
          <w:sz w:val="24"/>
          <w:szCs w:val="24"/>
        </w:rPr>
        <w:t>Union</w:t>
      </w:r>
      <w:r w:rsidR="001377CC">
        <w:rPr>
          <w:rFonts w:ascii="Times New Roman" w:hAnsi="Times New Roman" w:cs="Times New Roman"/>
          <w:sz w:val="24"/>
          <w:szCs w:val="24"/>
        </w:rPr>
        <w:t xml:space="preserve"> aim of social integration is flipped to an individual duty to contribute to the host State society. Importantly, this duty can generally only be met through </w:t>
      </w:r>
      <w:r w:rsidR="001377CC">
        <w:rPr>
          <w:rFonts w:ascii="Times New Roman" w:hAnsi="Times New Roman" w:cs="Times New Roman"/>
          <w:sz w:val="24"/>
          <w:szCs w:val="24"/>
        </w:rPr>
        <w:lastRenderedPageBreak/>
        <w:t>economic activity, rendering wider forms of social integration largely immaterial as regards EU citizens’ access to domestic social assistance. In this sense, a further Union approach to social integration emerges, that of irrelevance: it is not only diminished as an EU objective; the social integration of Union citizens in host State communities, which might once have been viewed a</w:t>
      </w:r>
      <w:r w:rsidR="0060684A">
        <w:rPr>
          <w:rFonts w:ascii="Times New Roman" w:hAnsi="Times New Roman" w:cs="Times New Roman"/>
          <w:sz w:val="24"/>
          <w:szCs w:val="24"/>
        </w:rPr>
        <w:t>s an aim of EU citizenship,</w:t>
      </w:r>
      <w:r w:rsidR="001377CC">
        <w:rPr>
          <w:rFonts w:ascii="Times New Roman" w:hAnsi="Times New Roman" w:cs="Times New Roman"/>
          <w:sz w:val="24"/>
          <w:szCs w:val="24"/>
        </w:rPr>
        <w:t xml:space="preserve"> goes unrecognised. This provides Member States with a shield by which to exclude non-nationals from their domestic social assistance scheme, demonstrating that while the negative processes of the internal market might once ha</w:t>
      </w:r>
      <w:r w:rsidR="00942E15">
        <w:rPr>
          <w:rFonts w:ascii="Times New Roman" w:hAnsi="Times New Roman" w:cs="Times New Roman"/>
          <w:sz w:val="24"/>
          <w:szCs w:val="24"/>
        </w:rPr>
        <w:t>ve been viewed as a route to a “European social space”</w:t>
      </w:r>
      <w:r w:rsidR="006719B5">
        <w:rPr>
          <w:rFonts w:ascii="Times New Roman" w:hAnsi="Times New Roman" w:cs="Times New Roman"/>
          <w:sz w:val="24"/>
          <w:szCs w:val="24"/>
        </w:rPr>
        <w:t>, its constant roots in economic activity have left it unable to reshape the national boundaries of solidarity.</w:t>
      </w:r>
      <w:r w:rsidR="006719B5">
        <w:rPr>
          <w:rStyle w:val="FootnoteReference"/>
          <w:rFonts w:ascii="Times New Roman" w:hAnsi="Times New Roman" w:cs="Times New Roman"/>
          <w:sz w:val="24"/>
          <w:szCs w:val="24"/>
        </w:rPr>
        <w:footnoteReference w:id="165"/>
      </w:r>
      <w:r w:rsidR="001377CC">
        <w:rPr>
          <w:rFonts w:ascii="Times New Roman" w:hAnsi="Times New Roman" w:cs="Times New Roman"/>
          <w:sz w:val="24"/>
          <w:szCs w:val="24"/>
        </w:rPr>
        <w:t xml:space="preserve"> </w:t>
      </w:r>
    </w:p>
    <w:p w:rsidR="001377CC" w:rsidRDefault="001377CC" w:rsidP="002F33D2">
      <w:pPr>
        <w:pStyle w:val="NoSpacing"/>
        <w:spacing w:line="360" w:lineRule="auto"/>
        <w:jc w:val="both"/>
        <w:rPr>
          <w:rFonts w:ascii="Times New Roman" w:hAnsi="Times New Roman" w:cs="Times New Roman"/>
          <w:sz w:val="24"/>
          <w:szCs w:val="24"/>
        </w:rPr>
      </w:pPr>
    </w:p>
    <w:p w:rsidR="004842C7" w:rsidRDefault="005F1566"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Of course, the Court’s recent case-law</w:t>
      </w:r>
      <w:r w:rsidR="003111A5">
        <w:rPr>
          <w:rFonts w:ascii="Times New Roman" w:hAnsi="Times New Roman" w:cs="Times New Roman"/>
          <w:sz w:val="24"/>
          <w:szCs w:val="24"/>
        </w:rPr>
        <w:t xml:space="preserve"> could be viewed as an acknowledgement of the effects free movement can have on national social spaces, identified in section two. </w:t>
      </w:r>
      <w:r>
        <w:rPr>
          <w:rFonts w:ascii="Times New Roman" w:hAnsi="Times New Roman" w:cs="Times New Roman"/>
          <w:sz w:val="24"/>
          <w:szCs w:val="24"/>
        </w:rPr>
        <w:t>However, in narrowing this reframing of</w:t>
      </w:r>
      <w:r w:rsidR="003111A5">
        <w:rPr>
          <w:rFonts w:ascii="Times New Roman" w:hAnsi="Times New Roman" w:cs="Times New Roman"/>
          <w:sz w:val="24"/>
          <w:szCs w:val="24"/>
        </w:rPr>
        <w:t xml:space="preserve"> free movement to non-economically active Union citizens, based on under-founded claims about benefit tourism,</w:t>
      </w:r>
      <w:r w:rsidR="003111A5">
        <w:rPr>
          <w:rStyle w:val="FootnoteReference"/>
          <w:rFonts w:ascii="Times New Roman" w:hAnsi="Times New Roman" w:cs="Times New Roman"/>
          <w:sz w:val="24"/>
          <w:szCs w:val="24"/>
        </w:rPr>
        <w:footnoteReference w:id="166"/>
      </w:r>
      <w:r w:rsidR="003111A5">
        <w:rPr>
          <w:rFonts w:ascii="Times New Roman" w:hAnsi="Times New Roman" w:cs="Times New Roman"/>
          <w:sz w:val="24"/>
          <w:szCs w:val="24"/>
        </w:rPr>
        <w:t xml:space="preserve"> the Court risks undermining the EU’s broader social goals by alienating those EU movers who often require a so</w:t>
      </w:r>
      <w:r>
        <w:rPr>
          <w:rFonts w:ascii="Times New Roman" w:hAnsi="Times New Roman" w:cs="Times New Roman"/>
          <w:sz w:val="24"/>
          <w:szCs w:val="24"/>
        </w:rPr>
        <w:t>cially-inclusive approach. Moreover</w:t>
      </w:r>
      <w:r w:rsidR="003111A5">
        <w:rPr>
          <w:rFonts w:ascii="Times New Roman" w:hAnsi="Times New Roman" w:cs="Times New Roman"/>
          <w:sz w:val="24"/>
          <w:szCs w:val="24"/>
        </w:rPr>
        <w:t>,</w:t>
      </w:r>
      <w:r w:rsidR="00935C01">
        <w:rPr>
          <w:rFonts w:ascii="Times New Roman" w:hAnsi="Times New Roman" w:cs="Times New Roman"/>
          <w:sz w:val="24"/>
          <w:szCs w:val="24"/>
        </w:rPr>
        <w:t xml:space="preserve"> the effectiveness of the Court’s latest citizenship decisions, in meeting their presumed purpose of tackling Euroscepticism, is open to serious question.</w:t>
      </w:r>
    </w:p>
    <w:p w:rsidR="00942E15" w:rsidRDefault="00942E15" w:rsidP="002F33D2">
      <w:pPr>
        <w:pStyle w:val="NoSpacing"/>
        <w:spacing w:line="360" w:lineRule="auto"/>
        <w:jc w:val="both"/>
        <w:rPr>
          <w:rFonts w:ascii="Times New Roman" w:hAnsi="Times New Roman" w:cs="Times New Roman"/>
          <w:sz w:val="24"/>
          <w:szCs w:val="24"/>
        </w:rPr>
      </w:pPr>
    </w:p>
    <w:p w:rsidR="00942E15" w:rsidRDefault="00942E15"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V.1 SCALING BACK ON SOCIAL INTEGRATION VIA FREE MOVEMENT AND CONCRETISING INTEGRATION AS AN INDIVIDUAL DUTY</w:t>
      </w:r>
    </w:p>
    <w:p w:rsidR="00942E15" w:rsidRDefault="00942E15" w:rsidP="002F33D2">
      <w:pPr>
        <w:pStyle w:val="NoSpacing"/>
        <w:spacing w:line="360" w:lineRule="auto"/>
        <w:jc w:val="both"/>
        <w:rPr>
          <w:rFonts w:ascii="Times New Roman" w:hAnsi="Times New Roman" w:cs="Times New Roman"/>
          <w:sz w:val="24"/>
          <w:szCs w:val="24"/>
        </w:rPr>
      </w:pPr>
    </w:p>
    <w:p w:rsidR="00942E15" w:rsidRDefault="00236CDC"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shift in judicial </w:t>
      </w:r>
      <w:r w:rsidR="009120DC">
        <w:rPr>
          <w:rFonts w:ascii="Times New Roman" w:hAnsi="Times New Roman" w:cs="Times New Roman"/>
          <w:sz w:val="24"/>
          <w:szCs w:val="24"/>
        </w:rPr>
        <w:t>approach</w:t>
      </w:r>
      <w:r>
        <w:rPr>
          <w:rFonts w:ascii="Times New Roman" w:hAnsi="Times New Roman" w:cs="Times New Roman"/>
          <w:sz w:val="24"/>
          <w:szCs w:val="24"/>
        </w:rPr>
        <w:t>, from viewing social integration as a</w:t>
      </w:r>
      <w:r w:rsidR="009120DC">
        <w:rPr>
          <w:rFonts w:ascii="Times New Roman" w:hAnsi="Times New Roman" w:cs="Times New Roman"/>
          <w:sz w:val="24"/>
          <w:szCs w:val="24"/>
        </w:rPr>
        <w:t xml:space="preserve"> Union aim</w:t>
      </w:r>
      <w:r w:rsidR="009A4804">
        <w:rPr>
          <w:rFonts w:ascii="Times New Roman" w:hAnsi="Times New Roman" w:cs="Times New Roman"/>
          <w:sz w:val="24"/>
          <w:szCs w:val="24"/>
        </w:rPr>
        <w:t xml:space="preserve"> running congruent to free movement and equal treatment rights</w:t>
      </w:r>
      <w:r>
        <w:rPr>
          <w:rFonts w:ascii="Times New Roman" w:hAnsi="Times New Roman" w:cs="Times New Roman"/>
          <w:sz w:val="24"/>
          <w:szCs w:val="24"/>
        </w:rPr>
        <w:t xml:space="preserve"> towards an individual duty</w:t>
      </w:r>
      <w:r w:rsidR="009120DC">
        <w:rPr>
          <w:rFonts w:ascii="Times New Roman" w:hAnsi="Times New Roman" w:cs="Times New Roman"/>
          <w:sz w:val="24"/>
          <w:szCs w:val="24"/>
        </w:rPr>
        <w:t>,</w:t>
      </w:r>
      <w:r>
        <w:rPr>
          <w:rFonts w:ascii="Times New Roman" w:hAnsi="Times New Roman" w:cs="Times New Roman"/>
          <w:sz w:val="24"/>
          <w:szCs w:val="24"/>
        </w:rPr>
        <w:t xml:space="preserve"> </w:t>
      </w:r>
      <w:r w:rsidR="00B036D0">
        <w:rPr>
          <w:rFonts w:ascii="Times New Roman" w:hAnsi="Times New Roman" w:cs="Times New Roman"/>
          <w:sz w:val="24"/>
          <w:szCs w:val="24"/>
        </w:rPr>
        <w:t xml:space="preserve">was clearly visible in </w:t>
      </w:r>
      <w:proofErr w:type="spellStart"/>
      <w:r w:rsidR="00B036D0">
        <w:rPr>
          <w:rFonts w:ascii="Times New Roman" w:hAnsi="Times New Roman" w:cs="Times New Roman"/>
          <w:i/>
          <w:sz w:val="24"/>
          <w:szCs w:val="24"/>
        </w:rPr>
        <w:t>Dano</w:t>
      </w:r>
      <w:proofErr w:type="spellEnd"/>
      <w:r>
        <w:rPr>
          <w:rFonts w:ascii="Times New Roman" w:hAnsi="Times New Roman" w:cs="Times New Roman"/>
          <w:sz w:val="24"/>
          <w:szCs w:val="24"/>
        </w:rPr>
        <w:t>,</w:t>
      </w:r>
      <w:r w:rsidR="0012755A">
        <w:rPr>
          <w:rStyle w:val="FootnoteReference"/>
          <w:rFonts w:ascii="Times New Roman" w:hAnsi="Times New Roman" w:cs="Times New Roman"/>
          <w:sz w:val="24"/>
          <w:szCs w:val="24"/>
        </w:rPr>
        <w:footnoteReference w:id="167"/>
      </w:r>
      <w:r w:rsidR="0012755A">
        <w:rPr>
          <w:rFonts w:ascii="Times New Roman" w:hAnsi="Times New Roman" w:cs="Times New Roman"/>
          <w:sz w:val="24"/>
          <w:szCs w:val="24"/>
        </w:rPr>
        <w:t xml:space="preserve"> and</w:t>
      </w:r>
      <w:r>
        <w:rPr>
          <w:rFonts w:ascii="Times New Roman" w:hAnsi="Times New Roman" w:cs="Times New Roman"/>
          <w:sz w:val="24"/>
          <w:szCs w:val="24"/>
        </w:rPr>
        <w:t xml:space="preserve"> confirmed in the Court’s subsequent case-law.</w:t>
      </w:r>
      <w:r>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In</w:t>
      </w:r>
      <w:r w:rsidR="009120DC">
        <w:rPr>
          <w:rFonts w:ascii="Times New Roman" w:hAnsi="Times New Roman" w:cs="Times New Roman"/>
          <w:sz w:val="24"/>
          <w:szCs w:val="24"/>
        </w:rPr>
        <w:t xml:space="preserve"> </w:t>
      </w:r>
      <w:proofErr w:type="spellStart"/>
      <w:r w:rsidR="009120DC">
        <w:rPr>
          <w:rFonts w:ascii="Times New Roman" w:hAnsi="Times New Roman" w:cs="Times New Roman"/>
          <w:i/>
          <w:sz w:val="24"/>
          <w:szCs w:val="24"/>
        </w:rPr>
        <w:t>Dano</w:t>
      </w:r>
      <w:proofErr w:type="spellEnd"/>
      <w:r w:rsidR="009120DC">
        <w:rPr>
          <w:rFonts w:ascii="Times New Roman" w:hAnsi="Times New Roman" w:cs="Times New Roman"/>
          <w:sz w:val="24"/>
          <w:szCs w:val="24"/>
        </w:rPr>
        <w:t>, the Court held that</w:t>
      </w:r>
      <w:r>
        <w:rPr>
          <w:rFonts w:ascii="Times New Roman" w:hAnsi="Times New Roman" w:cs="Times New Roman"/>
          <w:sz w:val="24"/>
          <w:szCs w:val="24"/>
        </w:rPr>
        <w:t xml:space="preserve"> Germany was entitled to exclude a non-economically active Union</w:t>
      </w:r>
      <w:r w:rsidR="0012755A">
        <w:rPr>
          <w:rFonts w:ascii="Times New Roman" w:hAnsi="Times New Roman" w:cs="Times New Roman"/>
          <w:sz w:val="24"/>
          <w:szCs w:val="24"/>
        </w:rPr>
        <w:t xml:space="preserve"> </w:t>
      </w:r>
      <w:r>
        <w:rPr>
          <w:rFonts w:ascii="Times New Roman" w:hAnsi="Times New Roman" w:cs="Times New Roman"/>
          <w:sz w:val="24"/>
          <w:szCs w:val="24"/>
        </w:rPr>
        <w:t xml:space="preserve">citizen from access to a </w:t>
      </w:r>
      <w:r w:rsidR="009120DC">
        <w:rPr>
          <w:rFonts w:ascii="Times New Roman" w:hAnsi="Times New Roman" w:cs="Times New Roman"/>
          <w:sz w:val="24"/>
          <w:szCs w:val="24"/>
        </w:rPr>
        <w:t xml:space="preserve">national </w:t>
      </w:r>
      <w:r>
        <w:rPr>
          <w:rFonts w:ascii="Times New Roman" w:hAnsi="Times New Roman" w:cs="Times New Roman"/>
          <w:sz w:val="24"/>
          <w:szCs w:val="24"/>
        </w:rPr>
        <w:t>subsistence benefit because she did not have a right of residence under Directive 2004/38</w:t>
      </w:r>
      <w:r w:rsidR="009120DC">
        <w:rPr>
          <w:rFonts w:ascii="Times New Roman" w:hAnsi="Times New Roman" w:cs="Times New Roman"/>
          <w:sz w:val="24"/>
          <w:szCs w:val="24"/>
        </w:rPr>
        <w:t xml:space="preserve"> (</w:t>
      </w:r>
      <w:r>
        <w:rPr>
          <w:rFonts w:ascii="Times New Roman" w:hAnsi="Times New Roman" w:cs="Times New Roman"/>
          <w:sz w:val="24"/>
          <w:szCs w:val="24"/>
        </w:rPr>
        <w:t>CRD)</w:t>
      </w:r>
      <w:r w:rsidR="009120DC">
        <w:rPr>
          <w:rFonts w:ascii="Times New Roman" w:hAnsi="Times New Roman" w:cs="Times New Roman"/>
          <w:sz w:val="24"/>
          <w:szCs w:val="24"/>
        </w:rPr>
        <w:t>, which requires long-term residents to be economically active or economically self-sufficient.</w:t>
      </w:r>
      <w:r w:rsidR="009120DC">
        <w:rPr>
          <w:rStyle w:val="FootnoteReference"/>
          <w:rFonts w:ascii="Times New Roman" w:hAnsi="Times New Roman" w:cs="Times New Roman"/>
          <w:sz w:val="24"/>
          <w:szCs w:val="24"/>
        </w:rPr>
        <w:footnoteReference w:id="169"/>
      </w:r>
      <w:r w:rsidR="00CA3A47">
        <w:rPr>
          <w:rFonts w:ascii="Times New Roman" w:hAnsi="Times New Roman" w:cs="Times New Roman"/>
          <w:sz w:val="24"/>
          <w:szCs w:val="24"/>
        </w:rPr>
        <w:t xml:space="preserve"> The Court</w:t>
      </w:r>
      <w:r w:rsidR="009120DC">
        <w:rPr>
          <w:rFonts w:ascii="Times New Roman" w:hAnsi="Times New Roman" w:cs="Times New Roman"/>
          <w:sz w:val="24"/>
          <w:szCs w:val="24"/>
        </w:rPr>
        <w:t xml:space="preserve">’s methodology marked a change in </w:t>
      </w:r>
      <w:r w:rsidR="009120DC">
        <w:rPr>
          <w:rFonts w:ascii="Times New Roman" w:hAnsi="Times New Roman" w:cs="Times New Roman"/>
          <w:sz w:val="24"/>
          <w:szCs w:val="24"/>
        </w:rPr>
        <w:lastRenderedPageBreak/>
        <w:t xml:space="preserve">direction from the </w:t>
      </w:r>
      <w:proofErr w:type="spellStart"/>
      <w:r w:rsidR="009120DC">
        <w:rPr>
          <w:rFonts w:ascii="Times New Roman" w:hAnsi="Times New Roman" w:cs="Times New Roman"/>
          <w:i/>
          <w:sz w:val="24"/>
          <w:szCs w:val="24"/>
        </w:rPr>
        <w:t>Grzelczyk</w:t>
      </w:r>
      <w:proofErr w:type="spellEnd"/>
      <w:r w:rsidR="009A4804">
        <w:rPr>
          <w:rFonts w:ascii="Times New Roman" w:hAnsi="Times New Roman" w:cs="Times New Roman"/>
          <w:sz w:val="24"/>
          <w:szCs w:val="24"/>
        </w:rPr>
        <w:t>-era</w:t>
      </w:r>
      <w:r w:rsidR="002A2DE5">
        <w:rPr>
          <w:rFonts w:ascii="Times New Roman" w:hAnsi="Times New Roman" w:cs="Times New Roman"/>
          <w:sz w:val="24"/>
          <w:szCs w:val="24"/>
        </w:rPr>
        <w:t xml:space="preserve"> in three</w:t>
      </w:r>
      <w:r w:rsidR="00FB5A9A">
        <w:rPr>
          <w:rFonts w:ascii="Times New Roman" w:hAnsi="Times New Roman" w:cs="Times New Roman"/>
          <w:sz w:val="24"/>
          <w:szCs w:val="24"/>
        </w:rPr>
        <w:t xml:space="preserve"> ways.</w:t>
      </w:r>
      <w:r w:rsidR="00345E36">
        <w:rPr>
          <w:rFonts w:ascii="Times New Roman" w:hAnsi="Times New Roman" w:cs="Times New Roman"/>
          <w:sz w:val="24"/>
          <w:szCs w:val="24"/>
        </w:rPr>
        <w:t xml:space="preserve"> These correspond to a parallel shift,</w:t>
      </w:r>
      <w:r w:rsidR="00BF1927">
        <w:rPr>
          <w:rFonts w:ascii="Times New Roman" w:hAnsi="Times New Roman" w:cs="Times New Roman"/>
          <w:sz w:val="24"/>
          <w:szCs w:val="24"/>
        </w:rPr>
        <w:t xml:space="preserve"> along similar axes, as regards</w:t>
      </w:r>
      <w:r w:rsidR="00345E36">
        <w:rPr>
          <w:rFonts w:ascii="Times New Roman" w:hAnsi="Times New Roman" w:cs="Times New Roman"/>
          <w:sz w:val="24"/>
          <w:szCs w:val="24"/>
        </w:rPr>
        <w:t xml:space="preserve"> the expulsion of EU citizens from their host State, which will also be discussed where relevant.</w:t>
      </w:r>
      <w:r w:rsidR="00942E15">
        <w:rPr>
          <w:rFonts w:ascii="Times New Roman" w:hAnsi="Times New Roman" w:cs="Times New Roman"/>
          <w:sz w:val="24"/>
          <w:szCs w:val="24"/>
        </w:rPr>
        <w:t xml:space="preserve"> </w:t>
      </w:r>
    </w:p>
    <w:p w:rsidR="00942E15" w:rsidRDefault="0012755A" w:rsidP="00942E15">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First, </w:t>
      </w:r>
      <w:r w:rsidR="00345E36">
        <w:rPr>
          <w:rFonts w:ascii="Times New Roman" w:hAnsi="Times New Roman" w:cs="Times New Roman"/>
          <w:sz w:val="24"/>
          <w:szCs w:val="24"/>
        </w:rPr>
        <w:t xml:space="preserve">in </w:t>
      </w:r>
      <w:proofErr w:type="spellStart"/>
      <w:r w:rsidR="00345E36">
        <w:rPr>
          <w:rFonts w:ascii="Times New Roman" w:hAnsi="Times New Roman" w:cs="Times New Roman"/>
          <w:i/>
          <w:sz w:val="24"/>
          <w:szCs w:val="24"/>
        </w:rPr>
        <w:t>Dano</w:t>
      </w:r>
      <w:proofErr w:type="spellEnd"/>
      <w:r w:rsidR="00345E36">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9120DC">
        <w:rPr>
          <w:rFonts w:ascii="Times New Roman" w:hAnsi="Times New Roman" w:cs="Times New Roman"/>
          <w:sz w:val="24"/>
          <w:szCs w:val="24"/>
        </w:rPr>
        <w:t xml:space="preserve">CRD’s </w:t>
      </w:r>
      <w:r>
        <w:rPr>
          <w:rFonts w:ascii="Times New Roman" w:hAnsi="Times New Roman" w:cs="Times New Roman"/>
          <w:sz w:val="24"/>
          <w:szCs w:val="24"/>
        </w:rPr>
        <w:t>aim</w:t>
      </w:r>
      <w:r w:rsidR="009120DC">
        <w:rPr>
          <w:rFonts w:ascii="Times New Roman" w:hAnsi="Times New Roman" w:cs="Times New Roman"/>
          <w:sz w:val="24"/>
          <w:szCs w:val="24"/>
        </w:rPr>
        <w:t xml:space="preserve"> </w:t>
      </w:r>
      <w:r>
        <w:rPr>
          <w:rFonts w:ascii="Times New Roman" w:hAnsi="Times New Roman" w:cs="Times New Roman"/>
          <w:sz w:val="24"/>
          <w:szCs w:val="24"/>
        </w:rPr>
        <w:t>was fl</w:t>
      </w:r>
      <w:r w:rsidR="009120DC">
        <w:rPr>
          <w:rFonts w:ascii="Times New Roman" w:hAnsi="Times New Roman" w:cs="Times New Roman"/>
          <w:sz w:val="24"/>
          <w:szCs w:val="24"/>
        </w:rPr>
        <w:t xml:space="preserve">ipped. </w:t>
      </w:r>
      <w:r w:rsidR="009A4804">
        <w:rPr>
          <w:rFonts w:ascii="Times New Roman" w:hAnsi="Times New Roman" w:cs="Times New Roman"/>
          <w:sz w:val="24"/>
          <w:szCs w:val="24"/>
        </w:rPr>
        <w:t xml:space="preserve">Though much of the CRD consolidated the existing requirements attached to residence rights that had operated in the internal market context – i.e. general conditions of economic activity or self-sufficiency – its bringing together of the rights of economically active and non-economically active citizens </w:t>
      </w:r>
      <w:r w:rsidR="00D20FE9">
        <w:rPr>
          <w:rFonts w:ascii="Times New Roman" w:hAnsi="Times New Roman" w:cs="Times New Roman"/>
          <w:sz w:val="24"/>
          <w:szCs w:val="24"/>
        </w:rPr>
        <w:t>within one instrument, alongside its introduction of permanent residence rights, and its codification of principles established in the Court’s post-Maastricht citizenship case-law, suggested that the CRD sought to bring free movement rights beyond a market logic. And indeed, i</w:t>
      </w:r>
      <w:r>
        <w:rPr>
          <w:rFonts w:ascii="Times New Roman" w:hAnsi="Times New Roman" w:cs="Times New Roman"/>
          <w:sz w:val="24"/>
          <w:szCs w:val="24"/>
        </w:rPr>
        <w:t>n</w:t>
      </w:r>
      <w:r w:rsidR="009120DC">
        <w:rPr>
          <w:rFonts w:ascii="Times New Roman" w:hAnsi="Times New Roman" w:cs="Times New Roman"/>
          <w:sz w:val="24"/>
          <w:szCs w:val="24"/>
        </w:rPr>
        <w:t xml:space="preserve"> its early case-law, the Court had held that the purpose of the Directive was to </w:t>
      </w:r>
      <w:r w:rsidR="00942E15">
        <w:rPr>
          <w:rFonts w:ascii="Times New Roman" w:hAnsi="Times New Roman" w:cs="Times New Roman"/>
          <w:sz w:val="24"/>
          <w:szCs w:val="24"/>
        </w:rPr>
        <w:t>“</w:t>
      </w:r>
      <w:r>
        <w:rPr>
          <w:rFonts w:ascii="Times New Roman" w:hAnsi="Times New Roman" w:cs="Times New Roman"/>
          <w:sz w:val="24"/>
          <w:szCs w:val="24"/>
        </w:rPr>
        <w:t>facilitat</w:t>
      </w:r>
      <w:r w:rsidR="009120DC">
        <w:rPr>
          <w:rFonts w:ascii="Times New Roman" w:hAnsi="Times New Roman" w:cs="Times New Roman"/>
          <w:sz w:val="24"/>
          <w:szCs w:val="24"/>
        </w:rPr>
        <w:t xml:space="preserve">e </w:t>
      </w:r>
      <w:r w:rsidR="00942E15">
        <w:rPr>
          <w:rFonts w:ascii="Times New Roman" w:hAnsi="Times New Roman" w:cs="Times New Roman"/>
          <w:sz w:val="24"/>
          <w:szCs w:val="24"/>
        </w:rPr>
        <w:t>and strengthen”</w:t>
      </w:r>
      <w:r>
        <w:rPr>
          <w:rFonts w:ascii="Times New Roman" w:hAnsi="Times New Roman" w:cs="Times New Roman"/>
          <w:sz w:val="24"/>
          <w:szCs w:val="24"/>
        </w:rPr>
        <w:t xml:space="preserve"> primary and </w:t>
      </w:r>
      <w:r w:rsidR="009120DC">
        <w:rPr>
          <w:rFonts w:ascii="Times New Roman" w:hAnsi="Times New Roman" w:cs="Times New Roman"/>
          <w:sz w:val="24"/>
          <w:szCs w:val="24"/>
        </w:rPr>
        <w:t>individual free movement rights.</w:t>
      </w:r>
      <w:r>
        <w:rPr>
          <w:rStyle w:val="FootnoteReference"/>
          <w:rFonts w:ascii="Times New Roman" w:hAnsi="Times New Roman" w:cs="Times New Roman"/>
          <w:sz w:val="24"/>
          <w:szCs w:val="24"/>
        </w:rPr>
        <w:footnoteReference w:id="170"/>
      </w:r>
      <w:r w:rsidR="006A6776">
        <w:rPr>
          <w:rFonts w:ascii="Times New Roman" w:hAnsi="Times New Roman" w:cs="Times New Roman"/>
          <w:sz w:val="24"/>
          <w:szCs w:val="24"/>
        </w:rPr>
        <w:t xml:space="preserve"> T</w:t>
      </w:r>
      <w:r>
        <w:rPr>
          <w:rFonts w:ascii="Times New Roman" w:hAnsi="Times New Roman" w:cs="Times New Roman"/>
          <w:sz w:val="24"/>
          <w:szCs w:val="24"/>
        </w:rPr>
        <w:t>he</w:t>
      </w:r>
      <w:r w:rsidR="006A6776">
        <w:rPr>
          <w:rFonts w:ascii="Times New Roman" w:hAnsi="Times New Roman" w:cs="Times New Roman"/>
          <w:sz w:val="24"/>
          <w:szCs w:val="24"/>
        </w:rPr>
        <w:t xml:space="preserve"> CRD’s objective in </w:t>
      </w:r>
      <w:proofErr w:type="spellStart"/>
      <w:r w:rsidR="006A6776">
        <w:rPr>
          <w:rFonts w:ascii="Times New Roman" w:hAnsi="Times New Roman" w:cs="Times New Roman"/>
          <w:i/>
          <w:sz w:val="24"/>
          <w:szCs w:val="24"/>
        </w:rPr>
        <w:t>Dano</w:t>
      </w:r>
      <w:proofErr w:type="spellEnd"/>
      <w:r w:rsidR="006A6776">
        <w:rPr>
          <w:rFonts w:ascii="Times New Roman" w:hAnsi="Times New Roman" w:cs="Times New Roman"/>
          <w:i/>
          <w:sz w:val="24"/>
          <w:szCs w:val="24"/>
        </w:rPr>
        <w:t xml:space="preserve">, </w:t>
      </w:r>
      <w:r w:rsidR="006A6776">
        <w:rPr>
          <w:rFonts w:ascii="Times New Roman" w:hAnsi="Times New Roman" w:cs="Times New Roman"/>
          <w:sz w:val="24"/>
          <w:szCs w:val="24"/>
        </w:rPr>
        <w:t>however,</w:t>
      </w:r>
      <w:r w:rsidR="009120DC">
        <w:rPr>
          <w:rFonts w:ascii="Times New Roman" w:hAnsi="Times New Roman" w:cs="Times New Roman"/>
          <w:sz w:val="24"/>
          <w:szCs w:val="24"/>
        </w:rPr>
        <w:t xml:space="preserve"> was</w:t>
      </w:r>
      <w:r w:rsidR="006A6776">
        <w:rPr>
          <w:rFonts w:ascii="Times New Roman" w:hAnsi="Times New Roman" w:cs="Times New Roman"/>
          <w:sz w:val="24"/>
          <w:szCs w:val="24"/>
        </w:rPr>
        <w:t xml:space="preserve"> to</w:t>
      </w:r>
      <w:r w:rsidR="009120DC">
        <w:rPr>
          <w:rFonts w:ascii="Times New Roman" w:hAnsi="Times New Roman" w:cs="Times New Roman"/>
          <w:sz w:val="24"/>
          <w:szCs w:val="24"/>
        </w:rPr>
        <w:t xml:space="preserve"> ensur</w:t>
      </w:r>
      <w:r w:rsidR="006A6776">
        <w:rPr>
          <w:rFonts w:ascii="Times New Roman" w:hAnsi="Times New Roman" w:cs="Times New Roman"/>
          <w:sz w:val="24"/>
          <w:szCs w:val="24"/>
        </w:rPr>
        <w:t>e</w:t>
      </w:r>
      <w:r w:rsidR="009120DC">
        <w:rPr>
          <w:rFonts w:ascii="Times New Roman" w:hAnsi="Times New Roman" w:cs="Times New Roman"/>
          <w:sz w:val="24"/>
          <w:szCs w:val="24"/>
        </w:rPr>
        <w:t xml:space="preserve"> that </w:t>
      </w:r>
      <w:r w:rsidR="002A2DE5">
        <w:rPr>
          <w:rFonts w:ascii="Times New Roman" w:hAnsi="Times New Roman" w:cs="Times New Roman"/>
          <w:sz w:val="24"/>
          <w:szCs w:val="24"/>
        </w:rPr>
        <w:t xml:space="preserve">non-economically active Union citizens did not become an </w:t>
      </w:r>
      <w:r w:rsidR="00942E15">
        <w:rPr>
          <w:rFonts w:ascii="Times New Roman" w:hAnsi="Times New Roman" w:cs="Times New Roman"/>
          <w:sz w:val="24"/>
          <w:szCs w:val="24"/>
        </w:rPr>
        <w:t>“</w:t>
      </w:r>
      <w:r w:rsidR="002A2DE5">
        <w:rPr>
          <w:rFonts w:ascii="Times New Roman" w:hAnsi="Times New Roman" w:cs="Times New Roman"/>
          <w:sz w:val="24"/>
          <w:szCs w:val="24"/>
        </w:rPr>
        <w:t xml:space="preserve">unreasonable burden on the social assistance </w:t>
      </w:r>
      <w:r w:rsidR="00942E15">
        <w:rPr>
          <w:rFonts w:ascii="Times New Roman" w:hAnsi="Times New Roman" w:cs="Times New Roman"/>
          <w:sz w:val="24"/>
          <w:szCs w:val="24"/>
        </w:rPr>
        <w:t>scheme of the host Member State”</w:t>
      </w:r>
      <w:r w:rsidR="002A2DE5">
        <w:rPr>
          <w:rFonts w:ascii="Times New Roman" w:hAnsi="Times New Roman" w:cs="Times New Roman"/>
          <w:sz w:val="24"/>
          <w:szCs w:val="24"/>
        </w:rPr>
        <w:t>.</w:t>
      </w:r>
      <w:r w:rsidR="002A2DE5">
        <w:rPr>
          <w:rStyle w:val="FootnoteReference"/>
          <w:rFonts w:ascii="Times New Roman" w:hAnsi="Times New Roman" w:cs="Times New Roman"/>
          <w:sz w:val="24"/>
          <w:szCs w:val="24"/>
        </w:rPr>
        <w:footnoteReference w:id="171"/>
      </w:r>
      <w:r>
        <w:rPr>
          <w:rFonts w:ascii="Times New Roman" w:hAnsi="Times New Roman" w:cs="Times New Roman"/>
          <w:sz w:val="24"/>
          <w:szCs w:val="24"/>
        </w:rPr>
        <w:t xml:space="preserve"> </w:t>
      </w:r>
      <w:r w:rsidR="002A2DE5">
        <w:rPr>
          <w:rFonts w:ascii="Times New Roman" w:hAnsi="Times New Roman" w:cs="Times New Roman"/>
          <w:sz w:val="24"/>
          <w:szCs w:val="24"/>
        </w:rPr>
        <w:t>Allowing Union citizens who did not meet the Directive’s residence requirem</w:t>
      </w:r>
      <w:r w:rsidR="00942E15">
        <w:rPr>
          <w:rFonts w:ascii="Times New Roman" w:hAnsi="Times New Roman" w:cs="Times New Roman"/>
          <w:sz w:val="24"/>
          <w:szCs w:val="24"/>
        </w:rPr>
        <w:t>ents to access social benefits “would run counter”</w:t>
      </w:r>
      <w:r w:rsidR="002A2DE5">
        <w:rPr>
          <w:rFonts w:ascii="Times New Roman" w:hAnsi="Times New Roman" w:cs="Times New Roman"/>
          <w:sz w:val="24"/>
          <w:szCs w:val="24"/>
        </w:rPr>
        <w:t xml:space="preserve"> to this objective.</w:t>
      </w:r>
      <w:r>
        <w:rPr>
          <w:rStyle w:val="FootnoteReference"/>
          <w:rFonts w:ascii="Times New Roman" w:hAnsi="Times New Roman" w:cs="Times New Roman"/>
          <w:sz w:val="24"/>
          <w:szCs w:val="24"/>
        </w:rPr>
        <w:footnoteReference w:id="172"/>
      </w:r>
      <w:r w:rsidR="00C15AFD">
        <w:rPr>
          <w:rFonts w:ascii="Times New Roman" w:hAnsi="Times New Roman" w:cs="Times New Roman"/>
          <w:sz w:val="24"/>
          <w:szCs w:val="24"/>
        </w:rPr>
        <w:t xml:space="preserve"> </w:t>
      </w:r>
    </w:p>
    <w:p w:rsidR="00942E15" w:rsidRDefault="00942E15" w:rsidP="00942E15">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In other words, “</w:t>
      </w:r>
      <w:r w:rsidR="009A6CA9">
        <w:rPr>
          <w:rFonts w:ascii="Times New Roman" w:hAnsi="Times New Roman" w:cs="Times New Roman"/>
          <w:sz w:val="24"/>
          <w:szCs w:val="24"/>
        </w:rPr>
        <w:t>social integ</w:t>
      </w:r>
      <w:r>
        <w:rPr>
          <w:rFonts w:ascii="Times New Roman" w:hAnsi="Times New Roman" w:cs="Times New Roman"/>
          <w:sz w:val="24"/>
          <w:szCs w:val="24"/>
        </w:rPr>
        <w:t>ration”</w:t>
      </w:r>
      <w:r w:rsidR="009A6CA9">
        <w:rPr>
          <w:rFonts w:ascii="Times New Roman" w:hAnsi="Times New Roman" w:cs="Times New Roman"/>
          <w:sz w:val="24"/>
          <w:szCs w:val="24"/>
        </w:rPr>
        <w:t xml:space="preserve"> </w:t>
      </w:r>
      <w:r w:rsidR="00D20FE9">
        <w:rPr>
          <w:rFonts w:ascii="Times New Roman" w:hAnsi="Times New Roman" w:cs="Times New Roman"/>
          <w:sz w:val="24"/>
          <w:szCs w:val="24"/>
        </w:rPr>
        <w:t xml:space="preserve">for a non-national EU citizen </w:t>
      </w:r>
      <w:r w:rsidR="009A6CA9">
        <w:rPr>
          <w:rFonts w:ascii="Times New Roman" w:hAnsi="Times New Roman" w:cs="Times New Roman"/>
          <w:sz w:val="24"/>
          <w:szCs w:val="24"/>
        </w:rPr>
        <w:t>is no longer understood</w:t>
      </w:r>
      <w:r w:rsidR="00523156">
        <w:rPr>
          <w:rFonts w:ascii="Times New Roman" w:hAnsi="Times New Roman" w:cs="Times New Roman"/>
          <w:sz w:val="24"/>
          <w:szCs w:val="24"/>
        </w:rPr>
        <w:t xml:space="preserve"> as an aim realised, for instance, through</w:t>
      </w:r>
      <w:r w:rsidR="00D20FE9">
        <w:rPr>
          <w:rFonts w:ascii="Times New Roman" w:hAnsi="Times New Roman" w:cs="Times New Roman"/>
          <w:sz w:val="24"/>
          <w:szCs w:val="24"/>
        </w:rPr>
        <w:t xml:space="preserve"> (temporary)</w:t>
      </w:r>
      <w:r>
        <w:rPr>
          <w:rFonts w:ascii="Times New Roman" w:hAnsi="Times New Roman" w:cs="Times New Roman"/>
          <w:sz w:val="24"/>
          <w:szCs w:val="24"/>
        </w:rPr>
        <w:t xml:space="preserve"> “financial solidarity”</w:t>
      </w:r>
      <w:r w:rsidR="009A6CA9">
        <w:rPr>
          <w:rFonts w:ascii="Times New Roman" w:hAnsi="Times New Roman" w:cs="Times New Roman"/>
          <w:sz w:val="24"/>
          <w:szCs w:val="24"/>
        </w:rPr>
        <w:t xml:space="preserve"> between</w:t>
      </w:r>
      <w:r w:rsidR="00D20FE9">
        <w:rPr>
          <w:rFonts w:ascii="Times New Roman" w:hAnsi="Times New Roman" w:cs="Times New Roman"/>
          <w:sz w:val="24"/>
          <w:szCs w:val="24"/>
        </w:rPr>
        <w:t xml:space="preserve"> Member State nationals </w:t>
      </w:r>
      <w:r w:rsidR="009A6CA9">
        <w:rPr>
          <w:rFonts w:ascii="Times New Roman" w:hAnsi="Times New Roman" w:cs="Times New Roman"/>
          <w:sz w:val="24"/>
          <w:szCs w:val="24"/>
        </w:rPr>
        <w:t>but as an individual</w:t>
      </w:r>
      <w:r w:rsidR="00D20FE9">
        <w:rPr>
          <w:rFonts w:ascii="Times New Roman" w:hAnsi="Times New Roman" w:cs="Times New Roman"/>
          <w:sz w:val="24"/>
          <w:szCs w:val="24"/>
        </w:rPr>
        <w:t xml:space="preserve"> responsibility</w:t>
      </w:r>
      <w:r>
        <w:rPr>
          <w:rFonts w:ascii="Times New Roman" w:hAnsi="Times New Roman" w:cs="Times New Roman"/>
          <w:sz w:val="24"/>
          <w:szCs w:val="24"/>
        </w:rPr>
        <w:t xml:space="preserve"> not to “burden” </w:t>
      </w:r>
      <w:r w:rsidR="00D20FE9">
        <w:rPr>
          <w:rFonts w:ascii="Times New Roman" w:hAnsi="Times New Roman" w:cs="Times New Roman"/>
          <w:sz w:val="24"/>
          <w:szCs w:val="24"/>
        </w:rPr>
        <w:t>one’s</w:t>
      </w:r>
      <w:r w:rsidR="002A6ED9">
        <w:rPr>
          <w:rFonts w:ascii="Times New Roman" w:hAnsi="Times New Roman" w:cs="Times New Roman"/>
          <w:sz w:val="24"/>
          <w:szCs w:val="24"/>
        </w:rPr>
        <w:t xml:space="preserve"> host State. </w:t>
      </w:r>
      <w:r w:rsidR="00E97D9C">
        <w:rPr>
          <w:rFonts w:ascii="Times New Roman" w:hAnsi="Times New Roman" w:cs="Times New Roman"/>
          <w:sz w:val="24"/>
          <w:szCs w:val="24"/>
        </w:rPr>
        <w:t>A similar reinterpretation of the CRD is visible in the case-law on expulsions</w:t>
      </w:r>
      <w:r w:rsidR="00495DBB">
        <w:rPr>
          <w:rFonts w:ascii="Times New Roman" w:hAnsi="Times New Roman" w:cs="Times New Roman"/>
          <w:sz w:val="24"/>
          <w:szCs w:val="24"/>
        </w:rPr>
        <w:t xml:space="preserve"> in which the role of permanent residence rights, under Article 16 CRD, has shifted from a facilitator of social integration – </w:t>
      </w:r>
      <w:r w:rsidR="00495DBB">
        <w:rPr>
          <w:rFonts w:ascii="Times New Roman" w:hAnsi="Times New Roman" w:cs="Times New Roman"/>
          <w:i/>
          <w:sz w:val="24"/>
          <w:szCs w:val="24"/>
        </w:rPr>
        <w:t xml:space="preserve">inter alia </w:t>
      </w:r>
      <w:r w:rsidR="00495DBB">
        <w:rPr>
          <w:rFonts w:ascii="Times New Roman" w:hAnsi="Times New Roman" w:cs="Times New Roman"/>
          <w:sz w:val="24"/>
          <w:szCs w:val="24"/>
        </w:rPr>
        <w:t>by enhancing protection from expulsion from the host State within which one has lived for many years – to a reward for (a narrowly defined) social integration. For example, i</w:t>
      </w:r>
      <w:r w:rsidR="006C3741">
        <w:rPr>
          <w:rFonts w:ascii="Times New Roman" w:hAnsi="Times New Roman" w:cs="Times New Roman"/>
          <w:sz w:val="24"/>
          <w:szCs w:val="24"/>
        </w:rPr>
        <w:t>n</w:t>
      </w:r>
      <w:r w:rsidR="00E97D9C">
        <w:rPr>
          <w:rFonts w:ascii="Times New Roman" w:hAnsi="Times New Roman" w:cs="Times New Roman"/>
          <w:sz w:val="24"/>
          <w:szCs w:val="24"/>
        </w:rPr>
        <w:t xml:space="preserve"> </w:t>
      </w:r>
      <w:proofErr w:type="spellStart"/>
      <w:r w:rsidR="00E97D9C">
        <w:rPr>
          <w:rFonts w:ascii="Times New Roman" w:hAnsi="Times New Roman" w:cs="Times New Roman"/>
          <w:i/>
          <w:sz w:val="24"/>
          <w:szCs w:val="24"/>
        </w:rPr>
        <w:t>Onuekwere</w:t>
      </w:r>
      <w:proofErr w:type="spellEnd"/>
      <w:r w:rsidR="00E97D9C">
        <w:rPr>
          <w:rFonts w:ascii="Times New Roman" w:hAnsi="Times New Roman" w:cs="Times New Roman"/>
          <w:sz w:val="24"/>
          <w:szCs w:val="24"/>
        </w:rPr>
        <w:t>,</w:t>
      </w:r>
      <w:r w:rsidR="006C3741">
        <w:rPr>
          <w:rStyle w:val="FootnoteReference"/>
          <w:rFonts w:ascii="Times New Roman" w:hAnsi="Times New Roman" w:cs="Times New Roman"/>
          <w:sz w:val="24"/>
          <w:szCs w:val="24"/>
        </w:rPr>
        <w:footnoteReference w:id="173"/>
      </w:r>
      <w:r w:rsidR="00CA3A47">
        <w:rPr>
          <w:rFonts w:ascii="Times New Roman" w:hAnsi="Times New Roman" w:cs="Times New Roman"/>
          <w:sz w:val="24"/>
          <w:szCs w:val="24"/>
        </w:rPr>
        <w:t xml:space="preserve"> the Court</w:t>
      </w:r>
      <w:r w:rsidR="006C3741">
        <w:rPr>
          <w:rFonts w:ascii="Times New Roman" w:hAnsi="Times New Roman" w:cs="Times New Roman"/>
          <w:sz w:val="24"/>
          <w:szCs w:val="24"/>
        </w:rPr>
        <w:t xml:space="preserve"> </w:t>
      </w:r>
      <w:r w:rsidR="00E97D9C">
        <w:rPr>
          <w:rFonts w:ascii="Times New Roman" w:hAnsi="Times New Roman" w:cs="Times New Roman"/>
          <w:sz w:val="24"/>
          <w:szCs w:val="24"/>
        </w:rPr>
        <w:t>held that periods of impris</w:t>
      </w:r>
      <w:r>
        <w:rPr>
          <w:rFonts w:ascii="Times New Roman" w:hAnsi="Times New Roman" w:cs="Times New Roman"/>
          <w:sz w:val="24"/>
          <w:szCs w:val="24"/>
        </w:rPr>
        <w:t>onment could not be considered “legal residence”</w:t>
      </w:r>
      <w:r w:rsidR="00E97D9C">
        <w:rPr>
          <w:rFonts w:ascii="Times New Roman" w:hAnsi="Times New Roman" w:cs="Times New Roman"/>
          <w:sz w:val="24"/>
          <w:szCs w:val="24"/>
        </w:rPr>
        <w:t xml:space="preserve"> for the purposes of attaining permanent residence rights</w:t>
      </w:r>
      <w:r w:rsidR="00495DBB">
        <w:rPr>
          <w:rFonts w:ascii="Times New Roman" w:hAnsi="Times New Roman" w:cs="Times New Roman"/>
          <w:sz w:val="24"/>
          <w:szCs w:val="24"/>
        </w:rPr>
        <w:t>.</w:t>
      </w:r>
      <w:r w:rsidR="00CE096A">
        <w:rPr>
          <w:rStyle w:val="FootnoteReference"/>
          <w:rFonts w:ascii="Times New Roman" w:hAnsi="Times New Roman" w:cs="Times New Roman"/>
          <w:sz w:val="24"/>
          <w:szCs w:val="24"/>
        </w:rPr>
        <w:footnoteReference w:id="174"/>
      </w:r>
      <w:r w:rsidR="006C3741">
        <w:rPr>
          <w:rFonts w:ascii="Times New Roman" w:hAnsi="Times New Roman" w:cs="Times New Roman"/>
          <w:sz w:val="24"/>
          <w:szCs w:val="24"/>
        </w:rPr>
        <w:t xml:space="preserve"> Nor could periods of legal residence before and after time spent in prison be aggregated to accumulate the necessary five years.</w:t>
      </w:r>
      <w:r w:rsidR="006A6776" w:rsidRPr="00637624">
        <w:rPr>
          <w:rStyle w:val="FootnoteReference"/>
          <w:rFonts w:ascii="Times New Roman" w:hAnsi="Times New Roman" w:cs="Times New Roman"/>
          <w:sz w:val="24"/>
          <w:szCs w:val="24"/>
        </w:rPr>
        <w:footnoteReference w:id="175"/>
      </w:r>
      <w:r w:rsidR="006C3741">
        <w:rPr>
          <w:rFonts w:ascii="Times New Roman" w:hAnsi="Times New Roman" w:cs="Times New Roman"/>
          <w:sz w:val="24"/>
          <w:szCs w:val="24"/>
        </w:rPr>
        <w:t xml:space="preserve"> Although the Court viewed permanent resid</w:t>
      </w:r>
      <w:r>
        <w:rPr>
          <w:rFonts w:ascii="Times New Roman" w:hAnsi="Times New Roman" w:cs="Times New Roman"/>
          <w:sz w:val="24"/>
          <w:szCs w:val="24"/>
        </w:rPr>
        <w:t>ence rights under the CRD as a “</w:t>
      </w:r>
      <w:r w:rsidR="006C3741">
        <w:rPr>
          <w:rFonts w:ascii="Times New Roman" w:hAnsi="Times New Roman" w:cs="Times New Roman"/>
          <w:sz w:val="24"/>
          <w:szCs w:val="24"/>
        </w:rPr>
        <w:t>key element in promot</w:t>
      </w:r>
      <w:r>
        <w:rPr>
          <w:rFonts w:ascii="Times New Roman" w:hAnsi="Times New Roman" w:cs="Times New Roman"/>
          <w:sz w:val="24"/>
          <w:szCs w:val="24"/>
        </w:rPr>
        <w:t>ing social inclusion”</w:t>
      </w:r>
      <w:r w:rsidR="006C3741">
        <w:rPr>
          <w:rFonts w:ascii="Times New Roman" w:hAnsi="Times New Roman" w:cs="Times New Roman"/>
          <w:sz w:val="24"/>
          <w:szCs w:val="24"/>
        </w:rPr>
        <w:t xml:space="preserve"> and in strengthening </w:t>
      </w:r>
      <w:r w:rsidR="006C3741">
        <w:rPr>
          <w:rFonts w:ascii="Times New Roman" w:hAnsi="Times New Roman" w:cs="Times New Roman"/>
          <w:sz w:val="24"/>
          <w:szCs w:val="24"/>
        </w:rPr>
        <w:lastRenderedPageBreak/>
        <w:t>feelings of Union citizenship,</w:t>
      </w:r>
      <w:r w:rsidR="006C3741">
        <w:rPr>
          <w:rStyle w:val="FootnoteReference"/>
          <w:rFonts w:ascii="Times New Roman" w:hAnsi="Times New Roman" w:cs="Times New Roman"/>
          <w:sz w:val="24"/>
          <w:szCs w:val="24"/>
        </w:rPr>
        <w:footnoteReference w:id="176"/>
      </w:r>
      <w:r w:rsidR="006C3741">
        <w:rPr>
          <w:rFonts w:ascii="Times New Roman" w:hAnsi="Times New Roman" w:cs="Times New Roman"/>
          <w:sz w:val="24"/>
          <w:szCs w:val="24"/>
        </w:rPr>
        <w:t xml:space="preserve"> it considered the non-compliance by an individual with the values of their host State, as expressed in its criminal code, to undermine integrat</w:t>
      </w:r>
      <w:r>
        <w:rPr>
          <w:rFonts w:ascii="Times New Roman" w:hAnsi="Times New Roman" w:cs="Times New Roman"/>
          <w:sz w:val="24"/>
          <w:szCs w:val="24"/>
        </w:rPr>
        <w:t>ing links in a manner that was “</w:t>
      </w:r>
      <w:r w:rsidR="006C3741">
        <w:rPr>
          <w:rFonts w:ascii="Times New Roman" w:hAnsi="Times New Roman" w:cs="Times New Roman"/>
          <w:sz w:val="24"/>
          <w:szCs w:val="24"/>
        </w:rPr>
        <w:t>clearl</w:t>
      </w:r>
      <w:r>
        <w:rPr>
          <w:rFonts w:ascii="Times New Roman" w:hAnsi="Times New Roman" w:cs="Times New Roman"/>
          <w:sz w:val="24"/>
          <w:szCs w:val="24"/>
        </w:rPr>
        <w:t>y contrary”</w:t>
      </w:r>
      <w:r w:rsidR="006C3741">
        <w:rPr>
          <w:rFonts w:ascii="Times New Roman" w:hAnsi="Times New Roman" w:cs="Times New Roman"/>
          <w:sz w:val="24"/>
          <w:szCs w:val="24"/>
        </w:rPr>
        <w:t xml:space="preserve"> to the aim of the Directive.</w:t>
      </w:r>
      <w:r w:rsidR="006C3741">
        <w:rPr>
          <w:rStyle w:val="FootnoteReference"/>
          <w:rFonts w:ascii="Times New Roman" w:hAnsi="Times New Roman" w:cs="Times New Roman"/>
          <w:sz w:val="24"/>
          <w:szCs w:val="24"/>
        </w:rPr>
        <w:footnoteReference w:id="177"/>
      </w:r>
      <w:r w:rsidR="006A6776">
        <w:rPr>
          <w:rFonts w:ascii="Times New Roman" w:hAnsi="Times New Roman" w:cs="Times New Roman"/>
          <w:sz w:val="24"/>
          <w:szCs w:val="24"/>
        </w:rPr>
        <w:t xml:space="preserve"> Accordingly, social integration was presented as an individual duty and a precondition for permanent residence status within the host State society.</w:t>
      </w:r>
      <w:r w:rsidR="006C3741">
        <w:rPr>
          <w:rStyle w:val="FootnoteReference"/>
          <w:rFonts w:ascii="Times New Roman" w:hAnsi="Times New Roman" w:cs="Times New Roman"/>
          <w:sz w:val="24"/>
          <w:szCs w:val="24"/>
        </w:rPr>
        <w:footnoteReference w:id="178"/>
      </w:r>
      <w:r w:rsidR="006A6776">
        <w:rPr>
          <w:rFonts w:ascii="Times New Roman" w:hAnsi="Times New Roman" w:cs="Times New Roman"/>
          <w:sz w:val="24"/>
          <w:szCs w:val="24"/>
        </w:rPr>
        <w:t xml:space="preserve"> </w:t>
      </w:r>
      <w:r w:rsidR="00495DBB">
        <w:rPr>
          <w:rFonts w:ascii="Times New Roman" w:hAnsi="Times New Roman" w:cs="Times New Roman"/>
          <w:sz w:val="24"/>
          <w:szCs w:val="24"/>
        </w:rPr>
        <w:t>Moreover</w:t>
      </w:r>
      <w:r w:rsidR="00E97D9C">
        <w:rPr>
          <w:rFonts w:ascii="Times New Roman" w:hAnsi="Times New Roman" w:cs="Times New Roman"/>
          <w:sz w:val="24"/>
          <w:szCs w:val="24"/>
        </w:rPr>
        <w:t>,</w:t>
      </w:r>
      <w:r w:rsidR="00D66933">
        <w:rPr>
          <w:rFonts w:ascii="Times New Roman" w:hAnsi="Times New Roman" w:cs="Times New Roman"/>
          <w:sz w:val="24"/>
          <w:szCs w:val="24"/>
        </w:rPr>
        <w:t xml:space="preserve"> an EU citizen’s </w:t>
      </w:r>
      <w:r w:rsidR="00495DBB">
        <w:rPr>
          <w:rFonts w:ascii="Times New Roman" w:hAnsi="Times New Roman" w:cs="Times New Roman"/>
          <w:sz w:val="24"/>
          <w:szCs w:val="24"/>
        </w:rPr>
        <w:t>performance of this duty</w:t>
      </w:r>
      <w:r w:rsidR="00D66933">
        <w:rPr>
          <w:rFonts w:ascii="Times New Roman" w:hAnsi="Times New Roman" w:cs="Times New Roman"/>
          <w:sz w:val="24"/>
          <w:szCs w:val="24"/>
        </w:rPr>
        <w:t xml:space="preserve"> is always on trial, since her/his </w:t>
      </w:r>
      <w:r w:rsidR="00495DBB">
        <w:rPr>
          <w:rFonts w:ascii="Times New Roman" w:hAnsi="Times New Roman" w:cs="Times New Roman"/>
          <w:sz w:val="24"/>
          <w:szCs w:val="24"/>
        </w:rPr>
        <w:t xml:space="preserve">integrative </w:t>
      </w:r>
      <w:r w:rsidR="00D66933">
        <w:rPr>
          <w:rFonts w:ascii="Times New Roman" w:hAnsi="Times New Roman" w:cs="Times New Roman"/>
          <w:sz w:val="24"/>
          <w:szCs w:val="24"/>
        </w:rPr>
        <w:t>links can be reduced back down to zero years in the event of criminal activity carrying a custodial sentence.</w:t>
      </w:r>
      <w:r w:rsidR="00E97D9C">
        <w:rPr>
          <w:rStyle w:val="FootnoteReference"/>
          <w:rFonts w:ascii="Times New Roman" w:hAnsi="Times New Roman" w:cs="Times New Roman"/>
          <w:sz w:val="24"/>
          <w:szCs w:val="24"/>
        </w:rPr>
        <w:footnoteReference w:id="179"/>
      </w:r>
    </w:p>
    <w:p w:rsidR="00942E15" w:rsidRDefault="00D66933" w:rsidP="00942E15">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Second, the</w:t>
      </w:r>
      <w:r w:rsidR="002A2DE5">
        <w:rPr>
          <w:rFonts w:ascii="Times New Roman" w:hAnsi="Times New Roman" w:cs="Times New Roman"/>
          <w:sz w:val="24"/>
          <w:szCs w:val="24"/>
        </w:rPr>
        <w:t xml:space="preserve"> focus on the residence requirements contained in the CRD marks a swing</w:t>
      </w:r>
      <w:r w:rsidR="0012755A">
        <w:rPr>
          <w:rFonts w:ascii="Times New Roman" w:hAnsi="Times New Roman" w:cs="Times New Roman"/>
          <w:sz w:val="24"/>
          <w:szCs w:val="24"/>
        </w:rPr>
        <w:t xml:space="preserve"> </w:t>
      </w:r>
      <w:r w:rsidR="002A2DE5">
        <w:rPr>
          <w:rFonts w:ascii="Times New Roman" w:hAnsi="Times New Roman" w:cs="Times New Roman"/>
          <w:sz w:val="24"/>
          <w:szCs w:val="24"/>
        </w:rPr>
        <w:t xml:space="preserve">away from </w:t>
      </w:r>
      <w:r w:rsidR="00726C64">
        <w:rPr>
          <w:rFonts w:ascii="Times New Roman" w:hAnsi="Times New Roman" w:cs="Times New Roman"/>
          <w:sz w:val="24"/>
          <w:szCs w:val="24"/>
        </w:rPr>
        <w:t>an emphasis on Union primary law as conferring free movement rights and facilitating the EU’s social integration objectives towards</w:t>
      </w:r>
      <w:r w:rsidR="002A2DE5">
        <w:rPr>
          <w:rFonts w:ascii="Times New Roman" w:hAnsi="Times New Roman" w:cs="Times New Roman"/>
          <w:sz w:val="24"/>
          <w:szCs w:val="24"/>
        </w:rPr>
        <w:t xml:space="preserve"> a preference for secondary Union legislation as constitutive of free movement</w:t>
      </w:r>
      <w:r w:rsidR="00726C64">
        <w:rPr>
          <w:rFonts w:ascii="Times New Roman" w:hAnsi="Times New Roman" w:cs="Times New Roman"/>
          <w:sz w:val="24"/>
          <w:szCs w:val="24"/>
        </w:rPr>
        <w:t xml:space="preserve"> rights.</w:t>
      </w:r>
      <w:r w:rsidR="002A2DE5">
        <w:rPr>
          <w:rStyle w:val="FootnoteReference"/>
          <w:rFonts w:ascii="Times New Roman" w:hAnsi="Times New Roman" w:cs="Times New Roman"/>
          <w:sz w:val="24"/>
          <w:szCs w:val="24"/>
        </w:rPr>
        <w:footnoteReference w:id="180"/>
      </w:r>
      <w:r w:rsidR="00726C64">
        <w:rPr>
          <w:rFonts w:ascii="Times New Roman" w:hAnsi="Times New Roman" w:cs="Times New Roman"/>
          <w:sz w:val="24"/>
          <w:szCs w:val="24"/>
        </w:rPr>
        <w:t xml:space="preserve"> EU citizens must fulfil their individual duty, understood as compliance with the residence requirements of the CRD, if they are to be c</w:t>
      </w:r>
      <w:r w:rsidR="00942E15">
        <w:rPr>
          <w:rFonts w:ascii="Times New Roman" w:hAnsi="Times New Roman" w:cs="Times New Roman"/>
          <w:sz w:val="24"/>
          <w:szCs w:val="24"/>
        </w:rPr>
        <w:t xml:space="preserve">onsidered sufficiently </w:t>
      </w:r>
      <w:r w:rsidR="00726C64">
        <w:rPr>
          <w:rFonts w:ascii="Times New Roman" w:hAnsi="Times New Roman" w:cs="Times New Roman"/>
          <w:sz w:val="24"/>
          <w:szCs w:val="24"/>
        </w:rPr>
        <w:t xml:space="preserve">integrated to access the domestic social space. Thus, in </w:t>
      </w:r>
      <w:proofErr w:type="spellStart"/>
      <w:r w:rsidR="00726C64">
        <w:rPr>
          <w:rFonts w:ascii="Times New Roman" w:hAnsi="Times New Roman" w:cs="Times New Roman"/>
          <w:i/>
          <w:sz w:val="24"/>
          <w:szCs w:val="24"/>
        </w:rPr>
        <w:t>Dano</w:t>
      </w:r>
      <w:proofErr w:type="spellEnd"/>
      <w:r w:rsidR="00726C64">
        <w:rPr>
          <w:rFonts w:ascii="Times New Roman" w:hAnsi="Times New Roman" w:cs="Times New Roman"/>
          <w:sz w:val="24"/>
          <w:szCs w:val="24"/>
        </w:rPr>
        <w:t>, while the Court made a cursory reference to Union citizenship as a personal and fundamental status,</w:t>
      </w:r>
      <w:r w:rsidR="00726C64">
        <w:rPr>
          <w:rStyle w:val="FootnoteReference"/>
          <w:rFonts w:ascii="Times New Roman" w:hAnsi="Times New Roman" w:cs="Times New Roman"/>
          <w:sz w:val="24"/>
          <w:szCs w:val="24"/>
        </w:rPr>
        <w:footnoteReference w:id="181"/>
      </w:r>
      <w:r w:rsidR="00726C64">
        <w:rPr>
          <w:rFonts w:ascii="Times New Roman" w:hAnsi="Times New Roman" w:cs="Times New Roman"/>
          <w:sz w:val="24"/>
          <w:szCs w:val="24"/>
        </w:rPr>
        <w:t xml:space="preserve"> it proceeded to treat Article 24 CRD as a concrete expression of the Treaty’s prohibition of discrimination on grounds of nationality and therefore held that Union citizens could only rely on equal treatment in their hos</w:t>
      </w:r>
      <w:r w:rsidR="00887E47">
        <w:rPr>
          <w:rFonts w:ascii="Times New Roman" w:hAnsi="Times New Roman" w:cs="Times New Roman"/>
          <w:sz w:val="24"/>
          <w:szCs w:val="24"/>
        </w:rPr>
        <w:t>t State if they resided there in accordance with the Directive,</w:t>
      </w:r>
      <w:r w:rsidR="00726C64">
        <w:rPr>
          <w:rStyle w:val="FootnoteReference"/>
          <w:rFonts w:ascii="Times New Roman" w:hAnsi="Times New Roman" w:cs="Times New Roman"/>
          <w:sz w:val="24"/>
          <w:szCs w:val="24"/>
        </w:rPr>
        <w:footnoteReference w:id="182"/>
      </w:r>
      <w:r w:rsidR="00DE5544">
        <w:rPr>
          <w:rFonts w:ascii="Times New Roman" w:hAnsi="Times New Roman" w:cs="Times New Roman"/>
          <w:sz w:val="24"/>
          <w:szCs w:val="24"/>
        </w:rPr>
        <w:t xml:space="preserve"> i.e.</w:t>
      </w:r>
      <w:r w:rsidR="00887E47">
        <w:rPr>
          <w:rFonts w:ascii="Times New Roman" w:hAnsi="Times New Roman" w:cs="Times New Roman"/>
          <w:sz w:val="24"/>
          <w:szCs w:val="24"/>
        </w:rPr>
        <w:t xml:space="preserve"> through economic activity or self-sufficiency.</w:t>
      </w:r>
      <w:r w:rsidR="00726C64">
        <w:rPr>
          <w:rFonts w:ascii="Times New Roman" w:hAnsi="Times New Roman" w:cs="Times New Roman"/>
          <w:sz w:val="24"/>
          <w:szCs w:val="24"/>
        </w:rPr>
        <w:t xml:space="preserve"> </w:t>
      </w:r>
      <w:r w:rsidR="00887E47">
        <w:rPr>
          <w:rFonts w:ascii="Times New Roman" w:hAnsi="Times New Roman" w:cs="Times New Roman"/>
          <w:sz w:val="24"/>
          <w:szCs w:val="24"/>
        </w:rPr>
        <w:t xml:space="preserve">The subsequent </w:t>
      </w:r>
      <w:r w:rsidR="00887E47">
        <w:rPr>
          <w:rFonts w:ascii="Times New Roman" w:hAnsi="Times New Roman" w:cs="Times New Roman"/>
          <w:i/>
          <w:sz w:val="24"/>
          <w:szCs w:val="24"/>
        </w:rPr>
        <w:t xml:space="preserve">Commission v UK </w:t>
      </w:r>
      <w:r w:rsidR="00887E47">
        <w:rPr>
          <w:rFonts w:ascii="Times New Roman" w:hAnsi="Times New Roman" w:cs="Times New Roman"/>
          <w:sz w:val="24"/>
          <w:szCs w:val="24"/>
        </w:rPr>
        <w:t>case</w:t>
      </w:r>
      <w:r w:rsidR="0012755A">
        <w:rPr>
          <w:rFonts w:ascii="Times New Roman" w:hAnsi="Times New Roman" w:cs="Times New Roman"/>
          <w:sz w:val="24"/>
          <w:szCs w:val="24"/>
        </w:rPr>
        <w:t xml:space="preserve"> was decided entirely by reference to secondary Union legislation and there was no mention of EU citizenship as a fundamental status of Member State nationals.</w:t>
      </w:r>
      <w:r w:rsidR="0012755A">
        <w:rPr>
          <w:rStyle w:val="FootnoteReference"/>
          <w:rFonts w:ascii="Times New Roman" w:hAnsi="Times New Roman" w:cs="Times New Roman"/>
          <w:sz w:val="24"/>
          <w:szCs w:val="24"/>
        </w:rPr>
        <w:footnoteReference w:id="183"/>
      </w:r>
      <w:r w:rsidR="00CC3A7A">
        <w:rPr>
          <w:rFonts w:ascii="Times New Roman" w:hAnsi="Times New Roman" w:cs="Times New Roman"/>
          <w:sz w:val="24"/>
          <w:szCs w:val="24"/>
        </w:rPr>
        <w:t xml:space="preserve"> </w:t>
      </w:r>
    </w:p>
    <w:p w:rsidR="00942E15" w:rsidRDefault="00CC3A7A" w:rsidP="00942E15">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This has also meant </w:t>
      </w:r>
      <w:r w:rsidR="00887E47">
        <w:rPr>
          <w:rFonts w:ascii="Times New Roman" w:hAnsi="Times New Roman" w:cs="Times New Roman"/>
          <w:sz w:val="24"/>
          <w:szCs w:val="24"/>
        </w:rPr>
        <w:t>the gradual disappearance of</w:t>
      </w:r>
      <w:r>
        <w:rPr>
          <w:rFonts w:ascii="Times New Roman" w:hAnsi="Times New Roman" w:cs="Times New Roman"/>
          <w:sz w:val="24"/>
          <w:szCs w:val="24"/>
        </w:rPr>
        <w:t xml:space="preserve"> individualised assessments. In the days of </w:t>
      </w:r>
      <w:proofErr w:type="spellStart"/>
      <w:r>
        <w:rPr>
          <w:rFonts w:ascii="Times New Roman" w:hAnsi="Times New Roman" w:cs="Times New Roman"/>
          <w:i/>
          <w:sz w:val="24"/>
          <w:szCs w:val="24"/>
        </w:rPr>
        <w:t>Grzelczyk</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 requirement that Member States consider whether a person, based on their individual circumstances, might still be legally resident and therefore entitled to equal access to domestic social assistance was reflective of the view of social integration as a Union a</w:t>
      </w:r>
      <w:r w:rsidR="00887E47">
        <w:rPr>
          <w:rFonts w:ascii="Times New Roman" w:hAnsi="Times New Roman" w:cs="Times New Roman"/>
          <w:sz w:val="24"/>
          <w:szCs w:val="24"/>
        </w:rPr>
        <w:t>im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w:t>
      </w:r>
      <w:proofErr w:type="spellStart"/>
      <w:r>
        <w:rPr>
          <w:rFonts w:ascii="Times New Roman" w:hAnsi="Times New Roman" w:cs="Times New Roman"/>
          <w:i/>
          <w:sz w:val="24"/>
          <w:szCs w:val="24"/>
        </w:rPr>
        <w:t>Dano</w:t>
      </w:r>
      <w:proofErr w:type="spellEnd"/>
      <w:r>
        <w:rPr>
          <w:rFonts w:ascii="Times New Roman" w:hAnsi="Times New Roman" w:cs="Times New Roman"/>
          <w:sz w:val="24"/>
          <w:szCs w:val="24"/>
        </w:rPr>
        <w:t>, no individualised</w:t>
      </w:r>
      <w:r w:rsidR="00887E47">
        <w:rPr>
          <w:rFonts w:ascii="Times New Roman" w:hAnsi="Times New Roman" w:cs="Times New Roman"/>
          <w:sz w:val="24"/>
          <w:szCs w:val="24"/>
        </w:rPr>
        <w:t xml:space="preserve"> assessment</w:t>
      </w:r>
      <w:r>
        <w:rPr>
          <w:rFonts w:ascii="Times New Roman" w:hAnsi="Times New Roman" w:cs="Times New Roman"/>
          <w:sz w:val="24"/>
          <w:szCs w:val="24"/>
        </w:rPr>
        <w:t xml:space="preserve"> was carried out.</w:t>
      </w:r>
      <w:r w:rsidR="00DE5544">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w:t>
      </w:r>
      <w:r w:rsidR="00CA3A47">
        <w:rPr>
          <w:rFonts w:ascii="Times New Roman" w:hAnsi="Times New Roman" w:cs="Times New Roman"/>
          <w:sz w:val="24"/>
          <w:szCs w:val="24"/>
        </w:rPr>
        <w:t>Instead, the Court</w:t>
      </w:r>
      <w:r w:rsidR="0012755A">
        <w:rPr>
          <w:rFonts w:ascii="Times New Roman" w:hAnsi="Times New Roman" w:cs="Times New Roman"/>
          <w:sz w:val="24"/>
          <w:szCs w:val="24"/>
        </w:rPr>
        <w:t xml:space="preserve"> appeared to accept that an application for social benefits would indicate a lack of sufficient resources, a consequent absence of residence rights, and therefore, an inability to trigger the equal treatment rights that could entitle an individual to social assistance.</w:t>
      </w:r>
      <w:r w:rsidR="0012755A">
        <w:rPr>
          <w:rStyle w:val="FootnoteReference"/>
          <w:rFonts w:ascii="Times New Roman" w:hAnsi="Times New Roman" w:cs="Times New Roman"/>
          <w:sz w:val="24"/>
          <w:szCs w:val="24"/>
        </w:rPr>
        <w:footnoteReference w:id="185"/>
      </w:r>
      <w:r w:rsidR="0012755A">
        <w:rPr>
          <w:rFonts w:ascii="Times New Roman" w:hAnsi="Times New Roman" w:cs="Times New Roman"/>
          <w:sz w:val="24"/>
          <w:szCs w:val="24"/>
        </w:rPr>
        <w:t xml:space="preserve"> </w:t>
      </w:r>
      <w:r>
        <w:rPr>
          <w:rFonts w:ascii="Times New Roman" w:hAnsi="Times New Roman" w:cs="Times New Roman"/>
          <w:sz w:val="24"/>
          <w:szCs w:val="24"/>
        </w:rPr>
        <w:t xml:space="preserve">Since then, the Court has also found the time-limits contained in the CRD, for instance as regards retention of worker-status or </w:t>
      </w:r>
      <w:r w:rsidR="00301325">
        <w:rPr>
          <w:rFonts w:ascii="Times New Roman" w:hAnsi="Times New Roman" w:cs="Times New Roman"/>
          <w:sz w:val="24"/>
          <w:szCs w:val="24"/>
        </w:rPr>
        <w:t>in respect of</w:t>
      </w:r>
      <w:r>
        <w:rPr>
          <w:rFonts w:ascii="Times New Roman" w:hAnsi="Times New Roman" w:cs="Times New Roman"/>
          <w:sz w:val="24"/>
          <w:szCs w:val="24"/>
        </w:rPr>
        <w:t xml:space="preserve"> the initial right of residence under Article 6 CRD, to cater sufficiently for a person’s situation, without an individualised assessment of their personal circumstances being necessary.</w:t>
      </w:r>
      <w:r w:rsidR="00A563DA">
        <w:rPr>
          <w:rStyle w:val="FootnoteReference"/>
          <w:rFonts w:ascii="Times New Roman" w:hAnsi="Times New Roman" w:cs="Times New Roman"/>
          <w:sz w:val="24"/>
          <w:szCs w:val="24"/>
        </w:rPr>
        <w:footnoteReference w:id="186"/>
      </w:r>
      <w:r w:rsidR="00195B8F">
        <w:rPr>
          <w:rFonts w:ascii="Times New Roman" w:hAnsi="Times New Roman" w:cs="Times New Roman"/>
          <w:sz w:val="24"/>
          <w:szCs w:val="24"/>
        </w:rPr>
        <w:t xml:space="preserve"> In addition, it has</w:t>
      </w:r>
      <w:r w:rsidR="00301325">
        <w:rPr>
          <w:rFonts w:ascii="Times New Roman" w:hAnsi="Times New Roman" w:cs="Times New Roman"/>
          <w:sz w:val="24"/>
          <w:szCs w:val="24"/>
        </w:rPr>
        <w:t xml:space="preserve"> asserted that</w:t>
      </w:r>
      <w:r w:rsidR="00942E15">
        <w:rPr>
          <w:rFonts w:ascii="Times New Roman" w:hAnsi="Times New Roman" w:cs="Times New Roman"/>
          <w:sz w:val="24"/>
          <w:szCs w:val="24"/>
        </w:rPr>
        <w:t xml:space="preserve"> “</w:t>
      </w:r>
      <w:r w:rsidR="0012755A">
        <w:rPr>
          <w:rFonts w:ascii="Times New Roman" w:hAnsi="Times New Roman" w:cs="Times New Roman"/>
          <w:sz w:val="24"/>
          <w:szCs w:val="24"/>
        </w:rPr>
        <w:t>while a single applicant can scarcely be described as an ‘unreasonable burden’…the accumulation of all individual claims which would be submitted would be b</w:t>
      </w:r>
      <w:r w:rsidR="00942E15">
        <w:rPr>
          <w:rFonts w:ascii="Times New Roman" w:hAnsi="Times New Roman" w:cs="Times New Roman"/>
          <w:sz w:val="24"/>
          <w:szCs w:val="24"/>
        </w:rPr>
        <w:t>ound to do so”</w:t>
      </w:r>
      <w:r w:rsidR="0012755A">
        <w:rPr>
          <w:rFonts w:ascii="Times New Roman" w:hAnsi="Times New Roman" w:cs="Times New Roman"/>
          <w:sz w:val="24"/>
          <w:szCs w:val="24"/>
        </w:rPr>
        <w:t>.</w:t>
      </w:r>
      <w:r w:rsidR="0012755A">
        <w:rPr>
          <w:rStyle w:val="FootnoteReference"/>
          <w:rFonts w:ascii="Times New Roman" w:hAnsi="Times New Roman" w:cs="Times New Roman"/>
          <w:sz w:val="24"/>
          <w:szCs w:val="24"/>
        </w:rPr>
        <w:footnoteReference w:id="187"/>
      </w:r>
      <w:r w:rsidR="00D644B1">
        <w:rPr>
          <w:rFonts w:ascii="Times New Roman" w:hAnsi="Times New Roman" w:cs="Times New Roman"/>
          <w:sz w:val="24"/>
          <w:szCs w:val="24"/>
        </w:rPr>
        <w:t xml:space="preserve"> Accordingly, social integration is no longer understood as a Union aim that</w:t>
      </w:r>
      <w:r w:rsidR="00942E15">
        <w:rPr>
          <w:rFonts w:ascii="Times New Roman" w:hAnsi="Times New Roman" w:cs="Times New Roman"/>
          <w:sz w:val="24"/>
          <w:szCs w:val="24"/>
        </w:rPr>
        <w:t xml:space="preserve"> obliges Member States to show financial solidarity</w:t>
      </w:r>
      <w:r w:rsidR="00D644B1">
        <w:rPr>
          <w:rFonts w:ascii="Times New Roman" w:hAnsi="Times New Roman" w:cs="Times New Roman"/>
          <w:sz w:val="24"/>
          <w:szCs w:val="24"/>
        </w:rPr>
        <w:t xml:space="preserve"> to one another’s nationals by taking their individual situations into account. </w:t>
      </w:r>
      <w:r w:rsidR="0012755A">
        <w:rPr>
          <w:rFonts w:ascii="Times New Roman" w:hAnsi="Times New Roman" w:cs="Times New Roman"/>
          <w:sz w:val="24"/>
          <w:szCs w:val="24"/>
        </w:rPr>
        <w:t xml:space="preserve">Instead, in not performing their economic duty, non-economically active Union citizens are considered a collective, foreign burden. Indeed, in </w:t>
      </w:r>
      <w:r w:rsidR="0012755A">
        <w:rPr>
          <w:rFonts w:ascii="Times New Roman" w:hAnsi="Times New Roman" w:cs="Times New Roman"/>
          <w:i/>
          <w:sz w:val="24"/>
          <w:szCs w:val="24"/>
        </w:rPr>
        <w:t>Garcia-Nieto</w:t>
      </w:r>
      <w:r w:rsidR="0012755A">
        <w:rPr>
          <w:rFonts w:ascii="Times New Roman" w:hAnsi="Times New Roman" w:cs="Times New Roman"/>
          <w:sz w:val="24"/>
          <w:szCs w:val="24"/>
        </w:rPr>
        <w:t xml:space="preserve">, having </w:t>
      </w:r>
      <w:r w:rsidR="00942E15">
        <w:rPr>
          <w:rFonts w:ascii="Times New Roman" w:hAnsi="Times New Roman" w:cs="Times New Roman"/>
          <w:sz w:val="24"/>
          <w:szCs w:val="24"/>
        </w:rPr>
        <w:t>found it permissible to define “legal residence”</w:t>
      </w:r>
      <w:r w:rsidR="0012755A">
        <w:rPr>
          <w:rFonts w:ascii="Times New Roman" w:hAnsi="Times New Roman" w:cs="Times New Roman"/>
          <w:sz w:val="24"/>
          <w:szCs w:val="24"/>
        </w:rPr>
        <w:t xml:space="preserve"> and equal treatment by reference to the CRD, the Court considered it unnecessary to answer the referring court’s </w:t>
      </w:r>
      <w:r w:rsidR="00DB1CE4">
        <w:rPr>
          <w:rFonts w:ascii="Times New Roman" w:hAnsi="Times New Roman" w:cs="Times New Roman"/>
          <w:sz w:val="24"/>
          <w:szCs w:val="24"/>
        </w:rPr>
        <w:t>question as regards whether the EU</w:t>
      </w:r>
      <w:r w:rsidR="0012755A">
        <w:rPr>
          <w:rFonts w:ascii="Times New Roman" w:hAnsi="Times New Roman" w:cs="Times New Roman"/>
          <w:sz w:val="24"/>
          <w:szCs w:val="24"/>
        </w:rPr>
        <w:t xml:space="preserve"> citizens</w:t>
      </w:r>
      <w:r w:rsidR="00DB1CE4">
        <w:rPr>
          <w:rFonts w:ascii="Times New Roman" w:hAnsi="Times New Roman" w:cs="Times New Roman"/>
          <w:sz w:val="24"/>
          <w:szCs w:val="24"/>
        </w:rPr>
        <w:t xml:space="preserve"> concerned</w:t>
      </w:r>
      <w:r w:rsidR="0012755A">
        <w:rPr>
          <w:rFonts w:ascii="Times New Roman" w:hAnsi="Times New Roman" w:cs="Times New Roman"/>
          <w:sz w:val="24"/>
          <w:szCs w:val="24"/>
        </w:rPr>
        <w:t xml:space="preserve"> should be able to access eq</w:t>
      </w:r>
      <w:r w:rsidR="00942E15">
        <w:rPr>
          <w:rFonts w:ascii="Times New Roman" w:hAnsi="Times New Roman" w:cs="Times New Roman"/>
          <w:sz w:val="24"/>
          <w:szCs w:val="24"/>
        </w:rPr>
        <w:t>ual treatment by demonstrating “</w:t>
      </w:r>
      <w:r w:rsidR="0012755A">
        <w:rPr>
          <w:rFonts w:ascii="Times New Roman" w:hAnsi="Times New Roman" w:cs="Times New Roman"/>
          <w:sz w:val="24"/>
          <w:szCs w:val="24"/>
        </w:rPr>
        <w:t xml:space="preserve">a genuine </w:t>
      </w:r>
      <w:r w:rsidR="00942E15">
        <w:rPr>
          <w:rFonts w:ascii="Times New Roman" w:hAnsi="Times New Roman" w:cs="Times New Roman"/>
          <w:sz w:val="24"/>
          <w:szCs w:val="24"/>
        </w:rPr>
        <w:t>link to their host Member State”</w:t>
      </w:r>
      <w:r w:rsidR="0012755A">
        <w:rPr>
          <w:rFonts w:ascii="Times New Roman" w:hAnsi="Times New Roman" w:cs="Times New Roman"/>
          <w:sz w:val="24"/>
          <w:szCs w:val="24"/>
        </w:rPr>
        <w:t xml:space="preserve"> in some other way</w:t>
      </w:r>
      <w:r w:rsidR="006D55A0">
        <w:rPr>
          <w:rFonts w:ascii="Times New Roman" w:hAnsi="Times New Roman" w:cs="Times New Roman"/>
          <w:sz w:val="24"/>
          <w:szCs w:val="24"/>
        </w:rPr>
        <w:t xml:space="preserve"> than economic activity</w:t>
      </w:r>
      <w:r w:rsidR="002375AF">
        <w:rPr>
          <w:rFonts w:ascii="Times New Roman" w:hAnsi="Times New Roman" w:cs="Times New Roman"/>
          <w:sz w:val="24"/>
          <w:szCs w:val="24"/>
        </w:rPr>
        <w:t xml:space="preserve"> or self-sufficiency</w:t>
      </w:r>
      <w:r w:rsidR="0012755A">
        <w:rPr>
          <w:rFonts w:ascii="Times New Roman" w:hAnsi="Times New Roman" w:cs="Times New Roman"/>
          <w:sz w:val="24"/>
          <w:szCs w:val="24"/>
        </w:rPr>
        <w:t>.</w:t>
      </w:r>
      <w:r w:rsidR="0012755A">
        <w:rPr>
          <w:rStyle w:val="FootnoteReference"/>
          <w:rFonts w:ascii="Times New Roman" w:hAnsi="Times New Roman" w:cs="Times New Roman"/>
          <w:sz w:val="24"/>
          <w:szCs w:val="24"/>
        </w:rPr>
        <w:footnoteReference w:id="188"/>
      </w:r>
      <w:r w:rsidR="00320DD7">
        <w:rPr>
          <w:rFonts w:ascii="Times New Roman" w:hAnsi="Times New Roman" w:cs="Times New Roman"/>
          <w:sz w:val="24"/>
          <w:szCs w:val="24"/>
        </w:rPr>
        <w:t xml:space="preserve"> Similarly, in </w:t>
      </w:r>
      <w:proofErr w:type="spellStart"/>
      <w:r w:rsidR="00320DD7">
        <w:rPr>
          <w:rFonts w:ascii="Times New Roman" w:hAnsi="Times New Roman" w:cs="Times New Roman"/>
          <w:i/>
          <w:sz w:val="24"/>
          <w:szCs w:val="24"/>
        </w:rPr>
        <w:t>Alimanovic</w:t>
      </w:r>
      <w:proofErr w:type="spellEnd"/>
      <w:r w:rsidR="00320DD7">
        <w:rPr>
          <w:rFonts w:ascii="Times New Roman" w:hAnsi="Times New Roman" w:cs="Times New Roman"/>
          <w:sz w:val="24"/>
          <w:szCs w:val="24"/>
        </w:rPr>
        <w:t xml:space="preserve">, the Court did not engage with the applicants’ longstanding links with the German labour market, when considering whether they should enjoy equal access to social assistance, instead focusing on </w:t>
      </w:r>
      <w:r w:rsidR="00942E15">
        <w:rPr>
          <w:rFonts w:ascii="Times New Roman" w:hAnsi="Times New Roman" w:cs="Times New Roman"/>
          <w:sz w:val="24"/>
          <w:szCs w:val="24"/>
        </w:rPr>
        <w:t>their formal categorisation as “</w:t>
      </w:r>
      <w:r w:rsidR="00320DD7">
        <w:rPr>
          <w:rFonts w:ascii="Times New Roman" w:hAnsi="Times New Roman" w:cs="Times New Roman"/>
          <w:sz w:val="24"/>
          <w:szCs w:val="24"/>
        </w:rPr>
        <w:t>jo</w:t>
      </w:r>
      <w:r w:rsidR="00942E15">
        <w:rPr>
          <w:rFonts w:ascii="Times New Roman" w:hAnsi="Times New Roman" w:cs="Times New Roman"/>
          <w:sz w:val="24"/>
          <w:szCs w:val="24"/>
        </w:rPr>
        <w:t>b-seekers”</w:t>
      </w:r>
      <w:r w:rsidR="00320DD7">
        <w:rPr>
          <w:rFonts w:ascii="Times New Roman" w:hAnsi="Times New Roman" w:cs="Times New Roman"/>
          <w:sz w:val="24"/>
          <w:szCs w:val="24"/>
        </w:rPr>
        <w:t>.</w:t>
      </w:r>
      <w:r w:rsidR="00320DD7">
        <w:rPr>
          <w:rStyle w:val="FootnoteReference"/>
          <w:rFonts w:ascii="Times New Roman" w:hAnsi="Times New Roman" w:cs="Times New Roman"/>
          <w:sz w:val="24"/>
          <w:szCs w:val="24"/>
        </w:rPr>
        <w:footnoteReference w:id="189"/>
      </w:r>
      <w:r w:rsidR="00320DD7">
        <w:rPr>
          <w:rFonts w:ascii="Times New Roman" w:hAnsi="Times New Roman" w:cs="Times New Roman"/>
          <w:sz w:val="24"/>
          <w:szCs w:val="24"/>
        </w:rPr>
        <w:t xml:space="preserve"> </w:t>
      </w:r>
      <w:r w:rsidR="0082738C">
        <w:rPr>
          <w:rFonts w:ascii="Times New Roman" w:hAnsi="Times New Roman" w:cs="Times New Roman"/>
          <w:sz w:val="24"/>
          <w:szCs w:val="24"/>
        </w:rPr>
        <w:t>This approach can hardly</w:t>
      </w:r>
      <w:r w:rsidR="002074B6">
        <w:rPr>
          <w:rFonts w:ascii="Times New Roman" w:hAnsi="Times New Roman" w:cs="Times New Roman"/>
          <w:sz w:val="24"/>
          <w:szCs w:val="24"/>
        </w:rPr>
        <w:t xml:space="preserve"> be said to reflect a model of social integration</w:t>
      </w:r>
      <w:r w:rsidR="0082738C">
        <w:rPr>
          <w:rFonts w:ascii="Times New Roman" w:hAnsi="Times New Roman" w:cs="Times New Roman"/>
          <w:sz w:val="24"/>
          <w:szCs w:val="24"/>
        </w:rPr>
        <w:t xml:space="preserve"> focused of redefining the boundaries of the welfare state. In truth, it cannot even be understood as an individual duty to integrate oneself into the host State society, since wider integrative links appear immaterial. Thus, the Union approach to ‘social integration’ in this context appears to b</w:t>
      </w:r>
      <w:r w:rsidR="00D459C5">
        <w:rPr>
          <w:rFonts w:ascii="Times New Roman" w:hAnsi="Times New Roman" w:cs="Times New Roman"/>
          <w:sz w:val="24"/>
          <w:szCs w:val="24"/>
        </w:rPr>
        <w:t>e to consider it an irrelevance. T</w:t>
      </w:r>
      <w:r w:rsidR="0082738C">
        <w:rPr>
          <w:rFonts w:ascii="Times New Roman" w:hAnsi="Times New Roman" w:cs="Times New Roman"/>
          <w:sz w:val="24"/>
          <w:szCs w:val="24"/>
        </w:rPr>
        <w:t>he emphasis</w:t>
      </w:r>
      <w:r w:rsidR="00D459C5">
        <w:rPr>
          <w:rFonts w:ascii="Times New Roman" w:hAnsi="Times New Roman" w:cs="Times New Roman"/>
          <w:sz w:val="24"/>
          <w:szCs w:val="24"/>
        </w:rPr>
        <w:t>,</w:t>
      </w:r>
      <w:r w:rsidR="0082738C">
        <w:rPr>
          <w:rFonts w:ascii="Times New Roman" w:hAnsi="Times New Roman" w:cs="Times New Roman"/>
          <w:sz w:val="24"/>
          <w:szCs w:val="24"/>
        </w:rPr>
        <w:t xml:space="preserve"> instead,</w:t>
      </w:r>
      <w:r w:rsidR="00D459C5">
        <w:rPr>
          <w:rFonts w:ascii="Times New Roman" w:hAnsi="Times New Roman" w:cs="Times New Roman"/>
          <w:sz w:val="24"/>
          <w:szCs w:val="24"/>
        </w:rPr>
        <w:t xml:space="preserve"> is</w:t>
      </w:r>
      <w:r w:rsidR="0082738C">
        <w:rPr>
          <w:rFonts w:ascii="Times New Roman" w:hAnsi="Times New Roman" w:cs="Times New Roman"/>
          <w:sz w:val="24"/>
          <w:szCs w:val="24"/>
        </w:rPr>
        <w:t xml:space="preserve"> on the much narrower duty to reside in one’s host State in</w:t>
      </w:r>
      <w:r w:rsidR="00D459C5">
        <w:rPr>
          <w:rFonts w:ascii="Times New Roman" w:hAnsi="Times New Roman" w:cs="Times New Roman"/>
          <w:sz w:val="24"/>
          <w:szCs w:val="24"/>
        </w:rPr>
        <w:t xml:space="preserve"> strict accordance with the</w:t>
      </w:r>
      <w:r w:rsidR="00EA28A4">
        <w:rPr>
          <w:rFonts w:ascii="Times New Roman" w:hAnsi="Times New Roman" w:cs="Times New Roman"/>
          <w:sz w:val="24"/>
          <w:szCs w:val="24"/>
        </w:rPr>
        <w:t xml:space="preserve"> residence </w:t>
      </w:r>
      <w:r w:rsidR="00EA28A4">
        <w:rPr>
          <w:rFonts w:ascii="Times New Roman" w:hAnsi="Times New Roman" w:cs="Times New Roman"/>
          <w:sz w:val="24"/>
          <w:szCs w:val="24"/>
        </w:rPr>
        <w:lastRenderedPageBreak/>
        <w:t>requirements of the</w:t>
      </w:r>
      <w:r w:rsidR="00D459C5">
        <w:rPr>
          <w:rFonts w:ascii="Times New Roman" w:hAnsi="Times New Roman" w:cs="Times New Roman"/>
          <w:sz w:val="24"/>
          <w:szCs w:val="24"/>
        </w:rPr>
        <w:t xml:space="preserve"> CRD, which have their origins in the economic integration of the internal market.</w:t>
      </w:r>
    </w:p>
    <w:p w:rsidR="006401E3" w:rsidRDefault="00D67D37" w:rsidP="006401E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Finally, </w:t>
      </w:r>
      <w:proofErr w:type="spellStart"/>
      <w:r>
        <w:rPr>
          <w:rFonts w:ascii="Times New Roman" w:hAnsi="Times New Roman" w:cs="Times New Roman"/>
          <w:i/>
          <w:sz w:val="24"/>
          <w:szCs w:val="24"/>
        </w:rPr>
        <w:t>Dano</w:t>
      </w:r>
      <w:proofErr w:type="spellEnd"/>
      <w:r>
        <w:rPr>
          <w:rFonts w:ascii="Times New Roman" w:hAnsi="Times New Roman" w:cs="Times New Roman"/>
          <w:i/>
          <w:sz w:val="24"/>
          <w:szCs w:val="24"/>
        </w:rPr>
        <w:t xml:space="preserve"> </w:t>
      </w:r>
      <w:r w:rsidR="00E53CFF">
        <w:rPr>
          <w:rFonts w:ascii="Times New Roman" w:hAnsi="Times New Roman" w:cs="Times New Roman"/>
          <w:sz w:val="24"/>
          <w:szCs w:val="24"/>
        </w:rPr>
        <w:t xml:space="preserve">sees this approach to integration dominate the </w:t>
      </w:r>
      <w:r>
        <w:rPr>
          <w:rFonts w:ascii="Times New Roman" w:hAnsi="Times New Roman" w:cs="Times New Roman"/>
          <w:sz w:val="24"/>
          <w:szCs w:val="24"/>
        </w:rPr>
        <w:t>wider coordination of the Europ</w:t>
      </w:r>
      <w:r w:rsidR="0008173F">
        <w:rPr>
          <w:rFonts w:ascii="Times New Roman" w:hAnsi="Times New Roman" w:cs="Times New Roman"/>
          <w:sz w:val="24"/>
          <w:szCs w:val="24"/>
        </w:rPr>
        <w:t>ean social space. Specifically, as already touched upon, anothe</w:t>
      </w:r>
      <w:r w:rsidR="002074B6">
        <w:rPr>
          <w:rFonts w:ascii="Times New Roman" w:hAnsi="Times New Roman" w:cs="Times New Roman"/>
          <w:sz w:val="24"/>
          <w:szCs w:val="24"/>
        </w:rPr>
        <w:t>r understanding of social integration</w:t>
      </w:r>
      <w:r w:rsidR="0008173F">
        <w:rPr>
          <w:rFonts w:ascii="Times New Roman" w:hAnsi="Times New Roman" w:cs="Times New Roman"/>
          <w:sz w:val="24"/>
          <w:szCs w:val="24"/>
        </w:rPr>
        <w:t xml:space="preserve"> in the EU context might be the coordin</w:t>
      </w:r>
      <w:r w:rsidR="002074B6">
        <w:rPr>
          <w:rFonts w:ascii="Times New Roman" w:hAnsi="Times New Roman" w:cs="Times New Roman"/>
          <w:sz w:val="24"/>
          <w:szCs w:val="24"/>
        </w:rPr>
        <w:t>ation of a European social area</w:t>
      </w:r>
      <w:r w:rsidR="0008173F">
        <w:rPr>
          <w:rFonts w:ascii="Times New Roman" w:hAnsi="Times New Roman" w:cs="Times New Roman"/>
          <w:sz w:val="24"/>
          <w:szCs w:val="24"/>
        </w:rPr>
        <w:t xml:space="preserve"> that offers certain social protections whilst facilitating free movement.</w:t>
      </w:r>
      <w:r w:rsidR="00E53CFF">
        <w:rPr>
          <w:rFonts w:ascii="Times New Roman" w:hAnsi="Times New Roman" w:cs="Times New Roman"/>
          <w:sz w:val="24"/>
          <w:szCs w:val="24"/>
        </w:rPr>
        <w:t xml:space="preserve"> However,</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Brey</w:t>
      </w:r>
      <w:proofErr w:type="spellEnd"/>
      <w:r>
        <w:rPr>
          <w:rStyle w:val="FootnoteReference"/>
          <w:rFonts w:ascii="Times New Roman" w:hAnsi="Times New Roman" w:cs="Times New Roman"/>
          <w:i/>
          <w:sz w:val="24"/>
          <w:szCs w:val="24"/>
        </w:rPr>
        <w:footnoteReference w:id="190"/>
      </w:r>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Dano</w:t>
      </w:r>
      <w:proofErr w:type="spellEnd"/>
      <w:r w:rsidR="00E53CFF">
        <w:rPr>
          <w:rFonts w:ascii="Times New Roman" w:hAnsi="Times New Roman" w:cs="Times New Roman"/>
          <w:i/>
          <w:sz w:val="24"/>
          <w:szCs w:val="24"/>
        </w:rPr>
        <w:t>,</w:t>
      </w:r>
      <w:r>
        <w:rPr>
          <w:rFonts w:ascii="Times New Roman" w:hAnsi="Times New Roman" w:cs="Times New Roman"/>
          <w:i/>
          <w:sz w:val="24"/>
          <w:szCs w:val="24"/>
        </w:rPr>
        <w:t xml:space="preserve"> </w:t>
      </w:r>
      <w:r w:rsidR="00E53CFF">
        <w:rPr>
          <w:rFonts w:ascii="Times New Roman" w:hAnsi="Times New Roman" w:cs="Times New Roman"/>
          <w:sz w:val="24"/>
          <w:szCs w:val="24"/>
        </w:rPr>
        <w:t xml:space="preserve">the Court </w:t>
      </w:r>
      <w:r>
        <w:rPr>
          <w:rFonts w:ascii="Times New Roman" w:hAnsi="Times New Roman" w:cs="Times New Roman"/>
          <w:sz w:val="24"/>
          <w:szCs w:val="24"/>
        </w:rPr>
        <w:t>held that Member States could require non-national EU citizens to be residing in their territory in accorda</w:t>
      </w:r>
      <w:r w:rsidR="002074B6">
        <w:rPr>
          <w:rFonts w:ascii="Times New Roman" w:hAnsi="Times New Roman" w:cs="Times New Roman"/>
          <w:sz w:val="24"/>
          <w:szCs w:val="24"/>
        </w:rPr>
        <w:t>nce with the CRD for access to “</w:t>
      </w:r>
      <w:r>
        <w:rPr>
          <w:rFonts w:ascii="Times New Roman" w:hAnsi="Times New Roman" w:cs="Times New Roman"/>
          <w:sz w:val="24"/>
          <w:szCs w:val="24"/>
        </w:rPr>
        <w:t>special</w:t>
      </w:r>
      <w:r w:rsidR="002074B6">
        <w:rPr>
          <w:rFonts w:ascii="Times New Roman" w:hAnsi="Times New Roman" w:cs="Times New Roman"/>
          <w:sz w:val="24"/>
          <w:szCs w:val="24"/>
        </w:rPr>
        <w:t xml:space="preserve"> non-contributory cash benefits”</w:t>
      </w:r>
      <w:r>
        <w:rPr>
          <w:rFonts w:ascii="Times New Roman" w:hAnsi="Times New Roman" w:cs="Times New Roman"/>
          <w:sz w:val="24"/>
          <w:szCs w:val="24"/>
        </w:rPr>
        <w:t xml:space="preserve"> under Regulation </w:t>
      </w:r>
      <w:r w:rsidR="008F11E0">
        <w:rPr>
          <w:rFonts w:ascii="Times New Roman" w:hAnsi="Times New Roman" w:cs="Times New Roman"/>
          <w:sz w:val="24"/>
          <w:szCs w:val="24"/>
        </w:rPr>
        <w:t>883/2004. This was the case</w:t>
      </w:r>
      <w:r>
        <w:rPr>
          <w:rFonts w:ascii="Times New Roman" w:hAnsi="Times New Roman" w:cs="Times New Roman"/>
          <w:sz w:val="24"/>
          <w:szCs w:val="24"/>
        </w:rPr>
        <w:t xml:space="preserve"> </w:t>
      </w:r>
      <w:r w:rsidR="008F11E0">
        <w:rPr>
          <w:rFonts w:ascii="Times New Roman" w:hAnsi="Times New Roman" w:cs="Times New Roman"/>
          <w:sz w:val="24"/>
          <w:szCs w:val="24"/>
        </w:rPr>
        <w:t xml:space="preserve">even </w:t>
      </w:r>
      <w:r>
        <w:rPr>
          <w:rFonts w:ascii="Times New Roman" w:hAnsi="Times New Roman" w:cs="Times New Roman"/>
          <w:sz w:val="24"/>
          <w:szCs w:val="24"/>
        </w:rPr>
        <w:t>though the latter instrument use</w:t>
      </w:r>
      <w:r w:rsidR="00CB21DC">
        <w:rPr>
          <w:rFonts w:ascii="Times New Roman" w:hAnsi="Times New Roman" w:cs="Times New Roman"/>
          <w:sz w:val="24"/>
          <w:szCs w:val="24"/>
        </w:rPr>
        <w:t>s</w:t>
      </w:r>
      <w:r w:rsidR="002074B6">
        <w:rPr>
          <w:rFonts w:ascii="Times New Roman" w:hAnsi="Times New Roman" w:cs="Times New Roman"/>
          <w:sz w:val="24"/>
          <w:szCs w:val="24"/>
        </w:rPr>
        <w:t xml:space="preserve"> a broader “</w:t>
      </w:r>
      <w:r>
        <w:rPr>
          <w:rFonts w:ascii="Times New Roman" w:hAnsi="Times New Roman" w:cs="Times New Roman"/>
          <w:sz w:val="24"/>
          <w:szCs w:val="24"/>
        </w:rPr>
        <w:t>habitual reside</w:t>
      </w:r>
      <w:r w:rsidR="002074B6">
        <w:rPr>
          <w:rFonts w:ascii="Times New Roman" w:hAnsi="Times New Roman" w:cs="Times New Roman"/>
          <w:sz w:val="24"/>
          <w:szCs w:val="24"/>
        </w:rPr>
        <w:t>nce”</w:t>
      </w:r>
      <w:r w:rsidR="008F11E0">
        <w:rPr>
          <w:rFonts w:ascii="Times New Roman" w:hAnsi="Times New Roman" w:cs="Times New Roman"/>
          <w:sz w:val="24"/>
          <w:szCs w:val="24"/>
        </w:rPr>
        <w:t xml:space="preserve"> test,</w:t>
      </w:r>
      <w:r w:rsidR="008F11E0">
        <w:rPr>
          <w:rStyle w:val="FootnoteReference"/>
          <w:rFonts w:ascii="Times New Roman" w:hAnsi="Times New Roman" w:cs="Times New Roman"/>
          <w:sz w:val="24"/>
          <w:szCs w:val="24"/>
        </w:rPr>
        <w:footnoteReference w:id="191"/>
      </w:r>
      <w:r w:rsidR="008F11E0">
        <w:rPr>
          <w:rFonts w:ascii="Times New Roman" w:hAnsi="Times New Roman" w:cs="Times New Roman"/>
          <w:sz w:val="24"/>
          <w:szCs w:val="24"/>
        </w:rPr>
        <w:t xml:space="preserve"> as a means of determining which Member S</w:t>
      </w:r>
      <w:r w:rsidR="00CB21DC">
        <w:rPr>
          <w:rFonts w:ascii="Times New Roman" w:hAnsi="Times New Roman" w:cs="Times New Roman"/>
          <w:sz w:val="24"/>
          <w:szCs w:val="24"/>
        </w:rPr>
        <w:t>tate’s social security scheme i</w:t>
      </w:r>
      <w:r w:rsidR="008F11E0">
        <w:rPr>
          <w:rFonts w:ascii="Times New Roman" w:hAnsi="Times New Roman" w:cs="Times New Roman"/>
          <w:sz w:val="24"/>
          <w:szCs w:val="24"/>
        </w:rPr>
        <w:t>s responsible for Union citizens</w:t>
      </w:r>
      <w:r w:rsidR="003A08FE">
        <w:rPr>
          <w:rFonts w:ascii="Times New Roman" w:hAnsi="Times New Roman" w:cs="Times New Roman"/>
          <w:sz w:val="24"/>
          <w:szCs w:val="24"/>
        </w:rPr>
        <w:t xml:space="preserve"> </w:t>
      </w:r>
      <w:r w:rsidR="008F11E0">
        <w:rPr>
          <w:rFonts w:ascii="Times New Roman" w:hAnsi="Times New Roman" w:cs="Times New Roman"/>
          <w:sz w:val="24"/>
          <w:szCs w:val="24"/>
        </w:rPr>
        <w:t>in order to ensure that the exercise of free movement rights did not cause individuals to fall between Member State regimes.</w:t>
      </w:r>
      <w:r w:rsidR="00CA6F62">
        <w:rPr>
          <w:rFonts w:ascii="Times New Roman" w:hAnsi="Times New Roman" w:cs="Times New Roman"/>
          <w:sz w:val="24"/>
          <w:szCs w:val="24"/>
        </w:rPr>
        <w:t xml:space="preserve"> T</w:t>
      </w:r>
      <w:r w:rsidR="003A08FE">
        <w:rPr>
          <w:rFonts w:ascii="Times New Roman" w:hAnsi="Times New Roman" w:cs="Times New Roman"/>
          <w:sz w:val="24"/>
          <w:szCs w:val="24"/>
        </w:rPr>
        <w:t>he</w:t>
      </w:r>
      <w:r w:rsidR="00CA6F62">
        <w:rPr>
          <w:rFonts w:ascii="Times New Roman" w:hAnsi="Times New Roman" w:cs="Times New Roman"/>
          <w:sz w:val="24"/>
          <w:szCs w:val="24"/>
        </w:rPr>
        <w:t xml:space="preserve"> Court’s approach in </w:t>
      </w:r>
      <w:proofErr w:type="spellStart"/>
      <w:r w:rsidR="00CA6F62">
        <w:rPr>
          <w:rFonts w:ascii="Times New Roman" w:hAnsi="Times New Roman" w:cs="Times New Roman"/>
          <w:i/>
          <w:sz w:val="24"/>
          <w:szCs w:val="24"/>
        </w:rPr>
        <w:t>Brey</w:t>
      </w:r>
      <w:proofErr w:type="spellEnd"/>
      <w:r w:rsidR="00CA6F62">
        <w:rPr>
          <w:rFonts w:ascii="Times New Roman" w:hAnsi="Times New Roman" w:cs="Times New Roman"/>
          <w:i/>
          <w:sz w:val="24"/>
          <w:szCs w:val="24"/>
        </w:rPr>
        <w:t xml:space="preserve"> </w:t>
      </w:r>
      <w:r w:rsidR="00CA6F62">
        <w:rPr>
          <w:rFonts w:ascii="Times New Roman" w:hAnsi="Times New Roman" w:cs="Times New Roman"/>
          <w:sz w:val="24"/>
          <w:szCs w:val="24"/>
        </w:rPr>
        <w:t xml:space="preserve">and </w:t>
      </w:r>
      <w:proofErr w:type="spellStart"/>
      <w:r w:rsidR="00CA6F62">
        <w:rPr>
          <w:rFonts w:ascii="Times New Roman" w:hAnsi="Times New Roman" w:cs="Times New Roman"/>
          <w:i/>
          <w:sz w:val="24"/>
          <w:szCs w:val="24"/>
        </w:rPr>
        <w:t>Dano</w:t>
      </w:r>
      <w:proofErr w:type="spellEnd"/>
      <w:r w:rsidR="00CA6F62">
        <w:rPr>
          <w:rFonts w:ascii="Times New Roman" w:hAnsi="Times New Roman" w:cs="Times New Roman"/>
          <w:i/>
          <w:sz w:val="24"/>
          <w:szCs w:val="24"/>
        </w:rPr>
        <w:t xml:space="preserve"> </w:t>
      </w:r>
      <w:r w:rsidR="00CA6F62">
        <w:rPr>
          <w:rFonts w:ascii="Times New Roman" w:hAnsi="Times New Roman" w:cs="Times New Roman"/>
          <w:sz w:val="24"/>
          <w:szCs w:val="24"/>
        </w:rPr>
        <w:t>was ext</w:t>
      </w:r>
      <w:r w:rsidR="008F11E0">
        <w:rPr>
          <w:rFonts w:ascii="Times New Roman" w:hAnsi="Times New Roman" w:cs="Times New Roman"/>
          <w:sz w:val="24"/>
          <w:szCs w:val="24"/>
        </w:rPr>
        <w:t>ended to benefits falling</w:t>
      </w:r>
      <w:r w:rsidR="002074B6">
        <w:rPr>
          <w:rFonts w:ascii="Times New Roman" w:hAnsi="Times New Roman" w:cs="Times New Roman"/>
          <w:sz w:val="24"/>
          <w:szCs w:val="24"/>
        </w:rPr>
        <w:t xml:space="preserve"> firmly within the category of “social security”</w:t>
      </w:r>
      <w:r w:rsidR="008F11E0">
        <w:rPr>
          <w:rFonts w:ascii="Times New Roman" w:hAnsi="Times New Roman" w:cs="Times New Roman"/>
          <w:sz w:val="24"/>
          <w:szCs w:val="24"/>
        </w:rPr>
        <w:t xml:space="preserve"> in </w:t>
      </w:r>
      <w:r w:rsidR="008F11E0">
        <w:rPr>
          <w:rFonts w:ascii="Times New Roman" w:hAnsi="Times New Roman" w:cs="Times New Roman"/>
          <w:i/>
          <w:sz w:val="24"/>
          <w:szCs w:val="24"/>
        </w:rPr>
        <w:t>Commission v UK</w:t>
      </w:r>
      <w:r w:rsidR="00887E47">
        <w:rPr>
          <w:rFonts w:ascii="Times New Roman" w:hAnsi="Times New Roman" w:cs="Times New Roman"/>
          <w:sz w:val="24"/>
          <w:szCs w:val="24"/>
        </w:rPr>
        <w:t>,</w:t>
      </w:r>
      <w:r w:rsidR="008F11E0">
        <w:rPr>
          <w:rStyle w:val="FootnoteReference"/>
          <w:rFonts w:ascii="Times New Roman" w:hAnsi="Times New Roman" w:cs="Times New Roman"/>
          <w:sz w:val="24"/>
          <w:szCs w:val="24"/>
        </w:rPr>
        <w:footnoteReference w:id="192"/>
      </w:r>
      <w:r w:rsidR="00887E47">
        <w:rPr>
          <w:rFonts w:ascii="Times New Roman" w:hAnsi="Times New Roman" w:cs="Times New Roman"/>
          <w:sz w:val="24"/>
          <w:szCs w:val="24"/>
        </w:rPr>
        <w:t xml:space="preserve"> namely child benefit and child tax credit.</w:t>
      </w:r>
      <w:r w:rsidR="00CA6F62">
        <w:rPr>
          <w:rFonts w:ascii="Times New Roman" w:hAnsi="Times New Roman" w:cs="Times New Roman"/>
          <w:sz w:val="24"/>
          <w:szCs w:val="24"/>
        </w:rPr>
        <w:t xml:space="preserve"> </w:t>
      </w:r>
      <w:r w:rsidR="00887E47">
        <w:rPr>
          <w:rFonts w:ascii="Times New Roman" w:hAnsi="Times New Roman" w:cs="Times New Roman"/>
          <w:sz w:val="24"/>
          <w:szCs w:val="24"/>
        </w:rPr>
        <w:t>The Court</w:t>
      </w:r>
      <w:r w:rsidR="003A08FE">
        <w:rPr>
          <w:rFonts w:ascii="Times New Roman" w:hAnsi="Times New Roman" w:cs="Times New Roman"/>
          <w:sz w:val="24"/>
          <w:szCs w:val="24"/>
        </w:rPr>
        <w:t xml:space="preserve"> held that i</w:t>
      </w:r>
      <w:r w:rsidR="0012755A">
        <w:rPr>
          <w:rFonts w:ascii="Times New Roman" w:hAnsi="Times New Roman" w:cs="Times New Roman"/>
          <w:sz w:val="24"/>
          <w:szCs w:val="24"/>
        </w:rPr>
        <w:t>f a claimant were unable to acc</w:t>
      </w:r>
      <w:r w:rsidR="003A08FE">
        <w:rPr>
          <w:rFonts w:ascii="Times New Roman" w:hAnsi="Times New Roman" w:cs="Times New Roman"/>
          <w:sz w:val="24"/>
          <w:szCs w:val="24"/>
        </w:rPr>
        <w:t>ess social security because she/he</w:t>
      </w:r>
      <w:r w:rsidR="0012755A">
        <w:rPr>
          <w:rFonts w:ascii="Times New Roman" w:hAnsi="Times New Roman" w:cs="Times New Roman"/>
          <w:sz w:val="24"/>
          <w:szCs w:val="24"/>
        </w:rPr>
        <w:t xml:space="preserve"> did no</w:t>
      </w:r>
      <w:r w:rsidR="002074B6">
        <w:rPr>
          <w:rFonts w:ascii="Times New Roman" w:hAnsi="Times New Roman" w:cs="Times New Roman"/>
          <w:sz w:val="24"/>
          <w:szCs w:val="24"/>
        </w:rPr>
        <w:t>t meet the requirements of the “right to reside”</w:t>
      </w:r>
      <w:r w:rsidR="0012755A">
        <w:rPr>
          <w:rFonts w:ascii="Times New Roman" w:hAnsi="Times New Roman" w:cs="Times New Roman"/>
          <w:sz w:val="24"/>
          <w:szCs w:val="24"/>
        </w:rPr>
        <w:t xml:space="preserve"> test,</w:t>
      </w:r>
      <w:r w:rsidR="00CA6F62">
        <w:rPr>
          <w:rFonts w:ascii="Times New Roman" w:hAnsi="Times New Roman" w:cs="Times New Roman"/>
          <w:sz w:val="24"/>
          <w:szCs w:val="24"/>
        </w:rPr>
        <w:t xml:space="preserve"> i.e. residence in compliance with the CRD,</w:t>
      </w:r>
      <w:r w:rsidR="0012755A">
        <w:rPr>
          <w:rFonts w:ascii="Times New Roman" w:hAnsi="Times New Roman" w:cs="Times New Roman"/>
          <w:sz w:val="24"/>
          <w:szCs w:val="24"/>
        </w:rPr>
        <w:t xml:space="preserve"> this would be because she/he had failed to satisfy a substantive eligibility </w:t>
      </w:r>
      <w:r w:rsidR="00E53CFF">
        <w:rPr>
          <w:rFonts w:ascii="Times New Roman" w:hAnsi="Times New Roman" w:cs="Times New Roman"/>
          <w:sz w:val="24"/>
          <w:szCs w:val="24"/>
        </w:rPr>
        <w:t>condition within the applicable</w:t>
      </w:r>
      <w:r w:rsidR="0012755A">
        <w:rPr>
          <w:rFonts w:ascii="Times New Roman" w:hAnsi="Times New Roman" w:cs="Times New Roman"/>
          <w:sz w:val="24"/>
          <w:szCs w:val="24"/>
        </w:rPr>
        <w:t xml:space="preserve"> domestic social security regime</w:t>
      </w:r>
      <w:r w:rsidR="00CA6F62">
        <w:rPr>
          <w:rFonts w:ascii="Times New Roman" w:hAnsi="Times New Roman" w:cs="Times New Roman"/>
          <w:sz w:val="24"/>
          <w:szCs w:val="24"/>
        </w:rPr>
        <w:t>, which it was for individual Member States to lay down</w:t>
      </w:r>
      <w:r w:rsidR="003A08FE">
        <w:rPr>
          <w:rFonts w:ascii="Times New Roman" w:hAnsi="Times New Roman" w:cs="Times New Roman"/>
          <w:sz w:val="24"/>
          <w:szCs w:val="24"/>
        </w:rPr>
        <w:t>.</w:t>
      </w:r>
      <w:r w:rsidR="0012755A">
        <w:rPr>
          <w:rStyle w:val="FootnoteReference"/>
          <w:rFonts w:ascii="Times New Roman" w:hAnsi="Times New Roman" w:cs="Times New Roman"/>
          <w:sz w:val="24"/>
          <w:szCs w:val="24"/>
        </w:rPr>
        <w:footnoteReference w:id="193"/>
      </w:r>
      <w:r w:rsidR="00CA6F62">
        <w:rPr>
          <w:rFonts w:ascii="Times New Roman" w:hAnsi="Times New Roman" w:cs="Times New Roman"/>
          <w:sz w:val="24"/>
          <w:szCs w:val="24"/>
        </w:rPr>
        <w:t xml:space="preserve"> </w:t>
      </w:r>
      <w:r w:rsidR="002074B6">
        <w:rPr>
          <w:rFonts w:ascii="Times New Roman" w:hAnsi="Times New Roman" w:cs="Times New Roman"/>
          <w:sz w:val="24"/>
          <w:szCs w:val="24"/>
        </w:rPr>
        <w:t>Echoing the fallacious economic/social dichotomy, t</w:t>
      </w:r>
      <w:r w:rsidR="00CA6F62">
        <w:rPr>
          <w:rFonts w:ascii="Times New Roman" w:hAnsi="Times New Roman" w:cs="Times New Roman"/>
          <w:sz w:val="24"/>
          <w:szCs w:val="24"/>
        </w:rPr>
        <w:t xml:space="preserve">his over-emphasis on an EU citizen’s individual duty to reside in their host State in accordance with the CRD before she/he will be considered sufficiently integrated to access social support there undermines the Union’s </w:t>
      </w:r>
      <w:r w:rsidR="003A08FE">
        <w:rPr>
          <w:rFonts w:ascii="Times New Roman" w:hAnsi="Times New Roman" w:cs="Times New Roman"/>
          <w:sz w:val="24"/>
          <w:szCs w:val="24"/>
        </w:rPr>
        <w:t xml:space="preserve">wider </w:t>
      </w:r>
      <w:r w:rsidR="00CA6F62">
        <w:rPr>
          <w:rFonts w:ascii="Times New Roman" w:hAnsi="Times New Roman" w:cs="Times New Roman"/>
          <w:sz w:val="24"/>
          <w:szCs w:val="24"/>
        </w:rPr>
        <w:t>ambition of creating a</w:t>
      </w:r>
      <w:r w:rsidR="00887E47">
        <w:rPr>
          <w:rFonts w:ascii="Times New Roman" w:hAnsi="Times New Roman" w:cs="Times New Roman"/>
          <w:sz w:val="24"/>
          <w:szCs w:val="24"/>
        </w:rPr>
        <w:t>n effective</w:t>
      </w:r>
      <w:r w:rsidR="00CA6F62">
        <w:rPr>
          <w:rFonts w:ascii="Times New Roman" w:hAnsi="Times New Roman" w:cs="Times New Roman"/>
          <w:sz w:val="24"/>
          <w:szCs w:val="24"/>
        </w:rPr>
        <w:t xml:space="preserve"> European </w:t>
      </w:r>
      <w:r w:rsidR="00887E47">
        <w:rPr>
          <w:rFonts w:ascii="Times New Roman" w:hAnsi="Times New Roman" w:cs="Times New Roman"/>
          <w:sz w:val="24"/>
          <w:szCs w:val="24"/>
        </w:rPr>
        <w:t xml:space="preserve">economic and </w:t>
      </w:r>
      <w:r w:rsidR="006F7BA8">
        <w:rPr>
          <w:rFonts w:ascii="Times New Roman" w:hAnsi="Times New Roman" w:cs="Times New Roman"/>
          <w:sz w:val="24"/>
          <w:szCs w:val="24"/>
        </w:rPr>
        <w:t xml:space="preserve">social space. As the </w:t>
      </w:r>
      <w:proofErr w:type="spellStart"/>
      <w:r w:rsidR="006F7BA8">
        <w:rPr>
          <w:rFonts w:ascii="Times New Roman" w:hAnsi="Times New Roman" w:cs="Times New Roman"/>
          <w:sz w:val="24"/>
          <w:szCs w:val="24"/>
        </w:rPr>
        <w:t>trESS</w:t>
      </w:r>
      <w:proofErr w:type="spellEnd"/>
      <w:r w:rsidR="006F7BA8">
        <w:rPr>
          <w:rFonts w:ascii="Times New Roman" w:hAnsi="Times New Roman" w:cs="Times New Roman"/>
          <w:sz w:val="24"/>
          <w:szCs w:val="24"/>
        </w:rPr>
        <w:t xml:space="preserve"> Report on the relationship between the coordinating regulations and the CRD makes plain,</w:t>
      </w:r>
      <w:r w:rsidR="00CA6F62">
        <w:rPr>
          <w:rFonts w:ascii="Times New Roman" w:hAnsi="Times New Roman" w:cs="Times New Roman"/>
          <w:sz w:val="24"/>
          <w:szCs w:val="24"/>
        </w:rPr>
        <w:t xml:space="preserve"> when Member States are able to define residence at national-level, a person </w:t>
      </w:r>
      <w:r w:rsidR="00FB5A9A">
        <w:rPr>
          <w:rFonts w:ascii="Times New Roman" w:hAnsi="Times New Roman" w:cs="Times New Roman"/>
          <w:sz w:val="24"/>
          <w:szCs w:val="24"/>
        </w:rPr>
        <w:t>living in their</w:t>
      </w:r>
      <w:r w:rsidR="00CA6F62">
        <w:rPr>
          <w:rFonts w:ascii="Times New Roman" w:hAnsi="Times New Roman" w:cs="Times New Roman"/>
          <w:sz w:val="24"/>
          <w:szCs w:val="24"/>
        </w:rPr>
        <w:t xml:space="preserve"> host State might find that they are not considered to be resident in any Member State for the purposes of residence-based benefits, despite having lived within the EU territory for her/his entire life.</w:t>
      </w:r>
      <w:r w:rsidR="00CA6F62">
        <w:rPr>
          <w:rStyle w:val="FootnoteReference"/>
          <w:rFonts w:ascii="Times New Roman" w:hAnsi="Times New Roman" w:cs="Times New Roman"/>
          <w:sz w:val="24"/>
          <w:szCs w:val="24"/>
        </w:rPr>
        <w:footnoteReference w:id="194"/>
      </w:r>
    </w:p>
    <w:p w:rsidR="006401E3" w:rsidRDefault="00FB5A9A" w:rsidP="006401E3">
      <w:pPr>
        <w:pStyle w:val="NoSpacing"/>
        <w:spacing w:line="360" w:lineRule="auto"/>
        <w:ind w:firstLine="284"/>
        <w:jc w:val="both"/>
        <w:rPr>
          <w:rFonts w:ascii="Times New Roman" w:hAnsi="Times New Roman" w:cs="Times New Roman"/>
          <w:sz w:val="24"/>
          <w:szCs w:val="24"/>
        </w:rPr>
      </w:pPr>
      <w:r w:rsidRPr="00230C31">
        <w:rPr>
          <w:rFonts w:ascii="Times New Roman" w:hAnsi="Times New Roman" w:cs="Times New Roman"/>
          <w:sz w:val="24"/>
          <w:szCs w:val="24"/>
        </w:rPr>
        <w:lastRenderedPageBreak/>
        <w:t xml:space="preserve">In sum, the </w:t>
      </w:r>
      <w:proofErr w:type="spellStart"/>
      <w:r w:rsidRPr="00230C31">
        <w:rPr>
          <w:rFonts w:ascii="Times New Roman" w:hAnsi="Times New Roman" w:cs="Times New Roman"/>
          <w:i/>
          <w:sz w:val="24"/>
          <w:szCs w:val="24"/>
        </w:rPr>
        <w:t>Dano</w:t>
      </w:r>
      <w:proofErr w:type="spellEnd"/>
      <w:r w:rsidRPr="00230C31">
        <w:rPr>
          <w:rFonts w:ascii="Times New Roman" w:hAnsi="Times New Roman" w:cs="Times New Roman"/>
          <w:i/>
          <w:sz w:val="24"/>
          <w:szCs w:val="24"/>
        </w:rPr>
        <w:t xml:space="preserve"> </w:t>
      </w:r>
      <w:r w:rsidRPr="00230C31">
        <w:rPr>
          <w:rFonts w:ascii="Times New Roman" w:hAnsi="Times New Roman" w:cs="Times New Roman"/>
          <w:sz w:val="24"/>
          <w:szCs w:val="24"/>
        </w:rPr>
        <w:t>line of case-law indicates a scaling back from the Court’s use of the negative</w:t>
      </w:r>
      <w:r>
        <w:rPr>
          <w:rFonts w:ascii="Times New Roman" w:hAnsi="Times New Roman" w:cs="Times New Roman"/>
          <w:sz w:val="24"/>
          <w:szCs w:val="24"/>
        </w:rPr>
        <w:t xml:space="preserve"> processes of free movement to pursue the Union’s social integration goals by requiring Member States to open up their existing domestic social spaces. Instead,</w:t>
      </w:r>
      <w:r w:rsidR="00230C31">
        <w:rPr>
          <w:rFonts w:ascii="Times New Roman" w:hAnsi="Times New Roman" w:cs="Times New Roman"/>
          <w:sz w:val="24"/>
          <w:szCs w:val="24"/>
        </w:rPr>
        <w:t xml:space="preserve"> if it can be considered relevant at all,</w:t>
      </w:r>
      <w:r>
        <w:rPr>
          <w:rFonts w:ascii="Times New Roman" w:hAnsi="Times New Roman" w:cs="Times New Roman"/>
          <w:sz w:val="24"/>
          <w:szCs w:val="24"/>
        </w:rPr>
        <w:t xml:space="preserve"> social int</w:t>
      </w:r>
      <w:r w:rsidR="00230C31">
        <w:rPr>
          <w:rFonts w:ascii="Times New Roman" w:hAnsi="Times New Roman" w:cs="Times New Roman"/>
          <w:sz w:val="24"/>
          <w:szCs w:val="24"/>
        </w:rPr>
        <w:t>egration can only really be conceptualised as a duty</w:t>
      </w:r>
      <w:r w:rsidR="006401E3">
        <w:rPr>
          <w:rFonts w:ascii="Times New Roman" w:hAnsi="Times New Roman" w:cs="Times New Roman"/>
          <w:sz w:val="24"/>
          <w:szCs w:val="24"/>
        </w:rPr>
        <w:t xml:space="preserve"> to “contribute”, which must be</w:t>
      </w:r>
      <w:r w:rsidR="00230C31">
        <w:rPr>
          <w:rFonts w:ascii="Times New Roman" w:hAnsi="Times New Roman" w:cs="Times New Roman"/>
          <w:sz w:val="24"/>
          <w:szCs w:val="24"/>
        </w:rPr>
        <w:t xml:space="preserve"> met by Union citizens </w:t>
      </w:r>
      <w:r>
        <w:rPr>
          <w:rFonts w:ascii="Times New Roman" w:hAnsi="Times New Roman" w:cs="Times New Roman"/>
          <w:sz w:val="24"/>
          <w:szCs w:val="24"/>
        </w:rPr>
        <w:t>if they are to be considered an equal participant in the host State society. More often than not, t</w:t>
      </w:r>
      <w:r w:rsidR="003C3989">
        <w:rPr>
          <w:rFonts w:ascii="Times New Roman" w:hAnsi="Times New Roman" w:cs="Times New Roman"/>
          <w:sz w:val="24"/>
          <w:szCs w:val="24"/>
        </w:rPr>
        <w:t xml:space="preserve">his </w:t>
      </w:r>
      <w:r w:rsidR="006401E3">
        <w:rPr>
          <w:rFonts w:ascii="Times New Roman" w:hAnsi="Times New Roman" w:cs="Times New Roman"/>
          <w:sz w:val="24"/>
          <w:szCs w:val="24"/>
        </w:rPr>
        <w:t>societal</w:t>
      </w:r>
      <w:r w:rsidR="003C3989">
        <w:rPr>
          <w:rFonts w:ascii="Times New Roman" w:hAnsi="Times New Roman" w:cs="Times New Roman"/>
          <w:sz w:val="24"/>
          <w:szCs w:val="24"/>
        </w:rPr>
        <w:t xml:space="preserve"> duty is to be</w:t>
      </w:r>
      <w:r>
        <w:rPr>
          <w:rFonts w:ascii="Times New Roman" w:hAnsi="Times New Roman" w:cs="Times New Roman"/>
          <w:sz w:val="24"/>
          <w:szCs w:val="24"/>
        </w:rPr>
        <w:t xml:space="preserve"> met through economic activity. Though this is certainly a change in direction for the </w:t>
      </w:r>
      <w:r w:rsidR="00CA3A47">
        <w:rPr>
          <w:rFonts w:ascii="Times New Roman" w:hAnsi="Times New Roman" w:cs="Times New Roman"/>
          <w:sz w:val="24"/>
          <w:szCs w:val="24"/>
        </w:rPr>
        <w:t>Court</w:t>
      </w:r>
      <w:r>
        <w:rPr>
          <w:rFonts w:ascii="Times New Roman" w:hAnsi="Times New Roman" w:cs="Times New Roman"/>
          <w:sz w:val="24"/>
          <w:szCs w:val="24"/>
        </w:rPr>
        <w:t xml:space="preserve">, it is not a total U-turn. An examination of the </w:t>
      </w:r>
      <w:proofErr w:type="spellStart"/>
      <w:r>
        <w:rPr>
          <w:rFonts w:ascii="Times New Roman" w:hAnsi="Times New Roman" w:cs="Times New Roman"/>
          <w:i/>
          <w:sz w:val="24"/>
          <w:szCs w:val="24"/>
        </w:rPr>
        <w:t>Brey</w:t>
      </w:r>
      <w:proofErr w:type="spellEnd"/>
      <w:r>
        <w:rPr>
          <w:rFonts w:ascii="Times New Roman" w:hAnsi="Times New Roman" w:cs="Times New Roman"/>
          <w:i/>
          <w:sz w:val="24"/>
          <w:szCs w:val="24"/>
        </w:rPr>
        <w:t xml:space="preserve"> </w:t>
      </w:r>
      <w:r w:rsidR="003C3989">
        <w:rPr>
          <w:rFonts w:ascii="Times New Roman" w:hAnsi="Times New Roman" w:cs="Times New Roman"/>
          <w:sz w:val="24"/>
          <w:szCs w:val="24"/>
        </w:rPr>
        <w:t>judgment</w:t>
      </w:r>
      <w:r>
        <w:rPr>
          <w:rFonts w:ascii="Times New Roman" w:hAnsi="Times New Roman" w:cs="Times New Roman"/>
          <w:sz w:val="24"/>
          <w:szCs w:val="24"/>
        </w:rPr>
        <w:t>,</w:t>
      </w:r>
      <w:r w:rsidR="00C15AFD">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as a bridge between the </w:t>
      </w:r>
      <w:proofErr w:type="spellStart"/>
      <w:r>
        <w:rPr>
          <w:rFonts w:ascii="Times New Roman" w:hAnsi="Times New Roman" w:cs="Times New Roman"/>
          <w:i/>
          <w:sz w:val="24"/>
          <w:szCs w:val="24"/>
        </w:rPr>
        <w:t>Grzelczyk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the </w:t>
      </w:r>
      <w:proofErr w:type="spellStart"/>
      <w:r>
        <w:rPr>
          <w:rFonts w:ascii="Times New Roman" w:hAnsi="Times New Roman" w:cs="Times New Roman"/>
          <w:i/>
          <w:sz w:val="24"/>
          <w:szCs w:val="24"/>
        </w:rPr>
        <w:t>Dano</w:t>
      </w:r>
      <w:proofErr w:type="spellEnd"/>
      <w:r>
        <w:rPr>
          <w:rFonts w:ascii="Times New Roman" w:hAnsi="Times New Roman" w:cs="Times New Roman"/>
          <w:sz w:val="24"/>
          <w:szCs w:val="24"/>
        </w:rPr>
        <w:t xml:space="preserve"> lines of case-law, </w:t>
      </w:r>
      <w:r w:rsidR="00EE0A45">
        <w:rPr>
          <w:rFonts w:ascii="Times New Roman" w:hAnsi="Times New Roman" w:cs="Times New Roman"/>
          <w:sz w:val="24"/>
          <w:szCs w:val="24"/>
        </w:rPr>
        <w:t>reminds us that even the case-law tra</w:t>
      </w:r>
      <w:r w:rsidR="00230C31">
        <w:rPr>
          <w:rFonts w:ascii="Times New Roman" w:hAnsi="Times New Roman" w:cs="Times New Roman"/>
          <w:sz w:val="24"/>
          <w:szCs w:val="24"/>
        </w:rPr>
        <w:t>ditionally considered as rights-</w:t>
      </w:r>
      <w:r w:rsidR="00EE0A45">
        <w:rPr>
          <w:rFonts w:ascii="Times New Roman" w:hAnsi="Times New Roman" w:cs="Times New Roman"/>
          <w:sz w:val="24"/>
          <w:szCs w:val="24"/>
        </w:rPr>
        <w:t>enhanci</w:t>
      </w:r>
      <w:r w:rsidR="006401E3">
        <w:rPr>
          <w:rFonts w:ascii="Times New Roman" w:hAnsi="Times New Roman" w:cs="Times New Roman"/>
          <w:sz w:val="24"/>
          <w:szCs w:val="24"/>
        </w:rPr>
        <w:t>ng introduced concepts such as “unreasonable burden”</w:t>
      </w:r>
      <w:r w:rsidR="003C3989">
        <w:rPr>
          <w:rFonts w:ascii="Times New Roman" w:hAnsi="Times New Roman" w:cs="Times New Roman"/>
          <w:sz w:val="24"/>
          <w:szCs w:val="24"/>
        </w:rPr>
        <w:t xml:space="preserve"> as regards non-economically active Union citizens</w:t>
      </w:r>
      <w:r w:rsidR="00EE0A45">
        <w:rPr>
          <w:rFonts w:ascii="Times New Roman" w:hAnsi="Times New Roman" w:cs="Times New Roman"/>
          <w:sz w:val="24"/>
          <w:szCs w:val="24"/>
        </w:rPr>
        <w:t xml:space="preserve">, while economically active </w:t>
      </w:r>
      <w:r w:rsidR="003C3989">
        <w:rPr>
          <w:rFonts w:ascii="Times New Roman" w:hAnsi="Times New Roman" w:cs="Times New Roman"/>
          <w:sz w:val="24"/>
          <w:szCs w:val="24"/>
        </w:rPr>
        <w:t>E</w:t>
      </w:r>
      <w:r w:rsidR="00EE0A45">
        <w:rPr>
          <w:rFonts w:ascii="Times New Roman" w:hAnsi="Times New Roman" w:cs="Times New Roman"/>
          <w:sz w:val="24"/>
          <w:szCs w:val="24"/>
        </w:rPr>
        <w:t>U</w:t>
      </w:r>
      <w:r w:rsidR="003C3989">
        <w:rPr>
          <w:rFonts w:ascii="Times New Roman" w:hAnsi="Times New Roman" w:cs="Times New Roman"/>
          <w:sz w:val="24"/>
          <w:szCs w:val="24"/>
        </w:rPr>
        <w:t xml:space="preserve"> </w:t>
      </w:r>
      <w:r w:rsidR="00EE0A45">
        <w:rPr>
          <w:rFonts w:ascii="Times New Roman" w:hAnsi="Times New Roman" w:cs="Times New Roman"/>
          <w:sz w:val="24"/>
          <w:szCs w:val="24"/>
        </w:rPr>
        <w:t>citizens could access the domestic social space unencumbered by</w:t>
      </w:r>
      <w:r w:rsidR="00CA3A47">
        <w:rPr>
          <w:rFonts w:ascii="Times New Roman" w:hAnsi="Times New Roman" w:cs="Times New Roman"/>
          <w:sz w:val="24"/>
          <w:szCs w:val="24"/>
        </w:rPr>
        <w:t xml:space="preserve"> such conditions. Thus, the Court</w:t>
      </w:r>
      <w:r w:rsidR="00EE0A45">
        <w:rPr>
          <w:rFonts w:ascii="Times New Roman" w:hAnsi="Times New Roman" w:cs="Times New Roman"/>
          <w:sz w:val="24"/>
          <w:szCs w:val="24"/>
        </w:rPr>
        <w:t xml:space="preserve"> relied on judgments such as </w:t>
      </w:r>
      <w:proofErr w:type="spellStart"/>
      <w:r w:rsidR="00EE0A45">
        <w:rPr>
          <w:rFonts w:ascii="Times New Roman" w:hAnsi="Times New Roman" w:cs="Times New Roman"/>
          <w:i/>
          <w:sz w:val="24"/>
          <w:szCs w:val="24"/>
        </w:rPr>
        <w:t>Grzelczyk</w:t>
      </w:r>
      <w:proofErr w:type="spellEnd"/>
      <w:r w:rsidR="00EE0A45">
        <w:rPr>
          <w:rFonts w:ascii="Times New Roman" w:hAnsi="Times New Roman" w:cs="Times New Roman"/>
          <w:i/>
          <w:sz w:val="24"/>
          <w:szCs w:val="24"/>
        </w:rPr>
        <w:t>, Martinez Sala</w:t>
      </w:r>
      <w:r w:rsidR="00C15AFD">
        <w:rPr>
          <w:rStyle w:val="FootnoteReference"/>
          <w:rFonts w:ascii="Times New Roman" w:hAnsi="Times New Roman" w:cs="Times New Roman"/>
          <w:i/>
          <w:sz w:val="24"/>
          <w:szCs w:val="24"/>
        </w:rPr>
        <w:footnoteReference w:id="196"/>
      </w:r>
      <w:r w:rsidR="00EE0A45">
        <w:rPr>
          <w:rFonts w:ascii="Times New Roman" w:hAnsi="Times New Roman" w:cs="Times New Roman"/>
          <w:i/>
          <w:sz w:val="24"/>
          <w:szCs w:val="24"/>
        </w:rPr>
        <w:t xml:space="preserve"> </w:t>
      </w:r>
      <w:r w:rsidR="00EE0A45">
        <w:rPr>
          <w:rFonts w:ascii="Times New Roman" w:hAnsi="Times New Roman" w:cs="Times New Roman"/>
          <w:sz w:val="24"/>
          <w:szCs w:val="24"/>
        </w:rPr>
        <w:t xml:space="preserve">and </w:t>
      </w:r>
      <w:proofErr w:type="spellStart"/>
      <w:r w:rsidR="00EE0A45">
        <w:rPr>
          <w:rFonts w:ascii="Times New Roman" w:hAnsi="Times New Roman" w:cs="Times New Roman"/>
          <w:i/>
          <w:sz w:val="24"/>
          <w:szCs w:val="24"/>
        </w:rPr>
        <w:t>Bidar</w:t>
      </w:r>
      <w:proofErr w:type="spellEnd"/>
      <w:r w:rsidR="00C15AFD">
        <w:rPr>
          <w:rStyle w:val="FootnoteReference"/>
          <w:rFonts w:ascii="Times New Roman" w:hAnsi="Times New Roman" w:cs="Times New Roman"/>
          <w:i/>
          <w:sz w:val="24"/>
          <w:szCs w:val="24"/>
        </w:rPr>
        <w:footnoteReference w:id="197"/>
      </w:r>
      <w:r w:rsidR="00EE0A45">
        <w:rPr>
          <w:rFonts w:ascii="Times New Roman" w:hAnsi="Times New Roman" w:cs="Times New Roman"/>
          <w:sz w:val="24"/>
          <w:szCs w:val="24"/>
        </w:rPr>
        <w:t xml:space="preserve"> to assert in </w:t>
      </w:r>
      <w:proofErr w:type="spellStart"/>
      <w:r w:rsidR="00EE0A45">
        <w:rPr>
          <w:rFonts w:ascii="Times New Roman" w:hAnsi="Times New Roman" w:cs="Times New Roman"/>
          <w:i/>
          <w:sz w:val="24"/>
          <w:szCs w:val="24"/>
        </w:rPr>
        <w:t>Brey</w:t>
      </w:r>
      <w:proofErr w:type="spellEnd"/>
      <w:r w:rsidR="00EE0A45">
        <w:rPr>
          <w:rFonts w:ascii="Times New Roman" w:hAnsi="Times New Roman" w:cs="Times New Roman"/>
          <w:i/>
          <w:sz w:val="24"/>
          <w:szCs w:val="24"/>
        </w:rPr>
        <w:t xml:space="preserve"> </w:t>
      </w:r>
      <w:r w:rsidR="006401E3">
        <w:rPr>
          <w:rFonts w:ascii="Times New Roman" w:hAnsi="Times New Roman" w:cs="Times New Roman"/>
          <w:sz w:val="24"/>
          <w:szCs w:val="24"/>
        </w:rPr>
        <w:t>that “</w:t>
      </w:r>
      <w:r w:rsidR="00C15AFD">
        <w:rPr>
          <w:rFonts w:ascii="Times New Roman" w:hAnsi="Times New Roman" w:cs="Times New Roman"/>
          <w:sz w:val="24"/>
          <w:szCs w:val="24"/>
        </w:rPr>
        <w:t>there is nothing to prevent, in principle, the granting of social security benefits to Union citizens who are not economically active being made conditional upon those citizens meeting the necessary requirements for obtaining a legal right</w:t>
      </w:r>
      <w:r w:rsidR="006401E3">
        <w:rPr>
          <w:rFonts w:ascii="Times New Roman" w:hAnsi="Times New Roman" w:cs="Times New Roman"/>
          <w:sz w:val="24"/>
          <w:szCs w:val="24"/>
        </w:rPr>
        <w:t xml:space="preserve"> of residence in the host State”</w:t>
      </w:r>
      <w:r w:rsidR="00C15AFD">
        <w:rPr>
          <w:rFonts w:ascii="Times New Roman" w:hAnsi="Times New Roman" w:cs="Times New Roman"/>
          <w:sz w:val="24"/>
          <w:szCs w:val="24"/>
        </w:rPr>
        <w:t>,</w:t>
      </w:r>
      <w:r w:rsidR="00C15AFD">
        <w:rPr>
          <w:rStyle w:val="FootnoteReference"/>
          <w:rFonts w:ascii="Times New Roman" w:hAnsi="Times New Roman" w:cs="Times New Roman"/>
          <w:sz w:val="24"/>
          <w:szCs w:val="24"/>
        </w:rPr>
        <w:footnoteReference w:id="198"/>
      </w:r>
      <w:r w:rsidR="00C15AFD">
        <w:rPr>
          <w:rFonts w:ascii="Times New Roman" w:hAnsi="Times New Roman" w:cs="Times New Roman"/>
          <w:sz w:val="24"/>
          <w:szCs w:val="24"/>
        </w:rPr>
        <w:t xml:space="preserve"> since non-economically active citizens must not re</w:t>
      </w:r>
      <w:r w:rsidR="006401E3">
        <w:rPr>
          <w:rFonts w:ascii="Times New Roman" w:hAnsi="Times New Roman" w:cs="Times New Roman"/>
          <w:sz w:val="24"/>
          <w:szCs w:val="24"/>
        </w:rPr>
        <w:t>present an “unreasonable burden”</w:t>
      </w:r>
      <w:r w:rsidR="00C15AFD">
        <w:rPr>
          <w:rFonts w:ascii="Times New Roman" w:hAnsi="Times New Roman" w:cs="Times New Roman"/>
          <w:sz w:val="24"/>
          <w:szCs w:val="24"/>
        </w:rPr>
        <w:t xml:space="preserve"> on their host State.</w:t>
      </w:r>
      <w:r w:rsidR="00C15AFD">
        <w:rPr>
          <w:rStyle w:val="FootnoteReference"/>
          <w:rFonts w:ascii="Times New Roman" w:hAnsi="Times New Roman" w:cs="Times New Roman"/>
          <w:sz w:val="24"/>
          <w:szCs w:val="24"/>
        </w:rPr>
        <w:footnoteReference w:id="199"/>
      </w:r>
      <w:r w:rsidR="00C15AFD">
        <w:rPr>
          <w:rFonts w:ascii="Times New Roman" w:hAnsi="Times New Roman" w:cs="Times New Roman"/>
          <w:sz w:val="24"/>
          <w:szCs w:val="24"/>
        </w:rPr>
        <w:t xml:space="preserve"> </w:t>
      </w:r>
      <w:bookmarkStart w:id="0" w:name="point23"/>
      <w:r w:rsidR="000A605C">
        <w:rPr>
          <w:rFonts w:ascii="Times New Roman" w:hAnsi="Times New Roman" w:cs="Times New Roman"/>
          <w:sz w:val="24"/>
          <w:szCs w:val="24"/>
        </w:rPr>
        <w:t>Similarly, the requirement of compliance with the host State’s criminal law as an individual duty of s</w:t>
      </w:r>
      <w:r w:rsidR="003F73EE">
        <w:rPr>
          <w:rFonts w:ascii="Times New Roman" w:hAnsi="Times New Roman" w:cs="Times New Roman"/>
          <w:sz w:val="24"/>
          <w:szCs w:val="24"/>
        </w:rPr>
        <w:t xml:space="preserve">ocial integration in </w:t>
      </w:r>
      <w:proofErr w:type="spellStart"/>
      <w:r w:rsidR="000A605C">
        <w:rPr>
          <w:rFonts w:ascii="Times New Roman" w:hAnsi="Times New Roman" w:cs="Times New Roman"/>
          <w:i/>
          <w:sz w:val="24"/>
          <w:szCs w:val="24"/>
        </w:rPr>
        <w:t>Onuekwere</w:t>
      </w:r>
      <w:proofErr w:type="spellEnd"/>
      <w:r w:rsidR="000A605C">
        <w:rPr>
          <w:rFonts w:ascii="Times New Roman" w:hAnsi="Times New Roman" w:cs="Times New Roman"/>
          <w:sz w:val="24"/>
          <w:szCs w:val="24"/>
        </w:rPr>
        <w:t xml:space="preserve"> is not a complete about-turn from the more generous days of </w:t>
      </w:r>
      <w:proofErr w:type="spellStart"/>
      <w:r w:rsidR="000A605C">
        <w:rPr>
          <w:rFonts w:ascii="Times New Roman" w:hAnsi="Times New Roman" w:cs="Times New Roman"/>
          <w:i/>
          <w:sz w:val="24"/>
          <w:szCs w:val="24"/>
        </w:rPr>
        <w:t>Orfanopoulos</w:t>
      </w:r>
      <w:proofErr w:type="spellEnd"/>
      <w:r w:rsidR="000A605C">
        <w:rPr>
          <w:rFonts w:ascii="Times New Roman" w:hAnsi="Times New Roman" w:cs="Times New Roman"/>
          <w:sz w:val="24"/>
          <w:szCs w:val="24"/>
        </w:rPr>
        <w:t xml:space="preserve">. Like the </w:t>
      </w:r>
      <w:proofErr w:type="spellStart"/>
      <w:r w:rsidR="000A605C">
        <w:rPr>
          <w:rFonts w:ascii="Times New Roman" w:hAnsi="Times New Roman" w:cs="Times New Roman"/>
          <w:i/>
          <w:sz w:val="24"/>
          <w:szCs w:val="24"/>
        </w:rPr>
        <w:t>Brey</w:t>
      </w:r>
      <w:proofErr w:type="spellEnd"/>
      <w:r w:rsidR="000A605C">
        <w:rPr>
          <w:rFonts w:ascii="Times New Roman" w:hAnsi="Times New Roman" w:cs="Times New Roman"/>
          <w:i/>
          <w:sz w:val="24"/>
          <w:szCs w:val="24"/>
        </w:rPr>
        <w:t xml:space="preserve"> </w:t>
      </w:r>
      <w:r w:rsidR="000A605C">
        <w:rPr>
          <w:rFonts w:ascii="Times New Roman" w:hAnsi="Times New Roman" w:cs="Times New Roman"/>
          <w:sz w:val="24"/>
          <w:szCs w:val="24"/>
        </w:rPr>
        <w:t xml:space="preserve">case, the </w:t>
      </w:r>
      <w:proofErr w:type="spellStart"/>
      <w:r w:rsidR="000A605C">
        <w:rPr>
          <w:rFonts w:ascii="Times New Roman" w:hAnsi="Times New Roman" w:cs="Times New Roman"/>
          <w:i/>
          <w:sz w:val="24"/>
          <w:szCs w:val="24"/>
        </w:rPr>
        <w:t>Tsakouridis</w:t>
      </w:r>
      <w:proofErr w:type="spellEnd"/>
      <w:r w:rsidR="000A605C">
        <w:rPr>
          <w:rFonts w:ascii="Times New Roman" w:hAnsi="Times New Roman" w:cs="Times New Roman"/>
          <w:i/>
          <w:sz w:val="24"/>
          <w:szCs w:val="24"/>
        </w:rPr>
        <w:t xml:space="preserve"> </w:t>
      </w:r>
      <w:r w:rsidR="000A605C">
        <w:rPr>
          <w:rFonts w:ascii="Times New Roman" w:hAnsi="Times New Roman" w:cs="Times New Roman"/>
          <w:sz w:val="24"/>
          <w:szCs w:val="24"/>
        </w:rPr>
        <w:t>decision acted as a bridge between these two generations of decisions</w:t>
      </w:r>
      <w:r w:rsidR="006401E3">
        <w:rPr>
          <w:rFonts w:ascii="Times New Roman" w:hAnsi="Times New Roman" w:cs="Times New Roman"/>
          <w:sz w:val="24"/>
          <w:szCs w:val="24"/>
        </w:rPr>
        <w:t>. The manner in which the Court accepted</w:t>
      </w:r>
      <w:r w:rsidR="003F73EE">
        <w:rPr>
          <w:rFonts w:ascii="Times New Roman" w:hAnsi="Times New Roman" w:cs="Times New Roman"/>
          <w:sz w:val="24"/>
          <w:szCs w:val="24"/>
        </w:rPr>
        <w:t xml:space="preserve"> that</w:t>
      </w:r>
      <w:r w:rsidR="000A605C">
        <w:rPr>
          <w:rFonts w:ascii="Times New Roman" w:hAnsi="Times New Roman" w:cs="Times New Roman"/>
          <w:sz w:val="24"/>
          <w:szCs w:val="24"/>
        </w:rPr>
        <w:t xml:space="preserve"> integrative links might be broken by absences from the host State, including where the EU citizen has only returned there as a result of the enf</w:t>
      </w:r>
      <w:r w:rsidR="006401E3">
        <w:rPr>
          <w:rFonts w:ascii="Times New Roman" w:hAnsi="Times New Roman" w:cs="Times New Roman"/>
          <w:sz w:val="24"/>
          <w:szCs w:val="24"/>
        </w:rPr>
        <w:t>orcement of a criminal sanction</w:t>
      </w:r>
      <w:r w:rsidR="003975F3">
        <w:rPr>
          <w:rFonts w:ascii="Times New Roman" w:hAnsi="Times New Roman" w:cs="Times New Roman"/>
          <w:sz w:val="24"/>
          <w:szCs w:val="24"/>
        </w:rPr>
        <w:t>,</w:t>
      </w:r>
      <w:r w:rsidR="006401E3">
        <w:rPr>
          <w:rFonts w:ascii="Times New Roman" w:hAnsi="Times New Roman" w:cs="Times New Roman"/>
          <w:sz w:val="24"/>
          <w:szCs w:val="24"/>
        </w:rPr>
        <w:t xml:space="preserve"> </w:t>
      </w:r>
      <w:r w:rsidR="003F73EE">
        <w:rPr>
          <w:rFonts w:ascii="Times New Roman" w:hAnsi="Times New Roman" w:cs="Times New Roman"/>
          <w:sz w:val="24"/>
          <w:szCs w:val="24"/>
        </w:rPr>
        <w:t>paved the way for criminal conduct to break integrative ties.</w:t>
      </w:r>
      <w:r w:rsidR="006401E3">
        <w:rPr>
          <w:rStyle w:val="FootnoteReference"/>
          <w:rFonts w:ascii="Times New Roman" w:hAnsi="Times New Roman" w:cs="Times New Roman"/>
          <w:sz w:val="24"/>
          <w:szCs w:val="24"/>
        </w:rPr>
        <w:footnoteReference w:id="200"/>
      </w:r>
    </w:p>
    <w:p w:rsidR="00470AD5" w:rsidRDefault="005754B3" w:rsidP="006401E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Thus, even if the concept of social integration</w:t>
      </w:r>
      <w:r w:rsidR="003C3989">
        <w:rPr>
          <w:rFonts w:ascii="Times New Roman" w:hAnsi="Times New Roman" w:cs="Times New Roman"/>
          <w:sz w:val="24"/>
          <w:szCs w:val="24"/>
        </w:rPr>
        <w:t xml:space="preserve"> has shifted from a Union aim to an individual duty within the Union citizenship case-law, as a strategy for a socially integrated Europe the opening-up of domestic social spaces via the negative processes of the primary free movement provisions has always been inherently limited i</w:t>
      </w:r>
      <w:r w:rsidR="00333986">
        <w:rPr>
          <w:rFonts w:ascii="Times New Roman" w:hAnsi="Times New Roman" w:cs="Times New Roman"/>
          <w:sz w:val="24"/>
          <w:szCs w:val="24"/>
        </w:rPr>
        <w:t>n what it can achieve. Its roots in</w:t>
      </w:r>
      <w:r w:rsidR="003C3989">
        <w:rPr>
          <w:rFonts w:ascii="Times New Roman" w:hAnsi="Times New Roman" w:cs="Times New Roman"/>
          <w:sz w:val="24"/>
          <w:szCs w:val="24"/>
        </w:rPr>
        <w:t>, and recent re-emphasis</w:t>
      </w:r>
      <w:r w:rsidR="00333986">
        <w:rPr>
          <w:rFonts w:ascii="Times New Roman" w:hAnsi="Times New Roman" w:cs="Times New Roman"/>
          <w:sz w:val="24"/>
          <w:szCs w:val="24"/>
        </w:rPr>
        <w:t xml:space="preserve"> on</w:t>
      </w:r>
      <w:r w:rsidR="003C3989">
        <w:rPr>
          <w:rFonts w:ascii="Times New Roman" w:hAnsi="Times New Roman" w:cs="Times New Roman"/>
          <w:sz w:val="24"/>
          <w:szCs w:val="24"/>
        </w:rPr>
        <w:t>, transnational economic activity is exclusionary</w:t>
      </w:r>
      <w:r w:rsidR="003F73EE">
        <w:rPr>
          <w:rFonts w:ascii="Times New Roman" w:hAnsi="Times New Roman" w:cs="Times New Roman"/>
          <w:sz w:val="24"/>
          <w:szCs w:val="24"/>
        </w:rPr>
        <w:t>,</w:t>
      </w:r>
      <w:r w:rsidR="003C3989">
        <w:rPr>
          <w:rFonts w:ascii="Times New Roman" w:hAnsi="Times New Roman" w:cs="Times New Roman"/>
          <w:sz w:val="24"/>
          <w:szCs w:val="24"/>
        </w:rPr>
        <w:t xml:space="preserve"> exposing</w:t>
      </w:r>
      <w:r w:rsidR="007A2CA8">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7A2CA8">
        <w:rPr>
          <w:rFonts w:ascii="Times New Roman" w:hAnsi="Times New Roman" w:cs="Times New Roman"/>
          <w:sz w:val="24"/>
          <w:szCs w:val="24"/>
        </w:rPr>
        <w:t>more starkly the differences and disadvantages face</w:t>
      </w:r>
      <w:r>
        <w:rPr>
          <w:rFonts w:ascii="Times New Roman" w:hAnsi="Times New Roman" w:cs="Times New Roman"/>
          <w:sz w:val="24"/>
          <w:szCs w:val="24"/>
        </w:rPr>
        <w:t>d by certain members of society”</w:t>
      </w:r>
      <w:r w:rsidR="007A2CA8">
        <w:rPr>
          <w:rFonts w:ascii="Times New Roman" w:hAnsi="Times New Roman" w:cs="Times New Roman"/>
          <w:sz w:val="24"/>
          <w:szCs w:val="24"/>
        </w:rPr>
        <w:t>.</w:t>
      </w:r>
      <w:r w:rsidR="00A86B9E">
        <w:rPr>
          <w:rStyle w:val="FootnoteReference"/>
          <w:rFonts w:ascii="Times New Roman" w:hAnsi="Times New Roman" w:cs="Times New Roman"/>
          <w:sz w:val="24"/>
          <w:szCs w:val="24"/>
        </w:rPr>
        <w:footnoteReference w:id="201"/>
      </w:r>
      <w:r w:rsidR="003C3989">
        <w:rPr>
          <w:rFonts w:ascii="Times New Roman" w:hAnsi="Times New Roman" w:cs="Times New Roman"/>
          <w:sz w:val="24"/>
          <w:szCs w:val="24"/>
        </w:rPr>
        <w:t xml:space="preserve"> Consequently, though this evolution of Union citizenship is historically explai</w:t>
      </w:r>
      <w:r w:rsidR="003F73EE">
        <w:rPr>
          <w:rFonts w:ascii="Times New Roman" w:hAnsi="Times New Roman" w:cs="Times New Roman"/>
          <w:sz w:val="24"/>
          <w:szCs w:val="24"/>
        </w:rPr>
        <w:t>nable,</w:t>
      </w:r>
      <w:r w:rsidR="003C3989">
        <w:rPr>
          <w:rFonts w:ascii="Times New Roman" w:hAnsi="Times New Roman" w:cs="Times New Roman"/>
          <w:sz w:val="24"/>
          <w:szCs w:val="24"/>
        </w:rPr>
        <w:t xml:space="preserve"> </w:t>
      </w:r>
      <w:r w:rsidR="001D255C">
        <w:rPr>
          <w:rFonts w:ascii="Times New Roman" w:hAnsi="Times New Roman" w:cs="Times New Roman"/>
          <w:sz w:val="24"/>
          <w:szCs w:val="24"/>
        </w:rPr>
        <w:t>the current state of play nevertheless undermines the EU’</w:t>
      </w:r>
      <w:r w:rsidR="00C2182C">
        <w:rPr>
          <w:rFonts w:ascii="Times New Roman" w:hAnsi="Times New Roman" w:cs="Times New Roman"/>
          <w:sz w:val="24"/>
          <w:szCs w:val="24"/>
        </w:rPr>
        <w:t xml:space="preserve">s </w:t>
      </w:r>
      <w:r w:rsidR="00230C31">
        <w:rPr>
          <w:rFonts w:ascii="Times New Roman" w:hAnsi="Times New Roman" w:cs="Times New Roman"/>
          <w:sz w:val="24"/>
          <w:szCs w:val="24"/>
        </w:rPr>
        <w:t xml:space="preserve">contemporary </w:t>
      </w:r>
      <w:r w:rsidR="00C2182C">
        <w:rPr>
          <w:rFonts w:ascii="Times New Roman" w:hAnsi="Times New Roman" w:cs="Times New Roman"/>
          <w:sz w:val="24"/>
          <w:szCs w:val="24"/>
        </w:rPr>
        <w:t>social objective</w:t>
      </w:r>
      <w:r w:rsidR="001D255C">
        <w:rPr>
          <w:rFonts w:ascii="Times New Roman" w:hAnsi="Times New Roman" w:cs="Times New Roman"/>
          <w:sz w:val="24"/>
          <w:szCs w:val="24"/>
        </w:rPr>
        <w:t>s.</w:t>
      </w:r>
    </w:p>
    <w:p w:rsidR="00470AD5" w:rsidRDefault="00470AD5" w:rsidP="00470AD5">
      <w:pPr>
        <w:pStyle w:val="NoSpacing"/>
        <w:spacing w:line="360" w:lineRule="auto"/>
        <w:jc w:val="both"/>
        <w:rPr>
          <w:rFonts w:ascii="Times New Roman" w:hAnsi="Times New Roman" w:cs="Times New Roman"/>
          <w:sz w:val="24"/>
          <w:szCs w:val="24"/>
        </w:rPr>
      </w:pPr>
    </w:p>
    <w:p w:rsidR="00A86B9E" w:rsidRDefault="00470AD5" w:rsidP="00470A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V.2 UNDERMINING THE UNION’S SOCIAL AIMS</w:t>
      </w:r>
      <w:r w:rsidR="001D255C">
        <w:rPr>
          <w:rFonts w:ascii="Times New Roman" w:hAnsi="Times New Roman" w:cs="Times New Roman"/>
          <w:sz w:val="24"/>
          <w:szCs w:val="24"/>
        </w:rPr>
        <w:t xml:space="preserve"> </w:t>
      </w:r>
    </w:p>
    <w:p w:rsidR="00470AD5" w:rsidRDefault="00470AD5" w:rsidP="002F33D2">
      <w:pPr>
        <w:pStyle w:val="NoSpacing"/>
        <w:tabs>
          <w:tab w:val="left" w:pos="2070"/>
        </w:tabs>
        <w:spacing w:line="360" w:lineRule="auto"/>
        <w:jc w:val="both"/>
        <w:rPr>
          <w:rFonts w:ascii="Times New Roman" w:hAnsi="Times New Roman" w:cs="Times New Roman"/>
          <w:i/>
          <w:sz w:val="24"/>
          <w:szCs w:val="24"/>
        </w:rPr>
      </w:pPr>
    </w:p>
    <w:p w:rsidR="00470AD5" w:rsidRDefault="00C2182C" w:rsidP="002F33D2">
      <w:pPr>
        <w:pStyle w:val="NoSpacing"/>
        <w:tabs>
          <w:tab w:val="left" w:pos="2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Arguably, the pursuit of social integration via the free movement provisions has proved a usefully flexible means of attaining the Union’s social goals within the EU’s constitutional confines. </w:t>
      </w:r>
      <w:r w:rsidR="00B05013">
        <w:rPr>
          <w:rFonts w:ascii="Times New Roman" w:hAnsi="Times New Roman" w:cs="Times New Roman"/>
          <w:sz w:val="24"/>
          <w:szCs w:val="24"/>
        </w:rPr>
        <w:t>T</w:t>
      </w:r>
      <w:r>
        <w:rPr>
          <w:rFonts w:ascii="Times New Roman" w:hAnsi="Times New Roman" w:cs="Times New Roman"/>
          <w:sz w:val="24"/>
          <w:szCs w:val="24"/>
        </w:rPr>
        <w:t>he Court has been able to overcome the economic/social dichotomy that continues to restrict the social capacities of the Treaties and create a European social space via the negative integration processes of the inter</w:t>
      </w:r>
      <w:r w:rsidR="00B05013">
        <w:rPr>
          <w:rFonts w:ascii="Times New Roman" w:hAnsi="Times New Roman" w:cs="Times New Roman"/>
          <w:sz w:val="24"/>
          <w:szCs w:val="24"/>
        </w:rPr>
        <w:t>nal market. T</w:t>
      </w:r>
      <w:r>
        <w:rPr>
          <w:rFonts w:ascii="Times New Roman" w:hAnsi="Times New Roman" w:cs="Times New Roman"/>
          <w:sz w:val="24"/>
          <w:szCs w:val="24"/>
        </w:rPr>
        <w:t>his same</w:t>
      </w:r>
      <w:r w:rsidR="00CA3A47">
        <w:rPr>
          <w:rFonts w:ascii="Times New Roman" w:hAnsi="Times New Roman" w:cs="Times New Roman"/>
          <w:sz w:val="24"/>
          <w:szCs w:val="24"/>
        </w:rPr>
        <w:t xml:space="preserve"> elasticity has allowed the Court</w:t>
      </w:r>
      <w:r w:rsidR="004F4BD8">
        <w:rPr>
          <w:rFonts w:ascii="Times New Roman" w:hAnsi="Times New Roman" w:cs="Times New Roman"/>
          <w:sz w:val="24"/>
          <w:szCs w:val="24"/>
        </w:rPr>
        <w:t xml:space="preserve"> to pull back </w:t>
      </w:r>
      <w:r>
        <w:rPr>
          <w:rFonts w:ascii="Times New Roman" w:hAnsi="Times New Roman" w:cs="Times New Roman"/>
          <w:sz w:val="24"/>
          <w:szCs w:val="24"/>
        </w:rPr>
        <w:t>when</w:t>
      </w:r>
      <w:r w:rsidR="00B05013">
        <w:rPr>
          <w:rFonts w:ascii="Times New Roman" w:hAnsi="Times New Roman" w:cs="Times New Roman"/>
          <w:sz w:val="24"/>
          <w:szCs w:val="24"/>
        </w:rPr>
        <w:t xml:space="preserve"> it seems politically expedient, in an attempt to maintain popular support for European integration.</w:t>
      </w:r>
      <w:r w:rsidR="006A053C">
        <w:rPr>
          <w:rStyle w:val="FootnoteReference"/>
          <w:rFonts w:ascii="Times New Roman" w:hAnsi="Times New Roman" w:cs="Times New Roman"/>
          <w:sz w:val="24"/>
          <w:szCs w:val="24"/>
        </w:rPr>
        <w:footnoteReference w:id="202"/>
      </w:r>
      <w:r w:rsidR="00B05013">
        <w:rPr>
          <w:rFonts w:ascii="Times New Roman" w:hAnsi="Times New Roman" w:cs="Times New Roman"/>
          <w:sz w:val="24"/>
          <w:szCs w:val="24"/>
        </w:rPr>
        <w:t xml:space="preserve"> </w:t>
      </w:r>
    </w:p>
    <w:p w:rsidR="00470AD5" w:rsidRDefault="00470AD5" w:rsidP="00470AD5">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05013">
        <w:rPr>
          <w:rFonts w:ascii="Times New Roman" w:hAnsi="Times New Roman" w:cs="Times New Roman"/>
          <w:sz w:val="24"/>
          <w:szCs w:val="24"/>
        </w:rPr>
        <w:t>Yet, this very possibility makes plain</w:t>
      </w:r>
      <w:r w:rsidR="00A1650C">
        <w:rPr>
          <w:rFonts w:ascii="Times New Roman" w:hAnsi="Times New Roman" w:cs="Times New Roman"/>
          <w:sz w:val="24"/>
          <w:szCs w:val="24"/>
        </w:rPr>
        <w:t>, first, that a fully inclusive European social space cannot be achieved by</w:t>
      </w:r>
      <w:r w:rsidR="00B05013">
        <w:rPr>
          <w:rFonts w:ascii="Times New Roman" w:hAnsi="Times New Roman" w:cs="Times New Roman"/>
          <w:sz w:val="24"/>
          <w:szCs w:val="24"/>
        </w:rPr>
        <w:t xml:space="preserve"> </w:t>
      </w:r>
      <w:r w:rsidR="00441E3F">
        <w:rPr>
          <w:rFonts w:ascii="Times New Roman" w:hAnsi="Times New Roman" w:cs="Times New Roman"/>
          <w:sz w:val="24"/>
          <w:szCs w:val="24"/>
        </w:rPr>
        <w:t xml:space="preserve">pursuing </w:t>
      </w:r>
      <w:r w:rsidR="00333986">
        <w:rPr>
          <w:rFonts w:ascii="Times New Roman" w:hAnsi="Times New Roman" w:cs="Times New Roman"/>
          <w:sz w:val="24"/>
          <w:szCs w:val="24"/>
        </w:rPr>
        <w:t>Union social integration via</w:t>
      </w:r>
      <w:r w:rsidR="007774CB">
        <w:rPr>
          <w:rFonts w:ascii="Times New Roman" w:hAnsi="Times New Roman" w:cs="Times New Roman"/>
          <w:sz w:val="24"/>
          <w:szCs w:val="24"/>
        </w:rPr>
        <w:t xml:space="preserve"> negative</w:t>
      </w:r>
      <w:r w:rsidR="00333986">
        <w:rPr>
          <w:rFonts w:ascii="Times New Roman" w:hAnsi="Times New Roman" w:cs="Times New Roman"/>
          <w:sz w:val="24"/>
          <w:szCs w:val="24"/>
        </w:rPr>
        <w:t xml:space="preserve"> free movement</w:t>
      </w:r>
      <w:r w:rsidR="007774CB">
        <w:rPr>
          <w:rFonts w:ascii="Times New Roman" w:hAnsi="Times New Roman" w:cs="Times New Roman"/>
          <w:sz w:val="24"/>
          <w:szCs w:val="24"/>
        </w:rPr>
        <w:t xml:space="preserve"> processes</w:t>
      </w:r>
      <w:r w:rsidR="00A1650C">
        <w:rPr>
          <w:rFonts w:ascii="Times New Roman" w:hAnsi="Times New Roman" w:cs="Times New Roman"/>
          <w:sz w:val="24"/>
          <w:szCs w:val="24"/>
        </w:rPr>
        <w:t xml:space="preserve"> since it is inherently exclusionary</w:t>
      </w:r>
      <w:r w:rsidR="00043773">
        <w:rPr>
          <w:rFonts w:ascii="Times New Roman" w:hAnsi="Times New Roman" w:cs="Times New Roman"/>
          <w:sz w:val="24"/>
          <w:szCs w:val="24"/>
        </w:rPr>
        <w:t>. A</w:t>
      </w:r>
      <w:r w:rsidR="00B05013">
        <w:rPr>
          <w:rFonts w:ascii="Times New Roman" w:hAnsi="Times New Roman" w:cs="Times New Roman"/>
          <w:sz w:val="24"/>
          <w:szCs w:val="24"/>
        </w:rPr>
        <w:t>s</w:t>
      </w:r>
      <w:r w:rsidR="004F4BD8">
        <w:rPr>
          <w:rFonts w:ascii="Times New Roman" w:hAnsi="Times New Roman" w:cs="Times New Roman"/>
          <w:sz w:val="24"/>
          <w:szCs w:val="24"/>
        </w:rPr>
        <w:t xml:space="preserve"> O’Brien highlights, </w:t>
      </w:r>
      <w:r w:rsidR="005754B3">
        <w:rPr>
          <w:rFonts w:ascii="Times New Roman" w:hAnsi="Times New Roman" w:cs="Times New Roman"/>
          <w:sz w:val="24"/>
          <w:szCs w:val="24"/>
        </w:rPr>
        <w:t>the “</w:t>
      </w:r>
      <w:r w:rsidR="00B05013">
        <w:rPr>
          <w:rFonts w:ascii="Times New Roman" w:hAnsi="Times New Roman" w:cs="Times New Roman"/>
          <w:sz w:val="24"/>
          <w:szCs w:val="24"/>
        </w:rPr>
        <w:t>many characters of the EU citizen, with variegated rights</w:t>
      </w:r>
      <w:r w:rsidR="004F4BD8">
        <w:rPr>
          <w:rFonts w:ascii="Times New Roman" w:hAnsi="Times New Roman" w:cs="Times New Roman"/>
          <w:sz w:val="24"/>
          <w:szCs w:val="24"/>
        </w:rPr>
        <w:t xml:space="preserve"> according to circumstance’</w:t>
      </w:r>
      <w:r w:rsidR="00B05013">
        <w:rPr>
          <w:rFonts w:ascii="Times New Roman" w:hAnsi="Times New Roman" w:cs="Times New Roman"/>
          <w:sz w:val="24"/>
          <w:szCs w:val="24"/>
        </w:rPr>
        <w:t xml:space="preserve"> lead in practice to ‘steep status gaps and welfare cliff edges for nationals of other States; gaps and losses not currently tolerated for own nationals</w:t>
      </w:r>
      <w:r w:rsidR="005754B3">
        <w:rPr>
          <w:rFonts w:ascii="Times New Roman" w:hAnsi="Times New Roman" w:cs="Times New Roman"/>
          <w:sz w:val="24"/>
          <w:szCs w:val="24"/>
        </w:rPr>
        <w:t>”</w:t>
      </w:r>
      <w:r w:rsidR="00B05013">
        <w:rPr>
          <w:rFonts w:ascii="Times New Roman" w:hAnsi="Times New Roman" w:cs="Times New Roman"/>
          <w:sz w:val="24"/>
          <w:szCs w:val="24"/>
        </w:rPr>
        <w:t>.</w:t>
      </w:r>
      <w:r w:rsidR="00B05013">
        <w:rPr>
          <w:rStyle w:val="FootnoteReference"/>
          <w:rFonts w:ascii="Times New Roman" w:hAnsi="Times New Roman" w:cs="Times New Roman"/>
          <w:sz w:val="24"/>
          <w:szCs w:val="24"/>
        </w:rPr>
        <w:footnoteReference w:id="203"/>
      </w:r>
      <w:r w:rsidR="000250AF">
        <w:rPr>
          <w:rFonts w:ascii="Times New Roman" w:hAnsi="Times New Roman" w:cs="Times New Roman"/>
          <w:sz w:val="24"/>
          <w:szCs w:val="24"/>
        </w:rPr>
        <w:t xml:space="preserve"> V</w:t>
      </w:r>
      <w:r w:rsidR="00441E3F">
        <w:rPr>
          <w:rFonts w:ascii="Times New Roman" w:hAnsi="Times New Roman" w:cs="Times New Roman"/>
          <w:sz w:val="24"/>
          <w:szCs w:val="24"/>
        </w:rPr>
        <w:t>arious Member States have used Union citizenship’s connections with economic activ</w:t>
      </w:r>
      <w:r w:rsidR="00043773">
        <w:rPr>
          <w:rFonts w:ascii="Times New Roman" w:hAnsi="Times New Roman" w:cs="Times New Roman"/>
          <w:sz w:val="24"/>
          <w:szCs w:val="24"/>
        </w:rPr>
        <w:t>ity to introduce right to reside</w:t>
      </w:r>
      <w:r w:rsidR="00441E3F">
        <w:rPr>
          <w:rFonts w:ascii="Times New Roman" w:hAnsi="Times New Roman" w:cs="Times New Roman"/>
          <w:sz w:val="24"/>
          <w:szCs w:val="24"/>
        </w:rPr>
        <w:t>-style tests</w:t>
      </w:r>
      <w:r w:rsidR="0063239D">
        <w:rPr>
          <w:rFonts w:ascii="Times New Roman" w:hAnsi="Times New Roman" w:cs="Times New Roman"/>
          <w:sz w:val="24"/>
          <w:szCs w:val="24"/>
        </w:rPr>
        <w:t xml:space="preserve"> for access to their social assistance schemes. Under such tests, no</w:t>
      </w:r>
      <w:r w:rsidR="00CA3A47">
        <w:rPr>
          <w:rFonts w:ascii="Times New Roman" w:hAnsi="Times New Roman" w:cs="Times New Roman"/>
          <w:sz w:val="24"/>
          <w:szCs w:val="24"/>
        </w:rPr>
        <w:t>w permitted by the Court</w:t>
      </w:r>
      <w:r w:rsidR="0063239D">
        <w:rPr>
          <w:rFonts w:ascii="Times New Roman" w:hAnsi="Times New Roman" w:cs="Times New Roman"/>
          <w:sz w:val="24"/>
          <w:szCs w:val="24"/>
        </w:rPr>
        <w:t>,</w:t>
      </w:r>
      <w:r w:rsidR="00A1650C">
        <w:rPr>
          <w:rStyle w:val="FootnoteReference"/>
          <w:rFonts w:ascii="Times New Roman" w:hAnsi="Times New Roman" w:cs="Times New Roman"/>
          <w:sz w:val="24"/>
          <w:szCs w:val="24"/>
        </w:rPr>
        <w:footnoteReference w:id="204"/>
      </w:r>
      <w:r w:rsidR="0063239D">
        <w:rPr>
          <w:rFonts w:ascii="Times New Roman" w:hAnsi="Times New Roman" w:cs="Times New Roman"/>
          <w:sz w:val="24"/>
          <w:szCs w:val="24"/>
        </w:rPr>
        <w:t xml:space="preserve"> resident host State nationals will a</w:t>
      </w:r>
      <w:r w:rsidR="005754B3">
        <w:rPr>
          <w:rFonts w:ascii="Times New Roman" w:hAnsi="Times New Roman" w:cs="Times New Roman"/>
          <w:sz w:val="24"/>
          <w:szCs w:val="24"/>
        </w:rPr>
        <w:t>utomatically have the required “right to reside”</w:t>
      </w:r>
      <w:r w:rsidR="0063239D">
        <w:rPr>
          <w:rFonts w:ascii="Times New Roman" w:hAnsi="Times New Roman" w:cs="Times New Roman"/>
          <w:sz w:val="24"/>
          <w:szCs w:val="24"/>
        </w:rPr>
        <w:t xml:space="preserve"> but non-national EU citizens generally have to be economically active.</w:t>
      </w:r>
      <w:r w:rsidR="0063239D">
        <w:rPr>
          <w:rStyle w:val="FootnoteReference"/>
          <w:rFonts w:ascii="Times New Roman" w:hAnsi="Times New Roman" w:cs="Times New Roman"/>
          <w:sz w:val="24"/>
          <w:szCs w:val="24"/>
        </w:rPr>
        <w:footnoteReference w:id="205"/>
      </w:r>
      <w:r w:rsidR="0063239D">
        <w:rPr>
          <w:rFonts w:ascii="Times New Roman" w:hAnsi="Times New Roman" w:cs="Times New Roman"/>
          <w:sz w:val="24"/>
          <w:szCs w:val="24"/>
        </w:rPr>
        <w:t xml:space="preserve"> If </w:t>
      </w:r>
      <w:r w:rsidR="004F4BD8">
        <w:rPr>
          <w:rFonts w:ascii="Times New Roman" w:hAnsi="Times New Roman" w:cs="Times New Roman"/>
          <w:sz w:val="24"/>
          <w:szCs w:val="24"/>
        </w:rPr>
        <w:t>the negative integration process outlined above seeks to ensure a socially-integrated Europe by ensuring the equal treatment of all EU citizens within national social mechanisms</w:t>
      </w:r>
      <w:r w:rsidR="0063239D">
        <w:rPr>
          <w:rFonts w:ascii="Times New Roman" w:hAnsi="Times New Roman" w:cs="Times New Roman"/>
          <w:sz w:val="24"/>
          <w:szCs w:val="24"/>
        </w:rPr>
        <w:t xml:space="preserve">, then this </w:t>
      </w:r>
      <w:r w:rsidR="004F4BD8">
        <w:rPr>
          <w:rFonts w:ascii="Times New Roman" w:hAnsi="Times New Roman" w:cs="Times New Roman"/>
          <w:sz w:val="24"/>
          <w:szCs w:val="24"/>
        </w:rPr>
        <w:t xml:space="preserve">objective </w:t>
      </w:r>
      <w:r w:rsidR="0063239D">
        <w:rPr>
          <w:rFonts w:ascii="Times New Roman" w:hAnsi="Times New Roman" w:cs="Times New Roman"/>
          <w:sz w:val="24"/>
          <w:szCs w:val="24"/>
        </w:rPr>
        <w:t xml:space="preserve">has not </w:t>
      </w:r>
      <w:r w:rsidR="004F4BD8">
        <w:rPr>
          <w:rFonts w:ascii="Times New Roman" w:hAnsi="Times New Roman" w:cs="Times New Roman"/>
          <w:sz w:val="24"/>
          <w:szCs w:val="24"/>
        </w:rPr>
        <w:t xml:space="preserve">been achieved. </w:t>
      </w:r>
      <w:r w:rsidR="0063239D">
        <w:rPr>
          <w:rFonts w:ascii="Times New Roman" w:hAnsi="Times New Roman" w:cs="Times New Roman"/>
          <w:sz w:val="24"/>
          <w:szCs w:val="24"/>
        </w:rPr>
        <w:t>Host State nationals contribute to the fabric of their communities as a resu</w:t>
      </w:r>
      <w:r w:rsidR="004F4BD8">
        <w:rPr>
          <w:rFonts w:ascii="Times New Roman" w:hAnsi="Times New Roman" w:cs="Times New Roman"/>
          <w:sz w:val="24"/>
          <w:szCs w:val="24"/>
        </w:rPr>
        <w:t>lt of</w:t>
      </w:r>
      <w:r w:rsidR="00A1650C">
        <w:rPr>
          <w:rFonts w:ascii="Times New Roman" w:hAnsi="Times New Roman" w:cs="Times New Roman"/>
          <w:sz w:val="24"/>
          <w:szCs w:val="24"/>
        </w:rPr>
        <w:t xml:space="preserve"> numerous factors including</w:t>
      </w:r>
      <w:r w:rsidR="0063239D">
        <w:rPr>
          <w:rFonts w:ascii="Times New Roman" w:hAnsi="Times New Roman" w:cs="Times New Roman"/>
          <w:sz w:val="24"/>
          <w:szCs w:val="24"/>
        </w:rPr>
        <w:t xml:space="preserve"> residence, family relationships,</w:t>
      </w:r>
      <w:r w:rsidR="004F4BD8">
        <w:rPr>
          <w:rFonts w:ascii="Times New Roman" w:hAnsi="Times New Roman" w:cs="Times New Roman"/>
          <w:sz w:val="24"/>
          <w:szCs w:val="24"/>
        </w:rPr>
        <w:t xml:space="preserve"> and</w:t>
      </w:r>
      <w:r w:rsidR="0063239D">
        <w:rPr>
          <w:rFonts w:ascii="Times New Roman" w:hAnsi="Times New Roman" w:cs="Times New Roman"/>
          <w:sz w:val="24"/>
          <w:szCs w:val="24"/>
        </w:rPr>
        <w:t xml:space="preserve"> community t</w:t>
      </w:r>
      <w:r w:rsidR="00333986">
        <w:rPr>
          <w:rFonts w:ascii="Times New Roman" w:hAnsi="Times New Roman" w:cs="Times New Roman"/>
          <w:sz w:val="24"/>
          <w:szCs w:val="24"/>
        </w:rPr>
        <w:t>ies. Conversely, n</w:t>
      </w:r>
      <w:r w:rsidR="0063239D">
        <w:rPr>
          <w:rFonts w:ascii="Times New Roman" w:hAnsi="Times New Roman" w:cs="Times New Roman"/>
          <w:sz w:val="24"/>
          <w:szCs w:val="24"/>
        </w:rPr>
        <w:t xml:space="preserve">on-national EU citizens must primarily rely on economic activity to display their social </w:t>
      </w:r>
      <w:r w:rsidR="0063239D">
        <w:rPr>
          <w:rFonts w:ascii="Times New Roman" w:hAnsi="Times New Roman" w:cs="Times New Roman"/>
          <w:sz w:val="24"/>
          <w:szCs w:val="24"/>
        </w:rPr>
        <w:lastRenderedPageBreak/>
        <w:t>integration</w:t>
      </w:r>
      <w:r w:rsidR="000250AF">
        <w:rPr>
          <w:rFonts w:ascii="Times New Roman" w:hAnsi="Times New Roman" w:cs="Times New Roman"/>
          <w:sz w:val="24"/>
          <w:szCs w:val="24"/>
        </w:rPr>
        <w:t xml:space="preserve"> regardless of their broader contributions and participation</w:t>
      </w:r>
      <w:r w:rsidR="0063239D">
        <w:rPr>
          <w:rFonts w:ascii="Times New Roman" w:hAnsi="Times New Roman" w:cs="Times New Roman"/>
          <w:sz w:val="24"/>
          <w:szCs w:val="24"/>
        </w:rPr>
        <w:t xml:space="preserve">. </w:t>
      </w:r>
      <w:r w:rsidR="00043773">
        <w:rPr>
          <w:rFonts w:ascii="Times New Roman" w:hAnsi="Times New Roman" w:cs="Times New Roman"/>
          <w:sz w:val="24"/>
          <w:szCs w:val="24"/>
        </w:rPr>
        <w:t>Similarly,</w:t>
      </w:r>
      <w:r w:rsidR="004F4BD8" w:rsidRPr="00043773">
        <w:rPr>
          <w:rFonts w:ascii="Times New Roman" w:hAnsi="Times New Roman" w:cs="Times New Roman"/>
          <w:sz w:val="24"/>
          <w:szCs w:val="24"/>
        </w:rPr>
        <w:t xml:space="preserve"> </w:t>
      </w:r>
      <w:r w:rsidR="0063239D" w:rsidRPr="00043773">
        <w:rPr>
          <w:rFonts w:ascii="Times New Roman" w:hAnsi="Times New Roman" w:cs="Times New Roman"/>
          <w:sz w:val="24"/>
          <w:szCs w:val="24"/>
        </w:rPr>
        <w:t>the case-law on expulsion measures</w:t>
      </w:r>
      <w:r w:rsidR="004F4BD8">
        <w:rPr>
          <w:rFonts w:ascii="Times New Roman" w:hAnsi="Times New Roman" w:cs="Times New Roman"/>
          <w:sz w:val="24"/>
          <w:szCs w:val="24"/>
        </w:rPr>
        <w:t xml:space="preserve"> holds</w:t>
      </w:r>
      <w:r w:rsidR="00D11E0C">
        <w:rPr>
          <w:rFonts w:ascii="Times New Roman" w:hAnsi="Times New Roman" w:cs="Times New Roman"/>
          <w:sz w:val="24"/>
          <w:szCs w:val="24"/>
        </w:rPr>
        <w:t xml:space="preserve"> non-national EU citizens to a higher stand</w:t>
      </w:r>
      <w:r w:rsidR="00043773">
        <w:rPr>
          <w:rFonts w:ascii="Times New Roman" w:hAnsi="Times New Roman" w:cs="Times New Roman"/>
          <w:sz w:val="24"/>
          <w:szCs w:val="24"/>
        </w:rPr>
        <w:t>ard of social integration by virtue of the</w:t>
      </w:r>
      <w:r w:rsidR="00D11E0C">
        <w:rPr>
          <w:rFonts w:ascii="Times New Roman" w:hAnsi="Times New Roman" w:cs="Times New Roman"/>
          <w:sz w:val="24"/>
          <w:szCs w:val="24"/>
        </w:rPr>
        <w:t xml:space="preserve"> very fact that they can be expelled.</w:t>
      </w:r>
      <w:r w:rsidR="00DF056A">
        <w:rPr>
          <w:rStyle w:val="FootnoteReference"/>
          <w:rFonts w:ascii="Times New Roman" w:hAnsi="Times New Roman" w:cs="Times New Roman"/>
          <w:sz w:val="24"/>
          <w:szCs w:val="24"/>
        </w:rPr>
        <w:footnoteReference w:id="206"/>
      </w:r>
      <w:r>
        <w:rPr>
          <w:rFonts w:ascii="Times New Roman" w:hAnsi="Times New Roman" w:cs="Times New Roman"/>
          <w:sz w:val="24"/>
          <w:szCs w:val="24"/>
        </w:rPr>
        <w:t xml:space="preserve"> </w:t>
      </w:r>
      <w:r w:rsidR="00043773">
        <w:rPr>
          <w:rFonts w:ascii="Times New Roman" w:hAnsi="Times New Roman" w:cs="Times New Roman"/>
          <w:sz w:val="24"/>
          <w:szCs w:val="24"/>
        </w:rPr>
        <w:t xml:space="preserve">Specifically, rather than facilitating a European space, </w:t>
      </w:r>
      <w:proofErr w:type="spellStart"/>
      <w:r w:rsidR="00043773">
        <w:rPr>
          <w:rFonts w:ascii="Times New Roman" w:hAnsi="Times New Roman" w:cs="Times New Roman"/>
          <w:i/>
          <w:sz w:val="24"/>
          <w:szCs w:val="24"/>
        </w:rPr>
        <w:t>Onuekwere</w:t>
      </w:r>
      <w:proofErr w:type="spellEnd"/>
      <w:r w:rsidR="000250AF">
        <w:rPr>
          <w:rFonts w:ascii="Times New Roman" w:hAnsi="Times New Roman" w:cs="Times New Roman"/>
          <w:sz w:val="24"/>
          <w:szCs w:val="24"/>
        </w:rPr>
        <w:t xml:space="preserve"> compartmentalises</w:t>
      </w:r>
      <w:r w:rsidR="00D11E0C">
        <w:rPr>
          <w:rFonts w:ascii="Times New Roman" w:hAnsi="Times New Roman" w:cs="Times New Roman"/>
          <w:sz w:val="24"/>
          <w:szCs w:val="24"/>
        </w:rPr>
        <w:t xml:space="preserve"> the Member States as </w:t>
      </w:r>
      <w:r w:rsidR="005754B3">
        <w:rPr>
          <w:rFonts w:ascii="Times New Roman" w:hAnsi="Times New Roman" w:cs="Times New Roman"/>
          <w:sz w:val="24"/>
          <w:szCs w:val="24"/>
        </w:rPr>
        <w:t>individual “social and cultural units”</w:t>
      </w:r>
      <w:r w:rsidR="00043773">
        <w:rPr>
          <w:rFonts w:ascii="Times New Roman" w:hAnsi="Times New Roman" w:cs="Times New Roman"/>
          <w:sz w:val="24"/>
          <w:szCs w:val="24"/>
        </w:rPr>
        <w:t>,</w:t>
      </w:r>
      <w:r w:rsidR="00D11E0C">
        <w:rPr>
          <w:rStyle w:val="FootnoteReference"/>
          <w:rFonts w:ascii="Times New Roman" w:hAnsi="Times New Roman" w:cs="Times New Roman"/>
          <w:sz w:val="24"/>
          <w:szCs w:val="24"/>
        </w:rPr>
        <w:footnoteReference w:id="207"/>
      </w:r>
      <w:r w:rsidR="00043773">
        <w:rPr>
          <w:rFonts w:ascii="Times New Roman" w:hAnsi="Times New Roman" w:cs="Times New Roman"/>
          <w:sz w:val="24"/>
          <w:szCs w:val="24"/>
        </w:rPr>
        <w:t xml:space="preserve"> by reference to their criminal codes.</w:t>
      </w:r>
      <w:r w:rsidR="00D11E0C">
        <w:rPr>
          <w:rFonts w:ascii="Times New Roman" w:hAnsi="Times New Roman" w:cs="Times New Roman"/>
          <w:sz w:val="24"/>
          <w:szCs w:val="24"/>
        </w:rPr>
        <w:t xml:space="preserve"> Yet,</w:t>
      </w:r>
      <w:r w:rsidR="0063239D">
        <w:rPr>
          <w:rFonts w:ascii="Times New Roman" w:hAnsi="Times New Roman" w:cs="Times New Roman"/>
          <w:sz w:val="24"/>
          <w:szCs w:val="24"/>
        </w:rPr>
        <w:t xml:space="preserve"> </w:t>
      </w:r>
      <w:r w:rsidR="00D11E0C">
        <w:rPr>
          <w:rFonts w:ascii="Times New Roman" w:hAnsi="Times New Roman" w:cs="Times New Roman"/>
          <w:sz w:val="24"/>
          <w:szCs w:val="24"/>
        </w:rPr>
        <w:t>when a non-national</w:t>
      </w:r>
      <w:r w:rsidR="00333986">
        <w:rPr>
          <w:rFonts w:ascii="Times New Roman" w:hAnsi="Times New Roman" w:cs="Times New Roman"/>
          <w:sz w:val="24"/>
          <w:szCs w:val="24"/>
        </w:rPr>
        <w:t xml:space="preserve"> EU citizen</w:t>
      </w:r>
      <w:r w:rsidR="00D11E0C">
        <w:rPr>
          <w:rFonts w:ascii="Times New Roman" w:hAnsi="Times New Roman" w:cs="Times New Roman"/>
          <w:sz w:val="24"/>
          <w:szCs w:val="24"/>
        </w:rPr>
        <w:t xml:space="preserve"> commits a crime in her/his host State, she/he </w:t>
      </w:r>
      <w:r w:rsidR="00043773">
        <w:rPr>
          <w:rFonts w:ascii="Times New Roman" w:hAnsi="Times New Roman" w:cs="Times New Roman"/>
          <w:sz w:val="24"/>
          <w:szCs w:val="24"/>
        </w:rPr>
        <w:t xml:space="preserve">will rarely </w:t>
      </w:r>
      <w:r w:rsidR="00D11E0C">
        <w:rPr>
          <w:rFonts w:ascii="Times New Roman" w:hAnsi="Times New Roman" w:cs="Times New Roman"/>
          <w:sz w:val="24"/>
          <w:szCs w:val="24"/>
        </w:rPr>
        <w:t>commit</w:t>
      </w:r>
      <w:r w:rsidR="00043773">
        <w:rPr>
          <w:rFonts w:ascii="Times New Roman" w:hAnsi="Times New Roman" w:cs="Times New Roman"/>
          <w:sz w:val="24"/>
          <w:szCs w:val="24"/>
        </w:rPr>
        <w:t xml:space="preserve"> acts</w:t>
      </w:r>
      <w:r w:rsidR="00D11E0C">
        <w:rPr>
          <w:rFonts w:ascii="Times New Roman" w:hAnsi="Times New Roman" w:cs="Times New Roman"/>
          <w:sz w:val="24"/>
          <w:szCs w:val="24"/>
        </w:rPr>
        <w:t xml:space="preserve"> that</w:t>
      </w:r>
      <w:r w:rsidR="00043773">
        <w:rPr>
          <w:rFonts w:ascii="Times New Roman" w:hAnsi="Times New Roman" w:cs="Times New Roman"/>
          <w:sz w:val="24"/>
          <w:szCs w:val="24"/>
        </w:rPr>
        <w:t xml:space="preserve"> distinguish her/him entirely from </w:t>
      </w:r>
      <w:r w:rsidR="00DF056A">
        <w:rPr>
          <w:rFonts w:ascii="Times New Roman" w:hAnsi="Times New Roman" w:cs="Times New Roman"/>
          <w:sz w:val="24"/>
          <w:szCs w:val="24"/>
        </w:rPr>
        <w:t>the criminal conduct of host State nationals</w:t>
      </w:r>
      <w:r w:rsidR="00D11E0C">
        <w:rPr>
          <w:rFonts w:ascii="Times New Roman" w:hAnsi="Times New Roman" w:cs="Times New Roman"/>
          <w:sz w:val="24"/>
          <w:szCs w:val="24"/>
        </w:rPr>
        <w:t>. Nor is it likely, that she/he has</w:t>
      </w:r>
      <w:r w:rsidR="00DF056A">
        <w:rPr>
          <w:rFonts w:ascii="Times New Roman" w:hAnsi="Times New Roman" w:cs="Times New Roman"/>
          <w:sz w:val="24"/>
          <w:szCs w:val="24"/>
        </w:rPr>
        <w:t xml:space="preserve"> acted in a way that is</w:t>
      </w:r>
      <w:r w:rsidR="00D11E0C">
        <w:rPr>
          <w:rFonts w:ascii="Times New Roman" w:hAnsi="Times New Roman" w:cs="Times New Roman"/>
          <w:sz w:val="24"/>
          <w:szCs w:val="24"/>
        </w:rPr>
        <w:t xml:space="preserve"> totally unproblematic within the value system of their Member State of origin. </w:t>
      </w:r>
      <w:r w:rsidR="00DF056A">
        <w:rPr>
          <w:rFonts w:ascii="Times New Roman" w:hAnsi="Times New Roman" w:cs="Times New Roman"/>
          <w:sz w:val="24"/>
          <w:szCs w:val="24"/>
        </w:rPr>
        <w:t>Thus, n</w:t>
      </w:r>
      <w:r w:rsidR="00D11E0C">
        <w:rPr>
          <w:rFonts w:ascii="Times New Roman" w:hAnsi="Times New Roman" w:cs="Times New Roman"/>
          <w:sz w:val="24"/>
          <w:szCs w:val="24"/>
        </w:rPr>
        <w:t>ationality still matters in the European social space.</w:t>
      </w:r>
      <w:r w:rsidR="00DF056A">
        <w:rPr>
          <w:rStyle w:val="FootnoteReference"/>
          <w:rFonts w:ascii="Times New Roman" w:hAnsi="Times New Roman" w:cs="Times New Roman"/>
          <w:sz w:val="24"/>
          <w:szCs w:val="24"/>
        </w:rPr>
        <w:footnoteReference w:id="208"/>
      </w:r>
      <w:r w:rsidR="00D11E0C">
        <w:rPr>
          <w:rFonts w:ascii="Times New Roman" w:hAnsi="Times New Roman" w:cs="Times New Roman"/>
          <w:sz w:val="24"/>
          <w:szCs w:val="24"/>
        </w:rPr>
        <w:t xml:space="preserve"> </w:t>
      </w:r>
    </w:p>
    <w:p w:rsidR="00470AD5" w:rsidRDefault="00470AD5" w:rsidP="00470AD5">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9301F">
        <w:rPr>
          <w:rFonts w:ascii="Times New Roman" w:hAnsi="Times New Roman" w:cs="Times New Roman"/>
          <w:sz w:val="24"/>
          <w:szCs w:val="24"/>
        </w:rPr>
        <w:t>Second,</w:t>
      </w:r>
      <w:r w:rsidR="00D11E0C">
        <w:rPr>
          <w:rFonts w:ascii="Times New Roman" w:hAnsi="Times New Roman" w:cs="Times New Roman"/>
          <w:sz w:val="24"/>
          <w:szCs w:val="24"/>
        </w:rPr>
        <w:t xml:space="preserve"> </w:t>
      </w:r>
      <w:r w:rsidR="00A1650C">
        <w:rPr>
          <w:rFonts w:ascii="Times New Roman" w:hAnsi="Times New Roman" w:cs="Times New Roman"/>
          <w:sz w:val="24"/>
          <w:szCs w:val="24"/>
        </w:rPr>
        <w:t>the exclusionary nature of social integration in the context of free movement n</w:t>
      </w:r>
      <w:r w:rsidR="00D11E0C">
        <w:rPr>
          <w:rFonts w:ascii="Times New Roman" w:hAnsi="Times New Roman" w:cs="Times New Roman"/>
          <w:sz w:val="24"/>
          <w:szCs w:val="24"/>
        </w:rPr>
        <w:t>ow risks being in direct conflict with the Union’s wider aims and approach. Article 3(3) TEU c</w:t>
      </w:r>
      <w:r w:rsidR="00333986">
        <w:rPr>
          <w:rFonts w:ascii="Times New Roman" w:hAnsi="Times New Roman" w:cs="Times New Roman"/>
          <w:sz w:val="24"/>
          <w:szCs w:val="24"/>
        </w:rPr>
        <w:t>harges the Union with ‘combat[</w:t>
      </w:r>
      <w:proofErr w:type="spellStart"/>
      <w:r w:rsidR="00D11E0C">
        <w:rPr>
          <w:rFonts w:ascii="Times New Roman" w:hAnsi="Times New Roman" w:cs="Times New Roman"/>
          <w:sz w:val="24"/>
          <w:szCs w:val="24"/>
        </w:rPr>
        <w:t>ing</w:t>
      </w:r>
      <w:proofErr w:type="spellEnd"/>
      <w:r w:rsidR="00333986">
        <w:rPr>
          <w:rFonts w:ascii="Times New Roman" w:hAnsi="Times New Roman" w:cs="Times New Roman"/>
          <w:sz w:val="24"/>
          <w:szCs w:val="24"/>
        </w:rPr>
        <w:t>]</w:t>
      </w:r>
      <w:r w:rsidR="00D11E0C">
        <w:rPr>
          <w:rFonts w:ascii="Times New Roman" w:hAnsi="Times New Roman" w:cs="Times New Roman"/>
          <w:sz w:val="24"/>
          <w:szCs w:val="24"/>
        </w:rPr>
        <w:t xml:space="preserve"> social </w:t>
      </w:r>
      <w:r w:rsidR="00333986">
        <w:rPr>
          <w:rFonts w:ascii="Times New Roman" w:hAnsi="Times New Roman" w:cs="Times New Roman"/>
          <w:sz w:val="24"/>
          <w:szCs w:val="24"/>
        </w:rPr>
        <w:t>exclusion and discrimination</w:t>
      </w:r>
      <w:r w:rsidR="00D11E0C">
        <w:rPr>
          <w:rFonts w:ascii="Times New Roman" w:hAnsi="Times New Roman" w:cs="Times New Roman"/>
          <w:sz w:val="24"/>
          <w:szCs w:val="24"/>
        </w:rPr>
        <w:t>…</w:t>
      </w:r>
      <w:proofErr w:type="spellStart"/>
      <w:r w:rsidR="00D11E0C">
        <w:rPr>
          <w:rFonts w:ascii="Times New Roman" w:hAnsi="Times New Roman" w:cs="Times New Roman"/>
          <w:sz w:val="24"/>
          <w:szCs w:val="24"/>
        </w:rPr>
        <w:t>promot</w:t>
      </w:r>
      <w:proofErr w:type="spellEnd"/>
      <w:r w:rsidR="00D11E0C">
        <w:rPr>
          <w:rFonts w:ascii="Times New Roman" w:hAnsi="Times New Roman" w:cs="Times New Roman"/>
          <w:sz w:val="24"/>
          <w:szCs w:val="24"/>
        </w:rPr>
        <w:t>[</w:t>
      </w:r>
      <w:proofErr w:type="spellStart"/>
      <w:r w:rsidR="00D11E0C">
        <w:rPr>
          <w:rFonts w:ascii="Times New Roman" w:hAnsi="Times New Roman" w:cs="Times New Roman"/>
          <w:sz w:val="24"/>
          <w:szCs w:val="24"/>
        </w:rPr>
        <w:t>ing</w:t>
      </w:r>
      <w:proofErr w:type="spellEnd"/>
      <w:r w:rsidR="00D11E0C">
        <w:rPr>
          <w:rFonts w:ascii="Times New Roman" w:hAnsi="Times New Roman" w:cs="Times New Roman"/>
          <w:sz w:val="24"/>
          <w:szCs w:val="24"/>
        </w:rPr>
        <w:t>] social justice and protection, [and] equality between women and men’. While the Union</w:t>
      </w:r>
      <w:r w:rsidR="0059301F">
        <w:rPr>
          <w:rFonts w:ascii="Times New Roman" w:hAnsi="Times New Roman" w:cs="Times New Roman"/>
          <w:sz w:val="24"/>
          <w:szCs w:val="24"/>
        </w:rPr>
        <w:t>’s legislative competence might still restrict the manner in which it pursues these goals,</w:t>
      </w:r>
      <w:r w:rsidR="003975F3">
        <w:rPr>
          <w:rFonts w:ascii="Times New Roman" w:hAnsi="Times New Roman" w:cs="Times New Roman"/>
          <w:sz w:val="24"/>
          <w:szCs w:val="24"/>
        </w:rPr>
        <w:t xml:space="preserve"> the </w:t>
      </w:r>
      <w:r w:rsidR="00D11E0C">
        <w:rPr>
          <w:rFonts w:ascii="Times New Roman" w:hAnsi="Times New Roman" w:cs="Times New Roman"/>
          <w:sz w:val="24"/>
          <w:szCs w:val="24"/>
        </w:rPr>
        <w:t>operation of the free movement provisions risks undermining the</w:t>
      </w:r>
      <w:r w:rsidR="0059301F">
        <w:rPr>
          <w:rFonts w:ascii="Times New Roman" w:hAnsi="Times New Roman" w:cs="Times New Roman"/>
          <w:sz w:val="24"/>
          <w:szCs w:val="24"/>
        </w:rPr>
        <w:t>m altogether.</w:t>
      </w:r>
      <w:r>
        <w:rPr>
          <w:rFonts w:ascii="Times New Roman" w:hAnsi="Times New Roman" w:cs="Times New Roman"/>
          <w:sz w:val="24"/>
          <w:szCs w:val="24"/>
        </w:rPr>
        <w:t xml:space="preserve"> Specifically, the current connection between </w:t>
      </w:r>
      <w:r w:rsidR="005754B3">
        <w:rPr>
          <w:rFonts w:ascii="Times New Roman" w:hAnsi="Times New Roman" w:cs="Times New Roman"/>
          <w:sz w:val="24"/>
          <w:szCs w:val="24"/>
        </w:rPr>
        <w:t>“</w:t>
      </w:r>
      <w:r>
        <w:rPr>
          <w:rFonts w:ascii="Times New Roman" w:hAnsi="Times New Roman" w:cs="Times New Roman"/>
          <w:sz w:val="24"/>
          <w:szCs w:val="24"/>
        </w:rPr>
        <w:t>integrating links</w:t>
      </w:r>
      <w:r w:rsidR="005754B3">
        <w:rPr>
          <w:rFonts w:ascii="Times New Roman" w:hAnsi="Times New Roman" w:cs="Times New Roman"/>
          <w:sz w:val="24"/>
          <w:szCs w:val="24"/>
        </w:rPr>
        <w:t>”</w:t>
      </w:r>
      <w:r>
        <w:rPr>
          <w:rFonts w:ascii="Times New Roman" w:hAnsi="Times New Roman" w:cs="Times New Roman"/>
          <w:sz w:val="24"/>
          <w:szCs w:val="24"/>
        </w:rPr>
        <w:t xml:space="preserve"> to one’s host State and the financial contributions made to its social security system through economic activity</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has a gendered tilt in its non-recognition of the societal contributions of non-economic activity. Reproductive labour and the majority of unpaid care work is performed by women and, as O’Brien points out, this</w:t>
      </w:r>
      <w:r w:rsidR="005754B3">
        <w:rPr>
          <w:rFonts w:ascii="Times New Roman" w:hAnsi="Times New Roman" w:cs="Times New Roman"/>
          <w:sz w:val="24"/>
          <w:szCs w:val="24"/>
        </w:rPr>
        <w:t xml:space="preserve"> “</w:t>
      </w:r>
      <w:r w:rsidR="005641F0">
        <w:rPr>
          <w:rFonts w:ascii="Times New Roman" w:hAnsi="Times New Roman" w:cs="Times New Roman"/>
          <w:sz w:val="24"/>
          <w:szCs w:val="24"/>
        </w:rPr>
        <w:t>de-valuing of non-economic activity fails on its own terms, in that studies show that national economies are subsidised to a very significant degree by the unpa</w:t>
      </w:r>
      <w:r w:rsidR="005754B3">
        <w:rPr>
          <w:rFonts w:ascii="Times New Roman" w:hAnsi="Times New Roman" w:cs="Times New Roman"/>
          <w:sz w:val="24"/>
          <w:szCs w:val="24"/>
        </w:rPr>
        <w:t>id labour of parents and carers”</w:t>
      </w:r>
      <w:r w:rsidR="005641F0">
        <w:rPr>
          <w:rFonts w:ascii="Times New Roman" w:hAnsi="Times New Roman" w:cs="Times New Roman"/>
          <w:sz w:val="24"/>
          <w:szCs w:val="24"/>
        </w:rPr>
        <w:t>.</w:t>
      </w:r>
      <w:r w:rsidR="005641F0">
        <w:rPr>
          <w:rStyle w:val="FootnoteReference"/>
          <w:rFonts w:ascii="Times New Roman" w:hAnsi="Times New Roman" w:cs="Times New Roman"/>
          <w:sz w:val="24"/>
          <w:szCs w:val="24"/>
        </w:rPr>
        <w:footnoteReference w:id="210"/>
      </w:r>
      <w:r w:rsidR="00EA3F33">
        <w:rPr>
          <w:rFonts w:ascii="Times New Roman" w:hAnsi="Times New Roman" w:cs="Times New Roman"/>
          <w:sz w:val="24"/>
          <w:szCs w:val="24"/>
        </w:rPr>
        <w:t xml:space="preserve"> More broadly, the </w:t>
      </w:r>
      <w:r w:rsidR="0059301F">
        <w:rPr>
          <w:rFonts w:ascii="Times New Roman" w:hAnsi="Times New Roman" w:cs="Times New Roman"/>
          <w:sz w:val="24"/>
          <w:szCs w:val="24"/>
        </w:rPr>
        <w:t>permissibility of right to reside</w:t>
      </w:r>
      <w:r w:rsidR="00A57797">
        <w:rPr>
          <w:rFonts w:ascii="Times New Roman" w:hAnsi="Times New Roman" w:cs="Times New Roman"/>
          <w:sz w:val="24"/>
          <w:szCs w:val="24"/>
        </w:rPr>
        <w:t xml:space="preserve"> tests</w:t>
      </w:r>
      <w:r w:rsidR="0059301F">
        <w:rPr>
          <w:rFonts w:ascii="Times New Roman" w:hAnsi="Times New Roman" w:cs="Times New Roman"/>
          <w:sz w:val="24"/>
          <w:szCs w:val="24"/>
        </w:rPr>
        <w:t xml:space="preserve"> as ‘potent barriers’</w:t>
      </w:r>
      <w:r w:rsidR="0059301F">
        <w:rPr>
          <w:rStyle w:val="FootnoteReference"/>
          <w:rFonts w:ascii="Times New Roman" w:hAnsi="Times New Roman" w:cs="Times New Roman"/>
          <w:sz w:val="24"/>
          <w:szCs w:val="24"/>
        </w:rPr>
        <w:footnoteReference w:id="211"/>
      </w:r>
      <w:r w:rsidR="0059301F">
        <w:rPr>
          <w:rFonts w:ascii="Times New Roman" w:hAnsi="Times New Roman" w:cs="Times New Roman"/>
          <w:sz w:val="24"/>
          <w:szCs w:val="24"/>
        </w:rPr>
        <w:t xml:space="preserve"> to social support can leave non-economically active Union citizens lawfully present in their host State for residence pu</w:t>
      </w:r>
      <w:r w:rsidR="00333986">
        <w:rPr>
          <w:rFonts w:ascii="Times New Roman" w:hAnsi="Times New Roman" w:cs="Times New Roman"/>
          <w:sz w:val="24"/>
          <w:szCs w:val="24"/>
        </w:rPr>
        <w:t>rposes but not legally resident</w:t>
      </w:r>
      <w:r w:rsidR="0059301F">
        <w:rPr>
          <w:rFonts w:ascii="Times New Roman" w:hAnsi="Times New Roman" w:cs="Times New Roman"/>
          <w:sz w:val="24"/>
          <w:szCs w:val="24"/>
        </w:rPr>
        <w:t xml:space="preserve"> as regards equal treatment, exposing them to the risk of destitution. </w:t>
      </w:r>
      <w:r w:rsidR="00333986">
        <w:rPr>
          <w:rFonts w:ascii="Times New Roman" w:hAnsi="Times New Roman" w:cs="Times New Roman"/>
          <w:sz w:val="24"/>
          <w:szCs w:val="24"/>
        </w:rPr>
        <w:t>Likewise, t</w:t>
      </w:r>
      <w:r w:rsidR="0059301F">
        <w:rPr>
          <w:rFonts w:ascii="Times New Roman" w:hAnsi="Times New Roman" w:cs="Times New Roman"/>
          <w:sz w:val="24"/>
          <w:szCs w:val="24"/>
        </w:rPr>
        <w:t>he impact of expulsions on</w:t>
      </w:r>
      <w:r w:rsidR="00C40267">
        <w:rPr>
          <w:rFonts w:ascii="Times New Roman" w:hAnsi="Times New Roman" w:cs="Times New Roman"/>
          <w:sz w:val="24"/>
          <w:szCs w:val="24"/>
        </w:rPr>
        <w:t xml:space="preserve"> a different form of social integration, that of</w:t>
      </w:r>
      <w:r w:rsidR="0059301F">
        <w:rPr>
          <w:rFonts w:ascii="Times New Roman" w:hAnsi="Times New Roman" w:cs="Times New Roman"/>
          <w:sz w:val="24"/>
          <w:szCs w:val="24"/>
        </w:rPr>
        <w:t xml:space="preserve"> social rehabilita</w:t>
      </w:r>
      <w:r w:rsidR="00F53EEB">
        <w:rPr>
          <w:rFonts w:ascii="Times New Roman" w:hAnsi="Times New Roman" w:cs="Times New Roman"/>
          <w:sz w:val="24"/>
          <w:szCs w:val="24"/>
        </w:rPr>
        <w:t>tion</w:t>
      </w:r>
      <w:r w:rsidR="00C40267">
        <w:rPr>
          <w:rFonts w:ascii="Times New Roman" w:hAnsi="Times New Roman" w:cs="Times New Roman"/>
          <w:sz w:val="24"/>
          <w:szCs w:val="24"/>
        </w:rPr>
        <w:t>,</w:t>
      </w:r>
      <w:r w:rsidR="00F53EEB">
        <w:rPr>
          <w:rFonts w:ascii="Times New Roman" w:hAnsi="Times New Roman" w:cs="Times New Roman"/>
          <w:sz w:val="24"/>
          <w:szCs w:val="24"/>
        </w:rPr>
        <w:t xml:space="preserve"> and</w:t>
      </w:r>
      <w:r w:rsidR="0059301F">
        <w:rPr>
          <w:rFonts w:ascii="Times New Roman" w:hAnsi="Times New Roman" w:cs="Times New Roman"/>
          <w:sz w:val="24"/>
          <w:szCs w:val="24"/>
        </w:rPr>
        <w:t xml:space="preserve"> the integrative purposes of prisons appea</w:t>
      </w:r>
      <w:r w:rsidR="00F53EEB">
        <w:rPr>
          <w:rFonts w:ascii="Times New Roman" w:hAnsi="Times New Roman" w:cs="Times New Roman"/>
          <w:sz w:val="24"/>
          <w:szCs w:val="24"/>
        </w:rPr>
        <w:t>r</w:t>
      </w:r>
      <w:r w:rsidR="0059301F">
        <w:rPr>
          <w:rFonts w:ascii="Times New Roman" w:hAnsi="Times New Roman" w:cs="Times New Roman"/>
          <w:sz w:val="24"/>
          <w:szCs w:val="24"/>
        </w:rPr>
        <w:t xml:space="preserve"> </w:t>
      </w:r>
      <w:r w:rsidR="0059301F">
        <w:rPr>
          <w:rFonts w:ascii="Times New Roman" w:hAnsi="Times New Roman" w:cs="Times New Roman"/>
          <w:sz w:val="24"/>
          <w:szCs w:val="24"/>
        </w:rPr>
        <w:lastRenderedPageBreak/>
        <w:t xml:space="preserve">to have been overlooked in </w:t>
      </w:r>
      <w:proofErr w:type="spellStart"/>
      <w:r w:rsidR="0059301F">
        <w:rPr>
          <w:rFonts w:ascii="Times New Roman" w:hAnsi="Times New Roman" w:cs="Times New Roman"/>
          <w:i/>
          <w:sz w:val="24"/>
          <w:szCs w:val="24"/>
        </w:rPr>
        <w:t>Onuekwere</w:t>
      </w:r>
      <w:proofErr w:type="spellEnd"/>
      <w:r w:rsidR="0059301F">
        <w:rPr>
          <w:rFonts w:ascii="Times New Roman" w:hAnsi="Times New Roman" w:cs="Times New Roman"/>
          <w:sz w:val="24"/>
          <w:szCs w:val="24"/>
        </w:rPr>
        <w:t>,</w:t>
      </w:r>
      <w:r w:rsidR="0059301F">
        <w:rPr>
          <w:rStyle w:val="FootnoteReference"/>
          <w:rFonts w:ascii="Times New Roman" w:hAnsi="Times New Roman" w:cs="Times New Roman"/>
          <w:sz w:val="24"/>
          <w:szCs w:val="24"/>
        </w:rPr>
        <w:footnoteReference w:id="212"/>
      </w:r>
      <w:r w:rsidR="0059301F">
        <w:rPr>
          <w:rFonts w:ascii="Times New Roman" w:hAnsi="Times New Roman" w:cs="Times New Roman"/>
          <w:sz w:val="24"/>
          <w:szCs w:val="24"/>
        </w:rPr>
        <w:t xml:space="preserve"> though the Court has</w:t>
      </w:r>
      <w:r w:rsidR="00F53EEB">
        <w:rPr>
          <w:rFonts w:ascii="Times New Roman" w:hAnsi="Times New Roman" w:cs="Times New Roman"/>
          <w:sz w:val="24"/>
          <w:szCs w:val="24"/>
        </w:rPr>
        <w:t xml:space="preserve"> acknowledged, very</w:t>
      </w:r>
      <w:r w:rsidR="0059301F">
        <w:rPr>
          <w:rFonts w:ascii="Times New Roman" w:hAnsi="Times New Roman" w:cs="Times New Roman"/>
          <w:sz w:val="24"/>
          <w:szCs w:val="24"/>
        </w:rPr>
        <w:t xml:space="preserve"> recently, in </w:t>
      </w:r>
      <w:r w:rsidR="0059301F">
        <w:rPr>
          <w:rFonts w:ascii="Times New Roman" w:hAnsi="Times New Roman" w:cs="Times New Roman"/>
          <w:i/>
          <w:sz w:val="24"/>
          <w:szCs w:val="24"/>
        </w:rPr>
        <w:t>B</w:t>
      </w:r>
      <w:r w:rsidR="0059301F">
        <w:rPr>
          <w:rFonts w:ascii="Times New Roman" w:hAnsi="Times New Roman" w:cs="Times New Roman"/>
          <w:sz w:val="24"/>
          <w:szCs w:val="24"/>
        </w:rPr>
        <w:t xml:space="preserve">, that individual behaviour whilst in prison </w:t>
      </w:r>
      <w:r w:rsidR="00F53EEB">
        <w:rPr>
          <w:rFonts w:ascii="Times New Roman" w:hAnsi="Times New Roman" w:cs="Times New Roman"/>
          <w:sz w:val="24"/>
          <w:szCs w:val="24"/>
        </w:rPr>
        <w:t xml:space="preserve">could either indicate </w:t>
      </w:r>
      <w:r w:rsidR="0059301F">
        <w:rPr>
          <w:rFonts w:ascii="Times New Roman" w:hAnsi="Times New Roman" w:cs="Times New Roman"/>
          <w:sz w:val="24"/>
          <w:szCs w:val="24"/>
        </w:rPr>
        <w:t>continued disconnection, or the re-forging of links, with the host State society.</w:t>
      </w:r>
      <w:r w:rsidR="0059301F">
        <w:rPr>
          <w:rStyle w:val="FootnoteReference"/>
          <w:rFonts w:ascii="Times New Roman" w:hAnsi="Times New Roman" w:cs="Times New Roman"/>
          <w:sz w:val="24"/>
          <w:szCs w:val="24"/>
        </w:rPr>
        <w:footnoteReference w:id="213"/>
      </w:r>
    </w:p>
    <w:p w:rsidR="005754B3" w:rsidRDefault="00470AD5" w:rsidP="005754B3">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67FDF">
        <w:rPr>
          <w:rFonts w:ascii="Times New Roman" w:hAnsi="Times New Roman" w:cs="Times New Roman"/>
          <w:sz w:val="24"/>
          <w:szCs w:val="24"/>
        </w:rPr>
        <w:t>Third, a</w:t>
      </w:r>
      <w:r w:rsidR="006C79BD">
        <w:rPr>
          <w:rFonts w:ascii="Times New Roman" w:hAnsi="Times New Roman" w:cs="Times New Roman"/>
          <w:sz w:val="24"/>
          <w:szCs w:val="24"/>
        </w:rPr>
        <w:t xml:space="preserve">s well as undermining the Union’s aims in a general sense, the evolution of the primary free </w:t>
      </w:r>
      <w:r w:rsidR="00F53EEB">
        <w:rPr>
          <w:rFonts w:ascii="Times New Roman" w:hAnsi="Times New Roman" w:cs="Times New Roman"/>
          <w:sz w:val="24"/>
          <w:szCs w:val="24"/>
        </w:rPr>
        <w:t xml:space="preserve">movement provisions </w:t>
      </w:r>
      <w:r w:rsidR="006C79BD">
        <w:rPr>
          <w:rFonts w:ascii="Times New Roman" w:hAnsi="Times New Roman" w:cs="Times New Roman"/>
          <w:sz w:val="24"/>
          <w:szCs w:val="24"/>
        </w:rPr>
        <w:t>now bring</w:t>
      </w:r>
      <w:r w:rsidR="00F53EEB">
        <w:rPr>
          <w:rFonts w:ascii="Times New Roman" w:hAnsi="Times New Roman" w:cs="Times New Roman"/>
          <w:sz w:val="24"/>
          <w:szCs w:val="24"/>
        </w:rPr>
        <w:t>s</w:t>
      </w:r>
      <w:r w:rsidR="006C79BD">
        <w:rPr>
          <w:rFonts w:ascii="Times New Roman" w:hAnsi="Times New Roman" w:cs="Times New Roman"/>
          <w:sz w:val="24"/>
          <w:szCs w:val="24"/>
        </w:rPr>
        <w:t xml:space="preserve"> them into increasing conflict with other well-developed areas of EU law and policy, risking a fragmented approach to </w:t>
      </w:r>
      <w:r w:rsidR="00967FDF">
        <w:rPr>
          <w:rFonts w:ascii="Times New Roman" w:hAnsi="Times New Roman" w:cs="Times New Roman"/>
          <w:sz w:val="24"/>
          <w:szCs w:val="24"/>
        </w:rPr>
        <w:t xml:space="preserve">EU </w:t>
      </w:r>
      <w:r w:rsidR="006C79BD">
        <w:rPr>
          <w:rFonts w:ascii="Times New Roman" w:hAnsi="Times New Roman" w:cs="Times New Roman"/>
          <w:sz w:val="24"/>
          <w:szCs w:val="24"/>
        </w:rPr>
        <w:t>social integration</w:t>
      </w:r>
      <w:r w:rsidR="00967FDF">
        <w:rPr>
          <w:rFonts w:ascii="Times New Roman" w:hAnsi="Times New Roman" w:cs="Times New Roman"/>
          <w:sz w:val="24"/>
          <w:szCs w:val="24"/>
        </w:rPr>
        <w:t>.</w:t>
      </w:r>
      <w:r w:rsidR="006C79BD">
        <w:rPr>
          <w:rFonts w:ascii="Times New Roman" w:hAnsi="Times New Roman" w:cs="Times New Roman"/>
          <w:sz w:val="24"/>
          <w:szCs w:val="24"/>
        </w:rPr>
        <w:t xml:space="preserve"> </w:t>
      </w:r>
      <w:r w:rsidR="006C79BD">
        <w:rPr>
          <w:rFonts w:ascii="Times New Roman" w:hAnsi="Times New Roman" w:cs="Times New Roman"/>
          <w:i/>
          <w:sz w:val="24"/>
          <w:szCs w:val="24"/>
        </w:rPr>
        <w:t>Jessy Saint Prix</w:t>
      </w:r>
      <w:r w:rsidR="006C79BD">
        <w:rPr>
          <w:rFonts w:ascii="Times New Roman" w:hAnsi="Times New Roman" w:cs="Times New Roman"/>
          <w:sz w:val="24"/>
          <w:szCs w:val="24"/>
        </w:rPr>
        <w:t xml:space="preserve"> offers a particularly pertinent example</w:t>
      </w:r>
      <w:r w:rsidR="00F53EEB">
        <w:rPr>
          <w:rFonts w:ascii="Times New Roman" w:hAnsi="Times New Roman" w:cs="Times New Roman"/>
          <w:sz w:val="24"/>
          <w:szCs w:val="24"/>
        </w:rPr>
        <w:t xml:space="preserve"> here</w:t>
      </w:r>
      <w:r w:rsidR="006C79BD">
        <w:rPr>
          <w:rFonts w:ascii="Times New Roman" w:hAnsi="Times New Roman" w:cs="Times New Roman"/>
          <w:sz w:val="24"/>
          <w:szCs w:val="24"/>
        </w:rPr>
        <w:t>.</w:t>
      </w:r>
      <w:r w:rsidR="006C79BD">
        <w:rPr>
          <w:rStyle w:val="FootnoteReference"/>
          <w:rFonts w:ascii="Times New Roman" w:hAnsi="Times New Roman" w:cs="Times New Roman"/>
          <w:sz w:val="24"/>
          <w:szCs w:val="24"/>
        </w:rPr>
        <w:footnoteReference w:id="214"/>
      </w:r>
      <w:r w:rsidR="00AA2BCA">
        <w:rPr>
          <w:rFonts w:ascii="Times New Roman" w:hAnsi="Times New Roman" w:cs="Times New Roman"/>
          <w:sz w:val="24"/>
          <w:szCs w:val="24"/>
        </w:rPr>
        <w:t xml:space="preserve"> In permitting an</w:t>
      </w:r>
      <w:r w:rsidR="001E2C16">
        <w:rPr>
          <w:rFonts w:ascii="Times New Roman" w:hAnsi="Times New Roman" w:cs="Times New Roman"/>
          <w:sz w:val="24"/>
          <w:szCs w:val="24"/>
        </w:rPr>
        <w:t xml:space="preserve"> extension of </w:t>
      </w:r>
      <w:r w:rsidR="00AA2BCA">
        <w:rPr>
          <w:rFonts w:ascii="Times New Roman" w:hAnsi="Times New Roman" w:cs="Times New Roman"/>
          <w:sz w:val="24"/>
          <w:szCs w:val="24"/>
        </w:rPr>
        <w:t>the situations in which work</w:t>
      </w:r>
      <w:r w:rsidR="00F53EEB">
        <w:rPr>
          <w:rFonts w:ascii="Times New Roman" w:hAnsi="Times New Roman" w:cs="Times New Roman"/>
          <w:sz w:val="24"/>
          <w:szCs w:val="24"/>
        </w:rPr>
        <w:t>er</w:t>
      </w:r>
      <w:r w:rsidR="00AA2BCA">
        <w:rPr>
          <w:rFonts w:ascii="Times New Roman" w:hAnsi="Times New Roman" w:cs="Times New Roman"/>
          <w:sz w:val="24"/>
          <w:szCs w:val="24"/>
        </w:rPr>
        <w:t xml:space="preserve"> status can be retained beyond those contained in Article 7(3) CRD</w:t>
      </w:r>
      <w:r w:rsidR="00F53EEB">
        <w:rPr>
          <w:rFonts w:ascii="Times New Roman" w:hAnsi="Times New Roman" w:cs="Times New Roman"/>
          <w:sz w:val="24"/>
          <w:szCs w:val="24"/>
        </w:rPr>
        <w:t>,</w:t>
      </w:r>
      <w:r w:rsidR="00AA2BCA">
        <w:rPr>
          <w:rFonts w:ascii="Times New Roman" w:hAnsi="Times New Roman" w:cs="Times New Roman"/>
          <w:sz w:val="24"/>
          <w:szCs w:val="24"/>
        </w:rPr>
        <w:t xml:space="preserve"> to cover pregnancy-related employment breaks, the decisions </w:t>
      </w:r>
      <w:r w:rsidR="00F53EEB">
        <w:rPr>
          <w:rFonts w:ascii="Times New Roman" w:hAnsi="Times New Roman" w:cs="Times New Roman"/>
          <w:sz w:val="24"/>
          <w:szCs w:val="24"/>
        </w:rPr>
        <w:t>appears progressive at</w:t>
      </w:r>
      <w:r w:rsidR="00AA2BCA">
        <w:rPr>
          <w:rFonts w:ascii="Times New Roman" w:hAnsi="Times New Roman" w:cs="Times New Roman"/>
          <w:sz w:val="24"/>
          <w:szCs w:val="24"/>
        </w:rPr>
        <w:t xml:space="preserve"> first glanc</w:t>
      </w:r>
      <w:r w:rsidR="00A53412">
        <w:rPr>
          <w:rFonts w:ascii="Times New Roman" w:hAnsi="Times New Roman" w:cs="Times New Roman"/>
          <w:sz w:val="24"/>
          <w:szCs w:val="24"/>
        </w:rPr>
        <w:t>e. However, as Currie identifies</w:t>
      </w:r>
      <w:r w:rsidR="00AA2BCA">
        <w:rPr>
          <w:rFonts w:ascii="Times New Roman" w:hAnsi="Times New Roman" w:cs="Times New Roman"/>
          <w:sz w:val="24"/>
          <w:szCs w:val="24"/>
        </w:rPr>
        <w:t>, the reliance on worker status as a route to equal</w:t>
      </w:r>
      <w:r w:rsidR="00F53EEB">
        <w:rPr>
          <w:rFonts w:ascii="Times New Roman" w:hAnsi="Times New Roman" w:cs="Times New Roman"/>
          <w:sz w:val="24"/>
          <w:szCs w:val="24"/>
        </w:rPr>
        <w:t xml:space="preserve"> treatment</w:t>
      </w:r>
      <w:r w:rsidR="00AA2BCA">
        <w:rPr>
          <w:rFonts w:ascii="Times New Roman" w:hAnsi="Times New Roman" w:cs="Times New Roman"/>
          <w:sz w:val="24"/>
          <w:szCs w:val="24"/>
        </w:rPr>
        <w:t xml:space="preserve"> in the free movement context is indicative of </w:t>
      </w:r>
      <w:r w:rsidR="001B16D7">
        <w:rPr>
          <w:rFonts w:ascii="Times New Roman" w:hAnsi="Times New Roman" w:cs="Times New Roman"/>
          <w:sz w:val="24"/>
          <w:szCs w:val="24"/>
        </w:rPr>
        <w:t xml:space="preserve">the </w:t>
      </w:r>
      <w:r w:rsidR="00AA2BCA">
        <w:rPr>
          <w:rFonts w:ascii="Times New Roman" w:hAnsi="Times New Roman" w:cs="Times New Roman"/>
          <w:sz w:val="24"/>
          <w:szCs w:val="24"/>
        </w:rPr>
        <w:t>gender disparate way in which the internal market, and its secondary legislation, functions in the first place.</w:t>
      </w:r>
      <w:r w:rsidR="00AA2BCA">
        <w:rPr>
          <w:rStyle w:val="FootnoteReference"/>
          <w:rFonts w:ascii="Times New Roman" w:hAnsi="Times New Roman" w:cs="Times New Roman"/>
          <w:sz w:val="24"/>
          <w:szCs w:val="24"/>
        </w:rPr>
        <w:footnoteReference w:id="215"/>
      </w:r>
      <w:r w:rsidR="00AA2BCA">
        <w:rPr>
          <w:rFonts w:ascii="Times New Roman" w:hAnsi="Times New Roman" w:cs="Times New Roman"/>
          <w:sz w:val="24"/>
          <w:szCs w:val="24"/>
        </w:rPr>
        <w:t xml:space="preserve"> Indeed, it would appear that</w:t>
      </w:r>
      <w:r w:rsidR="005754B3">
        <w:rPr>
          <w:rFonts w:ascii="Times New Roman" w:hAnsi="Times New Roman" w:cs="Times New Roman"/>
          <w:sz w:val="24"/>
          <w:szCs w:val="24"/>
        </w:rPr>
        <w:t xml:space="preserve"> the EU’s “</w:t>
      </w:r>
      <w:r w:rsidR="00AA2BCA">
        <w:rPr>
          <w:rFonts w:ascii="Times New Roman" w:hAnsi="Times New Roman" w:cs="Times New Roman"/>
          <w:sz w:val="24"/>
          <w:szCs w:val="24"/>
        </w:rPr>
        <w:t>highly-regarded and well-developed body of gender equality law has failed to have a tangible impact as far as free movement law and policy is concerned</w:t>
      </w:r>
      <w:r w:rsidR="005754B3">
        <w:rPr>
          <w:rFonts w:ascii="Times New Roman" w:hAnsi="Times New Roman" w:cs="Times New Roman"/>
          <w:sz w:val="24"/>
          <w:szCs w:val="24"/>
        </w:rPr>
        <w:t>”</w:t>
      </w:r>
      <w:r w:rsidR="00AA2BCA">
        <w:rPr>
          <w:rFonts w:ascii="Times New Roman" w:hAnsi="Times New Roman" w:cs="Times New Roman"/>
          <w:sz w:val="24"/>
          <w:szCs w:val="24"/>
        </w:rPr>
        <w:t>.</w:t>
      </w:r>
      <w:r w:rsidR="00AA2BCA">
        <w:rPr>
          <w:rStyle w:val="FootnoteReference"/>
          <w:rFonts w:ascii="Times New Roman" w:hAnsi="Times New Roman" w:cs="Times New Roman"/>
          <w:sz w:val="24"/>
          <w:szCs w:val="24"/>
        </w:rPr>
        <w:footnoteReference w:id="216"/>
      </w:r>
      <w:r w:rsidR="00583EE4">
        <w:rPr>
          <w:rFonts w:ascii="Times New Roman" w:hAnsi="Times New Roman" w:cs="Times New Roman"/>
          <w:sz w:val="24"/>
          <w:szCs w:val="24"/>
        </w:rPr>
        <w:t xml:space="preserve"> This ec</w:t>
      </w:r>
      <w:r>
        <w:rPr>
          <w:rFonts w:ascii="Times New Roman" w:hAnsi="Times New Roman" w:cs="Times New Roman"/>
          <w:sz w:val="24"/>
          <w:szCs w:val="24"/>
        </w:rPr>
        <w:t>hoes our finding, in section three</w:t>
      </w:r>
      <w:r w:rsidR="00583EE4">
        <w:rPr>
          <w:rFonts w:ascii="Times New Roman" w:hAnsi="Times New Roman" w:cs="Times New Roman"/>
          <w:sz w:val="24"/>
          <w:szCs w:val="24"/>
        </w:rPr>
        <w:t>, that the internal market and the EU’s concrete social objectives remain functionally distinct. R</w:t>
      </w:r>
      <w:r w:rsidR="00AA2BCA">
        <w:rPr>
          <w:rFonts w:ascii="Times New Roman" w:hAnsi="Times New Roman" w:cs="Times New Roman"/>
          <w:sz w:val="24"/>
          <w:szCs w:val="24"/>
        </w:rPr>
        <w:t>elying on existing free movement law,</w:t>
      </w:r>
      <w:r w:rsidR="00AA2BCA">
        <w:rPr>
          <w:rStyle w:val="FootnoteReference"/>
          <w:rFonts w:ascii="Times New Roman" w:hAnsi="Times New Roman" w:cs="Times New Roman"/>
          <w:sz w:val="24"/>
          <w:szCs w:val="24"/>
        </w:rPr>
        <w:footnoteReference w:id="217"/>
      </w:r>
      <w:r w:rsidR="00AA2BCA">
        <w:rPr>
          <w:rFonts w:ascii="Times New Roman" w:hAnsi="Times New Roman" w:cs="Times New Roman"/>
          <w:sz w:val="24"/>
          <w:szCs w:val="24"/>
        </w:rPr>
        <w:t xml:space="preserve"> the Court held that Ms Saint Prix </w:t>
      </w:r>
      <w:r w:rsidR="008D1211">
        <w:rPr>
          <w:rFonts w:ascii="Times New Roman" w:hAnsi="Times New Roman" w:cs="Times New Roman"/>
          <w:sz w:val="24"/>
          <w:szCs w:val="24"/>
        </w:rPr>
        <w:t xml:space="preserve">could maintain her </w:t>
      </w:r>
      <w:r w:rsidR="00333986">
        <w:rPr>
          <w:rFonts w:ascii="Times New Roman" w:hAnsi="Times New Roman" w:cs="Times New Roman"/>
          <w:sz w:val="24"/>
          <w:szCs w:val="24"/>
        </w:rPr>
        <w:t xml:space="preserve">access to social assistance by retaining her </w:t>
      </w:r>
      <w:r w:rsidR="008D1211">
        <w:rPr>
          <w:rFonts w:ascii="Times New Roman" w:hAnsi="Times New Roman" w:cs="Times New Roman"/>
          <w:sz w:val="24"/>
          <w:szCs w:val="24"/>
        </w:rPr>
        <w:t>connection to the labour market</w:t>
      </w:r>
      <w:r w:rsidR="00333986">
        <w:rPr>
          <w:rFonts w:ascii="Times New Roman" w:hAnsi="Times New Roman" w:cs="Times New Roman"/>
          <w:sz w:val="24"/>
          <w:szCs w:val="24"/>
        </w:rPr>
        <w:t xml:space="preserve"> and only if she had </w:t>
      </w:r>
      <w:r w:rsidR="005754B3">
        <w:rPr>
          <w:rFonts w:ascii="Times New Roman" w:hAnsi="Times New Roman" w:cs="Times New Roman"/>
          <w:sz w:val="24"/>
          <w:szCs w:val="24"/>
        </w:rPr>
        <w:t>returned to work “in a reasonable period”</w:t>
      </w:r>
      <w:r w:rsidR="008D1211">
        <w:rPr>
          <w:rFonts w:ascii="Times New Roman" w:hAnsi="Times New Roman" w:cs="Times New Roman"/>
          <w:sz w:val="24"/>
          <w:szCs w:val="24"/>
        </w:rPr>
        <w:t>.</w:t>
      </w:r>
      <w:r w:rsidR="008D1211">
        <w:rPr>
          <w:rStyle w:val="FootnoteReference"/>
          <w:rFonts w:ascii="Times New Roman" w:hAnsi="Times New Roman" w:cs="Times New Roman"/>
          <w:sz w:val="24"/>
          <w:szCs w:val="24"/>
        </w:rPr>
        <w:footnoteReference w:id="218"/>
      </w:r>
      <w:r w:rsidR="003A1149">
        <w:rPr>
          <w:rFonts w:ascii="Times New Roman" w:hAnsi="Times New Roman" w:cs="Times New Roman"/>
          <w:sz w:val="24"/>
          <w:szCs w:val="24"/>
        </w:rPr>
        <w:t xml:space="preserve"> Where the realities of pregnancy and childbirth leave a woman unable to resume her economic duties within such a period, Union citizenship will leave her without a safety net.</w:t>
      </w:r>
      <w:r w:rsidR="008D1211">
        <w:rPr>
          <w:rStyle w:val="FootnoteReference"/>
          <w:rFonts w:ascii="Times New Roman" w:hAnsi="Times New Roman" w:cs="Times New Roman"/>
          <w:sz w:val="24"/>
          <w:szCs w:val="24"/>
        </w:rPr>
        <w:footnoteReference w:id="219"/>
      </w:r>
    </w:p>
    <w:p w:rsidR="00572453" w:rsidRDefault="005754B3" w:rsidP="005754B3">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F2FDC">
        <w:rPr>
          <w:rFonts w:ascii="Times New Roman" w:hAnsi="Times New Roman" w:cs="Times New Roman"/>
          <w:sz w:val="24"/>
          <w:szCs w:val="24"/>
        </w:rPr>
        <w:t>And yet, while free movement’s social justice offering has proven itself rather lacking, the presumed impact of the Court’s negative approach to social integration via free movement on what the economic/social dichotomy has long presented as the sovereign domestic social space</w:t>
      </w:r>
      <w:r w:rsidR="007F2FDC">
        <w:rPr>
          <w:rStyle w:val="FootnoteReference"/>
          <w:rFonts w:ascii="Times New Roman" w:hAnsi="Times New Roman" w:cs="Times New Roman"/>
          <w:sz w:val="24"/>
          <w:szCs w:val="24"/>
        </w:rPr>
        <w:footnoteReference w:id="220"/>
      </w:r>
      <w:r w:rsidR="007F2FDC">
        <w:rPr>
          <w:rFonts w:ascii="Times New Roman" w:hAnsi="Times New Roman" w:cs="Times New Roman"/>
          <w:sz w:val="24"/>
          <w:szCs w:val="24"/>
        </w:rPr>
        <w:t xml:space="preserve"> frequently takes centre-stage in media and public discourse, particularly in the UK. It is therefore arguably unsurprising that in recent years, in the face of rising Euroscepticism, </w:t>
      </w:r>
      <w:r w:rsidR="007F2FDC">
        <w:rPr>
          <w:rFonts w:ascii="Times New Roman" w:hAnsi="Times New Roman" w:cs="Times New Roman"/>
          <w:sz w:val="24"/>
          <w:szCs w:val="24"/>
        </w:rPr>
        <w:lastRenderedPageBreak/>
        <w:t>the Court has scaled back on this approach. However this retreat has seemingly</w:t>
      </w:r>
      <w:r w:rsidR="002231C3">
        <w:rPr>
          <w:rFonts w:ascii="Times New Roman" w:hAnsi="Times New Roman" w:cs="Times New Roman"/>
          <w:sz w:val="24"/>
          <w:szCs w:val="24"/>
        </w:rPr>
        <w:t xml:space="preserve"> done little to address the apparent increase in antipathy towards the Union project.</w:t>
      </w:r>
    </w:p>
    <w:p w:rsidR="005754B3" w:rsidRDefault="005754B3" w:rsidP="005754B3">
      <w:pPr>
        <w:pStyle w:val="NoSpacing"/>
        <w:tabs>
          <w:tab w:val="left" w:pos="284"/>
        </w:tabs>
        <w:spacing w:line="360" w:lineRule="auto"/>
        <w:jc w:val="both"/>
        <w:rPr>
          <w:rFonts w:ascii="Times New Roman" w:hAnsi="Times New Roman" w:cs="Times New Roman"/>
          <w:sz w:val="24"/>
          <w:szCs w:val="24"/>
        </w:rPr>
      </w:pPr>
    </w:p>
    <w:p w:rsidR="00344715" w:rsidRPr="005754B3" w:rsidRDefault="005754B3" w:rsidP="005754B3">
      <w:pPr>
        <w:pStyle w:val="NoSpacing"/>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V.3 SACRIFICING EQUAL TREATMENT IN VAIN: THE ONGOING QUESTION MARK OVER EUROPEAN INTEGRATION</w:t>
      </w:r>
    </w:p>
    <w:p w:rsidR="005754B3" w:rsidRDefault="005754B3" w:rsidP="002F33D2">
      <w:pPr>
        <w:pStyle w:val="NoSpacing"/>
        <w:spacing w:line="360" w:lineRule="auto"/>
        <w:jc w:val="both"/>
        <w:rPr>
          <w:rFonts w:ascii="Times New Roman" w:hAnsi="Times New Roman" w:cs="Times New Roman"/>
          <w:sz w:val="24"/>
          <w:szCs w:val="24"/>
        </w:rPr>
      </w:pPr>
    </w:p>
    <w:p w:rsidR="005754B3" w:rsidRDefault="005754B3"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F40BD4">
        <w:rPr>
          <w:rFonts w:ascii="Times New Roman" w:hAnsi="Times New Roman" w:cs="Times New Roman"/>
          <w:sz w:val="24"/>
          <w:szCs w:val="24"/>
        </w:rPr>
        <w:t xml:space="preserve">hile the Court might have sought to placate the UK voting public by allowing further exclusions from the national social space in </w:t>
      </w:r>
      <w:r w:rsidR="00F40BD4">
        <w:rPr>
          <w:rFonts w:ascii="Times New Roman" w:hAnsi="Times New Roman" w:cs="Times New Roman"/>
          <w:i/>
          <w:sz w:val="24"/>
          <w:szCs w:val="24"/>
        </w:rPr>
        <w:t>Commission v UK</w:t>
      </w:r>
      <w:r w:rsidR="00F40BD4">
        <w:rPr>
          <w:rFonts w:ascii="Times New Roman" w:hAnsi="Times New Roman" w:cs="Times New Roman"/>
          <w:sz w:val="24"/>
          <w:szCs w:val="24"/>
        </w:rPr>
        <w:t>,</w:t>
      </w:r>
      <w:r w:rsidR="00F40BD4">
        <w:rPr>
          <w:rStyle w:val="FootnoteReference"/>
          <w:rFonts w:ascii="Times New Roman" w:hAnsi="Times New Roman" w:cs="Times New Roman"/>
          <w:sz w:val="24"/>
          <w:szCs w:val="24"/>
        </w:rPr>
        <w:footnoteReference w:id="221"/>
      </w:r>
      <w:r w:rsidR="00F40BD4">
        <w:rPr>
          <w:rFonts w:ascii="Times New Roman" w:hAnsi="Times New Roman" w:cs="Times New Roman"/>
          <w:sz w:val="24"/>
          <w:szCs w:val="24"/>
        </w:rPr>
        <w:t xml:space="preserve"> this was ultimately </w:t>
      </w:r>
      <w:r>
        <w:rPr>
          <w:rFonts w:ascii="Times New Roman" w:hAnsi="Times New Roman" w:cs="Times New Roman"/>
          <w:sz w:val="24"/>
          <w:szCs w:val="24"/>
        </w:rPr>
        <w:t>“</w:t>
      </w:r>
      <w:r w:rsidR="00F40BD4">
        <w:rPr>
          <w:rFonts w:ascii="Times New Roman" w:hAnsi="Times New Roman" w:cs="Times New Roman"/>
          <w:sz w:val="24"/>
          <w:szCs w:val="24"/>
        </w:rPr>
        <w:t>in vain</w:t>
      </w:r>
      <w:r>
        <w:rPr>
          <w:rFonts w:ascii="Times New Roman" w:hAnsi="Times New Roman" w:cs="Times New Roman"/>
          <w:sz w:val="24"/>
          <w:szCs w:val="24"/>
        </w:rPr>
        <w:t>”</w:t>
      </w:r>
      <w:r w:rsidR="00F40BD4">
        <w:rPr>
          <w:rFonts w:ascii="Times New Roman" w:hAnsi="Times New Roman" w:cs="Times New Roman"/>
          <w:sz w:val="24"/>
          <w:szCs w:val="24"/>
        </w:rPr>
        <w:t>.</w:t>
      </w:r>
      <w:r w:rsidR="00F40BD4">
        <w:rPr>
          <w:rStyle w:val="FootnoteReference"/>
          <w:rFonts w:ascii="Times New Roman" w:hAnsi="Times New Roman" w:cs="Times New Roman"/>
          <w:sz w:val="24"/>
          <w:szCs w:val="24"/>
        </w:rPr>
        <w:footnoteReference w:id="222"/>
      </w:r>
      <w:r w:rsidR="00F40BD4">
        <w:rPr>
          <w:rFonts w:ascii="Times New Roman" w:hAnsi="Times New Roman" w:cs="Times New Roman"/>
          <w:sz w:val="24"/>
          <w:szCs w:val="24"/>
        </w:rPr>
        <w:t xml:space="preserve"> The UK voted to leave</w:t>
      </w:r>
      <w:r w:rsidR="0013568E">
        <w:rPr>
          <w:rFonts w:ascii="Times New Roman" w:hAnsi="Times New Roman" w:cs="Times New Roman"/>
          <w:sz w:val="24"/>
          <w:szCs w:val="24"/>
        </w:rPr>
        <w:t xml:space="preserve"> the EU</w:t>
      </w:r>
      <w:r w:rsidR="00F40BD4">
        <w:rPr>
          <w:rFonts w:ascii="Times New Roman" w:hAnsi="Times New Roman" w:cs="Times New Roman"/>
          <w:sz w:val="24"/>
          <w:szCs w:val="24"/>
        </w:rPr>
        <w:t xml:space="preserve"> anyway and, while European leaders might take comfort in its history of begrudging participation in Europe, the UK is not the only Member State experiencing rising Euroscepticism.</w:t>
      </w:r>
      <w:r w:rsidR="00F40BD4">
        <w:rPr>
          <w:rStyle w:val="FootnoteReference"/>
          <w:rFonts w:ascii="Times New Roman" w:hAnsi="Times New Roman" w:cs="Times New Roman"/>
          <w:sz w:val="24"/>
          <w:szCs w:val="24"/>
        </w:rPr>
        <w:footnoteReference w:id="223"/>
      </w:r>
      <w:r w:rsidR="00F40BD4">
        <w:rPr>
          <w:rFonts w:ascii="Times New Roman" w:hAnsi="Times New Roman" w:cs="Times New Roman"/>
          <w:sz w:val="24"/>
          <w:szCs w:val="24"/>
        </w:rPr>
        <w:t xml:space="preserve"> </w:t>
      </w:r>
      <w:r w:rsidR="0013568E">
        <w:rPr>
          <w:rFonts w:ascii="Times New Roman" w:hAnsi="Times New Roman" w:cs="Times New Roman"/>
          <w:sz w:val="24"/>
          <w:szCs w:val="24"/>
        </w:rPr>
        <w:t xml:space="preserve">As </w:t>
      </w:r>
      <w:proofErr w:type="spellStart"/>
      <w:r w:rsidR="0013568E">
        <w:rPr>
          <w:rFonts w:ascii="Times New Roman" w:hAnsi="Times New Roman" w:cs="Times New Roman"/>
          <w:sz w:val="24"/>
          <w:szCs w:val="24"/>
        </w:rPr>
        <w:t>Nic</w:t>
      </w:r>
      <w:proofErr w:type="spellEnd"/>
      <w:r w:rsidR="0013568E">
        <w:rPr>
          <w:rFonts w:ascii="Times New Roman" w:hAnsi="Times New Roman" w:cs="Times New Roman"/>
          <w:sz w:val="24"/>
          <w:szCs w:val="24"/>
        </w:rPr>
        <w:t xml:space="preserve"> </w:t>
      </w:r>
      <w:proofErr w:type="spellStart"/>
      <w:r w:rsidR="0013568E">
        <w:rPr>
          <w:rFonts w:ascii="Times New Roman" w:hAnsi="Times New Roman" w:cs="Times New Roman"/>
          <w:sz w:val="24"/>
          <w:szCs w:val="24"/>
        </w:rPr>
        <w:t>Shuibhne</w:t>
      </w:r>
      <w:proofErr w:type="spellEnd"/>
      <w:r w:rsidR="0013568E">
        <w:rPr>
          <w:rFonts w:ascii="Times New Roman" w:hAnsi="Times New Roman" w:cs="Times New Roman"/>
          <w:sz w:val="24"/>
          <w:szCs w:val="24"/>
        </w:rPr>
        <w:t xml:space="preserve"> points out,</w:t>
      </w:r>
      <w:r>
        <w:rPr>
          <w:rFonts w:ascii="Times New Roman" w:hAnsi="Times New Roman" w:cs="Times New Roman"/>
          <w:sz w:val="24"/>
          <w:szCs w:val="24"/>
        </w:rPr>
        <w:t xml:space="preserve"> the “</w:t>
      </w:r>
      <w:r w:rsidR="003355B6">
        <w:rPr>
          <w:rFonts w:ascii="Times New Roman" w:hAnsi="Times New Roman" w:cs="Times New Roman"/>
          <w:sz w:val="24"/>
          <w:szCs w:val="24"/>
        </w:rPr>
        <w:t xml:space="preserve">Court is undoubtedly between a rock and a (very) hard place as the original defender of a version of citizenship too detached from a wider mood of integration </w:t>
      </w:r>
      <w:r w:rsidR="0013568E">
        <w:rPr>
          <w:rFonts w:ascii="Times New Roman" w:hAnsi="Times New Roman" w:cs="Times New Roman"/>
          <w:sz w:val="24"/>
          <w:szCs w:val="24"/>
        </w:rPr>
        <w:t>estrangeme</w:t>
      </w:r>
      <w:r>
        <w:rPr>
          <w:rFonts w:ascii="Times New Roman" w:hAnsi="Times New Roman" w:cs="Times New Roman"/>
          <w:sz w:val="24"/>
          <w:szCs w:val="24"/>
        </w:rPr>
        <w:t>nt”</w:t>
      </w:r>
      <w:r w:rsidR="0013568E">
        <w:rPr>
          <w:rFonts w:ascii="Times New Roman" w:hAnsi="Times New Roman" w:cs="Times New Roman"/>
          <w:sz w:val="24"/>
          <w:szCs w:val="24"/>
        </w:rPr>
        <w:t>. However, as she also advances,</w:t>
      </w:r>
      <w:r w:rsidR="003355B6">
        <w:rPr>
          <w:rFonts w:ascii="Times New Roman" w:hAnsi="Times New Roman" w:cs="Times New Roman"/>
          <w:sz w:val="24"/>
          <w:szCs w:val="24"/>
        </w:rPr>
        <w:t xml:space="preserve"> </w:t>
      </w:r>
      <w:r w:rsidR="00F40BD4">
        <w:rPr>
          <w:rFonts w:ascii="Times New Roman" w:hAnsi="Times New Roman" w:cs="Times New Roman"/>
          <w:sz w:val="24"/>
          <w:szCs w:val="24"/>
        </w:rPr>
        <w:t xml:space="preserve">by </w:t>
      </w:r>
      <w:r>
        <w:rPr>
          <w:rFonts w:ascii="Times New Roman" w:hAnsi="Times New Roman" w:cs="Times New Roman"/>
          <w:sz w:val="24"/>
          <w:szCs w:val="24"/>
        </w:rPr>
        <w:t>“</w:t>
      </w:r>
      <w:r w:rsidR="00F40BD4">
        <w:rPr>
          <w:rFonts w:ascii="Times New Roman" w:hAnsi="Times New Roman" w:cs="Times New Roman"/>
          <w:sz w:val="24"/>
          <w:szCs w:val="24"/>
        </w:rPr>
        <w:t xml:space="preserve">neither </w:t>
      </w:r>
      <w:proofErr w:type="spellStart"/>
      <w:r w:rsidR="00F40BD4">
        <w:rPr>
          <w:rFonts w:ascii="Times New Roman" w:hAnsi="Times New Roman" w:cs="Times New Roman"/>
          <w:sz w:val="24"/>
          <w:szCs w:val="24"/>
        </w:rPr>
        <w:t>reconcil</w:t>
      </w:r>
      <w:proofErr w:type="spellEnd"/>
      <w:r w:rsidR="00F40BD4">
        <w:rPr>
          <w:rFonts w:ascii="Times New Roman" w:hAnsi="Times New Roman" w:cs="Times New Roman"/>
          <w:sz w:val="24"/>
          <w:szCs w:val="24"/>
        </w:rPr>
        <w:t>[</w:t>
      </w:r>
      <w:proofErr w:type="spellStart"/>
      <w:r w:rsidR="00F40BD4">
        <w:rPr>
          <w:rFonts w:ascii="Times New Roman" w:hAnsi="Times New Roman" w:cs="Times New Roman"/>
          <w:sz w:val="24"/>
          <w:szCs w:val="24"/>
        </w:rPr>
        <w:t>ing</w:t>
      </w:r>
      <w:proofErr w:type="spellEnd"/>
      <w:r w:rsidR="00F40BD4">
        <w:rPr>
          <w:rFonts w:ascii="Times New Roman" w:hAnsi="Times New Roman" w:cs="Times New Roman"/>
          <w:sz w:val="24"/>
          <w:szCs w:val="24"/>
        </w:rPr>
        <w:t>] rooted [Union citizenship] case-law on conditions and limits with its revised</w:t>
      </w:r>
      <w:r>
        <w:rPr>
          <w:rFonts w:ascii="Times New Roman" w:hAnsi="Times New Roman" w:cs="Times New Roman"/>
          <w:sz w:val="24"/>
          <w:szCs w:val="24"/>
        </w:rPr>
        <w:t xml:space="preserve"> logic, nor openly reversing it”</w:t>
      </w:r>
      <w:r w:rsidR="00F40BD4">
        <w:rPr>
          <w:rFonts w:ascii="Times New Roman" w:hAnsi="Times New Roman" w:cs="Times New Roman"/>
          <w:sz w:val="24"/>
          <w:szCs w:val="24"/>
        </w:rPr>
        <w:t>,</w:t>
      </w:r>
      <w:r w:rsidR="00F40BD4" w:rsidRPr="003355B6">
        <w:rPr>
          <w:rStyle w:val="FootnoteReference"/>
          <w:rFonts w:ascii="Times New Roman" w:hAnsi="Times New Roman" w:cs="Times New Roman"/>
          <w:sz w:val="24"/>
          <w:szCs w:val="24"/>
        </w:rPr>
        <w:footnoteReference w:id="224"/>
      </w:r>
      <w:r w:rsidR="00F40BD4">
        <w:rPr>
          <w:rFonts w:ascii="Times New Roman" w:hAnsi="Times New Roman" w:cs="Times New Roman"/>
          <w:sz w:val="24"/>
          <w:szCs w:val="24"/>
        </w:rPr>
        <w:t xml:space="preserve"> the</w:t>
      </w:r>
      <w:r w:rsidR="003355B6">
        <w:rPr>
          <w:rFonts w:ascii="Times New Roman" w:hAnsi="Times New Roman" w:cs="Times New Roman"/>
          <w:sz w:val="24"/>
          <w:szCs w:val="24"/>
        </w:rPr>
        <w:t xml:space="preserve"> </w:t>
      </w:r>
      <w:proofErr w:type="spellStart"/>
      <w:r w:rsidR="003355B6">
        <w:rPr>
          <w:rFonts w:ascii="Times New Roman" w:hAnsi="Times New Roman" w:cs="Times New Roman"/>
          <w:i/>
          <w:sz w:val="24"/>
          <w:szCs w:val="24"/>
        </w:rPr>
        <w:t>Dano</w:t>
      </w:r>
      <w:proofErr w:type="spellEnd"/>
      <w:r w:rsidR="003355B6">
        <w:rPr>
          <w:rFonts w:ascii="Times New Roman" w:hAnsi="Times New Roman" w:cs="Times New Roman"/>
          <w:i/>
          <w:sz w:val="24"/>
          <w:szCs w:val="24"/>
        </w:rPr>
        <w:t xml:space="preserve"> </w:t>
      </w:r>
      <w:r w:rsidR="00F40BD4">
        <w:rPr>
          <w:rFonts w:ascii="Times New Roman" w:hAnsi="Times New Roman" w:cs="Times New Roman"/>
          <w:sz w:val="24"/>
          <w:szCs w:val="24"/>
        </w:rPr>
        <w:t>line of case-law will</w:t>
      </w:r>
      <w:r w:rsidR="003355B6">
        <w:rPr>
          <w:rFonts w:ascii="Times New Roman" w:hAnsi="Times New Roman" w:cs="Times New Roman"/>
          <w:sz w:val="24"/>
          <w:szCs w:val="24"/>
        </w:rPr>
        <w:t xml:space="preserve"> arguab</w:t>
      </w:r>
      <w:r w:rsidR="00F40BD4">
        <w:rPr>
          <w:rFonts w:ascii="Times New Roman" w:hAnsi="Times New Roman" w:cs="Times New Roman"/>
          <w:sz w:val="24"/>
          <w:szCs w:val="24"/>
        </w:rPr>
        <w:t>ly do</w:t>
      </w:r>
      <w:r w:rsidR="003355B6">
        <w:rPr>
          <w:rFonts w:ascii="Times New Roman" w:hAnsi="Times New Roman" w:cs="Times New Roman"/>
          <w:sz w:val="24"/>
          <w:szCs w:val="24"/>
        </w:rPr>
        <w:t xml:space="preserve"> little to resolve the EU’</w:t>
      </w:r>
      <w:r w:rsidR="00D742D8">
        <w:rPr>
          <w:rFonts w:ascii="Times New Roman" w:hAnsi="Times New Roman" w:cs="Times New Roman"/>
          <w:sz w:val="24"/>
          <w:szCs w:val="24"/>
        </w:rPr>
        <w:t>s ongoing</w:t>
      </w:r>
      <w:r w:rsidR="00F40BD4">
        <w:rPr>
          <w:rFonts w:ascii="Times New Roman" w:hAnsi="Times New Roman" w:cs="Times New Roman"/>
          <w:sz w:val="24"/>
          <w:szCs w:val="24"/>
        </w:rPr>
        <w:t xml:space="preserve"> </w:t>
      </w:r>
      <w:r w:rsidR="003355B6">
        <w:rPr>
          <w:rFonts w:ascii="Times New Roman" w:hAnsi="Times New Roman" w:cs="Times New Roman"/>
          <w:sz w:val="24"/>
          <w:szCs w:val="24"/>
        </w:rPr>
        <w:t>popularity crisis.</w:t>
      </w:r>
      <w:r w:rsidR="001D4C61">
        <w:rPr>
          <w:rFonts w:ascii="Times New Roman" w:hAnsi="Times New Roman" w:cs="Times New Roman"/>
          <w:sz w:val="24"/>
          <w:szCs w:val="24"/>
        </w:rPr>
        <w:t xml:space="preserve"> </w:t>
      </w:r>
    </w:p>
    <w:p w:rsidR="005754B3" w:rsidRDefault="00F40BD4" w:rsidP="005754B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Specifically, though it might </w:t>
      </w:r>
      <w:r w:rsidR="00CE1C53">
        <w:rPr>
          <w:rFonts w:ascii="Times New Roman" w:hAnsi="Times New Roman" w:cs="Times New Roman"/>
          <w:sz w:val="24"/>
          <w:szCs w:val="24"/>
        </w:rPr>
        <w:t xml:space="preserve">now </w:t>
      </w:r>
      <w:r>
        <w:rPr>
          <w:rFonts w:ascii="Times New Roman" w:hAnsi="Times New Roman" w:cs="Times New Roman"/>
          <w:sz w:val="24"/>
          <w:szCs w:val="24"/>
        </w:rPr>
        <w:t>be mentioned less frequently,</w:t>
      </w:r>
      <w:r w:rsidR="005754B3">
        <w:rPr>
          <w:rFonts w:ascii="Times New Roman" w:hAnsi="Times New Roman" w:cs="Times New Roman"/>
          <w:sz w:val="24"/>
          <w:szCs w:val="24"/>
        </w:rPr>
        <w:t xml:space="preserve"> Union citizenship remains the “fundamental status”</w:t>
      </w:r>
      <w:r>
        <w:rPr>
          <w:rFonts w:ascii="Times New Roman" w:hAnsi="Times New Roman" w:cs="Times New Roman"/>
          <w:sz w:val="24"/>
          <w:szCs w:val="24"/>
        </w:rPr>
        <w:t xml:space="preserve"> of EU citizens</w:t>
      </w:r>
      <w:r w:rsidR="00CE1C53">
        <w:rPr>
          <w:rFonts w:ascii="Times New Roman" w:hAnsi="Times New Roman" w:cs="Times New Roman"/>
          <w:sz w:val="24"/>
          <w:szCs w:val="24"/>
        </w:rPr>
        <w:t>,</w:t>
      </w:r>
      <w:r>
        <w:rPr>
          <w:rFonts w:ascii="Times New Roman" w:hAnsi="Times New Roman" w:cs="Times New Roman"/>
          <w:sz w:val="24"/>
          <w:szCs w:val="24"/>
        </w:rPr>
        <w:t xml:space="preserve"> bestowing primary and per</w:t>
      </w:r>
      <w:r w:rsidR="00A53412">
        <w:rPr>
          <w:rFonts w:ascii="Times New Roman" w:hAnsi="Times New Roman" w:cs="Times New Roman"/>
          <w:sz w:val="24"/>
          <w:szCs w:val="24"/>
        </w:rPr>
        <w:t>sonal free movement rights, which</w:t>
      </w:r>
      <w:r>
        <w:rPr>
          <w:rFonts w:ascii="Times New Roman" w:hAnsi="Times New Roman" w:cs="Times New Roman"/>
          <w:sz w:val="24"/>
          <w:szCs w:val="24"/>
        </w:rPr>
        <w:t xml:space="preserve"> require equal access to domestic social spaces as</w:t>
      </w:r>
      <w:r w:rsidR="005754B3">
        <w:rPr>
          <w:rFonts w:ascii="Times New Roman" w:hAnsi="Times New Roman" w:cs="Times New Roman"/>
          <w:sz w:val="24"/>
          <w:szCs w:val="24"/>
        </w:rPr>
        <w:t xml:space="preserve"> a result of the “</w:t>
      </w:r>
      <w:r>
        <w:rPr>
          <w:rFonts w:ascii="Times New Roman" w:hAnsi="Times New Roman" w:cs="Times New Roman"/>
          <w:sz w:val="24"/>
          <w:szCs w:val="24"/>
        </w:rPr>
        <w:t>certain</w:t>
      </w:r>
      <w:r w:rsidR="005754B3">
        <w:rPr>
          <w:rFonts w:ascii="Times New Roman" w:hAnsi="Times New Roman" w:cs="Times New Roman"/>
          <w:sz w:val="24"/>
          <w:szCs w:val="24"/>
        </w:rPr>
        <w:t xml:space="preserve"> amount of financial solidarity”</w:t>
      </w:r>
      <w:r>
        <w:rPr>
          <w:rFonts w:ascii="Times New Roman" w:hAnsi="Times New Roman" w:cs="Times New Roman"/>
          <w:sz w:val="24"/>
          <w:szCs w:val="24"/>
        </w:rPr>
        <w:t xml:space="preserve"> between Member States.</w:t>
      </w:r>
      <w:r>
        <w:rPr>
          <w:rStyle w:val="FootnoteReference"/>
          <w:rFonts w:ascii="Times New Roman" w:hAnsi="Times New Roman" w:cs="Times New Roman"/>
          <w:sz w:val="24"/>
          <w:szCs w:val="24"/>
        </w:rPr>
        <w:footnoteReference w:id="225"/>
      </w:r>
      <w:r w:rsidR="00CE1C53">
        <w:rPr>
          <w:rFonts w:ascii="Times New Roman" w:hAnsi="Times New Roman" w:cs="Times New Roman"/>
          <w:sz w:val="24"/>
          <w:szCs w:val="24"/>
        </w:rPr>
        <w:t xml:space="preserve"> These rights appear</w:t>
      </w:r>
      <w:r>
        <w:rPr>
          <w:rFonts w:ascii="Times New Roman" w:hAnsi="Times New Roman" w:cs="Times New Roman"/>
          <w:sz w:val="24"/>
          <w:szCs w:val="24"/>
        </w:rPr>
        <w:t xml:space="preserve"> both nebulous and all-encompassing. While the Court has introduced a</w:t>
      </w:r>
      <w:r w:rsidR="00F5138C">
        <w:rPr>
          <w:rFonts w:ascii="Times New Roman" w:hAnsi="Times New Roman" w:cs="Times New Roman"/>
          <w:sz w:val="24"/>
          <w:szCs w:val="24"/>
        </w:rPr>
        <w:t>ccompanying limitations, including</w:t>
      </w:r>
      <w:r>
        <w:rPr>
          <w:rFonts w:ascii="Times New Roman" w:hAnsi="Times New Roman" w:cs="Times New Roman"/>
          <w:sz w:val="24"/>
          <w:szCs w:val="24"/>
        </w:rPr>
        <w:t xml:space="preserve"> that </w:t>
      </w:r>
      <w:r w:rsidR="005754B3">
        <w:rPr>
          <w:rFonts w:ascii="Times New Roman" w:hAnsi="Times New Roman" w:cs="Times New Roman"/>
          <w:sz w:val="24"/>
          <w:szCs w:val="24"/>
        </w:rPr>
        <w:t>EU citizens must not pose an “</w:t>
      </w:r>
      <w:r w:rsidR="00F5138C">
        <w:rPr>
          <w:rFonts w:ascii="Times New Roman" w:hAnsi="Times New Roman" w:cs="Times New Roman"/>
          <w:sz w:val="24"/>
          <w:szCs w:val="24"/>
        </w:rPr>
        <w:t>unreasonable bur</w:t>
      </w:r>
      <w:r w:rsidR="005754B3">
        <w:rPr>
          <w:rFonts w:ascii="Times New Roman" w:hAnsi="Times New Roman" w:cs="Times New Roman"/>
          <w:sz w:val="24"/>
          <w:szCs w:val="24"/>
        </w:rPr>
        <w:t>den”</w:t>
      </w:r>
      <w:r w:rsidR="00F5138C">
        <w:rPr>
          <w:rStyle w:val="FootnoteReference"/>
          <w:rFonts w:ascii="Times New Roman" w:hAnsi="Times New Roman" w:cs="Times New Roman"/>
          <w:sz w:val="24"/>
          <w:szCs w:val="24"/>
        </w:rPr>
        <w:footnoteReference w:id="226"/>
      </w:r>
      <w:r w:rsidR="00F5138C">
        <w:rPr>
          <w:rFonts w:ascii="Times New Roman" w:hAnsi="Times New Roman" w:cs="Times New Roman"/>
          <w:sz w:val="24"/>
          <w:szCs w:val="24"/>
        </w:rPr>
        <w:t xml:space="preserve"> on national social assistance schemes and that they</w:t>
      </w:r>
      <w:r w:rsidR="005754B3">
        <w:rPr>
          <w:rFonts w:ascii="Times New Roman" w:hAnsi="Times New Roman" w:cs="Times New Roman"/>
          <w:sz w:val="24"/>
          <w:szCs w:val="24"/>
        </w:rPr>
        <w:t xml:space="preserve"> must, at times, demonstrate a “real link”</w:t>
      </w:r>
      <w:r w:rsidR="00F5138C">
        <w:rPr>
          <w:rStyle w:val="FootnoteReference"/>
          <w:rFonts w:ascii="Times New Roman" w:hAnsi="Times New Roman" w:cs="Times New Roman"/>
          <w:sz w:val="24"/>
          <w:szCs w:val="24"/>
        </w:rPr>
        <w:footnoteReference w:id="227"/>
      </w:r>
      <w:r w:rsidR="005754B3">
        <w:rPr>
          <w:rFonts w:ascii="Times New Roman" w:hAnsi="Times New Roman" w:cs="Times New Roman"/>
          <w:sz w:val="24"/>
          <w:szCs w:val="24"/>
        </w:rPr>
        <w:t xml:space="preserve"> or a “certain degree of integration”</w:t>
      </w:r>
      <w:r w:rsidR="00F5138C">
        <w:rPr>
          <w:rStyle w:val="FootnoteReference"/>
          <w:rFonts w:ascii="Times New Roman" w:hAnsi="Times New Roman" w:cs="Times New Roman"/>
          <w:sz w:val="24"/>
          <w:szCs w:val="24"/>
        </w:rPr>
        <w:footnoteReference w:id="228"/>
      </w:r>
      <w:r w:rsidR="00F5138C">
        <w:rPr>
          <w:rFonts w:ascii="Times New Roman" w:hAnsi="Times New Roman" w:cs="Times New Roman"/>
          <w:sz w:val="24"/>
          <w:szCs w:val="24"/>
        </w:rPr>
        <w:t xml:space="preserve"> within their host State, these restrictions are equally open-ended. Consequently</w:t>
      </w:r>
      <w:r w:rsidR="00C84654">
        <w:rPr>
          <w:rFonts w:ascii="Times New Roman" w:hAnsi="Times New Roman" w:cs="Times New Roman"/>
          <w:sz w:val="24"/>
          <w:szCs w:val="24"/>
        </w:rPr>
        <w:t xml:space="preserve">, </w:t>
      </w:r>
      <w:r w:rsidR="005754B3">
        <w:rPr>
          <w:rFonts w:ascii="Times New Roman" w:hAnsi="Times New Roman" w:cs="Times New Roman"/>
          <w:sz w:val="24"/>
          <w:szCs w:val="24"/>
        </w:rPr>
        <w:t xml:space="preserve">where </w:t>
      </w:r>
      <w:r w:rsidR="00C84654">
        <w:rPr>
          <w:rFonts w:ascii="Times New Roman" w:hAnsi="Times New Roman" w:cs="Times New Roman"/>
          <w:sz w:val="24"/>
          <w:szCs w:val="24"/>
        </w:rPr>
        <w:t>Member States</w:t>
      </w:r>
      <w:r w:rsidR="005754B3">
        <w:rPr>
          <w:rFonts w:ascii="Times New Roman" w:hAnsi="Times New Roman" w:cs="Times New Roman"/>
          <w:sz w:val="24"/>
          <w:szCs w:val="24"/>
        </w:rPr>
        <w:t xml:space="preserve"> </w:t>
      </w:r>
      <w:r w:rsidR="00F5138C">
        <w:rPr>
          <w:rFonts w:ascii="Times New Roman" w:hAnsi="Times New Roman" w:cs="Times New Roman"/>
          <w:sz w:val="24"/>
          <w:szCs w:val="24"/>
        </w:rPr>
        <w:t>incorporate Union citizenship’s</w:t>
      </w:r>
      <w:r w:rsidR="00C84654">
        <w:rPr>
          <w:rFonts w:ascii="Times New Roman" w:hAnsi="Times New Roman" w:cs="Times New Roman"/>
          <w:sz w:val="24"/>
          <w:szCs w:val="24"/>
        </w:rPr>
        <w:t xml:space="preserve"> expansive principles into their legal systems, </w:t>
      </w:r>
      <w:r w:rsidR="00F5138C">
        <w:rPr>
          <w:rFonts w:ascii="Times New Roman" w:hAnsi="Times New Roman" w:cs="Times New Roman"/>
          <w:sz w:val="24"/>
          <w:szCs w:val="24"/>
        </w:rPr>
        <w:t xml:space="preserve">its </w:t>
      </w:r>
      <w:r w:rsidR="00C84654">
        <w:rPr>
          <w:rFonts w:ascii="Times New Roman" w:hAnsi="Times New Roman" w:cs="Times New Roman"/>
          <w:sz w:val="24"/>
          <w:szCs w:val="24"/>
        </w:rPr>
        <w:t>limitations increasingly operate at the administrative-level.</w:t>
      </w:r>
      <w:r w:rsidR="00D96AC9">
        <w:rPr>
          <w:rStyle w:val="FootnoteReference"/>
          <w:rFonts w:ascii="Times New Roman" w:hAnsi="Times New Roman" w:cs="Times New Roman"/>
          <w:sz w:val="24"/>
          <w:szCs w:val="24"/>
        </w:rPr>
        <w:footnoteReference w:id="229"/>
      </w:r>
      <w:r w:rsidR="00C84654">
        <w:rPr>
          <w:rFonts w:ascii="Times New Roman" w:hAnsi="Times New Roman" w:cs="Times New Roman"/>
          <w:sz w:val="24"/>
          <w:szCs w:val="24"/>
        </w:rPr>
        <w:t xml:space="preserve"> </w:t>
      </w:r>
      <w:r w:rsidR="00D96AC9">
        <w:rPr>
          <w:rFonts w:ascii="Times New Roman" w:hAnsi="Times New Roman" w:cs="Times New Roman"/>
          <w:sz w:val="24"/>
          <w:szCs w:val="24"/>
        </w:rPr>
        <w:t>For instance, non-</w:t>
      </w:r>
      <w:r w:rsidR="00D96AC9">
        <w:rPr>
          <w:rFonts w:ascii="Times New Roman" w:hAnsi="Times New Roman" w:cs="Times New Roman"/>
          <w:sz w:val="24"/>
          <w:szCs w:val="24"/>
        </w:rPr>
        <w:lastRenderedPageBreak/>
        <w:t>economically active Union citizens might bear the burden</w:t>
      </w:r>
      <w:r w:rsidR="00F5138C">
        <w:rPr>
          <w:rFonts w:ascii="Times New Roman" w:hAnsi="Times New Roman" w:cs="Times New Roman"/>
          <w:sz w:val="24"/>
          <w:szCs w:val="24"/>
        </w:rPr>
        <w:t xml:space="preserve"> of proving to administrative welfare assessors </w:t>
      </w:r>
      <w:r w:rsidR="005754B3">
        <w:rPr>
          <w:rFonts w:ascii="Times New Roman" w:hAnsi="Times New Roman" w:cs="Times New Roman"/>
          <w:sz w:val="24"/>
          <w:szCs w:val="24"/>
        </w:rPr>
        <w:t>that they are “legally resident” and therefore not an “unreasonable burden”</w:t>
      </w:r>
      <w:r w:rsidR="00D96AC9">
        <w:rPr>
          <w:rFonts w:ascii="Times New Roman" w:hAnsi="Times New Roman" w:cs="Times New Roman"/>
          <w:sz w:val="24"/>
          <w:szCs w:val="24"/>
        </w:rPr>
        <w:t xml:space="preserve"> as a mere result of their application for social assistance.</w:t>
      </w:r>
      <w:r w:rsidR="00D96AC9">
        <w:rPr>
          <w:rStyle w:val="FootnoteReference"/>
          <w:rFonts w:ascii="Times New Roman" w:hAnsi="Times New Roman" w:cs="Times New Roman"/>
          <w:sz w:val="24"/>
          <w:szCs w:val="24"/>
        </w:rPr>
        <w:footnoteReference w:id="230"/>
      </w:r>
      <w:r w:rsidR="00D96AC9">
        <w:rPr>
          <w:rFonts w:ascii="Times New Roman" w:hAnsi="Times New Roman" w:cs="Times New Roman"/>
          <w:sz w:val="24"/>
          <w:szCs w:val="24"/>
        </w:rPr>
        <w:t xml:space="preserve"> </w:t>
      </w:r>
      <w:r w:rsidR="00CE1C53">
        <w:rPr>
          <w:rFonts w:ascii="Times New Roman" w:hAnsi="Times New Roman" w:cs="Times New Roman"/>
          <w:sz w:val="24"/>
          <w:szCs w:val="24"/>
        </w:rPr>
        <w:t xml:space="preserve">This amounts to a double failure: in exposing Union </w:t>
      </w:r>
      <w:r w:rsidR="005754B3">
        <w:rPr>
          <w:rFonts w:ascii="Times New Roman" w:hAnsi="Times New Roman" w:cs="Times New Roman"/>
          <w:sz w:val="24"/>
          <w:szCs w:val="24"/>
        </w:rPr>
        <w:t>citizens to “rights cliff-edges”</w:t>
      </w:r>
      <w:r w:rsidR="00CE1C53">
        <w:rPr>
          <w:rFonts w:ascii="Times New Roman" w:hAnsi="Times New Roman" w:cs="Times New Roman"/>
          <w:sz w:val="24"/>
          <w:szCs w:val="24"/>
        </w:rPr>
        <w:t>,</w:t>
      </w:r>
      <w:r w:rsidR="00CE1C53">
        <w:rPr>
          <w:rStyle w:val="FootnoteReference"/>
          <w:rFonts w:ascii="Times New Roman" w:hAnsi="Times New Roman" w:cs="Times New Roman"/>
          <w:sz w:val="24"/>
          <w:szCs w:val="24"/>
        </w:rPr>
        <w:footnoteReference w:id="231"/>
      </w:r>
      <w:r w:rsidR="00061EBD">
        <w:rPr>
          <w:rFonts w:ascii="Times New Roman" w:hAnsi="Times New Roman" w:cs="Times New Roman"/>
          <w:sz w:val="24"/>
          <w:szCs w:val="24"/>
        </w:rPr>
        <w:t xml:space="preserve"> </w:t>
      </w:r>
      <w:r w:rsidR="00CE1C53">
        <w:rPr>
          <w:rFonts w:ascii="Times New Roman" w:hAnsi="Times New Roman" w:cs="Times New Roman"/>
          <w:sz w:val="24"/>
          <w:szCs w:val="24"/>
        </w:rPr>
        <w:t>the Union’s social claims</w:t>
      </w:r>
      <w:r w:rsidR="00061EBD">
        <w:rPr>
          <w:rFonts w:ascii="Times New Roman" w:hAnsi="Times New Roman" w:cs="Times New Roman"/>
          <w:sz w:val="24"/>
          <w:szCs w:val="24"/>
        </w:rPr>
        <w:t xml:space="preserve"> are undermined; and</w:t>
      </w:r>
      <w:r w:rsidR="00CE1C53">
        <w:rPr>
          <w:rFonts w:ascii="Times New Roman" w:hAnsi="Times New Roman" w:cs="Times New Roman"/>
          <w:sz w:val="24"/>
          <w:szCs w:val="24"/>
        </w:rPr>
        <w:t>, since</w:t>
      </w:r>
      <w:r w:rsidR="00C84654">
        <w:rPr>
          <w:rFonts w:ascii="Times New Roman" w:hAnsi="Times New Roman" w:cs="Times New Roman"/>
          <w:sz w:val="24"/>
          <w:szCs w:val="24"/>
        </w:rPr>
        <w:t xml:space="preserve"> these</w:t>
      </w:r>
      <w:r w:rsidR="00A53412">
        <w:rPr>
          <w:rFonts w:ascii="Times New Roman" w:hAnsi="Times New Roman" w:cs="Times New Roman"/>
          <w:sz w:val="24"/>
          <w:szCs w:val="24"/>
        </w:rPr>
        <w:t xml:space="preserve"> difficult</w:t>
      </w:r>
      <w:r w:rsidR="00C84654">
        <w:rPr>
          <w:rFonts w:ascii="Times New Roman" w:hAnsi="Times New Roman" w:cs="Times New Roman"/>
          <w:sz w:val="24"/>
          <w:szCs w:val="24"/>
        </w:rPr>
        <w:t xml:space="preserve"> administrative hurdles are generally only visible to th</w:t>
      </w:r>
      <w:r w:rsidR="00F5138C">
        <w:rPr>
          <w:rFonts w:ascii="Times New Roman" w:hAnsi="Times New Roman" w:cs="Times New Roman"/>
          <w:sz w:val="24"/>
          <w:szCs w:val="24"/>
        </w:rPr>
        <w:t>ose who must endure them, the</w:t>
      </w:r>
      <w:r w:rsidR="00061EBD">
        <w:rPr>
          <w:rFonts w:ascii="Times New Roman" w:hAnsi="Times New Roman" w:cs="Times New Roman"/>
          <w:sz w:val="24"/>
          <w:szCs w:val="24"/>
        </w:rPr>
        <w:t>se</w:t>
      </w:r>
      <w:r w:rsidR="00F5138C">
        <w:rPr>
          <w:rFonts w:ascii="Times New Roman" w:hAnsi="Times New Roman" w:cs="Times New Roman"/>
          <w:sz w:val="24"/>
          <w:szCs w:val="24"/>
        </w:rPr>
        <w:t xml:space="preserve"> </w:t>
      </w:r>
      <w:r w:rsidR="00C84654">
        <w:rPr>
          <w:rFonts w:ascii="Times New Roman" w:hAnsi="Times New Roman" w:cs="Times New Roman"/>
          <w:sz w:val="24"/>
          <w:szCs w:val="24"/>
        </w:rPr>
        <w:t>placatory limitations on Union citizenship</w:t>
      </w:r>
      <w:r w:rsidR="00D96AC9">
        <w:rPr>
          <w:rFonts w:ascii="Times New Roman" w:hAnsi="Times New Roman" w:cs="Times New Roman"/>
          <w:sz w:val="24"/>
          <w:szCs w:val="24"/>
        </w:rPr>
        <w:t xml:space="preserve"> rights are </w:t>
      </w:r>
      <w:r w:rsidR="00061EBD">
        <w:rPr>
          <w:rFonts w:ascii="Times New Roman" w:hAnsi="Times New Roman" w:cs="Times New Roman"/>
          <w:sz w:val="24"/>
          <w:szCs w:val="24"/>
        </w:rPr>
        <w:t xml:space="preserve">also </w:t>
      </w:r>
      <w:r w:rsidR="00D96AC9">
        <w:rPr>
          <w:rFonts w:ascii="Times New Roman" w:hAnsi="Times New Roman" w:cs="Times New Roman"/>
          <w:sz w:val="24"/>
          <w:szCs w:val="24"/>
        </w:rPr>
        <w:t xml:space="preserve">unlikely </w:t>
      </w:r>
      <w:r w:rsidR="00C84654">
        <w:rPr>
          <w:rFonts w:ascii="Times New Roman" w:hAnsi="Times New Roman" w:cs="Times New Roman"/>
          <w:sz w:val="24"/>
          <w:szCs w:val="24"/>
        </w:rPr>
        <w:t>to address the EU’s perceived legitimacy crisis</w:t>
      </w:r>
      <w:r w:rsidR="00CE1C53">
        <w:rPr>
          <w:rFonts w:ascii="Times New Roman" w:hAnsi="Times New Roman" w:cs="Times New Roman"/>
          <w:sz w:val="24"/>
          <w:szCs w:val="24"/>
        </w:rPr>
        <w:t xml:space="preserve"> in any case. This is</w:t>
      </w:r>
      <w:r w:rsidR="00C84654">
        <w:rPr>
          <w:rFonts w:ascii="Times New Roman" w:hAnsi="Times New Roman" w:cs="Times New Roman"/>
          <w:sz w:val="24"/>
          <w:szCs w:val="24"/>
        </w:rPr>
        <w:t xml:space="preserve"> particularly</w:t>
      </w:r>
      <w:r w:rsidR="00CE1C53">
        <w:rPr>
          <w:rFonts w:ascii="Times New Roman" w:hAnsi="Times New Roman" w:cs="Times New Roman"/>
          <w:sz w:val="24"/>
          <w:szCs w:val="24"/>
        </w:rPr>
        <w:t xml:space="preserve"> so</w:t>
      </w:r>
      <w:r w:rsidR="00C84654">
        <w:rPr>
          <w:rFonts w:ascii="Times New Roman" w:hAnsi="Times New Roman" w:cs="Times New Roman"/>
          <w:sz w:val="24"/>
          <w:szCs w:val="24"/>
        </w:rPr>
        <w:t xml:space="preserve"> when host State nationals continue to be told not only by sections of the media but by mainstream politicians and by the C</w:t>
      </w:r>
      <w:r w:rsidR="00CA3A47">
        <w:rPr>
          <w:rFonts w:ascii="Times New Roman" w:hAnsi="Times New Roman" w:cs="Times New Roman"/>
          <w:sz w:val="24"/>
          <w:szCs w:val="24"/>
        </w:rPr>
        <w:t>ourt</w:t>
      </w:r>
      <w:r w:rsidR="00C84654">
        <w:rPr>
          <w:rFonts w:ascii="Times New Roman" w:hAnsi="Times New Roman" w:cs="Times New Roman"/>
          <w:sz w:val="24"/>
          <w:szCs w:val="24"/>
        </w:rPr>
        <w:t xml:space="preserve"> itself that social tourism is a </w:t>
      </w:r>
      <w:r w:rsidR="00A53412">
        <w:rPr>
          <w:rFonts w:ascii="Times New Roman" w:hAnsi="Times New Roman" w:cs="Times New Roman"/>
          <w:sz w:val="24"/>
          <w:szCs w:val="24"/>
        </w:rPr>
        <w:t xml:space="preserve">sizeable </w:t>
      </w:r>
      <w:r w:rsidR="00C84654">
        <w:rPr>
          <w:rFonts w:ascii="Times New Roman" w:hAnsi="Times New Roman" w:cs="Times New Roman"/>
          <w:sz w:val="24"/>
          <w:szCs w:val="24"/>
        </w:rPr>
        <w:t>problem.</w:t>
      </w:r>
      <w:r w:rsidR="00C84654">
        <w:rPr>
          <w:rStyle w:val="FootnoteReference"/>
          <w:rFonts w:ascii="Times New Roman" w:hAnsi="Times New Roman" w:cs="Times New Roman"/>
          <w:sz w:val="24"/>
          <w:szCs w:val="24"/>
        </w:rPr>
        <w:footnoteReference w:id="232"/>
      </w:r>
    </w:p>
    <w:p w:rsidR="00336738" w:rsidRDefault="00F5138C" w:rsidP="0033673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More importantly, the </w:t>
      </w:r>
      <w:proofErr w:type="spellStart"/>
      <w:r w:rsidR="00D96AC9">
        <w:rPr>
          <w:rFonts w:ascii="Times New Roman" w:hAnsi="Times New Roman" w:cs="Times New Roman"/>
          <w:i/>
          <w:sz w:val="24"/>
          <w:szCs w:val="24"/>
        </w:rPr>
        <w:t>Dano</w:t>
      </w:r>
      <w:proofErr w:type="spellEnd"/>
      <w:r w:rsidR="00D96AC9">
        <w:rPr>
          <w:rFonts w:ascii="Times New Roman" w:hAnsi="Times New Roman" w:cs="Times New Roman"/>
          <w:i/>
          <w:sz w:val="24"/>
          <w:szCs w:val="24"/>
        </w:rPr>
        <w:t xml:space="preserve"> </w:t>
      </w:r>
      <w:r w:rsidR="005754B3">
        <w:rPr>
          <w:rFonts w:ascii="Times New Roman" w:hAnsi="Times New Roman" w:cs="Times New Roman"/>
          <w:sz w:val="24"/>
          <w:szCs w:val="24"/>
        </w:rPr>
        <w:t xml:space="preserve">line of </w:t>
      </w:r>
      <w:r>
        <w:rPr>
          <w:rFonts w:ascii="Times New Roman" w:hAnsi="Times New Roman" w:cs="Times New Roman"/>
          <w:sz w:val="24"/>
          <w:szCs w:val="24"/>
        </w:rPr>
        <w:t>judgments</w:t>
      </w:r>
      <w:r w:rsidR="00D96AC9">
        <w:rPr>
          <w:rFonts w:ascii="Times New Roman" w:hAnsi="Times New Roman" w:cs="Times New Roman"/>
          <w:sz w:val="24"/>
          <w:szCs w:val="24"/>
        </w:rPr>
        <w:t xml:space="preserve"> do little to foster a European social community. Instead, </w:t>
      </w:r>
      <w:r>
        <w:rPr>
          <w:rFonts w:ascii="Times New Roman" w:hAnsi="Times New Roman" w:cs="Times New Roman"/>
          <w:sz w:val="24"/>
          <w:szCs w:val="24"/>
        </w:rPr>
        <w:t>they</w:t>
      </w:r>
      <w:r w:rsidR="00D96AC9">
        <w:rPr>
          <w:rFonts w:ascii="Times New Roman" w:hAnsi="Times New Roman" w:cs="Times New Roman"/>
          <w:sz w:val="24"/>
          <w:szCs w:val="24"/>
        </w:rPr>
        <w:t xml:space="preserve"> isolate the Union’s social integration problems </w:t>
      </w:r>
      <w:r>
        <w:rPr>
          <w:rFonts w:ascii="Times New Roman" w:hAnsi="Times New Roman" w:cs="Times New Roman"/>
          <w:sz w:val="24"/>
          <w:szCs w:val="24"/>
        </w:rPr>
        <w:t>to the non-economically active Union migrant</w:t>
      </w:r>
      <w:r w:rsidR="00A579D0">
        <w:rPr>
          <w:rFonts w:ascii="Times New Roman" w:hAnsi="Times New Roman" w:cs="Times New Roman"/>
          <w:sz w:val="24"/>
          <w:szCs w:val="24"/>
        </w:rPr>
        <w:t>, legitimating under-founded</w:t>
      </w:r>
      <w:r w:rsidR="00A579D0">
        <w:rPr>
          <w:rStyle w:val="FootnoteReference"/>
          <w:rFonts w:ascii="Times New Roman" w:hAnsi="Times New Roman" w:cs="Times New Roman"/>
          <w:sz w:val="24"/>
          <w:szCs w:val="24"/>
        </w:rPr>
        <w:footnoteReference w:id="233"/>
      </w:r>
      <w:r w:rsidR="00A579D0">
        <w:rPr>
          <w:rFonts w:ascii="Times New Roman" w:hAnsi="Times New Roman" w:cs="Times New Roman"/>
          <w:sz w:val="24"/>
          <w:szCs w:val="24"/>
        </w:rPr>
        <w:t xml:space="preserve"> claims about social tourism and depicting the relationship between host State nationals and EU citizens as oppositional. </w:t>
      </w:r>
      <w:r>
        <w:rPr>
          <w:rFonts w:ascii="Times New Roman" w:hAnsi="Times New Roman" w:cs="Times New Roman"/>
          <w:sz w:val="24"/>
          <w:szCs w:val="24"/>
        </w:rPr>
        <w:t>T</w:t>
      </w:r>
      <w:r w:rsidR="008D1AEF">
        <w:rPr>
          <w:rFonts w:ascii="Times New Roman" w:hAnsi="Times New Roman" w:cs="Times New Roman"/>
          <w:sz w:val="24"/>
          <w:szCs w:val="24"/>
        </w:rPr>
        <w:t>his short</w:t>
      </w:r>
      <w:r w:rsidR="00DB56A3">
        <w:rPr>
          <w:rFonts w:ascii="Times New Roman" w:hAnsi="Times New Roman" w:cs="Times New Roman"/>
          <w:sz w:val="24"/>
          <w:szCs w:val="24"/>
        </w:rPr>
        <w:t>-term political response might “</w:t>
      </w:r>
      <w:r w:rsidR="008D1AEF">
        <w:rPr>
          <w:rFonts w:ascii="Times New Roman" w:hAnsi="Times New Roman" w:cs="Times New Roman"/>
          <w:sz w:val="24"/>
          <w:szCs w:val="24"/>
        </w:rPr>
        <w:t>in the longer-term threaten EU integration as [Union] citizens are marginalised within their host societies and singled out as negative examples</w:t>
      </w:r>
      <w:r w:rsidR="00DB56A3">
        <w:rPr>
          <w:rFonts w:ascii="Times New Roman" w:hAnsi="Times New Roman" w:cs="Times New Roman"/>
          <w:sz w:val="24"/>
          <w:szCs w:val="24"/>
        </w:rPr>
        <w:t>”</w:t>
      </w:r>
      <w:r>
        <w:rPr>
          <w:rFonts w:ascii="Times New Roman" w:hAnsi="Times New Roman" w:cs="Times New Roman"/>
          <w:sz w:val="24"/>
          <w:szCs w:val="24"/>
        </w:rPr>
        <w:t xml:space="preserve"> of EU free movement.</w:t>
      </w:r>
      <w:r w:rsidR="008D1AEF">
        <w:rPr>
          <w:rStyle w:val="FootnoteReference"/>
          <w:rFonts w:ascii="Times New Roman" w:hAnsi="Times New Roman" w:cs="Times New Roman"/>
          <w:sz w:val="24"/>
          <w:szCs w:val="24"/>
        </w:rPr>
        <w:footnoteReference w:id="234"/>
      </w:r>
      <w:r w:rsidR="00A362AD">
        <w:rPr>
          <w:rFonts w:ascii="Times New Roman" w:hAnsi="Times New Roman" w:cs="Times New Roman"/>
          <w:sz w:val="24"/>
          <w:szCs w:val="24"/>
        </w:rPr>
        <w:t xml:space="preserve"> Indeed, this is already v</w:t>
      </w:r>
      <w:r w:rsidR="00DB56A3">
        <w:rPr>
          <w:rFonts w:ascii="Times New Roman" w:hAnsi="Times New Roman" w:cs="Times New Roman"/>
          <w:sz w:val="24"/>
          <w:szCs w:val="24"/>
        </w:rPr>
        <w:t>isible in what O’Brien terms a “law as lists”</w:t>
      </w:r>
      <w:r w:rsidR="00A362AD">
        <w:rPr>
          <w:rFonts w:ascii="Times New Roman" w:hAnsi="Times New Roman" w:cs="Times New Roman"/>
          <w:sz w:val="24"/>
          <w:szCs w:val="24"/>
        </w:rPr>
        <w:t xml:space="preserve"> approach to the conferral of residence and equal treatment rights at the administrative-level, in which even economically active Union citizens must overcome arduous administrative obstacles</w:t>
      </w:r>
      <w:r w:rsidR="005754B3">
        <w:rPr>
          <w:rFonts w:ascii="Times New Roman" w:hAnsi="Times New Roman" w:cs="Times New Roman"/>
          <w:sz w:val="24"/>
          <w:szCs w:val="24"/>
        </w:rPr>
        <w:t>, pu</w:t>
      </w:r>
      <w:r w:rsidR="00DB56A3">
        <w:rPr>
          <w:rFonts w:ascii="Times New Roman" w:hAnsi="Times New Roman" w:cs="Times New Roman"/>
          <w:sz w:val="24"/>
          <w:szCs w:val="24"/>
        </w:rPr>
        <w:t>rportedly introduced to tackle “rogue benefits claims”</w:t>
      </w:r>
      <w:r w:rsidR="00852B9B">
        <w:rPr>
          <w:rStyle w:val="FootnoteReference"/>
          <w:rFonts w:ascii="Times New Roman" w:hAnsi="Times New Roman" w:cs="Times New Roman"/>
          <w:sz w:val="24"/>
          <w:szCs w:val="24"/>
        </w:rPr>
        <w:footnoteReference w:id="235"/>
      </w:r>
      <w:r w:rsidR="00A362AD">
        <w:rPr>
          <w:rFonts w:ascii="Times New Roman" w:hAnsi="Times New Roman" w:cs="Times New Roman"/>
          <w:sz w:val="24"/>
          <w:szCs w:val="24"/>
        </w:rPr>
        <w:t xml:space="preserve"> to demonstrate that they qualify for equal treatment.</w:t>
      </w:r>
    </w:p>
    <w:p w:rsidR="007C7DDF" w:rsidRDefault="00725B23" w:rsidP="0033673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Ultimately,</w:t>
      </w:r>
      <w:r w:rsidR="00A579D0">
        <w:rPr>
          <w:rFonts w:ascii="Times New Roman" w:hAnsi="Times New Roman" w:cs="Times New Roman"/>
          <w:sz w:val="24"/>
          <w:szCs w:val="24"/>
        </w:rPr>
        <w:t xml:space="preserve"> the Court’s current trajectory of the Union citizenship case-law reinforces the economic/social dichotomy that</w:t>
      </w:r>
      <w:r w:rsidR="00C16324">
        <w:rPr>
          <w:rFonts w:ascii="Times New Roman" w:hAnsi="Times New Roman" w:cs="Times New Roman"/>
          <w:sz w:val="24"/>
          <w:szCs w:val="24"/>
        </w:rPr>
        <w:t xml:space="preserve"> section two proved to be </w:t>
      </w:r>
      <w:r w:rsidR="00593D4D">
        <w:rPr>
          <w:rFonts w:ascii="Times New Roman" w:hAnsi="Times New Roman" w:cs="Times New Roman"/>
          <w:sz w:val="24"/>
          <w:szCs w:val="24"/>
        </w:rPr>
        <w:t>erroneous</w:t>
      </w:r>
      <w:r w:rsidR="00C16324">
        <w:rPr>
          <w:rFonts w:ascii="Times New Roman" w:hAnsi="Times New Roman" w:cs="Times New Roman"/>
          <w:sz w:val="24"/>
          <w:szCs w:val="24"/>
        </w:rPr>
        <w:t xml:space="preserve">. </w:t>
      </w:r>
      <w:r w:rsidR="00A311CE">
        <w:rPr>
          <w:rFonts w:ascii="Times New Roman" w:hAnsi="Times New Roman" w:cs="Times New Roman"/>
          <w:sz w:val="24"/>
          <w:szCs w:val="24"/>
        </w:rPr>
        <w:t>It presents economic activity as the most appropriate</w:t>
      </w:r>
      <w:r w:rsidR="00593D4D">
        <w:rPr>
          <w:rFonts w:ascii="Times New Roman" w:hAnsi="Times New Roman" w:cs="Times New Roman"/>
          <w:sz w:val="24"/>
          <w:szCs w:val="24"/>
        </w:rPr>
        <w:t xml:space="preserve"> trigger for Union acti</w:t>
      </w:r>
      <w:r w:rsidR="00406A6B">
        <w:rPr>
          <w:rFonts w:ascii="Times New Roman" w:hAnsi="Times New Roman" w:cs="Times New Roman"/>
          <w:sz w:val="24"/>
          <w:szCs w:val="24"/>
        </w:rPr>
        <w:t>on</w:t>
      </w:r>
      <w:r w:rsidR="00593D4D">
        <w:rPr>
          <w:rFonts w:ascii="Times New Roman" w:hAnsi="Times New Roman" w:cs="Times New Roman"/>
          <w:sz w:val="24"/>
          <w:szCs w:val="24"/>
        </w:rPr>
        <w:t>, maintaining</w:t>
      </w:r>
      <w:r w:rsidR="00A311CE">
        <w:rPr>
          <w:rFonts w:ascii="Times New Roman" w:hAnsi="Times New Roman" w:cs="Times New Roman"/>
          <w:sz w:val="24"/>
          <w:szCs w:val="24"/>
        </w:rPr>
        <w:t xml:space="preserve"> the misconception th</w:t>
      </w:r>
      <w:r w:rsidR="00F5138C">
        <w:rPr>
          <w:rFonts w:ascii="Times New Roman" w:hAnsi="Times New Roman" w:cs="Times New Roman"/>
          <w:sz w:val="24"/>
          <w:szCs w:val="24"/>
        </w:rPr>
        <w:t>at economic and social matters can</w:t>
      </w:r>
      <w:r w:rsidR="00A311CE">
        <w:rPr>
          <w:rFonts w:ascii="Times New Roman" w:hAnsi="Times New Roman" w:cs="Times New Roman"/>
          <w:sz w:val="24"/>
          <w:szCs w:val="24"/>
        </w:rPr>
        <w:t xml:space="preserve"> otherwise be kept separate. Rather than restricting its review of the free movement provisions to the EU’s often most marginalised citizens</w:t>
      </w:r>
      <w:r w:rsidR="00A21CF9">
        <w:rPr>
          <w:rFonts w:ascii="Times New Roman" w:hAnsi="Times New Roman" w:cs="Times New Roman"/>
          <w:sz w:val="24"/>
          <w:szCs w:val="24"/>
        </w:rPr>
        <w:t xml:space="preserve">, </w:t>
      </w:r>
      <w:r w:rsidR="00A311CE">
        <w:rPr>
          <w:rFonts w:ascii="Times New Roman" w:hAnsi="Times New Roman" w:cs="Times New Roman"/>
          <w:sz w:val="24"/>
          <w:szCs w:val="24"/>
        </w:rPr>
        <w:t xml:space="preserve">and in a manner which does little to involve static EU citizens in the EU project, a wider re-thinking </w:t>
      </w:r>
      <w:r w:rsidR="00A311CE">
        <w:rPr>
          <w:rFonts w:ascii="Times New Roman" w:hAnsi="Times New Roman" w:cs="Times New Roman"/>
          <w:sz w:val="24"/>
          <w:szCs w:val="24"/>
        </w:rPr>
        <w:lastRenderedPageBreak/>
        <w:t>of</w:t>
      </w:r>
      <w:r w:rsidR="00593D4D">
        <w:rPr>
          <w:rFonts w:ascii="Times New Roman" w:hAnsi="Times New Roman" w:cs="Times New Roman"/>
          <w:sz w:val="24"/>
          <w:szCs w:val="24"/>
        </w:rPr>
        <w:t xml:space="preserve"> the Court’s approach to</w:t>
      </w:r>
      <w:r w:rsidR="00A311CE">
        <w:rPr>
          <w:rFonts w:ascii="Times New Roman" w:hAnsi="Times New Roman" w:cs="Times New Roman"/>
          <w:sz w:val="24"/>
          <w:szCs w:val="24"/>
        </w:rPr>
        <w:t xml:space="preserve"> f</w:t>
      </w:r>
      <w:r w:rsidR="00A21CF9">
        <w:rPr>
          <w:rFonts w:ascii="Times New Roman" w:hAnsi="Times New Roman" w:cs="Times New Roman"/>
          <w:sz w:val="24"/>
          <w:szCs w:val="24"/>
        </w:rPr>
        <w:t xml:space="preserve">ree movement </w:t>
      </w:r>
      <w:r w:rsidR="00A311CE">
        <w:rPr>
          <w:rFonts w:ascii="Times New Roman" w:hAnsi="Times New Roman" w:cs="Times New Roman"/>
          <w:sz w:val="24"/>
          <w:szCs w:val="24"/>
        </w:rPr>
        <w:t>is needed; one</w:t>
      </w:r>
      <w:r w:rsidR="00EA5CDA">
        <w:rPr>
          <w:rFonts w:ascii="Times New Roman" w:hAnsi="Times New Roman" w:cs="Times New Roman"/>
          <w:sz w:val="24"/>
          <w:szCs w:val="24"/>
        </w:rPr>
        <w:t xml:space="preserve"> which accepts that while domestic social policy might</w:t>
      </w:r>
      <w:r w:rsidR="00406A6B">
        <w:rPr>
          <w:rFonts w:ascii="Times New Roman" w:hAnsi="Times New Roman" w:cs="Times New Roman"/>
          <w:sz w:val="24"/>
          <w:szCs w:val="24"/>
        </w:rPr>
        <w:t xml:space="preserve"> clash with the market freedoms</w:t>
      </w:r>
      <w:r w:rsidR="00EA5CDA">
        <w:rPr>
          <w:rFonts w:ascii="Times New Roman" w:hAnsi="Times New Roman" w:cs="Times New Roman"/>
          <w:sz w:val="24"/>
          <w:szCs w:val="24"/>
        </w:rPr>
        <w:t xml:space="preserve"> it might</w:t>
      </w:r>
      <w:r w:rsidR="00593D4D">
        <w:rPr>
          <w:rFonts w:ascii="Times New Roman" w:hAnsi="Times New Roman" w:cs="Times New Roman"/>
          <w:sz w:val="24"/>
          <w:szCs w:val="24"/>
        </w:rPr>
        <w:t xml:space="preserve"> nevertheless</w:t>
      </w:r>
      <w:r w:rsidR="00EA5CDA">
        <w:rPr>
          <w:rFonts w:ascii="Times New Roman" w:hAnsi="Times New Roman" w:cs="Times New Roman"/>
          <w:sz w:val="24"/>
          <w:szCs w:val="24"/>
        </w:rPr>
        <w:t xml:space="preserve"> facilitate the Union’s wider goals.</w:t>
      </w:r>
    </w:p>
    <w:p w:rsidR="00336738" w:rsidRDefault="00336738" w:rsidP="00336738">
      <w:pPr>
        <w:pStyle w:val="NoSpacing"/>
        <w:spacing w:line="360" w:lineRule="auto"/>
        <w:jc w:val="both"/>
        <w:rPr>
          <w:rFonts w:ascii="Times New Roman" w:hAnsi="Times New Roman" w:cs="Times New Roman"/>
          <w:sz w:val="24"/>
          <w:szCs w:val="24"/>
        </w:rPr>
      </w:pPr>
    </w:p>
    <w:p w:rsidR="00336738" w:rsidRPr="00336738" w:rsidRDefault="00336738" w:rsidP="0033673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 LEGITIMISING THE EUROPEAN SOCIAL SPACE THROUGH </w:t>
      </w: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HOLISTIC APPROACH TO THE TREATIES</w:t>
      </w:r>
    </w:p>
    <w:bookmarkEnd w:id="0"/>
    <w:p w:rsidR="00BA38A9" w:rsidRDefault="00BA38A9" w:rsidP="002F33D2">
      <w:pPr>
        <w:pStyle w:val="NoSpacing"/>
        <w:spacing w:line="360" w:lineRule="auto"/>
        <w:rPr>
          <w:rFonts w:ascii="Times New Roman" w:hAnsi="Times New Roman" w:cs="Times New Roman"/>
          <w:b/>
          <w:sz w:val="24"/>
          <w:szCs w:val="24"/>
        </w:rPr>
      </w:pPr>
    </w:p>
    <w:p w:rsidR="00A576ED" w:rsidRDefault="00A21CF9"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particular, </w:t>
      </w:r>
      <w:r w:rsidR="00BA587A">
        <w:rPr>
          <w:rFonts w:ascii="Times New Roman" w:hAnsi="Times New Roman" w:cs="Times New Roman"/>
          <w:sz w:val="24"/>
          <w:szCs w:val="24"/>
        </w:rPr>
        <w:t>the Court must reco</w:t>
      </w:r>
      <w:r w:rsidR="0053653B">
        <w:rPr>
          <w:rFonts w:ascii="Times New Roman" w:hAnsi="Times New Roman" w:cs="Times New Roman"/>
          <w:sz w:val="24"/>
          <w:szCs w:val="24"/>
        </w:rPr>
        <w:t>nsider its continuing use of the</w:t>
      </w:r>
      <w:r w:rsidR="00BA587A">
        <w:rPr>
          <w:rFonts w:ascii="Times New Roman" w:hAnsi="Times New Roman" w:cs="Times New Roman"/>
          <w:sz w:val="24"/>
          <w:szCs w:val="24"/>
        </w:rPr>
        <w:t xml:space="preserve"> breach/justification methodology</w:t>
      </w:r>
      <w:r w:rsidR="000B2A63">
        <w:rPr>
          <w:rFonts w:ascii="Times New Roman" w:hAnsi="Times New Roman" w:cs="Times New Roman"/>
          <w:sz w:val="24"/>
          <w:szCs w:val="24"/>
        </w:rPr>
        <w:t>, discussed in section</w:t>
      </w:r>
      <w:r w:rsidR="0053653B">
        <w:rPr>
          <w:rFonts w:ascii="Times New Roman" w:hAnsi="Times New Roman" w:cs="Times New Roman"/>
          <w:sz w:val="24"/>
          <w:szCs w:val="24"/>
        </w:rPr>
        <w:t xml:space="preserve"> two,</w:t>
      </w:r>
      <w:r w:rsidR="00BA587A">
        <w:rPr>
          <w:rFonts w:ascii="Times New Roman" w:hAnsi="Times New Roman" w:cs="Times New Roman"/>
          <w:sz w:val="24"/>
          <w:szCs w:val="24"/>
        </w:rPr>
        <w:t xml:space="preserve"> to adjudicate wider tensions between free movement and domestic social policies. This section argues, first, that the procedural </w:t>
      </w:r>
      <w:r w:rsidR="00730B0E">
        <w:rPr>
          <w:rFonts w:ascii="Times New Roman" w:hAnsi="Times New Roman" w:cs="Times New Roman"/>
          <w:sz w:val="24"/>
          <w:szCs w:val="24"/>
        </w:rPr>
        <w:t xml:space="preserve">disadvantage facing </w:t>
      </w:r>
      <w:r w:rsidR="00336738">
        <w:rPr>
          <w:rFonts w:ascii="Times New Roman" w:hAnsi="Times New Roman" w:cs="Times New Roman"/>
          <w:sz w:val="24"/>
          <w:szCs w:val="24"/>
        </w:rPr>
        <w:t xml:space="preserve">domestic </w:t>
      </w:r>
      <w:r w:rsidR="00730B0E">
        <w:rPr>
          <w:rFonts w:ascii="Times New Roman" w:hAnsi="Times New Roman" w:cs="Times New Roman"/>
          <w:sz w:val="24"/>
          <w:szCs w:val="24"/>
        </w:rPr>
        <w:t>social activities</w:t>
      </w:r>
      <w:r w:rsidR="00BA587A">
        <w:rPr>
          <w:rFonts w:ascii="Times New Roman" w:hAnsi="Times New Roman" w:cs="Times New Roman"/>
          <w:sz w:val="24"/>
          <w:szCs w:val="24"/>
        </w:rPr>
        <w:t xml:space="preserve"> under the current model does not sufficiently reflect the Union’s own contemporary constitutional framework</w:t>
      </w:r>
      <w:r w:rsidR="00593D4D">
        <w:rPr>
          <w:rFonts w:ascii="Times New Roman" w:hAnsi="Times New Roman" w:cs="Times New Roman"/>
          <w:sz w:val="24"/>
          <w:szCs w:val="24"/>
        </w:rPr>
        <w:t>. Second, the section identifies the emergence of a judicial willingness to take a more holistic approach to the Treaties in its adjudicative approaches.</w:t>
      </w:r>
    </w:p>
    <w:p w:rsidR="00336738" w:rsidRDefault="00336738" w:rsidP="002F33D2">
      <w:pPr>
        <w:pStyle w:val="NoSpacing"/>
        <w:spacing w:line="360" w:lineRule="auto"/>
        <w:jc w:val="both"/>
        <w:rPr>
          <w:rFonts w:ascii="Times New Roman" w:hAnsi="Times New Roman" w:cs="Times New Roman"/>
          <w:sz w:val="24"/>
          <w:szCs w:val="24"/>
        </w:rPr>
      </w:pPr>
    </w:p>
    <w:p w:rsidR="00336738" w:rsidRDefault="00336738"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VI.1 THE POST-LISBON CALL FOR AN HOLISTIC APPROACH TO ECONOMIC AND SOCIAL INTEGRATION</w:t>
      </w:r>
    </w:p>
    <w:p w:rsidR="00336738" w:rsidRDefault="00336738" w:rsidP="002F33D2">
      <w:pPr>
        <w:pStyle w:val="NoSpacing"/>
        <w:spacing w:line="360" w:lineRule="auto"/>
        <w:jc w:val="both"/>
        <w:rPr>
          <w:rFonts w:ascii="Times New Roman" w:hAnsi="Times New Roman" w:cs="Times New Roman"/>
          <w:sz w:val="24"/>
          <w:szCs w:val="24"/>
        </w:rPr>
      </w:pPr>
    </w:p>
    <w:p w:rsidR="00336738" w:rsidRDefault="000B2A63"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D2C69">
        <w:rPr>
          <w:rFonts w:ascii="Times New Roman" w:hAnsi="Times New Roman" w:cs="Times New Roman"/>
          <w:sz w:val="24"/>
          <w:szCs w:val="24"/>
        </w:rPr>
        <w:t>hough</w:t>
      </w:r>
      <w:r w:rsidR="00BD20C1">
        <w:rPr>
          <w:rFonts w:ascii="Times New Roman" w:hAnsi="Times New Roman" w:cs="Times New Roman"/>
          <w:sz w:val="24"/>
          <w:szCs w:val="24"/>
        </w:rPr>
        <w:t xml:space="preserve"> the Lisbon Treaty did not alter the substantive content of the Union’s primary free movement provisions, it signalled a shift in the wider constitutional framework</w:t>
      </w:r>
      <w:r w:rsidR="007B2D19">
        <w:rPr>
          <w:rFonts w:ascii="Times New Roman" w:hAnsi="Times New Roman" w:cs="Times New Roman"/>
          <w:sz w:val="24"/>
          <w:szCs w:val="24"/>
        </w:rPr>
        <w:t xml:space="preserve"> towards greater</w:t>
      </w:r>
      <w:r w:rsidR="004D2C69">
        <w:rPr>
          <w:rFonts w:ascii="Times New Roman" w:hAnsi="Times New Roman" w:cs="Times New Roman"/>
          <w:sz w:val="24"/>
          <w:szCs w:val="24"/>
        </w:rPr>
        <w:t xml:space="preserve"> </w:t>
      </w:r>
      <w:r w:rsidR="00730B0E">
        <w:rPr>
          <w:rFonts w:ascii="Times New Roman" w:hAnsi="Times New Roman" w:cs="Times New Roman"/>
          <w:sz w:val="24"/>
          <w:szCs w:val="24"/>
        </w:rPr>
        <w:t xml:space="preserve">recognition of </w:t>
      </w:r>
      <w:r w:rsidR="00A53412">
        <w:rPr>
          <w:rFonts w:ascii="Times New Roman" w:hAnsi="Times New Roman" w:cs="Times New Roman"/>
          <w:sz w:val="24"/>
          <w:szCs w:val="24"/>
        </w:rPr>
        <w:t xml:space="preserve">its </w:t>
      </w:r>
      <w:r w:rsidR="00730B0E">
        <w:rPr>
          <w:rFonts w:ascii="Times New Roman" w:hAnsi="Times New Roman" w:cs="Times New Roman"/>
          <w:sz w:val="24"/>
          <w:szCs w:val="24"/>
        </w:rPr>
        <w:t>social endeavours</w:t>
      </w:r>
      <w:r w:rsidR="007B2D19">
        <w:rPr>
          <w:rFonts w:ascii="Times New Roman" w:hAnsi="Times New Roman" w:cs="Times New Roman"/>
          <w:sz w:val="24"/>
          <w:szCs w:val="24"/>
        </w:rPr>
        <w:t>.</w:t>
      </w:r>
      <w:r w:rsidR="007B2D19">
        <w:rPr>
          <w:rStyle w:val="FootnoteReference"/>
          <w:rFonts w:ascii="Times New Roman" w:hAnsi="Times New Roman" w:cs="Times New Roman"/>
          <w:sz w:val="24"/>
          <w:szCs w:val="24"/>
        </w:rPr>
        <w:footnoteReference w:id="236"/>
      </w:r>
      <w:r w:rsidR="00270929">
        <w:rPr>
          <w:rFonts w:ascii="Times New Roman" w:hAnsi="Times New Roman" w:cs="Times New Roman"/>
          <w:sz w:val="24"/>
          <w:szCs w:val="24"/>
        </w:rPr>
        <w:t xml:space="preserve"> This not only justifies, but </w:t>
      </w:r>
      <w:r w:rsidR="00DB56A3">
        <w:rPr>
          <w:rFonts w:ascii="Times New Roman" w:hAnsi="Times New Roman" w:cs="Times New Roman"/>
          <w:sz w:val="24"/>
          <w:szCs w:val="24"/>
        </w:rPr>
        <w:t>requires, the incorporation of social integration</w:t>
      </w:r>
      <w:r w:rsidR="00270929">
        <w:rPr>
          <w:rFonts w:ascii="Times New Roman" w:hAnsi="Times New Roman" w:cs="Times New Roman"/>
          <w:sz w:val="24"/>
          <w:szCs w:val="24"/>
        </w:rPr>
        <w:t xml:space="preserve"> as a Union endeavour within the operation of the internal market.</w:t>
      </w:r>
      <w:r w:rsidR="00730B0E">
        <w:rPr>
          <w:rFonts w:ascii="Times New Roman" w:hAnsi="Times New Roman" w:cs="Times New Roman"/>
          <w:sz w:val="24"/>
          <w:szCs w:val="24"/>
        </w:rPr>
        <w:t xml:space="preserve"> T</w:t>
      </w:r>
      <w:r w:rsidR="004D2C69">
        <w:rPr>
          <w:rFonts w:ascii="Times New Roman" w:hAnsi="Times New Roman" w:cs="Times New Roman"/>
          <w:sz w:val="24"/>
          <w:szCs w:val="24"/>
        </w:rPr>
        <w:t>he Union’s explicit values, laid down in Article 2 TEU ha</w:t>
      </w:r>
      <w:r w:rsidR="00730B0E">
        <w:rPr>
          <w:rFonts w:ascii="Times New Roman" w:hAnsi="Times New Roman" w:cs="Times New Roman"/>
          <w:sz w:val="24"/>
          <w:szCs w:val="24"/>
        </w:rPr>
        <w:t xml:space="preserve">ve a distinctly social </w:t>
      </w:r>
      <w:r w:rsidR="00270929">
        <w:rPr>
          <w:rFonts w:ascii="Times New Roman" w:hAnsi="Times New Roman" w:cs="Times New Roman"/>
          <w:sz w:val="24"/>
          <w:szCs w:val="24"/>
        </w:rPr>
        <w:t>dimension</w:t>
      </w:r>
      <w:r w:rsidR="004D2C69">
        <w:rPr>
          <w:rFonts w:ascii="Times New Roman" w:hAnsi="Times New Roman" w:cs="Times New Roman"/>
          <w:sz w:val="24"/>
          <w:szCs w:val="24"/>
        </w:rPr>
        <w:t xml:space="preserve">, including </w:t>
      </w:r>
      <w:r w:rsidR="004D2C69">
        <w:rPr>
          <w:rFonts w:ascii="Times New Roman" w:hAnsi="Times New Roman" w:cs="Times New Roman"/>
          <w:i/>
          <w:sz w:val="24"/>
          <w:szCs w:val="24"/>
        </w:rPr>
        <w:t>inter alia</w:t>
      </w:r>
      <w:r w:rsidR="004D2C69">
        <w:rPr>
          <w:rFonts w:ascii="Times New Roman" w:hAnsi="Times New Roman" w:cs="Times New Roman"/>
          <w:sz w:val="24"/>
          <w:szCs w:val="24"/>
        </w:rPr>
        <w:t xml:space="preserve">, </w:t>
      </w:r>
      <w:r w:rsidR="00992974">
        <w:rPr>
          <w:rFonts w:ascii="Times New Roman" w:hAnsi="Times New Roman" w:cs="Times New Roman"/>
          <w:sz w:val="24"/>
          <w:szCs w:val="24"/>
        </w:rPr>
        <w:t xml:space="preserve">non-discrimination, tolerance, solidarity, and equality between women and men. </w:t>
      </w:r>
      <w:r w:rsidR="003B4144">
        <w:rPr>
          <w:rFonts w:ascii="Times New Roman" w:hAnsi="Times New Roman" w:cs="Times New Roman"/>
          <w:sz w:val="24"/>
          <w:szCs w:val="24"/>
        </w:rPr>
        <w:t>Article 3(3)</w:t>
      </w:r>
      <w:r w:rsidR="00992974">
        <w:rPr>
          <w:rFonts w:ascii="Times New Roman" w:hAnsi="Times New Roman" w:cs="Times New Roman"/>
          <w:sz w:val="24"/>
          <w:szCs w:val="24"/>
        </w:rPr>
        <w:t xml:space="preserve"> TEU</w:t>
      </w:r>
      <w:r w:rsidR="003B4144">
        <w:rPr>
          <w:rFonts w:ascii="Times New Roman" w:hAnsi="Times New Roman" w:cs="Times New Roman"/>
          <w:sz w:val="24"/>
          <w:szCs w:val="24"/>
        </w:rPr>
        <w:t xml:space="preserve"> tasks the Union with </w:t>
      </w:r>
      <w:r w:rsidR="00DB56A3">
        <w:rPr>
          <w:rFonts w:ascii="Times New Roman" w:hAnsi="Times New Roman" w:cs="Times New Roman"/>
          <w:sz w:val="24"/>
          <w:szCs w:val="24"/>
        </w:rPr>
        <w:t>“combating social justice”</w:t>
      </w:r>
      <w:r w:rsidR="00992974">
        <w:rPr>
          <w:rFonts w:ascii="Times New Roman" w:hAnsi="Times New Roman" w:cs="Times New Roman"/>
          <w:sz w:val="24"/>
          <w:szCs w:val="24"/>
        </w:rPr>
        <w:t xml:space="preserve"> and </w:t>
      </w:r>
      <w:r w:rsidR="00DB56A3">
        <w:rPr>
          <w:rFonts w:ascii="Times New Roman" w:hAnsi="Times New Roman" w:cs="Times New Roman"/>
          <w:sz w:val="24"/>
          <w:szCs w:val="24"/>
        </w:rPr>
        <w:t>working towards a “</w:t>
      </w:r>
      <w:r w:rsidR="003B4144">
        <w:rPr>
          <w:rFonts w:ascii="Times New Roman" w:hAnsi="Times New Roman" w:cs="Times New Roman"/>
          <w:sz w:val="24"/>
          <w:szCs w:val="24"/>
        </w:rPr>
        <w:t>highly competitive social market economy, aiming at full</w:t>
      </w:r>
      <w:r w:rsidR="00DB56A3">
        <w:rPr>
          <w:rFonts w:ascii="Times New Roman" w:hAnsi="Times New Roman" w:cs="Times New Roman"/>
          <w:sz w:val="24"/>
          <w:szCs w:val="24"/>
        </w:rPr>
        <w:t xml:space="preserve"> employment and social progress”</w:t>
      </w:r>
      <w:r w:rsidR="003B4144">
        <w:rPr>
          <w:rFonts w:ascii="Times New Roman" w:hAnsi="Times New Roman" w:cs="Times New Roman"/>
          <w:sz w:val="24"/>
          <w:szCs w:val="24"/>
        </w:rPr>
        <w:t>.</w:t>
      </w:r>
      <w:r w:rsidR="00270929">
        <w:rPr>
          <w:rFonts w:ascii="Times New Roman" w:hAnsi="Times New Roman" w:cs="Times New Roman"/>
          <w:sz w:val="24"/>
          <w:szCs w:val="24"/>
        </w:rPr>
        <w:t xml:space="preserve"> While both </w:t>
      </w:r>
      <w:proofErr w:type="spellStart"/>
      <w:r w:rsidR="00270929">
        <w:rPr>
          <w:rFonts w:ascii="Times New Roman" w:hAnsi="Times New Roman" w:cs="Times New Roman"/>
          <w:sz w:val="24"/>
          <w:szCs w:val="24"/>
        </w:rPr>
        <w:t>Schiek</w:t>
      </w:r>
      <w:proofErr w:type="spellEnd"/>
      <w:r w:rsidR="00270929">
        <w:rPr>
          <w:rFonts w:ascii="Times New Roman" w:hAnsi="Times New Roman" w:cs="Times New Roman"/>
          <w:sz w:val="24"/>
          <w:szCs w:val="24"/>
        </w:rPr>
        <w:t xml:space="preserve"> and Armstrong accept that the concept of a ‘social market economy’ is historically rooted in ordo-liberal approaches that generally sought social goals through market means, both reject the argument that this definition is fixed.</w:t>
      </w:r>
      <w:r w:rsidR="00270929">
        <w:rPr>
          <w:rStyle w:val="FootnoteReference"/>
          <w:rFonts w:ascii="Times New Roman" w:hAnsi="Times New Roman" w:cs="Times New Roman"/>
          <w:sz w:val="24"/>
          <w:szCs w:val="24"/>
        </w:rPr>
        <w:footnoteReference w:id="237"/>
      </w:r>
      <w:r w:rsidR="00270929">
        <w:rPr>
          <w:rFonts w:ascii="Times New Roman" w:hAnsi="Times New Roman" w:cs="Times New Roman"/>
          <w:sz w:val="24"/>
          <w:szCs w:val="24"/>
        </w:rPr>
        <w:t xml:space="preserve"> In the con</w:t>
      </w:r>
      <w:r w:rsidR="00DB56A3">
        <w:rPr>
          <w:rFonts w:ascii="Times New Roman" w:hAnsi="Times New Roman" w:cs="Times New Roman"/>
          <w:sz w:val="24"/>
          <w:szCs w:val="24"/>
        </w:rPr>
        <w:t>temporary Union context, it is “</w:t>
      </w:r>
      <w:r w:rsidR="00270929">
        <w:rPr>
          <w:rFonts w:ascii="Times New Roman" w:hAnsi="Times New Roman" w:cs="Times New Roman"/>
          <w:sz w:val="24"/>
          <w:szCs w:val="24"/>
        </w:rPr>
        <w:t>more likely that those insisting on this term…meant to</w:t>
      </w:r>
      <w:r w:rsidR="00DB56A3">
        <w:rPr>
          <w:rFonts w:ascii="Times New Roman" w:hAnsi="Times New Roman" w:cs="Times New Roman"/>
          <w:sz w:val="24"/>
          <w:szCs w:val="24"/>
        </w:rPr>
        <w:t xml:space="preserve"> anchor a compromise between…eco</w:t>
      </w:r>
      <w:r w:rsidR="00270929">
        <w:rPr>
          <w:rFonts w:ascii="Times New Roman" w:hAnsi="Times New Roman" w:cs="Times New Roman"/>
          <w:sz w:val="24"/>
          <w:szCs w:val="24"/>
        </w:rPr>
        <w:t xml:space="preserve">nomic and social objectives in the EU </w:t>
      </w:r>
      <w:r w:rsidR="00270929">
        <w:rPr>
          <w:rFonts w:ascii="Times New Roman" w:hAnsi="Times New Roman" w:cs="Times New Roman"/>
          <w:sz w:val="24"/>
          <w:szCs w:val="24"/>
        </w:rPr>
        <w:lastRenderedPageBreak/>
        <w:t>constitution of the internal market</w:t>
      </w:r>
      <w:r w:rsidR="00DB56A3">
        <w:rPr>
          <w:rFonts w:ascii="Times New Roman" w:hAnsi="Times New Roman" w:cs="Times New Roman"/>
          <w:sz w:val="24"/>
          <w:szCs w:val="24"/>
        </w:rPr>
        <w:t>”</w:t>
      </w:r>
      <w:r w:rsidR="00270929">
        <w:rPr>
          <w:rFonts w:ascii="Times New Roman" w:hAnsi="Times New Roman" w:cs="Times New Roman"/>
          <w:sz w:val="24"/>
          <w:szCs w:val="24"/>
        </w:rPr>
        <w:t>.</w:t>
      </w:r>
      <w:r w:rsidR="00270929">
        <w:rPr>
          <w:rStyle w:val="FootnoteReference"/>
          <w:rFonts w:ascii="Times New Roman" w:hAnsi="Times New Roman" w:cs="Times New Roman"/>
          <w:sz w:val="24"/>
          <w:szCs w:val="24"/>
        </w:rPr>
        <w:footnoteReference w:id="238"/>
      </w:r>
      <w:r w:rsidR="00270929">
        <w:rPr>
          <w:rFonts w:ascii="Times New Roman" w:hAnsi="Times New Roman" w:cs="Times New Roman"/>
          <w:sz w:val="24"/>
          <w:szCs w:val="24"/>
        </w:rPr>
        <w:t xml:space="preserve"> As Armstrong notes, prior to Lisbon, social E</w:t>
      </w:r>
      <w:r w:rsidR="00DB56A3">
        <w:rPr>
          <w:rFonts w:ascii="Times New Roman" w:hAnsi="Times New Roman" w:cs="Times New Roman"/>
          <w:sz w:val="24"/>
          <w:szCs w:val="24"/>
        </w:rPr>
        <w:t>urope had been pursued only by “adding-in”</w:t>
      </w:r>
      <w:r w:rsidR="00270929">
        <w:rPr>
          <w:rFonts w:ascii="Times New Roman" w:hAnsi="Times New Roman" w:cs="Times New Roman"/>
          <w:sz w:val="24"/>
          <w:szCs w:val="24"/>
        </w:rPr>
        <w:t xml:space="preserve"> social values and competences to the Treaties. By contras</w:t>
      </w:r>
      <w:r w:rsidR="00DB56A3">
        <w:rPr>
          <w:rFonts w:ascii="Times New Roman" w:hAnsi="Times New Roman" w:cs="Times New Roman"/>
          <w:sz w:val="24"/>
          <w:szCs w:val="24"/>
        </w:rPr>
        <w:t>t, removal of the reference to “</w:t>
      </w:r>
      <w:r w:rsidR="00270929">
        <w:rPr>
          <w:rFonts w:ascii="Times New Roman" w:hAnsi="Times New Roman" w:cs="Times New Roman"/>
          <w:sz w:val="24"/>
          <w:szCs w:val="24"/>
        </w:rPr>
        <w:t xml:space="preserve">undistorted </w:t>
      </w:r>
      <w:r w:rsidR="00DB56A3">
        <w:rPr>
          <w:rFonts w:ascii="Times New Roman" w:hAnsi="Times New Roman" w:cs="Times New Roman"/>
          <w:sz w:val="24"/>
          <w:szCs w:val="24"/>
        </w:rPr>
        <w:t>competition”</w:t>
      </w:r>
      <w:r w:rsidR="00270929">
        <w:rPr>
          <w:rFonts w:ascii="Times New Roman" w:hAnsi="Times New Roman" w:cs="Times New Roman"/>
          <w:sz w:val="24"/>
          <w:szCs w:val="24"/>
        </w:rPr>
        <w:t xml:space="preserve"> from Article 3 TEU’s description of the internal market marked a clear turn towards social values as constraints on the pursuit of economic goals.</w:t>
      </w:r>
      <w:r w:rsidR="00270929">
        <w:rPr>
          <w:rStyle w:val="FootnoteReference"/>
          <w:rFonts w:ascii="Times New Roman" w:hAnsi="Times New Roman" w:cs="Times New Roman"/>
          <w:sz w:val="24"/>
          <w:szCs w:val="24"/>
        </w:rPr>
        <w:footnoteReference w:id="239"/>
      </w:r>
    </w:p>
    <w:p w:rsidR="00336738" w:rsidRDefault="00336738" w:rsidP="0033673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contrast to the current functional distinction between the internal market and EU social policy, </w:t>
      </w:r>
      <w:r w:rsidR="007925F0">
        <w:rPr>
          <w:rFonts w:ascii="Times New Roman" w:hAnsi="Times New Roman" w:cs="Times New Roman"/>
          <w:sz w:val="24"/>
          <w:szCs w:val="24"/>
        </w:rPr>
        <w:t xml:space="preserve">Article 7 TFEU </w:t>
      </w:r>
      <w:r w:rsidR="00730B0E">
        <w:rPr>
          <w:rFonts w:ascii="Times New Roman" w:hAnsi="Times New Roman" w:cs="Times New Roman"/>
          <w:sz w:val="24"/>
          <w:szCs w:val="24"/>
        </w:rPr>
        <w:t>seeks to avoid</w:t>
      </w:r>
      <w:r w:rsidR="007925F0">
        <w:rPr>
          <w:rFonts w:ascii="Times New Roman" w:hAnsi="Times New Roman" w:cs="Times New Roman"/>
          <w:sz w:val="24"/>
          <w:szCs w:val="24"/>
        </w:rPr>
        <w:t xml:space="preserve"> compartmentalisation of the Treaties’ policy</w:t>
      </w:r>
      <w:r w:rsidR="00DB56A3">
        <w:rPr>
          <w:rFonts w:ascii="Times New Roman" w:hAnsi="Times New Roman" w:cs="Times New Roman"/>
          <w:sz w:val="24"/>
          <w:szCs w:val="24"/>
        </w:rPr>
        <w:t xml:space="preserve"> areas, requiring the Union to “</w:t>
      </w:r>
      <w:r w:rsidR="007925F0">
        <w:rPr>
          <w:rFonts w:ascii="Times New Roman" w:hAnsi="Times New Roman" w:cs="Times New Roman"/>
          <w:sz w:val="24"/>
          <w:szCs w:val="24"/>
        </w:rPr>
        <w:t>ensure consistency between all of its policies and activities, taking all</w:t>
      </w:r>
      <w:r w:rsidR="00DB56A3">
        <w:rPr>
          <w:rFonts w:ascii="Times New Roman" w:hAnsi="Times New Roman" w:cs="Times New Roman"/>
          <w:sz w:val="24"/>
          <w:szCs w:val="24"/>
        </w:rPr>
        <w:t xml:space="preserve"> of its objectives into account”</w:t>
      </w:r>
      <w:r w:rsidR="007925F0">
        <w:rPr>
          <w:rFonts w:ascii="Times New Roman" w:hAnsi="Times New Roman" w:cs="Times New Roman"/>
          <w:sz w:val="24"/>
          <w:szCs w:val="24"/>
        </w:rPr>
        <w:t xml:space="preserve">. More substantively, the </w:t>
      </w:r>
      <w:r w:rsidR="00992974">
        <w:rPr>
          <w:rFonts w:ascii="Times New Roman" w:hAnsi="Times New Roman" w:cs="Times New Roman"/>
          <w:sz w:val="24"/>
          <w:szCs w:val="24"/>
        </w:rPr>
        <w:t>TFEU’s horizontal clauses require the Union to take the principles of gender equality,</w:t>
      </w:r>
      <w:r w:rsidR="007925F0">
        <w:rPr>
          <w:rStyle w:val="FootnoteReference"/>
          <w:rFonts w:ascii="Times New Roman" w:hAnsi="Times New Roman" w:cs="Times New Roman"/>
          <w:sz w:val="24"/>
          <w:szCs w:val="24"/>
        </w:rPr>
        <w:footnoteReference w:id="240"/>
      </w:r>
      <w:r w:rsidR="00992974">
        <w:rPr>
          <w:rFonts w:ascii="Times New Roman" w:hAnsi="Times New Roman" w:cs="Times New Roman"/>
          <w:sz w:val="24"/>
          <w:szCs w:val="24"/>
        </w:rPr>
        <w:t xml:space="preserve"> non-discrimination,</w:t>
      </w:r>
      <w:r w:rsidR="007925F0">
        <w:rPr>
          <w:rStyle w:val="FootnoteReference"/>
          <w:rFonts w:ascii="Times New Roman" w:hAnsi="Times New Roman" w:cs="Times New Roman"/>
          <w:sz w:val="24"/>
          <w:szCs w:val="24"/>
        </w:rPr>
        <w:footnoteReference w:id="241"/>
      </w:r>
      <w:r w:rsidR="00992974">
        <w:rPr>
          <w:rFonts w:ascii="Times New Roman" w:hAnsi="Times New Roman" w:cs="Times New Roman"/>
          <w:sz w:val="24"/>
          <w:szCs w:val="24"/>
        </w:rPr>
        <w:t xml:space="preserve"> environmental protection,</w:t>
      </w:r>
      <w:r w:rsidR="007925F0">
        <w:rPr>
          <w:rStyle w:val="FootnoteReference"/>
          <w:rFonts w:ascii="Times New Roman" w:hAnsi="Times New Roman" w:cs="Times New Roman"/>
          <w:sz w:val="24"/>
          <w:szCs w:val="24"/>
        </w:rPr>
        <w:footnoteReference w:id="242"/>
      </w:r>
      <w:r w:rsidR="00992974">
        <w:rPr>
          <w:rFonts w:ascii="Times New Roman" w:hAnsi="Times New Roman" w:cs="Times New Roman"/>
          <w:sz w:val="24"/>
          <w:szCs w:val="24"/>
        </w:rPr>
        <w:t xml:space="preserve"> </w:t>
      </w:r>
      <w:r w:rsidR="007925F0">
        <w:rPr>
          <w:rFonts w:ascii="Times New Roman" w:hAnsi="Times New Roman" w:cs="Times New Roman"/>
          <w:sz w:val="24"/>
          <w:szCs w:val="24"/>
        </w:rPr>
        <w:t>and consumer protection</w:t>
      </w:r>
      <w:r w:rsidR="007925F0">
        <w:rPr>
          <w:rStyle w:val="FootnoteReference"/>
          <w:rFonts w:ascii="Times New Roman" w:hAnsi="Times New Roman" w:cs="Times New Roman"/>
          <w:sz w:val="24"/>
          <w:szCs w:val="24"/>
        </w:rPr>
        <w:footnoteReference w:id="243"/>
      </w:r>
      <w:r w:rsidR="007925F0">
        <w:rPr>
          <w:rFonts w:ascii="Times New Roman" w:hAnsi="Times New Roman" w:cs="Times New Roman"/>
          <w:sz w:val="24"/>
          <w:szCs w:val="24"/>
        </w:rPr>
        <w:t xml:space="preserve"> into account in the formulation and implementation of its p</w:t>
      </w:r>
      <w:r w:rsidR="00730B0E">
        <w:rPr>
          <w:rFonts w:ascii="Times New Roman" w:hAnsi="Times New Roman" w:cs="Times New Roman"/>
          <w:sz w:val="24"/>
          <w:szCs w:val="24"/>
        </w:rPr>
        <w:t>olicies and activities. S</w:t>
      </w:r>
      <w:r w:rsidR="003033A7">
        <w:rPr>
          <w:rFonts w:ascii="Times New Roman" w:hAnsi="Times New Roman" w:cs="Times New Roman"/>
          <w:sz w:val="24"/>
          <w:szCs w:val="24"/>
        </w:rPr>
        <w:t>ignificant</w:t>
      </w:r>
      <w:r w:rsidR="007925F0">
        <w:rPr>
          <w:rFonts w:ascii="Times New Roman" w:hAnsi="Times New Roman" w:cs="Times New Roman"/>
          <w:sz w:val="24"/>
          <w:szCs w:val="24"/>
        </w:rPr>
        <w:t>ly</w:t>
      </w:r>
      <w:r w:rsidR="003033A7">
        <w:rPr>
          <w:rFonts w:ascii="Times New Roman" w:hAnsi="Times New Roman" w:cs="Times New Roman"/>
          <w:sz w:val="24"/>
          <w:szCs w:val="24"/>
        </w:rPr>
        <w:t xml:space="preserve">, </w:t>
      </w:r>
      <w:r w:rsidR="007925F0">
        <w:rPr>
          <w:rFonts w:ascii="Times New Roman" w:hAnsi="Times New Roman" w:cs="Times New Roman"/>
          <w:sz w:val="24"/>
          <w:szCs w:val="24"/>
        </w:rPr>
        <w:t>the</w:t>
      </w:r>
      <w:r w:rsidR="00730B0E">
        <w:rPr>
          <w:rFonts w:ascii="Times New Roman" w:hAnsi="Times New Roman" w:cs="Times New Roman"/>
          <w:sz w:val="24"/>
          <w:szCs w:val="24"/>
        </w:rPr>
        <w:t xml:space="preserve"> Article 9 TFEU</w:t>
      </w:r>
      <w:r w:rsidR="00DB56A3">
        <w:rPr>
          <w:rFonts w:ascii="Times New Roman" w:hAnsi="Times New Roman" w:cs="Times New Roman"/>
          <w:sz w:val="24"/>
          <w:szCs w:val="24"/>
        </w:rPr>
        <w:t xml:space="preserve"> “horizontal social clause”</w:t>
      </w:r>
      <w:r w:rsidR="007925F0">
        <w:rPr>
          <w:rStyle w:val="FootnoteReference"/>
          <w:rFonts w:ascii="Times New Roman" w:hAnsi="Times New Roman" w:cs="Times New Roman"/>
          <w:sz w:val="24"/>
          <w:szCs w:val="24"/>
        </w:rPr>
        <w:footnoteReference w:id="244"/>
      </w:r>
      <w:r w:rsidR="00730B0E">
        <w:rPr>
          <w:rFonts w:ascii="Times New Roman" w:hAnsi="Times New Roman" w:cs="Times New Roman"/>
          <w:sz w:val="24"/>
          <w:szCs w:val="24"/>
        </w:rPr>
        <w:t xml:space="preserve"> </w:t>
      </w:r>
      <w:r w:rsidR="00DB56A3">
        <w:rPr>
          <w:rFonts w:ascii="Times New Roman" w:hAnsi="Times New Roman" w:cs="Times New Roman"/>
          <w:sz w:val="24"/>
          <w:szCs w:val="24"/>
        </w:rPr>
        <w:t>obliges the Union to “</w:t>
      </w:r>
      <w:r w:rsidR="00771859">
        <w:rPr>
          <w:rFonts w:ascii="Times New Roman" w:hAnsi="Times New Roman" w:cs="Times New Roman"/>
          <w:sz w:val="24"/>
          <w:szCs w:val="24"/>
        </w:rPr>
        <w:t>take into account the requirements linked to the promotion of a high level of employment, the guarantee of adequate social protection, the fight again</w:t>
      </w:r>
      <w:r w:rsidR="005F6D46">
        <w:rPr>
          <w:rFonts w:ascii="Times New Roman" w:hAnsi="Times New Roman" w:cs="Times New Roman"/>
          <w:sz w:val="24"/>
          <w:szCs w:val="24"/>
        </w:rPr>
        <w:t>st social exclusion and a high level of education, training</w:t>
      </w:r>
      <w:r w:rsidR="00DB56A3">
        <w:rPr>
          <w:rFonts w:ascii="Times New Roman" w:hAnsi="Times New Roman" w:cs="Times New Roman"/>
          <w:sz w:val="24"/>
          <w:szCs w:val="24"/>
        </w:rPr>
        <w:t xml:space="preserve"> and protection of human health”</w:t>
      </w:r>
      <w:r w:rsidR="00771859">
        <w:rPr>
          <w:rFonts w:ascii="Times New Roman" w:hAnsi="Times New Roman" w:cs="Times New Roman"/>
          <w:sz w:val="24"/>
          <w:szCs w:val="24"/>
        </w:rPr>
        <w:t xml:space="preserve"> </w:t>
      </w:r>
      <w:r w:rsidR="005F6D46">
        <w:rPr>
          <w:rFonts w:ascii="Times New Roman" w:hAnsi="Times New Roman" w:cs="Times New Roman"/>
          <w:sz w:val="24"/>
          <w:szCs w:val="24"/>
        </w:rPr>
        <w:t>in the definition and implementation of its policies and activities.</w:t>
      </w:r>
      <w:r w:rsidR="00730B0E">
        <w:rPr>
          <w:rFonts w:ascii="Times New Roman" w:hAnsi="Times New Roman" w:cs="Times New Roman"/>
          <w:sz w:val="24"/>
          <w:szCs w:val="24"/>
        </w:rPr>
        <w:t xml:space="preserve"> </w:t>
      </w:r>
      <w:r w:rsidR="006C37DC">
        <w:rPr>
          <w:rFonts w:ascii="Times New Roman" w:hAnsi="Times New Roman" w:cs="Times New Roman"/>
          <w:sz w:val="24"/>
          <w:szCs w:val="24"/>
        </w:rPr>
        <w:t>Finally, the Lisbon Treaty</w:t>
      </w:r>
      <w:r w:rsidR="007925F0">
        <w:rPr>
          <w:rFonts w:ascii="Times New Roman" w:hAnsi="Times New Roman" w:cs="Times New Roman"/>
          <w:sz w:val="24"/>
          <w:szCs w:val="24"/>
        </w:rPr>
        <w:t xml:space="preserve"> confers primary legal status upon the Charter of Fundamental Rights</w:t>
      </w:r>
      <w:r w:rsidR="006C37DC">
        <w:rPr>
          <w:rFonts w:ascii="Times New Roman" w:hAnsi="Times New Roman" w:cs="Times New Roman"/>
          <w:sz w:val="24"/>
          <w:szCs w:val="24"/>
        </w:rPr>
        <w:t>.</w:t>
      </w:r>
      <w:r w:rsidR="006C37DC">
        <w:rPr>
          <w:rStyle w:val="FootnoteReference"/>
          <w:rFonts w:ascii="Times New Roman" w:hAnsi="Times New Roman" w:cs="Times New Roman"/>
          <w:sz w:val="24"/>
          <w:szCs w:val="24"/>
        </w:rPr>
        <w:footnoteReference w:id="245"/>
      </w:r>
      <w:r w:rsidR="007925F0">
        <w:rPr>
          <w:rFonts w:ascii="Times New Roman" w:hAnsi="Times New Roman" w:cs="Times New Roman"/>
          <w:sz w:val="24"/>
          <w:szCs w:val="24"/>
        </w:rPr>
        <w:t xml:space="preserve"> This arguably concretises the place of the EU’s social goals within its constitutional framework, since the Charter seeks equal status across civil and political, and economic and social rights.</w:t>
      </w:r>
      <w:r w:rsidR="007925F0">
        <w:rPr>
          <w:rStyle w:val="FootnoteReference"/>
          <w:rFonts w:ascii="Times New Roman" w:hAnsi="Times New Roman" w:cs="Times New Roman"/>
          <w:sz w:val="24"/>
          <w:szCs w:val="24"/>
        </w:rPr>
        <w:footnoteReference w:id="246"/>
      </w:r>
    </w:p>
    <w:p w:rsidR="00237D1D" w:rsidRDefault="00AB7B18" w:rsidP="00336738">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Accordingly, the EU’s contemporary constitutional framework, as represented in its values,</w:t>
      </w:r>
      <w:r w:rsidR="00DB56A3">
        <w:rPr>
          <w:rFonts w:ascii="Times New Roman" w:hAnsi="Times New Roman" w:cs="Times New Roman"/>
          <w:sz w:val="24"/>
          <w:szCs w:val="24"/>
        </w:rPr>
        <w:t xml:space="preserve"> tasks and human rights agenda “</w:t>
      </w:r>
      <w:r>
        <w:rPr>
          <w:rFonts w:ascii="Times New Roman" w:hAnsi="Times New Roman" w:cs="Times New Roman"/>
          <w:sz w:val="24"/>
          <w:szCs w:val="24"/>
        </w:rPr>
        <w:t>establishes new constitutional demands</w:t>
      </w:r>
      <w:r w:rsidR="00DB56A3">
        <w:rPr>
          <w:rFonts w:ascii="Times New Roman" w:hAnsi="Times New Roman" w:cs="Times New Roman"/>
          <w:sz w:val="24"/>
          <w:szCs w:val="24"/>
        </w:rPr>
        <w:t>”</w:t>
      </w:r>
      <w:r>
        <w:rPr>
          <w:rFonts w:ascii="Times New Roman" w:hAnsi="Times New Roman" w:cs="Times New Roman"/>
          <w:sz w:val="24"/>
          <w:szCs w:val="24"/>
        </w:rPr>
        <w:t xml:space="preserve"> that require economic integration to be embedded with social aims and the internal market to be reined in by the Union’s social values.</w:t>
      </w:r>
      <w:r>
        <w:rPr>
          <w:rStyle w:val="FootnoteReference"/>
          <w:rFonts w:ascii="Times New Roman" w:hAnsi="Times New Roman" w:cs="Times New Roman"/>
          <w:sz w:val="24"/>
          <w:szCs w:val="24"/>
        </w:rPr>
        <w:footnoteReference w:id="247"/>
      </w:r>
      <w:r>
        <w:rPr>
          <w:rFonts w:ascii="Times New Roman" w:hAnsi="Times New Roman" w:cs="Times New Roman"/>
          <w:sz w:val="24"/>
          <w:szCs w:val="24"/>
        </w:rPr>
        <w:t xml:space="preserve"> </w:t>
      </w:r>
      <w:r w:rsidR="00237D1D">
        <w:rPr>
          <w:rFonts w:ascii="Times New Roman" w:hAnsi="Times New Roman" w:cs="Times New Roman"/>
          <w:sz w:val="24"/>
          <w:szCs w:val="24"/>
        </w:rPr>
        <w:t>Against this backdrop, clashes between the primary free movement provisions and domestic social policies ca</w:t>
      </w:r>
      <w:r w:rsidR="003529CC">
        <w:rPr>
          <w:rFonts w:ascii="Times New Roman" w:hAnsi="Times New Roman" w:cs="Times New Roman"/>
          <w:sz w:val="24"/>
          <w:szCs w:val="24"/>
        </w:rPr>
        <w:t>n no longer be conceptualised simp</w:t>
      </w:r>
      <w:r w:rsidR="00237D1D">
        <w:rPr>
          <w:rFonts w:ascii="Times New Roman" w:hAnsi="Times New Roman" w:cs="Times New Roman"/>
          <w:sz w:val="24"/>
          <w:szCs w:val="24"/>
        </w:rPr>
        <w:t xml:space="preserve">ly as </w:t>
      </w:r>
      <w:r w:rsidR="003529CC">
        <w:rPr>
          <w:rFonts w:ascii="Times New Roman" w:hAnsi="Times New Roman" w:cs="Times New Roman"/>
          <w:sz w:val="24"/>
          <w:szCs w:val="24"/>
        </w:rPr>
        <w:t>conflicts</w:t>
      </w:r>
      <w:r w:rsidR="00237D1D">
        <w:rPr>
          <w:rFonts w:ascii="Times New Roman" w:hAnsi="Times New Roman" w:cs="Times New Roman"/>
          <w:sz w:val="24"/>
          <w:szCs w:val="24"/>
        </w:rPr>
        <w:t xml:space="preserve"> between EU law and national rules. They must also be understood as representing </w:t>
      </w:r>
      <w:r w:rsidR="00237D1D">
        <w:rPr>
          <w:rFonts w:ascii="Times New Roman" w:hAnsi="Times New Roman" w:cs="Times New Roman"/>
          <w:sz w:val="24"/>
          <w:szCs w:val="24"/>
        </w:rPr>
        <w:lastRenderedPageBreak/>
        <w:t>tensions between competing Union goals</w:t>
      </w:r>
      <w:r w:rsidR="000B2A63">
        <w:rPr>
          <w:rFonts w:ascii="Times New Roman" w:hAnsi="Times New Roman" w:cs="Times New Roman"/>
          <w:sz w:val="24"/>
          <w:szCs w:val="24"/>
        </w:rPr>
        <w:t>, which cannot continue to be treated as functionally distinct</w:t>
      </w:r>
      <w:r w:rsidR="00237D1D">
        <w:rPr>
          <w:rFonts w:ascii="Times New Roman" w:hAnsi="Times New Roman" w:cs="Times New Roman"/>
          <w:sz w:val="24"/>
          <w:szCs w:val="24"/>
        </w:rPr>
        <w:t xml:space="preserve">. </w:t>
      </w:r>
      <w:r w:rsidR="003529CC">
        <w:rPr>
          <w:rFonts w:ascii="Times New Roman" w:hAnsi="Times New Roman" w:cs="Times New Roman"/>
          <w:sz w:val="24"/>
          <w:szCs w:val="24"/>
        </w:rPr>
        <w:t>A</w:t>
      </w:r>
      <w:r w:rsidR="00237D1D" w:rsidRPr="004F6FA9">
        <w:rPr>
          <w:rFonts w:ascii="Times New Roman" w:hAnsi="Times New Roman" w:cs="Times New Roman"/>
          <w:sz w:val="24"/>
          <w:szCs w:val="24"/>
        </w:rPr>
        <w:t xml:space="preserve">s </w:t>
      </w:r>
      <w:proofErr w:type="spellStart"/>
      <w:r w:rsidR="00237D1D" w:rsidRPr="004F6FA9">
        <w:rPr>
          <w:rFonts w:ascii="Times New Roman" w:hAnsi="Times New Roman" w:cs="Times New Roman"/>
          <w:sz w:val="24"/>
          <w:szCs w:val="24"/>
        </w:rPr>
        <w:t>Poiares</w:t>
      </w:r>
      <w:proofErr w:type="spellEnd"/>
      <w:r w:rsidR="00237D1D" w:rsidRPr="004F6FA9">
        <w:rPr>
          <w:rFonts w:ascii="Times New Roman" w:hAnsi="Times New Roman" w:cs="Times New Roman"/>
          <w:sz w:val="24"/>
          <w:szCs w:val="24"/>
        </w:rPr>
        <w:t xml:space="preserve"> Maduro noted far before the arrival of the Lisbon Treaty:</w:t>
      </w:r>
    </w:p>
    <w:p w:rsidR="00DB56A3" w:rsidRPr="004F6FA9" w:rsidRDefault="00DB56A3" w:rsidP="00336738">
      <w:pPr>
        <w:pStyle w:val="NoSpacing"/>
        <w:spacing w:line="360" w:lineRule="auto"/>
        <w:ind w:firstLine="284"/>
        <w:jc w:val="both"/>
        <w:rPr>
          <w:rFonts w:ascii="Times New Roman" w:hAnsi="Times New Roman" w:cs="Times New Roman"/>
          <w:sz w:val="24"/>
          <w:szCs w:val="24"/>
        </w:rPr>
      </w:pPr>
    </w:p>
    <w:p w:rsidR="00237D1D" w:rsidRPr="004F6FA9" w:rsidRDefault="00237D1D" w:rsidP="002F33D2">
      <w:pPr>
        <w:pStyle w:val="NoSpacing"/>
        <w:spacing w:line="360" w:lineRule="auto"/>
        <w:jc w:val="both"/>
        <w:rPr>
          <w:rFonts w:ascii="Times New Roman" w:hAnsi="Times New Roman" w:cs="Times New Roman"/>
          <w:sz w:val="24"/>
          <w:szCs w:val="24"/>
        </w:rPr>
      </w:pPr>
    </w:p>
    <w:p w:rsidR="00237D1D" w:rsidRDefault="00DB56A3" w:rsidP="002F33D2">
      <w:pPr>
        <w:pStyle w:val="NoSpacing"/>
        <w:spacing w:line="360" w:lineRule="auto"/>
        <w:ind w:right="-22"/>
        <w:jc w:val="both"/>
        <w:rPr>
          <w:rFonts w:ascii="Times New Roman" w:hAnsi="Times New Roman" w:cs="Times New Roman"/>
          <w:sz w:val="24"/>
          <w:szCs w:val="24"/>
        </w:rPr>
      </w:pPr>
      <w:r w:rsidRPr="00DB56A3">
        <w:rPr>
          <w:rFonts w:ascii="Times New Roman" w:hAnsi="Times New Roman" w:cs="Times New Roman"/>
          <w:sz w:val="24"/>
          <w:szCs w:val="24"/>
        </w:rPr>
        <w:t>“</w:t>
      </w:r>
      <w:r w:rsidR="00237D1D" w:rsidRPr="00DB56A3">
        <w:rPr>
          <w:rFonts w:ascii="Times New Roman" w:hAnsi="Times New Roman" w:cs="Times New Roman"/>
          <w:sz w:val="24"/>
          <w:szCs w:val="24"/>
        </w:rPr>
        <w:t xml:space="preserve">[W]hen market integration [challenges] the regulatory powers of the States, which are in many cases aimed at protecting…social rights, such as the right to education, health and social protection, fair working conditions, minimum income, and, in a broader sense, ‘other ‘social’ rights, such as consumer and environmental protection [it also </w:t>
      </w:r>
      <w:r w:rsidR="003529CC" w:rsidRPr="00DB56A3">
        <w:rPr>
          <w:rFonts w:ascii="Times New Roman" w:hAnsi="Times New Roman" w:cs="Times New Roman"/>
          <w:sz w:val="24"/>
          <w:szCs w:val="24"/>
        </w:rPr>
        <w:t>clashes with] many of [the] rights…</w:t>
      </w:r>
      <w:r w:rsidR="00237D1D" w:rsidRPr="00DB56A3">
        <w:rPr>
          <w:rFonts w:ascii="Times New Roman" w:hAnsi="Times New Roman" w:cs="Times New Roman"/>
          <w:sz w:val="24"/>
          <w:szCs w:val="24"/>
        </w:rPr>
        <w:t>recognised in the Treaties as goals of the European Union</w:t>
      </w:r>
      <w:r w:rsidRPr="00DB56A3">
        <w:rPr>
          <w:rFonts w:ascii="Times New Roman" w:hAnsi="Times New Roman" w:cs="Times New Roman"/>
          <w:sz w:val="24"/>
          <w:szCs w:val="24"/>
        </w:rPr>
        <w:t>”</w:t>
      </w:r>
      <w:r w:rsidR="00237D1D" w:rsidRPr="00DB56A3">
        <w:rPr>
          <w:rFonts w:ascii="Times New Roman" w:hAnsi="Times New Roman" w:cs="Times New Roman"/>
          <w:sz w:val="24"/>
          <w:szCs w:val="24"/>
        </w:rPr>
        <w:t>.</w:t>
      </w:r>
      <w:r w:rsidR="00237D1D" w:rsidRPr="00DB56A3">
        <w:rPr>
          <w:rStyle w:val="FootnoteReference"/>
          <w:rFonts w:ascii="Times New Roman" w:hAnsi="Times New Roman" w:cs="Times New Roman"/>
          <w:sz w:val="24"/>
          <w:szCs w:val="24"/>
        </w:rPr>
        <w:footnoteReference w:id="248"/>
      </w:r>
    </w:p>
    <w:p w:rsidR="00102EDD" w:rsidRDefault="00102EDD" w:rsidP="002F33D2">
      <w:pPr>
        <w:pStyle w:val="NoSpacing"/>
        <w:spacing w:line="360" w:lineRule="auto"/>
        <w:ind w:right="-22"/>
        <w:jc w:val="both"/>
        <w:rPr>
          <w:rFonts w:ascii="Times New Roman" w:hAnsi="Times New Roman" w:cs="Times New Roman"/>
          <w:sz w:val="24"/>
          <w:szCs w:val="24"/>
        </w:rPr>
      </w:pPr>
    </w:p>
    <w:p w:rsidR="00102EDD" w:rsidRPr="00DB56A3" w:rsidRDefault="00102EDD" w:rsidP="002F33D2">
      <w:pPr>
        <w:pStyle w:val="NoSpacing"/>
        <w:spacing w:line="360" w:lineRule="auto"/>
        <w:ind w:right="-22"/>
        <w:jc w:val="both"/>
        <w:rPr>
          <w:rFonts w:ascii="Times New Roman" w:hAnsi="Times New Roman" w:cs="Times New Roman"/>
          <w:sz w:val="24"/>
          <w:szCs w:val="24"/>
        </w:rPr>
      </w:pPr>
    </w:p>
    <w:p w:rsidR="00DB56A3" w:rsidRDefault="00C67AF2" w:rsidP="006B45CD">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rPr>
        <w:t>Accordingly,</w:t>
      </w:r>
      <w:r w:rsidR="003529CC">
        <w:rPr>
          <w:rFonts w:ascii="Times New Roman" w:hAnsi="Times New Roman" w:cs="Times New Roman"/>
          <w:sz w:val="24"/>
        </w:rPr>
        <w:t xml:space="preserve"> while Member States</w:t>
      </w:r>
      <w:r w:rsidR="00F71BBF" w:rsidRPr="004F6FA9">
        <w:rPr>
          <w:rFonts w:ascii="Times New Roman" w:hAnsi="Times New Roman" w:cs="Times New Roman"/>
          <w:sz w:val="24"/>
        </w:rPr>
        <w:t xml:space="preserve"> pursue their own social</w:t>
      </w:r>
      <w:r w:rsidR="003529CC">
        <w:rPr>
          <w:rFonts w:ascii="Times New Roman" w:hAnsi="Times New Roman" w:cs="Times New Roman"/>
          <w:sz w:val="24"/>
        </w:rPr>
        <w:t xml:space="preserve"> integration goals through</w:t>
      </w:r>
      <w:r w:rsidR="00F71BBF" w:rsidRPr="004F6FA9">
        <w:rPr>
          <w:rFonts w:ascii="Times New Roman" w:hAnsi="Times New Roman" w:cs="Times New Roman"/>
          <w:sz w:val="24"/>
        </w:rPr>
        <w:t xml:space="preserve"> domestic social policies, their </w:t>
      </w:r>
      <w:r>
        <w:rPr>
          <w:rFonts w:ascii="Times New Roman" w:hAnsi="Times New Roman" w:cs="Times New Roman"/>
          <w:sz w:val="24"/>
        </w:rPr>
        <w:t>more-established</w:t>
      </w:r>
      <w:r w:rsidR="00F71BBF" w:rsidRPr="004F6FA9">
        <w:rPr>
          <w:rFonts w:ascii="Times New Roman" w:hAnsi="Times New Roman" w:cs="Times New Roman"/>
          <w:sz w:val="24"/>
        </w:rPr>
        <w:t xml:space="preserve"> legitimacy also makes them well-positioned to act as agents for the Union’s social integration goals</w:t>
      </w:r>
      <w:r w:rsidR="003529CC">
        <w:rPr>
          <w:rFonts w:ascii="Times New Roman" w:hAnsi="Times New Roman" w:cs="Times New Roman"/>
          <w:sz w:val="24"/>
        </w:rPr>
        <w:t>, with</w:t>
      </w:r>
      <w:r w:rsidR="00F71BBF" w:rsidRPr="004F6FA9">
        <w:rPr>
          <w:rFonts w:ascii="Times New Roman" w:hAnsi="Times New Roman" w:cs="Times New Roman"/>
          <w:sz w:val="24"/>
        </w:rPr>
        <w:t xml:space="preserve"> would otherwise be constrained by the economic/social dichotomy. As Armstrong puts it</w:t>
      </w:r>
      <w:r w:rsidR="00F71BBF" w:rsidRPr="00DB56A3">
        <w:rPr>
          <w:rFonts w:ascii="Times New Roman" w:hAnsi="Times New Roman" w:cs="Times New Roman"/>
          <w:sz w:val="24"/>
          <w:szCs w:val="24"/>
        </w:rPr>
        <w:t xml:space="preserve">: </w:t>
      </w:r>
      <w:r w:rsidR="00DB56A3">
        <w:rPr>
          <w:rFonts w:ascii="Times New Roman" w:hAnsi="Times New Roman" w:cs="Times New Roman"/>
          <w:sz w:val="24"/>
          <w:szCs w:val="24"/>
        </w:rPr>
        <w:t>“</w:t>
      </w:r>
      <w:r w:rsidR="00DB56A3" w:rsidRPr="00DB56A3">
        <w:rPr>
          <w:rFonts w:ascii="Times New Roman" w:hAnsi="Times New Roman" w:cs="Times New Roman"/>
          <w:sz w:val="24"/>
          <w:szCs w:val="24"/>
        </w:rPr>
        <w:t>[</w:t>
      </w:r>
      <w:proofErr w:type="spellStart"/>
      <w:r w:rsidR="00DB56A3" w:rsidRPr="00DB56A3">
        <w:rPr>
          <w:rFonts w:ascii="Times New Roman" w:hAnsi="Times New Roman" w:cs="Times New Roman"/>
          <w:sz w:val="24"/>
          <w:szCs w:val="24"/>
        </w:rPr>
        <w:t>i</w:t>
      </w:r>
      <w:proofErr w:type="spellEnd"/>
      <w:r w:rsidR="00DB56A3" w:rsidRPr="00DB56A3">
        <w:rPr>
          <w:rFonts w:ascii="Times New Roman" w:hAnsi="Times New Roman" w:cs="Times New Roman"/>
          <w:sz w:val="24"/>
          <w:szCs w:val="24"/>
        </w:rPr>
        <w:t>]</w:t>
      </w:r>
      <w:proofErr w:type="spellStart"/>
      <w:r w:rsidR="00F71BBF" w:rsidRPr="00DB56A3">
        <w:rPr>
          <w:rFonts w:ascii="Times New Roman" w:hAnsi="Times New Roman" w:cs="Times New Roman"/>
          <w:sz w:val="24"/>
          <w:szCs w:val="24"/>
        </w:rPr>
        <w:t>nstead</w:t>
      </w:r>
      <w:proofErr w:type="spellEnd"/>
      <w:r w:rsidR="00F71BBF" w:rsidRPr="00DB56A3">
        <w:rPr>
          <w:rFonts w:ascii="Times New Roman" w:hAnsi="Times New Roman" w:cs="Times New Roman"/>
          <w:sz w:val="24"/>
          <w:szCs w:val="24"/>
        </w:rPr>
        <w:t xml:space="preserve"> of leaving social solidarity in a sort of constitutional limbo, one might look to the continuing realisation of social solidarity within the boundaries of the nation state but buttressed and reinforced by the interaction between the domestic and European levels</w:t>
      </w:r>
      <w:r w:rsidR="00DB56A3">
        <w:rPr>
          <w:rFonts w:ascii="Times New Roman" w:hAnsi="Times New Roman" w:cs="Times New Roman"/>
          <w:sz w:val="24"/>
          <w:szCs w:val="24"/>
        </w:rPr>
        <w:t>”</w:t>
      </w:r>
      <w:r w:rsidR="00F71BBF" w:rsidRPr="00DB56A3">
        <w:rPr>
          <w:rFonts w:ascii="Times New Roman" w:hAnsi="Times New Roman" w:cs="Times New Roman"/>
          <w:sz w:val="24"/>
          <w:szCs w:val="24"/>
        </w:rPr>
        <w:t>.</w:t>
      </w:r>
      <w:r w:rsidR="00F71BBF" w:rsidRPr="00DB56A3">
        <w:rPr>
          <w:rStyle w:val="FootnoteReference"/>
          <w:rFonts w:ascii="Times New Roman" w:hAnsi="Times New Roman" w:cs="Times New Roman"/>
          <w:sz w:val="24"/>
          <w:szCs w:val="24"/>
        </w:rPr>
        <w:footnoteReference w:id="249"/>
      </w:r>
      <w:r w:rsidR="00DB56A3">
        <w:rPr>
          <w:rFonts w:ascii="Times New Roman" w:hAnsi="Times New Roman" w:cs="Times New Roman"/>
          <w:sz w:val="24"/>
          <w:szCs w:val="24"/>
        </w:rPr>
        <w:t xml:space="preserve"> </w:t>
      </w:r>
      <w:r w:rsidR="00F71BBF" w:rsidRPr="004F6FA9">
        <w:rPr>
          <w:rFonts w:ascii="Times New Roman" w:hAnsi="Times New Roman" w:cs="Times New Roman"/>
          <w:sz w:val="24"/>
          <w:szCs w:val="24"/>
        </w:rPr>
        <w:t xml:space="preserve">Arguably, </w:t>
      </w:r>
      <w:r>
        <w:rPr>
          <w:rFonts w:ascii="Times New Roman" w:hAnsi="Times New Roman" w:cs="Times New Roman"/>
          <w:sz w:val="24"/>
          <w:szCs w:val="24"/>
        </w:rPr>
        <w:t>such an approach is supported by</w:t>
      </w:r>
      <w:r w:rsidR="00F71BBF" w:rsidRPr="004F6FA9">
        <w:rPr>
          <w:rFonts w:ascii="Times New Roman" w:hAnsi="Times New Roman" w:cs="Times New Roman"/>
          <w:sz w:val="24"/>
          <w:szCs w:val="24"/>
        </w:rPr>
        <w:t xml:space="preserve"> Article 2 TEU, which, in identifying values common t</w:t>
      </w:r>
      <w:r w:rsidR="00DB56A3">
        <w:rPr>
          <w:rFonts w:ascii="Times New Roman" w:hAnsi="Times New Roman" w:cs="Times New Roman"/>
          <w:sz w:val="24"/>
          <w:szCs w:val="24"/>
        </w:rPr>
        <w:t>o the EU and its Member States “</w:t>
      </w:r>
      <w:r w:rsidR="00F71BBF" w:rsidRPr="004F6FA9">
        <w:rPr>
          <w:rFonts w:ascii="Times New Roman" w:hAnsi="Times New Roman" w:cs="Times New Roman"/>
          <w:sz w:val="24"/>
          <w:szCs w:val="24"/>
        </w:rPr>
        <w:t>implies the potential for creatin</w:t>
      </w:r>
      <w:r w:rsidR="00DB56A3">
        <w:rPr>
          <w:rFonts w:ascii="Times New Roman" w:hAnsi="Times New Roman" w:cs="Times New Roman"/>
          <w:sz w:val="24"/>
          <w:szCs w:val="24"/>
        </w:rPr>
        <w:t>g a shared constitutional space”</w:t>
      </w:r>
      <w:r w:rsidR="00F71BBF" w:rsidRPr="004F6FA9">
        <w:rPr>
          <w:rFonts w:ascii="Times New Roman" w:hAnsi="Times New Roman" w:cs="Times New Roman"/>
          <w:sz w:val="24"/>
          <w:szCs w:val="24"/>
        </w:rPr>
        <w:t xml:space="preserve"> comprising of both national and EU law.</w:t>
      </w:r>
      <w:r w:rsidR="00F71BBF" w:rsidRPr="004F6FA9">
        <w:rPr>
          <w:rStyle w:val="FootnoteReference"/>
          <w:rFonts w:ascii="Times New Roman" w:hAnsi="Times New Roman" w:cs="Times New Roman"/>
          <w:sz w:val="24"/>
          <w:szCs w:val="24"/>
        </w:rPr>
        <w:footnoteReference w:id="250"/>
      </w:r>
      <w:r w:rsidR="00DB56A3">
        <w:rPr>
          <w:rFonts w:ascii="Times New Roman" w:hAnsi="Times New Roman" w:cs="Times New Roman"/>
          <w:sz w:val="24"/>
          <w:szCs w:val="24"/>
        </w:rPr>
        <w:t xml:space="preserve"> </w:t>
      </w:r>
    </w:p>
    <w:p w:rsidR="00DB56A3" w:rsidRDefault="00237D1D" w:rsidP="00DB56A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Crucially, however, since market integration has principally been judicially-driven,</w:t>
      </w:r>
      <w:r w:rsidR="00563C0C">
        <w:rPr>
          <w:rFonts w:ascii="Times New Roman" w:hAnsi="Times New Roman" w:cs="Times New Roman"/>
          <w:sz w:val="24"/>
          <w:szCs w:val="24"/>
        </w:rPr>
        <w:t xml:space="preserve"> and the economic/social dichotomy still places constraints on the Union’s legislative organs,</w:t>
      </w:r>
      <w:r>
        <w:rPr>
          <w:rFonts w:ascii="Times New Roman" w:hAnsi="Times New Roman" w:cs="Times New Roman"/>
          <w:sz w:val="24"/>
          <w:szCs w:val="24"/>
        </w:rPr>
        <w:t xml:space="preserve"> the EU’s new</w:t>
      </w:r>
      <w:r w:rsidR="003529CC">
        <w:rPr>
          <w:rFonts w:ascii="Times New Roman" w:hAnsi="Times New Roman" w:cs="Times New Roman"/>
          <w:sz w:val="24"/>
          <w:szCs w:val="24"/>
        </w:rPr>
        <w:t xml:space="preserve"> obligations to incorporate </w:t>
      </w:r>
      <w:r>
        <w:rPr>
          <w:rFonts w:ascii="Times New Roman" w:hAnsi="Times New Roman" w:cs="Times New Roman"/>
          <w:sz w:val="24"/>
          <w:szCs w:val="24"/>
        </w:rPr>
        <w:t>social</w:t>
      </w:r>
      <w:r w:rsidR="003529CC">
        <w:rPr>
          <w:rFonts w:ascii="Times New Roman" w:hAnsi="Times New Roman" w:cs="Times New Roman"/>
          <w:sz w:val="24"/>
          <w:szCs w:val="24"/>
        </w:rPr>
        <w:t xml:space="preserve"> issues </w:t>
      </w:r>
      <w:r>
        <w:rPr>
          <w:rFonts w:ascii="Times New Roman" w:hAnsi="Times New Roman" w:cs="Times New Roman"/>
          <w:sz w:val="24"/>
          <w:szCs w:val="24"/>
        </w:rPr>
        <w:t>into the design and implementation of its</w:t>
      </w:r>
      <w:r w:rsidR="003529CC">
        <w:rPr>
          <w:rFonts w:ascii="Times New Roman" w:hAnsi="Times New Roman" w:cs="Times New Roman"/>
          <w:sz w:val="24"/>
          <w:szCs w:val="24"/>
        </w:rPr>
        <w:t xml:space="preserve"> own activities</w:t>
      </w:r>
      <w:r>
        <w:rPr>
          <w:rFonts w:ascii="Times New Roman" w:hAnsi="Times New Roman" w:cs="Times New Roman"/>
          <w:sz w:val="24"/>
          <w:szCs w:val="24"/>
        </w:rPr>
        <w:t xml:space="preserve"> must also apply to the C</w:t>
      </w:r>
      <w:r w:rsidR="00CA3A47">
        <w:rPr>
          <w:rFonts w:ascii="Times New Roman" w:hAnsi="Times New Roman" w:cs="Times New Roman"/>
          <w:sz w:val="24"/>
          <w:szCs w:val="24"/>
        </w:rPr>
        <w:t>ourt</w:t>
      </w:r>
      <w:r>
        <w:rPr>
          <w:rFonts w:ascii="Times New Roman" w:hAnsi="Times New Roman" w:cs="Times New Roman"/>
          <w:sz w:val="24"/>
          <w:szCs w:val="24"/>
        </w:rPr>
        <w:t>.</w:t>
      </w:r>
      <w:r w:rsidR="00AB7B18">
        <w:rPr>
          <w:rFonts w:ascii="Times New Roman" w:hAnsi="Times New Roman" w:cs="Times New Roman"/>
          <w:sz w:val="24"/>
          <w:szCs w:val="24"/>
        </w:rPr>
        <w:t xml:space="preserve"> </w:t>
      </w:r>
      <w:r>
        <w:rPr>
          <w:rFonts w:ascii="Times New Roman" w:hAnsi="Times New Roman" w:cs="Times New Roman"/>
          <w:sz w:val="24"/>
          <w:szCs w:val="24"/>
        </w:rPr>
        <w:t>There is no</w:t>
      </w:r>
      <w:r w:rsidR="00AB7B18">
        <w:rPr>
          <w:rFonts w:ascii="Times New Roman" w:hAnsi="Times New Roman" w:cs="Times New Roman"/>
          <w:sz w:val="24"/>
          <w:szCs w:val="24"/>
        </w:rPr>
        <w:t xml:space="preserve"> </w:t>
      </w:r>
      <w:r w:rsidR="005C01C1">
        <w:rPr>
          <w:rFonts w:ascii="Times New Roman" w:hAnsi="Times New Roman" w:cs="Times New Roman"/>
          <w:sz w:val="24"/>
          <w:szCs w:val="24"/>
        </w:rPr>
        <w:t xml:space="preserve">reason </w:t>
      </w:r>
      <w:r w:rsidR="00DB56A3">
        <w:rPr>
          <w:rFonts w:ascii="Times New Roman" w:hAnsi="Times New Roman" w:cs="Times New Roman"/>
          <w:sz w:val="24"/>
          <w:szCs w:val="24"/>
        </w:rPr>
        <w:t>why this should not be so. Ho</w:t>
      </w:r>
      <w:r w:rsidR="006224F1">
        <w:rPr>
          <w:rFonts w:ascii="Times New Roman" w:hAnsi="Times New Roman" w:cs="Times New Roman"/>
          <w:sz w:val="24"/>
          <w:szCs w:val="24"/>
        </w:rPr>
        <w:t xml:space="preserve">rsley </w:t>
      </w:r>
      <w:r w:rsidR="00425ADD">
        <w:rPr>
          <w:rFonts w:ascii="Times New Roman" w:hAnsi="Times New Roman" w:cs="Times New Roman"/>
          <w:sz w:val="24"/>
          <w:szCs w:val="24"/>
        </w:rPr>
        <w:t>highlights</w:t>
      </w:r>
      <w:r w:rsidR="00AB7B18">
        <w:rPr>
          <w:rFonts w:ascii="Times New Roman" w:hAnsi="Times New Roman" w:cs="Times New Roman"/>
          <w:sz w:val="24"/>
          <w:szCs w:val="24"/>
        </w:rPr>
        <w:t xml:space="preserve"> that </w:t>
      </w:r>
      <w:r w:rsidR="0001463A">
        <w:rPr>
          <w:rFonts w:ascii="Times New Roman" w:hAnsi="Times New Roman" w:cs="Times New Roman"/>
          <w:sz w:val="24"/>
          <w:szCs w:val="24"/>
        </w:rPr>
        <w:t>the Court has made itself a “</w:t>
      </w:r>
      <w:r w:rsidR="00F71BBF">
        <w:rPr>
          <w:rFonts w:ascii="Times New Roman" w:hAnsi="Times New Roman" w:cs="Times New Roman"/>
          <w:sz w:val="24"/>
          <w:szCs w:val="24"/>
        </w:rPr>
        <w:t xml:space="preserve">leading institutional actor in the integration process. A constitutional responsibility to fully engage with the legal limits to Union </w:t>
      </w:r>
      <w:proofErr w:type="spellStart"/>
      <w:r w:rsidR="00F71BBF">
        <w:rPr>
          <w:rFonts w:ascii="Times New Roman" w:hAnsi="Times New Roman" w:cs="Times New Roman"/>
          <w:sz w:val="24"/>
          <w:szCs w:val="24"/>
        </w:rPr>
        <w:t>lawmaking</w:t>
      </w:r>
      <w:proofErr w:type="spellEnd"/>
      <w:r w:rsidR="00F71BBF">
        <w:rPr>
          <w:rFonts w:ascii="Times New Roman" w:hAnsi="Times New Roman" w:cs="Times New Roman"/>
          <w:sz w:val="24"/>
          <w:szCs w:val="24"/>
        </w:rPr>
        <w:t xml:space="preserve"> set out in the Tre</w:t>
      </w:r>
      <w:r w:rsidR="0001463A">
        <w:rPr>
          <w:rFonts w:ascii="Times New Roman" w:hAnsi="Times New Roman" w:cs="Times New Roman"/>
          <w:sz w:val="24"/>
          <w:szCs w:val="24"/>
        </w:rPr>
        <w:t>aties attaches to this decision”</w:t>
      </w:r>
      <w:r w:rsidR="00F71BBF" w:rsidRPr="00F71BBF">
        <w:rPr>
          <w:rFonts w:ascii="Times New Roman" w:hAnsi="Times New Roman" w:cs="Times New Roman"/>
          <w:sz w:val="24"/>
          <w:szCs w:val="24"/>
        </w:rPr>
        <w:t>.</w:t>
      </w:r>
      <w:r w:rsidR="006224F1" w:rsidRPr="00F71BBF">
        <w:rPr>
          <w:rStyle w:val="FootnoteReference"/>
          <w:rFonts w:ascii="Times New Roman" w:hAnsi="Times New Roman" w:cs="Times New Roman"/>
          <w:sz w:val="24"/>
          <w:szCs w:val="24"/>
        </w:rPr>
        <w:footnoteReference w:id="251"/>
      </w:r>
      <w:r w:rsidR="00AB7B18">
        <w:rPr>
          <w:rFonts w:ascii="Times New Roman" w:hAnsi="Times New Roman" w:cs="Times New Roman"/>
          <w:sz w:val="24"/>
          <w:szCs w:val="24"/>
        </w:rPr>
        <w:t xml:space="preserve"> </w:t>
      </w:r>
      <w:r w:rsidR="00D268F0">
        <w:rPr>
          <w:rFonts w:ascii="Times New Roman" w:hAnsi="Times New Roman" w:cs="Times New Roman"/>
          <w:sz w:val="24"/>
          <w:szCs w:val="24"/>
        </w:rPr>
        <w:t xml:space="preserve">Arguably, then, the Court is constitutionally required to change its adjudicative approach, from one that presents national social policy as a </w:t>
      </w:r>
      <w:r w:rsidR="00D268F0">
        <w:rPr>
          <w:rFonts w:ascii="Times New Roman" w:hAnsi="Times New Roman" w:cs="Times New Roman"/>
          <w:i/>
          <w:sz w:val="24"/>
          <w:szCs w:val="24"/>
        </w:rPr>
        <w:t xml:space="preserve">prima facie </w:t>
      </w:r>
      <w:r w:rsidR="00D268F0">
        <w:rPr>
          <w:rFonts w:ascii="Times New Roman" w:hAnsi="Times New Roman" w:cs="Times New Roman"/>
          <w:sz w:val="24"/>
          <w:szCs w:val="24"/>
        </w:rPr>
        <w:t xml:space="preserve">unlawful restriction of free movement, which must be </w:t>
      </w:r>
      <w:r w:rsidR="00D268F0">
        <w:rPr>
          <w:rFonts w:ascii="Times New Roman" w:hAnsi="Times New Roman" w:cs="Times New Roman"/>
          <w:sz w:val="24"/>
          <w:szCs w:val="24"/>
        </w:rPr>
        <w:lastRenderedPageBreak/>
        <w:t xml:space="preserve">defended by means of a one-sided proportionality assessment, towards one that seeks to balance the Union’s goals of economic and social integration. </w:t>
      </w:r>
      <w:r w:rsidR="005C01C1">
        <w:rPr>
          <w:rFonts w:ascii="Times New Roman" w:hAnsi="Times New Roman" w:cs="Times New Roman"/>
          <w:sz w:val="24"/>
          <w:szCs w:val="24"/>
        </w:rPr>
        <w:t xml:space="preserve">Rooted in </w:t>
      </w:r>
      <w:proofErr w:type="spellStart"/>
      <w:r w:rsidR="005C01C1">
        <w:rPr>
          <w:rFonts w:ascii="Times New Roman" w:hAnsi="Times New Roman" w:cs="Times New Roman"/>
          <w:sz w:val="24"/>
          <w:szCs w:val="24"/>
        </w:rPr>
        <w:t>Alexy’s</w:t>
      </w:r>
      <w:proofErr w:type="spellEnd"/>
      <w:r w:rsidR="005C01C1">
        <w:rPr>
          <w:rFonts w:ascii="Times New Roman" w:hAnsi="Times New Roman" w:cs="Times New Roman"/>
          <w:sz w:val="24"/>
          <w:szCs w:val="24"/>
        </w:rPr>
        <w:t xml:space="preserve"> theory of balancing, </w:t>
      </w:r>
      <w:r w:rsidR="0001463A">
        <w:rPr>
          <w:rFonts w:ascii="Times New Roman" w:hAnsi="Times New Roman" w:cs="Times New Roman"/>
          <w:sz w:val="24"/>
          <w:szCs w:val="24"/>
        </w:rPr>
        <w:t>under which, “</w:t>
      </w:r>
      <w:r w:rsidR="005C01C1" w:rsidRPr="004F6FA9">
        <w:rPr>
          <w:rFonts w:ascii="Times New Roman" w:hAnsi="Times New Roman" w:cs="Times New Roman"/>
          <w:sz w:val="24"/>
          <w:szCs w:val="24"/>
        </w:rPr>
        <w:t>the greater the degree of non-satisfaction of, or detriment to, one principle, the greater must be the impo</w:t>
      </w:r>
      <w:r w:rsidR="0001463A">
        <w:rPr>
          <w:rFonts w:ascii="Times New Roman" w:hAnsi="Times New Roman" w:cs="Times New Roman"/>
          <w:sz w:val="24"/>
          <w:szCs w:val="24"/>
        </w:rPr>
        <w:t>rtance of satisfying the other”</w:t>
      </w:r>
      <w:r w:rsidR="005C01C1">
        <w:rPr>
          <w:rFonts w:ascii="Times New Roman" w:hAnsi="Times New Roman" w:cs="Times New Roman"/>
          <w:sz w:val="24"/>
          <w:szCs w:val="24"/>
        </w:rPr>
        <w:t>,</w:t>
      </w:r>
      <w:r w:rsidR="005C01C1" w:rsidRPr="004F6FA9">
        <w:rPr>
          <w:rStyle w:val="FootnoteReference"/>
          <w:rFonts w:ascii="Times New Roman" w:hAnsi="Times New Roman" w:cs="Times New Roman"/>
          <w:sz w:val="24"/>
          <w:szCs w:val="24"/>
        </w:rPr>
        <w:footnoteReference w:id="252"/>
      </w:r>
      <w:r w:rsidR="005C01C1">
        <w:rPr>
          <w:rFonts w:ascii="Times New Roman" w:hAnsi="Times New Roman" w:cs="Times New Roman"/>
          <w:sz w:val="24"/>
          <w:szCs w:val="24"/>
        </w:rPr>
        <w:t xml:space="preserve"> s</w:t>
      </w:r>
      <w:r w:rsidR="005C01C1" w:rsidRPr="004F6FA9">
        <w:rPr>
          <w:rFonts w:ascii="Times New Roman" w:hAnsi="Times New Roman" w:cs="Times New Roman"/>
          <w:sz w:val="24"/>
          <w:szCs w:val="24"/>
        </w:rPr>
        <w:t xml:space="preserve">uch an approach would analyse the effects of free movement and social policy on </w:t>
      </w:r>
      <w:r w:rsidR="005C01C1" w:rsidRPr="004F6FA9">
        <w:rPr>
          <w:rFonts w:ascii="Times New Roman" w:hAnsi="Times New Roman" w:cs="Times New Roman"/>
          <w:i/>
          <w:sz w:val="24"/>
          <w:szCs w:val="24"/>
        </w:rPr>
        <w:t>each other</w:t>
      </w:r>
      <w:r w:rsidR="005C01C1" w:rsidRPr="004F6FA9">
        <w:rPr>
          <w:rFonts w:ascii="Times New Roman" w:hAnsi="Times New Roman" w:cs="Times New Roman"/>
          <w:sz w:val="24"/>
          <w:szCs w:val="24"/>
        </w:rPr>
        <w:t xml:space="preserve">, seeking an outcome that is least restrictive on both the Union’s economic and social integration goals </w:t>
      </w:r>
      <w:r w:rsidR="005C01C1">
        <w:rPr>
          <w:rFonts w:ascii="Times New Roman" w:hAnsi="Times New Roman" w:cs="Times New Roman"/>
          <w:sz w:val="24"/>
          <w:szCs w:val="24"/>
        </w:rPr>
        <w:t xml:space="preserve"> </w:t>
      </w:r>
      <w:r w:rsidR="00D268F0">
        <w:rPr>
          <w:rFonts w:ascii="Times New Roman" w:hAnsi="Times New Roman" w:cs="Times New Roman"/>
          <w:sz w:val="24"/>
          <w:szCs w:val="24"/>
        </w:rPr>
        <w:t xml:space="preserve">Under such a model the Treaty’s free movement derogations and the mandatory requirements </w:t>
      </w:r>
      <w:r w:rsidR="0001463A">
        <w:rPr>
          <w:rFonts w:ascii="Times New Roman" w:hAnsi="Times New Roman" w:cs="Times New Roman"/>
          <w:sz w:val="24"/>
          <w:szCs w:val="24"/>
        </w:rPr>
        <w:t>would no longer be mere “justifications”</w:t>
      </w:r>
      <w:r w:rsidR="00021125" w:rsidRPr="004F6FA9">
        <w:rPr>
          <w:rFonts w:ascii="Times New Roman" w:hAnsi="Times New Roman" w:cs="Times New Roman"/>
          <w:sz w:val="24"/>
          <w:szCs w:val="24"/>
        </w:rPr>
        <w:t xml:space="preserve"> for </w:t>
      </w:r>
      <w:r w:rsidR="005B3FB9" w:rsidRPr="004F6FA9">
        <w:rPr>
          <w:rFonts w:ascii="Times New Roman" w:hAnsi="Times New Roman" w:cs="Times New Roman"/>
          <w:sz w:val="24"/>
          <w:szCs w:val="24"/>
        </w:rPr>
        <w:t xml:space="preserve">the </w:t>
      </w:r>
      <w:r w:rsidR="00A15750" w:rsidRPr="004F6FA9">
        <w:rPr>
          <w:rFonts w:ascii="Times New Roman" w:hAnsi="Times New Roman" w:cs="Times New Roman"/>
          <w:i/>
          <w:sz w:val="24"/>
          <w:szCs w:val="24"/>
        </w:rPr>
        <w:t xml:space="preserve">prima facie </w:t>
      </w:r>
      <w:r w:rsidR="00D950F0">
        <w:rPr>
          <w:rFonts w:ascii="Times New Roman" w:hAnsi="Times New Roman" w:cs="Times New Roman"/>
          <w:sz w:val="24"/>
          <w:szCs w:val="24"/>
        </w:rPr>
        <w:t xml:space="preserve">wrongful </w:t>
      </w:r>
      <w:r w:rsidR="00A15750" w:rsidRPr="004F6FA9">
        <w:rPr>
          <w:rFonts w:ascii="Times New Roman" w:hAnsi="Times New Roman" w:cs="Times New Roman"/>
          <w:sz w:val="24"/>
          <w:szCs w:val="24"/>
        </w:rPr>
        <w:t xml:space="preserve">conduct </w:t>
      </w:r>
      <w:r w:rsidR="00A53412">
        <w:rPr>
          <w:rFonts w:ascii="Times New Roman" w:hAnsi="Times New Roman" w:cs="Times New Roman"/>
          <w:sz w:val="24"/>
          <w:szCs w:val="24"/>
        </w:rPr>
        <w:t xml:space="preserve">of </w:t>
      </w:r>
      <w:r w:rsidR="00A15750" w:rsidRPr="004F6FA9">
        <w:rPr>
          <w:rFonts w:ascii="Times New Roman" w:hAnsi="Times New Roman" w:cs="Times New Roman"/>
          <w:sz w:val="24"/>
          <w:szCs w:val="24"/>
        </w:rPr>
        <w:t>restricting</w:t>
      </w:r>
      <w:r w:rsidR="003529CC">
        <w:rPr>
          <w:rFonts w:ascii="Times New Roman" w:hAnsi="Times New Roman" w:cs="Times New Roman"/>
          <w:sz w:val="24"/>
          <w:szCs w:val="24"/>
        </w:rPr>
        <w:t xml:space="preserve"> the market freedoms</w:t>
      </w:r>
      <w:r w:rsidR="00021125" w:rsidRPr="004F6FA9">
        <w:rPr>
          <w:rFonts w:ascii="Times New Roman" w:hAnsi="Times New Roman" w:cs="Times New Roman"/>
          <w:sz w:val="24"/>
          <w:szCs w:val="24"/>
        </w:rPr>
        <w:t>, but a mechanism by which the Court can seek to reconcile the Union’s c</w:t>
      </w:r>
      <w:r w:rsidR="00B00793">
        <w:rPr>
          <w:rFonts w:ascii="Times New Roman" w:hAnsi="Times New Roman" w:cs="Times New Roman"/>
          <w:sz w:val="24"/>
          <w:szCs w:val="24"/>
        </w:rPr>
        <w:t>ompeting integrative endeavours through a more reciprocal approach to proportionality.</w:t>
      </w:r>
    </w:p>
    <w:p w:rsidR="00DB56A3" w:rsidRDefault="00AB7B18" w:rsidP="00DB56A3">
      <w:pPr>
        <w:pStyle w:val="NoSpacing"/>
        <w:spacing w:line="360" w:lineRule="auto"/>
        <w:ind w:firstLine="284"/>
        <w:jc w:val="both"/>
        <w:rPr>
          <w:rFonts w:ascii="Times New Roman" w:hAnsi="Times New Roman" w:cs="Times New Roman"/>
          <w:sz w:val="24"/>
          <w:szCs w:val="24"/>
        </w:rPr>
      </w:pPr>
      <w:r w:rsidRPr="004F6FA9">
        <w:rPr>
          <w:rFonts w:ascii="Times New Roman" w:hAnsi="Times New Roman" w:cs="Times New Roman"/>
          <w:sz w:val="24"/>
          <w:szCs w:val="24"/>
        </w:rPr>
        <w:t>For example</w:t>
      </w:r>
      <w:r w:rsidR="00B00793">
        <w:rPr>
          <w:rFonts w:ascii="Times New Roman" w:hAnsi="Times New Roman" w:cs="Times New Roman"/>
          <w:sz w:val="24"/>
          <w:szCs w:val="24"/>
        </w:rPr>
        <w:t>,</w:t>
      </w:r>
      <w:r w:rsidR="00DB56A3">
        <w:rPr>
          <w:rFonts w:ascii="Times New Roman" w:hAnsi="Times New Roman" w:cs="Times New Roman"/>
          <w:sz w:val="24"/>
          <w:szCs w:val="24"/>
        </w:rPr>
        <w:t xml:space="preserve"> given the principle of conferral, while a </w:t>
      </w:r>
      <w:r w:rsidR="00DB56A3">
        <w:rPr>
          <w:rFonts w:ascii="Times New Roman" w:hAnsi="Times New Roman" w:cs="Times New Roman"/>
          <w:i/>
          <w:sz w:val="24"/>
          <w:szCs w:val="24"/>
        </w:rPr>
        <w:t>prima facie</w:t>
      </w:r>
      <w:r w:rsidR="00DB56A3">
        <w:rPr>
          <w:rFonts w:ascii="Times New Roman" w:hAnsi="Times New Roman" w:cs="Times New Roman"/>
          <w:sz w:val="24"/>
          <w:szCs w:val="24"/>
        </w:rPr>
        <w:t xml:space="preserve"> restriction</w:t>
      </w:r>
      <w:r w:rsidR="00B00793">
        <w:rPr>
          <w:rFonts w:ascii="Times New Roman" w:hAnsi="Times New Roman" w:cs="Times New Roman"/>
          <w:sz w:val="24"/>
          <w:szCs w:val="24"/>
        </w:rPr>
        <w:t xml:space="preserve"> Article 56 TFEU would</w:t>
      </w:r>
      <w:r w:rsidR="00DB56A3">
        <w:rPr>
          <w:rFonts w:ascii="Times New Roman" w:hAnsi="Times New Roman" w:cs="Times New Roman"/>
          <w:sz w:val="24"/>
          <w:szCs w:val="24"/>
        </w:rPr>
        <w:t xml:space="preserve"> remain</w:t>
      </w:r>
      <w:r w:rsidR="0001463A">
        <w:rPr>
          <w:rFonts w:ascii="Times New Roman" w:hAnsi="Times New Roman" w:cs="Times New Roman"/>
          <w:sz w:val="24"/>
          <w:szCs w:val="24"/>
        </w:rPr>
        <w:t xml:space="preserve"> the “hook”</w:t>
      </w:r>
      <w:r w:rsidRPr="004F6FA9">
        <w:rPr>
          <w:rFonts w:ascii="Times New Roman" w:hAnsi="Times New Roman" w:cs="Times New Roman"/>
          <w:sz w:val="24"/>
          <w:szCs w:val="24"/>
        </w:rPr>
        <w:t xml:space="preserve"> to Union law</w:t>
      </w:r>
      <w:r w:rsidR="00DB56A3">
        <w:rPr>
          <w:rFonts w:ascii="Times New Roman" w:hAnsi="Times New Roman" w:cs="Times New Roman"/>
          <w:sz w:val="24"/>
          <w:szCs w:val="24"/>
        </w:rPr>
        <w:t xml:space="preserve"> that triggers Union judicial assessment</w:t>
      </w:r>
      <w:r w:rsidRPr="004F6FA9">
        <w:rPr>
          <w:rFonts w:ascii="Times New Roman" w:hAnsi="Times New Roman" w:cs="Times New Roman"/>
          <w:sz w:val="24"/>
          <w:szCs w:val="24"/>
        </w:rPr>
        <w:t xml:space="preserve"> in a </w:t>
      </w:r>
      <w:r w:rsidRPr="004F6FA9">
        <w:rPr>
          <w:rFonts w:ascii="Times New Roman" w:hAnsi="Times New Roman" w:cs="Times New Roman"/>
          <w:i/>
          <w:sz w:val="24"/>
          <w:szCs w:val="24"/>
        </w:rPr>
        <w:t>Laval</w:t>
      </w:r>
      <w:r w:rsidRPr="004F6FA9">
        <w:rPr>
          <w:rFonts w:ascii="Times New Roman" w:hAnsi="Times New Roman" w:cs="Times New Roman"/>
          <w:sz w:val="24"/>
          <w:szCs w:val="24"/>
        </w:rPr>
        <w:t>-type case, th</w:t>
      </w:r>
      <w:r w:rsidR="00BF580B">
        <w:rPr>
          <w:rFonts w:ascii="Times New Roman" w:hAnsi="Times New Roman" w:cs="Times New Roman"/>
          <w:sz w:val="24"/>
          <w:szCs w:val="24"/>
        </w:rPr>
        <w:t>e existence of Article 152 TFEU –</w:t>
      </w:r>
      <w:r w:rsidRPr="004F6FA9">
        <w:rPr>
          <w:rFonts w:ascii="Times New Roman" w:hAnsi="Times New Roman" w:cs="Times New Roman"/>
          <w:sz w:val="24"/>
          <w:szCs w:val="24"/>
        </w:rPr>
        <w:t xml:space="preserve"> which requires the Union to promote the role of social partners while taking into account th</w:t>
      </w:r>
      <w:r w:rsidR="00BF580B">
        <w:rPr>
          <w:rFonts w:ascii="Times New Roman" w:hAnsi="Times New Roman" w:cs="Times New Roman"/>
          <w:sz w:val="24"/>
          <w:szCs w:val="24"/>
        </w:rPr>
        <w:t xml:space="preserve">e diversity of national systems </w:t>
      </w:r>
      <w:r w:rsidR="00DB56A3">
        <w:rPr>
          <w:rFonts w:ascii="Times New Roman" w:hAnsi="Times New Roman" w:cs="Times New Roman"/>
          <w:sz w:val="24"/>
          <w:szCs w:val="24"/>
        </w:rPr>
        <w:t>–</w:t>
      </w:r>
      <w:r w:rsidRPr="004F6FA9">
        <w:rPr>
          <w:rFonts w:ascii="Times New Roman" w:hAnsi="Times New Roman" w:cs="Times New Roman"/>
          <w:sz w:val="24"/>
          <w:szCs w:val="24"/>
        </w:rPr>
        <w:t xml:space="preserve"> alongside</w:t>
      </w:r>
      <w:r w:rsidR="00DB56A3">
        <w:rPr>
          <w:rFonts w:ascii="Times New Roman" w:hAnsi="Times New Roman" w:cs="Times New Roman"/>
          <w:sz w:val="24"/>
          <w:szCs w:val="24"/>
        </w:rPr>
        <w:t xml:space="preserve"> Article 153(5) – which leaves matters of pay and the right to strike within domestic competence – and</w:t>
      </w:r>
      <w:r w:rsidRPr="004F6FA9">
        <w:rPr>
          <w:rFonts w:ascii="Times New Roman" w:hAnsi="Times New Roman" w:cs="Times New Roman"/>
          <w:sz w:val="24"/>
          <w:szCs w:val="24"/>
        </w:rPr>
        <w:t xml:space="preserve"> Article</w:t>
      </w:r>
      <w:r w:rsidR="00DB56A3">
        <w:rPr>
          <w:rFonts w:ascii="Times New Roman" w:hAnsi="Times New Roman" w:cs="Times New Roman"/>
          <w:sz w:val="24"/>
          <w:szCs w:val="24"/>
        </w:rPr>
        <w:t>s</w:t>
      </w:r>
      <w:r w:rsidRPr="004F6FA9">
        <w:rPr>
          <w:rFonts w:ascii="Times New Roman" w:hAnsi="Times New Roman" w:cs="Times New Roman"/>
          <w:sz w:val="24"/>
          <w:szCs w:val="24"/>
        </w:rPr>
        <w:t xml:space="preserve"> 28</w:t>
      </w:r>
      <w:r w:rsidR="00DB56A3">
        <w:rPr>
          <w:rFonts w:ascii="Times New Roman" w:hAnsi="Times New Roman" w:cs="Times New Roman"/>
          <w:sz w:val="24"/>
          <w:szCs w:val="24"/>
        </w:rPr>
        <w:t xml:space="preserve"> and 31</w:t>
      </w:r>
      <w:r w:rsidRPr="004F6FA9">
        <w:rPr>
          <w:rFonts w:ascii="Times New Roman" w:hAnsi="Times New Roman" w:cs="Times New Roman"/>
          <w:sz w:val="24"/>
          <w:szCs w:val="24"/>
        </w:rPr>
        <w:t xml:space="preserve"> </w:t>
      </w:r>
      <w:r w:rsidR="00BF580B">
        <w:rPr>
          <w:rFonts w:ascii="Times New Roman" w:hAnsi="Times New Roman" w:cs="Times New Roman"/>
          <w:sz w:val="24"/>
          <w:szCs w:val="24"/>
        </w:rPr>
        <w:t>CFR -</w:t>
      </w:r>
      <w:r w:rsidRPr="004F6FA9">
        <w:rPr>
          <w:rFonts w:ascii="Times New Roman" w:hAnsi="Times New Roman" w:cs="Times New Roman"/>
          <w:sz w:val="24"/>
          <w:szCs w:val="24"/>
        </w:rPr>
        <w:t xml:space="preserve"> which r</w:t>
      </w:r>
      <w:r w:rsidR="00DB56A3">
        <w:rPr>
          <w:rFonts w:ascii="Times New Roman" w:hAnsi="Times New Roman" w:cs="Times New Roman"/>
          <w:sz w:val="24"/>
          <w:szCs w:val="24"/>
        </w:rPr>
        <w:t>ecognise</w:t>
      </w:r>
      <w:r w:rsidRPr="004F6FA9">
        <w:rPr>
          <w:rFonts w:ascii="Times New Roman" w:hAnsi="Times New Roman" w:cs="Times New Roman"/>
          <w:sz w:val="24"/>
          <w:szCs w:val="24"/>
        </w:rPr>
        <w:t xml:space="preserve"> the </w:t>
      </w:r>
      <w:r w:rsidR="00BF580B">
        <w:rPr>
          <w:rFonts w:ascii="Times New Roman" w:hAnsi="Times New Roman" w:cs="Times New Roman"/>
          <w:sz w:val="24"/>
          <w:szCs w:val="24"/>
        </w:rPr>
        <w:t>right to take collective action</w:t>
      </w:r>
      <w:r w:rsidR="00DB56A3">
        <w:rPr>
          <w:rFonts w:ascii="Times New Roman" w:hAnsi="Times New Roman" w:cs="Times New Roman"/>
          <w:sz w:val="24"/>
          <w:szCs w:val="24"/>
        </w:rPr>
        <w:t xml:space="preserve"> and to fair and just working conditions respectively</w:t>
      </w:r>
      <w:r w:rsidR="00BF580B">
        <w:rPr>
          <w:rFonts w:ascii="Times New Roman" w:hAnsi="Times New Roman" w:cs="Times New Roman"/>
          <w:sz w:val="24"/>
          <w:szCs w:val="24"/>
        </w:rPr>
        <w:t xml:space="preserve"> -</w:t>
      </w:r>
      <w:r w:rsidRPr="004F6FA9">
        <w:rPr>
          <w:rFonts w:ascii="Times New Roman" w:hAnsi="Times New Roman" w:cs="Times New Roman"/>
          <w:sz w:val="24"/>
          <w:szCs w:val="24"/>
        </w:rPr>
        <w:t xml:space="preserve"> would channel the interaction between free movement and national social activity away from the standard adjudicative model towards a balancing framework</w:t>
      </w:r>
      <w:r w:rsidR="00BF580B">
        <w:rPr>
          <w:rFonts w:ascii="Times New Roman" w:hAnsi="Times New Roman" w:cs="Times New Roman"/>
          <w:sz w:val="24"/>
          <w:szCs w:val="24"/>
        </w:rPr>
        <w:t>. This</w:t>
      </w:r>
      <w:r w:rsidR="005C01C1">
        <w:rPr>
          <w:rFonts w:ascii="Times New Roman" w:hAnsi="Times New Roman" w:cs="Times New Roman"/>
          <w:sz w:val="24"/>
          <w:szCs w:val="24"/>
        </w:rPr>
        <w:t xml:space="preserve"> would take into account not only the effects of collective</w:t>
      </w:r>
      <w:r w:rsidR="00BF580B">
        <w:rPr>
          <w:rFonts w:ascii="Times New Roman" w:hAnsi="Times New Roman" w:cs="Times New Roman"/>
          <w:sz w:val="24"/>
          <w:szCs w:val="24"/>
        </w:rPr>
        <w:t xml:space="preserve"> action on free movement but </w:t>
      </w:r>
      <w:r w:rsidR="005C01C1">
        <w:rPr>
          <w:rFonts w:ascii="Times New Roman" w:hAnsi="Times New Roman" w:cs="Times New Roman"/>
          <w:sz w:val="24"/>
          <w:szCs w:val="24"/>
        </w:rPr>
        <w:t xml:space="preserve">the potential impact on collective action </w:t>
      </w:r>
      <w:r w:rsidR="002A70E7">
        <w:rPr>
          <w:rFonts w:ascii="Times New Roman" w:hAnsi="Times New Roman" w:cs="Times New Roman"/>
          <w:sz w:val="24"/>
          <w:szCs w:val="24"/>
        </w:rPr>
        <w:t xml:space="preserve">and worker protection </w:t>
      </w:r>
      <w:r w:rsidR="005C01C1">
        <w:rPr>
          <w:rFonts w:ascii="Times New Roman" w:hAnsi="Times New Roman" w:cs="Times New Roman"/>
          <w:sz w:val="24"/>
          <w:szCs w:val="24"/>
        </w:rPr>
        <w:t>o</w:t>
      </w:r>
      <w:r w:rsidR="00BF580B">
        <w:rPr>
          <w:rFonts w:ascii="Times New Roman" w:hAnsi="Times New Roman" w:cs="Times New Roman"/>
          <w:sz w:val="24"/>
          <w:szCs w:val="24"/>
        </w:rPr>
        <w:t>f alternative measures ostensibly less restrictive of free movement</w:t>
      </w:r>
      <w:r w:rsidRPr="004F6FA9">
        <w:rPr>
          <w:rFonts w:ascii="Times New Roman" w:hAnsi="Times New Roman" w:cs="Times New Roman"/>
          <w:sz w:val="24"/>
          <w:szCs w:val="24"/>
        </w:rPr>
        <w:t>.</w:t>
      </w:r>
      <w:r w:rsidR="00615A16">
        <w:rPr>
          <w:rFonts w:ascii="Times New Roman" w:hAnsi="Times New Roman" w:cs="Times New Roman"/>
          <w:sz w:val="24"/>
          <w:szCs w:val="24"/>
        </w:rPr>
        <w:t xml:space="preserve"> I</w:t>
      </w:r>
      <w:r w:rsidR="00615A16" w:rsidRPr="004F6FA9">
        <w:rPr>
          <w:rFonts w:ascii="Times New Roman" w:hAnsi="Times New Roman" w:cs="Times New Roman"/>
          <w:sz w:val="24"/>
          <w:szCs w:val="24"/>
        </w:rPr>
        <w:t>ndicators of impact on both the exercise of the market freedoms and the realisation of social goals and polic</w:t>
      </w:r>
      <w:r w:rsidR="00CA3A47">
        <w:rPr>
          <w:rFonts w:ascii="Times New Roman" w:hAnsi="Times New Roman" w:cs="Times New Roman"/>
          <w:sz w:val="24"/>
          <w:szCs w:val="24"/>
        </w:rPr>
        <w:t>ies can be presented to the Court</w:t>
      </w:r>
      <w:r w:rsidR="00615A16" w:rsidRPr="004F6FA9">
        <w:rPr>
          <w:rFonts w:ascii="Times New Roman" w:hAnsi="Times New Roman" w:cs="Times New Roman"/>
          <w:sz w:val="24"/>
          <w:szCs w:val="24"/>
        </w:rPr>
        <w:t xml:space="preserve"> duri</w:t>
      </w:r>
      <w:r w:rsidR="00615A16">
        <w:rPr>
          <w:rFonts w:ascii="Times New Roman" w:hAnsi="Times New Roman" w:cs="Times New Roman"/>
          <w:sz w:val="24"/>
          <w:szCs w:val="24"/>
        </w:rPr>
        <w:t>ng oral and written submissions.</w:t>
      </w:r>
      <w:r w:rsidR="00615A16" w:rsidRPr="004F6FA9">
        <w:rPr>
          <w:rStyle w:val="FootnoteReference"/>
          <w:rFonts w:ascii="Times New Roman" w:hAnsi="Times New Roman" w:cs="Times New Roman"/>
          <w:sz w:val="24"/>
          <w:szCs w:val="24"/>
        </w:rPr>
        <w:footnoteReference w:id="253"/>
      </w:r>
      <w:r w:rsidR="00615A16">
        <w:rPr>
          <w:rFonts w:ascii="Times New Roman" w:hAnsi="Times New Roman" w:cs="Times New Roman"/>
          <w:sz w:val="24"/>
          <w:szCs w:val="24"/>
        </w:rPr>
        <w:t xml:space="preserve"> However,</w:t>
      </w:r>
      <w:r w:rsidR="00615A16" w:rsidRPr="004F6FA9">
        <w:rPr>
          <w:rFonts w:ascii="Times New Roman" w:hAnsi="Times New Roman" w:cs="Times New Roman"/>
          <w:sz w:val="24"/>
          <w:szCs w:val="24"/>
        </w:rPr>
        <w:t xml:space="preserve"> </w:t>
      </w:r>
      <w:r w:rsidR="00615A16">
        <w:rPr>
          <w:rFonts w:ascii="Times New Roman" w:hAnsi="Times New Roman" w:cs="Times New Roman"/>
          <w:sz w:val="24"/>
          <w:szCs w:val="24"/>
        </w:rPr>
        <w:t xml:space="preserve"> though</w:t>
      </w:r>
      <w:r w:rsidR="00CA3A47">
        <w:rPr>
          <w:rFonts w:ascii="Times New Roman" w:hAnsi="Times New Roman" w:cs="Times New Roman"/>
          <w:sz w:val="24"/>
          <w:szCs w:val="24"/>
        </w:rPr>
        <w:t xml:space="preserve"> Court</w:t>
      </w:r>
      <w:r w:rsidR="00615A16" w:rsidRPr="004F6FA9">
        <w:rPr>
          <w:rFonts w:ascii="Times New Roman" w:hAnsi="Times New Roman" w:cs="Times New Roman"/>
          <w:sz w:val="24"/>
          <w:szCs w:val="24"/>
        </w:rPr>
        <w:t xml:space="preserve"> should act as a forum for the articulation of genuine supranational concerns, final decisions of fact should continue to be taken as closely as possible to the site of the dispute, namely at the level of national courts. The Court is well-placed to highlight to national courts the potential impact of domestic social policies on the EU’s economic objectives and require Member States to show give and take</w:t>
      </w:r>
      <w:r w:rsidR="00615A16" w:rsidRPr="004F6FA9">
        <w:rPr>
          <w:rStyle w:val="FootnoteReference"/>
          <w:rFonts w:ascii="Times New Roman" w:hAnsi="Times New Roman" w:cs="Times New Roman"/>
          <w:sz w:val="24"/>
          <w:szCs w:val="24"/>
        </w:rPr>
        <w:footnoteReference w:id="254"/>
      </w:r>
      <w:r w:rsidR="00615A16" w:rsidRPr="004F6FA9">
        <w:rPr>
          <w:rFonts w:ascii="Times New Roman" w:hAnsi="Times New Roman" w:cs="Times New Roman"/>
          <w:sz w:val="24"/>
          <w:szCs w:val="24"/>
        </w:rPr>
        <w:t xml:space="preserve"> where it appears possible to pursue social objectives in a way less restrictive of free movement.</w:t>
      </w:r>
      <w:r w:rsidR="005F648F">
        <w:rPr>
          <w:rFonts w:ascii="Times New Roman" w:hAnsi="Times New Roman" w:cs="Times New Roman"/>
          <w:sz w:val="24"/>
          <w:szCs w:val="24"/>
        </w:rPr>
        <w:t xml:space="preserve"> </w:t>
      </w:r>
      <w:r w:rsidR="005F648F" w:rsidRPr="004F6FA9">
        <w:rPr>
          <w:rFonts w:ascii="Times New Roman" w:hAnsi="Times New Roman" w:cs="Times New Roman"/>
          <w:sz w:val="24"/>
          <w:szCs w:val="24"/>
        </w:rPr>
        <w:t xml:space="preserve">It must also acknowledge </w:t>
      </w:r>
      <w:r w:rsidR="005F648F" w:rsidRPr="004F6FA9">
        <w:rPr>
          <w:rFonts w:ascii="Times New Roman" w:hAnsi="Times New Roman" w:cs="Times New Roman"/>
          <w:sz w:val="24"/>
          <w:szCs w:val="24"/>
        </w:rPr>
        <w:lastRenderedPageBreak/>
        <w:t>that what appears less restrictive of free movement might have consequences for the practical realisation of social policies within the continuing idiosyncrasies of domestic social orders</w:t>
      </w:r>
      <w:r w:rsidR="005F648F">
        <w:rPr>
          <w:rFonts w:ascii="Times New Roman" w:hAnsi="Times New Roman" w:cs="Times New Roman"/>
          <w:sz w:val="24"/>
          <w:szCs w:val="24"/>
        </w:rPr>
        <w:t>.</w:t>
      </w:r>
      <w:r w:rsidRPr="004F6FA9">
        <w:rPr>
          <w:rFonts w:ascii="Times New Roman" w:hAnsi="Times New Roman" w:cs="Times New Roman"/>
          <w:sz w:val="24"/>
          <w:szCs w:val="24"/>
        </w:rPr>
        <w:t xml:space="preserve"> </w:t>
      </w:r>
      <w:r w:rsidR="00904F7B">
        <w:rPr>
          <w:rFonts w:ascii="Times New Roman" w:hAnsi="Times New Roman" w:cs="Times New Roman"/>
          <w:sz w:val="24"/>
          <w:szCs w:val="24"/>
        </w:rPr>
        <w:t>Whilst</w:t>
      </w:r>
      <w:r w:rsidR="00CA3A47">
        <w:rPr>
          <w:rFonts w:ascii="Times New Roman" w:hAnsi="Times New Roman" w:cs="Times New Roman"/>
          <w:sz w:val="24"/>
          <w:szCs w:val="24"/>
        </w:rPr>
        <w:t xml:space="preserve"> the Court</w:t>
      </w:r>
      <w:r w:rsidR="005F648F" w:rsidRPr="004F6FA9">
        <w:rPr>
          <w:rFonts w:ascii="Times New Roman" w:hAnsi="Times New Roman" w:cs="Times New Roman"/>
          <w:sz w:val="24"/>
          <w:szCs w:val="24"/>
        </w:rPr>
        <w:t xml:space="preserve"> has a responsibility to try to frame these competing principles in a systematically coherent way,</w:t>
      </w:r>
      <w:r w:rsidR="005F648F" w:rsidRPr="004F6FA9">
        <w:rPr>
          <w:rStyle w:val="FootnoteReference"/>
          <w:rFonts w:ascii="Times New Roman" w:hAnsi="Times New Roman" w:cs="Times New Roman"/>
          <w:sz w:val="24"/>
          <w:szCs w:val="24"/>
        </w:rPr>
        <w:footnoteReference w:id="255"/>
      </w:r>
      <w:r w:rsidR="005F648F" w:rsidRPr="004F6FA9">
        <w:rPr>
          <w:rFonts w:ascii="Times New Roman" w:hAnsi="Times New Roman" w:cs="Times New Roman"/>
          <w:sz w:val="24"/>
          <w:szCs w:val="24"/>
        </w:rPr>
        <w:t xml:space="preserve"> national courts must be able to decide on the specific balance within a particular factu</w:t>
      </w:r>
      <w:r w:rsidR="0001463A">
        <w:rPr>
          <w:rFonts w:ascii="Times New Roman" w:hAnsi="Times New Roman" w:cs="Times New Roman"/>
          <w:sz w:val="24"/>
          <w:szCs w:val="24"/>
        </w:rPr>
        <w:t>al situation. Not only do they “</w:t>
      </w:r>
      <w:r w:rsidR="005F648F" w:rsidRPr="004F6FA9">
        <w:rPr>
          <w:rFonts w:ascii="Times New Roman" w:hAnsi="Times New Roman" w:cs="Times New Roman"/>
          <w:sz w:val="24"/>
          <w:szCs w:val="24"/>
        </w:rPr>
        <w:t>enjoy the best knowledge of the facts, and can assess the impact of different interpretations’,</w:t>
      </w:r>
      <w:r w:rsidR="005F648F" w:rsidRPr="004F6FA9">
        <w:rPr>
          <w:rStyle w:val="FootnoteReference"/>
          <w:rFonts w:ascii="Times New Roman" w:hAnsi="Times New Roman" w:cs="Times New Roman"/>
          <w:sz w:val="24"/>
          <w:szCs w:val="24"/>
        </w:rPr>
        <w:footnoteReference w:id="256"/>
      </w:r>
      <w:r w:rsidR="005F648F" w:rsidRPr="004F6FA9">
        <w:rPr>
          <w:rFonts w:ascii="Times New Roman" w:hAnsi="Times New Roman" w:cs="Times New Roman"/>
          <w:sz w:val="24"/>
          <w:szCs w:val="24"/>
        </w:rPr>
        <w:t xml:space="preserve"> but this approach ‘tighten[s] the connection between the decision-maker and the policy-maker, as well as to the parties a</w:t>
      </w:r>
      <w:r w:rsidR="0001463A">
        <w:rPr>
          <w:rFonts w:ascii="Times New Roman" w:hAnsi="Times New Roman" w:cs="Times New Roman"/>
          <w:sz w:val="24"/>
          <w:szCs w:val="24"/>
        </w:rPr>
        <w:t>ctually affected by the outcome”</w:t>
      </w:r>
      <w:r w:rsidR="005F648F" w:rsidRPr="004F6FA9">
        <w:rPr>
          <w:rFonts w:ascii="Times New Roman" w:hAnsi="Times New Roman" w:cs="Times New Roman"/>
          <w:sz w:val="24"/>
          <w:szCs w:val="24"/>
        </w:rPr>
        <w:t>.</w:t>
      </w:r>
      <w:r w:rsidR="005F648F" w:rsidRPr="004F6FA9">
        <w:rPr>
          <w:rStyle w:val="FootnoteReference"/>
          <w:rFonts w:ascii="Times New Roman" w:hAnsi="Times New Roman" w:cs="Times New Roman"/>
          <w:sz w:val="24"/>
          <w:szCs w:val="24"/>
        </w:rPr>
        <w:footnoteReference w:id="257"/>
      </w:r>
    </w:p>
    <w:p w:rsidR="00DB56A3" w:rsidRDefault="00615A16" w:rsidP="00DB56A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As</w:t>
      </w:r>
      <w:r w:rsidR="003D2024">
        <w:rPr>
          <w:rFonts w:ascii="Times New Roman" w:hAnsi="Times New Roman" w:cs="Times New Roman"/>
          <w:sz w:val="24"/>
          <w:szCs w:val="24"/>
        </w:rPr>
        <w:t xml:space="preserve"> Gallo discusses</w:t>
      </w:r>
      <w:r w:rsidR="005B3FB9" w:rsidRPr="004F6FA9">
        <w:rPr>
          <w:rFonts w:ascii="Times New Roman" w:hAnsi="Times New Roman" w:cs="Times New Roman"/>
          <w:sz w:val="24"/>
          <w:szCs w:val="24"/>
        </w:rPr>
        <w:t>, elsewhere in the Treaties, the combination</w:t>
      </w:r>
      <w:r w:rsidR="004C1ADC">
        <w:rPr>
          <w:rFonts w:ascii="Times New Roman" w:hAnsi="Times New Roman" w:cs="Times New Roman"/>
          <w:sz w:val="24"/>
          <w:szCs w:val="24"/>
        </w:rPr>
        <w:t xml:space="preserve"> of Lisbon’s</w:t>
      </w:r>
      <w:r w:rsidR="005B3FB9" w:rsidRPr="004F6FA9">
        <w:rPr>
          <w:rFonts w:ascii="Times New Roman" w:hAnsi="Times New Roman" w:cs="Times New Roman"/>
          <w:sz w:val="24"/>
          <w:szCs w:val="24"/>
        </w:rPr>
        <w:t xml:space="preserve"> horizontal provisions and substantive derogations is already impacting on how the latter operat</w:t>
      </w:r>
      <w:r w:rsidR="00651E02">
        <w:rPr>
          <w:rFonts w:ascii="Times New Roman" w:hAnsi="Times New Roman" w:cs="Times New Roman"/>
          <w:sz w:val="24"/>
          <w:szCs w:val="24"/>
        </w:rPr>
        <w:t>e</w:t>
      </w:r>
      <w:r w:rsidR="00D268F0">
        <w:rPr>
          <w:rFonts w:ascii="Times New Roman" w:hAnsi="Times New Roman" w:cs="Times New Roman"/>
          <w:sz w:val="24"/>
          <w:szCs w:val="24"/>
        </w:rPr>
        <w:t xml:space="preserve">. </w:t>
      </w:r>
      <w:r w:rsidR="005B3FB9" w:rsidRPr="004F6FA9">
        <w:rPr>
          <w:rFonts w:ascii="Times New Roman" w:hAnsi="Times New Roman" w:cs="Times New Roman"/>
          <w:sz w:val="24"/>
          <w:szCs w:val="24"/>
        </w:rPr>
        <w:t xml:space="preserve">Specifically, </w:t>
      </w:r>
      <w:r w:rsidR="00D268F0" w:rsidRPr="004F6FA9">
        <w:rPr>
          <w:rFonts w:ascii="Times New Roman" w:hAnsi="Times New Roman" w:cs="Times New Roman"/>
          <w:sz w:val="24"/>
          <w:szCs w:val="24"/>
        </w:rPr>
        <w:t>t</w:t>
      </w:r>
      <w:r w:rsidR="0001463A">
        <w:rPr>
          <w:rFonts w:ascii="Times New Roman" w:hAnsi="Times New Roman" w:cs="Times New Roman"/>
          <w:sz w:val="24"/>
          <w:szCs w:val="24"/>
        </w:rPr>
        <w:t>he “</w:t>
      </w:r>
      <w:r w:rsidR="00D268F0">
        <w:rPr>
          <w:rFonts w:ascii="Times New Roman" w:hAnsi="Times New Roman" w:cs="Times New Roman"/>
          <w:sz w:val="24"/>
          <w:szCs w:val="24"/>
        </w:rPr>
        <w:t>distinctive feature of [services of general economic interest]</w:t>
      </w:r>
      <w:r w:rsidR="00D268F0" w:rsidRPr="004F6FA9">
        <w:rPr>
          <w:rFonts w:ascii="Times New Roman" w:hAnsi="Times New Roman" w:cs="Times New Roman"/>
          <w:sz w:val="24"/>
          <w:szCs w:val="24"/>
        </w:rPr>
        <w:t>, as regulated by the EU, is that they do not merely represent a derogation from competition rules under Art.106, para 2, TFEU…but also a positive provision in line w</w:t>
      </w:r>
      <w:r w:rsidR="0001463A">
        <w:rPr>
          <w:rFonts w:ascii="Times New Roman" w:hAnsi="Times New Roman" w:cs="Times New Roman"/>
          <w:sz w:val="24"/>
          <w:szCs w:val="24"/>
        </w:rPr>
        <w:t>ith what is now Article 14 TFEU”</w:t>
      </w:r>
      <w:r w:rsidR="00D268F0" w:rsidRPr="004F6FA9">
        <w:rPr>
          <w:rFonts w:ascii="Times New Roman" w:hAnsi="Times New Roman" w:cs="Times New Roman"/>
          <w:sz w:val="24"/>
          <w:szCs w:val="24"/>
        </w:rPr>
        <w:t>.</w:t>
      </w:r>
      <w:r w:rsidR="00D268F0" w:rsidRPr="004F6FA9">
        <w:rPr>
          <w:rStyle w:val="FootnoteReference"/>
          <w:rFonts w:ascii="Times New Roman" w:hAnsi="Times New Roman" w:cs="Times New Roman"/>
          <w:sz w:val="24"/>
          <w:szCs w:val="24"/>
        </w:rPr>
        <w:footnoteReference w:id="258"/>
      </w:r>
      <w:r w:rsidR="00D268F0" w:rsidRPr="004F6FA9">
        <w:rPr>
          <w:rFonts w:ascii="Times New Roman" w:hAnsi="Times New Roman" w:cs="Times New Roman"/>
          <w:sz w:val="24"/>
          <w:szCs w:val="24"/>
        </w:rPr>
        <w:t xml:space="preserve"> As </w:t>
      </w:r>
      <w:r w:rsidR="003529CC">
        <w:rPr>
          <w:rFonts w:ascii="Times New Roman" w:hAnsi="Times New Roman" w:cs="Times New Roman"/>
          <w:sz w:val="24"/>
          <w:szCs w:val="24"/>
        </w:rPr>
        <w:t>a result, SGEIs do not reflect</w:t>
      </w:r>
      <w:r w:rsidR="00D268F0" w:rsidRPr="004F6FA9">
        <w:rPr>
          <w:rFonts w:ascii="Times New Roman" w:hAnsi="Times New Roman" w:cs="Times New Roman"/>
          <w:sz w:val="24"/>
          <w:szCs w:val="24"/>
        </w:rPr>
        <w:t xml:space="preserve"> a conflict between EU law and national approaches but are strongly connected to shared European and national interests.</w:t>
      </w:r>
      <w:r w:rsidR="00D268F0" w:rsidRPr="004F6FA9">
        <w:rPr>
          <w:rStyle w:val="FootnoteReference"/>
          <w:rFonts w:ascii="Times New Roman" w:hAnsi="Times New Roman" w:cs="Times New Roman"/>
          <w:sz w:val="24"/>
          <w:szCs w:val="24"/>
        </w:rPr>
        <w:footnoteReference w:id="259"/>
      </w:r>
      <w:r w:rsidR="00D268F0" w:rsidRPr="004F6FA9">
        <w:rPr>
          <w:rFonts w:ascii="Times New Roman" w:hAnsi="Times New Roman" w:cs="Times New Roman"/>
          <w:sz w:val="24"/>
          <w:szCs w:val="24"/>
        </w:rPr>
        <w:t xml:space="preserve"> </w:t>
      </w:r>
      <w:r w:rsidR="00563C0C">
        <w:rPr>
          <w:rFonts w:ascii="Times New Roman" w:hAnsi="Times New Roman" w:cs="Times New Roman"/>
          <w:sz w:val="24"/>
          <w:szCs w:val="24"/>
        </w:rPr>
        <w:t>This can be contrasted with the approach within the free movement of capital, in which golden-shares are still conceptualised as a derogation from a market freedom.</w:t>
      </w:r>
      <w:r w:rsidR="00364C91" w:rsidRPr="004F6FA9">
        <w:rPr>
          <w:rFonts w:ascii="Times New Roman" w:hAnsi="Times New Roman" w:cs="Times New Roman"/>
          <w:sz w:val="24"/>
          <w:szCs w:val="24"/>
        </w:rPr>
        <w:t xml:space="preserve"> </w:t>
      </w:r>
      <w:r w:rsidR="0001463A">
        <w:rPr>
          <w:rFonts w:ascii="Times New Roman" w:hAnsi="Times New Roman" w:cs="Times New Roman"/>
          <w:sz w:val="24"/>
          <w:szCs w:val="24"/>
        </w:rPr>
        <w:t>There, “European solidarity”</w:t>
      </w:r>
      <w:r w:rsidR="00A53412">
        <w:rPr>
          <w:rFonts w:ascii="Times New Roman" w:hAnsi="Times New Roman" w:cs="Times New Roman"/>
          <w:sz w:val="24"/>
          <w:szCs w:val="24"/>
        </w:rPr>
        <w:t xml:space="preserve"> </w:t>
      </w:r>
      <w:r w:rsidR="008C38EC">
        <w:rPr>
          <w:rFonts w:ascii="Times New Roman" w:hAnsi="Times New Roman" w:cs="Times New Roman"/>
          <w:sz w:val="24"/>
          <w:szCs w:val="24"/>
        </w:rPr>
        <w:t>functions only as a corollary of economic integration and not social regulation.</w:t>
      </w:r>
      <w:r w:rsidR="00364C91" w:rsidRPr="004F6FA9">
        <w:rPr>
          <w:rStyle w:val="FootnoteReference"/>
          <w:rFonts w:ascii="Times New Roman" w:hAnsi="Times New Roman" w:cs="Times New Roman"/>
          <w:sz w:val="24"/>
          <w:szCs w:val="24"/>
        </w:rPr>
        <w:footnoteReference w:id="260"/>
      </w:r>
      <w:r w:rsidR="00CC6DD3">
        <w:rPr>
          <w:rFonts w:ascii="Times New Roman" w:hAnsi="Times New Roman" w:cs="Times New Roman"/>
          <w:sz w:val="24"/>
          <w:szCs w:val="24"/>
        </w:rPr>
        <w:t xml:space="preserve"> This does not mean, of cours</w:t>
      </w:r>
      <w:r w:rsidR="00A53412">
        <w:rPr>
          <w:rFonts w:ascii="Times New Roman" w:hAnsi="Times New Roman" w:cs="Times New Roman"/>
          <w:sz w:val="24"/>
          <w:szCs w:val="24"/>
        </w:rPr>
        <w:t>e, that Member State social approaches would win-out every time</w:t>
      </w:r>
      <w:r w:rsidR="00CC6DD3">
        <w:rPr>
          <w:rFonts w:ascii="Times New Roman" w:hAnsi="Times New Roman" w:cs="Times New Roman"/>
          <w:sz w:val="24"/>
          <w:szCs w:val="24"/>
        </w:rPr>
        <w:t>. Sometimes, measures less restrictive of free movement will exist that do not disproportionately affect the effectiveness of the social endeavours concerned. The crucial factor is the reciprocity of the proportionality assessment.</w:t>
      </w:r>
    </w:p>
    <w:p w:rsidR="00154310" w:rsidRDefault="00563C0C" w:rsidP="00DB56A3">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more holistic approach to the operation of primary free movement law has three potential advantages. </w:t>
      </w:r>
      <w:r w:rsidR="00CC6DD3">
        <w:rPr>
          <w:rFonts w:ascii="Times New Roman" w:hAnsi="Times New Roman" w:cs="Times New Roman"/>
          <w:sz w:val="24"/>
          <w:szCs w:val="24"/>
        </w:rPr>
        <w:t xml:space="preserve">First, </w:t>
      </w:r>
      <w:r w:rsidR="00DC7B90">
        <w:rPr>
          <w:rFonts w:ascii="Times New Roman" w:hAnsi="Times New Roman" w:cs="Times New Roman"/>
          <w:sz w:val="24"/>
          <w:szCs w:val="24"/>
        </w:rPr>
        <w:t>acknowledgment that national</w:t>
      </w:r>
      <w:r w:rsidR="00CC6DD3">
        <w:rPr>
          <w:rFonts w:ascii="Times New Roman" w:hAnsi="Times New Roman" w:cs="Times New Roman"/>
          <w:sz w:val="24"/>
          <w:szCs w:val="24"/>
        </w:rPr>
        <w:t xml:space="preserve"> social policies can contribute to shared social goals, rather than operating only as barriers to economic movement, conceptualises domestic activity as a</w:t>
      </w:r>
      <w:r w:rsidR="00DC7B90">
        <w:rPr>
          <w:rFonts w:ascii="Times New Roman" w:hAnsi="Times New Roman" w:cs="Times New Roman"/>
          <w:sz w:val="24"/>
          <w:szCs w:val="24"/>
        </w:rPr>
        <w:t xml:space="preserve"> mechanism by which the EU can pursue its own social integration goals, despite the confines of the economic/social dichot</w:t>
      </w:r>
      <w:r w:rsidR="000A3118">
        <w:rPr>
          <w:rFonts w:ascii="Times New Roman" w:hAnsi="Times New Roman" w:cs="Times New Roman"/>
          <w:sz w:val="24"/>
          <w:szCs w:val="24"/>
        </w:rPr>
        <w:t>omy.</w:t>
      </w:r>
      <w:r w:rsidR="00DB56A3">
        <w:rPr>
          <w:rFonts w:ascii="Times New Roman" w:hAnsi="Times New Roman" w:cs="Times New Roman"/>
          <w:sz w:val="24"/>
          <w:szCs w:val="24"/>
        </w:rPr>
        <w:t xml:space="preserve"> </w:t>
      </w:r>
      <w:r w:rsidR="00DC7B90">
        <w:rPr>
          <w:rFonts w:ascii="Times New Roman" w:hAnsi="Times New Roman" w:cs="Times New Roman"/>
          <w:sz w:val="24"/>
          <w:szCs w:val="24"/>
        </w:rPr>
        <w:t xml:space="preserve">Second, this might then also help to ease the Union’s legitimacy headache. </w:t>
      </w:r>
      <w:r w:rsidR="00CC6DD3">
        <w:rPr>
          <w:rFonts w:ascii="Times New Roman" w:hAnsi="Times New Roman" w:cs="Times New Roman"/>
          <w:sz w:val="24"/>
          <w:szCs w:val="24"/>
        </w:rPr>
        <w:t>Since EU and Member State rules are no longer in conflict but are understood as driv</w:t>
      </w:r>
      <w:r w:rsidR="00A53412">
        <w:rPr>
          <w:rFonts w:ascii="Times New Roman" w:hAnsi="Times New Roman" w:cs="Times New Roman"/>
          <w:sz w:val="24"/>
          <w:szCs w:val="24"/>
        </w:rPr>
        <w:t>en by the same fundamental objectives</w:t>
      </w:r>
      <w:r w:rsidR="00CC6DD3">
        <w:rPr>
          <w:rFonts w:ascii="Times New Roman" w:hAnsi="Times New Roman" w:cs="Times New Roman"/>
          <w:sz w:val="24"/>
          <w:szCs w:val="24"/>
        </w:rPr>
        <w:t xml:space="preserve">, supranational social activity is less likely to be viewed as an incursion into the domestic </w:t>
      </w:r>
      <w:r w:rsidR="00CC6DD3">
        <w:rPr>
          <w:rFonts w:ascii="Times New Roman" w:hAnsi="Times New Roman" w:cs="Times New Roman"/>
          <w:sz w:val="24"/>
          <w:szCs w:val="24"/>
        </w:rPr>
        <w:lastRenderedPageBreak/>
        <w:t>realm. O</w:t>
      </w:r>
      <w:r w:rsidR="003656DE" w:rsidRPr="004F6FA9">
        <w:rPr>
          <w:rFonts w:ascii="Times New Roman" w:hAnsi="Times New Roman" w:cs="Times New Roman"/>
          <w:sz w:val="24"/>
          <w:szCs w:val="24"/>
        </w:rPr>
        <w:t xml:space="preserve">f course, a new judicial approach </w:t>
      </w:r>
      <w:r w:rsidR="00DC7B90">
        <w:rPr>
          <w:rFonts w:ascii="Times New Roman" w:hAnsi="Times New Roman" w:cs="Times New Roman"/>
          <w:sz w:val="24"/>
          <w:szCs w:val="24"/>
        </w:rPr>
        <w:t>is not a catch-all solution but must work alongside other</w:t>
      </w:r>
      <w:r w:rsidR="00CC6DD3">
        <w:rPr>
          <w:rFonts w:ascii="Times New Roman" w:hAnsi="Times New Roman" w:cs="Times New Roman"/>
          <w:sz w:val="24"/>
          <w:szCs w:val="24"/>
        </w:rPr>
        <w:t xml:space="preserve"> institutional means of working towards</w:t>
      </w:r>
      <w:r w:rsidR="0001463A">
        <w:rPr>
          <w:rFonts w:ascii="Times New Roman" w:hAnsi="Times New Roman" w:cs="Times New Roman"/>
          <w:sz w:val="24"/>
          <w:szCs w:val="24"/>
        </w:rPr>
        <w:t xml:space="preserve"> a “social Europe”</w:t>
      </w:r>
      <w:r w:rsidR="00CC6DD3">
        <w:rPr>
          <w:rFonts w:ascii="Times New Roman" w:hAnsi="Times New Roman" w:cs="Times New Roman"/>
          <w:sz w:val="24"/>
          <w:szCs w:val="24"/>
        </w:rPr>
        <w:t>.</w:t>
      </w:r>
      <w:r w:rsidR="00DC7B90">
        <w:rPr>
          <w:rFonts w:ascii="Times New Roman" w:hAnsi="Times New Roman" w:cs="Times New Roman"/>
          <w:sz w:val="24"/>
          <w:szCs w:val="24"/>
        </w:rPr>
        <w:t xml:space="preserve"> For </w:t>
      </w:r>
      <w:r w:rsidR="00650D14">
        <w:rPr>
          <w:rFonts w:ascii="Times New Roman" w:hAnsi="Times New Roman" w:cs="Times New Roman"/>
          <w:sz w:val="24"/>
          <w:szCs w:val="24"/>
        </w:rPr>
        <w:t>example, Armstrong</w:t>
      </w:r>
      <w:r w:rsidR="00360188" w:rsidRPr="004F6FA9">
        <w:rPr>
          <w:rFonts w:ascii="Times New Roman" w:hAnsi="Times New Roman" w:cs="Times New Roman"/>
          <w:sz w:val="24"/>
          <w:szCs w:val="24"/>
        </w:rPr>
        <w:t xml:space="preserve"> </w:t>
      </w:r>
      <w:r w:rsidR="00CC6DD3">
        <w:rPr>
          <w:rFonts w:ascii="Times New Roman" w:hAnsi="Times New Roman" w:cs="Times New Roman"/>
          <w:sz w:val="24"/>
          <w:szCs w:val="24"/>
        </w:rPr>
        <w:t xml:space="preserve">has </w:t>
      </w:r>
      <w:r w:rsidR="00964D28">
        <w:rPr>
          <w:rFonts w:ascii="Times New Roman" w:hAnsi="Times New Roman" w:cs="Times New Roman"/>
          <w:sz w:val="24"/>
          <w:szCs w:val="24"/>
        </w:rPr>
        <w:t>persuasively</w:t>
      </w:r>
      <w:r w:rsidR="00CC6DD3">
        <w:rPr>
          <w:rFonts w:ascii="Times New Roman" w:hAnsi="Times New Roman" w:cs="Times New Roman"/>
          <w:sz w:val="24"/>
          <w:szCs w:val="24"/>
        </w:rPr>
        <w:t xml:space="preserve"> argued for an</w:t>
      </w:r>
      <w:r w:rsidR="00360188" w:rsidRPr="004F6FA9">
        <w:rPr>
          <w:rFonts w:ascii="Times New Roman" w:hAnsi="Times New Roman" w:cs="Times New Roman"/>
          <w:sz w:val="24"/>
          <w:szCs w:val="24"/>
        </w:rPr>
        <w:t xml:space="preserve"> O</w:t>
      </w:r>
      <w:r w:rsidR="00CC6DD3">
        <w:rPr>
          <w:rFonts w:ascii="Times New Roman" w:hAnsi="Times New Roman" w:cs="Times New Roman"/>
          <w:sz w:val="24"/>
          <w:szCs w:val="24"/>
        </w:rPr>
        <w:t xml:space="preserve">pen </w:t>
      </w:r>
      <w:r w:rsidR="00360188" w:rsidRPr="004F6FA9">
        <w:rPr>
          <w:rFonts w:ascii="Times New Roman" w:hAnsi="Times New Roman" w:cs="Times New Roman"/>
          <w:sz w:val="24"/>
          <w:szCs w:val="24"/>
        </w:rPr>
        <w:t>M</w:t>
      </w:r>
      <w:r w:rsidR="00CC6DD3">
        <w:rPr>
          <w:rFonts w:ascii="Times New Roman" w:hAnsi="Times New Roman" w:cs="Times New Roman"/>
          <w:sz w:val="24"/>
          <w:szCs w:val="24"/>
        </w:rPr>
        <w:t xml:space="preserve">ethod of </w:t>
      </w:r>
      <w:r w:rsidR="00360188" w:rsidRPr="004F6FA9">
        <w:rPr>
          <w:rFonts w:ascii="Times New Roman" w:hAnsi="Times New Roman" w:cs="Times New Roman"/>
          <w:sz w:val="24"/>
          <w:szCs w:val="24"/>
        </w:rPr>
        <w:t>C</w:t>
      </w:r>
      <w:r w:rsidR="00CC6DD3">
        <w:rPr>
          <w:rFonts w:ascii="Times New Roman" w:hAnsi="Times New Roman" w:cs="Times New Roman"/>
          <w:sz w:val="24"/>
          <w:szCs w:val="24"/>
        </w:rPr>
        <w:t>oordination</w:t>
      </w:r>
      <w:r w:rsidR="00360188" w:rsidRPr="004F6FA9">
        <w:rPr>
          <w:rFonts w:ascii="Times New Roman" w:hAnsi="Times New Roman" w:cs="Times New Roman"/>
          <w:sz w:val="24"/>
          <w:szCs w:val="24"/>
        </w:rPr>
        <w:t>-driven social constitutionalism</w:t>
      </w:r>
      <w:r w:rsidR="00650D14">
        <w:rPr>
          <w:rFonts w:ascii="Times New Roman" w:hAnsi="Times New Roman" w:cs="Times New Roman"/>
          <w:sz w:val="24"/>
          <w:szCs w:val="24"/>
        </w:rPr>
        <w:t>, which would require Member States</w:t>
      </w:r>
      <w:r w:rsidR="004C1ADC">
        <w:rPr>
          <w:rFonts w:ascii="Times New Roman" w:hAnsi="Times New Roman" w:cs="Times New Roman"/>
          <w:sz w:val="24"/>
          <w:szCs w:val="24"/>
        </w:rPr>
        <w:t xml:space="preserve"> to explain how exercises of</w:t>
      </w:r>
      <w:r w:rsidR="00650D14">
        <w:rPr>
          <w:rFonts w:ascii="Times New Roman" w:hAnsi="Times New Roman" w:cs="Times New Roman"/>
          <w:sz w:val="24"/>
          <w:szCs w:val="24"/>
        </w:rPr>
        <w:t xml:space="preserve"> dom</w:t>
      </w:r>
      <w:r w:rsidR="00CC6DD3">
        <w:rPr>
          <w:rFonts w:ascii="Times New Roman" w:hAnsi="Times New Roman" w:cs="Times New Roman"/>
          <w:sz w:val="24"/>
          <w:szCs w:val="24"/>
        </w:rPr>
        <w:t>estic social sovereignty attain</w:t>
      </w:r>
      <w:r w:rsidR="00650D14">
        <w:rPr>
          <w:rFonts w:ascii="Times New Roman" w:hAnsi="Times New Roman" w:cs="Times New Roman"/>
          <w:sz w:val="24"/>
          <w:szCs w:val="24"/>
        </w:rPr>
        <w:t xml:space="preserve"> the social policy objectives of the Union</w:t>
      </w:r>
      <w:r w:rsidR="00360188" w:rsidRPr="004F6FA9">
        <w:rPr>
          <w:rFonts w:ascii="Times New Roman" w:hAnsi="Times New Roman" w:cs="Times New Roman"/>
          <w:sz w:val="24"/>
          <w:szCs w:val="24"/>
        </w:rPr>
        <w:t>.</w:t>
      </w:r>
      <w:r w:rsidR="00360188" w:rsidRPr="004F6FA9">
        <w:rPr>
          <w:rStyle w:val="FootnoteReference"/>
          <w:rFonts w:ascii="Times New Roman" w:hAnsi="Times New Roman" w:cs="Times New Roman"/>
          <w:sz w:val="24"/>
          <w:szCs w:val="24"/>
        </w:rPr>
        <w:footnoteReference w:id="261"/>
      </w:r>
      <w:r w:rsidR="00DB56A3">
        <w:rPr>
          <w:rFonts w:ascii="Times New Roman" w:hAnsi="Times New Roman" w:cs="Times New Roman"/>
          <w:sz w:val="24"/>
          <w:szCs w:val="24"/>
        </w:rPr>
        <w:t xml:space="preserve"> </w:t>
      </w:r>
      <w:r w:rsidR="00650D14">
        <w:rPr>
          <w:rFonts w:ascii="Times New Roman" w:hAnsi="Times New Roman" w:cs="Times New Roman"/>
          <w:sz w:val="24"/>
          <w:szCs w:val="24"/>
        </w:rPr>
        <w:t>Third,</w:t>
      </w:r>
      <w:r w:rsidR="006E6530" w:rsidRPr="004F6FA9">
        <w:rPr>
          <w:rFonts w:ascii="Times New Roman" w:hAnsi="Times New Roman" w:cs="Times New Roman"/>
          <w:sz w:val="24"/>
          <w:szCs w:val="24"/>
        </w:rPr>
        <w:t xml:space="preserve"> greater acknowledgement of the potential of </w:t>
      </w:r>
      <w:r w:rsidR="004B0A47" w:rsidRPr="004F6FA9">
        <w:rPr>
          <w:rFonts w:ascii="Times New Roman" w:hAnsi="Times New Roman" w:cs="Times New Roman"/>
          <w:sz w:val="24"/>
          <w:szCs w:val="24"/>
        </w:rPr>
        <w:t>the market freedoms</w:t>
      </w:r>
      <w:r w:rsidR="006E6530" w:rsidRPr="004F6FA9">
        <w:rPr>
          <w:rFonts w:ascii="Times New Roman" w:hAnsi="Times New Roman" w:cs="Times New Roman"/>
          <w:sz w:val="24"/>
          <w:szCs w:val="24"/>
        </w:rPr>
        <w:t>, as a whole, to impact on social concerns</w:t>
      </w:r>
      <w:r w:rsidR="00650D14">
        <w:rPr>
          <w:rFonts w:ascii="Times New Roman" w:hAnsi="Times New Roman" w:cs="Times New Roman"/>
          <w:sz w:val="24"/>
          <w:szCs w:val="24"/>
        </w:rPr>
        <w:t xml:space="preserve"> </w:t>
      </w:r>
      <w:r w:rsidR="004B0A47" w:rsidRPr="004F6FA9">
        <w:rPr>
          <w:rFonts w:ascii="Times New Roman" w:hAnsi="Times New Roman" w:cs="Times New Roman"/>
          <w:sz w:val="24"/>
          <w:szCs w:val="24"/>
        </w:rPr>
        <w:t>might release some of the pressure on the specific interaction between the free movement of persons and domestic welfare systems. The</w:t>
      </w:r>
      <w:r w:rsidR="00282456">
        <w:rPr>
          <w:rFonts w:ascii="Times New Roman" w:hAnsi="Times New Roman" w:cs="Times New Roman"/>
          <w:sz w:val="24"/>
          <w:szCs w:val="24"/>
        </w:rPr>
        <w:t xml:space="preserve"> various </w:t>
      </w:r>
      <w:r w:rsidR="00650D14">
        <w:rPr>
          <w:rFonts w:ascii="Times New Roman" w:hAnsi="Times New Roman" w:cs="Times New Roman"/>
          <w:sz w:val="24"/>
          <w:szCs w:val="24"/>
        </w:rPr>
        <w:t>evolutions of social integration in that area</w:t>
      </w:r>
      <w:r w:rsidR="00282456">
        <w:rPr>
          <w:rFonts w:ascii="Times New Roman" w:hAnsi="Times New Roman" w:cs="Times New Roman"/>
          <w:sz w:val="24"/>
          <w:szCs w:val="24"/>
        </w:rPr>
        <w:t xml:space="preserve"> reflect</w:t>
      </w:r>
      <w:r w:rsidR="00650D14">
        <w:rPr>
          <w:rFonts w:ascii="Times New Roman" w:hAnsi="Times New Roman" w:cs="Times New Roman"/>
          <w:sz w:val="24"/>
          <w:szCs w:val="24"/>
        </w:rPr>
        <w:t xml:space="preserve"> an </w:t>
      </w:r>
      <w:r w:rsidR="004B0A47" w:rsidRPr="004F6FA9">
        <w:rPr>
          <w:rFonts w:ascii="Times New Roman" w:hAnsi="Times New Roman" w:cs="Times New Roman"/>
          <w:sz w:val="24"/>
          <w:szCs w:val="24"/>
        </w:rPr>
        <w:t>attempt to</w:t>
      </w:r>
      <w:r w:rsidR="001D3F49" w:rsidRPr="004F6FA9">
        <w:rPr>
          <w:rFonts w:ascii="Times New Roman" w:hAnsi="Times New Roman" w:cs="Times New Roman"/>
          <w:sz w:val="24"/>
          <w:szCs w:val="24"/>
        </w:rPr>
        <w:t xml:space="preserve"> be seen t</w:t>
      </w:r>
      <w:r w:rsidR="0086631A">
        <w:rPr>
          <w:rFonts w:ascii="Times New Roman" w:hAnsi="Times New Roman" w:cs="Times New Roman"/>
          <w:sz w:val="24"/>
          <w:szCs w:val="24"/>
        </w:rPr>
        <w:t>o be addressing perceived problems</w:t>
      </w:r>
      <w:r w:rsidR="001D3F49" w:rsidRPr="004F6FA9">
        <w:rPr>
          <w:rFonts w:ascii="Times New Roman" w:hAnsi="Times New Roman" w:cs="Times New Roman"/>
          <w:sz w:val="24"/>
          <w:szCs w:val="24"/>
        </w:rPr>
        <w:t xml:space="preserve"> with European integration. However, by </w:t>
      </w:r>
      <w:r w:rsidR="00BB7273" w:rsidRPr="004F6FA9">
        <w:rPr>
          <w:rFonts w:ascii="Times New Roman" w:hAnsi="Times New Roman" w:cs="Times New Roman"/>
          <w:sz w:val="24"/>
          <w:szCs w:val="24"/>
        </w:rPr>
        <w:t>artificially sectioning off</w:t>
      </w:r>
      <w:r w:rsidR="001D3F49" w:rsidRPr="004F6FA9">
        <w:rPr>
          <w:rFonts w:ascii="Times New Roman" w:hAnsi="Times New Roman" w:cs="Times New Roman"/>
          <w:sz w:val="24"/>
          <w:szCs w:val="24"/>
        </w:rPr>
        <w:t xml:space="preserve"> free movement of persons </w:t>
      </w:r>
      <w:r w:rsidR="00BB7273" w:rsidRPr="004F6FA9">
        <w:rPr>
          <w:rFonts w:ascii="Times New Roman" w:hAnsi="Times New Roman" w:cs="Times New Roman"/>
          <w:sz w:val="24"/>
          <w:szCs w:val="24"/>
        </w:rPr>
        <w:t>from the wider tensions</w:t>
      </w:r>
      <w:r w:rsidR="001D3F49" w:rsidRPr="004F6FA9">
        <w:rPr>
          <w:rFonts w:ascii="Times New Roman" w:hAnsi="Times New Roman" w:cs="Times New Roman"/>
          <w:sz w:val="24"/>
          <w:szCs w:val="24"/>
        </w:rPr>
        <w:t xml:space="preserve"> between </w:t>
      </w:r>
      <w:r w:rsidR="0086631A">
        <w:rPr>
          <w:rFonts w:ascii="Times New Roman" w:hAnsi="Times New Roman" w:cs="Times New Roman"/>
          <w:sz w:val="24"/>
          <w:szCs w:val="24"/>
        </w:rPr>
        <w:t xml:space="preserve">the market freedoms </w:t>
      </w:r>
      <w:r w:rsidR="001D3F49" w:rsidRPr="004F6FA9">
        <w:rPr>
          <w:rFonts w:ascii="Times New Roman" w:hAnsi="Times New Roman" w:cs="Times New Roman"/>
          <w:sz w:val="24"/>
          <w:szCs w:val="24"/>
        </w:rPr>
        <w:t>and the national</w:t>
      </w:r>
      <w:r w:rsidR="00BB7273" w:rsidRPr="004F6FA9">
        <w:rPr>
          <w:rFonts w:ascii="Times New Roman" w:hAnsi="Times New Roman" w:cs="Times New Roman"/>
          <w:sz w:val="24"/>
          <w:szCs w:val="24"/>
        </w:rPr>
        <w:t xml:space="preserve"> social space, the Court’s current approach risks over-emphasising the actual impact of this particular interaction</w:t>
      </w:r>
      <w:r w:rsidR="0001463A">
        <w:rPr>
          <w:rFonts w:ascii="Times New Roman" w:hAnsi="Times New Roman" w:cs="Times New Roman"/>
          <w:sz w:val="24"/>
          <w:szCs w:val="24"/>
        </w:rPr>
        <w:t>, legitimising rather than addressing under-founded concerns about EU immigration,</w:t>
      </w:r>
      <w:r w:rsidR="00BB7273" w:rsidRPr="004F6FA9">
        <w:rPr>
          <w:rFonts w:ascii="Times New Roman" w:hAnsi="Times New Roman" w:cs="Times New Roman"/>
          <w:sz w:val="24"/>
          <w:szCs w:val="24"/>
        </w:rPr>
        <w:t xml:space="preserve"> and undermining the Union’s own social goals by</w:t>
      </w:r>
      <w:r w:rsidR="0086631A">
        <w:rPr>
          <w:rFonts w:ascii="Times New Roman" w:hAnsi="Times New Roman" w:cs="Times New Roman"/>
          <w:sz w:val="24"/>
          <w:szCs w:val="24"/>
        </w:rPr>
        <w:t xml:space="preserve"> scapegoating</w:t>
      </w:r>
      <w:r w:rsidR="00BB7273" w:rsidRPr="004F6FA9">
        <w:rPr>
          <w:rFonts w:ascii="Times New Roman" w:hAnsi="Times New Roman" w:cs="Times New Roman"/>
          <w:sz w:val="24"/>
          <w:szCs w:val="24"/>
        </w:rPr>
        <w:t xml:space="preserve"> already marginalised sections of the EU pop</w:t>
      </w:r>
      <w:r w:rsidR="0086631A">
        <w:rPr>
          <w:rFonts w:ascii="Times New Roman" w:hAnsi="Times New Roman" w:cs="Times New Roman"/>
          <w:sz w:val="24"/>
          <w:szCs w:val="24"/>
        </w:rPr>
        <w:t>ulation</w:t>
      </w:r>
      <w:r w:rsidR="00964D28">
        <w:rPr>
          <w:rFonts w:ascii="Times New Roman" w:hAnsi="Times New Roman" w:cs="Times New Roman"/>
          <w:sz w:val="24"/>
          <w:szCs w:val="24"/>
        </w:rPr>
        <w:t>.</w:t>
      </w:r>
    </w:p>
    <w:p w:rsidR="00DB56A3" w:rsidRDefault="00DB56A3" w:rsidP="00DB56A3">
      <w:pPr>
        <w:pStyle w:val="NoSpacing"/>
        <w:spacing w:line="360" w:lineRule="auto"/>
        <w:jc w:val="both"/>
        <w:rPr>
          <w:rFonts w:ascii="Times New Roman" w:hAnsi="Times New Roman" w:cs="Times New Roman"/>
          <w:sz w:val="24"/>
          <w:szCs w:val="24"/>
        </w:rPr>
      </w:pPr>
    </w:p>
    <w:p w:rsidR="00DB56A3" w:rsidRPr="0001463A" w:rsidRDefault="0001463A" w:rsidP="00DB56A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VI.2 THE EMERGENCE OF A NEW ADJUDICATIVE APPROACH</w:t>
      </w:r>
    </w:p>
    <w:p w:rsidR="0001463A" w:rsidRDefault="0001463A" w:rsidP="002F33D2">
      <w:pPr>
        <w:pStyle w:val="NoSpacing"/>
        <w:spacing w:line="360" w:lineRule="auto"/>
        <w:jc w:val="both"/>
        <w:rPr>
          <w:rFonts w:ascii="Times New Roman" w:hAnsi="Times New Roman" w:cs="Times New Roman"/>
          <w:b/>
          <w:i/>
          <w:sz w:val="24"/>
          <w:szCs w:val="24"/>
        </w:rPr>
      </w:pPr>
    </w:p>
    <w:p w:rsidR="0001463A" w:rsidRDefault="004F6FA9"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Post-Lisbon, there has been an emerging acceptance of the need to alter the adjudicative framework in recognition of the Union’s broader in</w:t>
      </w:r>
      <w:r w:rsidR="00EA32AC">
        <w:rPr>
          <w:rFonts w:ascii="Times New Roman" w:hAnsi="Times New Roman" w:cs="Times New Roman"/>
          <w:sz w:val="24"/>
          <w:szCs w:val="24"/>
        </w:rPr>
        <w:t>tegrative aims, mainly from the Advocates General.</w:t>
      </w:r>
      <w:r w:rsidR="00A572A9">
        <w:rPr>
          <w:rFonts w:ascii="Times New Roman" w:hAnsi="Times New Roman" w:cs="Times New Roman"/>
          <w:sz w:val="24"/>
          <w:szCs w:val="24"/>
        </w:rPr>
        <w:t xml:space="preserve"> In </w:t>
      </w:r>
      <w:r w:rsidR="00A572A9">
        <w:rPr>
          <w:rFonts w:ascii="Times New Roman" w:hAnsi="Times New Roman" w:cs="Times New Roman"/>
          <w:i/>
          <w:sz w:val="24"/>
          <w:szCs w:val="24"/>
        </w:rPr>
        <w:t xml:space="preserve">Santos </w:t>
      </w:r>
      <w:proofErr w:type="spellStart"/>
      <w:r w:rsidR="00A572A9">
        <w:rPr>
          <w:rFonts w:ascii="Times New Roman" w:hAnsi="Times New Roman" w:cs="Times New Roman"/>
          <w:i/>
          <w:sz w:val="24"/>
          <w:szCs w:val="24"/>
        </w:rPr>
        <w:t>Palhota</w:t>
      </w:r>
      <w:proofErr w:type="spellEnd"/>
      <w:r w:rsidR="00A572A9">
        <w:rPr>
          <w:rFonts w:ascii="Times New Roman" w:hAnsi="Times New Roman" w:cs="Times New Roman"/>
          <w:i/>
          <w:sz w:val="24"/>
          <w:szCs w:val="24"/>
        </w:rPr>
        <w:t>,</w:t>
      </w:r>
      <w:r w:rsidR="00A572A9" w:rsidRPr="004F6FA9">
        <w:rPr>
          <w:rStyle w:val="FootnoteReference"/>
          <w:rFonts w:ascii="Times New Roman" w:hAnsi="Times New Roman" w:cs="Times New Roman"/>
          <w:sz w:val="24"/>
          <w:szCs w:val="24"/>
        </w:rPr>
        <w:footnoteReference w:id="262"/>
      </w:r>
      <w:r w:rsidR="00A572A9">
        <w:rPr>
          <w:rFonts w:ascii="Times New Roman" w:hAnsi="Times New Roman" w:cs="Times New Roman"/>
          <w:i/>
          <w:sz w:val="24"/>
          <w:szCs w:val="24"/>
        </w:rPr>
        <w:t xml:space="preserve"> </w:t>
      </w:r>
      <w:r w:rsidR="00EA32AC">
        <w:rPr>
          <w:rFonts w:ascii="Times New Roman" w:hAnsi="Times New Roman" w:cs="Times New Roman"/>
          <w:sz w:val="24"/>
          <w:szCs w:val="24"/>
        </w:rPr>
        <w:t>Advocat</w:t>
      </w:r>
      <w:r w:rsidR="00A572A9">
        <w:rPr>
          <w:rFonts w:ascii="Times New Roman" w:hAnsi="Times New Roman" w:cs="Times New Roman"/>
          <w:sz w:val="24"/>
          <w:szCs w:val="24"/>
        </w:rPr>
        <w:t xml:space="preserve">e General Cruz </w:t>
      </w:r>
      <w:proofErr w:type="spellStart"/>
      <w:r w:rsidR="00A572A9">
        <w:rPr>
          <w:rFonts w:ascii="Times New Roman" w:hAnsi="Times New Roman" w:cs="Times New Roman"/>
          <w:sz w:val="24"/>
          <w:szCs w:val="24"/>
        </w:rPr>
        <w:t>Villalón</w:t>
      </w:r>
      <w:proofErr w:type="spellEnd"/>
      <w:r w:rsidR="00A572A9">
        <w:rPr>
          <w:rFonts w:ascii="Times New Roman" w:hAnsi="Times New Roman" w:cs="Times New Roman"/>
          <w:sz w:val="24"/>
          <w:szCs w:val="24"/>
        </w:rPr>
        <w:t xml:space="preserve"> posited </w:t>
      </w:r>
      <w:r>
        <w:rPr>
          <w:rFonts w:ascii="Times New Roman" w:hAnsi="Times New Roman" w:cs="Times New Roman"/>
          <w:sz w:val="24"/>
          <w:szCs w:val="24"/>
        </w:rPr>
        <w:t xml:space="preserve">that the changes brought about by the Lisbon Treaty, specifically Article 9 TEU, Article 3(3) TEU and the primary status of the Charter, required a different approach to restrictions placed on free movement as </w:t>
      </w:r>
      <w:r w:rsidR="00A572A9">
        <w:rPr>
          <w:rFonts w:ascii="Times New Roman" w:hAnsi="Times New Roman" w:cs="Times New Roman"/>
          <w:sz w:val="24"/>
          <w:szCs w:val="24"/>
        </w:rPr>
        <w:t>a result of social policy. W</w:t>
      </w:r>
      <w:r>
        <w:rPr>
          <w:rFonts w:ascii="Times New Roman" w:hAnsi="Times New Roman" w:cs="Times New Roman"/>
          <w:sz w:val="24"/>
          <w:szCs w:val="24"/>
        </w:rPr>
        <w:t>orker protection</w:t>
      </w:r>
      <w:r w:rsidR="00A572A9">
        <w:rPr>
          <w:rFonts w:ascii="Times New Roman" w:hAnsi="Times New Roman" w:cs="Times New Roman"/>
          <w:sz w:val="24"/>
          <w:szCs w:val="24"/>
        </w:rPr>
        <w:t xml:space="preserve">, for example, </w:t>
      </w:r>
      <w:r w:rsidR="0001463A">
        <w:rPr>
          <w:rFonts w:ascii="Times New Roman" w:hAnsi="Times New Roman" w:cs="Times New Roman"/>
          <w:sz w:val="24"/>
          <w:szCs w:val="24"/>
        </w:rPr>
        <w:t>could no longer be viewed as a “</w:t>
      </w:r>
      <w:r>
        <w:rPr>
          <w:rFonts w:ascii="Times New Roman" w:hAnsi="Times New Roman" w:cs="Times New Roman"/>
          <w:sz w:val="24"/>
          <w:szCs w:val="24"/>
        </w:rPr>
        <w:t>simple derogation from a freedom, still less an unwritten exception inferred from case-law</w:t>
      </w:r>
      <w:r w:rsidR="0001463A">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3"/>
      </w:r>
      <w:r>
        <w:rPr>
          <w:rFonts w:ascii="Times New Roman" w:hAnsi="Times New Roman" w:cs="Times New Roman"/>
          <w:sz w:val="24"/>
          <w:szCs w:val="24"/>
        </w:rPr>
        <w:t xml:space="preserve"> Insofar as the Treaty </w:t>
      </w:r>
      <w:r w:rsidR="004F7170">
        <w:rPr>
          <w:rFonts w:ascii="Times New Roman" w:hAnsi="Times New Roman" w:cs="Times New Roman"/>
          <w:sz w:val="24"/>
          <w:szCs w:val="24"/>
        </w:rPr>
        <w:t>seeks to work towards a</w:t>
      </w:r>
      <w:r>
        <w:rPr>
          <w:rFonts w:ascii="Times New Roman" w:hAnsi="Times New Roman" w:cs="Times New Roman"/>
          <w:sz w:val="24"/>
          <w:szCs w:val="24"/>
        </w:rPr>
        <w:t xml:space="preserve"> high level of social protection</w:t>
      </w:r>
      <w:r w:rsidR="004F7170">
        <w:rPr>
          <w:rFonts w:ascii="Times New Roman" w:hAnsi="Times New Roman" w:cs="Times New Roman"/>
          <w:sz w:val="24"/>
          <w:szCs w:val="24"/>
        </w:rPr>
        <w:t>,</w:t>
      </w:r>
      <w:r w:rsidR="004F7170">
        <w:rPr>
          <w:rStyle w:val="FootnoteReference"/>
          <w:rFonts w:ascii="Times New Roman" w:hAnsi="Times New Roman" w:cs="Times New Roman"/>
          <w:sz w:val="24"/>
          <w:szCs w:val="24"/>
        </w:rPr>
        <w:footnoteReference w:id="264"/>
      </w:r>
      <w:r w:rsidR="0001463A">
        <w:rPr>
          <w:rFonts w:ascii="Times New Roman" w:hAnsi="Times New Roman" w:cs="Times New Roman"/>
          <w:sz w:val="24"/>
          <w:szCs w:val="24"/>
        </w:rPr>
        <w:t xml:space="preserve"> it “authorises the Member States”</w:t>
      </w:r>
      <w:r w:rsidR="004F7170">
        <w:rPr>
          <w:rFonts w:ascii="Times New Roman" w:hAnsi="Times New Roman" w:cs="Times New Roman"/>
          <w:sz w:val="24"/>
          <w:szCs w:val="24"/>
        </w:rPr>
        <w:t xml:space="preserve">, for the purposes of safeguarding social protection, to restrict the fundamental freedoms and to do so </w:t>
      </w:r>
      <w:r w:rsidR="004F7170">
        <w:rPr>
          <w:rFonts w:ascii="Times New Roman" w:hAnsi="Times New Roman" w:cs="Times New Roman"/>
          <w:i/>
          <w:sz w:val="24"/>
          <w:szCs w:val="24"/>
        </w:rPr>
        <w:t>without</w:t>
      </w:r>
      <w:r w:rsidR="004F7170">
        <w:rPr>
          <w:rFonts w:ascii="Times New Roman" w:hAnsi="Times New Roman" w:cs="Times New Roman"/>
          <w:sz w:val="24"/>
          <w:szCs w:val="24"/>
        </w:rPr>
        <w:t xml:space="preserve"> Union law  regarding this as something</w:t>
      </w:r>
      <w:r w:rsidR="0001463A">
        <w:rPr>
          <w:rFonts w:ascii="Times New Roman" w:hAnsi="Times New Roman" w:cs="Times New Roman"/>
          <w:sz w:val="24"/>
          <w:szCs w:val="24"/>
        </w:rPr>
        <w:t xml:space="preserve"> “exceptional”, requiring “strict”</w:t>
      </w:r>
      <w:r w:rsidR="004F7170">
        <w:rPr>
          <w:rFonts w:ascii="Times New Roman" w:hAnsi="Times New Roman" w:cs="Times New Roman"/>
          <w:sz w:val="24"/>
          <w:szCs w:val="24"/>
        </w:rPr>
        <w:t xml:space="preserve"> interpretation.</w:t>
      </w:r>
      <w:r w:rsidR="004F7170">
        <w:rPr>
          <w:rStyle w:val="FootnoteReference"/>
          <w:rFonts w:ascii="Times New Roman" w:hAnsi="Times New Roman" w:cs="Times New Roman"/>
          <w:sz w:val="24"/>
          <w:szCs w:val="24"/>
        </w:rPr>
        <w:footnoteReference w:id="265"/>
      </w:r>
      <w:r w:rsidR="00EA32AC">
        <w:rPr>
          <w:rFonts w:ascii="Times New Roman" w:hAnsi="Times New Roman" w:cs="Times New Roman"/>
          <w:sz w:val="24"/>
          <w:szCs w:val="24"/>
        </w:rPr>
        <w:t xml:space="preserve"> Since the proportionality assessment had to be particularly </w:t>
      </w:r>
      <w:r w:rsidR="004F7170">
        <w:rPr>
          <w:rFonts w:ascii="Times New Roman" w:hAnsi="Times New Roman" w:cs="Times New Roman"/>
          <w:sz w:val="24"/>
          <w:szCs w:val="24"/>
        </w:rPr>
        <w:t>sensitive to t</w:t>
      </w:r>
      <w:r w:rsidR="00EA32AC">
        <w:rPr>
          <w:rFonts w:ascii="Times New Roman" w:hAnsi="Times New Roman" w:cs="Times New Roman"/>
          <w:sz w:val="24"/>
          <w:szCs w:val="24"/>
        </w:rPr>
        <w:t>he social protection of workers,</w:t>
      </w:r>
      <w:r w:rsidR="004F7170">
        <w:rPr>
          <w:rStyle w:val="FootnoteReference"/>
          <w:rFonts w:ascii="Times New Roman" w:hAnsi="Times New Roman" w:cs="Times New Roman"/>
          <w:sz w:val="24"/>
          <w:szCs w:val="24"/>
        </w:rPr>
        <w:footnoteReference w:id="266"/>
      </w:r>
      <w:r w:rsidR="004F7170">
        <w:rPr>
          <w:rFonts w:ascii="Times New Roman" w:hAnsi="Times New Roman" w:cs="Times New Roman"/>
          <w:sz w:val="24"/>
          <w:szCs w:val="24"/>
        </w:rPr>
        <w:t xml:space="preserve"> Advocate General Cruz </w:t>
      </w:r>
      <w:proofErr w:type="spellStart"/>
      <w:r w:rsidR="004F7170">
        <w:rPr>
          <w:rFonts w:ascii="Times New Roman" w:hAnsi="Times New Roman" w:cs="Times New Roman"/>
          <w:sz w:val="24"/>
          <w:szCs w:val="24"/>
        </w:rPr>
        <w:t>Villalón</w:t>
      </w:r>
      <w:proofErr w:type="spellEnd"/>
      <w:r w:rsidR="004F7170">
        <w:rPr>
          <w:rFonts w:ascii="Times New Roman" w:hAnsi="Times New Roman" w:cs="Times New Roman"/>
          <w:sz w:val="24"/>
          <w:szCs w:val="24"/>
        </w:rPr>
        <w:t xml:space="preserve"> </w:t>
      </w:r>
      <w:r w:rsidR="00A572A9">
        <w:rPr>
          <w:rFonts w:ascii="Times New Roman" w:hAnsi="Times New Roman" w:cs="Times New Roman"/>
          <w:sz w:val="24"/>
          <w:szCs w:val="24"/>
        </w:rPr>
        <w:t xml:space="preserve">was  able  </w:t>
      </w:r>
      <w:r w:rsidR="004F7170">
        <w:rPr>
          <w:rFonts w:ascii="Times New Roman" w:hAnsi="Times New Roman" w:cs="Times New Roman"/>
          <w:sz w:val="24"/>
          <w:szCs w:val="24"/>
        </w:rPr>
        <w:t>not only</w:t>
      </w:r>
      <w:r w:rsidR="00A572A9">
        <w:rPr>
          <w:rFonts w:ascii="Times New Roman" w:hAnsi="Times New Roman" w:cs="Times New Roman"/>
          <w:sz w:val="24"/>
          <w:szCs w:val="24"/>
        </w:rPr>
        <w:t xml:space="preserve"> to</w:t>
      </w:r>
      <w:r w:rsidR="004F7170">
        <w:rPr>
          <w:rFonts w:ascii="Times New Roman" w:hAnsi="Times New Roman" w:cs="Times New Roman"/>
          <w:sz w:val="24"/>
          <w:szCs w:val="24"/>
        </w:rPr>
        <w:t xml:space="preserve"> consider whether measures less restrictive of </w:t>
      </w:r>
      <w:r w:rsidR="004F7170">
        <w:rPr>
          <w:rFonts w:ascii="Times New Roman" w:hAnsi="Times New Roman" w:cs="Times New Roman"/>
          <w:sz w:val="24"/>
          <w:szCs w:val="24"/>
        </w:rPr>
        <w:lastRenderedPageBreak/>
        <w:t xml:space="preserve">free movement were available but whether these would be as </w:t>
      </w:r>
      <w:r w:rsidR="004F7170">
        <w:rPr>
          <w:rFonts w:ascii="Times New Roman" w:hAnsi="Times New Roman" w:cs="Times New Roman"/>
          <w:i/>
          <w:sz w:val="24"/>
          <w:szCs w:val="24"/>
        </w:rPr>
        <w:t>effective</w:t>
      </w:r>
      <w:r w:rsidR="004F7170">
        <w:rPr>
          <w:rFonts w:ascii="Times New Roman" w:hAnsi="Times New Roman" w:cs="Times New Roman"/>
          <w:sz w:val="24"/>
          <w:szCs w:val="24"/>
        </w:rPr>
        <w:t xml:space="preserve"> in achieving the goal of social protection.</w:t>
      </w:r>
      <w:r w:rsidR="004F7170">
        <w:rPr>
          <w:rStyle w:val="FootnoteReference"/>
          <w:rFonts w:ascii="Times New Roman" w:hAnsi="Times New Roman" w:cs="Times New Roman"/>
          <w:sz w:val="24"/>
          <w:szCs w:val="24"/>
        </w:rPr>
        <w:footnoteReference w:id="267"/>
      </w:r>
    </w:p>
    <w:p w:rsidR="0001463A" w:rsidRDefault="00E45228" w:rsidP="0001463A">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Similarly,</w:t>
      </w:r>
      <w:r w:rsidR="00A572A9">
        <w:rPr>
          <w:rFonts w:ascii="Times New Roman" w:hAnsi="Times New Roman" w:cs="Times New Roman"/>
          <w:sz w:val="24"/>
          <w:szCs w:val="24"/>
        </w:rPr>
        <w:t xml:space="preserve"> Advocate General </w:t>
      </w:r>
      <w:proofErr w:type="spellStart"/>
      <w:r w:rsidR="00A572A9">
        <w:rPr>
          <w:rFonts w:ascii="Times New Roman" w:hAnsi="Times New Roman" w:cs="Times New Roman"/>
          <w:sz w:val="24"/>
          <w:szCs w:val="24"/>
        </w:rPr>
        <w:t>Trstenjak</w:t>
      </w:r>
      <w:proofErr w:type="spellEnd"/>
      <w:r w:rsidR="00A572A9">
        <w:rPr>
          <w:rFonts w:ascii="Times New Roman" w:hAnsi="Times New Roman" w:cs="Times New Roman"/>
          <w:sz w:val="24"/>
          <w:szCs w:val="24"/>
        </w:rPr>
        <w:t xml:space="preserve"> argued in </w:t>
      </w:r>
      <w:r w:rsidR="004F7170">
        <w:rPr>
          <w:rFonts w:ascii="Times New Roman" w:hAnsi="Times New Roman" w:cs="Times New Roman"/>
          <w:i/>
          <w:sz w:val="24"/>
          <w:szCs w:val="24"/>
        </w:rPr>
        <w:t>Commission v Germany</w:t>
      </w:r>
      <w:r w:rsidR="004F7170">
        <w:rPr>
          <w:rStyle w:val="FootnoteReference"/>
          <w:rFonts w:ascii="Times New Roman" w:hAnsi="Times New Roman" w:cs="Times New Roman"/>
          <w:sz w:val="24"/>
          <w:szCs w:val="24"/>
        </w:rPr>
        <w:footnoteReference w:id="268"/>
      </w:r>
      <w:r>
        <w:rPr>
          <w:rFonts w:ascii="Times New Roman" w:hAnsi="Times New Roman" w:cs="Times New Roman"/>
          <w:sz w:val="24"/>
          <w:szCs w:val="24"/>
        </w:rPr>
        <w:t xml:space="preserve"> that exposing fundamental social rights to</w:t>
      </w:r>
      <w:r w:rsidR="00A572A9">
        <w:rPr>
          <w:rFonts w:ascii="Times New Roman" w:hAnsi="Times New Roman" w:cs="Times New Roman"/>
          <w:sz w:val="24"/>
          <w:szCs w:val="24"/>
        </w:rPr>
        <w:t xml:space="preserve"> a</w:t>
      </w:r>
      <w:r>
        <w:rPr>
          <w:rFonts w:ascii="Times New Roman" w:hAnsi="Times New Roman" w:cs="Times New Roman"/>
          <w:sz w:val="24"/>
          <w:szCs w:val="24"/>
        </w:rPr>
        <w:t xml:space="preserve"> one-sided </w:t>
      </w:r>
      <w:r w:rsidR="00A572A9">
        <w:rPr>
          <w:rFonts w:ascii="Times New Roman" w:hAnsi="Times New Roman" w:cs="Times New Roman"/>
          <w:sz w:val="24"/>
          <w:szCs w:val="24"/>
        </w:rPr>
        <w:t>proportionality assessment</w:t>
      </w:r>
      <w:r>
        <w:rPr>
          <w:rStyle w:val="FootnoteReference"/>
          <w:rFonts w:ascii="Times New Roman" w:hAnsi="Times New Roman" w:cs="Times New Roman"/>
          <w:sz w:val="24"/>
          <w:szCs w:val="24"/>
        </w:rPr>
        <w:footnoteReference w:id="269"/>
      </w:r>
      <w:r>
        <w:rPr>
          <w:rFonts w:ascii="Times New Roman" w:hAnsi="Times New Roman" w:cs="Times New Roman"/>
          <w:sz w:val="24"/>
          <w:szCs w:val="24"/>
        </w:rPr>
        <w:t xml:space="preserve"> </w:t>
      </w:r>
      <w:r w:rsidR="0001463A">
        <w:rPr>
          <w:rFonts w:ascii="Times New Roman" w:hAnsi="Times New Roman" w:cs="Times New Roman"/>
          <w:sz w:val="24"/>
          <w:szCs w:val="24"/>
        </w:rPr>
        <w:t>sat “</w:t>
      </w:r>
      <w:r w:rsidR="00F65347">
        <w:rPr>
          <w:rFonts w:ascii="Times New Roman" w:hAnsi="Times New Roman" w:cs="Times New Roman"/>
          <w:sz w:val="24"/>
          <w:szCs w:val="24"/>
        </w:rPr>
        <w:t>uncomfortably alongside the principle of equal ranking for f</w:t>
      </w:r>
      <w:r w:rsidR="0001463A">
        <w:rPr>
          <w:rFonts w:ascii="Times New Roman" w:hAnsi="Times New Roman" w:cs="Times New Roman"/>
          <w:sz w:val="24"/>
          <w:szCs w:val="24"/>
        </w:rPr>
        <w:t>undamental rights and freedoms”</w:t>
      </w:r>
      <w:r>
        <w:rPr>
          <w:rFonts w:ascii="Times New Roman" w:hAnsi="Times New Roman" w:cs="Times New Roman"/>
          <w:sz w:val="24"/>
          <w:szCs w:val="24"/>
        </w:rPr>
        <w:t>.</w:t>
      </w:r>
      <w:r w:rsidR="00F65347">
        <w:rPr>
          <w:rStyle w:val="FootnoteReference"/>
          <w:rFonts w:ascii="Times New Roman" w:hAnsi="Times New Roman" w:cs="Times New Roman"/>
          <w:sz w:val="24"/>
          <w:szCs w:val="24"/>
        </w:rPr>
        <w:footnoteReference w:id="270"/>
      </w:r>
      <w:r w:rsidR="009C4DCC">
        <w:rPr>
          <w:rFonts w:ascii="Times New Roman" w:hAnsi="Times New Roman" w:cs="Times New Roman"/>
          <w:sz w:val="24"/>
          <w:szCs w:val="24"/>
        </w:rPr>
        <w:t xml:space="preserve"> </w:t>
      </w:r>
      <w:r w:rsidR="00A572A9">
        <w:rPr>
          <w:rFonts w:ascii="Times New Roman" w:hAnsi="Times New Roman" w:cs="Times New Roman"/>
          <w:sz w:val="24"/>
          <w:szCs w:val="24"/>
        </w:rPr>
        <w:t>She called</w:t>
      </w:r>
      <w:r w:rsidR="009C4DCC">
        <w:rPr>
          <w:rFonts w:ascii="Times New Roman" w:hAnsi="Times New Roman" w:cs="Times New Roman"/>
          <w:sz w:val="24"/>
          <w:szCs w:val="24"/>
        </w:rPr>
        <w:t xml:space="preserve"> instead for a methodology that sought the optimum effectiveness of both goals, through a reciprocal assessment of free movement and, in this case, collective bargaining, on one another.</w:t>
      </w:r>
      <w:r w:rsidR="00E911DA">
        <w:rPr>
          <w:rStyle w:val="FootnoteReference"/>
          <w:rFonts w:ascii="Times New Roman" w:hAnsi="Times New Roman" w:cs="Times New Roman"/>
          <w:sz w:val="24"/>
          <w:szCs w:val="24"/>
        </w:rPr>
        <w:footnoteReference w:id="271"/>
      </w:r>
      <w:r w:rsidR="009C4DCC">
        <w:rPr>
          <w:rFonts w:ascii="Times New Roman" w:hAnsi="Times New Roman" w:cs="Times New Roman"/>
          <w:sz w:val="24"/>
          <w:szCs w:val="24"/>
        </w:rPr>
        <w:t xml:space="preserve"> A</w:t>
      </w:r>
      <w:r w:rsidR="00CA3A47">
        <w:rPr>
          <w:rFonts w:ascii="Times New Roman" w:hAnsi="Times New Roman" w:cs="Times New Roman"/>
          <w:sz w:val="24"/>
          <w:szCs w:val="24"/>
        </w:rPr>
        <w:t>lthough the Court</w:t>
      </w:r>
      <w:r w:rsidR="00E911DA">
        <w:rPr>
          <w:rFonts w:ascii="Times New Roman" w:hAnsi="Times New Roman" w:cs="Times New Roman"/>
          <w:sz w:val="24"/>
          <w:szCs w:val="24"/>
        </w:rPr>
        <w:t xml:space="preserve"> was not as explicit as its Advocate General in opting for a</w:t>
      </w:r>
      <w:r w:rsidR="009C4DCC">
        <w:rPr>
          <w:rFonts w:ascii="Times New Roman" w:hAnsi="Times New Roman" w:cs="Times New Roman"/>
          <w:sz w:val="24"/>
          <w:szCs w:val="24"/>
        </w:rPr>
        <w:t xml:space="preserve"> new model of adjudication</w:t>
      </w:r>
      <w:r w:rsidR="00E911DA">
        <w:rPr>
          <w:rFonts w:ascii="Times New Roman" w:hAnsi="Times New Roman" w:cs="Times New Roman"/>
          <w:sz w:val="24"/>
          <w:szCs w:val="24"/>
        </w:rPr>
        <w:t xml:space="preserve">, </w:t>
      </w:r>
      <w:r w:rsidR="005768F8">
        <w:rPr>
          <w:rFonts w:ascii="Times New Roman" w:hAnsi="Times New Roman" w:cs="Times New Roman"/>
          <w:sz w:val="24"/>
          <w:szCs w:val="24"/>
        </w:rPr>
        <w:t>there is still evidence that it saw the need for a more holistic approach to the Treaties.</w:t>
      </w:r>
      <w:r w:rsidR="005768F8">
        <w:rPr>
          <w:rStyle w:val="FootnoteReference"/>
          <w:rFonts w:ascii="Times New Roman" w:hAnsi="Times New Roman" w:cs="Times New Roman"/>
          <w:sz w:val="24"/>
          <w:szCs w:val="24"/>
        </w:rPr>
        <w:footnoteReference w:id="272"/>
      </w:r>
      <w:r w:rsidR="00F65347">
        <w:rPr>
          <w:rFonts w:ascii="Times New Roman" w:hAnsi="Times New Roman" w:cs="Times New Roman"/>
          <w:sz w:val="24"/>
          <w:szCs w:val="24"/>
        </w:rPr>
        <w:t xml:space="preserve"> </w:t>
      </w:r>
      <w:r w:rsidR="005768F8">
        <w:rPr>
          <w:rFonts w:ascii="Times New Roman" w:hAnsi="Times New Roman" w:cs="Times New Roman"/>
          <w:sz w:val="24"/>
          <w:szCs w:val="24"/>
        </w:rPr>
        <w:t xml:space="preserve">Rather than running the legal issue through the two-stage breach/justification model, the Court </w:t>
      </w:r>
      <w:r w:rsidR="0001463A">
        <w:rPr>
          <w:rFonts w:ascii="Times New Roman" w:hAnsi="Times New Roman" w:cs="Times New Roman"/>
          <w:sz w:val="24"/>
          <w:szCs w:val="24"/>
        </w:rPr>
        <w:t>spoke of “</w:t>
      </w:r>
      <w:r w:rsidR="009C4DCC">
        <w:rPr>
          <w:rFonts w:ascii="Times New Roman" w:hAnsi="Times New Roman" w:cs="Times New Roman"/>
          <w:sz w:val="24"/>
          <w:szCs w:val="24"/>
        </w:rPr>
        <w:t xml:space="preserve">reconciling </w:t>
      </w:r>
      <w:r w:rsidR="005768F8">
        <w:rPr>
          <w:rFonts w:ascii="Times New Roman" w:hAnsi="Times New Roman" w:cs="Times New Roman"/>
          <w:sz w:val="24"/>
          <w:szCs w:val="24"/>
        </w:rPr>
        <w:t>com</w:t>
      </w:r>
      <w:r w:rsidR="00EA32AC">
        <w:rPr>
          <w:rFonts w:ascii="Times New Roman" w:hAnsi="Times New Roman" w:cs="Times New Roman"/>
          <w:sz w:val="24"/>
          <w:szCs w:val="24"/>
        </w:rPr>
        <w:t>p</w:t>
      </w:r>
      <w:r w:rsidR="0001463A">
        <w:rPr>
          <w:rFonts w:ascii="Times New Roman" w:hAnsi="Times New Roman" w:cs="Times New Roman"/>
          <w:sz w:val="24"/>
          <w:szCs w:val="24"/>
        </w:rPr>
        <w:t>eting interests”</w:t>
      </w:r>
      <w:r w:rsidR="009C4DCC">
        <w:rPr>
          <w:rFonts w:ascii="Times New Roman" w:hAnsi="Times New Roman" w:cs="Times New Roman"/>
          <w:sz w:val="24"/>
          <w:szCs w:val="24"/>
        </w:rPr>
        <w:t>,</w:t>
      </w:r>
      <w:r w:rsidR="009C4DCC">
        <w:rPr>
          <w:rStyle w:val="FootnoteReference"/>
          <w:rFonts w:ascii="Times New Roman" w:hAnsi="Times New Roman" w:cs="Times New Roman"/>
          <w:sz w:val="24"/>
          <w:szCs w:val="24"/>
        </w:rPr>
        <w:footnoteReference w:id="273"/>
      </w:r>
      <w:r w:rsidR="009C4DCC">
        <w:rPr>
          <w:rFonts w:ascii="Times New Roman" w:hAnsi="Times New Roman" w:cs="Times New Roman"/>
          <w:sz w:val="24"/>
          <w:szCs w:val="24"/>
        </w:rPr>
        <w:t xml:space="preserve"> and achieving</w:t>
      </w:r>
      <w:r w:rsidR="0001463A">
        <w:rPr>
          <w:rFonts w:ascii="Times New Roman" w:hAnsi="Times New Roman" w:cs="Times New Roman"/>
          <w:sz w:val="24"/>
          <w:szCs w:val="24"/>
        </w:rPr>
        <w:t xml:space="preserve"> “</w:t>
      </w:r>
      <w:r w:rsidR="005768F8">
        <w:rPr>
          <w:rFonts w:ascii="Times New Roman" w:hAnsi="Times New Roman" w:cs="Times New Roman"/>
          <w:sz w:val="24"/>
          <w:szCs w:val="24"/>
        </w:rPr>
        <w:t>a fair balance</w:t>
      </w:r>
      <w:r w:rsidR="0001463A">
        <w:rPr>
          <w:rFonts w:ascii="Times New Roman" w:hAnsi="Times New Roman" w:cs="Times New Roman"/>
          <w:sz w:val="24"/>
          <w:szCs w:val="24"/>
        </w:rPr>
        <w:t>”</w:t>
      </w:r>
      <w:r w:rsidR="00A572A9">
        <w:rPr>
          <w:rFonts w:ascii="Times New Roman" w:hAnsi="Times New Roman" w:cs="Times New Roman"/>
          <w:sz w:val="24"/>
          <w:szCs w:val="24"/>
        </w:rPr>
        <w:t xml:space="preserve"> between them.</w:t>
      </w:r>
      <w:r w:rsidR="005768F8">
        <w:rPr>
          <w:rStyle w:val="FootnoteReference"/>
          <w:rFonts w:ascii="Times New Roman" w:hAnsi="Times New Roman" w:cs="Times New Roman"/>
          <w:sz w:val="24"/>
          <w:szCs w:val="24"/>
        </w:rPr>
        <w:footnoteReference w:id="274"/>
      </w:r>
    </w:p>
    <w:p w:rsidR="0001463A" w:rsidRDefault="009C4DCC" w:rsidP="0001463A">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Since then, however, apart from its recent decision, in </w:t>
      </w:r>
      <w:proofErr w:type="spellStart"/>
      <w:r>
        <w:rPr>
          <w:rFonts w:ascii="Times New Roman" w:hAnsi="Times New Roman" w:cs="Times New Roman"/>
          <w:i/>
          <w:sz w:val="24"/>
          <w:szCs w:val="24"/>
        </w:rPr>
        <w:t>RegioPost</w:t>
      </w:r>
      <w:proofErr w:type="spellEnd"/>
      <w:r w:rsidR="00C72B73">
        <w:rPr>
          <w:rStyle w:val="FootnoteReference"/>
          <w:rFonts w:ascii="Times New Roman" w:hAnsi="Times New Roman" w:cs="Times New Roman"/>
          <w:sz w:val="24"/>
          <w:szCs w:val="24"/>
        </w:rPr>
        <w:footnoteReference w:id="275"/>
      </w:r>
      <w:r w:rsidR="00FB1933">
        <w:rPr>
          <w:rFonts w:ascii="Times New Roman" w:hAnsi="Times New Roman" w:cs="Times New Roman"/>
          <w:i/>
          <w:sz w:val="24"/>
          <w:szCs w:val="24"/>
        </w:rPr>
        <w:t xml:space="preserve"> </w:t>
      </w:r>
      <w:r w:rsidR="00FB1933">
        <w:rPr>
          <w:rFonts w:ascii="Times New Roman" w:hAnsi="Times New Roman" w:cs="Times New Roman"/>
          <w:sz w:val="24"/>
          <w:szCs w:val="24"/>
        </w:rPr>
        <w:t xml:space="preserve">- </w:t>
      </w:r>
      <w:r w:rsidR="00C72B73">
        <w:rPr>
          <w:rFonts w:ascii="Times New Roman" w:hAnsi="Times New Roman" w:cs="Times New Roman"/>
          <w:sz w:val="24"/>
          <w:szCs w:val="24"/>
        </w:rPr>
        <w:t xml:space="preserve">to </w:t>
      </w:r>
      <w:r>
        <w:rPr>
          <w:rFonts w:ascii="Times New Roman" w:hAnsi="Times New Roman" w:cs="Times New Roman"/>
          <w:sz w:val="24"/>
          <w:szCs w:val="24"/>
        </w:rPr>
        <w:t>allow local authorities to</w:t>
      </w:r>
      <w:r w:rsidR="001531BD">
        <w:rPr>
          <w:rFonts w:ascii="Times New Roman" w:hAnsi="Times New Roman" w:cs="Times New Roman"/>
          <w:sz w:val="24"/>
          <w:szCs w:val="24"/>
        </w:rPr>
        <w:t xml:space="preserve"> use public procurement to pursue</w:t>
      </w:r>
      <w:r>
        <w:rPr>
          <w:rFonts w:ascii="Times New Roman" w:hAnsi="Times New Roman" w:cs="Times New Roman"/>
          <w:sz w:val="24"/>
          <w:szCs w:val="24"/>
        </w:rPr>
        <w:t xml:space="preserve"> </w:t>
      </w:r>
      <w:r w:rsidR="007C094D">
        <w:rPr>
          <w:rFonts w:ascii="Times New Roman" w:hAnsi="Times New Roman" w:cs="Times New Roman"/>
          <w:sz w:val="24"/>
          <w:szCs w:val="24"/>
        </w:rPr>
        <w:t xml:space="preserve">certain </w:t>
      </w:r>
      <w:r>
        <w:rPr>
          <w:rFonts w:ascii="Times New Roman" w:hAnsi="Times New Roman" w:cs="Times New Roman"/>
          <w:sz w:val="24"/>
          <w:szCs w:val="24"/>
        </w:rPr>
        <w:t>social policy objectives</w:t>
      </w:r>
      <w:r w:rsidR="009D6073">
        <w:rPr>
          <w:rFonts w:ascii="Times New Roman" w:hAnsi="Times New Roman" w:cs="Times New Roman"/>
          <w:sz w:val="24"/>
          <w:szCs w:val="24"/>
        </w:rPr>
        <w:t>, regardless</w:t>
      </w:r>
      <w:r w:rsidR="00C72B73">
        <w:rPr>
          <w:rFonts w:ascii="Times New Roman" w:hAnsi="Times New Roman" w:cs="Times New Roman"/>
          <w:sz w:val="24"/>
          <w:szCs w:val="24"/>
        </w:rPr>
        <w:t xml:space="preserve"> of its previous finding in </w:t>
      </w:r>
      <w:proofErr w:type="spellStart"/>
      <w:r w:rsidR="00C72B73">
        <w:rPr>
          <w:rFonts w:ascii="Times New Roman" w:hAnsi="Times New Roman" w:cs="Times New Roman"/>
          <w:i/>
          <w:sz w:val="24"/>
          <w:szCs w:val="24"/>
        </w:rPr>
        <w:t>Rüffert</w:t>
      </w:r>
      <w:proofErr w:type="spellEnd"/>
      <w:r w:rsidR="00C72B73">
        <w:rPr>
          <w:rStyle w:val="FootnoteReference"/>
          <w:rFonts w:ascii="Times New Roman" w:hAnsi="Times New Roman" w:cs="Times New Roman"/>
          <w:sz w:val="24"/>
          <w:szCs w:val="24"/>
        </w:rPr>
        <w:footnoteReference w:id="276"/>
      </w:r>
      <w:r w:rsidR="00C72B73">
        <w:rPr>
          <w:rFonts w:ascii="Times New Roman" w:hAnsi="Times New Roman" w:cs="Times New Roman"/>
          <w:sz w:val="24"/>
          <w:szCs w:val="24"/>
        </w:rPr>
        <w:t xml:space="preserve"> that this could constitute a breach of</w:t>
      </w:r>
      <w:r w:rsidR="001531BD">
        <w:rPr>
          <w:rFonts w:ascii="Times New Roman" w:hAnsi="Times New Roman" w:cs="Times New Roman"/>
          <w:sz w:val="24"/>
          <w:szCs w:val="24"/>
        </w:rPr>
        <w:t xml:space="preserve"> the free movement of services</w:t>
      </w:r>
      <w:r w:rsidR="00FB1933">
        <w:rPr>
          <w:rFonts w:ascii="Times New Roman" w:hAnsi="Times New Roman" w:cs="Times New Roman"/>
          <w:sz w:val="24"/>
          <w:szCs w:val="24"/>
        </w:rPr>
        <w:t xml:space="preserve"> -</w:t>
      </w:r>
      <w:r w:rsidR="00C72B73">
        <w:rPr>
          <w:rFonts w:ascii="Times New Roman" w:hAnsi="Times New Roman" w:cs="Times New Roman"/>
          <w:sz w:val="24"/>
          <w:szCs w:val="24"/>
        </w:rPr>
        <w:t xml:space="preserve"> the Court has done little to reconsider </w:t>
      </w:r>
      <w:r w:rsidR="00FB1933">
        <w:rPr>
          <w:rFonts w:ascii="Times New Roman" w:hAnsi="Times New Roman" w:cs="Times New Roman"/>
          <w:sz w:val="24"/>
          <w:szCs w:val="24"/>
        </w:rPr>
        <w:t>its adjudicative approach to free movement</w:t>
      </w:r>
      <w:r w:rsidR="00C72B73">
        <w:rPr>
          <w:rFonts w:ascii="Times New Roman" w:hAnsi="Times New Roman" w:cs="Times New Roman"/>
          <w:sz w:val="24"/>
          <w:szCs w:val="24"/>
        </w:rPr>
        <w:t xml:space="preserve">. </w:t>
      </w:r>
      <w:r w:rsidR="00FB1933">
        <w:rPr>
          <w:rFonts w:ascii="Times New Roman" w:hAnsi="Times New Roman" w:cs="Times New Roman"/>
          <w:sz w:val="24"/>
          <w:szCs w:val="24"/>
        </w:rPr>
        <w:t>It</w:t>
      </w:r>
      <w:r w:rsidR="00F04D07">
        <w:rPr>
          <w:rFonts w:ascii="Times New Roman" w:hAnsi="Times New Roman" w:cs="Times New Roman"/>
          <w:sz w:val="24"/>
          <w:szCs w:val="24"/>
        </w:rPr>
        <w:t xml:space="preserve"> seems to have a stronger preference, instead, for isolating the</w:t>
      </w:r>
      <w:r w:rsidR="00A572A9">
        <w:rPr>
          <w:rFonts w:ascii="Times New Roman" w:hAnsi="Times New Roman" w:cs="Times New Roman"/>
          <w:sz w:val="24"/>
          <w:szCs w:val="24"/>
        </w:rPr>
        <w:t xml:space="preserve"> Union’s free movement troubles</w:t>
      </w:r>
      <w:r w:rsidR="00F04D07">
        <w:rPr>
          <w:rFonts w:ascii="Times New Roman" w:hAnsi="Times New Roman" w:cs="Times New Roman"/>
          <w:sz w:val="24"/>
          <w:szCs w:val="24"/>
        </w:rPr>
        <w:t xml:space="preserve"> to the area of persons, where it has converted social </w:t>
      </w:r>
      <w:r w:rsidR="00A572A9">
        <w:rPr>
          <w:rFonts w:ascii="Times New Roman" w:hAnsi="Times New Roman" w:cs="Times New Roman"/>
          <w:sz w:val="24"/>
          <w:szCs w:val="24"/>
        </w:rPr>
        <w:t xml:space="preserve">integration from a Union aim </w:t>
      </w:r>
      <w:r w:rsidR="00F04D07">
        <w:rPr>
          <w:rFonts w:ascii="Times New Roman" w:hAnsi="Times New Roman" w:cs="Times New Roman"/>
          <w:sz w:val="24"/>
          <w:szCs w:val="24"/>
        </w:rPr>
        <w:t>to an individual duty. This</w:t>
      </w:r>
      <w:r w:rsidR="009D6073">
        <w:rPr>
          <w:rFonts w:ascii="Times New Roman" w:hAnsi="Times New Roman" w:cs="Times New Roman"/>
          <w:sz w:val="24"/>
          <w:szCs w:val="24"/>
        </w:rPr>
        <w:t xml:space="preserve"> is doubly problematic</w:t>
      </w:r>
      <w:r w:rsidR="00400712">
        <w:rPr>
          <w:rFonts w:ascii="Times New Roman" w:hAnsi="Times New Roman" w:cs="Times New Roman"/>
          <w:sz w:val="24"/>
          <w:szCs w:val="24"/>
        </w:rPr>
        <w:t>, however, since this</w:t>
      </w:r>
      <w:r w:rsidR="00F04D07">
        <w:rPr>
          <w:rFonts w:ascii="Times New Roman" w:hAnsi="Times New Roman" w:cs="Times New Roman"/>
          <w:sz w:val="24"/>
          <w:szCs w:val="24"/>
        </w:rPr>
        <w:t xml:space="preserve"> does not seem to have addressed the Union’s ongoing legitimacy crisis and, in focusing on those EU citizens that are already marginalised, it undermines the Uni</w:t>
      </w:r>
      <w:r w:rsidR="009D6073">
        <w:rPr>
          <w:rFonts w:ascii="Times New Roman" w:hAnsi="Times New Roman" w:cs="Times New Roman"/>
          <w:sz w:val="24"/>
          <w:szCs w:val="24"/>
        </w:rPr>
        <w:t>on’s own social integration goals</w:t>
      </w:r>
      <w:r w:rsidR="007C094D">
        <w:rPr>
          <w:rFonts w:ascii="Times New Roman" w:hAnsi="Times New Roman" w:cs="Times New Roman"/>
          <w:sz w:val="24"/>
          <w:szCs w:val="24"/>
        </w:rPr>
        <w:t>.</w:t>
      </w:r>
    </w:p>
    <w:p w:rsidR="0001463A" w:rsidRDefault="0001463A" w:rsidP="0001463A">
      <w:pPr>
        <w:pStyle w:val="NoSpacing"/>
        <w:spacing w:line="360" w:lineRule="auto"/>
        <w:jc w:val="both"/>
        <w:rPr>
          <w:rFonts w:ascii="Times New Roman" w:hAnsi="Times New Roman" w:cs="Times New Roman"/>
          <w:sz w:val="24"/>
          <w:szCs w:val="24"/>
        </w:rPr>
      </w:pPr>
    </w:p>
    <w:p w:rsidR="00D5224D" w:rsidRDefault="0001463A" w:rsidP="002F33D2">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VII CONCLUSION</w:t>
      </w:r>
      <w:r w:rsidR="006804FF" w:rsidRPr="00D5224D">
        <w:rPr>
          <w:rFonts w:ascii="Times New Roman" w:hAnsi="Times New Roman" w:cs="Times New Roman"/>
          <w:sz w:val="24"/>
          <w:szCs w:val="24"/>
        </w:rPr>
        <w:t xml:space="preserve"> </w:t>
      </w:r>
    </w:p>
    <w:p w:rsidR="0001463A" w:rsidRPr="0001463A" w:rsidRDefault="0001463A" w:rsidP="002F33D2">
      <w:pPr>
        <w:pStyle w:val="NoSpacing"/>
        <w:spacing w:line="360" w:lineRule="auto"/>
        <w:jc w:val="both"/>
        <w:rPr>
          <w:rFonts w:ascii="Times New Roman" w:hAnsi="Times New Roman" w:cs="Times New Roman"/>
          <w:sz w:val="24"/>
          <w:szCs w:val="24"/>
        </w:rPr>
      </w:pPr>
    </w:p>
    <w:p w:rsidR="0001463A" w:rsidRDefault="001E55F4" w:rsidP="002F33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historical analysis, conducted here, of the evolution of ‘social integration’ within the Union legal order has shown it to be a malleable concept.  Over the decades social integration</w:t>
      </w:r>
      <w:r w:rsidR="00400712">
        <w:rPr>
          <w:rFonts w:ascii="Times New Roman" w:hAnsi="Times New Roman" w:cs="Times New Roman"/>
          <w:sz w:val="24"/>
          <w:szCs w:val="24"/>
        </w:rPr>
        <w:t xml:space="preserve"> </w:t>
      </w:r>
      <w:r w:rsidR="00400712">
        <w:rPr>
          <w:rFonts w:ascii="Times New Roman" w:hAnsi="Times New Roman" w:cs="Times New Roman"/>
          <w:sz w:val="24"/>
          <w:szCs w:val="24"/>
        </w:rPr>
        <w:lastRenderedPageBreak/>
        <w:t>could be conceptualised as:</w:t>
      </w:r>
      <w:r>
        <w:rPr>
          <w:rFonts w:ascii="Times New Roman" w:hAnsi="Times New Roman" w:cs="Times New Roman"/>
          <w:sz w:val="24"/>
          <w:szCs w:val="24"/>
        </w:rPr>
        <w:t xml:space="preserve"> a mere by-product of the internal market; as a positive Union goal; as concrete supranational policymaking; as a means of securing the effectiveness of Un</w:t>
      </w:r>
      <w:r w:rsidR="0001463A">
        <w:rPr>
          <w:rFonts w:ascii="Times New Roman" w:hAnsi="Times New Roman" w:cs="Times New Roman"/>
          <w:sz w:val="24"/>
          <w:szCs w:val="24"/>
        </w:rPr>
        <w:t xml:space="preserve">ion law by coordinating </w:t>
      </w:r>
      <w:r>
        <w:rPr>
          <w:rFonts w:ascii="Times New Roman" w:hAnsi="Times New Roman" w:cs="Times New Roman"/>
          <w:sz w:val="24"/>
          <w:szCs w:val="24"/>
        </w:rPr>
        <w:t>standards of basic social protection whilst facilitating economic activity; as the creation of a European social spac</w:t>
      </w:r>
      <w:r w:rsidR="00CC2D0A">
        <w:rPr>
          <w:rFonts w:ascii="Times New Roman" w:hAnsi="Times New Roman" w:cs="Times New Roman"/>
          <w:sz w:val="24"/>
          <w:szCs w:val="24"/>
        </w:rPr>
        <w:t>e through the negative process</w:t>
      </w:r>
      <w:r>
        <w:rPr>
          <w:rFonts w:ascii="Times New Roman" w:hAnsi="Times New Roman" w:cs="Times New Roman"/>
          <w:sz w:val="24"/>
          <w:szCs w:val="24"/>
        </w:rPr>
        <w:t xml:space="preserve"> of requiring Member States to open up their existing domestic social systems to non-national EU citizens; and as an individual duty imposed on E</w:t>
      </w:r>
      <w:r w:rsidR="00CC2D0A">
        <w:rPr>
          <w:rFonts w:ascii="Times New Roman" w:hAnsi="Times New Roman" w:cs="Times New Roman"/>
          <w:sz w:val="24"/>
          <w:szCs w:val="24"/>
        </w:rPr>
        <w:t xml:space="preserve">urope’s </w:t>
      </w:r>
      <w:r>
        <w:rPr>
          <w:rFonts w:ascii="Times New Roman" w:hAnsi="Times New Roman" w:cs="Times New Roman"/>
          <w:sz w:val="24"/>
          <w:szCs w:val="24"/>
        </w:rPr>
        <w:t>citizens. This latter incarnation also reveals that different forms of ‘social integration’ can come into conflict with one another. By marginalising those already at risk of social exclusion, ‘social integration’ as an individual duty can undermine the Union’s own, wider so</w:t>
      </w:r>
      <w:r w:rsidR="0001463A">
        <w:rPr>
          <w:rFonts w:ascii="Times New Roman" w:hAnsi="Times New Roman" w:cs="Times New Roman"/>
          <w:sz w:val="24"/>
          <w:szCs w:val="24"/>
        </w:rPr>
        <w:t xml:space="preserve">cial goals under the Treaties. </w:t>
      </w:r>
    </w:p>
    <w:p w:rsidR="009612F4" w:rsidRPr="00396E76" w:rsidRDefault="00CC2D0A" w:rsidP="0001463A">
      <w:pPr>
        <w:pStyle w:val="NoSpacing"/>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All of these embodiments</w:t>
      </w:r>
      <w:r w:rsidR="001E55F4">
        <w:rPr>
          <w:rFonts w:ascii="Times New Roman" w:hAnsi="Times New Roman" w:cs="Times New Roman"/>
          <w:sz w:val="24"/>
          <w:szCs w:val="24"/>
        </w:rPr>
        <w:t xml:space="preserve"> of social integration have been sh</w:t>
      </w:r>
      <w:r>
        <w:rPr>
          <w:rFonts w:ascii="Times New Roman" w:hAnsi="Times New Roman" w:cs="Times New Roman"/>
          <w:sz w:val="24"/>
          <w:szCs w:val="24"/>
        </w:rPr>
        <w:t>aped by the legacy of the Rome T</w:t>
      </w:r>
      <w:r w:rsidR="001E55F4">
        <w:rPr>
          <w:rFonts w:ascii="Times New Roman" w:hAnsi="Times New Roman" w:cs="Times New Roman"/>
          <w:sz w:val="24"/>
          <w:szCs w:val="24"/>
        </w:rPr>
        <w:t xml:space="preserve">reaty’s confirmation of an economic/social dichotomy along European/national dividing lines. </w:t>
      </w:r>
      <w:r>
        <w:rPr>
          <w:rFonts w:ascii="Times New Roman" w:hAnsi="Times New Roman" w:cs="Times New Roman"/>
          <w:sz w:val="24"/>
          <w:szCs w:val="24"/>
        </w:rPr>
        <w:t xml:space="preserve">Yet, at the same time, these manifestations have also proven this economic/social distinction to be a myth. Against these findings, the Court’s continued </w:t>
      </w:r>
      <w:proofErr w:type="spellStart"/>
      <w:r>
        <w:rPr>
          <w:rFonts w:ascii="Times New Roman" w:hAnsi="Times New Roman" w:cs="Times New Roman"/>
          <w:sz w:val="24"/>
          <w:szCs w:val="24"/>
        </w:rPr>
        <w:t>juxtapositioning</w:t>
      </w:r>
      <w:proofErr w:type="spellEnd"/>
      <w:r>
        <w:rPr>
          <w:rFonts w:ascii="Times New Roman" w:hAnsi="Times New Roman" w:cs="Times New Roman"/>
          <w:sz w:val="24"/>
          <w:szCs w:val="24"/>
        </w:rPr>
        <w:t xml:space="preserve"> of economic and social endeavours, in its adjudication of tensions between free movement and national social rul</w:t>
      </w:r>
      <w:r w:rsidR="00507B9A">
        <w:rPr>
          <w:rFonts w:ascii="Times New Roman" w:hAnsi="Times New Roman" w:cs="Times New Roman"/>
          <w:sz w:val="24"/>
          <w:szCs w:val="24"/>
        </w:rPr>
        <w:t xml:space="preserve">es </w:t>
      </w:r>
      <w:r w:rsidR="00400712">
        <w:rPr>
          <w:rFonts w:ascii="Times New Roman" w:hAnsi="Times New Roman" w:cs="Times New Roman"/>
          <w:sz w:val="24"/>
          <w:szCs w:val="24"/>
        </w:rPr>
        <w:t>through a breach/justification methodology</w:t>
      </w:r>
      <w:r w:rsidR="009254BA">
        <w:rPr>
          <w:rFonts w:ascii="Times New Roman" w:hAnsi="Times New Roman" w:cs="Times New Roman"/>
          <w:sz w:val="24"/>
          <w:szCs w:val="24"/>
        </w:rPr>
        <w:t>,</w:t>
      </w:r>
      <w:bookmarkStart w:id="1" w:name="_GoBack"/>
      <w:bookmarkEnd w:id="1"/>
      <w:r w:rsidR="00400712">
        <w:rPr>
          <w:rFonts w:ascii="Times New Roman" w:hAnsi="Times New Roman" w:cs="Times New Roman"/>
          <w:sz w:val="24"/>
          <w:szCs w:val="24"/>
        </w:rPr>
        <w:t xml:space="preserve"> </w:t>
      </w:r>
      <w:r w:rsidR="00507B9A">
        <w:rPr>
          <w:rFonts w:ascii="Times New Roman" w:hAnsi="Times New Roman" w:cs="Times New Roman"/>
          <w:sz w:val="24"/>
          <w:szCs w:val="24"/>
        </w:rPr>
        <w:t>cannot continue. Instead,</w:t>
      </w:r>
      <w:r>
        <w:rPr>
          <w:rFonts w:ascii="Times New Roman" w:hAnsi="Times New Roman" w:cs="Times New Roman"/>
          <w:sz w:val="24"/>
          <w:szCs w:val="24"/>
        </w:rPr>
        <w:t xml:space="preserve"> another new version of social integration is needed; one which sees domestic and Union social activities as jointly contributing to a shared constitutional space, within which the Union’s equal economic and social endeavours must be balanced against each other.</w:t>
      </w:r>
    </w:p>
    <w:sectPr w:rsidR="009612F4" w:rsidRPr="00396E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A3" w:rsidRDefault="006342A3" w:rsidP="00632C45">
      <w:pPr>
        <w:spacing w:after="0" w:line="240" w:lineRule="auto"/>
      </w:pPr>
      <w:r>
        <w:separator/>
      </w:r>
    </w:p>
  </w:endnote>
  <w:endnote w:type="continuationSeparator" w:id="0">
    <w:p w:rsidR="006342A3" w:rsidRDefault="006342A3" w:rsidP="0063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17162"/>
      <w:docPartObj>
        <w:docPartGallery w:val="Page Numbers (Bottom of Page)"/>
        <w:docPartUnique/>
      </w:docPartObj>
    </w:sdtPr>
    <w:sdtEndPr>
      <w:rPr>
        <w:noProof/>
      </w:rPr>
    </w:sdtEndPr>
    <w:sdtContent>
      <w:p w:rsidR="00970F6F" w:rsidRDefault="00970F6F">
        <w:pPr>
          <w:pStyle w:val="Footer"/>
          <w:jc w:val="right"/>
        </w:pPr>
        <w:r>
          <w:fldChar w:fldCharType="begin"/>
        </w:r>
        <w:r>
          <w:instrText xml:space="preserve"> PAGE   \* MERGEFORMAT </w:instrText>
        </w:r>
        <w:r>
          <w:fldChar w:fldCharType="separate"/>
        </w:r>
        <w:r w:rsidR="009254BA">
          <w:rPr>
            <w:noProof/>
          </w:rPr>
          <w:t>38</w:t>
        </w:r>
        <w:r>
          <w:rPr>
            <w:noProof/>
          </w:rPr>
          <w:fldChar w:fldCharType="end"/>
        </w:r>
      </w:p>
    </w:sdtContent>
  </w:sdt>
  <w:p w:rsidR="00970F6F" w:rsidRDefault="0097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A3" w:rsidRDefault="006342A3" w:rsidP="00632C45">
      <w:pPr>
        <w:spacing w:after="0" w:line="240" w:lineRule="auto"/>
      </w:pPr>
      <w:r>
        <w:separator/>
      </w:r>
    </w:p>
  </w:footnote>
  <w:footnote w:type="continuationSeparator" w:id="0">
    <w:p w:rsidR="006342A3" w:rsidRDefault="006342A3" w:rsidP="00632C45">
      <w:pPr>
        <w:spacing w:after="0" w:line="240" w:lineRule="auto"/>
      </w:pPr>
      <w:r>
        <w:continuationSeparator/>
      </w:r>
    </w:p>
  </w:footnote>
  <w:footnote w:id="1">
    <w:p w:rsidR="00970F6F" w:rsidRPr="00B215F2" w:rsidRDefault="00970F6F" w:rsidP="00472FD4">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Preamble, Treaty establishing the European Economic Community</w:t>
      </w:r>
      <w:r w:rsidRPr="00B215F2">
        <w:rPr>
          <w:rFonts w:ascii="Times New Roman" w:hAnsi="Times New Roman" w:cs="Times New Roman"/>
        </w:rPr>
        <w:t xml:space="preserve"> 1957, p.2</w:t>
      </w:r>
    </w:p>
  </w:footnote>
  <w:footnote w:id="2">
    <w:p w:rsidR="00970F6F" w:rsidRPr="00B215F2" w:rsidRDefault="00970F6F" w:rsidP="00521FB4">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rPr>
        <w:t xml:space="preserve">Commission, </w:t>
      </w:r>
      <w:r w:rsidRPr="00607804">
        <w:rPr>
          <w:rFonts w:ascii="Times New Roman" w:hAnsi="Times New Roman" w:cs="Times New Roman"/>
          <w:i/>
        </w:rPr>
        <w:t>Roadmap for a more united, stronger and more democratic Europe</w:t>
      </w:r>
      <w:r>
        <w:rPr>
          <w:rFonts w:ascii="Times New Roman" w:hAnsi="Times New Roman" w:cs="Times New Roman"/>
        </w:rPr>
        <w:t>, (2017)</w:t>
      </w:r>
      <w:r w:rsidRPr="00B215F2">
        <w:rPr>
          <w:rFonts w:ascii="Times New Roman" w:hAnsi="Times New Roman" w:cs="Times New Roman"/>
        </w:rPr>
        <w:t xml:space="preserve">, </w:t>
      </w:r>
      <w:hyperlink r:id="rId1" w:history="1">
        <w:r w:rsidRPr="00B215F2">
          <w:rPr>
            <w:rStyle w:val="Hyperlink"/>
            <w:rFonts w:ascii="Times New Roman" w:hAnsi="Times New Roman" w:cs="Times New Roman"/>
          </w:rPr>
          <w:t>https://ec.europa.eu/commission/sites/beta-political/files/roadmap-factsheet-tallinn_en.pdf</w:t>
        </w:r>
      </w:hyperlink>
      <w:r w:rsidRPr="00B215F2">
        <w:rPr>
          <w:rFonts w:ascii="Times New Roman" w:hAnsi="Times New Roman" w:cs="Times New Roman"/>
        </w:rPr>
        <w:t xml:space="preserve"> </w:t>
      </w:r>
    </w:p>
  </w:footnote>
  <w:footnote w:id="3">
    <w:p w:rsidR="00970F6F" w:rsidRPr="00B215F2" w:rsidRDefault="00970F6F" w:rsidP="00521FB4">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J. JUNCKER</w:t>
      </w:r>
      <w:r w:rsidRPr="00B215F2">
        <w:rPr>
          <w:rFonts w:ascii="Times New Roman" w:hAnsi="Times New Roman" w:cs="Times New Roman"/>
        </w:rPr>
        <w:t xml:space="preserve">, State of the Union Address </w:t>
      </w:r>
      <w:r>
        <w:rPr>
          <w:rFonts w:ascii="Times New Roman" w:hAnsi="Times New Roman" w:cs="Times New Roman"/>
        </w:rPr>
        <w:t>(</w:t>
      </w:r>
      <w:r w:rsidRPr="00B215F2">
        <w:rPr>
          <w:rFonts w:ascii="Times New Roman" w:hAnsi="Times New Roman" w:cs="Times New Roman"/>
        </w:rPr>
        <w:t>2017</w:t>
      </w:r>
      <w:r>
        <w:rPr>
          <w:rFonts w:ascii="Times New Roman" w:hAnsi="Times New Roman" w:cs="Times New Roman"/>
        </w:rPr>
        <w:t>)</w:t>
      </w:r>
      <w:r w:rsidRPr="00B215F2">
        <w:rPr>
          <w:rFonts w:ascii="Times New Roman" w:hAnsi="Times New Roman" w:cs="Times New Roman"/>
        </w:rPr>
        <w:t>. T</w:t>
      </w:r>
      <w:r>
        <w:rPr>
          <w:rFonts w:ascii="Times New Roman" w:hAnsi="Times New Roman" w:cs="Times New Roman"/>
        </w:rPr>
        <w:t xml:space="preserve">hough </w:t>
      </w:r>
      <w:r w:rsidRPr="00B215F2">
        <w:rPr>
          <w:rFonts w:ascii="Times New Roman" w:hAnsi="Times New Roman" w:cs="Times New Roman"/>
        </w:rPr>
        <w:t xml:space="preserve">‘returning to the market’ </w:t>
      </w:r>
      <w:r>
        <w:rPr>
          <w:rFonts w:ascii="Times New Roman" w:hAnsi="Times New Roman" w:cs="Times New Roman"/>
        </w:rPr>
        <w:t>is also often presented</w:t>
      </w:r>
      <w:r w:rsidRPr="00B215F2">
        <w:rPr>
          <w:rFonts w:ascii="Times New Roman" w:hAnsi="Times New Roman" w:cs="Times New Roman"/>
        </w:rPr>
        <w:t xml:space="preserve"> as the way to tackle Euroscepticism. For a critical analysis of this </w:t>
      </w:r>
      <w:r>
        <w:rPr>
          <w:rFonts w:ascii="Times New Roman" w:hAnsi="Times New Roman" w:cs="Times New Roman"/>
        </w:rPr>
        <w:t>approach, see C. O’BRIEN</w:t>
      </w:r>
      <w:r w:rsidRPr="00B215F2">
        <w:rPr>
          <w:rFonts w:ascii="Times New Roman" w:hAnsi="Times New Roman" w:cs="Times New Roman"/>
        </w:rPr>
        <w:t xml:space="preserve">, </w:t>
      </w:r>
      <w:r w:rsidRPr="00B215F2">
        <w:rPr>
          <w:rFonts w:ascii="Times New Roman" w:hAnsi="Times New Roman" w:cs="Times New Roman"/>
          <w:i/>
        </w:rPr>
        <w:t>Unity in Adversity</w:t>
      </w:r>
      <w:r>
        <w:rPr>
          <w:rFonts w:ascii="Times New Roman" w:hAnsi="Times New Roman" w:cs="Times New Roman"/>
        </w:rPr>
        <w:t xml:space="preserve">, </w:t>
      </w:r>
      <w:r w:rsidRPr="00B215F2">
        <w:rPr>
          <w:rFonts w:ascii="Times New Roman" w:hAnsi="Times New Roman" w:cs="Times New Roman"/>
        </w:rPr>
        <w:t>Oxford: Hart</w:t>
      </w:r>
      <w:r>
        <w:rPr>
          <w:rFonts w:ascii="Times New Roman" w:hAnsi="Times New Roman" w:cs="Times New Roman"/>
        </w:rPr>
        <w:t>, 2017</w:t>
      </w:r>
      <w:r w:rsidRPr="00B215F2">
        <w:rPr>
          <w:rFonts w:ascii="Times New Roman" w:hAnsi="Times New Roman" w:cs="Times New Roman"/>
        </w:rPr>
        <w:t xml:space="preserve">, ch.10 </w:t>
      </w:r>
    </w:p>
  </w:footnote>
  <w:footnote w:id="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On the connection between nationality, citizenship and the</w:t>
      </w:r>
      <w:r>
        <w:rPr>
          <w:rFonts w:ascii="Times New Roman" w:hAnsi="Times New Roman" w:cs="Times New Roman"/>
        </w:rPr>
        <w:t xml:space="preserve"> welfare state, see e.g. C. O’BRIEN</w:t>
      </w:r>
      <w:r w:rsidRPr="00B215F2">
        <w:rPr>
          <w:rFonts w:ascii="Times New Roman" w:hAnsi="Times New Roman" w:cs="Times New Roman"/>
        </w:rPr>
        <w:t xml:space="preserve">, </w:t>
      </w:r>
      <w:r w:rsidRPr="00DA2469">
        <w:rPr>
          <w:rFonts w:ascii="Times New Roman" w:hAnsi="Times New Roman" w:cs="Times New Roman"/>
          <w:i/>
        </w:rPr>
        <w:t>ibid</w:t>
      </w:r>
      <w:r w:rsidRPr="00B215F2">
        <w:rPr>
          <w:rFonts w:ascii="Times New Roman" w:hAnsi="Times New Roman" w:cs="Times New Roman"/>
        </w:rPr>
        <w:t>, pp.9-10</w:t>
      </w:r>
    </w:p>
  </w:footnote>
  <w:footnote w:id="5">
    <w:p w:rsidR="00970F6F" w:rsidRPr="00B215F2" w:rsidRDefault="00970F6F" w:rsidP="00D2585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Art.2 EEC</w:t>
      </w:r>
    </w:p>
  </w:footnote>
  <w:footnote w:id="6">
    <w:p w:rsidR="00970F6F" w:rsidRPr="00B215F2" w:rsidRDefault="00970F6F" w:rsidP="00D2585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Art.3 EEC</w:t>
      </w:r>
    </w:p>
  </w:footnote>
  <w:footnote w:id="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D. S</w:t>
      </w:r>
      <w:r>
        <w:rPr>
          <w:rFonts w:ascii="Times New Roman" w:hAnsi="Times New Roman" w:cs="Times New Roman"/>
        </w:rPr>
        <w:t>CHIEK</w:t>
      </w:r>
      <w:r w:rsidRPr="00B215F2">
        <w:rPr>
          <w:rFonts w:ascii="Times New Roman" w:hAnsi="Times New Roman" w:cs="Times New Roman"/>
        </w:rPr>
        <w:t xml:space="preserve">, </w:t>
      </w:r>
      <w:r w:rsidRPr="00B215F2">
        <w:rPr>
          <w:rFonts w:ascii="Times New Roman" w:hAnsi="Times New Roman" w:cs="Times New Roman"/>
          <w:i/>
        </w:rPr>
        <w:t>Economic and Social Integration: The Challenge for EU Constitutional Law</w:t>
      </w:r>
      <w:r>
        <w:rPr>
          <w:rFonts w:ascii="Times New Roman" w:hAnsi="Times New Roman" w:cs="Times New Roman"/>
        </w:rPr>
        <w:t>, Cheltenham: Edward Elgar, 2012,</w:t>
      </w:r>
      <w:r w:rsidRPr="00B215F2">
        <w:rPr>
          <w:rFonts w:ascii="Times New Roman" w:hAnsi="Times New Roman" w:cs="Times New Roman"/>
        </w:rPr>
        <w:t xml:space="preserve"> p.39</w:t>
      </w:r>
    </w:p>
  </w:footnote>
  <w:footnote w:id="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Art.117 EEC; see also N. B</w:t>
      </w:r>
      <w:r>
        <w:rPr>
          <w:rFonts w:ascii="Times New Roman" w:hAnsi="Times New Roman" w:cs="Times New Roman"/>
        </w:rPr>
        <w:t>USBY</w:t>
      </w:r>
      <w:r w:rsidRPr="00B215F2">
        <w:rPr>
          <w:rFonts w:ascii="Times New Roman" w:hAnsi="Times New Roman" w:cs="Times New Roman"/>
        </w:rPr>
        <w:t>,</w:t>
      </w:r>
      <w:r>
        <w:rPr>
          <w:rFonts w:ascii="Times New Roman" w:hAnsi="Times New Roman" w:cs="Times New Roman"/>
        </w:rPr>
        <w:t xml:space="preserve"> </w:t>
      </w:r>
      <w:r w:rsidRPr="00B215F2">
        <w:rPr>
          <w:rFonts w:ascii="Times New Roman" w:hAnsi="Times New Roman" w:cs="Times New Roman"/>
          <w:i/>
        </w:rPr>
        <w:t>A Right to Care? Unpaid Work in European Employment Law</w:t>
      </w:r>
      <w:r>
        <w:rPr>
          <w:rFonts w:ascii="Times New Roman" w:hAnsi="Times New Roman" w:cs="Times New Roman"/>
        </w:rPr>
        <w:t>, Oxford: OUP, 2011</w:t>
      </w:r>
      <w:r w:rsidRPr="00B215F2">
        <w:rPr>
          <w:rFonts w:ascii="Times New Roman" w:hAnsi="Times New Roman" w:cs="Times New Roman"/>
        </w:rPr>
        <w:t>, pp.96-97</w:t>
      </w:r>
    </w:p>
  </w:footnote>
  <w:footnote w:id="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N. BUSBY,</w:t>
      </w:r>
      <w:r w:rsidRPr="00DA2469">
        <w:rPr>
          <w:rFonts w:ascii="Times New Roman" w:hAnsi="Times New Roman" w:cs="Times New Roman"/>
          <w:i/>
        </w:rPr>
        <w:t xml:space="preserve"> ibid</w:t>
      </w:r>
    </w:p>
  </w:footnote>
  <w:footnote w:id="1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J. </w:t>
      </w:r>
      <w:r>
        <w:rPr>
          <w:rFonts w:ascii="Times New Roman" w:hAnsi="Times New Roman" w:cs="Times New Roman"/>
        </w:rPr>
        <w:t>PINDER</w:t>
      </w:r>
      <w:r w:rsidRPr="00B215F2">
        <w:rPr>
          <w:rFonts w:ascii="Times New Roman" w:hAnsi="Times New Roman" w:cs="Times New Roman"/>
        </w:rPr>
        <w:t xml:space="preserve">, </w:t>
      </w:r>
      <w:r w:rsidRPr="00B215F2">
        <w:rPr>
          <w:rFonts w:ascii="Times New Roman" w:hAnsi="Times New Roman" w:cs="Times New Roman"/>
          <w:i/>
        </w:rPr>
        <w:t>The Building of the European Union</w:t>
      </w:r>
      <w:r>
        <w:rPr>
          <w:rFonts w:ascii="Times New Roman" w:hAnsi="Times New Roman" w:cs="Times New Roman"/>
        </w:rPr>
        <w:t xml:space="preserve">, Oxford, OUP, </w:t>
      </w:r>
      <w:r w:rsidRPr="00B215F2">
        <w:rPr>
          <w:rFonts w:ascii="Times New Roman" w:hAnsi="Times New Roman" w:cs="Times New Roman"/>
        </w:rPr>
        <w:t>19</w:t>
      </w:r>
      <w:r>
        <w:rPr>
          <w:rFonts w:ascii="Times New Roman" w:hAnsi="Times New Roman" w:cs="Times New Roman"/>
        </w:rPr>
        <w:t>98</w:t>
      </w:r>
    </w:p>
  </w:footnote>
  <w:footnote w:id="11">
    <w:p w:rsidR="00970F6F" w:rsidRPr="00B215F2" w:rsidRDefault="00970F6F" w:rsidP="001C08A5">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D. </w:t>
      </w:r>
      <w:r w:rsidRPr="00B215F2">
        <w:rPr>
          <w:rFonts w:ascii="Times New Roman" w:hAnsi="Times New Roman" w:cs="Times New Roman"/>
        </w:rPr>
        <w:t>S</w:t>
      </w:r>
      <w:r>
        <w:rPr>
          <w:rFonts w:ascii="Times New Roman" w:hAnsi="Times New Roman" w:cs="Times New Roman"/>
        </w:rPr>
        <w:t>CHIEK</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Economic and Social Integration</w:t>
      </w:r>
      <w:r>
        <w:rPr>
          <w:rFonts w:ascii="Times New Roman" w:hAnsi="Times New Roman" w:cs="Times New Roman"/>
        </w:rPr>
        <w:t>, cit.,</w:t>
      </w:r>
      <w:r w:rsidRPr="00B215F2">
        <w:rPr>
          <w:rFonts w:ascii="Times New Roman" w:hAnsi="Times New Roman" w:cs="Times New Roman"/>
        </w:rPr>
        <w:t xml:space="preserve"> p.230</w:t>
      </w:r>
    </w:p>
  </w:footnote>
  <w:footnote w:id="12">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DA2469">
        <w:rPr>
          <w:rFonts w:ascii="Times New Roman" w:hAnsi="Times New Roman" w:cs="Times New Roman"/>
          <w:i/>
        </w:rPr>
        <w:t>Ibid</w:t>
      </w:r>
    </w:p>
  </w:footnote>
  <w:footnote w:id="1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K. A</w:t>
      </w:r>
      <w:r>
        <w:rPr>
          <w:rFonts w:ascii="Times New Roman" w:hAnsi="Times New Roman" w:cs="Times New Roman"/>
        </w:rPr>
        <w:t>RMSTRONG</w:t>
      </w:r>
      <w:r w:rsidRPr="00B215F2">
        <w:rPr>
          <w:rFonts w:ascii="Times New Roman" w:hAnsi="Times New Roman" w:cs="Times New Roman"/>
        </w:rPr>
        <w:t xml:space="preserve">, </w:t>
      </w:r>
      <w:r w:rsidRPr="00B215F2">
        <w:rPr>
          <w:rFonts w:ascii="Times New Roman" w:hAnsi="Times New Roman" w:cs="Times New Roman"/>
          <w:i/>
        </w:rPr>
        <w:t>Governing Social Inclusion: Europeanization through Policy Coordination</w:t>
      </w:r>
      <w:r>
        <w:rPr>
          <w:rFonts w:ascii="Times New Roman" w:hAnsi="Times New Roman" w:cs="Times New Roman"/>
        </w:rPr>
        <w:t>, Oxford: OUP, 2010</w:t>
      </w:r>
      <w:r w:rsidRPr="00B215F2">
        <w:rPr>
          <w:rFonts w:ascii="Times New Roman" w:hAnsi="Times New Roman" w:cs="Times New Roman"/>
        </w:rPr>
        <w:t>, p.232</w:t>
      </w:r>
    </w:p>
  </w:footnote>
  <w:footnote w:id="14">
    <w:p w:rsidR="00970F6F" w:rsidRPr="00B215F2" w:rsidRDefault="00970F6F" w:rsidP="004F0F1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6 June 2000, c</w:t>
      </w:r>
      <w:r w:rsidRPr="00B215F2">
        <w:rPr>
          <w:rFonts w:ascii="Times New Roman" w:hAnsi="Times New Roman" w:cs="Times New Roman"/>
        </w:rPr>
        <w:t xml:space="preserve">ase C-281/98 </w:t>
      </w:r>
      <w:proofErr w:type="spellStart"/>
      <w:r w:rsidRPr="00B215F2">
        <w:rPr>
          <w:rFonts w:ascii="Times New Roman" w:hAnsi="Times New Roman" w:cs="Times New Roman"/>
          <w:i/>
        </w:rPr>
        <w:t>Angonese</w:t>
      </w:r>
      <w:proofErr w:type="spellEnd"/>
      <w:r w:rsidRPr="00B215F2">
        <w:rPr>
          <w:rFonts w:ascii="Times New Roman" w:hAnsi="Times New Roman" w:cs="Times New Roman"/>
          <w:i/>
        </w:rPr>
        <w:t xml:space="preserve"> </w:t>
      </w:r>
      <w:r w:rsidRPr="00B215F2">
        <w:rPr>
          <w:rFonts w:ascii="Times New Roman" w:hAnsi="Times New Roman" w:cs="Times New Roman"/>
        </w:rPr>
        <w:t xml:space="preserve">(workers); </w:t>
      </w:r>
      <w:r>
        <w:rPr>
          <w:rFonts w:ascii="Times New Roman" w:hAnsi="Times New Roman" w:cs="Times New Roman"/>
        </w:rPr>
        <w:t>Court of Justice, judgment of 31 March 1993, c</w:t>
      </w:r>
      <w:r w:rsidRPr="00B215F2">
        <w:rPr>
          <w:rFonts w:ascii="Times New Roman" w:hAnsi="Times New Roman" w:cs="Times New Roman"/>
        </w:rPr>
        <w:t xml:space="preserve">ase C-19/92 </w:t>
      </w:r>
      <w:r w:rsidRPr="00B215F2">
        <w:rPr>
          <w:rFonts w:ascii="Times New Roman" w:hAnsi="Times New Roman" w:cs="Times New Roman"/>
          <w:i/>
        </w:rPr>
        <w:t>Kraus</w:t>
      </w:r>
      <w:r w:rsidRPr="00B215F2">
        <w:rPr>
          <w:rFonts w:ascii="Times New Roman" w:hAnsi="Times New Roman" w:cs="Times New Roman"/>
        </w:rPr>
        <w:t xml:space="preserve"> (workers and establishment).</w:t>
      </w:r>
    </w:p>
  </w:footnote>
  <w:footnote w:id="15">
    <w:p w:rsidR="00970F6F" w:rsidRPr="00B215F2" w:rsidRDefault="00970F6F" w:rsidP="004F0F1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20 February 1979, c</w:t>
      </w:r>
      <w:r w:rsidRPr="00B215F2">
        <w:rPr>
          <w:rFonts w:ascii="Times New Roman" w:hAnsi="Times New Roman" w:cs="Times New Roman"/>
        </w:rPr>
        <w:t xml:space="preserve">ase 120/78 </w:t>
      </w:r>
      <w:proofErr w:type="spellStart"/>
      <w:r w:rsidRPr="00B215F2">
        <w:rPr>
          <w:rFonts w:ascii="Times New Roman" w:hAnsi="Times New Roman" w:cs="Times New Roman"/>
          <w:i/>
        </w:rPr>
        <w:t>Rewe</w:t>
      </w:r>
      <w:proofErr w:type="spellEnd"/>
      <w:r w:rsidRPr="00B215F2">
        <w:rPr>
          <w:rFonts w:ascii="Times New Roman" w:hAnsi="Times New Roman" w:cs="Times New Roman"/>
          <w:i/>
        </w:rPr>
        <w:t xml:space="preserve"> v. </w:t>
      </w:r>
      <w:proofErr w:type="spellStart"/>
      <w:r w:rsidRPr="00B215F2">
        <w:rPr>
          <w:rFonts w:ascii="Times New Roman" w:hAnsi="Times New Roman" w:cs="Times New Roman"/>
          <w:i/>
        </w:rPr>
        <w:t>Bundesmonopolverwaltung</w:t>
      </w:r>
      <w:proofErr w:type="spellEnd"/>
      <w:r w:rsidRPr="00B215F2">
        <w:rPr>
          <w:rFonts w:ascii="Times New Roman" w:hAnsi="Times New Roman" w:cs="Times New Roman"/>
          <w:i/>
        </w:rPr>
        <w:t xml:space="preserve"> </w:t>
      </w:r>
      <w:proofErr w:type="spellStart"/>
      <w:r w:rsidRPr="00B215F2">
        <w:rPr>
          <w:rFonts w:ascii="Times New Roman" w:hAnsi="Times New Roman" w:cs="Times New Roman"/>
          <w:i/>
        </w:rPr>
        <w:t>für</w:t>
      </w:r>
      <w:proofErr w:type="spellEnd"/>
      <w:r w:rsidRPr="00B215F2">
        <w:rPr>
          <w:rFonts w:ascii="Times New Roman" w:hAnsi="Times New Roman" w:cs="Times New Roman"/>
          <w:i/>
        </w:rPr>
        <w:t xml:space="preserve"> </w:t>
      </w:r>
      <w:proofErr w:type="spellStart"/>
      <w:r w:rsidRPr="00B215F2">
        <w:rPr>
          <w:rFonts w:ascii="Times New Roman" w:hAnsi="Times New Roman" w:cs="Times New Roman"/>
          <w:i/>
        </w:rPr>
        <w:t>Branntwein</w:t>
      </w:r>
      <w:proofErr w:type="spellEnd"/>
      <w:r w:rsidRPr="00B215F2">
        <w:rPr>
          <w:rFonts w:ascii="Times New Roman" w:hAnsi="Times New Roman" w:cs="Times New Roman"/>
          <w:i/>
        </w:rPr>
        <w:t xml:space="preserve"> (Cassis de Dijon)</w:t>
      </w:r>
      <w:r w:rsidRPr="00B215F2">
        <w:rPr>
          <w:rFonts w:ascii="Times New Roman" w:hAnsi="Times New Roman" w:cs="Times New Roman"/>
        </w:rPr>
        <w:t xml:space="preserve"> (goods)</w:t>
      </w:r>
    </w:p>
  </w:footnote>
  <w:footnote w:id="16">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30 November 1995, c</w:t>
      </w:r>
      <w:r w:rsidRPr="00B215F2">
        <w:rPr>
          <w:rFonts w:ascii="Times New Roman" w:hAnsi="Times New Roman" w:cs="Times New Roman"/>
        </w:rPr>
        <w:t xml:space="preserve">ase C-55/94 </w:t>
      </w:r>
      <w:proofErr w:type="spellStart"/>
      <w:r w:rsidRPr="00B215F2">
        <w:rPr>
          <w:rFonts w:ascii="Times New Roman" w:hAnsi="Times New Roman" w:cs="Times New Roman"/>
          <w:i/>
        </w:rPr>
        <w:t>Gebhard</w:t>
      </w:r>
      <w:proofErr w:type="spellEnd"/>
      <w:r w:rsidRPr="00B215F2">
        <w:rPr>
          <w:rFonts w:ascii="Times New Roman" w:hAnsi="Times New Roman" w:cs="Times New Roman"/>
        </w:rPr>
        <w:t xml:space="preserve"> (services);</w:t>
      </w:r>
      <w:r>
        <w:rPr>
          <w:rFonts w:ascii="Times New Roman" w:hAnsi="Times New Roman" w:cs="Times New Roman"/>
        </w:rPr>
        <w:t xml:space="preserve"> Court of Justice, judgment of 11 December 2007, c</w:t>
      </w:r>
      <w:r w:rsidRPr="00B215F2">
        <w:rPr>
          <w:rFonts w:ascii="Times New Roman" w:hAnsi="Times New Roman" w:cs="Times New Roman"/>
        </w:rPr>
        <w:t xml:space="preserve">ase C-438/05 </w:t>
      </w:r>
      <w:r w:rsidRPr="00B215F2">
        <w:rPr>
          <w:rFonts w:ascii="Times New Roman" w:hAnsi="Times New Roman" w:cs="Times New Roman"/>
          <w:i/>
        </w:rPr>
        <w:t>Viking</w:t>
      </w:r>
      <w:r w:rsidRPr="00B215F2">
        <w:rPr>
          <w:rFonts w:ascii="Times New Roman" w:hAnsi="Times New Roman" w:cs="Times New Roman"/>
        </w:rPr>
        <w:t xml:space="preserve"> (establishment); </w:t>
      </w:r>
      <w:r>
        <w:rPr>
          <w:rFonts w:ascii="Times New Roman" w:hAnsi="Times New Roman" w:cs="Times New Roman"/>
        </w:rPr>
        <w:t>Court of Justice, judgment of 15 December 1995, c</w:t>
      </w:r>
      <w:r w:rsidRPr="00B215F2">
        <w:rPr>
          <w:rFonts w:ascii="Times New Roman" w:hAnsi="Times New Roman" w:cs="Times New Roman"/>
        </w:rPr>
        <w:t xml:space="preserve">ase C-415/93 </w:t>
      </w:r>
      <w:r w:rsidRPr="00B215F2">
        <w:rPr>
          <w:rFonts w:ascii="Times New Roman" w:hAnsi="Times New Roman" w:cs="Times New Roman"/>
          <w:i/>
        </w:rPr>
        <w:t>Bosman</w:t>
      </w:r>
      <w:r w:rsidRPr="00B215F2">
        <w:rPr>
          <w:rFonts w:ascii="Times New Roman" w:hAnsi="Times New Roman" w:cs="Times New Roman"/>
        </w:rPr>
        <w:t xml:space="preserve"> (workers); </w:t>
      </w:r>
      <w:r>
        <w:rPr>
          <w:rFonts w:ascii="Times New Roman" w:hAnsi="Times New Roman" w:cs="Times New Roman"/>
        </w:rPr>
        <w:t>Court of Justice, judgment of 8 July 2010, c</w:t>
      </w:r>
      <w:r w:rsidRPr="00B215F2">
        <w:rPr>
          <w:rFonts w:ascii="Times New Roman" w:hAnsi="Times New Roman" w:cs="Times New Roman"/>
        </w:rPr>
        <w:t xml:space="preserve">ase C-171/08 </w:t>
      </w:r>
      <w:r w:rsidRPr="00B215F2">
        <w:rPr>
          <w:rFonts w:ascii="Times New Roman" w:hAnsi="Times New Roman" w:cs="Times New Roman"/>
          <w:i/>
        </w:rPr>
        <w:t>Commission v. Portugal</w:t>
      </w:r>
      <w:r w:rsidRPr="00B215F2">
        <w:rPr>
          <w:rFonts w:ascii="Times New Roman" w:hAnsi="Times New Roman" w:cs="Times New Roman"/>
        </w:rPr>
        <w:t xml:space="preserve"> (capital). </w:t>
      </w:r>
      <w:r>
        <w:rPr>
          <w:rFonts w:ascii="Times New Roman" w:hAnsi="Times New Roman" w:cs="Times New Roman"/>
        </w:rPr>
        <w:t>Court of Justice, judgment of 24 November 1993, joined c</w:t>
      </w:r>
      <w:r w:rsidRPr="00B215F2">
        <w:rPr>
          <w:rFonts w:ascii="Times New Roman" w:hAnsi="Times New Roman" w:cs="Times New Roman"/>
        </w:rPr>
        <w:t xml:space="preserve">ases C-267 &amp; 268/91 </w:t>
      </w:r>
      <w:r w:rsidRPr="00B215F2">
        <w:rPr>
          <w:rFonts w:ascii="Times New Roman" w:hAnsi="Times New Roman" w:cs="Times New Roman"/>
          <w:i/>
        </w:rPr>
        <w:t xml:space="preserve">Keck and </w:t>
      </w:r>
      <w:proofErr w:type="spellStart"/>
      <w:r w:rsidRPr="00B215F2">
        <w:rPr>
          <w:rFonts w:ascii="Times New Roman" w:hAnsi="Times New Roman" w:cs="Times New Roman"/>
          <w:i/>
        </w:rPr>
        <w:t>Mithouard</w:t>
      </w:r>
      <w:proofErr w:type="spellEnd"/>
      <w:r w:rsidRPr="00B215F2">
        <w:rPr>
          <w:rFonts w:ascii="Times New Roman" w:hAnsi="Times New Roman" w:cs="Times New Roman"/>
        </w:rPr>
        <w:t xml:space="preserve"> arguably re-focused the goods case-law on differential treatment. However, </w:t>
      </w:r>
      <w:r>
        <w:rPr>
          <w:rFonts w:ascii="Times New Roman" w:hAnsi="Times New Roman" w:cs="Times New Roman"/>
        </w:rPr>
        <w:t>Court of Justice, judgments of 10 February 2009, c</w:t>
      </w:r>
      <w:r w:rsidRPr="00B215F2">
        <w:rPr>
          <w:rFonts w:ascii="Times New Roman" w:hAnsi="Times New Roman" w:cs="Times New Roman"/>
        </w:rPr>
        <w:t xml:space="preserve">ase C-110/05 </w:t>
      </w:r>
      <w:r w:rsidRPr="00B215F2">
        <w:rPr>
          <w:rFonts w:ascii="Times New Roman" w:hAnsi="Times New Roman" w:cs="Times New Roman"/>
          <w:i/>
        </w:rPr>
        <w:t>Commission v. Italy (mopeds)</w:t>
      </w:r>
      <w:r>
        <w:rPr>
          <w:rFonts w:ascii="Times New Roman" w:hAnsi="Times New Roman" w:cs="Times New Roman"/>
        </w:rPr>
        <w:t xml:space="preserve"> </w:t>
      </w:r>
      <w:proofErr w:type="gramStart"/>
      <w:r>
        <w:rPr>
          <w:rFonts w:ascii="Times New Roman" w:hAnsi="Times New Roman" w:cs="Times New Roman"/>
        </w:rPr>
        <w:t>and  of</w:t>
      </w:r>
      <w:proofErr w:type="gramEnd"/>
      <w:r>
        <w:rPr>
          <w:rFonts w:ascii="Times New Roman" w:hAnsi="Times New Roman" w:cs="Times New Roman"/>
        </w:rPr>
        <w:t xml:space="preserve"> 4 June 2009, c</w:t>
      </w:r>
      <w:r w:rsidRPr="00B215F2">
        <w:rPr>
          <w:rFonts w:ascii="Times New Roman" w:hAnsi="Times New Roman" w:cs="Times New Roman"/>
        </w:rPr>
        <w:t xml:space="preserve">ase C-142/05 </w:t>
      </w:r>
      <w:proofErr w:type="spellStart"/>
      <w:r w:rsidRPr="00B215F2">
        <w:rPr>
          <w:rFonts w:ascii="Times New Roman" w:hAnsi="Times New Roman" w:cs="Times New Roman"/>
          <w:i/>
        </w:rPr>
        <w:t>Mickelsson</w:t>
      </w:r>
      <w:proofErr w:type="spellEnd"/>
      <w:r w:rsidRPr="00B215F2">
        <w:rPr>
          <w:rFonts w:ascii="Times New Roman" w:hAnsi="Times New Roman" w:cs="Times New Roman"/>
          <w:i/>
        </w:rPr>
        <w:t xml:space="preserve"> and </w:t>
      </w:r>
      <w:proofErr w:type="spellStart"/>
      <w:r w:rsidRPr="00B215F2">
        <w:rPr>
          <w:rFonts w:ascii="Times New Roman" w:hAnsi="Times New Roman" w:cs="Times New Roman"/>
          <w:i/>
        </w:rPr>
        <w:t>Roos</w:t>
      </w:r>
      <w:proofErr w:type="spellEnd"/>
      <w:r w:rsidRPr="00B215F2">
        <w:rPr>
          <w:rFonts w:ascii="Times New Roman" w:hAnsi="Times New Roman" w:cs="Times New Roman"/>
        </w:rPr>
        <w:t xml:space="preserve"> suggest a market access approach in certain contexts. </w:t>
      </w:r>
    </w:p>
  </w:footnote>
  <w:footnote w:id="17">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 February 1989, c</w:t>
      </w:r>
      <w:r w:rsidRPr="00B215F2">
        <w:rPr>
          <w:rFonts w:ascii="Times New Roman" w:hAnsi="Times New Roman" w:cs="Times New Roman"/>
        </w:rPr>
        <w:t xml:space="preserve">ase 186/87 </w:t>
      </w:r>
      <w:r w:rsidRPr="00B215F2">
        <w:rPr>
          <w:rFonts w:ascii="Times New Roman" w:hAnsi="Times New Roman" w:cs="Times New Roman"/>
          <w:i/>
        </w:rPr>
        <w:t>Cowan</w:t>
      </w:r>
      <w:r>
        <w:rPr>
          <w:rFonts w:ascii="Times New Roman" w:hAnsi="Times New Roman" w:cs="Times New Roman"/>
          <w:i/>
        </w:rPr>
        <w:t xml:space="preserve"> v </w:t>
      </w:r>
      <w:proofErr w:type="spellStart"/>
      <w:r>
        <w:rPr>
          <w:rFonts w:ascii="Times New Roman" w:hAnsi="Times New Roman" w:cs="Times New Roman"/>
          <w:i/>
        </w:rPr>
        <w:t>Trésor</w:t>
      </w:r>
      <w:proofErr w:type="spellEnd"/>
      <w:r>
        <w:rPr>
          <w:rFonts w:ascii="Times New Roman" w:hAnsi="Times New Roman" w:cs="Times New Roman"/>
          <w:i/>
        </w:rPr>
        <w:t xml:space="preserve"> Public</w:t>
      </w:r>
    </w:p>
  </w:footnote>
  <w:footnote w:id="18">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23 March 2004, c</w:t>
      </w:r>
      <w:r w:rsidRPr="00B215F2">
        <w:rPr>
          <w:rFonts w:ascii="Times New Roman" w:hAnsi="Times New Roman" w:cs="Times New Roman"/>
        </w:rPr>
        <w:t xml:space="preserve">ase C-138/02 </w:t>
      </w:r>
      <w:r w:rsidRPr="00B215F2">
        <w:rPr>
          <w:rFonts w:ascii="Times New Roman" w:hAnsi="Times New Roman" w:cs="Times New Roman"/>
          <w:i/>
        </w:rPr>
        <w:t>Collins</w:t>
      </w:r>
      <w:r>
        <w:rPr>
          <w:rFonts w:ascii="Times New Roman" w:hAnsi="Times New Roman" w:cs="Times New Roman"/>
          <w:i/>
        </w:rPr>
        <w:t xml:space="preserve"> v SSWP</w:t>
      </w:r>
    </w:p>
  </w:footnote>
  <w:footnote w:id="19">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19 December 1968, c</w:t>
      </w:r>
      <w:r w:rsidRPr="00B215F2">
        <w:rPr>
          <w:rFonts w:ascii="Times New Roman" w:hAnsi="Times New Roman" w:cs="Times New Roman"/>
        </w:rPr>
        <w:t xml:space="preserve">ase 13/68 </w:t>
      </w:r>
      <w:proofErr w:type="spellStart"/>
      <w:r w:rsidRPr="00B215F2">
        <w:rPr>
          <w:rFonts w:ascii="Times New Roman" w:hAnsi="Times New Roman" w:cs="Times New Roman"/>
          <w:i/>
        </w:rPr>
        <w:t>Salgoil</w:t>
      </w:r>
      <w:proofErr w:type="spellEnd"/>
      <w:r w:rsidRPr="00B215F2">
        <w:rPr>
          <w:rFonts w:ascii="Times New Roman" w:hAnsi="Times New Roman" w:cs="Times New Roman"/>
        </w:rPr>
        <w:t xml:space="preserve"> (goods); </w:t>
      </w:r>
      <w:r>
        <w:rPr>
          <w:rFonts w:ascii="Times New Roman" w:hAnsi="Times New Roman" w:cs="Times New Roman"/>
        </w:rPr>
        <w:t>Court of Justice, judgment of 4 December 1974, c</w:t>
      </w:r>
      <w:r w:rsidRPr="00B215F2">
        <w:rPr>
          <w:rFonts w:ascii="Times New Roman" w:hAnsi="Times New Roman" w:cs="Times New Roman"/>
        </w:rPr>
        <w:t xml:space="preserve">ase 41/74 </w:t>
      </w:r>
      <w:r w:rsidRPr="00B215F2">
        <w:rPr>
          <w:rFonts w:ascii="Times New Roman" w:hAnsi="Times New Roman" w:cs="Times New Roman"/>
          <w:i/>
        </w:rPr>
        <w:t xml:space="preserve">van </w:t>
      </w:r>
      <w:proofErr w:type="spellStart"/>
      <w:r w:rsidRPr="00B215F2">
        <w:rPr>
          <w:rFonts w:ascii="Times New Roman" w:hAnsi="Times New Roman" w:cs="Times New Roman"/>
          <w:i/>
        </w:rPr>
        <w:t>Duyn</w:t>
      </w:r>
      <w:proofErr w:type="spellEnd"/>
      <w:r>
        <w:rPr>
          <w:rFonts w:ascii="Times New Roman" w:hAnsi="Times New Roman" w:cs="Times New Roman"/>
          <w:i/>
        </w:rPr>
        <w:t xml:space="preserve"> v Home Office </w:t>
      </w:r>
      <w:r w:rsidRPr="00B215F2">
        <w:rPr>
          <w:rFonts w:ascii="Times New Roman" w:hAnsi="Times New Roman" w:cs="Times New Roman"/>
        </w:rPr>
        <w:t>(workers);</w:t>
      </w:r>
      <w:r>
        <w:rPr>
          <w:rFonts w:ascii="Times New Roman" w:hAnsi="Times New Roman" w:cs="Times New Roman"/>
        </w:rPr>
        <w:t xml:space="preserve"> Court of Justice, judgment of 21 June 1974, c</w:t>
      </w:r>
      <w:r w:rsidRPr="00B215F2">
        <w:rPr>
          <w:rFonts w:ascii="Times New Roman" w:hAnsi="Times New Roman" w:cs="Times New Roman"/>
        </w:rPr>
        <w:t xml:space="preserve">ase 2/74 </w:t>
      </w:r>
      <w:proofErr w:type="spellStart"/>
      <w:r w:rsidRPr="00B215F2">
        <w:rPr>
          <w:rFonts w:ascii="Times New Roman" w:hAnsi="Times New Roman" w:cs="Times New Roman"/>
          <w:i/>
        </w:rPr>
        <w:t>Reyners</w:t>
      </w:r>
      <w:proofErr w:type="spellEnd"/>
      <w:r>
        <w:rPr>
          <w:rFonts w:ascii="Times New Roman" w:hAnsi="Times New Roman" w:cs="Times New Roman"/>
          <w:i/>
        </w:rPr>
        <w:t xml:space="preserve"> v Belgian State</w:t>
      </w:r>
      <w:r w:rsidRPr="00B215F2">
        <w:rPr>
          <w:rFonts w:ascii="Times New Roman" w:hAnsi="Times New Roman" w:cs="Times New Roman"/>
        </w:rPr>
        <w:t xml:space="preserve"> (establishment); </w:t>
      </w:r>
      <w:r>
        <w:rPr>
          <w:rFonts w:ascii="Times New Roman" w:hAnsi="Times New Roman" w:cs="Times New Roman"/>
        </w:rPr>
        <w:t>Court of Justice, judgment of 8 April 1976, c</w:t>
      </w:r>
      <w:r w:rsidRPr="00B215F2">
        <w:rPr>
          <w:rFonts w:ascii="Times New Roman" w:hAnsi="Times New Roman" w:cs="Times New Roman"/>
        </w:rPr>
        <w:t xml:space="preserve">ase 48/75 </w:t>
      </w:r>
      <w:r>
        <w:rPr>
          <w:rFonts w:ascii="Times New Roman" w:hAnsi="Times New Roman" w:cs="Times New Roman"/>
          <w:i/>
        </w:rPr>
        <w:t xml:space="preserve">Royer </w:t>
      </w:r>
      <w:r w:rsidRPr="00B215F2">
        <w:rPr>
          <w:rFonts w:ascii="Times New Roman" w:hAnsi="Times New Roman" w:cs="Times New Roman"/>
        </w:rPr>
        <w:t>(workers, establishment and services);</w:t>
      </w:r>
      <w:r>
        <w:rPr>
          <w:rFonts w:ascii="Times New Roman" w:hAnsi="Times New Roman" w:cs="Times New Roman"/>
        </w:rPr>
        <w:t xml:space="preserve"> Court of Justice, judgment of  14 December 1995, joined cases C-1</w:t>
      </w:r>
      <w:r w:rsidRPr="00B215F2">
        <w:rPr>
          <w:rFonts w:ascii="Times New Roman" w:hAnsi="Times New Roman" w:cs="Times New Roman"/>
        </w:rPr>
        <w:t>6</w:t>
      </w:r>
      <w:r>
        <w:rPr>
          <w:rFonts w:ascii="Times New Roman" w:hAnsi="Times New Roman" w:cs="Times New Roman"/>
        </w:rPr>
        <w:t>3</w:t>
      </w:r>
      <w:r w:rsidRPr="00B215F2">
        <w:rPr>
          <w:rFonts w:ascii="Times New Roman" w:hAnsi="Times New Roman" w:cs="Times New Roman"/>
        </w:rPr>
        <w:t xml:space="preserve">/94, C-165/94 and C-250/94 </w:t>
      </w:r>
      <w:proofErr w:type="spellStart"/>
      <w:r w:rsidRPr="00B215F2">
        <w:rPr>
          <w:rFonts w:ascii="Times New Roman" w:hAnsi="Times New Roman" w:cs="Times New Roman"/>
          <w:i/>
        </w:rPr>
        <w:t>Sanz</w:t>
      </w:r>
      <w:proofErr w:type="spellEnd"/>
      <w:r w:rsidRPr="00B215F2">
        <w:rPr>
          <w:rFonts w:ascii="Times New Roman" w:hAnsi="Times New Roman" w:cs="Times New Roman"/>
          <w:i/>
        </w:rPr>
        <w:t xml:space="preserve"> de </w:t>
      </w:r>
      <w:proofErr w:type="spellStart"/>
      <w:r w:rsidRPr="00B215F2">
        <w:rPr>
          <w:rFonts w:ascii="Times New Roman" w:hAnsi="Times New Roman" w:cs="Times New Roman"/>
          <w:i/>
        </w:rPr>
        <w:t>Lera</w:t>
      </w:r>
      <w:proofErr w:type="spellEnd"/>
      <w:r w:rsidRPr="00B215F2">
        <w:rPr>
          <w:rFonts w:ascii="Times New Roman" w:hAnsi="Times New Roman" w:cs="Times New Roman"/>
          <w:i/>
        </w:rPr>
        <w:t xml:space="preserve"> </w:t>
      </w:r>
      <w:proofErr w:type="spellStart"/>
      <w:r w:rsidRPr="00B215F2">
        <w:rPr>
          <w:rFonts w:ascii="Times New Roman" w:hAnsi="Times New Roman" w:cs="Times New Roman"/>
          <w:i/>
        </w:rPr>
        <w:t>a.o.</w:t>
      </w:r>
      <w:proofErr w:type="spellEnd"/>
      <w:r w:rsidRPr="00B215F2">
        <w:rPr>
          <w:rFonts w:ascii="Times New Roman" w:hAnsi="Times New Roman" w:cs="Times New Roman"/>
          <w:i/>
        </w:rPr>
        <w:t xml:space="preserve"> </w:t>
      </w:r>
      <w:r w:rsidRPr="00B215F2">
        <w:rPr>
          <w:rFonts w:ascii="Times New Roman" w:hAnsi="Times New Roman" w:cs="Times New Roman"/>
        </w:rPr>
        <w:t>(capital).</w:t>
      </w:r>
    </w:p>
  </w:footnote>
  <w:footnote w:id="20">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28 July 2016, c</w:t>
      </w:r>
      <w:r w:rsidRPr="00B215F2">
        <w:rPr>
          <w:rFonts w:ascii="Times New Roman" w:hAnsi="Times New Roman" w:cs="Times New Roman"/>
        </w:rPr>
        <w:t>ase</w:t>
      </w:r>
      <w:r>
        <w:rPr>
          <w:rFonts w:ascii="Times New Roman" w:hAnsi="Times New Roman" w:cs="Times New Roman"/>
        </w:rPr>
        <w:t xml:space="preserve"> C-</w:t>
      </w:r>
      <w:r w:rsidRPr="00B215F2">
        <w:rPr>
          <w:rFonts w:ascii="Times New Roman" w:hAnsi="Times New Roman" w:cs="Times New Roman"/>
        </w:rPr>
        <w:t xml:space="preserve">379/15 </w:t>
      </w:r>
      <w:r w:rsidRPr="00B215F2">
        <w:rPr>
          <w:rFonts w:ascii="Times New Roman" w:hAnsi="Times New Roman" w:cs="Times New Roman"/>
          <w:i/>
        </w:rPr>
        <w:t xml:space="preserve">Association France Nature </w:t>
      </w:r>
      <w:proofErr w:type="spellStart"/>
      <w:r w:rsidRPr="00B215F2">
        <w:rPr>
          <w:rFonts w:ascii="Times New Roman" w:hAnsi="Times New Roman" w:cs="Times New Roman"/>
          <w:i/>
        </w:rPr>
        <w:t>Environnement</w:t>
      </w:r>
      <w:proofErr w:type="spellEnd"/>
    </w:p>
  </w:footnote>
  <w:footnote w:id="21">
    <w:p w:rsidR="00970F6F" w:rsidRPr="00B215F2" w:rsidRDefault="00970F6F" w:rsidP="007837E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9 March 1978, c</w:t>
      </w:r>
      <w:r w:rsidRPr="00B215F2">
        <w:rPr>
          <w:rFonts w:ascii="Times New Roman" w:hAnsi="Times New Roman" w:cs="Times New Roman"/>
        </w:rPr>
        <w:t xml:space="preserve">ase 106/77 </w:t>
      </w:r>
      <w:proofErr w:type="spellStart"/>
      <w:r w:rsidRPr="00B215F2">
        <w:rPr>
          <w:rFonts w:ascii="Times New Roman" w:hAnsi="Times New Roman" w:cs="Times New Roman"/>
          <w:i/>
        </w:rPr>
        <w:t>Simmenthal</w:t>
      </w:r>
      <w:proofErr w:type="spellEnd"/>
      <w:r w:rsidRPr="00B215F2">
        <w:rPr>
          <w:rFonts w:ascii="Times New Roman" w:hAnsi="Times New Roman" w:cs="Times New Roman"/>
          <w:i/>
        </w:rPr>
        <w:t xml:space="preserve"> </w:t>
      </w:r>
      <w:r w:rsidRPr="00B215F2">
        <w:rPr>
          <w:rFonts w:ascii="Times New Roman" w:hAnsi="Times New Roman" w:cs="Times New Roman"/>
        </w:rPr>
        <w:t>EU:C:1978:49</w:t>
      </w:r>
    </w:p>
  </w:footnote>
  <w:footnote w:id="22">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D. SCHIEK</w:t>
      </w:r>
      <w:r w:rsidRPr="00B215F2">
        <w:rPr>
          <w:rFonts w:ascii="Times New Roman" w:hAnsi="Times New Roman" w:cs="Times New Roman"/>
        </w:rPr>
        <w:t xml:space="preserve">, </w:t>
      </w:r>
      <w:r>
        <w:rPr>
          <w:rFonts w:ascii="Times New Roman" w:hAnsi="Times New Roman" w:cs="Times New Roman"/>
          <w:i/>
        </w:rPr>
        <w:t>European and Social Integration, cit.,</w:t>
      </w:r>
      <w:r w:rsidRPr="00B215F2">
        <w:rPr>
          <w:rFonts w:ascii="Times New Roman" w:hAnsi="Times New Roman" w:cs="Times New Roman"/>
        </w:rPr>
        <w:t xml:space="preserve"> p.82</w:t>
      </w:r>
    </w:p>
  </w:footnote>
  <w:footnote w:id="23">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12 July 2001, c</w:t>
      </w:r>
      <w:r w:rsidRPr="00B215F2">
        <w:rPr>
          <w:rFonts w:ascii="Times New Roman" w:hAnsi="Times New Roman" w:cs="Times New Roman"/>
        </w:rPr>
        <w:t xml:space="preserve">ase C-157/99 </w:t>
      </w:r>
      <w:proofErr w:type="spellStart"/>
      <w:r w:rsidRPr="00B215F2">
        <w:rPr>
          <w:rFonts w:ascii="Times New Roman" w:hAnsi="Times New Roman" w:cs="Times New Roman"/>
          <w:i/>
        </w:rPr>
        <w:t>Geraets</w:t>
      </w:r>
      <w:proofErr w:type="spellEnd"/>
      <w:r w:rsidRPr="00B215F2">
        <w:rPr>
          <w:rFonts w:ascii="Times New Roman" w:hAnsi="Times New Roman" w:cs="Times New Roman"/>
          <w:i/>
        </w:rPr>
        <w:t xml:space="preserve">-Smits and </w:t>
      </w:r>
      <w:proofErr w:type="spellStart"/>
      <w:r w:rsidRPr="00B215F2">
        <w:rPr>
          <w:rFonts w:ascii="Times New Roman" w:hAnsi="Times New Roman" w:cs="Times New Roman"/>
          <w:i/>
        </w:rPr>
        <w:t>Peerbooms</w:t>
      </w:r>
      <w:proofErr w:type="spellEnd"/>
      <w:r w:rsidRPr="00B215F2">
        <w:rPr>
          <w:rFonts w:ascii="Times New Roman" w:hAnsi="Times New Roman" w:cs="Times New Roman"/>
        </w:rPr>
        <w:t xml:space="preserve">; </w:t>
      </w:r>
      <w:r>
        <w:rPr>
          <w:rFonts w:ascii="Times New Roman" w:hAnsi="Times New Roman" w:cs="Times New Roman"/>
        </w:rPr>
        <w:t>Court of Justice, judgment of 16 May 2006, c</w:t>
      </w:r>
      <w:r w:rsidRPr="00B215F2">
        <w:rPr>
          <w:rFonts w:ascii="Times New Roman" w:hAnsi="Times New Roman" w:cs="Times New Roman"/>
        </w:rPr>
        <w:t xml:space="preserve">ase C-372/04 </w:t>
      </w:r>
      <w:r w:rsidRPr="00B215F2">
        <w:rPr>
          <w:rFonts w:ascii="Times New Roman" w:hAnsi="Times New Roman" w:cs="Times New Roman"/>
          <w:i/>
        </w:rPr>
        <w:t>Watts</w:t>
      </w:r>
    </w:p>
  </w:footnote>
  <w:footnote w:id="24">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8 May 2013, joined c</w:t>
      </w:r>
      <w:r w:rsidRPr="00B215F2">
        <w:rPr>
          <w:rFonts w:ascii="Times New Roman" w:hAnsi="Times New Roman" w:cs="Times New Roman"/>
        </w:rPr>
        <w:t xml:space="preserve">ases C-197 &amp; 203/11 </w:t>
      </w:r>
      <w:proofErr w:type="spellStart"/>
      <w:r w:rsidRPr="00B215F2">
        <w:rPr>
          <w:rFonts w:ascii="Times New Roman" w:hAnsi="Times New Roman" w:cs="Times New Roman"/>
          <w:i/>
        </w:rPr>
        <w:t>Libert</w:t>
      </w:r>
      <w:proofErr w:type="spellEnd"/>
      <w:r w:rsidRPr="00B215F2">
        <w:rPr>
          <w:rFonts w:ascii="Times New Roman" w:hAnsi="Times New Roman" w:cs="Times New Roman"/>
          <w:i/>
        </w:rPr>
        <w:t xml:space="preserve"> </w:t>
      </w:r>
      <w:proofErr w:type="spellStart"/>
      <w:r w:rsidRPr="00B215F2">
        <w:rPr>
          <w:rFonts w:ascii="Times New Roman" w:hAnsi="Times New Roman" w:cs="Times New Roman"/>
          <w:i/>
        </w:rPr>
        <w:t>a.o</w:t>
      </w:r>
      <w:proofErr w:type="spellEnd"/>
    </w:p>
  </w:footnote>
  <w:footnote w:id="25">
    <w:p w:rsidR="00970F6F" w:rsidRPr="00426156"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Cowan</w:t>
      </w:r>
      <w:r>
        <w:rPr>
          <w:rFonts w:ascii="Times New Roman" w:hAnsi="Times New Roman" w:cs="Times New Roman"/>
          <w:i/>
        </w:rPr>
        <w:t xml:space="preserve">, </w:t>
      </w:r>
      <w:r>
        <w:rPr>
          <w:rFonts w:ascii="Times New Roman" w:hAnsi="Times New Roman" w:cs="Times New Roman"/>
        </w:rPr>
        <w:t>cit.</w:t>
      </w:r>
    </w:p>
  </w:footnote>
  <w:footnote w:id="26">
    <w:p w:rsidR="00970F6F" w:rsidRPr="00117AD5" w:rsidRDefault="00970F6F" w:rsidP="001963A4">
      <w:pPr>
        <w:pStyle w:val="FootnoteText"/>
        <w:rPr>
          <w:rFonts w:ascii="Times New Roman" w:hAnsi="Times New Roman" w:cs="Times New Roman"/>
          <w:i/>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8 March 2001, c</w:t>
      </w:r>
      <w:r w:rsidRPr="00B215F2">
        <w:rPr>
          <w:rFonts w:ascii="Times New Roman" w:hAnsi="Times New Roman" w:cs="Times New Roman"/>
        </w:rPr>
        <w:t>ase C-405/98</w:t>
      </w:r>
      <w:r>
        <w:rPr>
          <w:rFonts w:ascii="Times New Roman" w:hAnsi="Times New Roman" w:cs="Times New Roman"/>
        </w:rPr>
        <w:t xml:space="preserve"> </w:t>
      </w:r>
      <w:r>
        <w:rPr>
          <w:rFonts w:ascii="Times New Roman" w:hAnsi="Times New Roman" w:cs="Times New Roman"/>
          <w:i/>
        </w:rPr>
        <w:t>Gourmet</w:t>
      </w:r>
    </w:p>
  </w:footnote>
  <w:footnote w:id="27">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3 April 2008, c</w:t>
      </w:r>
      <w:r w:rsidRPr="00B215F2">
        <w:rPr>
          <w:rFonts w:ascii="Times New Roman" w:hAnsi="Times New Roman" w:cs="Times New Roman"/>
        </w:rPr>
        <w:t xml:space="preserve">ase C-346/06 </w:t>
      </w:r>
      <w:proofErr w:type="spellStart"/>
      <w:r w:rsidRPr="00B215F2">
        <w:rPr>
          <w:rFonts w:ascii="Times New Roman" w:hAnsi="Times New Roman" w:cs="Times New Roman"/>
          <w:i/>
        </w:rPr>
        <w:t>Rüffert</w:t>
      </w:r>
      <w:proofErr w:type="spellEnd"/>
      <w:r w:rsidRPr="00B215F2">
        <w:rPr>
          <w:rFonts w:ascii="Times New Roman" w:hAnsi="Times New Roman" w:cs="Times New Roman"/>
        </w:rPr>
        <w:t xml:space="preserve">; </w:t>
      </w:r>
      <w:r>
        <w:rPr>
          <w:rFonts w:ascii="Times New Roman" w:hAnsi="Times New Roman" w:cs="Times New Roman"/>
        </w:rPr>
        <w:t>Court of Justice, judgment of 17 November 2015, c</w:t>
      </w:r>
      <w:r w:rsidRPr="00B215F2">
        <w:rPr>
          <w:rFonts w:ascii="Times New Roman" w:hAnsi="Times New Roman" w:cs="Times New Roman"/>
        </w:rPr>
        <w:t xml:space="preserve">ase C-115/14 </w:t>
      </w:r>
      <w:proofErr w:type="spellStart"/>
      <w:r w:rsidRPr="00B215F2">
        <w:rPr>
          <w:rFonts w:ascii="Times New Roman" w:hAnsi="Times New Roman" w:cs="Times New Roman"/>
          <w:i/>
        </w:rPr>
        <w:t>RegioPost</w:t>
      </w:r>
      <w:proofErr w:type="spellEnd"/>
    </w:p>
  </w:footnote>
  <w:footnote w:id="28">
    <w:p w:rsidR="00970F6F" w:rsidRPr="00B215F2" w:rsidRDefault="00970F6F" w:rsidP="00AB1ED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Court of Justice, judgment of 23 May 1996 </w:t>
      </w:r>
      <w:r w:rsidRPr="00B215F2">
        <w:rPr>
          <w:rFonts w:ascii="Times New Roman" w:hAnsi="Times New Roman" w:cs="Times New Roman"/>
        </w:rPr>
        <w:t xml:space="preserve">Case C-237/94 </w:t>
      </w:r>
      <w:proofErr w:type="spellStart"/>
      <w:r w:rsidRPr="00B215F2">
        <w:rPr>
          <w:rFonts w:ascii="Times New Roman" w:hAnsi="Times New Roman" w:cs="Times New Roman"/>
          <w:i/>
        </w:rPr>
        <w:t>O’Flynn</w:t>
      </w:r>
      <w:proofErr w:type="spellEnd"/>
      <w:r>
        <w:rPr>
          <w:rFonts w:ascii="Times New Roman" w:hAnsi="Times New Roman" w:cs="Times New Roman"/>
          <w:i/>
        </w:rPr>
        <w:t xml:space="preserve"> v Adjudication Officer</w:t>
      </w:r>
      <w:r w:rsidRPr="00B215F2">
        <w:rPr>
          <w:rFonts w:ascii="Times New Roman" w:hAnsi="Times New Roman" w:cs="Times New Roman"/>
        </w:rPr>
        <w:t>;</w:t>
      </w:r>
      <w:r>
        <w:rPr>
          <w:rFonts w:ascii="Times New Roman" w:hAnsi="Times New Roman" w:cs="Times New Roman"/>
        </w:rPr>
        <w:t xml:space="preserve"> Court of Justice, judgment of 31 May 1978, c</w:t>
      </w:r>
      <w:r w:rsidRPr="00B215F2">
        <w:rPr>
          <w:rFonts w:ascii="Times New Roman" w:hAnsi="Times New Roman" w:cs="Times New Roman"/>
        </w:rPr>
        <w:t>ase 207/78</w:t>
      </w:r>
      <w:r>
        <w:rPr>
          <w:rFonts w:ascii="Times New Roman" w:hAnsi="Times New Roman" w:cs="Times New Roman"/>
        </w:rPr>
        <w:t xml:space="preserve"> </w:t>
      </w:r>
      <w:proofErr w:type="spellStart"/>
      <w:r w:rsidRPr="00426156">
        <w:rPr>
          <w:rFonts w:ascii="Times New Roman" w:hAnsi="Times New Roman" w:cs="Times New Roman"/>
          <w:i/>
        </w:rPr>
        <w:t>Ministère</w:t>
      </w:r>
      <w:proofErr w:type="spellEnd"/>
      <w:r w:rsidRPr="00426156">
        <w:rPr>
          <w:rFonts w:ascii="Times New Roman" w:hAnsi="Times New Roman" w:cs="Times New Roman"/>
          <w:i/>
        </w:rPr>
        <w:t xml:space="preserve"> Public v</w:t>
      </w:r>
      <w:r w:rsidRPr="00B215F2">
        <w:rPr>
          <w:rFonts w:ascii="Times New Roman" w:hAnsi="Times New Roman" w:cs="Times New Roman"/>
        </w:rPr>
        <w:t xml:space="preserve"> </w:t>
      </w:r>
      <w:r w:rsidRPr="00B215F2">
        <w:rPr>
          <w:rFonts w:ascii="Times New Roman" w:hAnsi="Times New Roman" w:cs="Times New Roman"/>
          <w:i/>
        </w:rPr>
        <w:t>Even</w:t>
      </w:r>
      <w:r w:rsidRPr="00B215F2">
        <w:rPr>
          <w:rFonts w:ascii="Times New Roman" w:hAnsi="Times New Roman" w:cs="Times New Roman"/>
        </w:rPr>
        <w:t xml:space="preserve">; </w:t>
      </w:r>
      <w:r>
        <w:rPr>
          <w:rFonts w:ascii="Times New Roman" w:hAnsi="Times New Roman" w:cs="Times New Roman"/>
        </w:rPr>
        <w:t>Court of Justice, judgment of 30 September 1975, c</w:t>
      </w:r>
      <w:r w:rsidRPr="00B215F2">
        <w:rPr>
          <w:rFonts w:ascii="Times New Roman" w:hAnsi="Times New Roman" w:cs="Times New Roman"/>
        </w:rPr>
        <w:t xml:space="preserve">ase 32/75 </w:t>
      </w:r>
      <w:proofErr w:type="spellStart"/>
      <w:r w:rsidRPr="00B215F2">
        <w:rPr>
          <w:rFonts w:ascii="Times New Roman" w:hAnsi="Times New Roman" w:cs="Times New Roman"/>
          <w:i/>
        </w:rPr>
        <w:t>Cristini</w:t>
      </w:r>
      <w:proofErr w:type="spellEnd"/>
      <w:r w:rsidRPr="00B215F2">
        <w:rPr>
          <w:rFonts w:ascii="Times New Roman" w:hAnsi="Times New Roman" w:cs="Times New Roman"/>
          <w:i/>
        </w:rPr>
        <w:t xml:space="preserve"> v SNCF</w:t>
      </w:r>
    </w:p>
  </w:footnote>
  <w:footnote w:id="29">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7 July 2005, c</w:t>
      </w:r>
      <w:r w:rsidRPr="00B215F2">
        <w:rPr>
          <w:rFonts w:ascii="Times New Roman" w:hAnsi="Times New Roman" w:cs="Times New Roman"/>
        </w:rPr>
        <w:t xml:space="preserve">ase C-147/03 </w:t>
      </w:r>
      <w:r w:rsidRPr="00B215F2">
        <w:rPr>
          <w:rFonts w:ascii="Times New Roman" w:hAnsi="Times New Roman" w:cs="Times New Roman"/>
          <w:i/>
        </w:rPr>
        <w:t>Commission v. Austria</w:t>
      </w:r>
    </w:p>
  </w:footnote>
  <w:footnote w:id="30">
    <w:p w:rsidR="00970F6F" w:rsidRPr="00426156" w:rsidRDefault="00970F6F" w:rsidP="001963A4">
      <w:pPr>
        <w:pStyle w:val="FootnoteText"/>
        <w:rPr>
          <w:rFonts w:ascii="Times New Roman" w:hAnsi="Times New Roman" w:cs="Times New Roman"/>
          <w:i/>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Viking</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w:t>
      </w:r>
      <w:r>
        <w:rPr>
          <w:rFonts w:ascii="Times New Roman" w:hAnsi="Times New Roman" w:cs="Times New Roman"/>
        </w:rPr>
        <w:t>Court of Justice, judgment of 18 December 2007, c</w:t>
      </w:r>
      <w:r w:rsidRPr="00B215F2">
        <w:rPr>
          <w:rFonts w:ascii="Times New Roman" w:hAnsi="Times New Roman" w:cs="Times New Roman"/>
        </w:rPr>
        <w:t xml:space="preserve">ase C-341/05 </w:t>
      </w:r>
      <w:r w:rsidRPr="00B215F2">
        <w:rPr>
          <w:rFonts w:ascii="Times New Roman" w:hAnsi="Times New Roman" w:cs="Times New Roman"/>
          <w:i/>
        </w:rPr>
        <w:t>Laval</w:t>
      </w:r>
      <w:r>
        <w:rPr>
          <w:rFonts w:ascii="Times New Roman" w:hAnsi="Times New Roman" w:cs="Times New Roman"/>
          <w:i/>
        </w:rPr>
        <w:t xml:space="preserve"> un </w:t>
      </w:r>
      <w:proofErr w:type="spellStart"/>
      <w:r>
        <w:rPr>
          <w:rFonts w:ascii="Times New Roman" w:hAnsi="Times New Roman" w:cs="Times New Roman"/>
          <w:i/>
        </w:rPr>
        <w:t>Partneri</w:t>
      </w:r>
      <w:proofErr w:type="spellEnd"/>
    </w:p>
  </w:footnote>
  <w:footnote w:id="31">
    <w:p w:rsidR="00970F6F" w:rsidRPr="00B215F2" w:rsidRDefault="00970F6F" w:rsidP="00EF548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i/>
        </w:rPr>
        <w:t>Laval</w:t>
      </w:r>
      <w:r w:rsidRPr="00B215F2">
        <w:rPr>
          <w:rFonts w:ascii="Times New Roman" w:hAnsi="Times New Roman" w:cs="Times New Roman"/>
        </w:rPr>
        <w:t>,</w:t>
      </w:r>
      <w:r>
        <w:rPr>
          <w:rFonts w:ascii="Times New Roman" w:hAnsi="Times New Roman" w:cs="Times New Roman"/>
        </w:rPr>
        <w:t xml:space="preserve"> cit., par</w:t>
      </w:r>
      <w:r w:rsidRPr="00B215F2">
        <w:rPr>
          <w:rFonts w:ascii="Times New Roman" w:hAnsi="Times New Roman" w:cs="Times New Roman"/>
        </w:rPr>
        <w:t>a.98: ‘the freedom to provide services would be compromised if the abolition of State barriers could be neutralised by the activities of actors not governed by public la</w:t>
      </w:r>
      <w:r>
        <w:rPr>
          <w:rFonts w:ascii="Times New Roman" w:hAnsi="Times New Roman" w:cs="Times New Roman"/>
        </w:rPr>
        <w:t xml:space="preserve">w’; </w:t>
      </w:r>
      <w:r w:rsidRPr="00B215F2">
        <w:rPr>
          <w:rFonts w:ascii="Times New Roman" w:hAnsi="Times New Roman" w:cs="Times New Roman"/>
          <w:i/>
        </w:rPr>
        <w:t>Viking</w:t>
      </w:r>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para.34</w:t>
      </w:r>
    </w:p>
  </w:footnote>
  <w:footnote w:id="32">
    <w:p w:rsidR="00970F6F" w:rsidRPr="00203F02" w:rsidRDefault="00970F6F" w:rsidP="00EF5480">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L. MANCANO, </w:t>
      </w:r>
      <w:proofErr w:type="gramStart"/>
      <w:r w:rsidRPr="00203F02">
        <w:rPr>
          <w:rFonts w:ascii="Times New Roman" w:hAnsi="Times New Roman" w:cs="Times New Roman"/>
          <w:i/>
        </w:rPr>
        <w:t>The</w:t>
      </w:r>
      <w:proofErr w:type="gramEnd"/>
      <w:r w:rsidRPr="00203F02">
        <w:rPr>
          <w:rFonts w:ascii="Times New Roman" w:hAnsi="Times New Roman" w:cs="Times New Roman"/>
          <w:i/>
        </w:rPr>
        <w:t xml:space="preserve"> Place for Prisoners in European Union Law?</w:t>
      </w:r>
      <w:r w:rsidRPr="00B215F2">
        <w:rPr>
          <w:rFonts w:ascii="Times New Roman" w:hAnsi="Times New Roman" w:cs="Times New Roman"/>
        </w:rPr>
        <w:t xml:space="preserve"> </w:t>
      </w:r>
      <w:r>
        <w:rPr>
          <w:rFonts w:ascii="Times New Roman" w:hAnsi="Times New Roman" w:cs="Times New Roman"/>
        </w:rPr>
        <w:t xml:space="preserve">in </w:t>
      </w:r>
      <w:r w:rsidRPr="00B215F2">
        <w:rPr>
          <w:rFonts w:ascii="Times New Roman" w:hAnsi="Times New Roman" w:cs="Times New Roman"/>
          <w:i/>
        </w:rPr>
        <w:t>European Public Law</w:t>
      </w:r>
      <w:r>
        <w:rPr>
          <w:rFonts w:ascii="Times New Roman" w:hAnsi="Times New Roman" w:cs="Times New Roman"/>
          <w:i/>
        </w:rPr>
        <w:t xml:space="preserve">, </w:t>
      </w:r>
      <w:r>
        <w:rPr>
          <w:rFonts w:ascii="Times New Roman" w:hAnsi="Times New Roman" w:cs="Times New Roman"/>
        </w:rPr>
        <w:t>2016, p.</w:t>
      </w:r>
      <w:r w:rsidRPr="00B215F2">
        <w:rPr>
          <w:rFonts w:ascii="Times New Roman" w:hAnsi="Times New Roman" w:cs="Times New Roman"/>
        </w:rPr>
        <w:t xml:space="preserve"> 717</w:t>
      </w:r>
      <w:r>
        <w:rPr>
          <w:rFonts w:ascii="Times New Roman" w:hAnsi="Times New Roman" w:cs="Times New Roman"/>
        </w:rPr>
        <w:t xml:space="preserve"> </w:t>
      </w:r>
      <w:r>
        <w:rPr>
          <w:rFonts w:ascii="Times New Roman" w:hAnsi="Times New Roman" w:cs="Times New Roman"/>
          <w:i/>
        </w:rPr>
        <w:t xml:space="preserve">et </w:t>
      </w:r>
      <w:proofErr w:type="spellStart"/>
      <w:r>
        <w:rPr>
          <w:rFonts w:ascii="Times New Roman" w:hAnsi="Times New Roman" w:cs="Times New Roman"/>
          <w:i/>
        </w:rPr>
        <w:t>seq</w:t>
      </w:r>
      <w:proofErr w:type="spellEnd"/>
      <w:r>
        <w:rPr>
          <w:rFonts w:ascii="Times New Roman" w:hAnsi="Times New Roman" w:cs="Times New Roman"/>
          <w:i/>
        </w:rPr>
        <w:t xml:space="preserve">, </w:t>
      </w:r>
      <w:r>
        <w:rPr>
          <w:rFonts w:ascii="Times New Roman" w:hAnsi="Times New Roman" w:cs="Times New Roman"/>
        </w:rPr>
        <w:t>721</w:t>
      </w:r>
    </w:p>
  </w:footnote>
  <w:footnote w:id="33">
    <w:p w:rsidR="00970F6F" w:rsidRPr="00B215F2" w:rsidRDefault="00970F6F" w:rsidP="00E2488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8 July 1975, case</w:t>
      </w:r>
      <w:r w:rsidRPr="00B215F2">
        <w:rPr>
          <w:rFonts w:ascii="Times New Roman" w:hAnsi="Times New Roman" w:cs="Times New Roman"/>
        </w:rPr>
        <w:t xml:space="preserve"> 4/75 </w:t>
      </w:r>
      <w:proofErr w:type="spellStart"/>
      <w:r w:rsidRPr="00B215F2">
        <w:rPr>
          <w:rFonts w:ascii="Times New Roman" w:hAnsi="Times New Roman" w:cs="Times New Roman"/>
          <w:i/>
        </w:rPr>
        <w:t>Rewe-Zentralefinanz</w:t>
      </w:r>
      <w:proofErr w:type="spellEnd"/>
      <w:r w:rsidRPr="00B215F2">
        <w:rPr>
          <w:rFonts w:ascii="Times New Roman" w:hAnsi="Times New Roman" w:cs="Times New Roman"/>
          <w:i/>
        </w:rPr>
        <w:t xml:space="preserve"> v. </w:t>
      </w:r>
      <w:proofErr w:type="spellStart"/>
      <w:r w:rsidRPr="00B215F2">
        <w:rPr>
          <w:rFonts w:ascii="Times New Roman" w:hAnsi="Times New Roman" w:cs="Times New Roman"/>
          <w:i/>
        </w:rPr>
        <w:t>Landwirtschaftskammer</w:t>
      </w:r>
      <w:proofErr w:type="spellEnd"/>
      <w:r>
        <w:rPr>
          <w:rFonts w:ascii="Times New Roman" w:hAnsi="Times New Roman" w:cs="Times New Roman"/>
          <w:i/>
        </w:rPr>
        <w:t xml:space="preserve"> Bonn</w:t>
      </w:r>
      <w:r w:rsidRPr="00B215F2">
        <w:rPr>
          <w:rFonts w:ascii="Times New Roman" w:hAnsi="Times New Roman" w:cs="Times New Roman"/>
        </w:rPr>
        <w:t xml:space="preserve">; </w:t>
      </w:r>
      <w:r>
        <w:rPr>
          <w:rFonts w:ascii="Times New Roman" w:hAnsi="Times New Roman" w:cs="Times New Roman"/>
        </w:rPr>
        <w:t>Court of Justice, judgment of 5 October 1977, c</w:t>
      </w:r>
      <w:r w:rsidRPr="00B215F2">
        <w:rPr>
          <w:rFonts w:ascii="Times New Roman" w:hAnsi="Times New Roman" w:cs="Times New Roman"/>
        </w:rPr>
        <w:t xml:space="preserve">ase 5/77 </w:t>
      </w:r>
      <w:proofErr w:type="spellStart"/>
      <w:r w:rsidRPr="00B215F2">
        <w:rPr>
          <w:rFonts w:ascii="Times New Roman" w:hAnsi="Times New Roman" w:cs="Times New Roman"/>
          <w:i/>
        </w:rPr>
        <w:t>Tedeschi</w:t>
      </w:r>
      <w:proofErr w:type="spellEnd"/>
      <w:r>
        <w:rPr>
          <w:rFonts w:ascii="Times New Roman" w:hAnsi="Times New Roman" w:cs="Times New Roman"/>
          <w:i/>
        </w:rPr>
        <w:t xml:space="preserve"> v </w:t>
      </w:r>
      <w:proofErr w:type="spellStart"/>
      <w:r>
        <w:rPr>
          <w:rFonts w:ascii="Times New Roman" w:hAnsi="Times New Roman" w:cs="Times New Roman"/>
          <w:i/>
        </w:rPr>
        <w:t>Denkavit</w:t>
      </w:r>
      <w:proofErr w:type="spellEnd"/>
    </w:p>
  </w:footnote>
  <w:footnote w:id="34">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 B</w:t>
      </w:r>
      <w:r>
        <w:rPr>
          <w:rFonts w:ascii="Times New Roman" w:hAnsi="Times New Roman" w:cs="Times New Roman"/>
        </w:rPr>
        <w:t xml:space="preserve">ARNARD, </w:t>
      </w:r>
      <w:r w:rsidRPr="00203F02">
        <w:rPr>
          <w:rFonts w:ascii="Times New Roman" w:hAnsi="Times New Roman" w:cs="Times New Roman"/>
          <w:i/>
        </w:rPr>
        <w:t>Social Dumping or Dumping Socialism?</w:t>
      </w:r>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w:t>
      </w:r>
      <w:r>
        <w:rPr>
          <w:rFonts w:ascii="Times New Roman" w:hAnsi="Times New Roman" w:cs="Times New Roman"/>
          <w:i/>
        </w:rPr>
        <w:t xml:space="preserve">Cambridge Law Journal, </w:t>
      </w:r>
      <w:r>
        <w:rPr>
          <w:rFonts w:ascii="Times New Roman" w:hAnsi="Times New Roman" w:cs="Times New Roman"/>
        </w:rPr>
        <w:t>2008,</w:t>
      </w:r>
      <w:r w:rsidRPr="00B215F2">
        <w:rPr>
          <w:rFonts w:ascii="Times New Roman" w:hAnsi="Times New Roman" w:cs="Times New Roman"/>
        </w:rPr>
        <w:t xml:space="preserve"> 262</w:t>
      </w:r>
      <w:r>
        <w:rPr>
          <w:rFonts w:ascii="Times New Roman" w:hAnsi="Times New Roman" w:cs="Times New Roman"/>
        </w:rPr>
        <w:t xml:space="preserve"> </w:t>
      </w:r>
      <w:r>
        <w:rPr>
          <w:rFonts w:ascii="Times New Roman" w:hAnsi="Times New Roman" w:cs="Times New Roman"/>
          <w:i/>
        </w:rPr>
        <w:t>et seq.</w:t>
      </w:r>
    </w:p>
  </w:footnote>
  <w:footnote w:id="35">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This is arguably supported by the positioning of the ‘Treaty derogations’ of Articles 36, 45(3), 52, 62 and 65(1</w:t>
      </w:r>
      <w:proofErr w:type="gramStart"/>
      <w:r w:rsidRPr="00B215F2">
        <w:rPr>
          <w:rFonts w:ascii="Times New Roman" w:hAnsi="Times New Roman" w:cs="Times New Roman"/>
        </w:rPr>
        <w:t>)(</w:t>
      </w:r>
      <w:proofErr w:type="gramEnd"/>
      <w:r w:rsidRPr="00B215F2">
        <w:rPr>
          <w:rFonts w:ascii="Times New Roman" w:hAnsi="Times New Roman" w:cs="Times New Roman"/>
        </w:rPr>
        <w:t xml:space="preserve">b) TFEU </w:t>
      </w:r>
      <w:r w:rsidRPr="00B215F2">
        <w:rPr>
          <w:rFonts w:ascii="Times New Roman" w:hAnsi="Times New Roman" w:cs="Times New Roman"/>
          <w:i/>
        </w:rPr>
        <w:t>after</w:t>
      </w:r>
      <w:r w:rsidRPr="00B215F2">
        <w:rPr>
          <w:rFonts w:ascii="Times New Roman" w:hAnsi="Times New Roman" w:cs="Times New Roman"/>
        </w:rPr>
        <w:t xml:space="preserve"> the market freedoms in Articles 34, 45, 49, 56 and 63 TFEU. See N. N</w:t>
      </w:r>
      <w:r>
        <w:rPr>
          <w:rFonts w:ascii="Times New Roman" w:hAnsi="Times New Roman" w:cs="Times New Roman"/>
        </w:rPr>
        <w:t>IC</w:t>
      </w:r>
      <w:r w:rsidRPr="00B215F2">
        <w:rPr>
          <w:rFonts w:ascii="Times New Roman" w:hAnsi="Times New Roman" w:cs="Times New Roman"/>
        </w:rPr>
        <w:t xml:space="preserve"> S</w:t>
      </w:r>
      <w:r>
        <w:rPr>
          <w:rFonts w:ascii="Times New Roman" w:hAnsi="Times New Roman" w:cs="Times New Roman"/>
        </w:rPr>
        <w:t>HUIBHNE</w:t>
      </w:r>
      <w:r w:rsidRPr="00B215F2">
        <w:rPr>
          <w:rFonts w:ascii="Times New Roman" w:hAnsi="Times New Roman" w:cs="Times New Roman"/>
        </w:rPr>
        <w:t xml:space="preserve">, </w:t>
      </w:r>
      <w:r w:rsidRPr="00B215F2">
        <w:rPr>
          <w:rFonts w:ascii="Times New Roman" w:hAnsi="Times New Roman" w:cs="Times New Roman"/>
          <w:i/>
        </w:rPr>
        <w:t>The Coherence of EU Free Movement Law: Constitutional Responsibility and the Court of Justice</w:t>
      </w:r>
      <w:r>
        <w:rPr>
          <w:rFonts w:ascii="Times New Roman" w:hAnsi="Times New Roman" w:cs="Times New Roman"/>
          <w:i/>
        </w:rPr>
        <w:t xml:space="preserve">, </w:t>
      </w:r>
      <w:r>
        <w:rPr>
          <w:rFonts w:ascii="Times New Roman" w:hAnsi="Times New Roman" w:cs="Times New Roman"/>
        </w:rPr>
        <w:t>Oxford: OUP, 2013, p.26</w:t>
      </w:r>
      <w:r w:rsidRPr="00B215F2">
        <w:rPr>
          <w:rFonts w:ascii="Times New Roman" w:hAnsi="Times New Roman" w:cs="Times New Roman"/>
          <w:i/>
        </w:rPr>
        <w:t xml:space="preserve"> </w:t>
      </w:r>
      <w:r w:rsidRPr="00B215F2">
        <w:rPr>
          <w:rFonts w:ascii="Times New Roman" w:hAnsi="Times New Roman" w:cs="Times New Roman"/>
        </w:rPr>
        <w:t xml:space="preserve"> </w:t>
      </w:r>
    </w:p>
  </w:footnote>
  <w:footnote w:id="36">
    <w:p w:rsidR="00970F6F" w:rsidRPr="00203F0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11 September 2008, c</w:t>
      </w:r>
      <w:r w:rsidRPr="00B215F2">
        <w:rPr>
          <w:rFonts w:ascii="Times New Roman" w:hAnsi="Times New Roman" w:cs="Times New Roman"/>
        </w:rPr>
        <w:t xml:space="preserve">ase C-141/07 </w:t>
      </w:r>
      <w:r w:rsidRPr="00B215F2">
        <w:rPr>
          <w:rFonts w:ascii="Times New Roman" w:hAnsi="Times New Roman" w:cs="Times New Roman"/>
          <w:i/>
        </w:rPr>
        <w:t>Commission v Germany</w:t>
      </w:r>
      <w:r w:rsidRPr="00B215F2">
        <w:rPr>
          <w:rFonts w:ascii="Times New Roman" w:hAnsi="Times New Roman" w:cs="Times New Roman"/>
        </w:rPr>
        <w:t xml:space="preserve">; </w:t>
      </w:r>
      <w:proofErr w:type="spellStart"/>
      <w:r w:rsidRPr="00B215F2">
        <w:rPr>
          <w:rFonts w:ascii="Times New Roman" w:hAnsi="Times New Roman" w:cs="Times New Roman"/>
          <w:i/>
        </w:rPr>
        <w:t>Salgoil</w:t>
      </w:r>
      <w:proofErr w:type="spellEnd"/>
      <w:r>
        <w:rPr>
          <w:rFonts w:ascii="Times New Roman" w:hAnsi="Times New Roman" w:cs="Times New Roman"/>
          <w:i/>
        </w:rPr>
        <w:t xml:space="preserve">, </w:t>
      </w:r>
      <w:r>
        <w:rPr>
          <w:rFonts w:ascii="Times New Roman" w:hAnsi="Times New Roman" w:cs="Times New Roman"/>
        </w:rPr>
        <w:t>cit.</w:t>
      </w:r>
    </w:p>
  </w:footnote>
  <w:footnote w:id="37">
    <w:p w:rsidR="00970F6F" w:rsidRPr="00B215F2" w:rsidRDefault="00970F6F" w:rsidP="009754F5">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Viking</w:t>
      </w:r>
      <w:r>
        <w:rPr>
          <w:rFonts w:ascii="Times New Roman" w:hAnsi="Times New Roman" w:cs="Times New Roman"/>
        </w:rPr>
        <w:t>, cit.;</w:t>
      </w:r>
      <w:r w:rsidRPr="00B215F2">
        <w:rPr>
          <w:rFonts w:ascii="Times New Roman" w:hAnsi="Times New Roman" w:cs="Times New Roman"/>
        </w:rPr>
        <w:t xml:space="preserve"> </w:t>
      </w:r>
      <w:r w:rsidRPr="00B215F2">
        <w:rPr>
          <w:rFonts w:ascii="Times New Roman" w:hAnsi="Times New Roman" w:cs="Times New Roman"/>
          <w:i/>
        </w:rPr>
        <w:t>Laval</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w:t>
      </w:r>
      <w:r>
        <w:rPr>
          <w:rFonts w:ascii="Times New Roman" w:hAnsi="Times New Roman" w:cs="Times New Roman"/>
        </w:rPr>
        <w:t>Court of Justice, judgment of 19 June 2008, case c</w:t>
      </w:r>
      <w:r w:rsidRPr="00B215F2">
        <w:rPr>
          <w:rFonts w:ascii="Times New Roman" w:hAnsi="Times New Roman" w:cs="Times New Roman"/>
        </w:rPr>
        <w:t xml:space="preserve">-319/06 </w:t>
      </w:r>
      <w:r>
        <w:rPr>
          <w:rFonts w:ascii="Times New Roman" w:hAnsi="Times New Roman" w:cs="Times New Roman"/>
          <w:i/>
        </w:rPr>
        <w:t>Commission v. Luxembourg</w:t>
      </w:r>
      <w:r w:rsidRPr="00B215F2">
        <w:rPr>
          <w:rFonts w:ascii="Times New Roman" w:hAnsi="Times New Roman" w:cs="Times New Roman"/>
        </w:rPr>
        <w:t xml:space="preserve">; </w:t>
      </w:r>
      <w:proofErr w:type="spellStart"/>
      <w:r w:rsidRPr="00B215F2">
        <w:rPr>
          <w:rFonts w:ascii="Times New Roman" w:hAnsi="Times New Roman" w:cs="Times New Roman"/>
          <w:i/>
        </w:rPr>
        <w:t>Rüffert</w:t>
      </w:r>
      <w:proofErr w:type="spellEnd"/>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w:t>
      </w:r>
      <w:proofErr w:type="spellStart"/>
      <w:r w:rsidRPr="00B215F2">
        <w:rPr>
          <w:rFonts w:ascii="Times New Roman" w:hAnsi="Times New Roman" w:cs="Times New Roman"/>
          <w:i/>
        </w:rPr>
        <w:t>Libert</w:t>
      </w:r>
      <w:proofErr w:type="spellEnd"/>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w:t>
      </w:r>
      <w:r w:rsidRPr="00B215F2">
        <w:rPr>
          <w:rFonts w:ascii="Times New Roman" w:hAnsi="Times New Roman" w:cs="Times New Roman"/>
          <w:i/>
        </w:rPr>
        <w:t>Gourmet</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Indeed, the breach/justification model was reinforced by thes</w:t>
      </w:r>
      <w:r>
        <w:rPr>
          <w:rFonts w:ascii="Times New Roman" w:hAnsi="Times New Roman" w:cs="Times New Roman"/>
        </w:rPr>
        <w:t xml:space="preserve">e expansions. See S. REYNOLDS, </w:t>
      </w:r>
      <w:r w:rsidRPr="00117AD5">
        <w:rPr>
          <w:rFonts w:ascii="Times New Roman" w:hAnsi="Times New Roman" w:cs="Times New Roman"/>
          <w:i/>
        </w:rPr>
        <w:t>Explaining the Constitutional Drivers behind a Perceived Judicial preference for Free Movement over Fundamental Rights</w:t>
      </w:r>
      <w:r>
        <w:rPr>
          <w:rFonts w:ascii="Times New Roman" w:hAnsi="Times New Roman" w:cs="Times New Roman"/>
        </w:rPr>
        <w:t xml:space="preserve"> in </w:t>
      </w:r>
      <w:r>
        <w:rPr>
          <w:rFonts w:ascii="Times New Roman" w:hAnsi="Times New Roman" w:cs="Times New Roman"/>
          <w:i/>
        </w:rPr>
        <w:t xml:space="preserve">Common Market Law Review, </w:t>
      </w:r>
      <w:r>
        <w:rPr>
          <w:rFonts w:ascii="Times New Roman" w:hAnsi="Times New Roman" w:cs="Times New Roman"/>
        </w:rPr>
        <w:t>2016,</w:t>
      </w:r>
      <w:r w:rsidRPr="00B215F2">
        <w:rPr>
          <w:rFonts w:ascii="Times New Roman" w:hAnsi="Times New Roman" w:cs="Times New Roman"/>
        </w:rPr>
        <w:t xml:space="preserve"> </w:t>
      </w:r>
      <w:r>
        <w:rPr>
          <w:rFonts w:ascii="Times New Roman" w:hAnsi="Times New Roman" w:cs="Times New Roman"/>
        </w:rPr>
        <w:t>p.</w:t>
      </w:r>
      <w:r w:rsidRPr="00B215F2">
        <w:rPr>
          <w:rFonts w:ascii="Times New Roman" w:hAnsi="Times New Roman" w:cs="Times New Roman"/>
        </w:rPr>
        <w:t>643</w:t>
      </w:r>
      <w:r>
        <w:rPr>
          <w:rFonts w:ascii="Times New Roman" w:hAnsi="Times New Roman" w:cs="Times New Roman"/>
        </w:rPr>
        <w:t xml:space="preserve"> </w:t>
      </w:r>
      <w:r>
        <w:rPr>
          <w:rFonts w:ascii="Times New Roman" w:hAnsi="Times New Roman" w:cs="Times New Roman"/>
          <w:i/>
        </w:rPr>
        <w:t>et seq.</w:t>
      </w:r>
    </w:p>
  </w:footnote>
  <w:footnote w:id="38">
    <w:p w:rsidR="00970F6F" w:rsidRPr="00B215F2" w:rsidRDefault="00970F6F" w:rsidP="004A59E3">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N. </w:t>
      </w:r>
      <w:r w:rsidRPr="00B215F2">
        <w:rPr>
          <w:rFonts w:ascii="Times New Roman" w:hAnsi="Times New Roman" w:cs="Times New Roman"/>
        </w:rPr>
        <w:t>B</w:t>
      </w:r>
      <w:r>
        <w:rPr>
          <w:rFonts w:ascii="Times New Roman" w:hAnsi="Times New Roman" w:cs="Times New Roman"/>
        </w:rPr>
        <w:t>USBY</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A Right to Unpaid Care?, </w:t>
      </w:r>
      <w:r>
        <w:rPr>
          <w:rFonts w:ascii="Times New Roman" w:hAnsi="Times New Roman" w:cs="Times New Roman"/>
        </w:rPr>
        <w:t>cit.,</w:t>
      </w:r>
      <w:r w:rsidRPr="00B215F2">
        <w:rPr>
          <w:rFonts w:ascii="Times New Roman" w:hAnsi="Times New Roman" w:cs="Times New Roman"/>
        </w:rPr>
        <w:t xml:space="preserve"> p.96</w:t>
      </w:r>
    </w:p>
  </w:footnote>
  <w:footnote w:id="39">
    <w:p w:rsidR="00970F6F" w:rsidRPr="00117AD5"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proofErr w:type="spellStart"/>
      <w:r w:rsidRPr="00B215F2">
        <w:rPr>
          <w:rFonts w:ascii="Times New Roman" w:hAnsi="Times New Roman" w:cs="Times New Roman"/>
          <w:i/>
        </w:rPr>
        <w:t>Gebhard</w:t>
      </w:r>
      <w:proofErr w:type="spellEnd"/>
      <w:r>
        <w:rPr>
          <w:rFonts w:ascii="Times New Roman" w:hAnsi="Times New Roman" w:cs="Times New Roman"/>
          <w:i/>
        </w:rPr>
        <w:t xml:space="preserve">, </w:t>
      </w:r>
      <w:r>
        <w:rPr>
          <w:rFonts w:ascii="Times New Roman" w:hAnsi="Times New Roman" w:cs="Times New Roman"/>
        </w:rPr>
        <w:t>cit.</w:t>
      </w:r>
    </w:p>
  </w:footnote>
  <w:footnote w:id="4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DA2469">
        <w:rPr>
          <w:rFonts w:ascii="Times New Roman" w:hAnsi="Times New Roman" w:cs="Times New Roman"/>
          <w:i/>
        </w:rPr>
        <w:t>Ibid</w:t>
      </w:r>
    </w:p>
  </w:footnote>
  <w:footnote w:id="41">
    <w:p w:rsidR="00970F6F" w:rsidRPr="00B215F2" w:rsidRDefault="00970F6F" w:rsidP="0082276B">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Court of Justice, judgment of 19 June 2008, case c-319/06 </w:t>
      </w:r>
      <w:r w:rsidRPr="00B215F2">
        <w:rPr>
          <w:rFonts w:ascii="Times New Roman" w:hAnsi="Times New Roman" w:cs="Times New Roman"/>
          <w:i/>
        </w:rPr>
        <w:t>Commission v Luxembourg</w:t>
      </w:r>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paras.50</w:t>
      </w:r>
      <w:r>
        <w:rPr>
          <w:rFonts w:ascii="Times New Roman" w:hAnsi="Times New Roman" w:cs="Times New Roman"/>
        </w:rPr>
        <w:t>;</w:t>
      </w:r>
      <w:r w:rsidRPr="00B215F2">
        <w:rPr>
          <w:rFonts w:ascii="Times New Roman" w:hAnsi="Times New Roman" w:cs="Times New Roman"/>
        </w:rPr>
        <w:t xml:space="preserve"> 29</w:t>
      </w:r>
    </w:p>
  </w:footnote>
  <w:footnote w:id="42">
    <w:p w:rsidR="00970F6F" w:rsidRPr="00B215F2" w:rsidRDefault="00970F6F" w:rsidP="0082276B">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D. GALLO, </w:t>
      </w:r>
      <w:r w:rsidRPr="00117AD5">
        <w:rPr>
          <w:rFonts w:ascii="Times New Roman" w:hAnsi="Times New Roman" w:cs="Times New Roman"/>
          <w:i/>
        </w:rPr>
        <w:t>On the Content and Scope of National and European Solidarity under Free Movement Rules: The Case of Golden Shares and Sovereign Investments</w:t>
      </w:r>
      <w:r w:rsidRPr="00B215F2">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rPr>
        <w:t xml:space="preserve">European Papers, </w:t>
      </w:r>
      <w:r>
        <w:rPr>
          <w:rFonts w:ascii="Times New Roman" w:hAnsi="Times New Roman" w:cs="Times New Roman"/>
        </w:rPr>
        <w:t>2016,</w:t>
      </w:r>
      <w:r w:rsidRPr="00B215F2">
        <w:rPr>
          <w:rFonts w:ascii="Times New Roman" w:hAnsi="Times New Roman" w:cs="Times New Roman"/>
        </w:rPr>
        <w:t xml:space="preserve"> 823</w:t>
      </w:r>
      <w:r>
        <w:rPr>
          <w:rFonts w:ascii="Times New Roman" w:hAnsi="Times New Roman" w:cs="Times New Roman"/>
        </w:rPr>
        <w:t xml:space="preserve"> </w:t>
      </w:r>
      <w:r>
        <w:rPr>
          <w:rFonts w:ascii="Times New Roman" w:hAnsi="Times New Roman" w:cs="Times New Roman"/>
          <w:i/>
        </w:rPr>
        <w:t>et seq.</w:t>
      </w:r>
      <w:r>
        <w:rPr>
          <w:rFonts w:ascii="Times New Roman" w:hAnsi="Times New Roman" w:cs="Times New Roman"/>
        </w:rPr>
        <w:t xml:space="preserve">, pp.824; 830 citing Court of Justice, judgment of 8 July 2010 case c-171/08 </w:t>
      </w:r>
      <w:r>
        <w:rPr>
          <w:rFonts w:ascii="Times New Roman" w:hAnsi="Times New Roman" w:cs="Times New Roman"/>
          <w:i/>
        </w:rPr>
        <w:t>Commission v Portugal</w:t>
      </w:r>
      <w:r>
        <w:rPr>
          <w:rFonts w:ascii="Times New Roman" w:hAnsi="Times New Roman" w:cs="Times New Roman"/>
        </w:rPr>
        <w:t xml:space="preserve">; Court of Justice, judgment of 4 June 2002, case c-367/98 </w:t>
      </w:r>
      <w:r>
        <w:rPr>
          <w:rFonts w:ascii="Times New Roman" w:hAnsi="Times New Roman" w:cs="Times New Roman"/>
          <w:i/>
        </w:rPr>
        <w:t>Commission v Portugal</w:t>
      </w:r>
      <w:r w:rsidRPr="00B215F2">
        <w:rPr>
          <w:rFonts w:ascii="Times New Roman" w:hAnsi="Times New Roman" w:cs="Times New Roman"/>
        </w:rPr>
        <w:t xml:space="preserve">; </w:t>
      </w:r>
      <w:r>
        <w:rPr>
          <w:rFonts w:ascii="Times New Roman" w:hAnsi="Times New Roman" w:cs="Times New Roman"/>
        </w:rPr>
        <w:t>Court of Justice, judgment of 14 February 2008, case c</w:t>
      </w:r>
      <w:r w:rsidRPr="00B215F2">
        <w:rPr>
          <w:rFonts w:ascii="Times New Roman" w:hAnsi="Times New Roman" w:cs="Times New Roman"/>
        </w:rPr>
        <w:t xml:space="preserve">-274/06 </w:t>
      </w:r>
      <w:r w:rsidRPr="00B215F2">
        <w:rPr>
          <w:rFonts w:ascii="Times New Roman" w:hAnsi="Times New Roman" w:cs="Times New Roman"/>
          <w:i/>
        </w:rPr>
        <w:t>Commission v Spain</w:t>
      </w:r>
      <w:r w:rsidRPr="00B215F2">
        <w:rPr>
          <w:rFonts w:ascii="Times New Roman" w:hAnsi="Times New Roman" w:cs="Times New Roman"/>
        </w:rPr>
        <w:t xml:space="preserve">. </w:t>
      </w:r>
      <w:r>
        <w:rPr>
          <w:rFonts w:ascii="Times New Roman" w:hAnsi="Times New Roman" w:cs="Times New Roman"/>
        </w:rPr>
        <w:t xml:space="preserve"> Court of Justice, judgment of 4 June 2002, case c</w:t>
      </w:r>
      <w:r w:rsidRPr="00B215F2">
        <w:rPr>
          <w:rFonts w:ascii="Times New Roman" w:hAnsi="Times New Roman" w:cs="Times New Roman"/>
        </w:rPr>
        <w:t xml:space="preserve">-503/99 </w:t>
      </w:r>
      <w:r>
        <w:rPr>
          <w:rFonts w:ascii="Times New Roman" w:hAnsi="Times New Roman" w:cs="Times New Roman"/>
          <w:i/>
        </w:rPr>
        <w:t xml:space="preserve">Commission v Belgium </w:t>
      </w:r>
      <w:r w:rsidRPr="00B215F2">
        <w:rPr>
          <w:rFonts w:ascii="Times New Roman" w:hAnsi="Times New Roman" w:cs="Times New Roman"/>
        </w:rPr>
        <w:t>being the exception.</w:t>
      </w:r>
    </w:p>
  </w:footnote>
  <w:footnote w:id="43">
    <w:p w:rsidR="00970F6F" w:rsidRPr="00B215F2" w:rsidRDefault="00970F6F" w:rsidP="0082276B">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Commission v Spain</w:t>
      </w:r>
      <w:r w:rsidRPr="00B215F2">
        <w:rPr>
          <w:rFonts w:ascii="Times New Roman" w:hAnsi="Times New Roman" w:cs="Times New Roman"/>
        </w:rPr>
        <w:t>,</w:t>
      </w:r>
      <w:r>
        <w:rPr>
          <w:rFonts w:ascii="Times New Roman" w:hAnsi="Times New Roman" w:cs="Times New Roman"/>
        </w:rPr>
        <w:t xml:space="preserve"> </w:t>
      </w:r>
      <w:r w:rsidRPr="00117AD5">
        <w:rPr>
          <w:rFonts w:ascii="Times New Roman" w:hAnsi="Times New Roman" w:cs="Times New Roman"/>
          <w:i/>
        </w:rPr>
        <w:t>ibid</w:t>
      </w:r>
      <w:r>
        <w:rPr>
          <w:rFonts w:ascii="Times New Roman" w:hAnsi="Times New Roman" w:cs="Times New Roman"/>
        </w:rPr>
        <w:t>,</w:t>
      </w:r>
      <w:r w:rsidRPr="00B215F2">
        <w:rPr>
          <w:rFonts w:ascii="Times New Roman" w:hAnsi="Times New Roman" w:cs="Times New Roman"/>
        </w:rPr>
        <w:t xml:space="preserve"> para.47</w:t>
      </w:r>
    </w:p>
  </w:footnote>
  <w:footnote w:id="44">
    <w:p w:rsidR="00970F6F" w:rsidRPr="00B215F2" w:rsidRDefault="00970F6F" w:rsidP="0082276B">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D. GALLO</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Golden Shares, </w:t>
      </w:r>
      <w:r>
        <w:rPr>
          <w:rFonts w:ascii="Times New Roman" w:hAnsi="Times New Roman" w:cs="Times New Roman"/>
        </w:rPr>
        <w:t>cit.,</w:t>
      </w:r>
      <w:r w:rsidRPr="00B215F2">
        <w:rPr>
          <w:rFonts w:ascii="Times New Roman" w:hAnsi="Times New Roman" w:cs="Times New Roman"/>
        </w:rPr>
        <w:t xml:space="preserve"> p.830</w:t>
      </w:r>
    </w:p>
  </w:footnote>
  <w:footnote w:id="45">
    <w:p w:rsidR="00970F6F" w:rsidRPr="00B215F2" w:rsidRDefault="00970F6F" w:rsidP="0082276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DA2469">
        <w:rPr>
          <w:rFonts w:ascii="Times New Roman" w:hAnsi="Times New Roman" w:cs="Times New Roman"/>
          <w:i/>
        </w:rPr>
        <w:t>Ibid</w:t>
      </w:r>
    </w:p>
  </w:footnote>
  <w:footnote w:id="46">
    <w:p w:rsidR="00970F6F" w:rsidRPr="0076472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Laval</w:t>
      </w:r>
      <w:r>
        <w:rPr>
          <w:rFonts w:ascii="Times New Roman" w:hAnsi="Times New Roman" w:cs="Times New Roman"/>
          <w:i/>
        </w:rPr>
        <w:t xml:space="preserve">, </w:t>
      </w:r>
      <w:r>
        <w:rPr>
          <w:rFonts w:ascii="Times New Roman" w:hAnsi="Times New Roman" w:cs="Times New Roman"/>
        </w:rPr>
        <w:t>cit.</w:t>
      </w:r>
    </w:p>
  </w:footnote>
  <w:footnote w:id="47">
    <w:p w:rsidR="00970F6F" w:rsidRPr="00B215F2" w:rsidRDefault="00970F6F" w:rsidP="00D938D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Para.103</w:t>
      </w:r>
    </w:p>
  </w:footnote>
  <w:footnote w:id="48">
    <w:p w:rsidR="00970F6F" w:rsidRPr="00B215F2" w:rsidRDefault="00970F6F" w:rsidP="003D5BC3">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Directive 96/71/EC</w:t>
      </w:r>
      <w:r w:rsidRPr="00B215F2">
        <w:rPr>
          <w:rFonts w:ascii="Times New Roman" w:hAnsi="Times New Roman" w:cs="Times New Roman"/>
        </w:rPr>
        <w:t xml:space="preserve"> of the European Parliament and of the Council of 16 December 1996 concerning the posting of workers in the framework of the provision of services</w:t>
      </w:r>
    </w:p>
  </w:footnote>
  <w:footnote w:id="49">
    <w:p w:rsidR="00970F6F" w:rsidRPr="00B215F2" w:rsidRDefault="00970F6F" w:rsidP="003D5BC3">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Laval,</w:t>
      </w:r>
      <w:r>
        <w:rPr>
          <w:rFonts w:ascii="Times New Roman" w:hAnsi="Times New Roman" w:cs="Times New Roman"/>
        </w:rPr>
        <w:t xml:space="preserve"> cit.,</w:t>
      </w:r>
      <w:r w:rsidRPr="00B215F2">
        <w:rPr>
          <w:rFonts w:ascii="Times New Roman" w:hAnsi="Times New Roman" w:cs="Times New Roman"/>
          <w:i/>
        </w:rPr>
        <w:t xml:space="preserve"> </w:t>
      </w:r>
      <w:r w:rsidRPr="00B215F2">
        <w:rPr>
          <w:rFonts w:ascii="Times New Roman" w:hAnsi="Times New Roman" w:cs="Times New Roman"/>
        </w:rPr>
        <w:t>para.108</w:t>
      </w:r>
    </w:p>
  </w:footnote>
  <w:footnote w:id="5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This arguably does not cohere with the original motives of the EU legislature, which introduced the PWD as an anti-social dumping measure. See e.g. speech of A. L</w:t>
      </w:r>
      <w:r>
        <w:rPr>
          <w:rFonts w:ascii="Times New Roman" w:hAnsi="Times New Roman" w:cs="Times New Roman"/>
        </w:rPr>
        <w:t>ULLING, MEP COD/1991/0346 of 13 May 1992</w:t>
      </w:r>
    </w:p>
  </w:footnote>
  <w:footnote w:id="51">
    <w:p w:rsidR="00970F6F" w:rsidRPr="00B215F2" w:rsidRDefault="00970F6F" w:rsidP="003D5BC3">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Para.85</w:t>
      </w:r>
    </w:p>
  </w:footnote>
  <w:footnote w:id="52">
    <w:p w:rsidR="00970F6F" w:rsidRPr="00764722" w:rsidRDefault="00970F6F" w:rsidP="00773420">
      <w:pPr>
        <w:pStyle w:val="FootnoteText"/>
        <w:rPr>
          <w:rFonts w:ascii="Times New Roman" w:hAnsi="Times New Roman" w:cs="Times New Roman"/>
          <w:i/>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M. R</w:t>
      </w:r>
      <w:r>
        <w:rPr>
          <w:rFonts w:ascii="Times New Roman" w:hAnsi="Times New Roman" w:cs="Times New Roman"/>
        </w:rPr>
        <w:t xml:space="preserve">ÖNNMAR, </w:t>
      </w:r>
      <w:r w:rsidRPr="00764722">
        <w:rPr>
          <w:rFonts w:ascii="Times New Roman" w:hAnsi="Times New Roman" w:cs="Times New Roman"/>
          <w:i/>
        </w:rPr>
        <w:t>Free Movement of Services vs National Labour Law and Industrial Relations Systems: Understanding the Laval Case from a Swedish and Nordic Perspective</w:t>
      </w:r>
      <w:r>
        <w:rPr>
          <w:rFonts w:ascii="Times New Roman" w:hAnsi="Times New Roman" w:cs="Times New Roman"/>
        </w:rPr>
        <w:t xml:space="preserve"> in</w:t>
      </w:r>
      <w:r w:rsidRPr="00B215F2">
        <w:rPr>
          <w:rFonts w:ascii="Times New Roman" w:hAnsi="Times New Roman" w:cs="Times New Roman"/>
        </w:rPr>
        <w:t xml:space="preserve"> </w:t>
      </w:r>
      <w:r>
        <w:rPr>
          <w:rFonts w:ascii="Times New Roman" w:hAnsi="Times New Roman" w:cs="Times New Roman"/>
          <w:i/>
        </w:rPr>
        <w:t xml:space="preserve">Cambridge Yearbook of European Legal Studies, 2007-2008, </w:t>
      </w:r>
      <w:r>
        <w:rPr>
          <w:rFonts w:ascii="Times New Roman" w:hAnsi="Times New Roman" w:cs="Times New Roman"/>
        </w:rPr>
        <w:t>p.</w:t>
      </w:r>
      <w:r w:rsidRPr="00B215F2">
        <w:rPr>
          <w:rFonts w:ascii="Times New Roman" w:hAnsi="Times New Roman" w:cs="Times New Roman"/>
        </w:rPr>
        <w:t>493</w:t>
      </w:r>
      <w:r>
        <w:rPr>
          <w:rFonts w:ascii="Times New Roman" w:hAnsi="Times New Roman" w:cs="Times New Roman"/>
        </w:rPr>
        <w:t xml:space="preserve"> </w:t>
      </w:r>
      <w:r>
        <w:rPr>
          <w:rFonts w:ascii="Times New Roman" w:hAnsi="Times New Roman" w:cs="Times New Roman"/>
          <w:i/>
        </w:rPr>
        <w:t>et seq.</w:t>
      </w:r>
    </w:p>
  </w:footnote>
  <w:footnote w:id="53">
    <w:p w:rsidR="00970F6F" w:rsidRPr="00B215F2" w:rsidRDefault="00970F6F" w:rsidP="00A63CD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 xml:space="preserve">Laval, </w:t>
      </w:r>
      <w:r>
        <w:rPr>
          <w:rFonts w:ascii="Times New Roman" w:hAnsi="Times New Roman" w:cs="Times New Roman"/>
        </w:rPr>
        <w:t xml:space="preserve">cit., </w:t>
      </w:r>
      <w:r w:rsidRPr="00B215F2">
        <w:rPr>
          <w:rFonts w:ascii="Times New Roman" w:hAnsi="Times New Roman" w:cs="Times New Roman"/>
        </w:rPr>
        <w:t xml:space="preserve">para.110. </w:t>
      </w:r>
    </w:p>
  </w:footnote>
  <w:footnote w:id="54">
    <w:p w:rsidR="00970F6F" w:rsidRPr="00B215F2" w:rsidRDefault="00970F6F" w:rsidP="00A63CDA">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Art.</w:t>
      </w:r>
      <w:r w:rsidRPr="00B215F2">
        <w:rPr>
          <w:rFonts w:ascii="Times New Roman" w:hAnsi="Times New Roman" w:cs="Times New Roman"/>
        </w:rPr>
        <w:t>153(5) TFEU</w:t>
      </w:r>
    </w:p>
  </w:footnote>
  <w:footnote w:id="55">
    <w:p w:rsidR="00970F6F" w:rsidRPr="00B215F2" w:rsidRDefault="00970F6F" w:rsidP="00A63CD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Laval,</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paras.86-88</w:t>
      </w:r>
    </w:p>
  </w:footnote>
  <w:footnote w:id="56">
    <w:p w:rsidR="00970F6F" w:rsidRPr="00B215F2" w:rsidRDefault="00970F6F" w:rsidP="00CD7BF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Watts</w:t>
      </w:r>
      <w:r>
        <w:rPr>
          <w:rFonts w:ascii="Times New Roman" w:hAnsi="Times New Roman" w:cs="Times New Roman"/>
          <w:i/>
        </w:rPr>
        <w:t xml:space="preserve">, </w:t>
      </w:r>
      <w:r>
        <w:rPr>
          <w:rFonts w:ascii="Times New Roman" w:hAnsi="Times New Roman" w:cs="Times New Roman"/>
        </w:rPr>
        <w:t>cit.</w:t>
      </w:r>
    </w:p>
  </w:footnote>
  <w:footnote w:id="57">
    <w:p w:rsidR="00970F6F" w:rsidRPr="00B215F2" w:rsidRDefault="00970F6F" w:rsidP="0062066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 N</w:t>
      </w:r>
      <w:r>
        <w:rPr>
          <w:rFonts w:ascii="Times New Roman" w:hAnsi="Times New Roman" w:cs="Times New Roman"/>
        </w:rPr>
        <w:t>IC</w:t>
      </w:r>
      <w:r w:rsidRPr="00B215F2">
        <w:rPr>
          <w:rFonts w:ascii="Times New Roman" w:hAnsi="Times New Roman" w:cs="Times New Roman"/>
        </w:rPr>
        <w:t xml:space="preserve"> S</w:t>
      </w:r>
      <w:r>
        <w:rPr>
          <w:rFonts w:ascii="Times New Roman" w:hAnsi="Times New Roman" w:cs="Times New Roman"/>
        </w:rPr>
        <w:t>HUIBHNE</w:t>
      </w:r>
      <w:r w:rsidRPr="00B215F2">
        <w:rPr>
          <w:rFonts w:ascii="Times New Roman" w:hAnsi="Times New Roman" w:cs="Times New Roman"/>
        </w:rPr>
        <w:t xml:space="preserve"> and M. M</w:t>
      </w:r>
      <w:r>
        <w:rPr>
          <w:rFonts w:ascii="Times New Roman" w:hAnsi="Times New Roman" w:cs="Times New Roman"/>
        </w:rPr>
        <w:t xml:space="preserve">ACI, </w:t>
      </w:r>
      <w:r w:rsidRPr="00764722">
        <w:rPr>
          <w:rFonts w:ascii="Times New Roman" w:hAnsi="Times New Roman" w:cs="Times New Roman"/>
          <w:i/>
        </w:rPr>
        <w:t>Proving public interest: The growing impact of evi</w:t>
      </w:r>
      <w:r>
        <w:rPr>
          <w:rFonts w:ascii="Times New Roman" w:hAnsi="Times New Roman" w:cs="Times New Roman"/>
          <w:i/>
        </w:rPr>
        <w:t>dence in free movement case law</w:t>
      </w:r>
      <w:r>
        <w:rPr>
          <w:rFonts w:ascii="Times New Roman" w:hAnsi="Times New Roman" w:cs="Times New Roman"/>
        </w:rPr>
        <w:t xml:space="preserve"> in </w:t>
      </w:r>
      <w:r>
        <w:rPr>
          <w:rFonts w:ascii="Times New Roman" w:hAnsi="Times New Roman" w:cs="Times New Roman"/>
          <w:i/>
        </w:rPr>
        <w:t>Common Market Law Review,</w:t>
      </w:r>
      <w:r>
        <w:rPr>
          <w:rFonts w:ascii="Times New Roman" w:hAnsi="Times New Roman" w:cs="Times New Roman"/>
        </w:rPr>
        <w:t xml:space="preserve"> 2013</w:t>
      </w:r>
      <w:r w:rsidRPr="00B215F2">
        <w:rPr>
          <w:rFonts w:ascii="Times New Roman" w:hAnsi="Times New Roman" w:cs="Times New Roman"/>
        </w:rPr>
        <w:t xml:space="preserve">, </w:t>
      </w:r>
      <w:r>
        <w:rPr>
          <w:rFonts w:ascii="Times New Roman" w:hAnsi="Times New Roman" w:cs="Times New Roman"/>
        </w:rPr>
        <w:t>p.</w:t>
      </w:r>
      <w:r w:rsidRPr="00B215F2">
        <w:rPr>
          <w:rFonts w:ascii="Times New Roman" w:hAnsi="Times New Roman" w:cs="Times New Roman"/>
        </w:rPr>
        <w:t>965</w:t>
      </w:r>
      <w:r>
        <w:rPr>
          <w:rFonts w:ascii="Times New Roman" w:hAnsi="Times New Roman" w:cs="Times New Roman"/>
        </w:rPr>
        <w:t xml:space="preserve"> </w:t>
      </w:r>
      <w:r>
        <w:rPr>
          <w:rFonts w:ascii="Times New Roman" w:hAnsi="Times New Roman" w:cs="Times New Roman"/>
          <w:i/>
        </w:rPr>
        <w:t xml:space="preserve">et seq., </w:t>
      </w:r>
      <w:r>
        <w:rPr>
          <w:rFonts w:ascii="Times New Roman" w:hAnsi="Times New Roman" w:cs="Times New Roman"/>
        </w:rPr>
        <w:t>p.</w:t>
      </w:r>
      <w:r w:rsidRPr="00B215F2">
        <w:rPr>
          <w:rFonts w:ascii="Times New Roman" w:hAnsi="Times New Roman" w:cs="Times New Roman"/>
        </w:rPr>
        <w:t>1003</w:t>
      </w:r>
    </w:p>
  </w:footnote>
  <w:footnote w:id="5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Viking</w:t>
      </w:r>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para.84</w:t>
      </w:r>
    </w:p>
  </w:footnote>
  <w:footnote w:id="5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 D</w:t>
      </w:r>
      <w:r>
        <w:rPr>
          <w:rFonts w:ascii="Times New Roman" w:hAnsi="Times New Roman" w:cs="Times New Roman"/>
        </w:rPr>
        <w:t xml:space="preserve">AVIES, </w:t>
      </w:r>
      <w:r w:rsidRPr="00764722">
        <w:rPr>
          <w:rFonts w:ascii="Times New Roman" w:hAnsi="Times New Roman" w:cs="Times New Roman"/>
          <w:i/>
        </w:rPr>
        <w:t>One step forward, two steps back? The Viking and Laval Cases in the ECJ</w:t>
      </w:r>
      <w:r w:rsidRPr="00B215F2">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rPr>
        <w:t>Industrial Law Journal</w:t>
      </w:r>
      <w:r>
        <w:rPr>
          <w:rFonts w:ascii="Times New Roman" w:hAnsi="Times New Roman" w:cs="Times New Roman"/>
        </w:rPr>
        <w:t xml:space="preserve">, 2008, p.126 </w:t>
      </w:r>
      <w:r>
        <w:rPr>
          <w:rFonts w:ascii="Times New Roman" w:hAnsi="Times New Roman" w:cs="Times New Roman"/>
          <w:i/>
        </w:rPr>
        <w:t>et seq.</w:t>
      </w:r>
      <w:r w:rsidRPr="00B215F2">
        <w:rPr>
          <w:rFonts w:ascii="Times New Roman" w:hAnsi="Times New Roman" w:cs="Times New Roman"/>
        </w:rPr>
        <w:t>; T. N</w:t>
      </w:r>
      <w:r>
        <w:rPr>
          <w:rFonts w:ascii="Times New Roman" w:hAnsi="Times New Roman" w:cs="Times New Roman"/>
        </w:rPr>
        <w:t xml:space="preserve">OVITZ, </w:t>
      </w:r>
      <w:r w:rsidRPr="00764722">
        <w:rPr>
          <w:rFonts w:ascii="Times New Roman" w:hAnsi="Times New Roman" w:cs="Times New Roman"/>
          <w:i/>
        </w:rPr>
        <w:t>A human rights analysis of the Viking and Laval judgments</w:t>
      </w:r>
      <w:r>
        <w:rPr>
          <w:rFonts w:ascii="Times New Roman" w:hAnsi="Times New Roman" w:cs="Times New Roman"/>
        </w:rPr>
        <w:t xml:space="preserve"> in </w:t>
      </w:r>
      <w:r>
        <w:rPr>
          <w:rFonts w:ascii="Times New Roman" w:hAnsi="Times New Roman" w:cs="Times New Roman"/>
          <w:i/>
        </w:rPr>
        <w:t>Cambridge Yearbook of European Legal Studies</w:t>
      </w:r>
      <w:r>
        <w:rPr>
          <w:rFonts w:ascii="Times New Roman" w:hAnsi="Times New Roman" w:cs="Times New Roman"/>
        </w:rPr>
        <w:t>, p.</w:t>
      </w:r>
      <w:r w:rsidRPr="00B215F2">
        <w:rPr>
          <w:rFonts w:ascii="Times New Roman" w:hAnsi="Times New Roman" w:cs="Times New Roman"/>
        </w:rPr>
        <w:t>541</w:t>
      </w:r>
      <w:r>
        <w:rPr>
          <w:rFonts w:ascii="Times New Roman" w:hAnsi="Times New Roman" w:cs="Times New Roman"/>
        </w:rPr>
        <w:t xml:space="preserve"> </w:t>
      </w:r>
      <w:r>
        <w:rPr>
          <w:rFonts w:ascii="Times New Roman" w:hAnsi="Times New Roman" w:cs="Times New Roman"/>
          <w:i/>
        </w:rPr>
        <w:t>et seq.</w:t>
      </w:r>
      <w:r>
        <w:rPr>
          <w:rFonts w:ascii="Times New Roman" w:hAnsi="Times New Roman" w:cs="Times New Roman"/>
        </w:rPr>
        <w:t>, pp.560–561</w:t>
      </w:r>
    </w:p>
  </w:footnote>
  <w:footnote w:id="6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w:t>
      </w:r>
      <w:r>
        <w:rPr>
          <w:rFonts w:ascii="Times New Roman" w:hAnsi="Times New Roman" w:cs="Times New Roman"/>
        </w:rPr>
        <w:t>Court of Justice, judgment of 9 December 1997, c</w:t>
      </w:r>
      <w:r w:rsidRPr="00B215F2">
        <w:rPr>
          <w:rFonts w:ascii="Times New Roman" w:hAnsi="Times New Roman" w:cs="Times New Roman"/>
        </w:rPr>
        <w:t xml:space="preserve">ase 265/95 </w:t>
      </w:r>
      <w:r w:rsidRPr="00B215F2">
        <w:rPr>
          <w:rFonts w:ascii="Times New Roman" w:hAnsi="Times New Roman" w:cs="Times New Roman"/>
          <w:i/>
        </w:rPr>
        <w:t>Commission v France (Spanish Strawberries)</w:t>
      </w:r>
      <w:r w:rsidRPr="00B215F2">
        <w:rPr>
          <w:rFonts w:ascii="Times New Roman" w:hAnsi="Times New Roman" w:cs="Times New Roman"/>
        </w:rPr>
        <w:t xml:space="preserve"> in which action taken to protest the import of Spanish agricultural produce into France already fell within the French criminal code, though France wa</w:t>
      </w:r>
      <w:r>
        <w:rPr>
          <w:rFonts w:ascii="Times New Roman" w:hAnsi="Times New Roman" w:cs="Times New Roman"/>
        </w:rPr>
        <w:t>s found not to be enforcing it</w:t>
      </w:r>
      <w:r w:rsidRPr="00B215F2">
        <w:rPr>
          <w:rFonts w:ascii="Times New Roman" w:hAnsi="Times New Roman" w:cs="Times New Roman"/>
        </w:rPr>
        <w:t xml:space="preserve"> in that case.</w:t>
      </w:r>
    </w:p>
  </w:footnote>
  <w:footnote w:id="61">
    <w:p w:rsidR="00970F6F" w:rsidRPr="00B215F2" w:rsidRDefault="00970F6F" w:rsidP="006E5968">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K. </w:t>
      </w:r>
      <w:r w:rsidRPr="00B215F2">
        <w:rPr>
          <w:rFonts w:ascii="Times New Roman" w:hAnsi="Times New Roman" w:cs="Times New Roman"/>
        </w:rPr>
        <w:t>A</w:t>
      </w:r>
      <w:r>
        <w:rPr>
          <w:rFonts w:ascii="Times New Roman" w:hAnsi="Times New Roman" w:cs="Times New Roman"/>
        </w:rPr>
        <w:t>RMSTRONG</w:t>
      </w:r>
      <w:r w:rsidRPr="00B215F2">
        <w:rPr>
          <w:rFonts w:ascii="Times New Roman" w:hAnsi="Times New Roman" w:cs="Times New Roman"/>
        </w:rPr>
        <w:t xml:space="preserve">, </w:t>
      </w:r>
      <w:r>
        <w:rPr>
          <w:rFonts w:ascii="Times New Roman" w:hAnsi="Times New Roman" w:cs="Times New Roman"/>
          <w:i/>
        </w:rPr>
        <w:t>Governing Social Inclusion</w:t>
      </w:r>
      <w:r w:rsidRPr="00B215F2">
        <w:rPr>
          <w:rFonts w:ascii="Times New Roman" w:hAnsi="Times New Roman" w:cs="Times New Roman"/>
        </w:rPr>
        <w:t>, p.232</w:t>
      </w:r>
    </w:p>
  </w:footnote>
  <w:footnote w:id="62">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D. SCHIEK</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Economic and Social Integration</w:t>
      </w:r>
      <w:r w:rsidRPr="00B215F2">
        <w:rPr>
          <w:rFonts w:ascii="Times New Roman" w:hAnsi="Times New Roman" w:cs="Times New Roman"/>
        </w:rPr>
        <w:t>, p.86</w:t>
      </w:r>
    </w:p>
  </w:footnote>
  <w:footnote w:id="6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Consider e.g. </w:t>
      </w:r>
      <w:r>
        <w:rPr>
          <w:rFonts w:ascii="Times New Roman" w:hAnsi="Times New Roman" w:cs="Times New Roman"/>
        </w:rPr>
        <w:t>Court of Justice, judgment of 9 March 1999, case c</w:t>
      </w:r>
      <w:r w:rsidRPr="00B215F2">
        <w:rPr>
          <w:rFonts w:ascii="Times New Roman" w:hAnsi="Times New Roman" w:cs="Times New Roman"/>
        </w:rPr>
        <w:t xml:space="preserve">-212/97 </w:t>
      </w:r>
      <w:proofErr w:type="spellStart"/>
      <w:r w:rsidRPr="00B215F2">
        <w:rPr>
          <w:rFonts w:ascii="Times New Roman" w:hAnsi="Times New Roman" w:cs="Times New Roman"/>
          <w:i/>
        </w:rPr>
        <w:t>Centros</w:t>
      </w:r>
      <w:proofErr w:type="spellEnd"/>
    </w:p>
  </w:footnote>
  <w:footnote w:id="64">
    <w:p w:rsidR="00970F6F" w:rsidRPr="00B215F2" w:rsidRDefault="00970F6F" w:rsidP="009200D0">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D. SCHIEK, </w:t>
      </w:r>
      <w:r>
        <w:rPr>
          <w:rFonts w:ascii="Times New Roman" w:hAnsi="Times New Roman" w:cs="Times New Roman"/>
          <w:i/>
        </w:rPr>
        <w:t>Economic and Social Integration</w:t>
      </w:r>
      <w:r w:rsidRPr="00B215F2">
        <w:rPr>
          <w:rFonts w:ascii="Times New Roman" w:hAnsi="Times New Roman" w:cs="Times New Roman"/>
        </w:rPr>
        <w:t>, p.30</w:t>
      </w:r>
    </w:p>
  </w:footnote>
  <w:footnote w:id="65">
    <w:p w:rsidR="00970F6F" w:rsidRPr="00B215F2" w:rsidRDefault="00970F6F" w:rsidP="009200D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w:t>
      </w:r>
      <w:r w:rsidR="008A702A">
        <w:rPr>
          <w:rFonts w:ascii="Times New Roman" w:hAnsi="Times New Roman" w:cs="Times New Roman"/>
        </w:rPr>
        <w:t>ee</w:t>
      </w:r>
      <w:r w:rsidRPr="00B215F2">
        <w:rPr>
          <w:rFonts w:ascii="Times New Roman" w:hAnsi="Times New Roman" w:cs="Times New Roman"/>
        </w:rPr>
        <w:t xml:space="preserve"> A. I</w:t>
      </w:r>
      <w:r>
        <w:rPr>
          <w:rFonts w:ascii="Times New Roman" w:hAnsi="Times New Roman" w:cs="Times New Roman"/>
        </w:rPr>
        <w:t>NCE, D. FEATHERSTONE, A. CUMBERS, D. MACKINNON, K. STRAUSS,</w:t>
      </w:r>
      <w:r w:rsidRPr="00B215F2">
        <w:rPr>
          <w:rFonts w:ascii="Times New Roman" w:hAnsi="Times New Roman" w:cs="Times New Roman"/>
        </w:rPr>
        <w:t xml:space="preserve"> </w:t>
      </w:r>
      <w:r w:rsidRPr="008D7EAF">
        <w:rPr>
          <w:rFonts w:ascii="Times New Roman" w:hAnsi="Times New Roman" w:cs="Times New Roman"/>
          <w:i/>
        </w:rPr>
        <w:t>British Jobs for British Workers? Negotiating Work, Nation, and Globalisation through th</w:t>
      </w:r>
      <w:r>
        <w:rPr>
          <w:rFonts w:ascii="Times New Roman" w:hAnsi="Times New Roman" w:cs="Times New Roman"/>
          <w:i/>
        </w:rPr>
        <w:t>e Lindsey Oil Refinery Disputes</w:t>
      </w:r>
      <w:r>
        <w:rPr>
          <w:rFonts w:ascii="Times New Roman" w:hAnsi="Times New Roman" w:cs="Times New Roman"/>
        </w:rPr>
        <w:t xml:space="preserve"> in </w:t>
      </w:r>
      <w:r>
        <w:rPr>
          <w:rFonts w:ascii="Times New Roman" w:hAnsi="Times New Roman" w:cs="Times New Roman"/>
          <w:i/>
        </w:rPr>
        <w:t>Antipode</w:t>
      </w:r>
      <w:r>
        <w:rPr>
          <w:rFonts w:ascii="Times New Roman" w:hAnsi="Times New Roman" w:cs="Times New Roman"/>
        </w:rPr>
        <w:t>, 2015, p.</w:t>
      </w:r>
      <w:r w:rsidRPr="00B215F2">
        <w:rPr>
          <w:rFonts w:ascii="Times New Roman" w:hAnsi="Times New Roman" w:cs="Times New Roman"/>
        </w:rPr>
        <w:t>139</w:t>
      </w:r>
      <w:r>
        <w:rPr>
          <w:rFonts w:ascii="Times New Roman" w:hAnsi="Times New Roman" w:cs="Times New Roman"/>
        </w:rPr>
        <w:t xml:space="preserve"> </w:t>
      </w:r>
      <w:r>
        <w:rPr>
          <w:rFonts w:ascii="Times New Roman" w:hAnsi="Times New Roman" w:cs="Times New Roman"/>
          <w:i/>
        </w:rPr>
        <w:t>et seq</w:t>
      </w:r>
      <w:r>
        <w:rPr>
          <w:rFonts w:ascii="Times New Roman" w:hAnsi="Times New Roman" w:cs="Times New Roman"/>
        </w:rPr>
        <w:t>.</w:t>
      </w:r>
      <w:r w:rsidRPr="00B215F2">
        <w:rPr>
          <w:rFonts w:ascii="Times New Roman" w:hAnsi="Times New Roman" w:cs="Times New Roman"/>
        </w:rPr>
        <w:t xml:space="preserve">  </w:t>
      </w:r>
    </w:p>
  </w:footnote>
  <w:footnote w:id="6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i/>
        </w:rPr>
        <w:t>Gebhard</w:t>
      </w:r>
      <w:proofErr w:type="spellEnd"/>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legitimacy aim, suitability, necessity and general proportionality.</w:t>
      </w:r>
    </w:p>
  </w:footnote>
  <w:footnote w:id="6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11 July 1974, c</w:t>
      </w:r>
      <w:r w:rsidRPr="00B215F2">
        <w:rPr>
          <w:rFonts w:ascii="Times New Roman" w:hAnsi="Times New Roman" w:cs="Times New Roman"/>
        </w:rPr>
        <w:t xml:space="preserve">ase 8/74 </w:t>
      </w:r>
      <w:proofErr w:type="spellStart"/>
      <w:r w:rsidRPr="00B215F2">
        <w:rPr>
          <w:rFonts w:ascii="Times New Roman" w:hAnsi="Times New Roman" w:cs="Times New Roman"/>
          <w:i/>
        </w:rPr>
        <w:t>Dassonville</w:t>
      </w:r>
      <w:proofErr w:type="spellEnd"/>
    </w:p>
  </w:footnote>
  <w:footnote w:id="68">
    <w:p w:rsidR="00970F6F" w:rsidRPr="00B215F2" w:rsidRDefault="00970F6F" w:rsidP="001963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D. </w:t>
      </w:r>
      <w:r w:rsidRPr="00B215F2">
        <w:rPr>
          <w:rFonts w:ascii="Times New Roman" w:hAnsi="Times New Roman" w:cs="Times New Roman"/>
        </w:rPr>
        <w:t>S</w:t>
      </w:r>
      <w:r>
        <w:rPr>
          <w:rFonts w:ascii="Times New Roman" w:hAnsi="Times New Roman" w:cs="Times New Roman"/>
        </w:rPr>
        <w:t xml:space="preserve">CHIEK, </w:t>
      </w:r>
      <w:r>
        <w:rPr>
          <w:rFonts w:ascii="Times New Roman" w:hAnsi="Times New Roman" w:cs="Times New Roman"/>
          <w:i/>
        </w:rPr>
        <w:t>Economic and Social Integration,</w:t>
      </w:r>
      <w:r w:rsidRPr="00B215F2">
        <w:rPr>
          <w:rFonts w:ascii="Times New Roman" w:hAnsi="Times New Roman" w:cs="Times New Roman"/>
        </w:rPr>
        <w:t xml:space="preserve"> p.236</w:t>
      </w:r>
    </w:p>
  </w:footnote>
  <w:footnote w:id="69">
    <w:p w:rsidR="00970F6F" w:rsidRPr="00B215F2" w:rsidRDefault="00970F6F" w:rsidP="005935E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 H</w:t>
      </w:r>
      <w:r>
        <w:rPr>
          <w:rFonts w:ascii="Times New Roman" w:hAnsi="Times New Roman" w:cs="Times New Roman"/>
        </w:rPr>
        <w:t xml:space="preserve">ORSLEY, </w:t>
      </w:r>
      <w:r w:rsidRPr="008D7EAF">
        <w:rPr>
          <w:rFonts w:ascii="Times New Roman" w:hAnsi="Times New Roman" w:cs="Times New Roman"/>
          <w:i/>
        </w:rPr>
        <w:t xml:space="preserve">Reflections on the Role of the Court of Justice as the “Motor” of European Integration: Legal Limits to Judicial </w:t>
      </w:r>
      <w:proofErr w:type="spellStart"/>
      <w:r w:rsidRPr="008D7EAF">
        <w:rPr>
          <w:rFonts w:ascii="Times New Roman" w:hAnsi="Times New Roman" w:cs="Times New Roman"/>
          <w:i/>
        </w:rPr>
        <w:t>Lawmaking</w:t>
      </w:r>
      <w:proofErr w:type="spellEnd"/>
      <w:r>
        <w:rPr>
          <w:rFonts w:ascii="Times New Roman" w:hAnsi="Times New Roman" w:cs="Times New Roman"/>
        </w:rPr>
        <w:t xml:space="preserve">, in </w:t>
      </w:r>
      <w:r>
        <w:rPr>
          <w:rFonts w:ascii="Times New Roman" w:hAnsi="Times New Roman" w:cs="Times New Roman"/>
          <w:i/>
        </w:rPr>
        <w:t xml:space="preserve">Common Market Law Review, </w:t>
      </w:r>
      <w:r>
        <w:rPr>
          <w:rFonts w:ascii="Times New Roman" w:hAnsi="Times New Roman" w:cs="Times New Roman"/>
        </w:rPr>
        <w:t xml:space="preserve">2013, p.931 </w:t>
      </w:r>
      <w:r>
        <w:rPr>
          <w:rFonts w:ascii="Times New Roman" w:hAnsi="Times New Roman" w:cs="Times New Roman"/>
          <w:i/>
        </w:rPr>
        <w:t>et seq.</w:t>
      </w:r>
      <w:r w:rsidRPr="00B215F2">
        <w:rPr>
          <w:rFonts w:ascii="Times New Roman" w:hAnsi="Times New Roman" w:cs="Times New Roman"/>
        </w:rPr>
        <w:t xml:space="preserve">, </w:t>
      </w:r>
      <w:r>
        <w:rPr>
          <w:rFonts w:ascii="Times New Roman" w:hAnsi="Times New Roman" w:cs="Times New Roman"/>
        </w:rPr>
        <w:t>p.</w:t>
      </w:r>
      <w:r w:rsidRPr="00B215F2">
        <w:rPr>
          <w:rFonts w:ascii="Times New Roman" w:hAnsi="Times New Roman" w:cs="Times New Roman"/>
        </w:rPr>
        <w:t>942</w:t>
      </w:r>
    </w:p>
  </w:footnote>
  <w:footnote w:id="70">
    <w:p w:rsidR="00970F6F" w:rsidRPr="00B215F2" w:rsidRDefault="00970F6F" w:rsidP="005935E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8D7EAF">
        <w:rPr>
          <w:rFonts w:ascii="Times New Roman" w:hAnsi="Times New Roman" w:cs="Times New Roman"/>
          <w:i/>
        </w:rPr>
        <w:t>Ibid</w:t>
      </w:r>
      <w:r w:rsidRPr="00B215F2">
        <w:rPr>
          <w:rFonts w:ascii="Times New Roman" w:hAnsi="Times New Roman" w:cs="Times New Roman"/>
        </w:rPr>
        <w:t>, p.944</w:t>
      </w:r>
    </w:p>
  </w:footnote>
  <w:footnote w:id="71">
    <w:p w:rsidR="00970F6F" w:rsidRPr="00B215F2" w:rsidRDefault="00970F6F" w:rsidP="005935E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also, S. S</w:t>
      </w:r>
      <w:r>
        <w:rPr>
          <w:rFonts w:ascii="Times New Roman" w:hAnsi="Times New Roman" w:cs="Times New Roman"/>
        </w:rPr>
        <w:t xml:space="preserve">CHMIDT, </w:t>
      </w:r>
      <w:r w:rsidRPr="008D7EAF">
        <w:rPr>
          <w:rFonts w:ascii="Times New Roman" w:hAnsi="Times New Roman" w:cs="Times New Roman"/>
          <w:i/>
        </w:rPr>
        <w:t>Extending Citizenship Rights and Losing it All: Brexit and the Perils of Over-</w:t>
      </w:r>
      <w:proofErr w:type="spellStart"/>
      <w:r w:rsidRPr="008D7EAF">
        <w:rPr>
          <w:rFonts w:ascii="Times New Roman" w:hAnsi="Times New Roman" w:cs="Times New Roman"/>
          <w:i/>
        </w:rPr>
        <w:t>Constitutionalisation</w:t>
      </w:r>
      <w:proofErr w:type="spellEnd"/>
      <w:r w:rsidRPr="00B215F2">
        <w:rPr>
          <w:rFonts w:ascii="Times New Roman" w:hAnsi="Times New Roman" w:cs="Times New Roman"/>
        </w:rPr>
        <w:t>, in D. T</w:t>
      </w:r>
      <w:r>
        <w:rPr>
          <w:rFonts w:ascii="Times New Roman" w:hAnsi="Times New Roman" w:cs="Times New Roman"/>
        </w:rPr>
        <w:t>HYM (</w:t>
      </w:r>
      <w:proofErr w:type="spellStart"/>
      <w:r>
        <w:rPr>
          <w:rFonts w:ascii="Times New Roman" w:hAnsi="Times New Roman" w:cs="Times New Roman"/>
        </w:rPr>
        <w:t>ed</w:t>
      </w:r>
      <w:proofErr w:type="spellEnd"/>
      <w:r w:rsidRPr="00B215F2">
        <w:rPr>
          <w:rFonts w:ascii="Times New Roman" w:hAnsi="Times New Roman" w:cs="Times New Roman"/>
        </w:rPr>
        <w:t xml:space="preserve">), </w:t>
      </w:r>
      <w:r w:rsidRPr="00B215F2">
        <w:rPr>
          <w:rFonts w:ascii="Times New Roman" w:hAnsi="Times New Roman" w:cs="Times New Roman"/>
          <w:i/>
        </w:rPr>
        <w:t>Question</w:t>
      </w:r>
      <w:r w:rsidR="003E1EFD">
        <w:rPr>
          <w:rFonts w:ascii="Times New Roman" w:hAnsi="Times New Roman" w:cs="Times New Roman"/>
          <w:i/>
        </w:rPr>
        <w:t>ing</w:t>
      </w:r>
      <w:r w:rsidRPr="00B215F2">
        <w:rPr>
          <w:rFonts w:ascii="Times New Roman" w:hAnsi="Times New Roman" w:cs="Times New Roman"/>
          <w:i/>
        </w:rPr>
        <w:t xml:space="preserve"> EU Citizenship: Judges and the Limits of Free Movement Solidarity in the EU</w:t>
      </w:r>
      <w:r>
        <w:rPr>
          <w:rFonts w:ascii="Times New Roman" w:hAnsi="Times New Roman" w:cs="Times New Roman"/>
        </w:rPr>
        <w:t>, Oxford: Hart, 2018, c</w:t>
      </w:r>
      <w:r w:rsidRPr="00B215F2">
        <w:rPr>
          <w:rFonts w:ascii="Times New Roman" w:hAnsi="Times New Roman" w:cs="Times New Roman"/>
        </w:rPr>
        <w:t xml:space="preserve">h.2  </w:t>
      </w:r>
    </w:p>
  </w:footnote>
  <w:footnote w:id="72">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Council Resolution of 21 January 1974 concerning a social action programme</w:t>
      </w:r>
    </w:p>
  </w:footnote>
  <w:footnote w:id="73">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DA2469">
        <w:rPr>
          <w:rFonts w:ascii="Times New Roman" w:hAnsi="Times New Roman" w:cs="Times New Roman"/>
          <w:i/>
        </w:rPr>
        <w:t xml:space="preserve">Ibid </w:t>
      </w:r>
      <w:r w:rsidRPr="00B215F2">
        <w:rPr>
          <w:rFonts w:ascii="Times New Roman" w:hAnsi="Times New Roman" w:cs="Times New Roman"/>
        </w:rPr>
        <w:t>p.2</w:t>
      </w:r>
    </w:p>
  </w:footnote>
  <w:footnote w:id="74">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D. SCHIEK, </w:t>
      </w:r>
      <w:r w:rsidRPr="008D7EAF">
        <w:rPr>
          <w:rFonts w:ascii="Times New Roman" w:hAnsi="Times New Roman" w:cs="Times New Roman"/>
          <w:i/>
        </w:rPr>
        <w:t>Economic and Social Integration</w:t>
      </w:r>
      <w:r>
        <w:rPr>
          <w:rFonts w:ascii="Times New Roman" w:hAnsi="Times New Roman" w:cs="Times New Roman"/>
        </w:rPr>
        <w:t xml:space="preserve">, </w:t>
      </w:r>
      <w:r w:rsidRPr="00B215F2">
        <w:rPr>
          <w:rFonts w:ascii="Times New Roman" w:hAnsi="Times New Roman" w:cs="Times New Roman"/>
        </w:rPr>
        <w:t>p.40</w:t>
      </w:r>
    </w:p>
  </w:footnote>
  <w:footnote w:id="75">
    <w:p w:rsidR="00970F6F" w:rsidRPr="00B215F2" w:rsidRDefault="00970F6F" w:rsidP="00BF74E0">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Art.</w:t>
      </w:r>
      <w:r w:rsidRPr="00B215F2">
        <w:rPr>
          <w:rFonts w:ascii="Times New Roman" w:hAnsi="Times New Roman" w:cs="Times New Roman"/>
        </w:rPr>
        <w:t>119 EEC in</w:t>
      </w:r>
      <w:r>
        <w:rPr>
          <w:rFonts w:ascii="Times New Roman" w:hAnsi="Times New Roman" w:cs="Times New Roman"/>
        </w:rPr>
        <w:t xml:space="preserve"> Court of Justice, judgment of 8 April 1976, c</w:t>
      </w:r>
      <w:r w:rsidRPr="00B215F2">
        <w:rPr>
          <w:rFonts w:ascii="Times New Roman" w:hAnsi="Times New Roman" w:cs="Times New Roman"/>
        </w:rPr>
        <w:t xml:space="preserve">ase 43/75 </w:t>
      </w:r>
      <w:proofErr w:type="spellStart"/>
      <w:r w:rsidRPr="00B215F2">
        <w:rPr>
          <w:rFonts w:ascii="Times New Roman" w:hAnsi="Times New Roman" w:cs="Times New Roman"/>
          <w:i/>
        </w:rPr>
        <w:t>Defrenne</w:t>
      </w:r>
      <w:proofErr w:type="spellEnd"/>
    </w:p>
  </w:footnote>
  <w:footnote w:id="7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Council Resolution, Social Action Programme</w:t>
      </w:r>
      <w:r>
        <w:rPr>
          <w:rFonts w:ascii="Times New Roman" w:hAnsi="Times New Roman" w:cs="Times New Roman"/>
        </w:rPr>
        <w:t>, cit.,</w:t>
      </w:r>
      <w:r w:rsidRPr="00B215F2">
        <w:rPr>
          <w:rFonts w:ascii="Times New Roman" w:hAnsi="Times New Roman" w:cs="Times New Roman"/>
        </w:rPr>
        <w:t xml:space="preserve"> p.2</w:t>
      </w:r>
    </w:p>
  </w:footnote>
  <w:footnote w:id="77">
    <w:p w:rsidR="00970F6F" w:rsidRPr="00B215F2" w:rsidRDefault="00970F6F" w:rsidP="00BF74E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Commission, </w:t>
      </w:r>
      <w:r>
        <w:rPr>
          <w:rFonts w:ascii="Times New Roman" w:hAnsi="Times New Roman" w:cs="Times New Roman"/>
          <w:i/>
        </w:rPr>
        <w:t xml:space="preserve">Completing the Internal Market. White Paper from the Commission to the European Council, </w:t>
      </w:r>
      <w:r w:rsidRPr="00B215F2">
        <w:rPr>
          <w:rFonts w:ascii="Times New Roman" w:hAnsi="Times New Roman" w:cs="Times New Roman"/>
        </w:rPr>
        <w:t>COM (85) 310 final, para.20</w:t>
      </w:r>
    </w:p>
  </w:footnote>
  <w:footnote w:id="78">
    <w:p w:rsidR="00970F6F" w:rsidRPr="00B215F2" w:rsidRDefault="00970F6F" w:rsidP="00BF74E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DA2469">
        <w:rPr>
          <w:rFonts w:ascii="Times New Roman" w:hAnsi="Times New Roman" w:cs="Times New Roman"/>
          <w:i/>
        </w:rPr>
        <w:t>Ibid</w:t>
      </w:r>
      <w:r w:rsidRPr="00B215F2">
        <w:rPr>
          <w:rFonts w:ascii="Times New Roman" w:hAnsi="Times New Roman" w:cs="Times New Roman"/>
        </w:rPr>
        <w:t>, para.21</w:t>
      </w:r>
    </w:p>
  </w:footnote>
  <w:footnote w:id="79">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Preamble, Single European Act (1987) (SEA)</w:t>
      </w:r>
    </w:p>
  </w:footnote>
  <w:footnote w:id="80">
    <w:p w:rsidR="00970F6F" w:rsidRPr="00B215F2" w:rsidRDefault="00970F6F" w:rsidP="004A3BA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Prea</w:t>
      </w:r>
      <w:r>
        <w:rPr>
          <w:rFonts w:ascii="Times New Roman" w:hAnsi="Times New Roman" w:cs="Times New Roman"/>
        </w:rPr>
        <w:t>mble, Treaty on European Union (</w:t>
      </w:r>
      <w:r w:rsidRPr="00B215F2">
        <w:rPr>
          <w:rFonts w:ascii="Times New Roman" w:hAnsi="Times New Roman" w:cs="Times New Roman"/>
        </w:rPr>
        <w:t>1992)</w:t>
      </w:r>
    </w:p>
  </w:footnote>
  <w:footnote w:id="81">
    <w:p w:rsidR="00970F6F" w:rsidRPr="00B215F2" w:rsidRDefault="00970F6F" w:rsidP="004A3BA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Preamble to the Amsterdam Treaty (1997) </w:t>
      </w:r>
    </w:p>
  </w:footnote>
  <w:footnote w:id="82">
    <w:p w:rsidR="00970F6F" w:rsidRPr="00B215F2" w:rsidRDefault="00970F6F" w:rsidP="00A5756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Now Art.151 TFEU</w:t>
      </w:r>
    </w:p>
  </w:footnote>
  <w:footnote w:id="8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Art.3(1) TEU</w:t>
      </w:r>
    </w:p>
  </w:footnote>
  <w:footnote w:id="84">
    <w:p w:rsidR="00970F6F" w:rsidRPr="00B215F2" w:rsidRDefault="00970F6F" w:rsidP="004A3BAB">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Art.3 TEU</w:t>
      </w:r>
    </w:p>
  </w:footnote>
  <w:footnote w:id="85">
    <w:p w:rsidR="00970F6F" w:rsidRPr="00B215F2" w:rsidRDefault="00970F6F" w:rsidP="009F0C1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JUNCKER, cit.</w:t>
      </w:r>
    </w:p>
  </w:footnote>
  <w:footnote w:id="86">
    <w:p w:rsidR="00970F6F" w:rsidRPr="00B215F2" w:rsidRDefault="00970F6F" w:rsidP="00F22BC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Joint message from F</w:t>
      </w:r>
      <w:r>
        <w:rPr>
          <w:rFonts w:ascii="Times New Roman" w:hAnsi="Times New Roman" w:cs="Times New Roman"/>
        </w:rPr>
        <w:t>.</w:t>
      </w:r>
      <w:r w:rsidRPr="00B215F2">
        <w:rPr>
          <w:rFonts w:ascii="Times New Roman" w:hAnsi="Times New Roman" w:cs="Times New Roman"/>
        </w:rPr>
        <w:t xml:space="preserve"> M</w:t>
      </w:r>
      <w:r>
        <w:rPr>
          <w:rFonts w:ascii="Times New Roman" w:hAnsi="Times New Roman" w:cs="Times New Roman"/>
        </w:rPr>
        <w:t>ITTERAND</w:t>
      </w:r>
      <w:r w:rsidRPr="00B215F2">
        <w:rPr>
          <w:rFonts w:ascii="Times New Roman" w:hAnsi="Times New Roman" w:cs="Times New Roman"/>
        </w:rPr>
        <w:t xml:space="preserve"> and H</w:t>
      </w:r>
      <w:r>
        <w:rPr>
          <w:rFonts w:ascii="Times New Roman" w:hAnsi="Times New Roman" w:cs="Times New Roman"/>
        </w:rPr>
        <w:t>. KOHL</w:t>
      </w:r>
      <w:r w:rsidRPr="00B215F2">
        <w:rPr>
          <w:rFonts w:ascii="Times New Roman" w:hAnsi="Times New Roman" w:cs="Times New Roman"/>
        </w:rPr>
        <w:t xml:space="preserve"> on the necessity of accelerating the construction of ‘Political Europe’</w:t>
      </w:r>
      <w:r>
        <w:rPr>
          <w:rFonts w:ascii="Times New Roman" w:hAnsi="Times New Roman" w:cs="Times New Roman"/>
        </w:rPr>
        <w:t xml:space="preserve"> of 8 April 1990,</w:t>
      </w:r>
    </w:p>
  </w:footnote>
  <w:footnote w:id="87">
    <w:p w:rsidR="00970F6F" w:rsidRPr="00B215F2" w:rsidRDefault="00970F6F" w:rsidP="00F22BC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rPr>
        <w:t>Laeken</w:t>
      </w:r>
      <w:proofErr w:type="spellEnd"/>
      <w:r w:rsidRPr="00B215F2">
        <w:rPr>
          <w:rFonts w:ascii="Times New Roman" w:hAnsi="Times New Roman" w:cs="Times New Roman"/>
        </w:rPr>
        <w:t xml:space="preserve"> Declaration on the Future of Europe, Annex 1 to the Presidency Conclusions, </w:t>
      </w:r>
      <w:proofErr w:type="spellStart"/>
      <w:r w:rsidRPr="00B215F2">
        <w:rPr>
          <w:rFonts w:ascii="Times New Roman" w:hAnsi="Times New Roman" w:cs="Times New Roman"/>
        </w:rPr>
        <w:t>Laeken</w:t>
      </w:r>
      <w:proofErr w:type="spellEnd"/>
      <w:r w:rsidRPr="00B215F2">
        <w:rPr>
          <w:rFonts w:ascii="Times New Roman" w:hAnsi="Times New Roman" w:cs="Times New Roman"/>
        </w:rPr>
        <w:t xml:space="preserve"> 14-15 December 2001, SN 300/1/01 REV 1, </w:t>
      </w:r>
      <w:r>
        <w:rPr>
          <w:rFonts w:ascii="Times New Roman" w:hAnsi="Times New Roman" w:cs="Times New Roman"/>
        </w:rPr>
        <w:t>p.</w:t>
      </w:r>
      <w:r w:rsidRPr="00B215F2">
        <w:rPr>
          <w:rFonts w:ascii="Times New Roman" w:hAnsi="Times New Roman" w:cs="Times New Roman"/>
        </w:rPr>
        <w:t>19</w:t>
      </w:r>
      <w:r>
        <w:rPr>
          <w:rFonts w:ascii="Times New Roman" w:hAnsi="Times New Roman" w:cs="Times New Roman"/>
        </w:rPr>
        <w:t xml:space="preserve"> </w:t>
      </w:r>
      <w:r>
        <w:rPr>
          <w:rFonts w:ascii="Times New Roman" w:hAnsi="Times New Roman" w:cs="Times New Roman"/>
          <w:i/>
        </w:rPr>
        <w:t>et seq.</w:t>
      </w:r>
      <w:r w:rsidRPr="00B215F2">
        <w:rPr>
          <w:rFonts w:ascii="Times New Roman" w:hAnsi="Times New Roman" w:cs="Times New Roman"/>
        </w:rPr>
        <w:t xml:space="preserve">, </w:t>
      </w:r>
      <w:r>
        <w:rPr>
          <w:rFonts w:ascii="Times New Roman" w:hAnsi="Times New Roman" w:cs="Times New Roman"/>
        </w:rPr>
        <w:t>pp.</w:t>
      </w:r>
      <w:r w:rsidRPr="00B215F2">
        <w:rPr>
          <w:rFonts w:ascii="Times New Roman" w:hAnsi="Times New Roman" w:cs="Times New Roman"/>
        </w:rPr>
        <w:t>20-21</w:t>
      </w:r>
    </w:p>
  </w:footnote>
  <w:footnote w:id="88">
    <w:p w:rsidR="00970F6F" w:rsidRPr="00B215F2" w:rsidRDefault="00970F6F" w:rsidP="00F22BC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Art.21 SEA/Art.118a(1) EEC</w:t>
      </w:r>
    </w:p>
  </w:footnote>
  <w:footnote w:id="89">
    <w:p w:rsidR="00970F6F" w:rsidRPr="00B215F2" w:rsidRDefault="00970F6F" w:rsidP="00F22BC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Art.130(b) EEC</w:t>
      </w:r>
    </w:p>
  </w:footnote>
  <w:footnote w:id="90">
    <w:p w:rsidR="00970F6F" w:rsidRPr="00B215F2" w:rsidRDefault="00970F6F" w:rsidP="00F22BC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Council Directive 92/85/EEC of 19 October 1992 on the introduction of measures to encourage improvements in the safety and health at work of pregnant workers and workers who have recently given birth or who ar</w:t>
      </w:r>
      <w:r>
        <w:rPr>
          <w:rFonts w:ascii="Times New Roman" w:hAnsi="Times New Roman" w:cs="Times New Roman"/>
        </w:rPr>
        <w:t>e breastfeeding,</w:t>
      </w:r>
      <w:r w:rsidRPr="00B215F2">
        <w:rPr>
          <w:rFonts w:ascii="Times New Roman" w:hAnsi="Times New Roman" w:cs="Times New Roman"/>
        </w:rPr>
        <w:t xml:space="preserve"> See also </w:t>
      </w:r>
      <w:r>
        <w:rPr>
          <w:rFonts w:ascii="Times New Roman" w:hAnsi="Times New Roman" w:cs="Times New Roman"/>
        </w:rPr>
        <w:t xml:space="preserve">N. </w:t>
      </w:r>
      <w:r w:rsidRPr="00B215F2">
        <w:rPr>
          <w:rFonts w:ascii="Times New Roman" w:hAnsi="Times New Roman" w:cs="Times New Roman"/>
        </w:rPr>
        <w:t>B</w:t>
      </w:r>
      <w:r>
        <w:rPr>
          <w:rFonts w:ascii="Times New Roman" w:hAnsi="Times New Roman" w:cs="Times New Roman"/>
        </w:rPr>
        <w:t>USBY</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 Right to Unpaid Care?</w:t>
      </w:r>
      <w:r>
        <w:rPr>
          <w:rFonts w:ascii="Times New Roman" w:hAnsi="Times New Roman" w:cs="Times New Roman"/>
        </w:rPr>
        <w:t>, cit.,</w:t>
      </w:r>
      <w:r w:rsidRPr="00B215F2">
        <w:rPr>
          <w:rFonts w:ascii="Times New Roman" w:hAnsi="Times New Roman" w:cs="Times New Roman"/>
        </w:rPr>
        <w:t xml:space="preserve"> p.100</w:t>
      </w:r>
    </w:p>
  </w:footnote>
  <w:footnote w:id="91">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rPr>
        <w:t>Art.G</w:t>
      </w:r>
      <w:proofErr w:type="spellEnd"/>
      <w:r w:rsidRPr="00B215F2">
        <w:rPr>
          <w:rFonts w:ascii="Times New Roman" w:hAnsi="Times New Roman" w:cs="Times New Roman"/>
        </w:rPr>
        <w:t>(A) Maastricht Treaty</w:t>
      </w:r>
    </w:p>
  </w:footnote>
  <w:footnote w:id="92">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Title V EC</w:t>
      </w:r>
    </w:p>
  </w:footnote>
  <w:footnote w:id="93">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Title VI EC</w:t>
      </w:r>
    </w:p>
  </w:footnote>
  <w:footnote w:id="94">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Art.8 EC</w:t>
      </w:r>
    </w:p>
  </w:footnote>
  <w:footnote w:id="95">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Title IX EC</w:t>
      </w:r>
    </w:p>
  </w:footnote>
  <w:footnote w:id="96">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Title X EC</w:t>
      </w:r>
    </w:p>
  </w:footnote>
  <w:footnote w:id="97">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Title XI EC</w:t>
      </w:r>
    </w:p>
  </w:footnote>
  <w:footnote w:id="98">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w:t>
      </w:r>
      <w:r>
        <w:rPr>
          <w:rFonts w:ascii="Times New Roman" w:hAnsi="Times New Roman" w:cs="Times New Roman"/>
        </w:rPr>
        <w:t xml:space="preserve">rt.2 Agreement on Social Policy </w:t>
      </w:r>
      <w:r w:rsidRPr="00B215F2">
        <w:rPr>
          <w:rFonts w:ascii="Times New Roman" w:hAnsi="Times New Roman" w:cs="Times New Roman"/>
        </w:rPr>
        <w:t>concluded between the Member States of the European Community with the Exception of the United Kingdom of Great Britain and Northern Ireland, TEU p.197</w:t>
      </w:r>
    </w:p>
  </w:footnote>
  <w:footnote w:id="99">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Then Title XI EC, now Title IX TFEU</w:t>
      </w:r>
    </w:p>
  </w:footnote>
  <w:footnote w:id="100">
    <w:p w:rsidR="00970F6F" w:rsidRPr="00B215F2" w:rsidRDefault="00970F6F" w:rsidP="00D54C2E">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N. BUSBY, </w:t>
      </w:r>
      <w:r>
        <w:rPr>
          <w:rFonts w:ascii="Times New Roman" w:hAnsi="Times New Roman" w:cs="Times New Roman"/>
          <w:i/>
        </w:rPr>
        <w:t xml:space="preserve">A Right to Unpaid Care?, </w:t>
      </w:r>
      <w:r>
        <w:rPr>
          <w:rFonts w:ascii="Times New Roman" w:hAnsi="Times New Roman" w:cs="Times New Roman"/>
        </w:rPr>
        <w:t>cit.,</w:t>
      </w:r>
      <w:r w:rsidRPr="00B215F2">
        <w:rPr>
          <w:rFonts w:ascii="Times New Roman" w:hAnsi="Times New Roman" w:cs="Times New Roman"/>
        </w:rPr>
        <w:t xml:space="preserve"> p.100</w:t>
      </w:r>
    </w:p>
  </w:footnote>
  <w:footnote w:id="10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Art.9 TFEU</w:t>
      </w:r>
    </w:p>
  </w:footnote>
  <w:footnote w:id="102">
    <w:p w:rsidR="00970F6F" w:rsidRPr="00B215F2" w:rsidRDefault="00970F6F" w:rsidP="009F0C1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Art.11 TFEU</w:t>
      </w:r>
    </w:p>
  </w:footnote>
  <w:footnote w:id="103">
    <w:p w:rsidR="00970F6F" w:rsidRPr="00B215F2" w:rsidRDefault="00970F6F" w:rsidP="009F0C1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Art.12 TFEU</w:t>
      </w:r>
    </w:p>
  </w:footnote>
  <w:footnote w:id="10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Arts.10 and 8 TFEU</w:t>
      </w:r>
    </w:p>
  </w:footnote>
  <w:footnote w:id="105">
    <w:p w:rsidR="00970F6F" w:rsidRPr="00B215F2" w:rsidRDefault="00970F6F" w:rsidP="00C0657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Pr>
          <w:rFonts w:ascii="Times New Roman" w:hAnsi="Times New Roman" w:cs="Times New Roman"/>
          <w:i/>
        </w:rPr>
        <w:t>Laeken</w:t>
      </w:r>
      <w:proofErr w:type="spellEnd"/>
      <w:r>
        <w:rPr>
          <w:rFonts w:ascii="Times New Roman" w:hAnsi="Times New Roman" w:cs="Times New Roman"/>
          <w:i/>
        </w:rPr>
        <w:t xml:space="preserve"> Declaration, </w:t>
      </w:r>
      <w:r>
        <w:rPr>
          <w:rFonts w:ascii="Times New Roman" w:hAnsi="Times New Roman" w:cs="Times New Roman"/>
        </w:rPr>
        <w:t>cit.,</w:t>
      </w:r>
      <w:r w:rsidRPr="00E261C8">
        <w:rPr>
          <w:rFonts w:ascii="Times New Roman" w:hAnsi="Times New Roman" w:cs="Times New Roman"/>
        </w:rPr>
        <w:t xml:space="preserve"> p.20</w:t>
      </w:r>
    </w:p>
  </w:footnote>
  <w:footnote w:id="106">
    <w:p w:rsidR="00970F6F" w:rsidRPr="00B215F2" w:rsidRDefault="00970F6F" w:rsidP="0051199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Art.128 EC</w:t>
      </w:r>
    </w:p>
  </w:footnote>
  <w:footnote w:id="107">
    <w:p w:rsidR="00970F6F" w:rsidRPr="00B215F2" w:rsidRDefault="00970F6F" w:rsidP="0051199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Art.126 EC</w:t>
      </w:r>
    </w:p>
  </w:footnote>
  <w:footnote w:id="10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Art.4(2) TEU</w:t>
      </w:r>
    </w:p>
  </w:footnote>
  <w:footnote w:id="109">
    <w:p w:rsidR="00970F6F" w:rsidRPr="00B215F2" w:rsidRDefault="00970F6F" w:rsidP="00E2585C">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Art.</w:t>
      </w:r>
      <w:r w:rsidRPr="00B215F2">
        <w:rPr>
          <w:rFonts w:ascii="Times New Roman" w:hAnsi="Times New Roman" w:cs="Times New Roman"/>
        </w:rPr>
        <w:t>48 TFEU</w:t>
      </w:r>
    </w:p>
  </w:footnote>
  <w:footnote w:id="110">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Art.53 TFEU (recognition of qualifications); Art.50 TFEU (harmonisation of company law); Art.59 TFEU (liberalisation of the service economy); Art.103 TFEU (competition rules); Art.113 TFEU (harmonisation of indirect taxes); Art.118 TFEU (European intellectual property rights) </w:t>
      </w:r>
    </w:p>
  </w:footnote>
  <w:footnote w:id="111">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Art.4 TFEU</w:t>
      </w:r>
    </w:p>
  </w:footnote>
  <w:footnote w:id="112">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Art.6 TFEU</w:t>
      </w:r>
    </w:p>
  </w:footnote>
  <w:footnote w:id="113">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E.g. Art.153(2)(b) TFEU </w:t>
      </w:r>
      <w:r w:rsidRPr="00B215F2">
        <w:rPr>
          <w:rFonts w:ascii="Times New Roman" w:hAnsi="Times New Roman" w:cs="Times New Roman"/>
          <w:i/>
        </w:rPr>
        <w:t>inter alia</w:t>
      </w:r>
      <w:r w:rsidRPr="00B215F2">
        <w:rPr>
          <w:rFonts w:ascii="Times New Roman" w:hAnsi="Times New Roman" w:cs="Times New Roman"/>
        </w:rPr>
        <w:t xml:space="preserve"> on workers’ health and safety, working conditions, equality between men and women as regards labour market opportunities. </w:t>
      </w:r>
    </w:p>
  </w:footnote>
  <w:footnote w:id="11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N. C</w:t>
      </w:r>
      <w:r>
        <w:rPr>
          <w:rFonts w:ascii="Times New Roman" w:hAnsi="Times New Roman" w:cs="Times New Roman"/>
        </w:rPr>
        <w:t>OUNOURIS</w:t>
      </w:r>
      <w:r w:rsidRPr="00B215F2">
        <w:rPr>
          <w:rFonts w:ascii="Times New Roman" w:hAnsi="Times New Roman" w:cs="Times New Roman"/>
        </w:rPr>
        <w:t xml:space="preserve"> and R. H</w:t>
      </w:r>
      <w:r>
        <w:rPr>
          <w:rFonts w:ascii="Times New Roman" w:hAnsi="Times New Roman" w:cs="Times New Roman"/>
        </w:rPr>
        <w:t xml:space="preserve">ORTON, </w:t>
      </w:r>
      <w:r w:rsidRPr="001233E1">
        <w:rPr>
          <w:rFonts w:ascii="Times New Roman" w:hAnsi="Times New Roman" w:cs="Times New Roman"/>
          <w:i/>
        </w:rPr>
        <w:t>The Temporary Agency Work Directive: another broken promise?</w:t>
      </w:r>
      <w:r>
        <w:rPr>
          <w:rFonts w:ascii="Times New Roman" w:hAnsi="Times New Roman" w:cs="Times New Roman"/>
          <w:i/>
        </w:rPr>
        <w:t xml:space="preserve"> </w:t>
      </w:r>
      <w:r>
        <w:rPr>
          <w:rFonts w:ascii="Times New Roman" w:hAnsi="Times New Roman" w:cs="Times New Roman"/>
        </w:rPr>
        <w:t xml:space="preserve">in  </w:t>
      </w:r>
      <w:r>
        <w:rPr>
          <w:rFonts w:ascii="Times New Roman" w:hAnsi="Times New Roman" w:cs="Times New Roman"/>
          <w:i/>
        </w:rPr>
        <w:t xml:space="preserve">Industrial Law Journal </w:t>
      </w:r>
      <w:r>
        <w:rPr>
          <w:rFonts w:ascii="Times New Roman" w:hAnsi="Times New Roman" w:cs="Times New Roman"/>
        </w:rPr>
        <w:t>, 2009, p.</w:t>
      </w:r>
      <w:r w:rsidRPr="00B215F2">
        <w:rPr>
          <w:rFonts w:ascii="Times New Roman" w:hAnsi="Times New Roman" w:cs="Times New Roman"/>
        </w:rPr>
        <w:t>329</w:t>
      </w:r>
      <w:r>
        <w:rPr>
          <w:rFonts w:ascii="Times New Roman" w:hAnsi="Times New Roman" w:cs="Times New Roman"/>
        </w:rPr>
        <w:t xml:space="preserve"> </w:t>
      </w:r>
      <w:r>
        <w:rPr>
          <w:rFonts w:ascii="Times New Roman" w:hAnsi="Times New Roman" w:cs="Times New Roman"/>
          <w:i/>
        </w:rPr>
        <w:t>et seq.</w:t>
      </w:r>
      <w:r w:rsidRPr="00B215F2">
        <w:rPr>
          <w:rFonts w:ascii="Times New Roman" w:hAnsi="Times New Roman" w:cs="Times New Roman"/>
        </w:rPr>
        <w:t>; L.</w:t>
      </w:r>
      <w:r>
        <w:rPr>
          <w:rFonts w:ascii="Times New Roman" w:hAnsi="Times New Roman" w:cs="Times New Roman"/>
        </w:rPr>
        <w:t xml:space="preserve">RODGERS, </w:t>
      </w:r>
      <w:r w:rsidRPr="001233E1">
        <w:rPr>
          <w:rFonts w:ascii="Times New Roman" w:hAnsi="Times New Roman" w:cs="Times New Roman"/>
          <w:i/>
        </w:rPr>
        <w:t>The self-employed and the Directive on working time for mobile transport workers</w:t>
      </w:r>
      <w:r w:rsidRPr="00B215F2">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i/>
        </w:rPr>
        <w:t xml:space="preserve">Industrial Law Journal, </w:t>
      </w:r>
      <w:r>
        <w:rPr>
          <w:rFonts w:ascii="Times New Roman" w:hAnsi="Times New Roman" w:cs="Times New Roman"/>
        </w:rPr>
        <w:t>2009, p.</w:t>
      </w:r>
      <w:r w:rsidRPr="00B215F2">
        <w:rPr>
          <w:rFonts w:ascii="Times New Roman" w:hAnsi="Times New Roman" w:cs="Times New Roman"/>
        </w:rPr>
        <w:t>339</w:t>
      </w:r>
      <w:r>
        <w:rPr>
          <w:rFonts w:ascii="Times New Roman" w:hAnsi="Times New Roman" w:cs="Times New Roman"/>
        </w:rPr>
        <w:t xml:space="preserve"> </w:t>
      </w:r>
      <w:r>
        <w:rPr>
          <w:rFonts w:ascii="Times New Roman" w:hAnsi="Times New Roman" w:cs="Times New Roman"/>
          <w:i/>
        </w:rPr>
        <w:t>et seq.</w:t>
      </w:r>
      <w:r w:rsidRPr="00B215F2">
        <w:rPr>
          <w:rFonts w:ascii="Times New Roman" w:hAnsi="Times New Roman" w:cs="Times New Roman"/>
        </w:rPr>
        <w:t xml:space="preserve"> </w:t>
      </w:r>
    </w:p>
  </w:footnote>
  <w:footnote w:id="115">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With the exception of the removal of e.g. references to transitional periods in relation to establishment and services and the more incremental nature of the free movement of capital </w:t>
      </w:r>
    </w:p>
  </w:footnote>
  <w:footnote w:id="116">
    <w:p w:rsidR="00970F6F" w:rsidRPr="001233E1"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See e.g.</w:t>
      </w:r>
      <w:r w:rsidRPr="00B215F2">
        <w:rPr>
          <w:rFonts w:ascii="Times New Roman" w:hAnsi="Times New Roman" w:cs="Times New Roman"/>
        </w:rPr>
        <w:t xml:space="preserve"> </w:t>
      </w:r>
      <w:r w:rsidRPr="00B215F2">
        <w:rPr>
          <w:rFonts w:ascii="Times New Roman" w:hAnsi="Times New Roman" w:cs="Times New Roman"/>
          <w:i/>
        </w:rPr>
        <w:t>Laval</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 xml:space="preserve"> </w:t>
      </w:r>
      <w:r w:rsidRPr="00B215F2">
        <w:rPr>
          <w:rFonts w:ascii="Times New Roman" w:hAnsi="Times New Roman" w:cs="Times New Roman"/>
          <w:i/>
        </w:rPr>
        <w:t>Commission v Luxembourg</w:t>
      </w:r>
      <w:r>
        <w:rPr>
          <w:rFonts w:ascii="Times New Roman" w:hAnsi="Times New Roman" w:cs="Times New Roman"/>
          <w:i/>
        </w:rPr>
        <w:t xml:space="preserve">, </w:t>
      </w:r>
      <w:r>
        <w:rPr>
          <w:rFonts w:ascii="Times New Roman" w:hAnsi="Times New Roman" w:cs="Times New Roman"/>
        </w:rPr>
        <w:t>cit.</w:t>
      </w:r>
    </w:p>
  </w:footnote>
  <w:footnote w:id="117">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D. </w:t>
      </w:r>
      <w:r w:rsidRPr="00B215F2">
        <w:rPr>
          <w:rFonts w:ascii="Times New Roman" w:hAnsi="Times New Roman" w:cs="Times New Roman"/>
        </w:rPr>
        <w:t>S</w:t>
      </w:r>
      <w:r>
        <w:rPr>
          <w:rFonts w:ascii="Times New Roman" w:hAnsi="Times New Roman" w:cs="Times New Roman"/>
        </w:rPr>
        <w:t>CHIEK</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Economic and Social Integration, </w:t>
      </w:r>
      <w:r>
        <w:rPr>
          <w:rFonts w:ascii="Times New Roman" w:hAnsi="Times New Roman" w:cs="Times New Roman"/>
        </w:rPr>
        <w:t>cit.,</w:t>
      </w:r>
      <w:r w:rsidRPr="00B215F2">
        <w:rPr>
          <w:rFonts w:ascii="Times New Roman" w:hAnsi="Times New Roman" w:cs="Times New Roman"/>
        </w:rPr>
        <w:t xml:space="preserve"> p.229</w:t>
      </w:r>
    </w:p>
  </w:footnote>
  <w:footnote w:id="118">
    <w:p w:rsidR="00970F6F" w:rsidRPr="001233E1"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Watts</w:t>
      </w:r>
      <w:r>
        <w:rPr>
          <w:rFonts w:ascii="Times New Roman" w:hAnsi="Times New Roman" w:cs="Times New Roman"/>
        </w:rPr>
        <w:t>, cit.</w:t>
      </w:r>
    </w:p>
  </w:footnote>
  <w:footnote w:id="119">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Art.153(5) TFEU</w:t>
      </w:r>
    </w:p>
  </w:footnote>
  <w:footnote w:id="12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Laval</w:t>
      </w:r>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para.105</w:t>
      </w:r>
    </w:p>
  </w:footnote>
  <w:footnote w:id="121">
    <w:p w:rsidR="00970F6F" w:rsidRPr="00B215F2" w:rsidRDefault="00970F6F" w:rsidP="0004107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Conclusions of the Presidency</w:t>
      </w:r>
      <w:r>
        <w:rPr>
          <w:rFonts w:ascii="Times New Roman" w:hAnsi="Times New Roman" w:cs="Times New Roman"/>
        </w:rPr>
        <w:t xml:space="preserve"> of 12 December 1992</w:t>
      </w:r>
      <w:r w:rsidRPr="00B215F2">
        <w:rPr>
          <w:rFonts w:ascii="Times New Roman" w:hAnsi="Times New Roman" w:cs="Times New Roman"/>
        </w:rPr>
        <w:t>, Edinburgh</w:t>
      </w:r>
      <w:r>
        <w:rPr>
          <w:rFonts w:ascii="Times New Roman" w:hAnsi="Times New Roman" w:cs="Times New Roman"/>
        </w:rPr>
        <w:t>,</w:t>
      </w:r>
      <w:r w:rsidRPr="00B215F2">
        <w:rPr>
          <w:rFonts w:ascii="Times New Roman" w:hAnsi="Times New Roman" w:cs="Times New Roman"/>
        </w:rPr>
        <w:t xml:space="preserve"> Annex 3, </w:t>
      </w:r>
      <w:r w:rsidRPr="001233E1">
        <w:rPr>
          <w:rFonts w:ascii="Times New Roman" w:hAnsi="Times New Roman" w:cs="Times New Roman"/>
          <w:i/>
        </w:rPr>
        <w:t>Unilateral Declaration of Denmark to be associated with the Danish Act of Ratification of the Treaty of the European Union and of which the Eleven other Member States will take Cognizance, Declaration on Citizenship of the Union</w:t>
      </w:r>
      <w:r w:rsidRPr="00B215F2">
        <w:rPr>
          <w:rFonts w:ascii="Times New Roman" w:hAnsi="Times New Roman" w:cs="Times New Roman"/>
        </w:rPr>
        <w:t>, para.1</w:t>
      </w:r>
    </w:p>
  </w:footnote>
  <w:footnote w:id="122">
    <w:p w:rsidR="00970F6F" w:rsidRPr="00B215F2" w:rsidRDefault="00970F6F" w:rsidP="0004107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 W</w:t>
      </w:r>
      <w:r>
        <w:rPr>
          <w:rFonts w:ascii="Times New Roman" w:hAnsi="Times New Roman" w:cs="Times New Roman"/>
        </w:rPr>
        <w:t xml:space="preserve">ORRE, </w:t>
      </w:r>
      <w:r w:rsidRPr="001233E1">
        <w:rPr>
          <w:rFonts w:ascii="Times New Roman" w:hAnsi="Times New Roman" w:cs="Times New Roman"/>
          <w:i/>
        </w:rPr>
        <w:t>First No, then Yes: The Danish Referendums on the Maastricht Treaty 1992 and 1993</w:t>
      </w:r>
      <w:r>
        <w:rPr>
          <w:rFonts w:ascii="Times New Roman" w:hAnsi="Times New Roman" w:cs="Times New Roman"/>
        </w:rPr>
        <w:t xml:space="preserve"> in </w:t>
      </w:r>
      <w:r>
        <w:rPr>
          <w:rFonts w:ascii="Times New Roman" w:hAnsi="Times New Roman" w:cs="Times New Roman"/>
          <w:i/>
        </w:rPr>
        <w:t xml:space="preserve">Journal of Common Market Studies, </w:t>
      </w:r>
      <w:r>
        <w:rPr>
          <w:rFonts w:ascii="Times New Roman" w:hAnsi="Times New Roman" w:cs="Times New Roman"/>
        </w:rPr>
        <w:t xml:space="preserve">1995, p.235 </w:t>
      </w:r>
      <w:r>
        <w:rPr>
          <w:rFonts w:ascii="Times New Roman" w:hAnsi="Times New Roman" w:cs="Times New Roman"/>
          <w:i/>
        </w:rPr>
        <w:t xml:space="preserve">et seq., </w:t>
      </w:r>
      <w:r>
        <w:rPr>
          <w:rFonts w:ascii="Times New Roman" w:hAnsi="Times New Roman" w:cs="Times New Roman"/>
        </w:rPr>
        <w:t>p.</w:t>
      </w:r>
      <w:r w:rsidRPr="00B215F2">
        <w:rPr>
          <w:rFonts w:ascii="Times New Roman" w:hAnsi="Times New Roman" w:cs="Times New Roman"/>
        </w:rPr>
        <w:t xml:space="preserve">242 </w:t>
      </w:r>
    </w:p>
  </w:footnote>
  <w:footnote w:id="12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Eurobarometer, </w:t>
      </w:r>
      <w:r w:rsidRPr="00B215F2">
        <w:rPr>
          <w:rFonts w:ascii="Times New Roman" w:hAnsi="Times New Roman" w:cs="Times New Roman"/>
          <w:i/>
        </w:rPr>
        <w:t>The European Constitution: Post-referendum survey in France</w:t>
      </w:r>
      <w:r w:rsidRPr="00B215F2">
        <w:rPr>
          <w:rFonts w:ascii="Times New Roman" w:hAnsi="Times New Roman" w:cs="Times New Roman"/>
        </w:rPr>
        <w:t>, June 2005, p.17</w:t>
      </w:r>
    </w:p>
  </w:footnote>
  <w:footnote w:id="124">
    <w:p w:rsidR="00970F6F" w:rsidRPr="00B215F2" w:rsidRDefault="00970F6F" w:rsidP="0004107D">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European Council Conclusions of</w:t>
      </w:r>
      <w:r w:rsidRPr="00B215F2">
        <w:rPr>
          <w:rFonts w:ascii="Times New Roman" w:hAnsi="Times New Roman" w:cs="Times New Roman"/>
        </w:rPr>
        <w:t xml:space="preserve"> 11-12 December 2008</w:t>
      </w:r>
    </w:p>
  </w:footnote>
  <w:footnote w:id="125">
    <w:p w:rsidR="00970F6F" w:rsidRPr="00B215F2" w:rsidRDefault="00970F6F" w:rsidP="0004107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JUNCKER,</w:t>
      </w:r>
      <w:r>
        <w:rPr>
          <w:rFonts w:ascii="Times New Roman" w:hAnsi="Times New Roman" w:cs="Times New Roman"/>
          <w:i/>
        </w:rPr>
        <w:t xml:space="preserve"> </w:t>
      </w:r>
      <w:r>
        <w:rPr>
          <w:rFonts w:ascii="Times New Roman" w:hAnsi="Times New Roman" w:cs="Times New Roman"/>
        </w:rPr>
        <w:t>cit.</w:t>
      </w:r>
    </w:p>
  </w:footnote>
  <w:footnote w:id="126">
    <w:p w:rsidR="00970F6F" w:rsidRPr="00B215F2" w:rsidRDefault="00970F6F" w:rsidP="00FC59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K. ARMSTRONG</w:t>
      </w:r>
      <w:r w:rsidRPr="00B215F2">
        <w:rPr>
          <w:rFonts w:ascii="Times New Roman" w:hAnsi="Times New Roman" w:cs="Times New Roman"/>
        </w:rPr>
        <w:t xml:space="preserve">, </w:t>
      </w:r>
      <w:r>
        <w:rPr>
          <w:rFonts w:ascii="Times New Roman" w:hAnsi="Times New Roman" w:cs="Times New Roman"/>
          <w:i/>
        </w:rPr>
        <w:t>Social Inclusion</w:t>
      </w:r>
      <w:r w:rsidRPr="00B215F2">
        <w:rPr>
          <w:rFonts w:ascii="Times New Roman" w:hAnsi="Times New Roman" w:cs="Times New Roman"/>
        </w:rPr>
        <w:t>, p.234</w:t>
      </w:r>
    </w:p>
  </w:footnote>
  <w:footnote w:id="12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M. F</w:t>
      </w:r>
      <w:r>
        <w:rPr>
          <w:rFonts w:ascii="Times New Roman" w:hAnsi="Times New Roman" w:cs="Times New Roman"/>
        </w:rPr>
        <w:t>ERRERA</w:t>
      </w:r>
      <w:r w:rsidRPr="00B215F2">
        <w:rPr>
          <w:rFonts w:ascii="Times New Roman" w:hAnsi="Times New Roman" w:cs="Times New Roman"/>
        </w:rPr>
        <w:t xml:space="preserve">, </w:t>
      </w:r>
      <w:r w:rsidRPr="00B215F2">
        <w:rPr>
          <w:rFonts w:ascii="Times New Roman" w:hAnsi="Times New Roman" w:cs="Times New Roman"/>
          <w:i/>
        </w:rPr>
        <w:t>The Boundaries of Welfare, European Integration and the New Spatial Politics of Social Protection</w:t>
      </w:r>
      <w:r>
        <w:rPr>
          <w:rFonts w:ascii="Times New Roman" w:hAnsi="Times New Roman" w:cs="Times New Roman"/>
        </w:rPr>
        <w:t>, Oxford, OUP, 2005</w:t>
      </w:r>
    </w:p>
  </w:footnote>
  <w:footnote w:id="128">
    <w:p w:rsidR="00970F6F" w:rsidRPr="00B215F2" w:rsidRDefault="00970F6F" w:rsidP="002865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Arts.10-12 Regulation 1612/68 of the Council of 15 October 1968 on freedom of movement f</w:t>
      </w:r>
      <w:r>
        <w:rPr>
          <w:rFonts w:ascii="Times New Roman" w:hAnsi="Times New Roman" w:cs="Times New Roman"/>
        </w:rPr>
        <w:t>or workers within the Community</w:t>
      </w:r>
      <w:r w:rsidRPr="00B215F2">
        <w:rPr>
          <w:rFonts w:ascii="Times New Roman" w:hAnsi="Times New Roman" w:cs="Times New Roman"/>
        </w:rPr>
        <w:t>; Arts.6(2) and 7(2) Directive 2004/38</w:t>
      </w:r>
      <w:r>
        <w:rPr>
          <w:rFonts w:ascii="Times New Roman" w:hAnsi="Times New Roman" w:cs="Times New Roman"/>
        </w:rPr>
        <w:t>/EC</w:t>
      </w:r>
      <w:r w:rsidRPr="00B215F2">
        <w:rPr>
          <w:rFonts w:ascii="Times New Roman" w:hAnsi="Times New Roman" w:cs="Times New Roman"/>
        </w:rPr>
        <w:t xml:space="preserve"> of the European Parliament and of the Council of 29 April 2004 on the right of citizens of the Union and their family members to move and reside freely within the territory</w:t>
      </w:r>
      <w:r>
        <w:rPr>
          <w:rFonts w:ascii="Times New Roman" w:hAnsi="Times New Roman" w:cs="Times New Roman"/>
        </w:rPr>
        <w:t xml:space="preserve"> of the Member States</w:t>
      </w:r>
    </w:p>
  </w:footnote>
  <w:footnote w:id="129">
    <w:p w:rsidR="00970F6F" w:rsidRPr="00B215F2" w:rsidRDefault="00970F6F" w:rsidP="0028652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Arts.12 Regulation 1612/68, now Art.10 Regulation 492/11</w:t>
      </w:r>
      <w:r>
        <w:rPr>
          <w:rFonts w:ascii="Times New Roman" w:hAnsi="Times New Roman" w:cs="Times New Roman"/>
        </w:rPr>
        <w:t xml:space="preserve"> </w:t>
      </w:r>
      <w:r w:rsidRPr="00B215F2">
        <w:rPr>
          <w:rFonts w:ascii="Times New Roman" w:hAnsi="Times New Roman" w:cs="Times New Roman"/>
        </w:rPr>
        <w:t xml:space="preserve"> </w:t>
      </w:r>
    </w:p>
  </w:footnote>
  <w:footnote w:id="13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Arts 7(2) Regul</w:t>
      </w:r>
      <w:r>
        <w:rPr>
          <w:rFonts w:ascii="Times New Roman" w:hAnsi="Times New Roman" w:cs="Times New Roman"/>
        </w:rPr>
        <w:t xml:space="preserve">ation 1612/68, now </w:t>
      </w:r>
      <w:r w:rsidRPr="00746F31">
        <w:rPr>
          <w:rFonts w:ascii="Times New Roman" w:hAnsi="Times New Roman" w:cs="Times New Roman"/>
        </w:rPr>
        <w:t>Art.7(2) Regulation 492/2011/</w:t>
      </w:r>
      <w:r>
        <w:rPr>
          <w:rFonts w:ascii="Times New Roman" w:hAnsi="Times New Roman" w:cs="Times New Roman"/>
        </w:rPr>
        <w:t>EU of the European Parliament and of the Council of 5 April 2011 on the freedom of movement for workers within the European Union</w:t>
      </w:r>
    </w:p>
  </w:footnote>
  <w:footnote w:id="13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proofErr w:type="spellStart"/>
      <w:r w:rsidRPr="00B215F2">
        <w:rPr>
          <w:rFonts w:ascii="Times New Roman" w:hAnsi="Times New Roman" w:cs="Times New Roman"/>
          <w:i/>
        </w:rPr>
        <w:t>Cristini</w:t>
      </w:r>
      <w:proofErr w:type="spellEnd"/>
      <w:r w:rsidRPr="00B215F2">
        <w:rPr>
          <w:rFonts w:ascii="Times New Roman" w:hAnsi="Times New Roman" w:cs="Times New Roman"/>
          <w:i/>
        </w:rPr>
        <w:t xml:space="preserve"> v SNCF</w:t>
      </w:r>
      <w:r>
        <w:rPr>
          <w:rFonts w:ascii="Times New Roman" w:hAnsi="Times New Roman" w:cs="Times New Roman"/>
          <w:i/>
        </w:rPr>
        <w:t>,</w:t>
      </w:r>
      <w:r>
        <w:rPr>
          <w:rFonts w:ascii="Times New Roman" w:hAnsi="Times New Roman" w:cs="Times New Roman"/>
        </w:rPr>
        <w:t xml:space="preserve"> cit.</w:t>
      </w:r>
    </w:p>
  </w:footnote>
  <w:footnote w:id="132">
    <w:p w:rsidR="00970F6F" w:rsidRPr="00B215F2" w:rsidRDefault="00970F6F" w:rsidP="008438A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P.E. Deb., No.48, 135. 22 November 1961</w:t>
      </w:r>
    </w:p>
  </w:footnote>
  <w:footnote w:id="13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 O’BRIEN</w:t>
      </w:r>
      <w:r w:rsidRPr="00B215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Unity in Adversity</w:t>
      </w:r>
      <w:r w:rsidRPr="00B215F2">
        <w:rPr>
          <w:rFonts w:ascii="Times New Roman" w:hAnsi="Times New Roman" w:cs="Times New Roman"/>
        </w:rPr>
        <w:t>, p.9</w:t>
      </w:r>
    </w:p>
  </w:footnote>
  <w:footnote w:id="13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O’Brien argues, however, that ultimately Union citizenship is not defined by the social justice obligations that are the traditional rationale behind national welfare state but resolutely remains a market citizenship,</w:t>
      </w:r>
      <w:r>
        <w:rPr>
          <w:rFonts w:ascii="Times New Roman" w:hAnsi="Times New Roman" w:cs="Times New Roman"/>
        </w:rPr>
        <w:t xml:space="preserve"> </w:t>
      </w:r>
      <w:r>
        <w:rPr>
          <w:rFonts w:ascii="Times New Roman" w:hAnsi="Times New Roman" w:cs="Times New Roman"/>
          <w:i/>
        </w:rPr>
        <w:t>Unity in Adversity</w:t>
      </w:r>
    </w:p>
  </w:footnote>
  <w:footnote w:id="13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23 March 1982</w:t>
      </w:r>
      <w:r w:rsidRPr="00B215F2">
        <w:rPr>
          <w:rFonts w:ascii="Times New Roman" w:hAnsi="Times New Roman" w:cs="Times New Roman"/>
        </w:rPr>
        <w:t xml:space="preserve"> </w:t>
      </w:r>
      <w:r w:rsidRPr="00B215F2">
        <w:rPr>
          <w:rFonts w:ascii="Times New Roman" w:hAnsi="Times New Roman" w:cs="Times New Roman"/>
          <w:i/>
        </w:rPr>
        <w:t>Levin</w:t>
      </w:r>
      <w:r>
        <w:rPr>
          <w:rFonts w:ascii="Times New Roman" w:hAnsi="Times New Roman" w:cs="Times New Roman"/>
          <w:i/>
        </w:rPr>
        <w:t>;</w:t>
      </w:r>
      <w:r w:rsidRPr="00B215F2">
        <w:rPr>
          <w:rFonts w:ascii="Times New Roman" w:hAnsi="Times New Roman" w:cs="Times New Roman"/>
        </w:rPr>
        <w:t xml:space="preserve"> </w:t>
      </w:r>
      <w:r>
        <w:rPr>
          <w:rFonts w:ascii="Times New Roman" w:hAnsi="Times New Roman" w:cs="Times New Roman"/>
        </w:rPr>
        <w:t>Court of Justice, judgment of 3 June 1986, c</w:t>
      </w:r>
      <w:r w:rsidRPr="00B215F2">
        <w:rPr>
          <w:rFonts w:ascii="Times New Roman" w:hAnsi="Times New Roman" w:cs="Times New Roman"/>
        </w:rPr>
        <w:t xml:space="preserve">ase 139/85 </w:t>
      </w:r>
      <w:proofErr w:type="spellStart"/>
      <w:r w:rsidRPr="00B215F2">
        <w:rPr>
          <w:rFonts w:ascii="Times New Roman" w:hAnsi="Times New Roman" w:cs="Times New Roman"/>
          <w:i/>
        </w:rPr>
        <w:t>Kempf</w:t>
      </w:r>
      <w:proofErr w:type="spellEnd"/>
    </w:p>
  </w:footnote>
  <w:footnote w:id="136">
    <w:p w:rsidR="00970F6F" w:rsidRPr="00746F31"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i/>
        </w:rPr>
        <w:t xml:space="preserve"> </w:t>
      </w:r>
      <w:r w:rsidRPr="00B215F2">
        <w:rPr>
          <w:rFonts w:ascii="Times New Roman" w:hAnsi="Times New Roman" w:cs="Times New Roman"/>
          <w:i/>
        </w:rPr>
        <w:t>Cowan</w:t>
      </w:r>
      <w:r>
        <w:rPr>
          <w:rFonts w:ascii="Times New Roman" w:hAnsi="Times New Roman" w:cs="Times New Roman"/>
          <w:i/>
        </w:rPr>
        <w:t xml:space="preserve">, </w:t>
      </w:r>
      <w:r>
        <w:rPr>
          <w:rFonts w:ascii="Times New Roman" w:hAnsi="Times New Roman" w:cs="Times New Roman"/>
        </w:rPr>
        <w:t>cit.</w:t>
      </w:r>
    </w:p>
  </w:footnote>
  <w:footnote w:id="13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Council </w:t>
      </w:r>
      <w:r w:rsidRPr="00B215F2">
        <w:rPr>
          <w:rFonts w:ascii="Times New Roman" w:hAnsi="Times New Roman" w:cs="Times New Roman"/>
        </w:rPr>
        <w:t>Directive 90/364/EEC</w:t>
      </w:r>
      <w:r>
        <w:rPr>
          <w:rFonts w:ascii="Times New Roman" w:hAnsi="Times New Roman" w:cs="Times New Roman"/>
        </w:rPr>
        <w:t xml:space="preserve"> of 28 June 1990 on the right of residence</w:t>
      </w:r>
      <w:r w:rsidRPr="00B215F2">
        <w:rPr>
          <w:rFonts w:ascii="Times New Roman" w:hAnsi="Times New Roman" w:cs="Times New Roman"/>
        </w:rPr>
        <w:t xml:space="preserve">; </w:t>
      </w:r>
      <w:r>
        <w:rPr>
          <w:rFonts w:ascii="Times New Roman" w:hAnsi="Times New Roman" w:cs="Times New Roman"/>
        </w:rPr>
        <w:t xml:space="preserve">Council </w:t>
      </w:r>
      <w:r w:rsidRPr="00B215F2">
        <w:rPr>
          <w:rFonts w:ascii="Times New Roman" w:hAnsi="Times New Roman" w:cs="Times New Roman"/>
        </w:rPr>
        <w:t>Directive 90/365/EEC</w:t>
      </w:r>
      <w:r>
        <w:rPr>
          <w:rFonts w:ascii="Times New Roman" w:hAnsi="Times New Roman" w:cs="Times New Roman"/>
        </w:rPr>
        <w:t xml:space="preserve"> of 28 June 1990 on the right of residence for employees and self-employed persons who have ceased their economic activity</w:t>
      </w:r>
      <w:r w:rsidRPr="00B215F2">
        <w:rPr>
          <w:rFonts w:ascii="Times New Roman" w:hAnsi="Times New Roman" w:cs="Times New Roman"/>
        </w:rPr>
        <w:t xml:space="preserve">; </w:t>
      </w:r>
      <w:r>
        <w:rPr>
          <w:rFonts w:ascii="Times New Roman" w:hAnsi="Times New Roman" w:cs="Times New Roman"/>
        </w:rPr>
        <w:t xml:space="preserve">Council </w:t>
      </w:r>
      <w:r w:rsidRPr="00B215F2">
        <w:rPr>
          <w:rFonts w:ascii="Times New Roman" w:hAnsi="Times New Roman" w:cs="Times New Roman"/>
        </w:rPr>
        <w:t>Directive 93/96/EEC</w:t>
      </w:r>
      <w:r>
        <w:rPr>
          <w:rFonts w:ascii="Times New Roman" w:hAnsi="Times New Roman" w:cs="Times New Roman"/>
        </w:rPr>
        <w:t xml:space="preserve"> of 29 October 1993 on the right of residence for students</w:t>
      </w:r>
    </w:p>
  </w:footnote>
  <w:footnote w:id="13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 N</w:t>
      </w:r>
      <w:r>
        <w:rPr>
          <w:rFonts w:ascii="Times New Roman" w:hAnsi="Times New Roman" w:cs="Times New Roman"/>
        </w:rPr>
        <w:t>IC</w:t>
      </w:r>
      <w:r w:rsidRPr="00B215F2">
        <w:rPr>
          <w:rFonts w:ascii="Times New Roman" w:hAnsi="Times New Roman" w:cs="Times New Roman"/>
        </w:rPr>
        <w:t xml:space="preserve"> S</w:t>
      </w:r>
      <w:r>
        <w:rPr>
          <w:rFonts w:ascii="Times New Roman" w:hAnsi="Times New Roman" w:cs="Times New Roman"/>
        </w:rPr>
        <w:t xml:space="preserve">HUIBHNE, </w:t>
      </w:r>
      <w:r w:rsidRPr="00746F31">
        <w:rPr>
          <w:rFonts w:ascii="Times New Roman" w:hAnsi="Times New Roman" w:cs="Times New Roman"/>
          <w:i/>
        </w:rPr>
        <w:t>The Third Age of EU Citizenship</w:t>
      </w:r>
      <w:r w:rsidRPr="00B215F2">
        <w:rPr>
          <w:rFonts w:ascii="Times New Roman" w:hAnsi="Times New Roman" w:cs="Times New Roman"/>
        </w:rPr>
        <w:t>, in P. S</w:t>
      </w:r>
      <w:r>
        <w:rPr>
          <w:rFonts w:ascii="Times New Roman" w:hAnsi="Times New Roman" w:cs="Times New Roman"/>
        </w:rPr>
        <w:t>YPRIS</w:t>
      </w:r>
      <w:r w:rsidRPr="00B215F2">
        <w:rPr>
          <w:rFonts w:ascii="Times New Roman" w:hAnsi="Times New Roman" w:cs="Times New Roman"/>
        </w:rPr>
        <w:t xml:space="preserve"> (</w:t>
      </w:r>
      <w:proofErr w:type="spellStart"/>
      <w:r w:rsidRPr="00B215F2">
        <w:rPr>
          <w:rFonts w:ascii="Times New Roman" w:hAnsi="Times New Roman" w:cs="Times New Roman"/>
        </w:rPr>
        <w:t>ed</w:t>
      </w:r>
      <w:proofErr w:type="spellEnd"/>
      <w:r w:rsidRPr="00B215F2">
        <w:rPr>
          <w:rFonts w:ascii="Times New Roman" w:hAnsi="Times New Roman" w:cs="Times New Roman"/>
        </w:rPr>
        <w:t xml:space="preserve">), </w:t>
      </w:r>
      <w:r w:rsidRPr="00B215F2">
        <w:rPr>
          <w:rFonts w:ascii="Times New Roman" w:hAnsi="Times New Roman" w:cs="Times New Roman"/>
          <w:i/>
        </w:rPr>
        <w:t>The Judiciary, the Legislature and the EU Market</w:t>
      </w:r>
      <w:r w:rsidRPr="00B215F2">
        <w:rPr>
          <w:rFonts w:ascii="Times New Roman" w:hAnsi="Times New Roman" w:cs="Times New Roman"/>
        </w:rPr>
        <w:t>,</w:t>
      </w:r>
      <w:r>
        <w:rPr>
          <w:rFonts w:ascii="Times New Roman" w:hAnsi="Times New Roman" w:cs="Times New Roman"/>
        </w:rPr>
        <w:t xml:space="preserve"> Cambridge, CUP, 2013</w:t>
      </w:r>
      <w:r w:rsidRPr="00B215F2">
        <w:rPr>
          <w:rFonts w:ascii="Times New Roman" w:hAnsi="Times New Roman" w:cs="Times New Roman"/>
        </w:rPr>
        <w:t>,</w:t>
      </w:r>
      <w:r>
        <w:rPr>
          <w:rFonts w:ascii="Times New Roman" w:hAnsi="Times New Roman" w:cs="Times New Roman"/>
        </w:rPr>
        <w:t xml:space="preserve"> p.331</w:t>
      </w:r>
      <w:r w:rsidRPr="00B215F2">
        <w:rPr>
          <w:rFonts w:ascii="Times New Roman" w:hAnsi="Times New Roman" w:cs="Times New Roman"/>
        </w:rPr>
        <w:t>, fn.15</w:t>
      </w:r>
    </w:p>
  </w:footnote>
  <w:footnote w:id="13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Art.20 TFEU</w:t>
      </w:r>
    </w:p>
  </w:footnote>
  <w:footnote w:id="14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12 May 1998, cas</w:t>
      </w:r>
      <w:r w:rsidRPr="00B215F2">
        <w:rPr>
          <w:rFonts w:ascii="Times New Roman" w:hAnsi="Times New Roman" w:cs="Times New Roman"/>
        </w:rPr>
        <w:t xml:space="preserve">e 85/96 </w:t>
      </w:r>
      <w:r w:rsidRPr="00B215F2">
        <w:rPr>
          <w:rFonts w:ascii="Times New Roman" w:hAnsi="Times New Roman" w:cs="Times New Roman"/>
          <w:i/>
        </w:rPr>
        <w:t>Martinez Sala</w:t>
      </w:r>
    </w:p>
  </w:footnote>
  <w:footnote w:id="14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20 September 2001, case c</w:t>
      </w:r>
      <w:r w:rsidRPr="00B215F2">
        <w:rPr>
          <w:rFonts w:ascii="Times New Roman" w:hAnsi="Times New Roman" w:cs="Times New Roman"/>
        </w:rPr>
        <w:t xml:space="preserve">-184/99 </w:t>
      </w:r>
      <w:proofErr w:type="spellStart"/>
      <w:r w:rsidRPr="00B215F2">
        <w:rPr>
          <w:rFonts w:ascii="Times New Roman" w:hAnsi="Times New Roman" w:cs="Times New Roman"/>
          <w:i/>
        </w:rPr>
        <w:t>Grzelczyk</w:t>
      </w:r>
      <w:proofErr w:type="spellEnd"/>
      <w:r w:rsidRPr="00B215F2">
        <w:rPr>
          <w:rFonts w:ascii="Times New Roman" w:hAnsi="Times New Roman" w:cs="Times New Roman"/>
          <w:i/>
        </w:rPr>
        <w:t xml:space="preserve"> </w:t>
      </w:r>
      <w:r w:rsidRPr="00B215F2">
        <w:rPr>
          <w:rFonts w:ascii="Times New Roman" w:hAnsi="Times New Roman" w:cs="Times New Roman"/>
        </w:rPr>
        <w:t>EU:C:2001:458</w:t>
      </w:r>
    </w:p>
  </w:footnote>
  <w:footnote w:id="142">
    <w:p w:rsidR="00970F6F" w:rsidRPr="00B215F2" w:rsidRDefault="00970F6F" w:rsidP="00BE4BCE">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P</w:t>
      </w:r>
      <w:r w:rsidRPr="00B215F2">
        <w:rPr>
          <w:rFonts w:ascii="Times New Roman" w:hAnsi="Times New Roman" w:cs="Times New Roman"/>
        </w:rPr>
        <w:t>ara.31</w:t>
      </w:r>
    </w:p>
  </w:footnote>
  <w:footnote w:id="143">
    <w:p w:rsidR="00970F6F" w:rsidRPr="00B215F2" w:rsidRDefault="00970F6F" w:rsidP="00D9709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P</w:t>
      </w:r>
      <w:r w:rsidRPr="00B215F2">
        <w:rPr>
          <w:rFonts w:ascii="Times New Roman" w:hAnsi="Times New Roman" w:cs="Times New Roman"/>
        </w:rPr>
        <w:t>ara.44</w:t>
      </w:r>
    </w:p>
  </w:footnote>
  <w:footnote w:id="144">
    <w:p w:rsidR="00970F6F" w:rsidRPr="00B215F2" w:rsidRDefault="00970F6F" w:rsidP="00BD68AF">
      <w:pPr>
        <w:pStyle w:val="FootnoteText"/>
        <w:rPr>
          <w:rFonts w:ascii="Times New Roman" w:hAnsi="Times New Roman" w:cs="Times New Roman"/>
        </w:rPr>
      </w:pPr>
      <w:r w:rsidRPr="00B215F2">
        <w:rPr>
          <w:rStyle w:val="FootnoteReference"/>
          <w:rFonts w:ascii="Times New Roman" w:hAnsi="Times New Roman" w:cs="Times New Roman"/>
        </w:rPr>
        <w:footnoteRef/>
      </w:r>
      <w:r w:rsidRPr="00E261C8">
        <w:rPr>
          <w:rFonts w:ascii="Times New Roman" w:hAnsi="Times New Roman" w:cs="Times New Roman"/>
          <w:i/>
        </w:rPr>
        <w:t xml:space="preserve"> Ibid</w:t>
      </w:r>
    </w:p>
  </w:footnote>
  <w:footnote w:id="145">
    <w:p w:rsidR="00970F6F" w:rsidRPr="00970F6F" w:rsidRDefault="00970F6F" w:rsidP="00D9709E">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Collins</w:t>
      </w:r>
      <w:r>
        <w:rPr>
          <w:rFonts w:ascii="Times New Roman" w:hAnsi="Times New Roman" w:cs="Times New Roman"/>
          <w:i/>
        </w:rPr>
        <w:t xml:space="preserve">, </w:t>
      </w:r>
      <w:r>
        <w:rPr>
          <w:rFonts w:ascii="Times New Roman" w:hAnsi="Times New Roman" w:cs="Times New Roman"/>
        </w:rPr>
        <w:t>cit.</w:t>
      </w:r>
    </w:p>
  </w:footnote>
  <w:footnote w:id="146">
    <w:p w:rsidR="00970F6F" w:rsidRPr="00B215F2" w:rsidRDefault="00970F6F" w:rsidP="00D9709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15 March 2005, case c</w:t>
      </w:r>
      <w:r w:rsidRPr="00B215F2">
        <w:rPr>
          <w:rFonts w:ascii="Times New Roman" w:hAnsi="Times New Roman" w:cs="Times New Roman"/>
        </w:rPr>
        <w:t xml:space="preserve">-209/03 </w:t>
      </w:r>
      <w:proofErr w:type="spellStart"/>
      <w:r w:rsidRPr="00B215F2">
        <w:rPr>
          <w:rFonts w:ascii="Times New Roman" w:hAnsi="Times New Roman" w:cs="Times New Roman"/>
          <w:i/>
        </w:rPr>
        <w:t>Bidar</w:t>
      </w:r>
      <w:proofErr w:type="spellEnd"/>
    </w:p>
  </w:footnote>
  <w:footnote w:id="147">
    <w:p w:rsidR="00970F6F" w:rsidRPr="00B215F2" w:rsidRDefault="00970F6F" w:rsidP="00D9709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18 June 1987, c</w:t>
      </w:r>
      <w:r w:rsidRPr="00B215F2">
        <w:rPr>
          <w:rFonts w:ascii="Times New Roman" w:hAnsi="Times New Roman" w:cs="Times New Roman"/>
        </w:rPr>
        <w:t xml:space="preserve">ase 316/85 </w:t>
      </w:r>
      <w:proofErr w:type="spellStart"/>
      <w:r w:rsidRPr="00B215F2">
        <w:rPr>
          <w:rFonts w:ascii="Times New Roman" w:hAnsi="Times New Roman" w:cs="Times New Roman"/>
          <w:i/>
        </w:rPr>
        <w:t>Lebon</w:t>
      </w:r>
      <w:proofErr w:type="spellEnd"/>
      <w:r>
        <w:rPr>
          <w:rFonts w:ascii="Times New Roman" w:hAnsi="Times New Roman" w:cs="Times New Roman"/>
          <w:i/>
        </w:rPr>
        <w:t xml:space="preserve"> </w:t>
      </w:r>
      <w:r w:rsidRPr="00B215F2">
        <w:rPr>
          <w:rFonts w:ascii="Times New Roman" w:hAnsi="Times New Roman" w:cs="Times New Roman"/>
        </w:rPr>
        <w:t xml:space="preserve"> (jobseekers allowance);</w:t>
      </w:r>
      <w:r>
        <w:rPr>
          <w:rFonts w:ascii="Times New Roman" w:hAnsi="Times New Roman" w:cs="Times New Roman"/>
        </w:rPr>
        <w:t xml:space="preserve"> Court of Justice, judgment of 21 June 1988, case </w:t>
      </w:r>
      <w:r w:rsidRPr="00B215F2">
        <w:rPr>
          <w:rFonts w:ascii="Times New Roman" w:hAnsi="Times New Roman" w:cs="Times New Roman"/>
        </w:rPr>
        <w:t xml:space="preserve">197/86 </w:t>
      </w:r>
      <w:r w:rsidRPr="00B215F2">
        <w:rPr>
          <w:rFonts w:ascii="Times New Roman" w:hAnsi="Times New Roman" w:cs="Times New Roman"/>
          <w:i/>
        </w:rPr>
        <w:t>Brown</w:t>
      </w:r>
      <w:r w:rsidRPr="00B215F2">
        <w:rPr>
          <w:rFonts w:ascii="Times New Roman" w:hAnsi="Times New Roman" w:cs="Times New Roman"/>
        </w:rPr>
        <w:t xml:space="preserve"> </w:t>
      </w:r>
    </w:p>
  </w:footnote>
  <w:footnote w:id="148">
    <w:p w:rsidR="00970F6F" w:rsidRPr="00B215F2" w:rsidRDefault="00970F6F" w:rsidP="004E03F7">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29 April 2004, case c</w:t>
      </w:r>
      <w:r w:rsidRPr="00B215F2">
        <w:rPr>
          <w:rFonts w:ascii="Times New Roman" w:hAnsi="Times New Roman" w:cs="Times New Roman"/>
        </w:rPr>
        <w:t xml:space="preserve">-482/01 </w:t>
      </w:r>
      <w:proofErr w:type="spellStart"/>
      <w:r w:rsidRPr="00B215F2">
        <w:rPr>
          <w:rFonts w:ascii="Times New Roman" w:hAnsi="Times New Roman" w:cs="Times New Roman"/>
          <w:i/>
        </w:rPr>
        <w:t>Orfanopoulos</w:t>
      </w:r>
      <w:proofErr w:type="spellEnd"/>
    </w:p>
  </w:footnote>
  <w:footnote w:id="149">
    <w:p w:rsidR="00970F6F" w:rsidRPr="00B215F2" w:rsidRDefault="00970F6F" w:rsidP="004E03F7">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Para.65</w:t>
      </w:r>
    </w:p>
  </w:footnote>
  <w:footnote w:id="150">
    <w:p w:rsidR="00970F6F" w:rsidRPr="00B215F2" w:rsidRDefault="00970F6F" w:rsidP="006B5082">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Court of Justice, judgment 23 November 2010, case c</w:t>
      </w:r>
      <w:r w:rsidRPr="00B215F2">
        <w:rPr>
          <w:rFonts w:ascii="Times New Roman" w:hAnsi="Times New Roman" w:cs="Times New Roman"/>
        </w:rPr>
        <w:t xml:space="preserve">-145/09 </w:t>
      </w:r>
      <w:proofErr w:type="spellStart"/>
      <w:r w:rsidRPr="00B215F2">
        <w:rPr>
          <w:rFonts w:ascii="Times New Roman" w:hAnsi="Times New Roman" w:cs="Times New Roman"/>
          <w:i/>
        </w:rPr>
        <w:t>Tsakouridis</w:t>
      </w:r>
      <w:proofErr w:type="spellEnd"/>
      <w:r w:rsidRPr="00B215F2">
        <w:rPr>
          <w:rFonts w:ascii="Times New Roman" w:hAnsi="Times New Roman" w:cs="Times New Roman"/>
        </w:rPr>
        <w:t>, para.24, citing Recital 23, Directive 2004/38</w:t>
      </w:r>
    </w:p>
  </w:footnote>
  <w:footnote w:id="151">
    <w:p w:rsidR="00970F6F" w:rsidRPr="00B215F2" w:rsidRDefault="00970F6F" w:rsidP="00F32DB2">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Collins</w:t>
      </w:r>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para.47</w:t>
      </w:r>
    </w:p>
  </w:footnote>
  <w:footnote w:id="152">
    <w:p w:rsidR="00970F6F" w:rsidRPr="00B215F2" w:rsidRDefault="00970F6F" w:rsidP="00F32DB2">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proofErr w:type="spellStart"/>
      <w:r w:rsidRPr="00B215F2">
        <w:rPr>
          <w:rFonts w:ascii="Times New Roman" w:hAnsi="Times New Roman" w:cs="Times New Roman"/>
          <w:i/>
        </w:rPr>
        <w:t>Bidar</w:t>
      </w:r>
      <w:proofErr w:type="spellEnd"/>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para.57</w:t>
      </w:r>
    </w:p>
  </w:footnote>
  <w:footnote w:id="15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21 July 2011, case c</w:t>
      </w:r>
      <w:r w:rsidRPr="00B215F2">
        <w:rPr>
          <w:rFonts w:ascii="Times New Roman" w:hAnsi="Times New Roman" w:cs="Times New Roman"/>
        </w:rPr>
        <w:t xml:space="preserve">-325/09 </w:t>
      </w:r>
      <w:r w:rsidRPr="00B215F2">
        <w:rPr>
          <w:rFonts w:ascii="Times New Roman" w:hAnsi="Times New Roman" w:cs="Times New Roman"/>
          <w:i/>
        </w:rPr>
        <w:t>Dias</w:t>
      </w:r>
      <w:r w:rsidRPr="00B215F2">
        <w:rPr>
          <w:rFonts w:ascii="Times New Roman" w:hAnsi="Times New Roman" w:cs="Times New Roman"/>
        </w:rPr>
        <w:t>, para.64</w:t>
      </w:r>
    </w:p>
  </w:footnote>
  <w:footnote w:id="15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16 January 2014, case c</w:t>
      </w:r>
      <w:r w:rsidRPr="00B215F2">
        <w:rPr>
          <w:rFonts w:ascii="Times New Roman" w:hAnsi="Times New Roman" w:cs="Times New Roman"/>
        </w:rPr>
        <w:t xml:space="preserve">-378/12 </w:t>
      </w:r>
      <w:proofErr w:type="spellStart"/>
      <w:r w:rsidRPr="00B215F2">
        <w:rPr>
          <w:rFonts w:ascii="Times New Roman" w:hAnsi="Times New Roman" w:cs="Times New Roman"/>
          <w:i/>
        </w:rPr>
        <w:t>Onuekwere</w:t>
      </w:r>
      <w:proofErr w:type="spellEnd"/>
      <w:r w:rsidRPr="00B215F2">
        <w:rPr>
          <w:rFonts w:ascii="Times New Roman" w:hAnsi="Times New Roman" w:cs="Times New Roman"/>
        </w:rPr>
        <w:t>, para.235</w:t>
      </w:r>
    </w:p>
  </w:footnote>
  <w:footnote w:id="155">
    <w:p w:rsidR="00970F6F" w:rsidRPr="00B215F2" w:rsidRDefault="00970F6F" w:rsidP="00FD2F5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14 June 2012 case c</w:t>
      </w:r>
      <w:r w:rsidRPr="00B215F2">
        <w:rPr>
          <w:rFonts w:ascii="Times New Roman" w:hAnsi="Times New Roman" w:cs="Times New Roman"/>
        </w:rPr>
        <w:t xml:space="preserve">-542/09 </w:t>
      </w:r>
      <w:r w:rsidRPr="00B215F2">
        <w:rPr>
          <w:rFonts w:ascii="Times New Roman" w:hAnsi="Times New Roman" w:cs="Times New Roman"/>
          <w:i/>
        </w:rPr>
        <w:t>Commission v Netherlands</w:t>
      </w:r>
      <w:r w:rsidRPr="00B215F2">
        <w:rPr>
          <w:rFonts w:ascii="Times New Roman" w:hAnsi="Times New Roman" w:cs="Times New Roman"/>
        </w:rPr>
        <w:t>, para.66</w:t>
      </w:r>
    </w:p>
  </w:footnote>
  <w:footnote w:id="15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 xml:space="preserve">C. </w:t>
      </w:r>
      <w:r w:rsidRPr="00B215F2">
        <w:rPr>
          <w:rFonts w:ascii="Times New Roman" w:hAnsi="Times New Roman" w:cs="Times New Roman"/>
        </w:rPr>
        <w:t>O’B</w:t>
      </w:r>
      <w:r>
        <w:rPr>
          <w:rFonts w:ascii="Times New Roman" w:hAnsi="Times New Roman" w:cs="Times New Roman"/>
        </w:rPr>
        <w:t>RIEN</w:t>
      </w:r>
      <w:r w:rsidRPr="00B215F2">
        <w:rPr>
          <w:rFonts w:ascii="Times New Roman" w:hAnsi="Times New Roman" w:cs="Times New Roman"/>
        </w:rPr>
        <w:t xml:space="preserve">, </w:t>
      </w:r>
      <w:r>
        <w:rPr>
          <w:rFonts w:ascii="Times New Roman" w:hAnsi="Times New Roman" w:cs="Times New Roman"/>
          <w:i/>
        </w:rPr>
        <w:t>Unity in Adversity</w:t>
      </w:r>
      <w:r w:rsidRPr="00B215F2">
        <w:rPr>
          <w:rFonts w:ascii="Times New Roman" w:hAnsi="Times New Roman" w:cs="Times New Roman"/>
        </w:rPr>
        <w:t>, p.37</w:t>
      </w:r>
    </w:p>
  </w:footnote>
  <w:footnote w:id="15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Pr>
          <w:rFonts w:ascii="Times New Roman" w:hAnsi="Times New Roman" w:cs="Times New Roman"/>
        </w:rPr>
        <w:t>Court of Justice, judgment of 7 September 2004, case c</w:t>
      </w:r>
      <w:r w:rsidRPr="00B215F2">
        <w:rPr>
          <w:rFonts w:ascii="Times New Roman" w:hAnsi="Times New Roman" w:cs="Times New Roman"/>
        </w:rPr>
        <w:t xml:space="preserve">-456/02 </w:t>
      </w:r>
      <w:proofErr w:type="spellStart"/>
      <w:r w:rsidRPr="00B215F2">
        <w:rPr>
          <w:rFonts w:ascii="Times New Roman" w:hAnsi="Times New Roman" w:cs="Times New Roman"/>
          <w:i/>
        </w:rPr>
        <w:t>Trojani</w:t>
      </w:r>
      <w:proofErr w:type="spellEnd"/>
    </w:p>
  </w:footnote>
  <w:footnote w:id="15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E261C8">
        <w:rPr>
          <w:rFonts w:ascii="Times New Roman" w:hAnsi="Times New Roman" w:cs="Times New Roman"/>
          <w:i/>
        </w:rPr>
        <w:t>Ibid</w:t>
      </w:r>
      <w:r w:rsidRPr="00B215F2">
        <w:rPr>
          <w:rFonts w:ascii="Times New Roman" w:hAnsi="Times New Roman" w:cs="Times New Roman"/>
        </w:rPr>
        <w:t>, para.45</w:t>
      </w:r>
    </w:p>
  </w:footnote>
  <w:footnote w:id="159">
    <w:p w:rsidR="00970F6F" w:rsidRPr="00B215F2" w:rsidRDefault="00970F6F" w:rsidP="007A356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This idea was developed thanks to discussions with Harriet Gray about her doctoral thesis on the operation of the principle of solidarity within the EU’s Common European Asylum System.</w:t>
      </w:r>
    </w:p>
  </w:footnote>
  <w:footnote w:id="16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Opinion of AG </w:t>
      </w:r>
      <w:proofErr w:type="spellStart"/>
      <w:r w:rsidRPr="00B215F2">
        <w:rPr>
          <w:rFonts w:ascii="Times New Roman" w:hAnsi="Times New Roman" w:cs="Times New Roman"/>
        </w:rPr>
        <w:t>Geelhoed</w:t>
      </w:r>
      <w:proofErr w:type="spellEnd"/>
      <w:r w:rsidRPr="00B215F2">
        <w:rPr>
          <w:rFonts w:ascii="Times New Roman" w:hAnsi="Times New Roman" w:cs="Times New Roman"/>
        </w:rPr>
        <w:t xml:space="preserve"> in </w:t>
      </w:r>
      <w:proofErr w:type="spellStart"/>
      <w:r w:rsidRPr="00B215F2">
        <w:rPr>
          <w:rFonts w:ascii="Times New Roman" w:hAnsi="Times New Roman" w:cs="Times New Roman"/>
          <w:i/>
        </w:rPr>
        <w:t>Trojani</w:t>
      </w:r>
      <w:proofErr w:type="spellEnd"/>
      <w:r>
        <w:rPr>
          <w:rFonts w:ascii="Times New Roman" w:hAnsi="Times New Roman" w:cs="Times New Roman"/>
        </w:rPr>
        <w:t xml:space="preserve">, cit., </w:t>
      </w:r>
      <w:r w:rsidRPr="00B215F2">
        <w:rPr>
          <w:rFonts w:ascii="Times New Roman" w:hAnsi="Times New Roman" w:cs="Times New Roman"/>
        </w:rPr>
        <w:t>para.18</w:t>
      </w:r>
    </w:p>
  </w:footnote>
  <w:footnote w:id="161">
    <w:p w:rsidR="00970F6F" w:rsidRPr="00B215F2" w:rsidRDefault="00970F6F" w:rsidP="007157A4">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proofErr w:type="spellStart"/>
      <w:r w:rsidRPr="00B215F2">
        <w:rPr>
          <w:rFonts w:ascii="Times New Roman" w:hAnsi="Times New Roman" w:cs="Times New Roman"/>
          <w:i/>
        </w:rPr>
        <w:t>Bidar</w:t>
      </w:r>
      <w:proofErr w:type="spellEnd"/>
      <w:r w:rsidRPr="00B215F2">
        <w:rPr>
          <w:rFonts w:ascii="Times New Roman" w:hAnsi="Times New Roman" w:cs="Times New Roman"/>
        </w:rPr>
        <w:t>,</w:t>
      </w:r>
      <w:r>
        <w:rPr>
          <w:rFonts w:ascii="Times New Roman" w:hAnsi="Times New Roman" w:cs="Times New Roman"/>
        </w:rPr>
        <w:t xml:space="preserve"> cit.,</w:t>
      </w:r>
      <w:r w:rsidRPr="00B215F2">
        <w:rPr>
          <w:rFonts w:ascii="Times New Roman" w:hAnsi="Times New Roman" w:cs="Times New Roman"/>
        </w:rPr>
        <w:t xml:space="preserve"> para.56.</w:t>
      </w:r>
    </w:p>
  </w:footnote>
  <w:footnote w:id="162">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Pr="00B215F2">
        <w:rPr>
          <w:rFonts w:ascii="Times New Roman" w:hAnsi="Times New Roman" w:cs="Times New Roman"/>
          <w:i/>
        </w:rPr>
        <w:t>Commission v Netherlands</w:t>
      </w:r>
      <w:r>
        <w:rPr>
          <w:rFonts w:ascii="Times New Roman" w:hAnsi="Times New Roman" w:cs="Times New Roman"/>
        </w:rPr>
        <w:t>, cit.</w:t>
      </w:r>
      <w:r w:rsidRPr="00B215F2">
        <w:rPr>
          <w:rFonts w:ascii="Times New Roman" w:hAnsi="Times New Roman" w:cs="Times New Roman"/>
        </w:rPr>
        <w:t xml:space="preserve"> Where it has, the Member States usually face a high ev</w:t>
      </w:r>
      <w:r>
        <w:rPr>
          <w:rFonts w:ascii="Times New Roman" w:hAnsi="Times New Roman" w:cs="Times New Roman"/>
        </w:rPr>
        <w:t>identiary burden (</w:t>
      </w:r>
      <w:r w:rsidRPr="00B215F2">
        <w:rPr>
          <w:rFonts w:ascii="Times New Roman" w:hAnsi="Times New Roman" w:cs="Times New Roman"/>
          <w:i/>
        </w:rPr>
        <w:t>Commission v Austria</w:t>
      </w:r>
      <w:r>
        <w:rPr>
          <w:rFonts w:ascii="Times New Roman" w:hAnsi="Times New Roman" w:cs="Times New Roman"/>
          <w:i/>
        </w:rPr>
        <w:t xml:space="preserve">, </w:t>
      </w:r>
      <w:r>
        <w:rPr>
          <w:rFonts w:ascii="Times New Roman" w:hAnsi="Times New Roman" w:cs="Times New Roman"/>
        </w:rPr>
        <w:t>cit.</w:t>
      </w:r>
      <w:r w:rsidRPr="00B215F2">
        <w:rPr>
          <w:rFonts w:ascii="Times New Roman" w:hAnsi="Times New Roman" w:cs="Times New Roman"/>
        </w:rPr>
        <w:t>)</w:t>
      </w:r>
    </w:p>
  </w:footnote>
  <w:footnote w:id="163">
    <w:p w:rsidR="00970F6F" w:rsidRPr="00B215F2" w:rsidRDefault="00970F6F" w:rsidP="007157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M. </w:t>
      </w:r>
      <w:r>
        <w:rPr>
          <w:rFonts w:ascii="Times New Roman" w:hAnsi="Times New Roman" w:cs="Times New Roman"/>
        </w:rPr>
        <w:t xml:space="preserve">RUFFERT, </w:t>
      </w:r>
      <w:proofErr w:type="gramStart"/>
      <w:r w:rsidRPr="00970F6F">
        <w:rPr>
          <w:rFonts w:ascii="Times New Roman" w:hAnsi="Times New Roman" w:cs="Times New Roman"/>
          <w:i/>
        </w:rPr>
        <w:t>The</w:t>
      </w:r>
      <w:proofErr w:type="gramEnd"/>
      <w:r w:rsidRPr="00970F6F">
        <w:rPr>
          <w:rFonts w:ascii="Times New Roman" w:hAnsi="Times New Roman" w:cs="Times New Roman"/>
          <w:i/>
        </w:rPr>
        <w:t xml:space="preserve"> European </w:t>
      </w:r>
      <w:r>
        <w:rPr>
          <w:rFonts w:ascii="Times New Roman" w:hAnsi="Times New Roman" w:cs="Times New Roman"/>
          <w:i/>
        </w:rPr>
        <w:t>Debt C</w:t>
      </w:r>
      <w:r w:rsidRPr="00970F6F">
        <w:rPr>
          <w:rFonts w:ascii="Times New Roman" w:hAnsi="Times New Roman" w:cs="Times New Roman"/>
          <w:i/>
        </w:rPr>
        <w:t xml:space="preserve">risis and European Union Law </w:t>
      </w:r>
      <w:r>
        <w:rPr>
          <w:rFonts w:ascii="Times New Roman" w:hAnsi="Times New Roman" w:cs="Times New Roman"/>
        </w:rPr>
        <w:t xml:space="preserve">in </w:t>
      </w:r>
      <w:r>
        <w:rPr>
          <w:rFonts w:ascii="Times New Roman" w:hAnsi="Times New Roman" w:cs="Times New Roman"/>
          <w:i/>
        </w:rPr>
        <w:t xml:space="preserve">Common Market Law Review, </w:t>
      </w:r>
      <w:r>
        <w:rPr>
          <w:rFonts w:ascii="Times New Roman" w:hAnsi="Times New Roman" w:cs="Times New Roman"/>
        </w:rPr>
        <w:t xml:space="preserve">2011, p.1777 </w:t>
      </w:r>
      <w:r>
        <w:rPr>
          <w:rFonts w:ascii="Times New Roman" w:hAnsi="Times New Roman" w:cs="Times New Roman"/>
          <w:i/>
        </w:rPr>
        <w:t>et seq.</w:t>
      </w:r>
    </w:p>
  </w:footnote>
  <w:footnote w:id="164">
    <w:p w:rsidR="00970F6F" w:rsidRPr="00B215F2" w:rsidRDefault="00970F6F" w:rsidP="007157A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D. C</w:t>
      </w:r>
      <w:r>
        <w:rPr>
          <w:rFonts w:ascii="Times New Roman" w:hAnsi="Times New Roman" w:cs="Times New Roman"/>
        </w:rPr>
        <w:t xml:space="preserve">AMERON, </w:t>
      </w:r>
      <w:r w:rsidRPr="00970F6F">
        <w:rPr>
          <w:rFonts w:ascii="Times New Roman" w:hAnsi="Times New Roman" w:cs="Times New Roman"/>
          <w:i/>
        </w:rPr>
        <w:t>Free Movement within Europe Needs to be Less Free</w:t>
      </w:r>
      <w:r w:rsidRPr="00B215F2">
        <w:rPr>
          <w:rFonts w:ascii="Times New Roman" w:hAnsi="Times New Roman" w:cs="Times New Roman"/>
        </w:rPr>
        <w:t>,</w:t>
      </w:r>
      <w:r>
        <w:rPr>
          <w:rFonts w:ascii="Times New Roman" w:hAnsi="Times New Roman" w:cs="Times New Roman"/>
        </w:rPr>
        <w:t xml:space="preserve"> in</w:t>
      </w:r>
      <w:r w:rsidRPr="00B215F2">
        <w:rPr>
          <w:rFonts w:ascii="Times New Roman" w:hAnsi="Times New Roman" w:cs="Times New Roman"/>
        </w:rPr>
        <w:t xml:space="preserve"> </w:t>
      </w:r>
      <w:r w:rsidRPr="00B215F2">
        <w:rPr>
          <w:rFonts w:ascii="Times New Roman" w:hAnsi="Times New Roman" w:cs="Times New Roman"/>
          <w:i/>
        </w:rPr>
        <w:t>Financial Times</w:t>
      </w:r>
      <w:r w:rsidRPr="00B215F2">
        <w:rPr>
          <w:rFonts w:ascii="Times New Roman" w:hAnsi="Times New Roman" w:cs="Times New Roman"/>
        </w:rPr>
        <w:t xml:space="preserve"> 26</w:t>
      </w:r>
      <w:r>
        <w:rPr>
          <w:rFonts w:ascii="Times New Roman" w:hAnsi="Times New Roman" w:cs="Times New Roman"/>
        </w:rPr>
        <w:t xml:space="preserve"> November 2013</w:t>
      </w:r>
    </w:p>
  </w:footnote>
  <w:footnote w:id="16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also </w:t>
      </w:r>
      <w:r w:rsidR="00C15F85">
        <w:rPr>
          <w:rFonts w:ascii="Times New Roman" w:hAnsi="Times New Roman" w:cs="Times New Roman"/>
        </w:rPr>
        <w:t xml:space="preserve">C. </w:t>
      </w:r>
      <w:r w:rsidRPr="00B215F2">
        <w:rPr>
          <w:rFonts w:ascii="Times New Roman" w:hAnsi="Times New Roman" w:cs="Times New Roman"/>
        </w:rPr>
        <w:t>O’Brien,</w:t>
      </w:r>
      <w:r w:rsidR="00C15F85">
        <w:rPr>
          <w:rFonts w:ascii="Times New Roman" w:hAnsi="Times New Roman" w:cs="Times New Roman"/>
        </w:rPr>
        <w:t xml:space="preserve"> </w:t>
      </w:r>
      <w:r w:rsidR="00C15F85">
        <w:rPr>
          <w:rFonts w:ascii="Times New Roman" w:hAnsi="Times New Roman" w:cs="Times New Roman"/>
          <w:i/>
        </w:rPr>
        <w:t>Unity in Adversity</w:t>
      </w:r>
    </w:p>
  </w:footnote>
  <w:footnote w:id="166">
    <w:p w:rsidR="00970F6F" w:rsidRPr="00B215F2" w:rsidRDefault="00970F6F" w:rsidP="003111A5">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C. D</w:t>
      </w:r>
      <w:r w:rsidR="00C15F85">
        <w:rPr>
          <w:rFonts w:ascii="Times New Roman" w:hAnsi="Times New Roman" w:cs="Times New Roman"/>
        </w:rPr>
        <w:t>USTMANN</w:t>
      </w:r>
      <w:r w:rsidRPr="00B215F2">
        <w:rPr>
          <w:rFonts w:ascii="Times New Roman" w:hAnsi="Times New Roman" w:cs="Times New Roman"/>
        </w:rPr>
        <w:t xml:space="preserve"> and T. F</w:t>
      </w:r>
      <w:r w:rsidR="00C15F85">
        <w:rPr>
          <w:rFonts w:ascii="Times New Roman" w:hAnsi="Times New Roman" w:cs="Times New Roman"/>
        </w:rPr>
        <w:t xml:space="preserve">RATTINI, </w:t>
      </w:r>
      <w:r w:rsidRPr="00C15F85">
        <w:rPr>
          <w:rFonts w:ascii="Times New Roman" w:hAnsi="Times New Roman" w:cs="Times New Roman"/>
          <w:i/>
        </w:rPr>
        <w:t>The Fiscal E</w:t>
      </w:r>
      <w:r w:rsidR="00C15F85" w:rsidRPr="00C15F85">
        <w:rPr>
          <w:rFonts w:ascii="Times New Roman" w:hAnsi="Times New Roman" w:cs="Times New Roman"/>
          <w:i/>
        </w:rPr>
        <w:t>ffects of Immigration to the UK</w:t>
      </w:r>
      <w:r w:rsidR="00C15F85">
        <w:rPr>
          <w:rFonts w:ascii="Times New Roman" w:hAnsi="Times New Roman" w:cs="Times New Roman"/>
        </w:rPr>
        <w:t xml:space="preserve"> in </w:t>
      </w:r>
      <w:r w:rsidR="00C15F85">
        <w:rPr>
          <w:rFonts w:ascii="Times New Roman" w:hAnsi="Times New Roman" w:cs="Times New Roman"/>
          <w:i/>
        </w:rPr>
        <w:t xml:space="preserve">Journal of the Royal Economic Society, </w:t>
      </w:r>
      <w:r w:rsidR="00C15F85">
        <w:rPr>
          <w:rFonts w:ascii="Times New Roman" w:hAnsi="Times New Roman" w:cs="Times New Roman"/>
        </w:rPr>
        <w:t>2014</w:t>
      </w:r>
      <w:r w:rsidRPr="00B215F2">
        <w:rPr>
          <w:rFonts w:ascii="Times New Roman" w:hAnsi="Times New Roman" w:cs="Times New Roman"/>
        </w:rPr>
        <w:t xml:space="preserve">, </w:t>
      </w:r>
      <w:r w:rsidR="00C15F85">
        <w:rPr>
          <w:rFonts w:ascii="Times New Roman" w:hAnsi="Times New Roman" w:cs="Times New Roman"/>
        </w:rPr>
        <w:t>p.</w:t>
      </w:r>
      <w:r w:rsidRPr="00B215F2">
        <w:rPr>
          <w:rFonts w:ascii="Times New Roman" w:hAnsi="Times New Roman" w:cs="Times New Roman"/>
        </w:rPr>
        <w:t>593</w:t>
      </w:r>
      <w:r w:rsidR="00C15F85">
        <w:rPr>
          <w:rFonts w:ascii="Times New Roman" w:hAnsi="Times New Roman" w:cs="Times New Roman"/>
        </w:rPr>
        <w:t xml:space="preserve"> </w:t>
      </w:r>
      <w:r w:rsidR="00C15F85">
        <w:rPr>
          <w:rFonts w:ascii="Times New Roman" w:hAnsi="Times New Roman" w:cs="Times New Roman"/>
          <w:i/>
        </w:rPr>
        <w:t>et seq.</w:t>
      </w:r>
    </w:p>
  </w:footnote>
  <w:footnote w:id="167">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C15F85">
        <w:rPr>
          <w:rFonts w:ascii="Times New Roman" w:hAnsi="Times New Roman" w:cs="Times New Roman"/>
        </w:rPr>
        <w:t>Court of Justice, judgment of 11 November 2014, case c</w:t>
      </w:r>
      <w:r w:rsidRPr="00B215F2">
        <w:rPr>
          <w:rFonts w:ascii="Times New Roman" w:hAnsi="Times New Roman" w:cs="Times New Roman"/>
        </w:rPr>
        <w:t xml:space="preserve">-333/13 </w:t>
      </w:r>
      <w:proofErr w:type="spellStart"/>
      <w:r w:rsidRPr="00B215F2">
        <w:rPr>
          <w:rFonts w:ascii="Times New Roman" w:hAnsi="Times New Roman" w:cs="Times New Roman"/>
          <w:i/>
        </w:rPr>
        <w:t>Dano</w:t>
      </w:r>
      <w:proofErr w:type="spellEnd"/>
    </w:p>
  </w:footnote>
  <w:footnote w:id="168">
    <w:p w:rsidR="00970F6F" w:rsidRPr="00B215F2" w:rsidRDefault="00970F6F" w:rsidP="00236CD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E.g. </w:t>
      </w:r>
      <w:r w:rsidR="00C15F85">
        <w:rPr>
          <w:rFonts w:ascii="Times New Roman" w:hAnsi="Times New Roman" w:cs="Times New Roman"/>
        </w:rPr>
        <w:t>Court of Justice, judgment of 15 September 2015, case c</w:t>
      </w:r>
      <w:r w:rsidRPr="00B215F2">
        <w:rPr>
          <w:rFonts w:ascii="Times New Roman" w:hAnsi="Times New Roman" w:cs="Times New Roman"/>
        </w:rPr>
        <w:t xml:space="preserve">-67/14 </w:t>
      </w:r>
      <w:proofErr w:type="spellStart"/>
      <w:r w:rsidRPr="00B215F2">
        <w:rPr>
          <w:rFonts w:ascii="Times New Roman" w:hAnsi="Times New Roman" w:cs="Times New Roman"/>
          <w:i/>
        </w:rPr>
        <w:t>Alimanovic</w:t>
      </w:r>
      <w:proofErr w:type="spellEnd"/>
      <w:r w:rsidRPr="00B215F2">
        <w:rPr>
          <w:rFonts w:ascii="Times New Roman" w:hAnsi="Times New Roman" w:cs="Times New Roman"/>
        </w:rPr>
        <w:t xml:space="preserve">; </w:t>
      </w:r>
      <w:r w:rsidR="00C15F85">
        <w:rPr>
          <w:rFonts w:ascii="Times New Roman" w:hAnsi="Times New Roman" w:cs="Times New Roman"/>
        </w:rPr>
        <w:t>Court of Justice, judgment of 25 February 2016, case c</w:t>
      </w:r>
      <w:r w:rsidRPr="00B215F2">
        <w:rPr>
          <w:rFonts w:ascii="Times New Roman" w:hAnsi="Times New Roman" w:cs="Times New Roman"/>
        </w:rPr>
        <w:t xml:space="preserve">-299/14 </w:t>
      </w:r>
      <w:r w:rsidRPr="00B215F2">
        <w:rPr>
          <w:rFonts w:ascii="Times New Roman" w:hAnsi="Times New Roman" w:cs="Times New Roman"/>
          <w:i/>
        </w:rPr>
        <w:t>Garcia-Nieto</w:t>
      </w:r>
      <w:r w:rsidRPr="00B215F2">
        <w:rPr>
          <w:rFonts w:ascii="Times New Roman" w:hAnsi="Times New Roman" w:cs="Times New Roman"/>
        </w:rPr>
        <w:t>;</w:t>
      </w:r>
      <w:r w:rsidR="00C15F85">
        <w:rPr>
          <w:rFonts w:ascii="Times New Roman" w:hAnsi="Times New Roman" w:cs="Times New Roman"/>
        </w:rPr>
        <w:t xml:space="preserve"> Court of Justice, judgment of 14 June 2016, c</w:t>
      </w:r>
      <w:r w:rsidRPr="00B215F2">
        <w:rPr>
          <w:rFonts w:ascii="Times New Roman" w:hAnsi="Times New Roman" w:cs="Times New Roman"/>
        </w:rPr>
        <w:t>a</w:t>
      </w:r>
      <w:r w:rsidR="00C15F85">
        <w:rPr>
          <w:rFonts w:ascii="Times New Roman" w:hAnsi="Times New Roman" w:cs="Times New Roman"/>
        </w:rPr>
        <w:t>se c</w:t>
      </w:r>
      <w:r w:rsidRPr="00B215F2">
        <w:rPr>
          <w:rFonts w:ascii="Times New Roman" w:hAnsi="Times New Roman" w:cs="Times New Roman"/>
        </w:rPr>
        <w:t xml:space="preserve">-308/14 </w:t>
      </w:r>
      <w:r w:rsidRPr="00B215F2">
        <w:rPr>
          <w:rFonts w:ascii="Times New Roman" w:hAnsi="Times New Roman" w:cs="Times New Roman"/>
          <w:i/>
        </w:rPr>
        <w:t>Commission v UK</w:t>
      </w:r>
    </w:p>
  </w:footnote>
  <w:footnote w:id="16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Art.7 Directive 2004/38; </w:t>
      </w:r>
      <w:proofErr w:type="spellStart"/>
      <w:r w:rsidRPr="00B215F2">
        <w:rPr>
          <w:rFonts w:ascii="Times New Roman" w:hAnsi="Times New Roman" w:cs="Times New Roman"/>
          <w:i/>
        </w:rPr>
        <w:t>Dano</w:t>
      </w:r>
      <w:proofErr w:type="spellEnd"/>
      <w:r w:rsidRPr="00B215F2">
        <w:rPr>
          <w:rFonts w:ascii="Times New Roman" w:hAnsi="Times New Roman" w:cs="Times New Roman"/>
        </w:rPr>
        <w:t>,</w:t>
      </w:r>
      <w:r w:rsidR="00C15F85">
        <w:rPr>
          <w:rFonts w:ascii="Times New Roman" w:hAnsi="Times New Roman" w:cs="Times New Roman"/>
        </w:rPr>
        <w:t xml:space="preserve"> cit.,</w:t>
      </w:r>
      <w:r w:rsidRPr="00B215F2">
        <w:rPr>
          <w:rFonts w:ascii="Times New Roman" w:hAnsi="Times New Roman" w:cs="Times New Roman"/>
        </w:rPr>
        <w:t xml:space="preserve"> para.82</w:t>
      </w:r>
    </w:p>
  </w:footnote>
  <w:footnote w:id="170">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C15F85">
        <w:rPr>
          <w:rFonts w:ascii="Times New Roman" w:hAnsi="Times New Roman" w:cs="Times New Roman"/>
        </w:rPr>
        <w:t>Court of Justice, judgment of 25 July 2008, case c</w:t>
      </w:r>
      <w:r w:rsidRPr="00B215F2">
        <w:rPr>
          <w:rFonts w:ascii="Times New Roman" w:hAnsi="Times New Roman" w:cs="Times New Roman"/>
        </w:rPr>
        <w:t xml:space="preserve">-127/08 </w:t>
      </w:r>
      <w:proofErr w:type="spellStart"/>
      <w:r w:rsidRPr="00B215F2">
        <w:rPr>
          <w:rFonts w:ascii="Times New Roman" w:hAnsi="Times New Roman" w:cs="Times New Roman"/>
          <w:i/>
        </w:rPr>
        <w:t>Metock</w:t>
      </w:r>
      <w:proofErr w:type="spellEnd"/>
      <w:r w:rsidRPr="00B215F2">
        <w:rPr>
          <w:rFonts w:ascii="Times New Roman" w:hAnsi="Times New Roman" w:cs="Times New Roman"/>
        </w:rPr>
        <w:t xml:space="preserve">, para.89; </w:t>
      </w:r>
      <w:r w:rsidR="00C15F85">
        <w:rPr>
          <w:rFonts w:ascii="Times New Roman" w:hAnsi="Times New Roman" w:cs="Times New Roman"/>
        </w:rPr>
        <w:t xml:space="preserve"> Court of Justice, judgment of 7 October 2010, case c</w:t>
      </w:r>
      <w:r w:rsidRPr="00B215F2">
        <w:rPr>
          <w:rFonts w:ascii="Times New Roman" w:hAnsi="Times New Roman" w:cs="Times New Roman"/>
        </w:rPr>
        <w:t xml:space="preserve">-162/09 </w:t>
      </w:r>
      <w:proofErr w:type="spellStart"/>
      <w:r w:rsidRPr="00B215F2">
        <w:rPr>
          <w:rFonts w:ascii="Times New Roman" w:hAnsi="Times New Roman" w:cs="Times New Roman"/>
          <w:i/>
        </w:rPr>
        <w:t>Lassal</w:t>
      </w:r>
      <w:proofErr w:type="spellEnd"/>
      <w:r w:rsidRPr="00B215F2">
        <w:rPr>
          <w:rFonts w:ascii="Times New Roman" w:hAnsi="Times New Roman" w:cs="Times New Roman"/>
        </w:rPr>
        <w:t>, para.30</w:t>
      </w:r>
    </w:p>
  </w:footnote>
  <w:footnote w:id="171">
    <w:p w:rsidR="00970F6F" w:rsidRPr="00B215F2" w:rsidRDefault="00970F6F" w:rsidP="002A2DE5">
      <w:pPr>
        <w:pStyle w:val="FootnoteText"/>
        <w:rPr>
          <w:rFonts w:ascii="Times New Roman" w:hAnsi="Times New Roman" w:cs="Times New Roman"/>
        </w:rPr>
      </w:pPr>
      <w:r w:rsidRPr="00B215F2">
        <w:rPr>
          <w:rStyle w:val="FootnoteReference"/>
          <w:rFonts w:ascii="Times New Roman" w:hAnsi="Times New Roman" w:cs="Times New Roman"/>
        </w:rPr>
        <w:footnoteRef/>
      </w:r>
      <w:r w:rsidR="00C15F85">
        <w:rPr>
          <w:rFonts w:ascii="Times New Roman" w:hAnsi="Times New Roman" w:cs="Times New Roman"/>
        </w:rPr>
        <w:t xml:space="preserve"> </w:t>
      </w:r>
      <w:proofErr w:type="spellStart"/>
      <w:r w:rsidRPr="00B215F2">
        <w:rPr>
          <w:rFonts w:ascii="Times New Roman" w:hAnsi="Times New Roman" w:cs="Times New Roman"/>
          <w:i/>
        </w:rPr>
        <w:t>Dano</w:t>
      </w:r>
      <w:proofErr w:type="spellEnd"/>
      <w:r w:rsidRPr="00B215F2">
        <w:rPr>
          <w:rFonts w:ascii="Times New Roman" w:hAnsi="Times New Roman" w:cs="Times New Roman"/>
          <w:i/>
        </w:rPr>
        <w:t>,</w:t>
      </w:r>
      <w:r w:rsidR="00C15F85">
        <w:rPr>
          <w:rFonts w:ascii="Times New Roman" w:hAnsi="Times New Roman" w:cs="Times New Roman"/>
          <w:i/>
        </w:rPr>
        <w:t xml:space="preserve"> </w:t>
      </w:r>
      <w:r w:rsidR="00C15F85">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para.74; C</w:t>
      </w:r>
      <w:r w:rsidR="00C15F85">
        <w:rPr>
          <w:rFonts w:ascii="Times New Roman" w:hAnsi="Times New Roman" w:cs="Times New Roman"/>
        </w:rPr>
        <w:t>ourt of Justice, judgment of 19 September 2013, case c</w:t>
      </w:r>
      <w:r w:rsidRPr="00B215F2">
        <w:rPr>
          <w:rFonts w:ascii="Times New Roman" w:hAnsi="Times New Roman" w:cs="Times New Roman"/>
        </w:rPr>
        <w:t xml:space="preserve">-140/12 </w:t>
      </w:r>
      <w:proofErr w:type="spellStart"/>
      <w:r w:rsidRPr="00B215F2">
        <w:rPr>
          <w:rFonts w:ascii="Times New Roman" w:hAnsi="Times New Roman" w:cs="Times New Roman"/>
          <w:i/>
        </w:rPr>
        <w:t>Brey</w:t>
      </w:r>
      <w:proofErr w:type="spellEnd"/>
      <w:r w:rsidRPr="00B215F2">
        <w:rPr>
          <w:rFonts w:ascii="Times New Roman" w:hAnsi="Times New Roman" w:cs="Times New Roman"/>
        </w:rPr>
        <w:t>, para.54</w:t>
      </w:r>
    </w:p>
  </w:footnote>
  <w:footnote w:id="172">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C15F85">
        <w:rPr>
          <w:rFonts w:ascii="Times New Roman" w:hAnsi="Times New Roman" w:cs="Times New Roman"/>
          <w:i/>
        </w:rPr>
        <w:t>Ibid</w:t>
      </w:r>
      <w:r w:rsidRPr="00B215F2">
        <w:rPr>
          <w:rFonts w:ascii="Times New Roman" w:hAnsi="Times New Roman" w:cs="Times New Roman"/>
        </w:rPr>
        <w:t xml:space="preserve">. See also </w:t>
      </w:r>
      <w:proofErr w:type="spellStart"/>
      <w:r w:rsidRPr="00B215F2">
        <w:rPr>
          <w:rFonts w:ascii="Times New Roman" w:hAnsi="Times New Roman" w:cs="Times New Roman"/>
          <w:i/>
        </w:rPr>
        <w:t>Alimanovic</w:t>
      </w:r>
      <w:proofErr w:type="spellEnd"/>
      <w:r w:rsidRPr="00B215F2">
        <w:rPr>
          <w:rFonts w:ascii="Times New Roman" w:hAnsi="Times New Roman" w:cs="Times New Roman"/>
        </w:rPr>
        <w:t xml:space="preserve"> and</w:t>
      </w:r>
      <w:r w:rsidR="00C15F85">
        <w:rPr>
          <w:rFonts w:ascii="Times New Roman" w:hAnsi="Times New Roman" w:cs="Times New Roman"/>
        </w:rPr>
        <w:t xml:space="preserve"> </w:t>
      </w:r>
      <w:r w:rsidRPr="00B215F2">
        <w:rPr>
          <w:rFonts w:ascii="Times New Roman" w:hAnsi="Times New Roman" w:cs="Times New Roman"/>
          <w:i/>
        </w:rPr>
        <w:t>Garcia-Nieto</w:t>
      </w:r>
      <w:r w:rsidR="00C15F85">
        <w:rPr>
          <w:rFonts w:ascii="Times New Roman" w:hAnsi="Times New Roman" w:cs="Times New Roman"/>
          <w:i/>
        </w:rPr>
        <w:t xml:space="preserve">, </w:t>
      </w:r>
      <w:r w:rsidR="00C15F85">
        <w:rPr>
          <w:rFonts w:ascii="Times New Roman" w:hAnsi="Times New Roman" w:cs="Times New Roman"/>
        </w:rPr>
        <w:t>cit.</w:t>
      </w:r>
      <w:r w:rsidRPr="00B215F2">
        <w:rPr>
          <w:rFonts w:ascii="Times New Roman" w:hAnsi="Times New Roman" w:cs="Times New Roman"/>
        </w:rPr>
        <w:t xml:space="preserve"> </w:t>
      </w:r>
    </w:p>
  </w:footnote>
  <w:footnote w:id="173">
    <w:p w:rsidR="00970F6F" w:rsidRPr="00C15F85" w:rsidRDefault="00970F6F" w:rsidP="006C3741">
      <w:pPr>
        <w:pStyle w:val="FootnoteText"/>
        <w:rPr>
          <w:rFonts w:ascii="Times New Roman" w:hAnsi="Times New Roman" w:cs="Times New Roman"/>
        </w:rPr>
      </w:pPr>
      <w:r w:rsidRPr="00B215F2">
        <w:rPr>
          <w:rStyle w:val="FootnoteReference"/>
          <w:rFonts w:ascii="Times New Roman" w:hAnsi="Times New Roman" w:cs="Times New Roman"/>
        </w:rPr>
        <w:footnoteRef/>
      </w:r>
      <w:r w:rsidR="00C15F85">
        <w:rPr>
          <w:rFonts w:ascii="Times New Roman" w:hAnsi="Times New Roman" w:cs="Times New Roman"/>
        </w:rPr>
        <w:t xml:space="preserve"> </w:t>
      </w:r>
      <w:proofErr w:type="spellStart"/>
      <w:r w:rsidRPr="00B215F2">
        <w:rPr>
          <w:rFonts w:ascii="Times New Roman" w:hAnsi="Times New Roman" w:cs="Times New Roman"/>
          <w:i/>
        </w:rPr>
        <w:t>Onuekwere</w:t>
      </w:r>
      <w:proofErr w:type="spellEnd"/>
      <w:r w:rsidR="00C15F85">
        <w:rPr>
          <w:rFonts w:ascii="Times New Roman" w:hAnsi="Times New Roman" w:cs="Times New Roman"/>
        </w:rPr>
        <w:t>, cit.</w:t>
      </w:r>
    </w:p>
  </w:footnote>
  <w:footnote w:id="174">
    <w:p w:rsidR="00970F6F" w:rsidRPr="00B215F2" w:rsidRDefault="00970F6F" w:rsidP="00CE096A">
      <w:pPr>
        <w:pStyle w:val="FootnoteText"/>
        <w:rPr>
          <w:rFonts w:ascii="Times New Roman" w:hAnsi="Times New Roman" w:cs="Times New Roman"/>
        </w:rPr>
      </w:pPr>
      <w:r w:rsidRPr="00B215F2">
        <w:rPr>
          <w:rStyle w:val="FootnoteReference"/>
          <w:rFonts w:ascii="Times New Roman" w:hAnsi="Times New Roman" w:cs="Times New Roman"/>
        </w:rPr>
        <w:footnoteRef/>
      </w:r>
      <w:r w:rsidR="00C15F85">
        <w:rPr>
          <w:rFonts w:ascii="Times New Roman" w:hAnsi="Times New Roman" w:cs="Times New Roman"/>
        </w:rPr>
        <w:t xml:space="preserve"> Art.28(2) Directive 2004/38</w:t>
      </w:r>
    </w:p>
  </w:footnote>
  <w:footnote w:id="175">
    <w:p w:rsidR="00970F6F" w:rsidRPr="00B215F2" w:rsidRDefault="00970F6F" w:rsidP="006A677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Para.30-32</w:t>
      </w:r>
    </w:p>
  </w:footnote>
  <w:footnote w:id="17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C15F85">
        <w:rPr>
          <w:rFonts w:ascii="Times New Roman" w:hAnsi="Times New Roman" w:cs="Times New Roman"/>
        </w:rPr>
        <w:t xml:space="preserve"> </w:t>
      </w:r>
      <w:proofErr w:type="spellStart"/>
      <w:r w:rsidRPr="00B215F2">
        <w:rPr>
          <w:rFonts w:ascii="Times New Roman" w:hAnsi="Times New Roman" w:cs="Times New Roman"/>
          <w:i/>
        </w:rPr>
        <w:t>Onuekwere</w:t>
      </w:r>
      <w:proofErr w:type="spellEnd"/>
      <w:r w:rsidRPr="00B215F2">
        <w:rPr>
          <w:rFonts w:ascii="Times New Roman" w:hAnsi="Times New Roman" w:cs="Times New Roman"/>
          <w:i/>
        </w:rPr>
        <w:t>,</w:t>
      </w:r>
      <w:r w:rsidR="00C15F85">
        <w:rPr>
          <w:rFonts w:ascii="Times New Roman" w:hAnsi="Times New Roman" w:cs="Times New Roman"/>
        </w:rPr>
        <w:t xml:space="preserve"> cit.</w:t>
      </w:r>
      <w:r w:rsidRPr="00B215F2">
        <w:rPr>
          <w:rFonts w:ascii="Times New Roman" w:hAnsi="Times New Roman" w:cs="Times New Roman"/>
          <w:i/>
        </w:rPr>
        <w:t xml:space="preserve"> </w:t>
      </w:r>
      <w:r w:rsidRPr="00B215F2">
        <w:rPr>
          <w:rFonts w:ascii="Times New Roman" w:hAnsi="Times New Roman" w:cs="Times New Roman"/>
        </w:rPr>
        <w:t>para.25</w:t>
      </w:r>
    </w:p>
  </w:footnote>
  <w:footnote w:id="177">
    <w:p w:rsidR="00970F6F" w:rsidRPr="00B215F2" w:rsidRDefault="00970F6F" w:rsidP="006C3741">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Para.26. See also </w:t>
      </w:r>
      <w:r w:rsidR="000717BB">
        <w:rPr>
          <w:rFonts w:ascii="Times New Roman" w:hAnsi="Times New Roman" w:cs="Times New Roman"/>
        </w:rPr>
        <w:t>Court of Justice, judgment of 16 January 2014, case c</w:t>
      </w:r>
      <w:r w:rsidRPr="00B215F2">
        <w:rPr>
          <w:rFonts w:ascii="Times New Roman" w:hAnsi="Times New Roman" w:cs="Times New Roman"/>
        </w:rPr>
        <w:t xml:space="preserve">-400/12 </w:t>
      </w:r>
      <w:r w:rsidRPr="00B215F2">
        <w:rPr>
          <w:rFonts w:ascii="Times New Roman" w:hAnsi="Times New Roman" w:cs="Times New Roman"/>
          <w:i/>
        </w:rPr>
        <w:t>G</w:t>
      </w:r>
      <w:r w:rsidRPr="00B215F2">
        <w:rPr>
          <w:rFonts w:ascii="Times New Roman" w:hAnsi="Times New Roman" w:cs="Times New Roman"/>
        </w:rPr>
        <w:t xml:space="preserve"> EU</w:t>
      </w:r>
      <w:proofErr w:type="gramStart"/>
      <w:r w:rsidRPr="00B215F2">
        <w:rPr>
          <w:rFonts w:ascii="Times New Roman" w:hAnsi="Times New Roman" w:cs="Times New Roman"/>
        </w:rPr>
        <w:t>:C:2014:9</w:t>
      </w:r>
      <w:proofErr w:type="gramEnd"/>
      <w:r w:rsidRPr="00B215F2">
        <w:rPr>
          <w:rFonts w:ascii="Times New Roman" w:hAnsi="Times New Roman" w:cs="Times New Roman"/>
        </w:rPr>
        <w:t xml:space="preserve"> in wh</w:t>
      </w:r>
      <w:r>
        <w:rPr>
          <w:rFonts w:ascii="Times New Roman" w:hAnsi="Times New Roman" w:cs="Times New Roman"/>
        </w:rPr>
        <w:t>ich the Court</w:t>
      </w:r>
      <w:r w:rsidRPr="00B215F2">
        <w:rPr>
          <w:rFonts w:ascii="Times New Roman" w:hAnsi="Times New Roman" w:cs="Times New Roman"/>
        </w:rPr>
        <w:t xml:space="preserve"> stated that an individual’s integration was a ‘vital consideration’  in determining protection from expulsion. Paras.31-32</w:t>
      </w:r>
    </w:p>
  </w:footnote>
  <w:footnote w:id="178">
    <w:p w:rsidR="00970F6F" w:rsidRPr="00B215F2" w:rsidRDefault="00970F6F" w:rsidP="006C3741">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i/>
        </w:rPr>
        <w:t>Onukewere</w:t>
      </w:r>
      <w:proofErr w:type="spellEnd"/>
      <w:r w:rsidRPr="00B215F2">
        <w:rPr>
          <w:rFonts w:ascii="Times New Roman" w:hAnsi="Times New Roman" w:cs="Times New Roman"/>
          <w:i/>
        </w:rPr>
        <w:t>,</w:t>
      </w:r>
      <w:r w:rsidR="00C15F85">
        <w:rPr>
          <w:rFonts w:ascii="Times New Roman" w:hAnsi="Times New Roman" w:cs="Times New Roman"/>
        </w:rPr>
        <w:t xml:space="preserve"> cit.,</w:t>
      </w:r>
      <w:r w:rsidRPr="00B215F2">
        <w:rPr>
          <w:rFonts w:ascii="Times New Roman" w:hAnsi="Times New Roman" w:cs="Times New Roman"/>
          <w:i/>
        </w:rPr>
        <w:t xml:space="preserve"> </w:t>
      </w:r>
      <w:r w:rsidRPr="00B215F2">
        <w:rPr>
          <w:rFonts w:ascii="Times New Roman" w:hAnsi="Times New Roman" w:cs="Times New Roman"/>
        </w:rPr>
        <w:t>para.25</w:t>
      </w:r>
    </w:p>
  </w:footnote>
  <w:footnote w:id="179">
    <w:p w:rsidR="00970F6F" w:rsidRPr="00B215F2" w:rsidRDefault="00970F6F" w:rsidP="00E97D9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 C</w:t>
      </w:r>
      <w:r w:rsidR="00C15F85">
        <w:rPr>
          <w:rFonts w:ascii="Times New Roman" w:hAnsi="Times New Roman" w:cs="Times New Roman"/>
        </w:rPr>
        <w:t>OUTTS</w:t>
      </w:r>
      <w:r w:rsidRPr="00B215F2">
        <w:rPr>
          <w:rFonts w:ascii="Times New Roman" w:hAnsi="Times New Roman" w:cs="Times New Roman"/>
        </w:rPr>
        <w:t xml:space="preserve"> refers to this as a ‘prob</w:t>
      </w:r>
      <w:r>
        <w:rPr>
          <w:rFonts w:ascii="Times New Roman" w:hAnsi="Times New Roman" w:cs="Times New Roman"/>
        </w:rPr>
        <w:t>ationary citizenship’</w:t>
      </w:r>
      <w:r w:rsidR="00C15F85">
        <w:rPr>
          <w:rFonts w:ascii="Times New Roman" w:hAnsi="Times New Roman" w:cs="Times New Roman"/>
        </w:rPr>
        <w:t xml:space="preserve"> in </w:t>
      </w:r>
      <w:r w:rsidRPr="00C15F85">
        <w:rPr>
          <w:rFonts w:ascii="Times New Roman" w:hAnsi="Times New Roman" w:cs="Times New Roman"/>
          <w:i/>
        </w:rPr>
        <w:t xml:space="preserve">Union Citizenship as Probationary Citizenship: </w:t>
      </w:r>
      <w:proofErr w:type="spellStart"/>
      <w:r w:rsidR="00C15F85" w:rsidRPr="00C15F85">
        <w:rPr>
          <w:rFonts w:ascii="Times New Roman" w:hAnsi="Times New Roman" w:cs="Times New Roman"/>
          <w:i/>
        </w:rPr>
        <w:t>Onuekwere</w:t>
      </w:r>
      <w:proofErr w:type="spellEnd"/>
      <w:r w:rsidR="00C15F85" w:rsidRPr="00C15F85">
        <w:rPr>
          <w:rFonts w:ascii="Times New Roman" w:hAnsi="Times New Roman" w:cs="Times New Roman"/>
          <w:i/>
        </w:rPr>
        <w:t xml:space="preserve"> </w:t>
      </w:r>
      <w:r w:rsidR="00C15F85">
        <w:rPr>
          <w:rFonts w:ascii="Times New Roman" w:hAnsi="Times New Roman" w:cs="Times New Roman"/>
          <w:i/>
        </w:rPr>
        <w:t xml:space="preserve">in </w:t>
      </w:r>
      <w:r w:rsidR="00C15F85" w:rsidRPr="00C15F85">
        <w:rPr>
          <w:rFonts w:ascii="Times New Roman" w:hAnsi="Times New Roman" w:cs="Times New Roman"/>
          <w:i/>
        </w:rPr>
        <w:t>Common Market Law Review</w:t>
      </w:r>
      <w:r w:rsidR="00C15F85">
        <w:rPr>
          <w:rFonts w:ascii="Times New Roman" w:hAnsi="Times New Roman" w:cs="Times New Roman"/>
        </w:rPr>
        <w:t>, 2015, p.</w:t>
      </w:r>
      <w:r w:rsidRPr="00B215F2">
        <w:rPr>
          <w:rFonts w:ascii="Times New Roman" w:hAnsi="Times New Roman" w:cs="Times New Roman"/>
        </w:rPr>
        <w:t>531</w:t>
      </w:r>
      <w:r w:rsidR="00C15F85">
        <w:rPr>
          <w:rFonts w:ascii="Times New Roman" w:hAnsi="Times New Roman" w:cs="Times New Roman"/>
        </w:rPr>
        <w:t xml:space="preserve"> </w:t>
      </w:r>
      <w:r w:rsidR="00C15F85">
        <w:rPr>
          <w:rFonts w:ascii="Times New Roman" w:hAnsi="Times New Roman" w:cs="Times New Roman"/>
          <w:i/>
        </w:rPr>
        <w:t>et seq.</w:t>
      </w:r>
      <w:r w:rsidRPr="00B215F2">
        <w:rPr>
          <w:rFonts w:ascii="Times New Roman" w:hAnsi="Times New Roman" w:cs="Times New Roman"/>
        </w:rPr>
        <w:t xml:space="preserve"> </w:t>
      </w:r>
      <w:r>
        <w:rPr>
          <w:rFonts w:ascii="Times New Roman" w:hAnsi="Times New Roman" w:cs="Times New Roman"/>
        </w:rPr>
        <w:t>I</w:t>
      </w:r>
      <w:r w:rsidRPr="00B215F2">
        <w:rPr>
          <w:rFonts w:ascii="Times New Roman" w:hAnsi="Times New Roman" w:cs="Times New Roman"/>
        </w:rPr>
        <w:t>n the recent</w:t>
      </w:r>
      <w:r w:rsidR="000717BB">
        <w:rPr>
          <w:rFonts w:ascii="Times New Roman" w:hAnsi="Times New Roman" w:cs="Times New Roman"/>
        </w:rPr>
        <w:t xml:space="preserve"> Court of Justice, judgment of 24 April 2018, joined cases c</w:t>
      </w:r>
      <w:r w:rsidRPr="00B215F2">
        <w:rPr>
          <w:rFonts w:ascii="Times New Roman" w:hAnsi="Times New Roman" w:cs="Times New Roman"/>
        </w:rPr>
        <w:t xml:space="preserve">-316/16 and 424/16 </w:t>
      </w:r>
      <w:r w:rsidRPr="00B215F2">
        <w:rPr>
          <w:rFonts w:ascii="Times New Roman" w:hAnsi="Times New Roman" w:cs="Times New Roman"/>
          <w:i/>
        </w:rPr>
        <w:t>B</w:t>
      </w:r>
      <w:r w:rsidRPr="00B215F2">
        <w:rPr>
          <w:rFonts w:ascii="Times New Roman" w:hAnsi="Times New Roman" w:cs="Times New Roman"/>
        </w:rPr>
        <w:t>,</w:t>
      </w:r>
      <w:r w:rsidR="000717BB">
        <w:rPr>
          <w:rFonts w:ascii="Times New Roman" w:hAnsi="Times New Roman" w:cs="Times New Roman"/>
        </w:rPr>
        <w:t xml:space="preserve"> concerning the enhanced protection available after ten years’ residence,</w:t>
      </w:r>
      <w:r w:rsidRPr="00B215F2">
        <w:rPr>
          <w:rFonts w:ascii="Times New Roman" w:hAnsi="Times New Roman" w:cs="Times New Roman"/>
        </w:rPr>
        <w:t xml:space="preserve"> the Court </w:t>
      </w:r>
      <w:r w:rsidR="000717BB">
        <w:rPr>
          <w:rFonts w:ascii="Times New Roman" w:hAnsi="Times New Roman" w:cs="Times New Roman"/>
        </w:rPr>
        <w:t>stated</w:t>
      </w:r>
      <w:r w:rsidRPr="00B215F2">
        <w:rPr>
          <w:rFonts w:ascii="Times New Roman" w:hAnsi="Times New Roman" w:cs="Times New Roman"/>
        </w:rPr>
        <w:t xml:space="preserve"> that the more solid the integrative links – including from a social, </w:t>
      </w:r>
      <w:r>
        <w:rPr>
          <w:rFonts w:ascii="Times New Roman" w:hAnsi="Times New Roman" w:cs="Times New Roman"/>
        </w:rPr>
        <w:t>cultural and family perspective –</w:t>
      </w:r>
      <w:r w:rsidRPr="00B215F2">
        <w:rPr>
          <w:rFonts w:ascii="Times New Roman" w:hAnsi="Times New Roman" w:cs="Times New Roman"/>
        </w:rPr>
        <w:t xml:space="preserve"> the lower the probability that detention will break those links, para.72 </w:t>
      </w:r>
    </w:p>
  </w:footnote>
  <w:footnote w:id="180">
    <w:p w:rsidR="00970F6F" w:rsidRPr="00B215F2" w:rsidRDefault="00970F6F" w:rsidP="002A2DE5">
      <w:pPr>
        <w:pStyle w:val="FootnoteText"/>
        <w:rPr>
          <w:rFonts w:ascii="Times New Roman" w:hAnsi="Times New Roman" w:cs="Times New Roman"/>
        </w:rPr>
      </w:pPr>
      <w:r w:rsidRPr="00B215F2">
        <w:rPr>
          <w:rStyle w:val="FootnoteReference"/>
          <w:rFonts w:ascii="Times New Roman" w:hAnsi="Times New Roman" w:cs="Times New Roman"/>
        </w:rPr>
        <w:footnoteRef/>
      </w:r>
      <w:r w:rsidR="000717BB">
        <w:rPr>
          <w:rFonts w:ascii="Times New Roman" w:hAnsi="Times New Roman" w:cs="Times New Roman"/>
        </w:rPr>
        <w:t xml:space="preserve"> N. NIC SHUIBHNE, </w:t>
      </w:r>
      <w:r w:rsidRPr="000717BB">
        <w:rPr>
          <w:rFonts w:ascii="Times New Roman" w:hAnsi="Times New Roman" w:cs="Times New Roman"/>
          <w:i/>
        </w:rPr>
        <w:t>Limits Arising, Duties Ascending: The Changing L</w:t>
      </w:r>
      <w:r w:rsidR="000717BB" w:rsidRPr="000717BB">
        <w:rPr>
          <w:rFonts w:ascii="Times New Roman" w:hAnsi="Times New Roman" w:cs="Times New Roman"/>
          <w:i/>
        </w:rPr>
        <w:t>egal Shape of Union Citizenship</w:t>
      </w:r>
      <w:r w:rsidR="000717BB">
        <w:rPr>
          <w:rFonts w:ascii="Times New Roman" w:hAnsi="Times New Roman" w:cs="Times New Roman"/>
        </w:rPr>
        <w:t xml:space="preserve"> in </w:t>
      </w:r>
      <w:r w:rsidR="000717BB">
        <w:rPr>
          <w:rFonts w:ascii="Times New Roman" w:hAnsi="Times New Roman" w:cs="Times New Roman"/>
          <w:i/>
        </w:rPr>
        <w:t xml:space="preserve">Common Market Law Review, </w:t>
      </w:r>
      <w:r w:rsidR="000717BB">
        <w:rPr>
          <w:rFonts w:ascii="Times New Roman" w:hAnsi="Times New Roman" w:cs="Times New Roman"/>
        </w:rPr>
        <w:t>2015, p.</w:t>
      </w:r>
      <w:r w:rsidRPr="00B215F2">
        <w:rPr>
          <w:rFonts w:ascii="Times New Roman" w:hAnsi="Times New Roman" w:cs="Times New Roman"/>
        </w:rPr>
        <w:t>889</w:t>
      </w:r>
      <w:r w:rsidR="000717BB">
        <w:rPr>
          <w:rFonts w:ascii="Times New Roman" w:hAnsi="Times New Roman" w:cs="Times New Roman"/>
        </w:rPr>
        <w:t xml:space="preserve"> </w:t>
      </w:r>
      <w:r w:rsidR="000717BB">
        <w:rPr>
          <w:rFonts w:ascii="Times New Roman" w:hAnsi="Times New Roman" w:cs="Times New Roman"/>
          <w:i/>
        </w:rPr>
        <w:t>et seq.</w:t>
      </w:r>
      <w:r w:rsidRPr="00B215F2">
        <w:rPr>
          <w:rFonts w:ascii="Times New Roman" w:hAnsi="Times New Roman" w:cs="Times New Roman"/>
        </w:rPr>
        <w:t xml:space="preserve">, </w:t>
      </w:r>
      <w:r w:rsidR="000717BB">
        <w:rPr>
          <w:rFonts w:ascii="Times New Roman" w:hAnsi="Times New Roman" w:cs="Times New Roman"/>
        </w:rPr>
        <w:t>p.</w:t>
      </w:r>
      <w:r w:rsidRPr="00B215F2">
        <w:rPr>
          <w:rFonts w:ascii="Times New Roman" w:hAnsi="Times New Roman" w:cs="Times New Roman"/>
        </w:rPr>
        <w:t>894</w:t>
      </w:r>
    </w:p>
  </w:footnote>
  <w:footnote w:id="18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0717BB">
        <w:rPr>
          <w:rFonts w:ascii="Times New Roman" w:hAnsi="Times New Roman" w:cs="Times New Roman"/>
        </w:rPr>
        <w:t xml:space="preserve"> </w:t>
      </w:r>
      <w:proofErr w:type="spellStart"/>
      <w:r w:rsidRPr="00B215F2">
        <w:rPr>
          <w:rFonts w:ascii="Times New Roman" w:hAnsi="Times New Roman" w:cs="Times New Roman"/>
          <w:i/>
        </w:rPr>
        <w:t>Dano</w:t>
      </w:r>
      <w:proofErr w:type="spellEnd"/>
      <w:r w:rsidRPr="00B215F2">
        <w:rPr>
          <w:rFonts w:ascii="Times New Roman" w:hAnsi="Times New Roman" w:cs="Times New Roman"/>
          <w:i/>
        </w:rPr>
        <w:t>,</w:t>
      </w:r>
      <w:r w:rsidR="000717BB">
        <w:rPr>
          <w:rFonts w:ascii="Times New Roman" w:hAnsi="Times New Roman" w:cs="Times New Roman"/>
          <w:i/>
        </w:rPr>
        <w:t xml:space="preserve"> </w:t>
      </w:r>
      <w:r w:rsidR="000717BB">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paras.57-58</w:t>
      </w:r>
    </w:p>
  </w:footnote>
  <w:footnote w:id="182">
    <w:p w:rsidR="00970F6F" w:rsidRPr="00B215F2" w:rsidRDefault="00970F6F" w:rsidP="00726C6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Para.61</w:t>
      </w:r>
    </w:p>
  </w:footnote>
  <w:footnote w:id="183">
    <w:p w:rsidR="00970F6F" w:rsidRPr="000717BB"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000717BB">
        <w:rPr>
          <w:rFonts w:ascii="Times New Roman" w:hAnsi="Times New Roman" w:cs="Times New Roman"/>
        </w:rPr>
        <w:t xml:space="preserve"> </w:t>
      </w:r>
      <w:r w:rsidRPr="00B215F2">
        <w:rPr>
          <w:rFonts w:ascii="Times New Roman" w:hAnsi="Times New Roman" w:cs="Times New Roman"/>
          <w:i/>
        </w:rPr>
        <w:t>Commission v UK</w:t>
      </w:r>
      <w:r w:rsidR="000717BB">
        <w:rPr>
          <w:rFonts w:ascii="Times New Roman" w:hAnsi="Times New Roman" w:cs="Times New Roman"/>
          <w:i/>
        </w:rPr>
        <w:t xml:space="preserve">, </w:t>
      </w:r>
      <w:r w:rsidR="000717BB">
        <w:rPr>
          <w:rFonts w:ascii="Times New Roman" w:hAnsi="Times New Roman" w:cs="Times New Roman"/>
        </w:rPr>
        <w:t>cit.</w:t>
      </w:r>
    </w:p>
  </w:footnote>
  <w:footnote w:id="18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O’Brien considers this to be the result of an overloading of the concept of proportionality in </w:t>
      </w:r>
      <w:proofErr w:type="spellStart"/>
      <w:r w:rsidRPr="00B215F2">
        <w:rPr>
          <w:rFonts w:ascii="Times New Roman" w:hAnsi="Times New Roman" w:cs="Times New Roman"/>
          <w:i/>
        </w:rPr>
        <w:t>Brey</w:t>
      </w:r>
      <w:proofErr w:type="spellEnd"/>
      <w:r w:rsidRPr="00B215F2">
        <w:rPr>
          <w:rFonts w:ascii="Times New Roman" w:hAnsi="Times New Roman" w:cs="Times New Roman"/>
        </w:rPr>
        <w:t>,</w:t>
      </w:r>
      <w:r w:rsidR="000717BB">
        <w:rPr>
          <w:rFonts w:ascii="Times New Roman" w:hAnsi="Times New Roman" w:cs="Times New Roman"/>
        </w:rPr>
        <w:t xml:space="preserve"> </w:t>
      </w:r>
      <w:r w:rsidR="000717BB">
        <w:rPr>
          <w:rFonts w:ascii="Times New Roman" w:hAnsi="Times New Roman" w:cs="Times New Roman"/>
          <w:i/>
        </w:rPr>
        <w:t>cit.;</w:t>
      </w:r>
      <w:r w:rsidRPr="00B215F2">
        <w:rPr>
          <w:rFonts w:ascii="Times New Roman" w:hAnsi="Times New Roman" w:cs="Times New Roman"/>
        </w:rPr>
        <w:t xml:space="preserve"> </w:t>
      </w:r>
      <w:r w:rsidR="000717BB">
        <w:rPr>
          <w:rFonts w:ascii="Times New Roman" w:hAnsi="Times New Roman" w:cs="Times New Roman"/>
          <w:i/>
        </w:rPr>
        <w:t>Unity in Adversity</w:t>
      </w:r>
      <w:r w:rsidRPr="00B215F2">
        <w:rPr>
          <w:rFonts w:ascii="Times New Roman" w:hAnsi="Times New Roman" w:cs="Times New Roman"/>
        </w:rPr>
        <w:t>, pp.44-52</w:t>
      </w:r>
    </w:p>
  </w:footnote>
  <w:footnote w:id="185">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i/>
        </w:rPr>
        <w:t>Dano</w:t>
      </w:r>
      <w:proofErr w:type="spellEnd"/>
      <w:r w:rsidRPr="00B215F2">
        <w:rPr>
          <w:rFonts w:ascii="Times New Roman" w:hAnsi="Times New Roman" w:cs="Times New Roman"/>
          <w:i/>
        </w:rPr>
        <w:t xml:space="preserve">, </w:t>
      </w:r>
      <w:r w:rsidR="000717BB">
        <w:rPr>
          <w:rFonts w:ascii="Times New Roman" w:hAnsi="Times New Roman" w:cs="Times New Roman"/>
        </w:rPr>
        <w:t>cit. p</w:t>
      </w:r>
      <w:r w:rsidRPr="00B215F2">
        <w:rPr>
          <w:rFonts w:ascii="Times New Roman" w:hAnsi="Times New Roman" w:cs="Times New Roman"/>
        </w:rPr>
        <w:t>ara.80</w:t>
      </w:r>
    </w:p>
  </w:footnote>
  <w:footnote w:id="18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0717BB">
        <w:rPr>
          <w:rFonts w:ascii="Times New Roman" w:hAnsi="Times New Roman" w:cs="Times New Roman"/>
        </w:rPr>
        <w:t xml:space="preserve"> </w:t>
      </w:r>
      <w:proofErr w:type="spellStart"/>
      <w:r w:rsidRPr="00B215F2">
        <w:rPr>
          <w:rFonts w:ascii="Times New Roman" w:hAnsi="Times New Roman" w:cs="Times New Roman"/>
          <w:i/>
        </w:rPr>
        <w:t>Alimanovic</w:t>
      </w:r>
      <w:proofErr w:type="spellEnd"/>
      <w:r w:rsidRPr="00B215F2">
        <w:rPr>
          <w:rFonts w:ascii="Times New Roman" w:hAnsi="Times New Roman" w:cs="Times New Roman"/>
        </w:rPr>
        <w:t xml:space="preserve">; </w:t>
      </w:r>
      <w:r w:rsidRPr="00B215F2">
        <w:rPr>
          <w:rFonts w:ascii="Times New Roman" w:hAnsi="Times New Roman" w:cs="Times New Roman"/>
          <w:i/>
        </w:rPr>
        <w:t>Garcia-Nieto</w:t>
      </w:r>
      <w:r w:rsidR="000717BB">
        <w:rPr>
          <w:rFonts w:ascii="Times New Roman" w:hAnsi="Times New Roman" w:cs="Times New Roman"/>
        </w:rPr>
        <w:t>, cit.</w:t>
      </w:r>
      <w:r w:rsidRPr="00B215F2">
        <w:rPr>
          <w:rFonts w:ascii="Times New Roman" w:hAnsi="Times New Roman" w:cs="Times New Roman"/>
        </w:rPr>
        <w:t xml:space="preserve"> In </w:t>
      </w:r>
      <w:r w:rsidRPr="00B215F2">
        <w:rPr>
          <w:rFonts w:ascii="Times New Roman" w:hAnsi="Times New Roman" w:cs="Times New Roman"/>
          <w:i/>
        </w:rPr>
        <w:t>Commission v UK</w:t>
      </w:r>
      <w:r w:rsidRPr="00B215F2">
        <w:rPr>
          <w:rFonts w:ascii="Times New Roman" w:hAnsi="Times New Roman" w:cs="Times New Roman"/>
        </w:rPr>
        <w:t xml:space="preserve">, </w:t>
      </w:r>
      <w:r w:rsidR="000717BB">
        <w:rPr>
          <w:rFonts w:ascii="Times New Roman" w:hAnsi="Times New Roman" w:cs="Times New Roman"/>
        </w:rPr>
        <w:t xml:space="preserve">cit., </w:t>
      </w:r>
      <w:r w:rsidRPr="00B215F2">
        <w:rPr>
          <w:rFonts w:ascii="Times New Roman" w:hAnsi="Times New Roman" w:cs="Times New Roman"/>
        </w:rPr>
        <w:t>the evidential burden was flipped entirely</w:t>
      </w:r>
      <w:r w:rsidR="003E1EFD">
        <w:rPr>
          <w:rFonts w:ascii="Times New Roman" w:hAnsi="Times New Roman" w:cs="Times New Roman"/>
        </w:rPr>
        <w:t xml:space="preserve"> and imposed on the Commission</w:t>
      </w:r>
      <w:r w:rsidRPr="00B215F2">
        <w:rPr>
          <w:rFonts w:ascii="Times New Roman" w:hAnsi="Times New Roman" w:cs="Times New Roman"/>
        </w:rPr>
        <w:t xml:space="preserve"> </w:t>
      </w:r>
    </w:p>
  </w:footnote>
  <w:footnote w:id="187">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Alimanovic</w:t>
      </w:r>
      <w:proofErr w:type="spellEnd"/>
      <w:r w:rsidRPr="00B215F2">
        <w:rPr>
          <w:rFonts w:ascii="Times New Roman" w:hAnsi="Times New Roman" w:cs="Times New Roman"/>
          <w:i/>
        </w:rPr>
        <w:t>,</w:t>
      </w:r>
      <w:r w:rsidR="003E1EFD">
        <w:rPr>
          <w:rFonts w:ascii="Times New Roman" w:hAnsi="Times New Roman" w:cs="Times New Roman"/>
          <w:i/>
        </w:rPr>
        <w:t xml:space="preserve"> </w:t>
      </w:r>
      <w:r w:rsidR="003E1EFD">
        <w:rPr>
          <w:rFonts w:ascii="Times New Roman" w:hAnsi="Times New Roman" w:cs="Times New Roman"/>
        </w:rPr>
        <w:t>cit.,</w:t>
      </w:r>
      <w:r w:rsidRPr="00B215F2">
        <w:rPr>
          <w:rFonts w:ascii="Times New Roman" w:hAnsi="Times New Roman" w:cs="Times New Roman"/>
          <w:i/>
        </w:rPr>
        <w:t xml:space="preserve"> </w:t>
      </w:r>
      <w:r w:rsidR="003E1EFD">
        <w:rPr>
          <w:rFonts w:ascii="Times New Roman" w:hAnsi="Times New Roman" w:cs="Times New Roman"/>
        </w:rPr>
        <w:t xml:space="preserve">paras.54-62; </w:t>
      </w:r>
      <w:r w:rsidRPr="00B215F2">
        <w:rPr>
          <w:rFonts w:ascii="Times New Roman" w:hAnsi="Times New Roman" w:cs="Times New Roman"/>
          <w:i/>
        </w:rPr>
        <w:t>Garcia-Nieto</w:t>
      </w:r>
      <w:r w:rsidRPr="00B215F2">
        <w:rPr>
          <w:rFonts w:ascii="Times New Roman" w:hAnsi="Times New Roman" w:cs="Times New Roman"/>
        </w:rPr>
        <w:t>,</w:t>
      </w:r>
      <w:r w:rsidR="003E1EFD">
        <w:rPr>
          <w:rFonts w:ascii="Times New Roman" w:hAnsi="Times New Roman" w:cs="Times New Roman"/>
        </w:rPr>
        <w:t xml:space="preserve"> cit.,</w:t>
      </w:r>
      <w:r w:rsidRPr="00B215F2">
        <w:rPr>
          <w:rFonts w:ascii="Times New Roman" w:hAnsi="Times New Roman" w:cs="Times New Roman"/>
        </w:rPr>
        <w:t xml:space="preserve"> para.49-50</w:t>
      </w:r>
    </w:p>
  </w:footnote>
  <w:footnote w:id="188">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r w:rsidRPr="00B215F2">
        <w:rPr>
          <w:rFonts w:ascii="Times New Roman" w:hAnsi="Times New Roman" w:cs="Times New Roman"/>
          <w:i/>
        </w:rPr>
        <w:t>Garcia-Nieto,</w:t>
      </w:r>
      <w:r w:rsidR="003E1EFD">
        <w:rPr>
          <w:rFonts w:ascii="Times New Roman" w:hAnsi="Times New Roman" w:cs="Times New Roman"/>
        </w:rPr>
        <w:t xml:space="preserve"> cit.,</w:t>
      </w:r>
      <w:r w:rsidRPr="00B215F2">
        <w:rPr>
          <w:rFonts w:ascii="Times New Roman" w:hAnsi="Times New Roman" w:cs="Times New Roman"/>
          <w:i/>
        </w:rPr>
        <w:t xml:space="preserve"> </w:t>
      </w:r>
      <w:r w:rsidRPr="00B215F2">
        <w:rPr>
          <w:rFonts w:ascii="Times New Roman" w:hAnsi="Times New Roman" w:cs="Times New Roman"/>
        </w:rPr>
        <w:t>paras.34 and 54</w:t>
      </w:r>
    </w:p>
  </w:footnote>
  <w:footnote w:id="18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also O’B</w:t>
      </w:r>
      <w:r w:rsidR="003E1EFD">
        <w:rPr>
          <w:rFonts w:ascii="Times New Roman" w:hAnsi="Times New Roman" w:cs="Times New Roman"/>
        </w:rPr>
        <w:t>RIEN</w:t>
      </w:r>
      <w:r w:rsidRPr="00B215F2">
        <w:rPr>
          <w:rFonts w:ascii="Times New Roman" w:hAnsi="Times New Roman" w:cs="Times New Roman"/>
        </w:rPr>
        <w:t xml:space="preserve">, </w:t>
      </w:r>
      <w:r w:rsidR="003E1EFD">
        <w:rPr>
          <w:rFonts w:ascii="Times New Roman" w:hAnsi="Times New Roman" w:cs="Times New Roman"/>
          <w:i/>
        </w:rPr>
        <w:t>Unity in Adversity</w:t>
      </w:r>
      <w:r w:rsidRPr="00B215F2">
        <w:rPr>
          <w:rFonts w:ascii="Times New Roman" w:hAnsi="Times New Roman" w:cs="Times New Roman"/>
        </w:rPr>
        <w:t>, p.56</w:t>
      </w:r>
    </w:p>
  </w:footnote>
  <w:footnote w:id="190">
    <w:p w:rsidR="00970F6F" w:rsidRPr="003E1EFD"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Brey</w:t>
      </w:r>
      <w:proofErr w:type="spellEnd"/>
      <w:r w:rsidR="003E1EFD">
        <w:rPr>
          <w:rFonts w:ascii="Times New Roman" w:hAnsi="Times New Roman" w:cs="Times New Roman"/>
        </w:rPr>
        <w:t>, cit.</w:t>
      </w:r>
    </w:p>
  </w:footnote>
  <w:footnote w:id="19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Arts.1(j); Art 4 (equal treatment) Regulation </w:t>
      </w:r>
      <w:r w:rsidRPr="00B215F2">
        <w:rPr>
          <w:rFonts w:ascii="Times New Roman" w:hAnsi="Times New Roman" w:cs="Times New Roman"/>
        </w:rPr>
        <w:t>883/2004 of the European Parliament and of the Council of 29 April 2004 on the coordination of social security systems</w:t>
      </w:r>
    </w:p>
  </w:footnote>
  <w:footnote w:id="192">
    <w:p w:rsidR="00970F6F" w:rsidRPr="00B215F2" w:rsidRDefault="00970F6F" w:rsidP="008F11E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Commission v UK</w:t>
      </w:r>
      <w:r w:rsidR="003E1EFD">
        <w:rPr>
          <w:rFonts w:ascii="Times New Roman" w:hAnsi="Times New Roman" w:cs="Times New Roman"/>
          <w:i/>
        </w:rPr>
        <w:t xml:space="preserve">, </w:t>
      </w:r>
      <w:proofErr w:type="gramStart"/>
      <w:r w:rsidR="003E1EFD">
        <w:rPr>
          <w:rFonts w:ascii="Times New Roman" w:hAnsi="Times New Roman" w:cs="Times New Roman"/>
        </w:rPr>
        <w:t>cit..</w:t>
      </w:r>
      <w:proofErr w:type="gramEnd"/>
      <w:r w:rsidR="003E1EFD">
        <w:rPr>
          <w:rFonts w:ascii="Times New Roman" w:hAnsi="Times New Roman" w:cs="Times New Roman"/>
        </w:rPr>
        <w:t xml:space="preserve"> For comment, see</w:t>
      </w:r>
      <w:r w:rsidRPr="00B215F2">
        <w:rPr>
          <w:rFonts w:ascii="Times New Roman" w:hAnsi="Times New Roman" w:cs="Times New Roman"/>
        </w:rPr>
        <w:t xml:space="preserve"> C. O’B</w:t>
      </w:r>
      <w:r w:rsidR="003E1EFD">
        <w:rPr>
          <w:rFonts w:ascii="Times New Roman" w:hAnsi="Times New Roman" w:cs="Times New Roman"/>
        </w:rPr>
        <w:t xml:space="preserve">RIEN, </w:t>
      </w:r>
      <w:r w:rsidRPr="003E1EFD">
        <w:rPr>
          <w:rFonts w:ascii="Times New Roman" w:hAnsi="Times New Roman" w:cs="Times New Roman"/>
          <w:i/>
        </w:rPr>
        <w:t>The ECJ Sacrifices EU Citizenship in Vain: Commission v United Kingdom</w:t>
      </w:r>
      <w:r w:rsidR="003E1EFD" w:rsidRPr="003E1EFD">
        <w:rPr>
          <w:rFonts w:ascii="Times New Roman" w:hAnsi="Times New Roman" w:cs="Times New Roman"/>
          <w:i/>
        </w:rPr>
        <w:t xml:space="preserve"> </w:t>
      </w:r>
      <w:r w:rsidR="003E1EFD">
        <w:rPr>
          <w:rFonts w:ascii="Times New Roman" w:hAnsi="Times New Roman" w:cs="Times New Roman"/>
        </w:rPr>
        <w:t xml:space="preserve">in </w:t>
      </w:r>
      <w:r w:rsidR="003E1EFD">
        <w:rPr>
          <w:rFonts w:ascii="Times New Roman" w:hAnsi="Times New Roman" w:cs="Times New Roman"/>
          <w:i/>
        </w:rPr>
        <w:t>Comm0n Market Law Review</w:t>
      </w:r>
      <w:r w:rsidR="003E1EFD">
        <w:rPr>
          <w:rFonts w:ascii="Times New Roman" w:hAnsi="Times New Roman" w:cs="Times New Roman"/>
        </w:rPr>
        <w:t xml:space="preserve">, 2017, p.209 </w:t>
      </w:r>
      <w:r w:rsidR="003E1EFD">
        <w:rPr>
          <w:rFonts w:ascii="Times New Roman" w:hAnsi="Times New Roman" w:cs="Times New Roman"/>
          <w:i/>
        </w:rPr>
        <w:t>et seq.</w:t>
      </w:r>
    </w:p>
  </w:footnote>
  <w:footnote w:id="193">
    <w:p w:rsidR="00970F6F" w:rsidRPr="00B215F2" w:rsidRDefault="00970F6F" w:rsidP="0012755A">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Para.71</w:t>
      </w:r>
    </w:p>
  </w:footnote>
  <w:footnote w:id="19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M. </w:t>
      </w:r>
      <w:proofErr w:type="spellStart"/>
      <w:r w:rsidRPr="00B215F2">
        <w:rPr>
          <w:rFonts w:ascii="Times New Roman" w:hAnsi="Times New Roman" w:cs="Times New Roman"/>
        </w:rPr>
        <w:t>Couchier</w:t>
      </w:r>
      <w:proofErr w:type="spellEnd"/>
      <w:r w:rsidRPr="00B215F2">
        <w:rPr>
          <w:rFonts w:ascii="Times New Roman" w:hAnsi="Times New Roman" w:cs="Times New Roman"/>
        </w:rPr>
        <w:t xml:space="preserve">, M. </w:t>
      </w:r>
      <w:proofErr w:type="spellStart"/>
      <w:r w:rsidRPr="00B215F2">
        <w:rPr>
          <w:rFonts w:ascii="Times New Roman" w:hAnsi="Times New Roman" w:cs="Times New Roman"/>
        </w:rPr>
        <w:t>Sakslin</w:t>
      </w:r>
      <w:proofErr w:type="spellEnd"/>
      <w:r w:rsidRPr="00B215F2">
        <w:rPr>
          <w:rFonts w:ascii="Times New Roman" w:hAnsi="Times New Roman" w:cs="Times New Roman"/>
        </w:rPr>
        <w:t xml:space="preserve">, S. </w:t>
      </w:r>
      <w:proofErr w:type="spellStart"/>
      <w:r w:rsidRPr="00B215F2">
        <w:rPr>
          <w:rFonts w:ascii="Times New Roman" w:hAnsi="Times New Roman" w:cs="Times New Roman"/>
        </w:rPr>
        <w:t>Giubboni</w:t>
      </w:r>
      <w:proofErr w:type="spellEnd"/>
      <w:r w:rsidRPr="00B215F2">
        <w:rPr>
          <w:rFonts w:ascii="Times New Roman" w:hAnsi="Times New Roman" w:cs="Times New Roman"/>
        </w:rPr>
        <w:t xml:space="preserve">, D. </w:t>
      </w:r>
      <w:proofErr w:type="spellStart"/>
      <w:r w:rsidR="003E1EFD">
        <w:rPr>
          <w:rFonts w:ascii="Times New Roman" w:hAnsi="Times New Roman" w:cs="Times New Roman"/>
        </w:rPr>
        <w:t>Martinsen</w:t>
      </w:r>
      <w:proofErr w:type="spellEnd"/>
      <w:r w:rsidR="003E1EFD">
        <w:rPr>
          <w:rFonts w:ascii="Times New Roman" w:hAnsi="Times New Roman" w:cs="Times New Roman"/>
        </w:rPr>
        <w:t xml:space="preserve"> and H. </w:t>
      </w:r>
      <w:proofErr w:type="spellStart"/>
      <w:r w:rsidR="003E1EFD">
        <w:rPr>
          <w:rFonts w:ascii="Times New Roman" w:hAnsi="Times New Roman" w:cs="Times New Roman"/>
        </w:rPr>
        <w:t>Verschuerenl</w:t>
      </w:r>
      <w:proofErr w:type="spellEnd"/>
      <w:r w:rsidR="003E1EFD">
        <w:rPr>
          <w:rFonts w:ascii="Times New Roman" w:hAnsi="Times New Roman" w:cs="Times New Roman"/>
        </w:rPr>
        <w:t xml:space="preserve">, </w:t>
      </w:r>
      <w:r w:rsidRPr="003E1EFD">
        <w:rPr>
          <w:rFonts w:ascii="Times New Roman" w:hAnsi="Times New Roman" w:cs="Times New Roman"/>
          <w:i/>
        </w:rPr>
        <w:t>The relationship and interaction between the coordination Regul</w:t>
      </w:r>
      <w:r w:rsidR="003E1EFD" w:rsidRPr="003E1EFD">
        <w:rPr>
          <w:rFonts w:ascii="Times New Roman" w:hAnsi="Times New Roman" w:cs="Times New Roman"/>
          <w:i/>
        </w:rPr>
        <w:t>ations and Directive 2004/38/EC</w:t>
      </w:r>
      <w:r w:rsidR="003E1EFD">
        <w:rPr>
          <w:rFonts w:ascii="Times New Roman" w:hAnsi="Times New Roman" w:cs="Times New Roman"/>
        </w:rPr>
        <w:t xml:space="preserve"> in</w:t>
      </w:r>
      <w:r w:rsidRPr="00B215F2">
        <w:rPr>
          <w:rFonts w:ascii="Times New Roman" w:hAnsi="Times New Roman" w:cs="Times New Roman"/>
        </w:rPr>
        <w:t xml:space="preserve"> </w:t>
      </w:r>
      <w:proofErr w:type="spellStart"/>
      <w:r w:rsidRPr="00B215F2">
        <w:rPr>
          <w:rFonts w:ascii="Times New Roman" w:hAnsi="Times New Roman" w:cs="Times New Roman"/>
          <w:i/>
        </w:rPr>
        <w:t>trESS</w:t>
      </w:r>
      <w:proofErr w:type="spellEnd"/>
      <w:r w:rsidRPr="00B215F2">
        <w:rPr>
          <w:rFonts w:ascii="Times New Roman" w:hAnsi="Times New Roman" w:cs="Times New Roman"/>
          <w:i/>
        </w:rPr>
        <w:t xml:space="preserve"> Think Tank Report</w:t>
      </w:r>
      <w:r w:rsidR="003E1EFD">
        <w:rPr>
          <w:rFonts w:ascii="Times New Roman" w:hAnsi="Times New Roman" w:cs="Times New Roman"/>
        </w:rPr>
        <w:t>, 2008</w:t>
      </w:r>
      <w:r w:rsidRPr="00B215F2">
        <w:rPr>
          <w:rFonts w:ascii="Times New Roman" w:hAnsi="Times New Roman" w:cs="Times New Roman"/>
        </w:rPr>
        <w:t>, Project DG EMPL/E/3, 15</w:t>
      </w:r>
    </w:p>
  </w:footnote>
  <w:footnote w:id="195">
    <w:p w:rsidR="00970F6F" w:rsidRPr="003E1EFD"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Brey</w:t>
      </w:r>
      <w:proofErr w:type="spellEnd"/>
      <w:r w:rsidR="003E1EFD">
        <w:rPr>
          <w:rFonts w:ascii="Times New Roman" w:hAnsi="Times New Roman" w:cs="Times New Roman"/>
          <w:i/>
        </w:rPr>
        <w:t xml:space="preserve">, </w:t>
      </w:r>
      <w:r w:rsidR="003E1EFD">
        <w:rPr>
          <w:rFonts w:ascii="Times New Roman" w:hAnsi="Times New Roman" w:cs="Times New Roman"/>
        </w:rPr>
        <w:t>cit.</w:t>
      </w:r>
    </w:p>
  </w:footnote>
  <w:footnote w:id="196">
    <w:p w:rsidR="00970F6F" w:rsidRPr="003E1EFD"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r w:rsidRPr="00B215F2">
        <w:rPr>
          <w:rFonts w:ascii="Times New Roman" w:hAnsi="Times New Roman" w:cs="Times New Roman"/>
          <w:i/>
        </w:rPr>
        <w:t>Martinez Sala</w:t>
      </w:r>
      <w:r w:rsidR="003E1EFD">
        <w:rPr>
          <w:rFonts w:ascii="Times New Roman" w:hAnsi="Times New Roman" w:cs="Times New Roman"/>
          <w:i/>
        </w:rPr>
        <w:t xml:space="preserve">, </w:t>
      </w:r>
      <w:r w:rsidR="003E1EFD">
        <w:rPr>
          <w:rFonts w:ascii="Times New Roman" w:hAnsi="Times New Roman" w:cs="Times New Roman"/>
        </w:rPr>
        <w:t>cit.</w:t>
      </w:r>
    </w:p>
  </w:footnote>
  <w:footnote w:id="197">
    <w:p w:rsidR="00970F6F" w:rsidRPr="003E1EFD"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Bidar</w:t>
      </w:r>
      <w:proofErr w:type="spellEnd"/>
      <w:r w:rsidR="003E1EFD">
        <w:rPr>
          <w:rFonts w:ascii="Times New Roman" w:hAnsi="Times New Roman" w:cs="Times New Roman"/>
          <w:i/>
        </w:rPr>
        <w:t xml:space="preserve">, </w:t>
      </w:r>
      <w:r w:rsidR="003E1EFD">
        <w:rPr>
          <w:rFonts w:ascii="Times New Roman" w:hAnsi="Times New Roman" w:cs="Times New Roman"/>
        </w:rPr>
        <w:t>cit.</w:t>
      </w:r>
    </w:p>
  </w:footnote>
  <w:footnote w:id="198">
    <w:p w:rsidR="00970F6F" w:rsidRPr="003E1EFD" w:rsidRDefault="00970F6F" w:rsidP="00C15AFD">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Brey</w:t>
      </w:r>
      <w:proofErr w:type="spellEnd"/>
      <w:r w:rsidRPr="00B215F2">
        <w:rPr>
          <w:rFonts w:ascii="Times New Roman" w:hAnsi="Times New Roman" w:cs="Times New Roman"/>
          <w:i/>
        </w:rPr>
        <w:t>,</w:t>
      </w:r>
      <w:r w:rsidR="003E1EFD">
        <w:rPr>
          <w:rFonts w:ascii="Times New Roman" w:hAnsi="Times New Roman" w:cs="Times New Roman"/>
          <w:i/>
        </w:rPr>
        <w:t xml:space="preserve"> </w:t>
      </w:r>
      <w:r w:rsidR="003E1EFD">
        <w:rPr>
          <w:rFonts w:ascii="Times New Roman" w:hAnsi="Times New Roman" w:cs="Times New Roman"/>
        </w:rPr>
        <w:t>cit.</w:t>
      </w:r>
      <w:r w:rsidRPr="00B215F2">
        <w:rPr>
          <w:rFonts w:ascii="Times New Roman" w:hAnsi="Times New Roman" w:cs="Times New Roman"/>
          <w:i/>
        </w:rPr>
        <w:t xml:space="preserve"> </w:t>
      </w:r>
      <w:r w:rsidR="003E1EFD">
        <w:rPr>
          <w:rFonts w:ascii="Times New Roman" w:hAnsi="Times New Roman" w:cs="Times New Roman"/>
        </w:rPr>
        <w:t>paras.44-45, citing</w:t>
      </w:r>
      <w:r w:rsidRPr="00B215F2">
        <w:rPr>
          <w:rFonts w:ascii="Times New Roman" w:hAnsi="Times New Roman" w:cs="Times New Roman"/>
        </w:rPr>
        <w:t xml:space="preserve"> </w:t>
      </w:r>
      <w:r w:rsidRPr="00B215F2">
        <w:rPr>
          <w:rFonts w:ascii="Times New Roman" w:hAnsi="Times New Roman" w:cs="Times New Roman"/>
          <w:i/>
        </w:rPr>
        <w:t>Martinez Sala</w:t>
      </w:r>
      <w:r w:rsidR="003E1EFD">
        <w:rPr>
          <w:rFonts w:ascii="Times New Roman" w:hAnsi="Times New Roman" w:cs="Times New Roman"/>
        </w:rPr>
        <w:t xml:space="preserve">; </w:t>
      </w:r>
      <w:proofErr w:type="spellStart"/>
      <w:r w:rsidRPr="00B215F2">
        <w:rPr>
          <w:rFonts w:ascii="Times New Roman" w:hAnsi="Times New Roman" w:cs="Times New Roman"/>
          <w:i/>
        </w:rPr>
        <w:t>Grzelczyk</w:t>
      </w:r>
      <w:proofErr w:type="spellEnd"/>
      <w:r w:rsidR="003E1EFD">
        <w:rPr>
          <w:rFonts w:ascii="Times New Roman" w:hAnsi="Times New Roman" w:cs="Times New Roman"/>
        </w:rPr>
        <w:t xml:space="preserve"> and</w:t>
      </w:r>
      <w:r w:rsidRPr="00B215F2">
        <w:rPr>
          <w:rFonts w:ascii="Times New Roman" w:hAnsi="Times New Roman" w:cs="Times New Roman"/>
        </w:rPr>
        <w:t xml:space="preserve"> </w:t>
      </w:r>
      <w:proofErr w:type="spellStart"/>
      <w:r w:rsidRPr="00B215F2">
        <w:rPr>
          <w:rFonts w:ascii="Times New Roman" w:hAnsi="Times New Roman" w:cs="Times New Roman"/>
          <w:i/>
        </w:rPr>
        <w:t>Trojani</w:t>
      </w:r>
      <w:proofErr w:type="spellEnd"/>
      <w:r w:rsidR="003E1EFD">
        <w:rPr>
          <w:rFonts w:ascii="Times New Roman" w:hAnsi="Times New Roman" w:cs="Times New Roman"/>
          <w:i/>
        </w:rPr>
        <w:t xml:space="preserve">, </w:t>
      </w:r>
      <w:r w:rsidR="003E1EFD">
        <w:rPr>
          <w:rFonts w:ascii="Times New Roman" w:hAnsi="Times New Roman" w:cs="Times New Roman"/>
        </w:rPr>
        <w:t>cit.</w:t>
      </w:r>
    </w:p>
  </w:footnote>
  <w:footnote w:id="199">
    <w:p w:rsidR="00970F6F" w:rsidRPr="00B215F2" w:rsidRDefault="00970F6F" w:rsidP="00C15AF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Para.54, citing </w:t>
      </w:r>
      <w:r w:rsidR="003E1EFD">
        <w:rPr>
          <w:rFonts w:ascii="Times New Roman" w:hAnsi="Times New Roman" w:cs="Times New Roman"/>
        </w:rPr>
        <w:t>Court of Justice, judgment of 21 December 2011,  case c</w:t>
      </w:r>
      <w:r w:rsidRPr="00B215F2">
        <w:rPr>
          <w:rFonts w:ascii="Times New Roman" w:hAnsi="Times New Roman" w:cs="Times New Roman"/>
        </w:rPr>
        <w:t xml:space="preserve">-425/10 </w:t>
      </w:r>
      <w:proofErr w:type="spellStart"/>
      <w:r w:rsidRPr="00B215F2">
        <w:rPr>
          <w:rFonts w:ascii="Times New Roman" w:hAnsi="Times New Roman" w:cs="Times New Roman"/>
          <w:i/>
        </w:rPr>
        <w:t>Ziolkowski</w:t>
      </w:r>
      <w:proofErr w:type="spellEnd"/>
      <w:r w:rsidRPr="00B215F2">
        <w:rPr>
          <w:rFonts w:ascii="Times New Roman" w:hAnsi="Times New Roman" w:cs="Times New Roman"/>
          <w:i/>
        </w:rPr>
        <w:t xml:space="preserve"> and </w:t>
      </w:r>
      <w:proofErr w:type="spellStart"/>
      <w:r w:rsidRPr="00B215F2">
        <w:rPr>
          <w:rFonts w:ascii="Times New Roman" w:hAnsi="Times New Roman" w:cs="Times New Roman"/>
          <w:i/>
        </w:rPr>
        <w:t>Szeja</w:t>
      </w:r>
      <w:proofErr w:type="spellEnd"/>
    </w:p>
  </w:footnote>
  <w:footnote w:id="200">
    <w:p w:rsidR="00970F6F" w:rsidRPr="00B215F2" w:rsidRDefault="00970F6F" w:rsidP="006401E3">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proofErr w:type="spellStart"/>
      <w:r w:rsidRPr="00B215F2">
        <w:rPr>
          <w:rFonts w:ascii="Times New Roman" w:hAnsi="Times New Roman" w:cs="Times New Roman"/>
          <w:i/>
        </w:rPr>
        <w:t>Tsakouridis</w:t>
      </w:r>
      <w:proofErr w:type="spellEnd"/>
      <w:r w:rsidR="003E1EFD">
        <w:rPr>
          <w:rFonts w:ascii="Times New Roman" w:hAnsi="Times New Roman" w:cs="Times New Roman"/>
          <w:i/>
        </w:rPr>
        <w:t xml:space="preserve">, </w:t>
      </w:r>
      <w:r w:rsidR="003E1EFD">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paras.30-32</w:t>
      </w:r>
    </w:p>
  </w:footnote>
  <w:footnote w:id="201">
    <w:p w:rsidR="00970F6F" w:rsidRPr="00B215F2" w:rsidRDefault="00970F6F" w:rsidP="00A86B9E">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3E1EFD">
        <w:rPr>
          <w:rFonts w:ascii="Times New Roman" w:hAnsi="Times New Roman" w:cs="Times New Roman"/>
        </w:rPr>
        <w:t xml:space="preserve">S. COUTTS, </w:t>
      </w:r>
      <w:r w:rsidR="003E1EFD">
        <w:rPr>
          <w:rFonts w:ascii="Times New Roman" w:hAnsi="Times New Roman" w:cs="Times New Roman"/>
          <w:i/>
        </w:rPr>
        <w:t>Probationary Citizenship</w:t>
      </w:r>
      <w:r w:rsidRPr="00B215F2">
        <w:rPr>
          <w:rFonts w:ascii="Times New Roman" w:hAnsi="Times New Roman" w:cs="Times New Roman"/>
        </w:rPr>
        <w:t>, p.531</w:t>
      </w:r>
    </w:p>
  </w:footnote>
  <w:footnote w:id="202">
    <w:p w:rsidR="00970F6F" w:rsidRPr="00B215F2" w:rsidRDefault="00970F6F" w:rsidP="006A053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For analysis of the broader reasons for a new judicial approach, see U. Š</w:t>
      </w:r>
      <w:r w:rsidR="003E1EFD">
        <w:rPr>
          <w:rFonts w:ascii="Times New Roman" w:hAnsi="Times New Roman" w:cs="Times New Roman"/>
        </w:rPr>
        <w:t>ANDL</w:t>
      </w:r>
      <w:r w:rsidRPr="00B215F2">
        <w:rPr>
          <w:rFonts w:ascii="Times New Roman" w:hAnsi="Times New Roman" w:cs="Times New Roman"/>
        </w:rPr>
        <w:t xml:space="preserve"> and S. S</w:t>
      </w:r>
      <w:r w:rsidR="003E1EFD">
        <w:rPr>
          <w:rFonts w:ascii="Times New Roman" w:hAnsi="Times New Roman" w:cs="Times New Roman"/>
        </w:rPr>
        <w:t xml:space="preserve">ANKARI, </w:t>
      </w:r>
      <w:r w:rsidRPr="003E1EFD">
        <w:rPr>
          <w:rFonts w:ascii="Times New Roman" w:hAnsi="Times New Roman" w:cs="Times New Roman"/>
          <w:i/>
        </w:rPr>
        <w:t>Why Did the Ci</w:t>
      </w:r>
      <w:r w:rsidR="003E1EFD" w:rsidRPr="003E1EFD">
        <w:rPr>
          <w:rFonts w:ascii="Times New Roman" w:hAnsi="Times New Roman" w:cs="Times New Roman"/>
          <w:i/>
        </w:rPr>
        <w:t>tizenship Jurisprudence Change?</w:t>
      </w:r>
      <w:r w:rsidR="003E1EFD">
        <w:rPr>
          <w:rFonts w:ascii="Times New Roman" w:hAnsi="Times New Roman" w:cs="Times New Roman"/>
        </w:rPr>
        <w:t xml:space="preserve"> in D.THYM, </w:t>
      </w:r>
      <w:r w:rsidR="003E1EFD">
        <w:rPr>
          <w:rFonts w:ascii="Times New Roman" w:hAnsi="Times New Roman" w:cs="Times New Roman"/>
          <w:i/>
        </w:rPr>
        <w:t>Questioning EU Citizenship</w:t>
      </w:r>
      <w:r w:rsidR="003E1EFD">
        <w:rPr>
          <w:rFonts w:ascii="Times New Roman" w:hAnsi="Times New Roman" w:cs="Times New Roman"/>
        </w:rPr>
        <w:t xml:space="preserve"> , </w:t>
      </w:r>
      <w:r w:rsidRPr="00B215F2">
        <w:rPr>
          <w:rFonts w:ascii="Times New Roman" w:hAnsi="Times New Roman" w:cs="Times New Roman"/>
        </w:rPr>
        <w:t>ch.5</w:t>
      </w:r>
    </w:p>
  </w:footnote>
  <w:footnote w:id="203">
    <w:p w:rsidR="00970F6F" w:rsidRPr="00B215F2" w:rsidRDefault="00970F6F" w:rsidP="00B05013">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 O’</w:t>
      </w:r>
      <w:r w:rsidR="003E1EFD">
        <w:rPr>
          <w:rFonts w:ascii="Times New Roman" w:hAnsi="Times New Roman" w:cs="Times New Roman"/>
        </w:rPr>
        <w:t xml:space="preserve">BRIEN, </w:t>
      </w:r>
      <w:r w:rsidRPr="00B215F2">
        <w:rPr>
          <w:rFonts w:ascii="Times New Roman" w:hAnsi="Times New Roman" w:cs="Times New Roman"/>
        </w:rPr>
        <w:t>I Trade therefore I Am: Legal p</w:t>
      </w:r>
      <w:r w:rsidR="003E1EFD">
        <w:rPr>
          <w:rFonts w:ascii="Times New Roman" w:hAnsi="Times New Roman" w:cs="Times New Roman"/>
        </w:rPr>
        <w:t xml:space="preserve">ersonhood in the European Union in </w:t>
      </w:r>
      <w:r w:rsidR="003E1EFD">
        <w:rPr>
          <w:rFonts w:ascii="Times New Roman" w:hAnsi="Times New Roman" w:cs="Times New Roman"/>
          <w:i/>
        </w:rPr>
        <w:t xml:space="preserve">Common Market Law Review, </w:t>
      </w:r>
      <w:r w:rsidR="003E1EFD">
        <w:rPr>
          <w:rFonts w:ascii="Times New Roman" w:hAnsi="Times New Roman" w:cs="Times New Roman"/>
        </w:rPr>
        <w:t>2013, p.</w:t>
      </w:r>
      <w:r w:rsidRPr="00B215F2">
        <w:rPr>
          <w:rFonts w:ascii="Times New Roman" w:hAnsi="Times New Roman" w:cs="Times New Roman"/>
        </w:rPr>
        <w:t>1643</w:t>
      </w:r>
      <w:r w:rsidR="003E1EFD">
        <w:rPr>
          <w:rFonts w:ascii="Times New Roman" w:hAnsi="Times New Roman" w:cs="Times New Roman"/>
        </w:rPr>
        <w:t xml:space="preserve"> </w:t>
      </w:r>
      <w:r w:rsidR="003E1EFD">
        <w:rPr>
          <w:rFonts w:ascii="Times New Roman" w:hAnsi="Times New Roman" w:cs="Times New Roman"/>
          <w:i/>
        </w:rPr>
        <w:t xml:space="preserve">et seq., </w:t>
      </w:r>
      <w:r w:rsidR="003E1EFD">
        <w:rPr>
          <w:rFonts w:ascii="Times New Roman" w:hAnsi="Times New Roman" w:cs="Times New Roman"/>
        </w:rPr>
        <w:t>p.</w:t>
      </w:r>
      <w:r w:rsidRPr="00B215F2">
        <w:rPr>
          <w:rFonts w:ascii="Times New Roman" w:hAnsi="Times New Roman" w:cs="Times New Roman"/>
        </w:rPr>
        <w:t>1649</w:t>
      </w:r>
    </w:p>
  </w:footnote>
  <w:footnote w:id="204">
    <w:p w:rsidR="00970F6F" w:rsidRPr="003E1EFD"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proofErr w:type="spellStart"/>
      <w:r w:rsidRPr="00B215F2">
        <w:rPr>
          <w:rFonts w:ascii="Times New Roman" w:hAnsi="Times New Roman" w:cs="Times New Roman"/>
          <w:i/>
        </w:rPr>
        <w:t>Dano</w:t>
      </w:r>
      <w:proofErr w:type="spellEnd"/>
      <w:r w:rsidR="003E1EFD">
        <w:rPr>
          <w:rFonts w:ascii="Times New Roman" w:hAnsi="Times New Roman" w:cs="Times New Roman"/>
          <w:i/>
        </w:rPr>
        <w:t xml:space="preserve">, </w:t>
      </w:r>
      <w:r w:rsidR="003E1EFD">
        <w:rPr>
          <w:rFonts w:ascii="Times New Roman" w:hAnsi="Times New Roman" w:cs="Times New Roman"/>
        </w:rPr>
        <w:t>cit.</w:t>
      </w:r>
      <w:r w:rsidRPr="00B215F2">
        <w:rPr>
          <w:rFonts w:ascii="Times New Roman" w:hAnsi="Times New Roman" w:cs="Times New Roman"/>
        </w:rPr>
        <w:t xml:space="preserve">; </w:t>
      </w:r>
      <w:r w:rsidRPr="00B215F2">
        <w:rPr>
          <w:rFonts w:ascii="Times New Roman" w:hAnsi="Times New Roman" w:cs="Times New Roman"/>
          <w:i/>
        </w:rPr>
        <w:t>Commission v UK</w:t>
      </w:r>
      <w:r w:rsidR="003E1EFD">
        <w:rPr>
          <w:rFonts w:ascii="Times New Roman" w:hAnsi="Times New Roman" w:cs="Times New Roman"/>
          <w:i/>
        </w:rPr>
        <w:t xml:space="preserve">, </w:t>
      </w:r>
      <w:r w:rsidR="003E1EFD">
        <w:rPr>
          <w:rFonts w:ascii="Times New Roman" w:hAnsi="Times New Roman" w:cs="Times New Roman"/>
        </w:rPr>
        <w:t>cit.</w:t>
      </w:r>
    </w:p>
  </w:footnote>
  <w:footnote w:id="205">
    <w:p w:rsidR="00970F6F" w:rsidRPr="00B215F2" w:rsidRDefault="00970F6F" w:rsidP="0063239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the dissenting judgment of Lord Walker in</w:t>
      </w:r>
      <w:r w:rsidR="003E1EFD">
        <w:rPr>
          <w:rFonts w:ascii="Times New Roman" w:hAnsi="Times New Roman" w:cs="Times New Roman"/>
        </w:rPr>
        <w:t xml:space="preserve"> the UK Supreme Court, judgment of 16 March 2011,</w:t>
      </w:r>
      <w:r w:rsidRPr="00B215F2">
        <w:rPr>
          <w:rFonts w:ascii="Times New Roman" w:hAnsi="Times New Roman" w:cs="Times New Roman"/>
        </w:rPr>
        <w:t xml:space="preserve"> </w:t>
      </w:r>
      <w:proofErr w:type="spellStart"/>
      <w:r w:rsidRPr="00B215F2">
        <w:rPr>
          <w:rFonts w:ascii="Times New Roman" w:hAnsi="Times New Roman" w:cs="Times New Roman"/>
          <w:i/>
        </w:rPr>
        <w:t>Patmalniece</w:t>
      </w:r>
      <w:proofErr w:type="spellEnd"/>
      <w:r w:rsidRPr="00B215F2">
        <w:rPr>
          <w:rFonts w:ascii="Times New Roman" w:hAnsi="Times New Roman" w:cs="Times New Roman"/>
        </w:rPr>
        <w:t>, who concluded that this rendered the test directly discriminatory.</w:t>
      </w:r>
    </w:p>
  </w:footnote>
  <w:footnote w:id="20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Of course, host State nationals can still face measures that indicate that they are not considered to be fully integrated into society, such as loss of voting rights.</w:t>
      </w:r>
    </w:p>
  </w:footnote>
  <w:footnote w:id="207">
    <w:p w:rsidR="00970F6F" w:rsidRPr="00B215F2" w:rsidRDefault="00970F6F" w:rsidP="00D11E0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3E1EFD">
        <w:rPr>
          <w:rFonts w:ascii="Times New Roman" w:hAnsi="Times New Roman" w:cs="Times New Roman"/>
        </w:rPr>
        <w:t xml:space="preserve">S. COUTSS, </w:t>
      </w:r>
      <w:r w:rsidR="003E1EFD">
        <w:rPr>
          <w:rFonts w:ascii="Times New Roman" w:hAnsi="Times New Roman" w:cs="Times New Roman"/>
          <w:i/>
        </w:rPr>
        <w:t>Probationary Citizenship,</w:t>
      </w:r>
      <w:r w:rsidRPr="00B215F2">
        <w:rPr>
          <w:rFonts w:ascii="Times New Roman" w:hAnsi="Times New Roman" w:cs="Times New Roman"/>
        </w:rPr>
        <w:t xml:space="preserve"> p.539</w:t>
      </w:r>
    </w:p>
  </w:footnote>
  <w:footnote w:id="20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Recently, in</w:t>
      </w:r>
      <w:r w:rsidR="003E1EFD">
        <w:rPr>
          <w:rFonts w:ascii="Times New Roman" w:hAnsi="Times New Roman" w:cs="Times New Roman"/>
        </w:rPr>
        <w:t xml:space="preserve"> </w:t>
      </w:r>
      <w:r w:rsidR="003E1EFD">
        <w:rPr>
          <w:rFonts w:ascii="Times New Roman" w:hAnsi="Times New Roman" w:cs="Times New Roman"/>
          <w:i/>
        </w:rPr>
        <w:t xml:space="preserve">B, </w:t>
      </w:r>
      <w:r w:rsidR="003E1EFD">
        <w:rPr>
          <w:rFonts w:ascii="Times New Roman" w:hAnsi="Times New Roman" w:cs="Times New Roman"/>
        </w:rPr>
        <w:t>cit.</w:t>
      </w:r>
      <w:r w:rsidRPr="00B215F2">
        <w:rPr>
          <w:rFonts w:ascii="Times New Roman" w:hAnsi="Times New Roman" w:cs="Times New Roman"/>
        </w:rPr>
        <w:t>, the Court required an individual assessment of whether integrative links had been broken, particularly where a non-national EU citizen had lived in their host State from a young age and for over twenty years prior to a custodial sentence. However, it remains possible for imprisonment to break the integrative links</w:t>
      </w:r>
      <w:r>
        <w:rPr>
          <w:rFonts w:ascii="Times New Roman" w:hAnsi="Times New Roman" w:cs="Times New Roman"/>
        </w:rPr>
        <w:t>.</w:t>
      </w:r>
      <w:r w:rsidRPr="00B215F2">
        <w:rPr>
          <w:rFonts w:ascii="Times New Roman" w:hAnsi="Times New Roman" w:cs="Times New Roman"/>
        </w:rPr>
        <w:t xml:space="preserve"> </w:t>
      </w:r>
    </w:p>
  </w:footnote>
  <w:footnote w:id="209">
    <w:p w:rsidR="00970F6F" w:rsidRPr="003E1EFD" w:rsidRDefault="00970F6F" w:rsidP="00470AD5">
      <w:pPr>
        <w:pStyle w:val="FootnoteText"/>
        <w:rPr>
          <w:rFonts w:ascii="Times New Roman" w:hAnsi="Times New Roman" w:cs="Times New Roman"/>
        </w:rPr>
      </w:pPr>
      <w:r w:rsidRPr="00B215F2">
        <w:rPr>
          <w:rStyle w:val="FootnoteReference"/>
          <w:rFonts w:ascii="Times New Roman" w:hAnsi="Times New Roman" w:cs="Times New Roman"/>
        </w:rPr>
        <w:footnoteRef/>
      </w:r>
      <w:r w:rsidR="003E1EFD">
        <w:rPr>
          <w:rFonts w:ascii="Times New Roman" w:hAnsi="Times New Roman" w:cs="Times New Roman"/>
        </w:rPr>
        <w:t xml:space="preserve"> </w:t>
      </w:r>
      <w:r w:rsidRPr="00B215F2">
        <w:rPr>
          <w:rFonts w:ascii="Times New Roman" w:hAnsi="Times New Roman" w:cs="Times New Roman"/>
          <w:i/>
        </w:rPr>
        <w:t>Commission v Netherlands</w:t>
      </w:r>
      <w:r w:rsidR="003E1EFD">
        <w:rPr>
          <w:rFonts w:ascii="Times New Roman" w:hAnsi="Times New Roman" w:cs="Times New Roman"/>
          <w:i/>
        </w:rPr>
        <w:t xml:space="preserve">, </w:t>
      </w:r>
      <w:r w:rsidR="003E1EFD">
        <w:rPr>
          <w:rFonts w:ascii="Times New Roman" w:hAnsi="Times New Roman" w:cs="Times New Roman"/>
        </w:rPr>
        <w:t>cit.</w:t>
      </w:r>
    </w:p>
  </w:footnote>
  <w:footnote w:id="21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3E1EFD">
        <w:rPr>
          <w:rFonts w:ascii="Times New Roman" w:hAnsi="Times New Roman" w:cs="Times New Roman"/>
        </w:rPr>
        <w:t xml:space="preserve">C. </w:t>
      </w:r>
      <w:r w:rsidRPr="00B215F2">
        <w:rPr>
          <w:rFonts w:ascii="Times New Roman" w:hAnsi="Times New Roman" w:cs="Times New Roman"/>
        </w:rPr>
        <w:t>O’</w:t>
      </w:r>
      <w:r w:rsidR="003E1EFD">
        <w:rPr>
          <w:rFonts w:ascii="Times New Roman" w:hAnsi="Times New Roman" w:cs="Times New Roman"/>
        </w:rPr>
        <w:t>BRIEN</w:t>
      </w:r>
      <w:r w:rsidRPr="00B215F2">
        <w:rPr>
          <w:rFonts w:ascii="Times New Roman" w:hAnsi="Times New Roman" w:cs="Times New Roman"/>
        </w:rPr>
        <w:t>,</w:t>
      </w:r>
      <w:r w:rsidR="003E1EFD">
        <w:rPr>
          <w:rFonts w:ascii="Times New Roman" w:hAnsi="Times New Roman" w:cs="Times New Roman"/>
        </w:rPr>
        <w:t xml:space="preserve"> </w:t>
      </w:r>
      <w:r w:rsidR="003E1EFD">
        <w:rPr>
          <w:rFonts w:ascii="Times New Roman" w:hAnsi="Times New Roman" w:cs="Times New Roman"/>
          <w:i/>
        </w:rPr>
        <w:t>Unity in Adversity</w:t>
      </w:r>
      <w:r w:rsidRPr="00B215F2">
        <w:rPr>
          <w:rFonts w:ascii="Times New Roman" w:hAnsi="Times New Roman" w:cs="Times New Roman"/>
        </w:rPr>
        <w:t>, p.94, citing L. B</w:t>
      </w:r>
      <w:r w:rsidR="003E1EFD">
        <w:rPr>
          <w:rFonts w:ascii="Times New Roman" w:hAnsi="Times New Roman" w:cs="Times New Roman"/>
        </w:rPr>
        <w:t>UCKNER</w:t>
      </w:r>
      <w:r w:rsidRPr="00B215F2">
        <w:rPr>
          <w:rFonts w:ascii="Times New Roman" w:hAnsi="Times New Roman" w:cs="Times New Roman"/>
        </w:rPr>
        <w:t xml:space="preserve"> and S. Y</w:t>
      </w:r>
      <w:r w:rsidR="003E1EFD">
        <w:rPr>
          <w:rFonts w:ascii="Times New Roman" w:hAnsi="Times New Roman" w:cs="Times New Roman"/>
        </w:rPr>
        <w:t>EANDLE</w:t>
      </w:r>
      <w:r w:rsidRPr="00B215F2">
        <w:rPr>
          <w:rFonts w:ascii="Times New Roman" w:hAnsi="Times New Roman" w:cs="Times New Roman"/>
        </w:rPr>
        <w:t xml:space="preserve">, </w:t>
      </w:r>
      <w:r w:rsidRPr="00B215F2">
        <w:rPr>
          <w:rFonts w:ascii="Times New Roman" w:hAnsi="Times New Roman" w:cs="Times New Roman"/>
          <w:i/>
        </w:rPr>
        <w:t>Valuing Carers 2015: The Rising Value of Carers’ Support</w:t>
      </w:r>
      <w:r w:rsidR="003E1EFD">
        <w:rPr>
          <w:rFonts w:ascii="Times New Roman" w:hAnsi="Times New Roman" w:cs="Times New Roman"/>
        </w:rPr>
        <w:t>, London, Carers UK, 2015</w:t>
      </w:r>
      <w:r w:rsidRPr="00B215F2">
        <w:rPr>
          <w:rFonts w:ascii="Times New Roman" w:hAnsi="Times New Roman" w:cs="Times New Roman"/>
        </w:rPr>
        <w:t>,</w:t>
      </w:r>
      <w:r w:rsidR="003E1EFD">
        <w:rPr>
          <w:rFonts w:ascii="Times New Roman" w:hAnsi="Times New Roman" w:cs="Times New Roman"/>
        </w:rPr>
        <w:t xml:space="preserve"> </w:t>
      </w:r>
      <w:r w:rsidRPr="00B215F2">
        <w:rPr>
          <w:rFonts w:ascii="Times New Roman" w:hAnsi="Times New Roman" w:cs="Times New Roman"/>
        </w:rPr>
        <w:t xml:space="preserve"> p.4</w:t>
      </w:r>
    </w:p>
  </w:footnote>
  <w:footnote w:id="211">
    <w:p w:rsidR="00970F6F" w:rsidRPr="00B215F2" w:rsidRDefault="00970F6F" w:rsidP="0059301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K. P</w:t>
      </w:r>
      <w:r w:rsidR="003E1EFD">
        <w:rPr>
          <w:rFonts w:ascii="Times New Roman" w:hAnsi="Times New Roman" w:cs="Times New Roman"/>
        </w:rPr>
        <w:t xml:space="preserve">UTTICK, </w:t>
      </w:r>
      <w:r w:rsidRPr="00B215F2">
        <w:rPr>
          <w:rFonts w:ascii="Times New Roman" w:hAnsi="Times New Roman" w:cs="Times New Roman"/>
        </w:rPr>
        <w:t xml:space="preserve">EEA Workers’ Free Movement and Social Rights after </w:t>
      </w:r>
      <w:proofErr w:type="spellStart"/>
      <w:r w:rsidRPr="00B215F2">
        <w:rPr>
          <w:rFonts w:ascii="Times New Roman" w:hAnsi="Times New Roman" w:cs="Times New Roman"/>
          <w:i/>
        </w:rPr>
        <w:t>Dano</w:t>
      </w:r>
      <w:proofErr w:type="spellEnd"/>
      <w:r w:rsidRPr="00B215F2">
        <w:rPr>
          <w:rFonts w:ascii="Times New Roman" w:hAnsi="Times New Roman" w:cs="Times New Roman"/>
          <w:i/>
        </w:rPr>
        <w:t xml:space="preserve"> </w:t>
      </w:r>
      <w:r w:rsidRPr="00B215F2">
        <w:rPr>
          <w:rFonts w:ascii="Times New Roman" w:hAnsi="Times New Roman" w:cs="Times New Roman"/>
        </w:rPr>
        <w:t xml:space="preserve">and </w:t>
      </w:r>
      <w:r w:rsidRPr="00B215F2">
        <w:rPr>
          <w:rFonts w:ascii="Times New Roman" w:hAnsi="Times New Roman" w:cs="Times New Roman"/>
          <w:i/>
        </w:rPr>
        <w:t>St Prix</w:t>
      </w:r>
      <w:r w:rsidRPr="00B215F2">
        <w:rPr>
          <w:rFonts w:ascii="Times New Roman" w:hAnsi="Times New Roman" w:cs="Times New Roman"/>
        </w:rPr>
        <w:t>: Is a Pandora’s Box of New Economic Integration and ‘Cont</w:t>
      </w:r>
      <w:r w:rsidR="003E1EFD">
        <w:rPr>
          <w:rFonts w:ascii="Times New Roman" w:hAnsi="Times New Roman" w:cs="Times New Roman"/>
        </w:rPr>
        <w:t xml:space="preserve">ribution’ Requirements Opening? In </w:t>
      </w:r>
      <w:r w:rsidR="003E1EFD">
        <w:rPr>
          <w:rFonts w:ascii="Times New Roman" w:hAnsi="Times New Roman" w:cs="Times New Roman"/>
          <w:i/>
        </w:rPr>
        <w:t>Journal of Social Welfare and Family Law</w:t>
      </w:r>
      <w:r w:rsidR="003E1EFD">
        <w:rPr>
          <w:rFonts w:ascii="Times New Roman" w:hAnsi="Times New Roman" w:cs="Times New Roman"/>
        </w:rPr>
        <w:t xml:space="preserve">, 2015, p.253 </w:t>
      </w:r>
      <w:r w:rsidR="003E1EFD">
        <w:rPr>
          <w:rFonts w:ascii="Times New Roman" w:hAnsi="Times New Roman" w:cs="Times New Roman"/>
          <w:i/>
        </w:rPr>
        <w:t xml:space="preserve">et </w:t>
      </w:r>
      <w:proofErr w:type="spellStart"/>
      <w:r w:rsidR="003E1EFD">
        <w:rPr>
          <w:rFonts w:ascii="Times New Roman" w:hAnsi="Times New Roman" w:cs="Times New Roman"/>
          <w:i/>
        </w:rPr>
        <w:t>seq</w:t>
      </w:r>
      <w:proofErr w:type="spellEnd"/>
      <w:r w:rsidR="003E1EFD">
        <w:rPr>
          <w:rFonts w:ascii="Times New Roman" w:hAnsi="Times New Roman" w:cs="Times New Roman"/>
          <w:i/>
        </w:rPr>
        <w:t xml:space="preserve">, </w:t>
      </w:r>
      <w:r w:rsidR="003E1EFD">
        <w:rPr>
          <w:rFonts w:ascii="Times New Roman" w:hAnsi="Times New Roman" w:cs="Times New Roman"/>
        </w:rPr>
        <w:t>p.253</w:t>
      </w:r>
    </w:p>
  </w:footnote>
  <w:footnote w:id="212">
    <w:p w:rsidR="00970F6F" w:rsidRPr="00B215F2" w:rsidRDefault="00970F6F" w:rsidP="0059301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3E1EFD">
        <w:rPr>
          <w:rFonts w:ascii="Times New Roman" w:hAnsi="Times New Roman" w:cs="Times New Roman"/>
        </w:rPr>
        <w:t xml:space="preserve">L. </w:t>
      </w:r>
      <w:r w:rsidRPr="00B215F2">
        <w:rPr>
          <w:rFonts w:ascii="Times New Roman" w:hAnsi="Times New Roman" w:cs="Times New Roman"/>
        </w:rPr>
        <w:t>M</w:t>
      </w:r>
      <w:r w:rsidR="003E1EFD">
        <w:rPr>
          <w:rFonts w:ascii="Times New Roman" w:hAnsi="Times New Roman" w:cs="Times New Roman"/>
        </w:rPr>
        <w:t>ANCANO</w:t>
      </w:r>
      <w:r w:rsidRPr="00B215F2">
        <w:rPr>
          <w:rFonts w:ascii="Times New Roman" w:hAnsi="Times New Roman" w:cs="Times New Roman"/>
        </w:rPr>
        <w:t xml:space="preserve">, </w:t>
      </w:r>
      <w:r w:rsidR="002E6BA4">
        <w:rPr>
          <w:rFonts w:ascii="Times New Roman" w:hAnsi="Times New Roman" w:cs="Times New Roman"/>
          <w:i/>
        </w:rPr>
        <w:t>Place for Prisoners?</w:t>
      </w:r>
      <w:r w:rsidRPr="00B215F2">
        <w:rPr>
          <w:rFonts w:ascii="Times New Roman" w:hAnsi="Times New Roman" w:cs="Times New Roman"/>
        </w:rPr>
        <w:t>, argues that social rehabilitation is a general principle of EU law, p.742</w:t>
      </w:r>
    </w:p>
  </w:footnote>
  <w:footnote w:id="21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B</w:t>
      </w:r>
      <w:r w:rsidRPr="00B215F2">
        <w:rPr>
          <w:rFonts w:ascii="Times New Roman" w:hAnsi="Times New Roman" w:cs="Times New Roman"/>
        </w:rPr>
        <w:t>,</w:t>
      </w:r>
      <w:r w:rsidR="002E6BA4">
        <w:rPr>
          <w:rFonts w:ascii="Times New Roman" w:hAnsi="Times New Roman" w:cs="Times New Roman"/>
        </w:rPr>
        <w:t xml:space="preserve"> cit.,</w:t>
      </w:r>
      <w:r w:rsidRPr="00B215F2">
        <w:rPr>
          <w:rFonts w:ascii="Times New Roman" w:hAnsi="Times New Roman" w:cs="Times New Roman"/>
        </w:rPr>
        <w:t xml:space="preserve"> para.74</w:t>
      </w:r>
    </w:p>
  </w:footnote>
  <w:footnote w:id="21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2E6BA4">
        <w:rPr>
          <w:rFonts w:ascii="Times New Roman" w:hAnsi="Times New Roman" w:cs="Times New Roman"/>
        </w:rPr>
        <w:t>Court of Justice, judgment of 19 June 2014, case c</w:t>
      </w:r>
      <w:r w:rsidRPr="00B215F2">
        <w:rPr>
          <w:rFonts w:ascii="Times New Roman" w:hAnsi="Times New Roman" w:cs="Times New Roman"/>
        </w:rPr>
        <w:t xml:space="preserve">-507/12 </w:t>
      </w:r>
      <w:r w:rsidRPr="00B215F2">
        <w:rPr>
          <w:rFonts w:ascii="Times New Roman" w:hAnsi="Times New Roman" w:cs="Times New Roman"/>
          <w:i/>
        </w:rPr>
        <w:t>Jessy Saint Prix</w:t>
      </w:r>
    </w:p>
  </w:footnote>
  <w:footnote w:id="21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 C</w:t>
      </w:r>
      <w:r w:rsidR="002E6BA4">
        <w:rPr>
          <w:rFonts w:ascii="Times New Roman" w:hAnsi="Times New Roman" w:cs="Times New Roman"/>
        </w:rPr>
        <w:t xml:space="preserve">URRIE, </w:t>
      </w:r>
      <w:r w:rsidRPr="002E6BA4">
        <w:rPr>
          <w:rFonts w:ascii="Times New Roman" w:hAnsi="Times New Roman" w:cs="Times New Roman"/>
          <w:i/>
        </w:rPr>
        <w:t>Pregnancy-related employment breaks, the gender dynamics of free movement law and curtailed citizenship: Jessy Saint Prix</w:t>
      </w:r>
      <w:r w:rsidRPr="00B215F2">
        <w:rPr>
          <w:rFonts w:ascii="Times New Roman" w:hAnsi="Times New Roman" w:cs="Times New Roman"/>
        </w:rPr>
        <w:t>,</w:t>
      </w:r>
      <w:r w:rsidR="002E6BA4">
        <w:rPr>
          <w:rFonts w:ascii="Times New Roman" w:hAnsi="Times New Roman" w:cs="Times New Roman"/>
        </w:rPr>
        <w:t xml:space="preserve"> in </w:t>
      </w:r>
      <w:r w:rsidR="002E6BA4">
        <w:rPr>
          <w:rFonts w:ascii="Times New Roman" w:hAnsi="Times New Roman" w:cs="Times New Roman"/>
          <w:i/>
        </w:rPr>
        <w:t xml:space="preserve">Common Market Law Review, </w:t>
      </w:r>
      <w:r w:rsidR="002E6BA4">
        <w:rPr>
          <w:rFonts w:ascii="Times New Roman" w:hAnsi="Times New Roman" w:cs="Times New Roman"/>
        </w:rPr>
        <w:t>2016, p.</w:t>
      </w:r>
      <w:r w:rsidRPr="00B215F2">
        <w:rPr>
          <w:rFonts w:ascii="Times New Roman" w:hAnsi="Times New Roman" w:cs="Times New Roman"/>
        </w:rPr>
        <w:t>543</w:t>
      </w:r>
      <w:r w:rsidR="002E6BA4">
        <w:rPr>
          <w:rFonts w:ascii="Times New Roman" w:hAnsi="Times New Roman" w:cs="Times New Roman"/>
        </w:rPr>
        <w:t xml:space="preserve"> </w:t>
      </w:r>
      <w:r w:rsidR="002E6BA4">
        <w:rPr>
          <w:rFonts w:ascii="Times New Roman" w:hAnsi="Times New Roman" w:cs="Times New Roman"/>
          <w:i/>
        </w:rPr>
        <w:t xml:space="preserve">et seq., </w:t>
      </w:r>
      <w:r w:rsidR="002E6BA4">
        <w:rPr>
          <w:rFonts w:ascii="Times New Roman" w:hAnsi="Times New Roman" w:cs="Times New Roman"/>
        </w:rPr>
        <w:t>p.</w:t>
      </w:r>
      <w:r w:rsidRPr="00B215F2">
        <w:rPr>
          <w:rFonts w:ascii="Times New Roman" w:hAnsi="Times New Roman" w:cs="Times New Roman"/>
        </w:rPr>
        <w:t>555</w:t>
      </w:r>
    </w:p>
  </w:footnote>
  <w:footnote w:id="21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215F2">
        <w:rPr>
          <w:rFonts w:ascii="Times New Roman" w:hAnsi="Times New Roman" w:cs="Times New Roman"/>
          <w:i/>
        </w:rPr>
        <w:t>Ibid</w:t>
      </w:r>
    </w:p>
  </w:footnote>
  <w:footnote w:id="217">
    <w:p w:rsidR="00970F6F" w:rsidRPr="002E6BA4"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proofErr w:type="spellStart"/>
      <w:r w:rsidRPr="00B215F2">
        <w:rPr>
          <w:rFonts w:ascii="Times New Roman" w:hAnsi="Times New Roman" w:cs="Times New Roman"/>
          <w:i/>
        </w:rPr>
        <w:t>Orfanopoulos</w:t>
      </w:r>
      <w:proofErr w:type="spellEnd"/>
      <w:r w:rsidR="002E6BA4">
        <w:rPr>
          <w:rFonts w:ascii="Times New Roman" w:hAnsi="Times New Roman" w:cs="Times New Roman"/>
          <w:i/>
        </w:rPr>
        <w:t xml:space="preserve">, </w:t>
      </w:r>
      <w:r w:rsidR="002E6BA4">
        <w:rPr>
          <w:rFonts w:ascii="Times New Roman" w:hAnsi="Times New Roman" w:cs="Times New Roman"/>
        </w:rPr>
        <w:t>cit.</w:t>
      </w:r>
    </w:p>
  </w:footnote>
  <w:footnote w:id="21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r w:rsidRPr="00B215F2">
        <w:rPr>
          <w:rFonts w:ascii="Times New Roman" w:hAnsi="Times New Roman" w:cs="Times New Roman"/>
          <w:i/>
        </w:rPr>
        <w:t>Jessy Saint Prix,</w:t>
      </w:r>
      <w:r w:rsidR="002E6BA4">
        <w:rPr>
          <w:rFonts w:ascii="Times New Roman" w:hAnsi="Times New Roman" w:cs="Times New Roman"/>
          <w:i/>
        </w:rPr>
        <w:t xml:space="preserve"> </w:t>
      </w:r>
      <w:r w:rsidR="002E6BA4">
        <w:rPr>
          <w:rFonts w:ascii="Times New Roman" w:hAnsi="Times New Roman" w:cs="Times New Roman"/>
        </w:rPr>
        <w:t>cit.,</w:t>
      </w:r>
      <w:r w:rsidRPr="00B215F2">
        <w:rPr>
          <w:rFonts w:ascii="Times New Roman" w:hAnsi="Times New Roman" w:cs="Times New Roman"/>
          <w:i/>
        </w:rPr>
        <w:t xml:space="preserve"> </w:t>
      </w:r>
      <w:r w:rsidRPr="00B215F2">
        <w:rPr>
          <w:rFonts w:ascii="Times New Roman" w:hAnsi="Times New Roman" w:cs="Times New Roman"/>
        </w:rPr>
        <w:t>para.41</w:t>
      </w:r>
    </w:p>
  </w:footnote>
  <w:footnote w:id="219">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S. CURRIE</w:t>
      </w:r>
      <w:r w:rsidRPr="00B215F2">
        <w:rPr>
          <w:rFonts w:ascii="Times New Roman" w:hAnsi="Times New Roman" w:cs="Times New Roman"/>
        </w:rPr>
        <w:t>,</w:t>
      </w:r>
      <w:r w:rsidR="002E6BA4">
        <w:rPr>
          <w:rFonts w:ascii="Times New Roman" w:hAnsi="Times New Roman" w:cs="Times New Roman"/>
        </w:rPr>
        <w:t xml:space="preserve"> </w:t>
      </w:r>
      <w:r w:rsidR="002E6BA4">
        <w:rPr>
          <w:rFonts w:ascii="Times New Roman" w:hAnsi="Times New Roman" w:cs="Times New Roman"/>
          <w:i/>
        </w:rPr>
        <w:t>Pregnancy-related Employment Breaks,</w:t>
      </w:r>
      <w:r w:rsidRPr="00B215F2">
        <w:rPr>
          <w:rFonts w:ascii="Times New Roman" w:hAnsi="Times New Roman" w:cs="Times New Roman"/>
        </w:rPr>
        <w:t xml:space="preserve"> p.561</w:t>
      </w:r>
    </w:p>
  </w:footnote>
  <w:footnote w:id="220">
    <w:p w:rsidR="00970F6F" w:rsidRPr="00B215F2" w:rsidRDefault="00970F6F" w:rsidP="007F2FDC">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S. R</w:t>
      </w:r>
      <w:r w:rsidR="002E6BA4">
        <w:rPr>
          <w:rFonts w:ascii="Times New Roman" w:hAnsi="Times New Roman" w:cs="Times New Roman"/>
        </w:rPr>
        <w:t xml:space="preserve">EYNOLDS, </w:t>
      </w:r>
      <w:r w:rsidRPr="002E6BA4">
        <w:rPr>
          <w:rFonts w:ascii="Times New Roman" w:hAnsi="Times New Roman" w:cs="Times New Roman"/>
          <w:i/>
        </w:rPr>
        <w:t>It’s Not Me It’s You: Examining the Print Media’s Approach</w:t>
      </w:r>
      <w:r w:rsidR="002E6BA4" w:rsidRPr="002E6BA4">
        <w:rPr>
          <w:rFonts w:ascii="Times New Roman" w:hAnsi="Times New Roman" w:cs="Times New Roman"/>
          <w:i/>
        </w:rPr>
        <w:t xml:space="preserve"> to ‘Europe’ in Brexit Britain</w:t>
      </w:r>
      <w:r w:rsidRPr="00B215F2">
        <w:rPr>
          <w:rFonts w:ascii="Times New Roman" w:hAnsi="Times New Roman" w:cs="Times New Roman"/>
        </w:rPr>
        <w:t xml:space="preserve"> in E. D</w:t>
      </w:r>
      <w:r w:rsidR="002E6BA4">
        <w:rPr>
          <w:rFonts w:ascii="Times New Roman" w:hAnsi="Times New Roman" w:cs="Times New Roman"/>
        </w:rPr>
        <w:t>RYWOOD</w:t>
      </w:r>
      <w:r w:rsidRPr="00B215F2">
        <w:rPr>
          <w:rFonts w:ascii="Times New Roman" w:hAnsi="Times New Roman" w:cs="Times New Roman"/>
        </w:rPr>
        <w:t>, M. F</w:t>
      </w:r>
      <w:r w:rsidR="002E6BA4">
        <w:rPr>
          <w:rFonts w:ascii="Times New Roman" w:hAnsi="Times New Roman" w:cs="Times New Roman"/>
        </w:rPr>
        <w:t>ARRELL</w:t>
      </w:r>
      <w:r w:rsidRPr="00B215F2">
        <w:rPr>
          <w:rFonts w:ascii="Times New Roman" w:hAnsi="Times New Roman" w:cs="Times New Roman"/>
        </w:rPr>
        <w:t xml:space="preserve"> and E. H</w:t>
      </w:r>
      <w:r w:rsidR="002E6BA4">
        <w:rPr>
          <w:rFonts w:ascii="Times New Roman" w:hAnsi="Times New Roman" w:cs="Times New Roman"/>
        </w:rPr>
        <w:t>UGHES</w:t>
      </w:r>
      <w:r w:rsidRPr="00B215F2">
        <w:rPr>
          <w:rFonts w:ascii="Times New Roman" w:hAnsi="Times New Roman" w:cs="Times New Roman"/>
        </w:rPr>
        <w:t xml:space="preserve"> (</w:t>
      </w:r>
      <w:proofErr w:type="spellStart"/>
      <w:r w:rsidRPr="00B215F2">
        <w:rPr>
          <w:rFonts w:ascii="Times New Roman" w:hAnsi="Times New Roman" w:cs="Times New Roman"/>
        </w:rPr>
        <w:t>eds</w:t>
      </w:r>
      <w:proofErr w:type="spellEnd"/>
      <w:r w:rsidRPr="00B215F2">
        <w:rPr>
          <w:rFonts w:ascii="Times New Roman" w:hAnsi="Times New Roman" w:cs="Times New Roman"/>
        </w:rPr>
        <w:t xml:space="preserve">), </w:t>
      </w:r>
      <w:r w:rsidRPr="00B215F2">
        <w:rPr>
          <w:rFonts w:ascii="Times New Roman" w:hAnsi="Times New Roman" w:cs="Times New Roman"/>
          <w:i/>
        </w:rPr>
        <w:t>Human Rights in the UK Media</w:t>
      </w:r>
      <w:r w:rsidRPr="00B215F2">
        <w:rPr>
          <w:rFonts w:ascii="Times New Roman" w:hAnsi="Times New Roman" w:cs="Times New Roman"/>
        </w:rPr>
        <w:t xml:space="preserve">: </w:t>
      </w:r>
      <w:r w:rsidRPr="00B215F2">
        <w:rPr>
          <w:rFonts w:ascii="Times New Roman" w:hAnsi="Times New Roman" w:cs="Times New Roman"/>
          <w:i/>
        </w:rPr>
        <w:t>Fear and Fetish</w:t>
      </w:r>
      <w:r w:rsidR="002E6BA4">
        <w:rPr>
          <w:rFonts w:ascii="Times New Roman" w:hAnsi="Times New Roman" w:cs="Times New Roman"/>
        </w:rPr>
        <w:t>, London, Routledge, forthcoming, ch.2</w:t>
      </w:r>
    </w:p>
  </w:footnote>
  <w:footnote w:id="221">
    <w:p w:rsidR="00970F6F" w:rsidRPr="002E6BA4" w:rsidRDefault="00970F6F" w:rsidP="00F40BD4">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r w:rsidRPr="00B215F2">
        <w:rPr>
          <w:rFonts w:ascii="Times New Roman" w:hAnsi="Times New Roman" w:cs="Times New Roman"/>
          <w:i/>
        </w:rPr>
        <w:t>Commission v UK</w:t>
      </w:r>
      <w:r w:rsidR="002E6BA4">
        <w:rPr>
          <w:rFonts w:ascii="Times New Roman" w:hAnsi="Times New Roman" w:cs="Times New Roman"/>
          <w:i/>
        </w:rPr>
        <w:t xml:space="preserve">, </w:t>
      </w:r>
      <w:proofErr w:type="spellStart"/>
      <w:r w:rsidR="002E6BA4">
        <w:rPr>
          <w:rFonts w:ascii="Times New Roman" w:hAnsi="Times New Roman" w:cs="Times New Roman"/>
        </w:rPr>
        <w:t>cit</w:t>
      </w:r>
      <w:proofErr w:type="spellEnd"/>
    </w:p>
  </w:footnote>
  <w:footnote w:id="222">
    <w:p w:rsidR="00970F6F" w:rsidRPr="002E6BA4" w:rsidRDefault="00970F6F" w:rsidP="00F40BD4">
      <w:pPr>
        <w:pStyle w:val="FootnoteText"/>
        <w:rPr>
          <w:rFonts w:ascii="Times New Roman" w:hAnsi="Times New Roman" w:cs="Times New Roman"/>
          <w:i/>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2E6BA4">
        <w:rPr>
          <w:rFonts w:ascii="Times New Roman" w:hAnsi="Times New Roman" w:cs="Times New Roman"/>
        </w:rPr>
        <w:t xml:space="preserve">C. </w:t>
      </w:r>
      <w:r w:rsidRPr="00B215F2">
        <w:rPr>
          <w:rFonts w:ascii="Times New Roman" w:hAnsi="Times New Roman" w:cs="Times New Roman"/>
        </w:rPr>
        <w:t>O’B</w:t>
      </w:r>
      <w:r w:rsidR="002E6BA4">
        <w:rPr>
          <w:rFonts w:ascii="Times New Roman" w:hAnsi="Times New Roman" w:cs="Times New Roman"/>
        </w:rPr>
        <w:t xml:space="preserve">RIEN, </w:t>
      </w:r>
      <w:r w:rsidR="002E6BA4">
        <w:rPr>
          <w:rFonts w:ascii="Times New Roman" w:hAnsi="Times New Roman" w:cs="Times New Roman"/>
          <w:i/>
        </w:rPr>
        <w:t>ECJ Sacrifices EU Citizenship</w:t>
      </w:r>
    </w:p>
  </w:footnote>
  <w:footnote w:id="223">
    <w:p w:rsidR="00970F6F" w:rsidRPr="00B215F2" w:rsidRDefault="00970F6F" w:rsidP="00F40BD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T. C</w:t>
      </w:r>
      <w:r w:rsidR="002E6BA4">
        <w:rPr>
          <w:rFonts w:ascii="Times New Roman" w:hAnsi="Times New Roman" w:cs="Times New Roman"/>
        </w:rPr>
        <w:t xml:space="preserve">HOPIN, </w:t>
      </w:r>
      <w:r w:rsidRPr="002E6BA4">
        <w:rPr>
          <w:rFonts w:ascii="Times New Roman" w:hAnsi="Times New Roman" w:cs="Times New Roman"/>
          <w:i/>
        </w:rPr>
        <w:t>Euroscepticism and Eur</w:t>
      </w:r>
      <w:r w:rsidR="002E6BA4" w:rsidRPr="002E6BA4">
        <w:rPr>
          <w:rFonts w:ascii="Times New Roman" w:hAnsi="Times New Roman" w:cs="Times New Roman"/>
          <w:i/>
        </w:rPr>
        <w:t>ophobia: the threat of populism</w:t>
      </w:r>
      <w:r w:rsidR="002E6BA4">
        <w:rPr>
          <w:rFonts w:ascii="Times New Roman" w:hAnsi="Times New Roman" w:cs="Times New Roman"/>
        </w:rPr>
        <w:t xml:space="preserve"> in </w:t>
      </w:r>
      <w:proofErr w:type="spellStart"/>
      <w:r w:rsidRPr="00B215F2">
        <w:rPr>
          <w:rFonts w:ascii="Times New Roman" w:hAnsi="Times New Roman" w:cs="Times New Roman"/>
          <w:i/>
        </w:rPr>
        <w:t>Fondation</w:t>
      </w:r>
      <w:proofErr w:type="spellEnd"/>
      <w:r w:rsidRPr="00B215F2">
        <w:rPr>
          <w:rFonts w:ascii="Times New Roman" w:hAnsi="Times New Roman" w:cs="Times New Roman"/>
          <w:i/>
        </w:rPr>
        <w:t xml:space="preserve"> Robert Schuman: European Issues No 375</w:t>
      </w:r>
      <w:r w:rsidR="002E6BA4">
        <w:rPr>
          <w:rFonts w:ascii="Times New Roman" w:hAnsi="Times New Roman" w:cs="Times New Roman"/>
        </w:rPr>
        <w:t>, 2015</w:t>
      </w:r>
    </w:p>
  </w:footnote>
  <w:footnote w:id="224">
    <w:p w:rsidR="00970F6F" w:rsidRPr="00B215F2" w:rsidRDefault="00970F6F" w:rsidP="00F40BD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w:t>
      </w:r>
      <w:r w:rsidR="002E6BA4">
        <w:rPr>
          <w:rFonts w:ascii="Times New Roman" w:hAnsi="Times New Roman" w:cs="Times New Roman"/>
        </w:rPr>
        <w:t>IC</w:t>
      </w:r>
      <w:r w:rsidRPr="00B215F2">
        <w:rPr>
          <w:rFonts w:ascii="Times New Roman" w:hAnsi="Times New Roman" w:cs="Times New Roman"/>
        </w:rPr>
        <w:t xml:space="preserve"> S</w:t>
      </w:r>
      <w:r w:rsidR="002E6BA4">
        <w:rPr>
          <w:rFonts w:ascii="Times New Roman" w:hAnsi="Times New Roman" w:cs="Times New Roman"/>
        </w:rPr>
        <w:t>HUIBHNE</w:t>
      </w:r>
      <w:r w:rsidRPr="00B215F2">
        <w:rPr>
          <w:rFonts w:ascii="Times New Roman" w:hAnsi="Times New Roman" w:cs="Times New Roman"/>
        </w:rPr>
        <w:t xml:space="preserve">, </w:t>
      </w:r>
      <w:r w:rsidR="002E6BA4">
        <w:rPr>
          <w:rFonts w:ascii="Times New Roman" w:hAnsi="Times New Roman" w:cs="Times New Roman"/>
          <w:i/>
        </w:rPr>
        <w:t>Limits Rising, Duties Ascending</w:t>
      </w:r>
      <w:r w:rsidRPr="00B215F2">
        <w:rPr>
          <w:rFonts w:ascii="Times New Roman" w:hAnsi="Times New Roman" w:cs="Times New Roman"/>
        </w:rPr>
        <w:t>, p.916</w:t>
      </w:r>
    </w:p>
  </w:footnote>
  <w:footnote w:id="225">
    <w:p w:rsidR="00970F6F" w:rsidRPr="002E6BA4" w:rsidRDefault="00970F6F" w:rsidP="00F40BD4">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proofErr w:type="spellStart"/>
      <w:r w:rsidRPr="00B215F2">
        <w:rPr>
          <w:rFonts w:ascii="Times New Roman" w:hAnsi="Times New Roman" w:cs="Times New Roman"/>
          <w:i/>
        </w:rPr>
        <w:t>Grzelczyk</w:t>
      </w:r>
      <w:proofErr w:type="spellEnd"/>
      <w:r w:rsidR="002E6BA4">
        <w:rPr>
          <w:rFonts w:ascii="Times New Roman" w:hAnsi="Times New Roman" w:cs="Times New Roman"/>
          <w:i/>
        </w:rPr>
        <w:t xml:space="preserve">, </w:t>
      </w:r>
      <w:r w:rsidR="002E6BA4">
        <w:rPr>
          <w:rFonts w:ascii="Times New Roman" w:hAnsi="Times New Roman" w:cs="Times New Roman"/>
        </w:rPr>
        <w:t>cit.</w:t>
      </w:r>
    </w:p>
  </w:footnote>
  <w:footnote w:id="226">
    <w:p w:rsidR="00970F6F" w:rsidRPr="00B215F2" w:rsidRDefault="00970F6F" w:rsidP="00F5138C">
      <w:pPr>
        <w:pStyle w:val="FootnoteText"/>
        <w:rPr>
          <w:rFonts w:ascii="Times New Roman" w:hAnsi="Times New Roman" w:cs="Times New Roman"/>
        </w:rPr>
      </w:pPr>
      <w:r w:rsidRPr="00B215F2">
        <w:rPr>
          <w:rStyle w:val="FootnoteReference"/>
          <w:rFonts w:ascii="Times New Roman" w:hAnsi="Times New Roman" w:cs="Times New Roman"/>
        </w:rPr>
        <w:footnoteRef/>
      </w:r>
      <w:r w:rsidRPr="002F073A">
        <w:rPr>
          <w:rFonts w:ascii="Times New Roman" w:hAnsi="Times New Roman" w:cs="Times New Roman"/>
          <w:i/>
        </w:rPr>
        <w:t xml:space="preserve"> Ibid</w:t>
      </w:r>
    </w:p>
  </w:footnote>
  <w:footnote w:id="227">
    <w:p w:rsidR="00970F6F" w:rsidRPr="002E6BA4" w:rsidRDefault="00970F6F" w:rsidP="00F5138C">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r w:rsidRPr="00B215F2">
        <w:rPr>
          <w:rFonts w:ascii="Times New Roman" w:hAnsi="Times New Roman" w:cs="Times New Roman"/>
          <w:i/>
        </w:rPr>
        <w:t>Collins</w:t>
      </w:r>
      <w:r w:rsidR="002E6BA4">
        <w:rPr>
          <w:rFonts w:ascii="Times New Roman" w:hAnsi="Times New Roman" w:cs="Times New Roman"/>
          <w:i/>
        </w:rPr>
        <w:t xml:space="preserve">, </w:t>
      </w:r>
      <w:r w:rsidR="002E6BA4">
        <w:rPr>
          <w:rFonts w:ascii="Times New Roman" w:hAnsi="Times New Roman" w:cs="Times New Roman"/>
        </w:rPr>
        <w:t>cit.</w:t>
      </w:r>
    </w:p>
  </w:footnote>
  <w:footnote w:id="228">
    <w:p w:rsidR="00970F6F" w:rsidRPr="002E6BA4" w:rsidRDefault="00970F6F" w:rsidP="00F5138C">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proofErr w:type="spellStart"/>
      <w:r w:rsidRPr="00B215F2">
        <w:rPr>
          <w:rFonts w:ascii="Times New Roman" w:hAnsi="Times New Roman" w:cs="Times New Roman"/>
          <w:i/>
        </w:rPr>
        <w:t>Bidar</w:t>
      </w:r>
      <w:proofErr w:type="spellEnd"/>
      <w:r w:rsidR="002E6BA4">
        <w:rPr>
          <w:rFonts w:ascii="Times New Roman" w:hAnsi="Times New Roman" w:cs="Times New Roman"/>
        </w:rPr>
        <w:t>, cit.</w:t>
      </w:r>
    </w:p>
  </w:footnote>
  <w:footnote w:id="229">
    <w:p w:rsidR="00970F6F" w:rsidRPr="002E6BA4"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D. S</w:t>
      </w:r>
      <w:r w:rsidR="002E6BA4">
        <w:rPr>
          <w:rFonts w:ascii="Times New Roman" w:hAnsi="Times New Roman" w:cs="Times New Roman"/>
        </w:rPr>
        <w:t>INDBJERG</w:t>
      </w:r>
      <w:r w:rsidRPr="00B215F2">
        <w:rPr>
          <w:rFonts w:ascii="Times New Roman" w:hAnsi="Times New Roman" w:cs="Times New Roman"/>
        </w:rPr>
        <w:t xml:space="preserve"> </w:t>
      </w:r>
      <w:r w:rsidR="002E6BA4">
        <w:rPr>
          <w:rFonts w:ascii="Times New Roman" w:hAnsi="Times New Roman" w:cs="Times New Roman"/>
        </w:rPr>
        <w:t xml:space="preserve">MARTINSEN, G. PONS ROTGER, J. SAMPSON THEIRRY, </w:t>
      </w:r>
      <w:r w:rsidRPr="002E6BA4">
        <w:rPr>
          <w:rFonts w:ascii="Times New Roman" w:hAnsi="Times New Roman" w:cs="Times New Roman"/>
          <w:i/>
        </w:rPr>
        <w:t>Free Movement of People and Cross-Border Welfare in the European Union: Dynamic Rules, Limited Outcomes</w:t>
      </w:r>
      <w:r w:rsidR="002E6BA4">
        <w:rPr>
          <w:rFonts w:ascii="Times New Roman" w:hAnsi="Times New Roman" w:cs="Times New Roman"/>
        </w:rPr>
        <w:t xml:space="preserve"> in</w:t>
      </w:r>
      <w:r w:rsidRPr="00B215F2">
        <w:rPr>
          <w:rFonts w:ascii="Times New Roman" w:hAnsi="Times New Roman" w:cs="Times New Roman"/>
        </w:rPr>
        <w:t xml:space="preserve"> </w:t>
      </w:r>
      <w:r w:rsidRPr="00B215F2">
        <w:rPr>
          <w:rFonts w:ascii="Times New Roman" w:hAnsi="Times New Roman" w:cs="Times New Roman"/>
          <w:i/>
        </w:rPr>
        <w:t>Journal of European Social Policy</w:t>
      </w:r>
      <w:r w:rsidR="002E6BA4">
        <w:rPr>
          <w:rFonts w:ascii="Times New Roman" w:hAnsi="Times New Roman" w:cs="Times New Roman"/>
          <w:i/>
        </w:rPr>
        <w:t xml:space="preserve">, </w:t>
      </w:r>
      <w:r w:rsidR="002E6BA4">
        <w:rPr>
          <w:rFonts w:ascii="Times New Roman" w:hAnsi="Times New Roman" w:cs="Times New Roman"/>
        </w:rPr>
        <w:t>2018</w:t>
      </w:r>
    </w:p>
  </w:footnote>
  <w:footnote w:id="230">
    <w:p w:rsidR="00970F6F" w:rsidRPr="00B215F2" w:rsidRDefault="00970F6F" w:rsidP="00D96AC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E.g. the UK’s ‘right to reside’ test, foun</w:t>
      </w:r>
      <w:r w:rsidR="002E6BA4">
        <w:rPr>
          <w:rFonts w:ascii="Times New Roman" w:hAnsi="Times New Roman" w:cs="Times New Roman"/>
        </w:rPr>
        <w:t xml:space="preserve">d to be lawful in </w:t>
      </w:r>
      <w:r w:rsidRPr="00B215F2">
        <w:rPr>
          <w:rFonts w:ascii="Times New Roman" w:hAnsi="Times New Roman" w:cs="Times New Roman"/>
          <w:i/>
        </w:rPr>
        <w:t>Commission v UK</w:t>
      </w:r>
      <w:r w:rsidR="002E6BA4">
        <w:rPr>
          <w:rFonts w:ascii="Times New Roman" w:hAnsi="Times New Roman" w:cs="Times New Roman"/>
          <w:i/>
        </w:rPr>
        <w:t xml:space="preserve">, </w:t>
      </w:r>
      <w:r w:rsidR="002E6BA4">
        <w:rPr>
          <w:rFonts w:ascii="Times New Roman" w:hAnsi="Times New Roman" w:cs="Times New Roman"/>
        </w:rPr>
        <w:t>cit.</w:t>
      </w:r>
      <w:r w:rsidRPr="00B215F2">
        <w:rPr>
          <w:rFonts w:ascii="Times New Roman" w:hAnsi="Times New Roman" w:cs="Times New Roman"/>
        </w:rPr>
        <w:t xml:space="preserve"> </w:t>
      </w:r>
    </w:p>
  </w:footnote>
  <w:footnote w:id="23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2E6BA4">
        <w:rPr>
          <w:rFonts w:ascii="Times New Roman" w:hAnsi="Times New Roman" w:cs="Times New Roman"/>
        </w:rPr>
        <w:t xml:space="preserve">C. O’BRIEN, </w:t>
      </w:r>
      <w:r w:rsidR="002E6BA4">
        <w:rPr>
          <w:rFonts w:ascii="Times New Roman" w:hAnsi="Times New Roman" w:cs="Times New Roman"/>
          <w:i/>
        </w:rPr>
        <w:t>Unity in Adversity</w:t>
      </w:r>
    </w:p>
  </w:footnote>
  <w:footnote w:id="232">
    <w:p w:rsidR="00970F6F" w:rsidRPr="00B215F2" w:rsidRDefault="00970F6F" w:rsidP="00C84654">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European Council Conclusions</w:t>
      </w:r>
      <w:r w:rsidR="002E6BA4">
        <w:rPr>
          <w:rFonts w:ascii="Times New Roman" w:hAnsi="Times New Roman" w:cs="Times New Roman"/>
        </w:rPr>
        <w:t xml:space="preserve"> of 19 February 2016,</w:t>
      </w:r>
      <w:r w:rsidRPr="00B215F2">
        <w:rPr>
          <w:rFonts w:ascii="Times New Roman" w:hAnsi="Times New Roman" w:cs="Times New Roman"/>
        </w:rPr>
        <w:t xml:space="preserve"> EUCO 1/16, </w:t>
      </w:r>
      <w:r w:rsidR="002E6BA4">
        <w:rPr>
          <w:rFonts w:ascii="Times New Roman" w:hAnsi="Times New Roman" w:cs="Times New Roman"/>
        </w:rPr>
        <w:t>p.</w:t>
      </w:r>
      <w:r w:rsidRPr="00B215F2">
        <w:rPr>
          <w:rFonts w:ascii="Times New Roman" w:hAnsi="Times New Roman" w:cs="Times New Roman"/>
        </w:rPr>
        <w:t xml:space="preserve">23;  </w:t>
      </w:r>
      <w:proofErr w:type="spellStart"/>
      <w:r w:rsidRPr="00B215F2">
        <w:rPr>
          <w:rFonts w:ascii="Times New Roman" w:hAnsi="Times New Roman" w:cs="Times New Roman"/>
          <w:i/>
        </w:rPr>
        <w:t>Dano</w:t>
      </w:r>
      <w:proofErr w:type="spellEnd"/>
      <w:r w:rsidRPr="00B215F2">
        <w:rPr>
          <w:rFonts w:ascii="Times New Roman" w:hAnsi="Times New Roman" w:cs="Times New Roman"/>
        </w:rPr>
        <w:t>,</w:t>
      </w:r>
      <w:r w:rsidR="002E6BA4">
        <w:rPr>
          <w:rFonts w:ascii="Times New Roman" w:hAnsi="Times New Roman" w:cs="Times New Roman"/>
        </w:rPr>
        <w:t xml:space="preserve"> cit. para.78; see also REYNOLDS</w:t>
      </w:r>
      <w:r w:rsidRPr="00B215F2">
        <w:rPr>
          <w:rFonts w:ascii="Times New Roman" w:hAnsi="Times New Roman" w:cs="Times New Roman"/>
        </w:rPr>
        <w:t>,</w:t>
      </w:r>
      <w:r w:rsidR="002E6BA4">
        <w:rPr>
          <w:rFonts w:ascii="Times New Roman" w:hAnsi="Times New Roman" w:cs="Times New Roman"/>
        </w:rPr>
        <w:t xml:space="preserve"> </w:t>
      </w:r>
      <w:r w:rsidR="002E6BA4">
        <w:rPr>
          <w:rFonts w:ascii="Times New Roman" w:hAnsi="Times New Roman" w:cs="Times New Roman"/>
          <w:i/>
        </w:rPr>
        <w:t>It’s Not Me,</w:t>
      </w:r>
    </w:p>
  </w:footnote>
  <w:footnote w:id="23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2E6BA4">
        <w:rPr>
          <w:rFonts w:ascii="Times New Roman" w:hAnsi="Times New Roman" w:cs="Times New Roman"/>
        </w:rPr>
        <w:t xml:space="preserve"> </w:t>
      </w:r>
      <w:proofErr w:type="spellStart"/>
      <w:r w:rsidR="002E6BA4">
        <w:rPr>
          <w:rFonts w:ascii="Times New Roman" w:hAnsi="Times New Roman" w:cs="Times New Roman"/>
        </w:rPr>
        <w:t>Eurofound</w:t>
      </w:r>
      <w:proofErr w:type="spellEnd"/>
      <w:r w:rsidR="002E6BA4">
        <w:rPr>
          <w:rFonts w:ascii="Times New Roman" w:hAnsi="Times New Roman" w:cs="Times New Roman"/>
        </w:rPr>
        <w:t xml:space="preserve"> Report, </w:t>
      </w:r>
      <w:r w:rsidRPr="002E6BA4">
        <w:rPr>
          <w:rFonts w:ascii="Times New Roman" w:hAnsi="Times New Roman" w:cs="Times New Roman"/>
          <w:i/>
        </w:rPr>
        <w:t>Social Dimension of Intra-EU Mobi</w:t>
      </w:r>
      <w:r w:rsidR="002E6BA4">
        <w:rPr>
          <w:rFonts w:ascii="Times New Roman" w:hAnsi="Times New Roman" w:cs="Times New Roman"/>
          <w:i/>
        </w:rPr>
        <w:t>lity: Impact on Public Services</w:t>
      </w:r>
      <w:r w:rsidRPr="00B215F2">
        <w:rPr>
          <w:rFonts w:ascii="Times New Roman" w:hAnsi="Times New Roman" w:cs="Times New Roman"/>
        </w:rPr>
        <w:t>, 2015</w:t>
      </w:r>
    </w:p>
  </w:footnote>
  <w:footnote w:id="23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R. Z</w:t>
      </w:r>
      <w:r w:rsidR="002E6BA4">
        <w:rPr>
          <w:rFonts w:ascii="Times New Roman" w:hAnsi="Times New Roman" w:cs="Times New Roman"/>
        </w:rPr>
        <w:t xml:space="preserve">AHN, </w:t>
      </w:r>
      <w:r w:rsidRPr="002E6BA4">
        <w:rPr>
          <w:rFonts w:ascii="Times New Roman" w:hAnsi="Times New Roman" w:cs="Times New Roman"/>
          <w:i/>
        </w:rPr>
        <w:t xml:space="preserve">Common Sense or a Threat to European Integration? The Court, Economically Inactive </w:t>
      </w:r>
      <w:r w:rsidR="002E6BA4" w:rsidRPr="002E6BA4">
        <w:rPr>
          <w:rFonts w:ascii="Times New Roman" w:hAnsi="Times New Roman" w:cs="Times New Roman"/>
          <w:i/>
        </w:rPr>
        <w:t>EU Citizens and Social Benefits</w:t>
      </w:r>
      <w:r w:rsidR="002E6BA4">
        <w:rPr>
          <w:rFonts w:ascii="Times New Roman" w:hAnsi="Times New Roman" w:cs="Times New Roman"/>
        </w:rPr>
        <w:t xml:space="preserve"> in </w:t>
      </w:r>
      <w:r w:rsidR="002E6BA4">
        <w:rPr>
          <w:rFonts w:ascii="Times New Roman" w:hAnsi="Times New Roman" w:cs="Times New Roman"/>
          <w:i/>
        </w:rPr>
        <w:t>Industrial Law Journal</w:t>
      </w:r>
      <w:r w:rsidR="002E6BA4">
        <w:rPr>
          <w:rFonts w:ascii="Times New Roman" w:hAnsi="Times New Roman" w:cs="Times New Roman"/>
        </w:rPr>
        <w:t>, 2015, p.</w:t>
      </w:r>
      <w:r w:rsidRPr="00B215F2">
        <w:rPr>
          <w:rFonts w:ascii="Times New Roman" w:hAnsi="Times New Roman" w:cs="Times New Roman"/>
        </w:rPr>
        <w:t>573</w:t>
      </w:r>
      <w:r w:rsidR="002E6BA4">
        <w:rPr>
          <w:rFonts w:ascii="Times New Roman" w:hAnsi="Times New Roman" w:cs="Times New Roman"/>
        </w:rPr>
        <w:t xml:space="preserve"> </w:t>
      </w:r>
      <w:r w:rsidR="002E6BA4">
        <w:rPr>
          <w:rFonts w:ascii="Times New Roman" w:hAnsi="Times New Roman" w:cs="Times New Roman"/>
          <w:i/>
        </w:rPr>
        <w:t>et seq.</w:t>
      </w:r>
      <w:r w:rsidRPr="00B215F2">
        <w:rPr>
          <w:rFonts w:ascii="Times New Roman" w:hAnsi="Times New Roman" w:cs="Times New Roman"/>
        </w:rPr>
        <w:t>, 582</w:t>
      </w:r>
    </w:p>
  </w:footnote>
  <w:footnote w:id="23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See e.g. the UK Department for Work and Pensions press release that openly discusses tackling ‘abuse’ though it accompanied UK reforms that impact on the equal t</w:t>
      </w:r>
      <w:r w:rsidR="002E6BA4">
        <w:rPr>
          <w:rFonts w:ascii="Times New Roman" w:hAnsi="Times New Roman" w:cs="Times New Roman"/>
        </w:rPr>
        <w:t xml:space="preserve">reatment rights of EU workers: </w:t>
      </w:r>
      <w:r w:rsidRPr="006B45CD">
        <w:rPr>
          <w:rFonts w:ascii="Times New Roman" w:hAnsi="Times New Roman" w:cs="Times New Roman"/>
          <w:i/>
        </w:rPr>
        <w:t>Minimum Earnings Thresh</w:t>
      </w:r>
      <w:r w:rsidR="006B45CD" w:rsidRPr="006B45CD">
        <w:rPr>
          <w:rFonts w:ascii="Times New Roman" w:hAnsi="Times New Roman" w:cs="Times New Roman"/>
          <w:i/>
        </w:rPr>
        <w:t>old for EEA Migrants Introduced</w:t>
      </w:r>
      <w:r w:rsidR="006B45CD">
        <w:rPr>
          <w:rFonts w:ascii="Times New Roman" w:hAnsi="Times New Roman" w:cs="Times New Roman"/>
        </w:rPr>
        <w:t xml:space="preserve"> of </w:t>
      </w:r>
      <w:r w:rsidRPr="00B215F2">
        <w:rPr>
          <w:rFonts w:ascii="Times New Roman" w:hAnsi="Times New Roman" w:cs="Times New Roman"/>
          <w:i/>
        </w:rPr>
        <w:t xml:space="preserve"> </w:t>
      </w:r>
      <w:r>
        <w:rPr>
          <w:rFonts w:ascii="Times New Roman" w:hAnsi="Times New Roman" w:cs="Times New Roman"/>
        </w:rPr>
        <w:t>21 February 2014,</w:t>
      </w:r>
      <w:r w:rsidRPr="00B215F2">
        <w:rPr>
          <w:rFonts w:ascii="Times New Roman" w:hAnsi="Times New Roman" w:cs="Times New Roman"/>
        </w:rPr>
        <w:t xml:space="preserve"> </w:t>
      </w:r>
      <w:hyperlink r:id="rId2" w:history="1">
        <w:r w:rsidRPr="00B215F2">
          <w:rPr>
            <w:rStyle w:val="Hyperlink"/>
            <w:rFonts w:ascii="Times New Roman" w:hAnsi="Times New Roman" w:cs="Times New Roman"/>
          </w:rPr>
          <w:t>https://www.gov.uk/government/news/minimum-earnings-threshold-for-eea-migrants-introduced</w:t>
        </w:r>
      </w:hyperlink>
      <w:r w:rsidRPr="00B215F2">
        <w:rPr>
          <w:rFonts w:ascii="Times New Roman" w:hAnsi="Times New Roman" w:cs="Times New Roman"/>
        </w:rPr>
        <w:t xml:space="preserve"> </w:t>
      </w:r>
      <w:r>
        <w:rPr>
          <w:rFonts w:ascii="Times New Roman" w:hAnsi="Times New Roman" w:cs="Times New Roman"/>
        </w:rPr>
        <w:t xml:space="preserve">For analysis, see </w:t>
      </w:r>
      <w:r w:rsidR="006B45CD">
        <w:rPr>
          <w:rFonts w:ascii="Times New Roman" w:hAnsi="Times New Roman" w:cs="Times New Roman"/>
        </w:rPr>
        <w:t xml:space="preserve">C. </w:t>
      </w:r>
      <w:r>
        <w:rPr>
          <w:rFonts w:ascii="Times New Roman" w:hAnsi="Times New Roman" w:cs="Times New Roman"/>
        </w:rPr>
        <w:t>O’B</w:t>
      </w:r>
      <w:r w:rsidR="006B45CD">
        <w:rPr>
          <w:rFonts w:ascii="Times New Roman" w:hAnsi="Times New Roman" w:cs="Times New Roman"/>
        </w:rPr>
        <w:t>RIEN</w:t>
      </w:r>
      <w:r>
        <w:rPr>
          <w:rFonts w:ascii="Times New Roman" w:hAnsi="Times New Roman" w:cs="Times New Roman"/>
        </w:rPr>
        <w:t xml:space="preserve">, </w:t>
      </w:r>
      <w:r w:rsidR="006B45CD">
        <w:rPr>
          <w:rFonts w:ascii="Times New Roman" w:hAnsi="Times New Roman" w:cs="Times New Roman"/>
          <w:i/>
        </w:rPr>
        <w:t>Unity in Adversity</w:t>
      </w:r>
      <w:r w:rsidRPr="00B215F2">
        <w:rPr>
          <w:rFonts w:ascii="Times New Roman" w:hAnsi="Times New Roman" w:cs="Times New Roman"/>
        </w:rPr>
        <w:t>, p.263</w:t>
      </w:r>
    </w:p>
  </w:footnote>
  <w:footnote w:id="23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6B45CD">
        <w:rPr>
          <w:rFonts w:ascii="Times New Roman" w:hAnsi="Times New Roman" w:cs="Times New Roman"/>
        </w:rPr>
        <w:t xml:space="preserve"> D. SCHIEK, </w:t>
      </w:r>
      <w:r w:rsidR="006B45CD">
        <w:rPr>
          <w:rFonts w:ascii="Times New Roman" w:hAnsi="Times New Roman" w:cs="Times New Roman"/>
          <w:i/>
        </w:rPr>
        <w:t>Economic and Social Integration</w:t>
      </w:r>
      <w:r w:rsidRPr="00B215F2">
        <w:rPr>
          <w:rFonts w:ascii="Times New Roman" w:hAnsi="Times New Roman" w:cs="Times New Roman"/>
        </w:rPr>
        <w:t>, p.218</w:t>
      </w:r>
    </w:p>
  </w:footnote>
  <w:footnote w:id="237">
    <w:p w:rsidR="00970F6F" w:rsidRPr="00B215F2" w:rsidRDefault="00970F6F" w:rsidP="0027092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K. ARMSTRONG</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Governing Social Inclusion</w:t>
      </w:r>
      <w:r w:rsidRPr="00B215F2">
        <w:rPr>
          <w:rFonts w:ascii="Times New Roman" w:hAnsi="Times New Roman" w:cs="Times New Roman"/>
        </w:rPr>
        <w:t xml:space="preserve">, pp.243-244; </w:t>
      </w:r>
      <w:r w:rsidR="006B45CD">
        <w:rPr>
          <w:rFonts w:ascii="Times New Roman" w:hAnsi="Times New Roman" w:cs="Times New Roman"/>
        </w:rPr>
        <w:t xml:space="preserve">D. </w:t>
      </w:r>
      <w:r w:rsidRPr="00B215F2">
        <w:rPr>
          <w:rFonts w:ascii="Times New Roman" w:hAnsi="Times New Roman" w:cs="Times New Roman"/>
        </w:rPr>
        <w:t>S</w:t>
      </w:r>
      <w:r w:rsidR="006B45CD">
        <w:rPr>
          <w:rFonts w:ascii="Times New Roman" w:hAnsi="Times New Roman" w:cs="Times New Roman"/>
        </w:rPr>
        <w:t>CHIEK</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Economic and Social Integration</w:t>
      </w:r>
      <w:r w:rsidRPr="00B215F2">
        <w:rPr>
          <w:rFonts w:ascii="Times New Roman" w:hAnsi="Times New Roman" w:cs="Times New Roman"/>
        </w:rPr>
        <w:t>, p.220</w:t>
      </w:r>
    </w:p>
  </w:footnote>
  <w:footnote w:id="238">
    <w:p w:rsidR="00970F6F" w:rsidRPr="00B215F2" w:rsidRDefault="00970F6F" w:rsidP="0027092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D. SCHIEK, </w:t>
      </w:r>
      <w:r w:rsidR="006B45CD">
        <w:rPr>
          <w:rFonts w:ascii="Times New Roman" w:hAnsi="Times New Roman" w:cs="Times New Roman"/>
          <w:i/>
        </w:rPr>
        <w:t xml:space="preserve">Economic and Social Integration, </w:t>
      </w:r>
      <w:r w:rsidRPr="00B215F2">
        <w:rPr>
          <w:rFonts w:ascii="Times New Roman" w:hAnsi="Times New Roman" w:cs="Times New Roman"/>
        </w:rPr>
        <w:t xml:space="preserve"> p.220</w:t>
      </w:r>
    </w:p>
  </w:footnote>
  <w:footnote w:id="239">
    <w:p w:rsidR="00970F6F" w:rsidRPr="00B215F2" w:rsidRDefault="00970F6F" w:rsidP="0027092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K. ARMSTRONG, </w:t>
      </w:r>
      <w:r w:rsidR="006B45CD">
        <w:rPr>
          <w:rFonts w:ascii="Times New Roman" w:hAnsi="Times New Roman" w:cs="Times New Roman"/>
          <w:i/>
        </w:rPr>
        <w:t>Governing Social Inclusion</w:t>
      </w:r>
      <w:r w:rsidRPr="00B215F2">
        <w:rPr>
          <w:rFonts w:ascii="Times New Roman" w:hAnsi="Times New Roman" w:cs="Times New Roman"/>
        </w:rPr>
        <w:t>, p.244</w:t>
      </w:r>
    </w:p>
  </w:footnote>
  <w:footnote w:id="24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Art.8 TFEU</w:t>
      </w:r>
    </w:p>
  </w:footnote>
  <w:footnote w:id="24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Art.10 TFEU</w:t>
      </w:r>
    </w:p>
  </w:footnote>
  <w:footnote w:id="242">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 11 TFEU</w:t>
      </w:r>
    </w:p>
  </w:footnote>
  <w:footnote w:id="24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Art.12 TFEU</w:t>
      </w:r>
    </w:p>
  </w:footnote>
  <w:footnote w:id="244">
    <w:p w:rsidR="00970F6F" w:rsidRPr="00B215F2" w:rsidRDefault="00970F6F" w:rsidP="007925F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M. F</w:t>
      </w:r>
      <w:r w:rsidR="006B45CD">
        <w:rPr>
          <w:rFonts w:ascii="Times New Roman" w:hAnsi="Times New Roman" w:cs="Times New Roman"/>
        </w:rPr>
        <w:t xml:space="preserve">ERRERA, </w:t>
      </w:r>
      <w:r w:rsidRPr="006B45CD">
        <w:rPr>
          <w:rFonts w:ascii="Times New Roman" w:hAnsi="Times New Roman" w:cs="Times New Roman"/>
          <w:i/>
        </w:rPr>
        <w:t>Mapping the Components of Social EU: a Critical Analysis of the Current Institutional Patchwork</w:t>
      </w:r>
      <w:r w:rsidRPr="00B215F2">
        <w:rPr>
          <w:rFonts w:ascii="Times New Roman" w:hAnsi="Times New Roman" w:cs="Times New Roman"/>
        </w:rPr>
        <w:t>, in E. M</w:t>
      </w:r>
      <w:r w:rsidR="006B45CD">
        <w:rPr>
          <w:rFonts w:ascii="Times New Roman" w:hAnsi="Times New Roman" w:cs="Times New Roman"/>
        </w:rPr>
        <w:t>ARLIER</w:t>
      </w:r>
      <w:r w:rsidRPr="00B215F2">
        <w:rPr>
          <w:rFonts w:ascii="Times New Roman" w:hAnsi="Times New Roman" w:cs="Times New Roman"/>
        </w:rPr>
        <w:t xml:space="preserve"> and D. N</w:t>
      </w:r>
      <w:r w:rsidR="006B45CD">
        <w:rPr>
          <w:rFonts w:ascii="Times New Roman" w:hAnsi="Times New Roman" w:cs="Times New Roman"/>
        </w:rPr>
        <w:t>ATALI</w:t>
      </w:r>
      <w:r w:rsidRPr="00B215F2">
        <w:rPr>
          <w:rFonts w:ascii="Times New Roman" w:hAnsi="Times New Roman" w:cs="Times New Roman"/>
        </w:rPr>
        <w:t xml:space="preserve"> (</w:t>
      </w:r>
      <w:proofErr w:type="spellStart"/>
      <w:r w:rsidRPr="00B215F2">
        <w:rPr>
          <w:rFonts w:ascii="Times New Roman" w:hAnsi="Times New Roman" w:cs="Times New Roman"/>
        </w:rPr>
        <w:t>eds</w:t>
      </w:r>
      <w:proofErr w:type="spellEnd"/>
      <w:r w:rsidRPr="00B215F2">
        <w:rPr>
          <w:rFonts w:ascii="Times New Roman" w:hAnsi="Times New Roman" w:cs="Times New Roman"/>
        </w:rPr>
        <w:t xml:space="preserve">), </w:t>
      </w:r>
      <w:r w:rsidRPr="00B215F2">
        <w:rPr>
          <w:rFonts w:ascii="Times New Roman" w:hAnsi="Times New Roman" w:cs="Times New Roman"/>
          <w:i/>
        </w:rPr>
        <w:t>Europe 2020: Towards a More Social EU?</w:t>
      </w:r>
      <w:r w:rsidR="006B45CD">
        <w:rPr>
          <w:rFonts w:ascii="Times New Roman" w:hAnsi="Times New Roman" w:cs="Times New Roman"/>
        </w:rPr>
        <w:t>, Oxford, Peter Lang, 2010</w:t>
      </w:r>
      <w:r w:rsidRPr="00B215F2">
        <w:rPr>
          <w:rFonts w:ascii="Times New Roman" w:hAnsi="Times New Roman" w:cs="Times New Roman"/>
        </w:rPr>
        <w:t>, p.45</w:t>
      </w:r>
      <w:r w:rsidR="006B45CD">
        <w:rPr>
          <w:rFonts w:ascii="Times New Roman" w:hAnsi="Times New Roman" w:cs="Times New Roman"/>
        </w:rPr>
        <w:t xml:space="preserve"> </w:t>
      </w:r>
      <w:r w:rsidR="006B45CD">
        <w:rPr>
          <w:rFonts w:ascii="Times New Roman" w:hAnsi="Times New Roman" w:cs="Times New Roman"/>
          <w:i/>
        </w:rPr>
        <w:t xml:space="preserve">et seq., </w:t>
      </w:r>
      <w:r w:rsidR="006B45CD">
        <w:rPr>
          <w:rFonts w:ascii="Times New Roman" w:hAnsi="Times New Roman" w:cs="Times New Roman"/>
        </w:rPr>
        <w:t>pp.</w:t>
      </w:r>
      <w:r w:rsidRPr="00B215F2">
        <w:rPr>
          <w:rFonts w:ascii="Times New Roman" w:hAnsi="Times New Roman" w:cs="Times New Roman"/>
        </w:rPr>
        <w:t>57-58</w:t>
      </w:r>
    </w:p>
  </w:footnote>
  <w:footnote w:id="24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Art.6(1) TEU</w:t>
      </w:r>
    </w:p>
  </w:footnote>
  <w:footnote w:id="246">
    <w:p w:rsidR="00970F6F" w:rsidRPr="00B215F2" w:rsidRDefault="00970F6F" w:rsidP="007925F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N. BUSBY, </w:t>
      </w:r>
      <w:r w:rsidR="006B45CD">
        <w:rPr>
          <w:rFonts w:ascii="Times New Roman" w:hAnsi="Times New Roman" w:cs="Times New Roman"/>
          <w:i/>
        </w:rPr>
        <w:t>A Right to Care</w:t>
      </w:r>
      <w:proofErr w:type="gramStart"/>
      <w:r w:rsidR="006B45CD">
        <w:rPr>
          <w:rFonts w:ascii="Times New Roman" w:hAnsi="Times New Roman" w:cs="Times New Roman"/>
          <w:i/>
        </w:rPr>
        <w:t>?</w:t>
      </w:r>
      <w:r w:rsidRPr="00B215F2">
        <w:rPr>
          <w:rFonts w:ascii="Times New Roman" w:hAnsi="Times New Roman" w:cs="Times New Roman"/>
        </w:rPr>
        <w:t>,</w:t>
      </w:r>
      <w:proofErr w:type="gramEnd"/>
      <w:r w:rsidRPr="00B215F2">
        <w:rPr>
          <w:rFonts w:ascii="Times New Roman" w:hAnsi="Times New Roman" w:cs="Times New Roman"/>
        </w:rPr>
        <w:t xml:space="preserve"> p.24. There are, of course, questions marks over the Charter’s capacity to realise this equal status given its distinction between ‘rights’ and ‘principles’ and its frequent reference to ‘national laws and practices’ in</w:t>
      </w:r>
      <w:r w:rsidR="006B45CD">
        <w:rPr>
          <w:rFonts w:ascii="Times New Roman" w:hAnsi="Times New Roman" w:cs="Times New Roman"/>
        </w:rPr>
        <w:t xml:space="preserve"> its social provisions </w:t>
      </w:r>
      <w:proofErr w:type="spellStart"/>
      <w:r w:rsidR="006B45CD">
        <w:rPr>
          <w:rFonts w:ascii="Times New Roman" w:hAnsi="Times New Roman" w:cs="Times New Roman"/>
        </w:rPr>
        <w:t>e.g</w:t>
      </w:r>
      <w:proofErr w:type="spellEnd"/>
      <w:r w:rsidR="006B45CD">
        <w:rPr>
          <w:rFonts w:ascii="Times New Roman" w:hAnsi="Times New Roman" w:cs="Times New Roman"/>
        </w:rPr>
        <w:t xml:space="preserve"> Art.</w:t>
      </w:r>
      <w:r w:rsidRPr="00B215F2">
        <w:rPr>
          <w:rFonts w:ascii="Times New Roman" w:hAnsi="Times New Roman" w:cs="Times New Roman"/>
        </w:rPr>
        <w:t xml:space="preserve">28 CFR on the right of collective bargaining. </w:t>
      </w:r>
    </w:p>
  </w:footnote>
  <w:footnote w:id="247">
    <w:p w:rsidR="00970F6F" w:rsidRPr="00B215F2" w:rsidRDefault="00970F6F" w:rsidP="00AB7B18">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D. SCHIEK, </w:t>
      </w:r>
      <w:r w:rsidR="006B45CD">
        <w:rPr>
          <w:rFonts w:ascii="Times New Roman" w:hAnsi="Times New Roman" w:cs="Times New Roman"/>
          <w:i/>
        </w:rPr>
        <w:t xml:space="preserve">Economic and Social Integration, </w:t>
      </w:r>
      <w:r>
        <w:rPr>
          <w:rFonts w:ascii="Times New Roman" w:hAnsi="Times New Roman" w:cs="Times New Roman"/>
        </w:rPr>
        <w:t xml:space="preserve"> pp.224;</w:t>
      </w:r>
      <w:r w:rsidRPr="00B215F2">
        <w:rPr>
          <w:rFonts w:ascii="Times New Roman" w:hAnsi="Times New Roman" w:cs="Times New Roman"/>
        </w:rPr>
        <w:t xml:space="preserve"> 221</w:t>
      </w:r>
    </w:p>
  </w:footnote>
  <w:footnote w:id="248">
    <w:p w:rsidR="00970F6F" w:rsidRPr="00B215F2" w:rsidRDefault="00970F6F" w:rsidP="00237D1D">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M. P</w:t>
      </w:r>
      <w:r w:rsidR="006B45CD">
        <w:rPr>
          <w:rFonts w:ascii="Times New Roman" w:hAnsi="Times New Roman" w:cs="Times New Roman"/>
        </w:rPr>
        <w:t xml:space="preserve">OIARES MADURO, </w:t>
      </w:r>
      <w:r w:rsidRPr="006B45CD">
        <w:rPr>
          <w:rFonts w:ascii="Times New Roman" w:hAnsi="Times New Roman" w:cs="Times New Roman"/>
          <w:i/>
        </w:rPr>
        <w:t>Striking the Elusive Balance between Economic Freedom an</w:t>
      </w:r>
      <w:r w:rsidR="006B45CD" w:rsidRPr="006B45CD">
        <w:rPr>
          <w:rFonts w:ascii="Times New Roman" w:hAnsi="Times New Roman" w:cs="Times New Roman"/>
          <w:i/>
        </w:rPr>
        <w:t>d Social Rights in the EU</w:t>
      </w:r>
      <w:r w:rsidRPr="00B215F2">
        <w:rPr>
          <w:rFonts w:ascii="Times New Roman" w:hAnsi="Times New Roman" w:cs="Times New Roman"/>
        </w:rPr>
        <w:t xml:space="preserve"> in P. A</w:t>
      </w:r>
      <w:r w:rsidR="006B45CD">
        <w:rPr>
          <w:rFonts w:ascii="Times New Roman" w:hAnsi="Times New Roman" w:cs="Times New Roman"/>
        </w:rPr>
        <w:t>LSTON, M. BUSTELO and J. HEENAN</w:t>
      </w:r>
      <w:r w:rsidRPr="00B215F2">
        <w:rPr>
          <w:rFonts w:ascii="Times New Roman" w:hAnsi="Times New Roman" w:cs="Times New Roman"/>
        </w:rPr>
        <w:t xml:space="preserve"> (</w:t>
      </w:r>
      <w:proofErr w:type="spellStart"/>
      <w:r w:rsidRPr="00B215F2">
        <w:rPr>
          <w:rFonts w:ascii="Times New Roman" w:hAnsi="Times New Roman" w:cs="Times New Roman"/>
        </w:rPr>
        <w:t>eds</w:t>
      </w:r>
      <w:proofErr w:type="spellEnd"/>
      <w:r w:rsidRPr="00B215F2">
        <w:rPr>
          <w:rFonts w:ascii="Times New Roman" w:hAnsi="Times New Roman" w:cs="Times New Roman"/>
        </w:rPr>
        <w:t xml:space="preserve">), </w:t>
      </w:r>
      <w:r w:rsidRPr="00B215F2">
        <w:rPr>
          <w:rFonts w:ascii="Times New Roman" w:hAnsi="Times New Roman" w:cs="Times New Roman"/>
          <w:i/>
        </w:rPr>
        <w:t>The EU and Human Rights</w:t>
      </w:r>
      <w:r w:rsidR="006B45CD">
        <w:rPr>
          <w:rFonts w:ascii="Times New Roman" w:hAnsi="Times New Roman" w:cs="Times New Roman"/>
        </w:rPr>
        <w:t>, Oxford, OUP, 1999</w:t>
      </w:r>
      <w:r w:rsidRPr="00B215F2">
        <w:rPr>
          <w:rFonts w:ascii="Times New Roman" w:hAnsi="Times New Roman" w:cs="Times New Roman"/>
        </w:rPr>
        <w:t>,</w:t>
      </w:r>
      <w:r w:rsidR="006B45CD">
        <w:rPr>
          <w:rFonts w:ascii="Times New Roman" w:hAnsi="Times New Roman" w:cs="Times New Roman"/>
        </w:rPr>
        <w:t xml:space="preserve"> p.449 </w:t>
      </w:r>
      <w:r w:rsidR="006B45CD">
        <w:rPr>
          <w:rFonts w:ascii="Times New Roman" w:hAnsi="Times New Roman" w:cs="Times New Roman"/>
          <w:i/>
        </w:rPr>
        <w:t>et seq.</w:t>
      </w:r>
      <w:r w:rsidR="006B45CD">
        <w:rPr>
          <w:rFonts w:ascii="Times New Roman" w:hAnsi="Times New Roman" w:cs="Times New Roman"/>
        </w:rPr>
        <w:t>,p.</w:t>
      </w:r>
      <w:r w:rsidRPr="00B215F2">
        <w:rPr>
          <w:rFonts w:ascii="Times New Roman" w:hAnsi="Times New Roman" w:cs="Times New Roman"/>
        </w:rPr>
        <w:t>471.</w:t>
      </w:r>
    </w:p>
  </w:footnote>
  <w:footnote w:id="249">
    <w:p w:rsidR="00970F6F" w:rsidRPr="00B215F2" w:rsidRDefault="00970F6F" w:rsidP="00F71BB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K. ARMSTRONG, </w:t>
      </w:r>
      <w:r w:rsidR="006B45CD">
        <w:rPr>
          <w:rFonts w:ascii="Times New Roman" w:hAnsi="Times New Roman" w:cs="Times New Roman"/>
          <w:i/>
        </w:rPr>
        <w:t>Governing Social Inclusion</w:t>
      </w:r>
      <w:r w:rsidRPr="00B215F2">
        <w:rPr>
          <w:rFonts w:ascii="Times New Roman" w:hAnsi="Times New Roman" w:cs="Times New Roman"/>
        </w:rPr>
        <w:t>, p.236, though referring to strengthened use of the OMC</w:t>
      </w:r>
    </w:p>
  </w:footnote>
  <w:footnote w:id="250">
    <w:p w:rsidR="00970F6F" w:rsidRPr="00B215F2" w:rsidRDefault="00970F6F" w:rsidP="00F71BB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D. SCHIEK</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Economic and Social Integration</w:t>
      </w:r>
      <w:r w:rsidRPr="00B215F2">
        <w:rPr>
          <w:rFonts w:ascii="Times New Roman" w:hAnsi="Times New Roman" w:cs="Times New Roman"/>
        </w:rPr>
        <w:t>, p.218</w:t>
      </w:r>
    </w:p>
  </w:footnote>
  <w:footnote w:id="25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T. </w:t>
      </w:r>
      <w:r w:rsidRPr="00B215F2">
        <w:rPr>
          <w:rFonts w:ascii="Times New Roman" w:hAnsi="Times New Roman" w:cs="Times New Roman"/>
        </w:rPr>
        <w:t>H</w:t>
      </w:r>
      <w:r w:rsidR="006B45CD">
        <w:rPr>
          <w:rFonts w:ascii="Times New Roman" w:hAnsi="Times New Roman" w:cs="Times New Roman"/>
        </w:rPr>
        <w:t>ORSLEY</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Motor of European Integration</w:t>
      </w:r>
      <w:r w:rsidRPr="00B215F2">
        <w:rPr>
          <w:rFonts w:ascii="Times New Roman" w:hAnsi="Times New Roman" w:cs="Times New Roman"/>
        </w:rPr>
        <w:t>, p.954</w:t>
      </w:r>
    </w:p>
  </w:footnote>
  <w:footnote w:id="252">
    <w:p w:rsidR="00970F6F" w:rsidRPr="00B215F2" w:rsidRDefault="00970F6F" w:rsidP="005C01C1">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R. A</w:t>
      </w:r>
      <w:r w:rsidR="006B45CD">
        <w:rPr>
          <w:rFonts w:ascii="Times New Roman" w:hAnsi="Times New Roman" w:cs="Times New Roman"/>
        </w:rPr>
        <w:t>LEXY</w:t>
      </w:r>
      <w:r w:rsidRPr="00B215F2">
        <w:rPr>
          <w:rFonts w:ascii="Times New Roman" w:hAnsi="Times New Roman" w:cs="Times New Roman"/>
        </w:rPr>
        <w:t xml:space="preserve">, </w:t>
      </w:r>
      <w:r w:rsidRPr="00B215F2">
        <w:rPr>
          <w:rFonts w:ascii="Times New Roman" w:hAnsi="Times New Roman" w:cs="Times New Roman"/>
          <w:i/>
        </w:rPr>
        <w:t>A Theory of Constitutional Rights</w:t>
      </w:r>
      <w:r w:rsidR="006B45CD">
        <w:rPr>
          <w:rFonts w:ascii="Times New Roman" w:hAnsi="Times New Roman" w:cs="Times New Roman"/>
        </w:rPr>
        <w:t>, Oxford, OUP, 2010</w:t>
      </w:r>
      <w:r w:rsidRPr="00B215F2">
        <w:rPr>
          <w:rFonts w:ascii="Times New Roman" w:hAnsi="Times New Roman" w:cs="Times New Roman"/>
        </w:rPr>
        <w:t xml:space="preserve">, </w:t>
      </w:r>
      <w:r w:rsidR="006B45CD">
        <w:rPr>
          <w:rFonts w:ascii="Times New Roman" w:hAnsi="Times New Roman" w:cs="Times New Roman"/>
        </w:rPr>
        <w:t>p.</w:t>
      </w:r>
      <w:r w:rsidRPr="00B215F2">
        <w:rPr>
          <w:rFonts w:ascii="Times New Roman" w:hAnsi="Times New Roman" w:cs="Times New Roman"/>
        </w:rPr>
        <w:t>102</w:t>
      </w:r>
    </w:p>
  </w:footnote>
  <w:footnote w:id="253">
    <w:p w:rsidR="00970F6F" w:rsidRPr="00B215F2" w:rsidRDefault="00970F6F" w:rsidP="00615A1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On the significance of the preliminary reference procedure in the related area of  defining  fundamental rights norms, see A. T</w:t>
      </w:r>
      <w:r w:rsidR="006B45CD">
        <w:rPr>
          <w:rFonts w:ascii="Times New Roman" w:hAnsi="Times New Roman" w:cs="Times New Roman"/>
        </w:rPr>
        <w:t>ORRES PEREZ</w:t>
      </w:r>
      <w:r w:rsidRPr="00B215F2">
        <w:rPr>
          <w:rFonts w:ascii="Times New Roman" w:hAnsi="Times New Roman" w:cs="Times New Roman"/>
        </w:rPr>
        <w:t xml:space="preserve">, </w:t>
      </w:r>
      <w:r w:rsidRPr="00B215F2">
        <w:rPr>
          <w:rFonts w:ascii="Times New Roman" w:eastAsia="Times New Roman" w:hAnsi="Times New Roman" w:cs="Times New Roman"/>
          <w:i/>
          <w:lang w:eastAsia="en-GB"/>
        </w:rPr>
        <w:t>Conflicts of Rights in the European Union: A Theory of Supranational Adjudication</w:t>
      </w:r>
      <w:r w:rsidR="006B45CD">
        <w:rPr>
          <w:rFonts w:ascii="Times New Roman" w:eastAsia="Times New Roman" w:hAnsi="Times New Roman" w:cs="Times New Roman"/>
          <w:lang w:eastAsia="en-GB"/>
        </w:rPr>
        <w:t>, Oxford, OUP, 2009</w:t>
      </w:r>
      <w:r w:rsidRPr="00B215F2">
        <w:rPr>
          <w:rFonts w:ascii="Times New Roman" w:hAnsi="Times New Roman" w:cs="Times New Roman"/>
        </w:rPr>
        <w:t xml:space="preserve">, </w:t>
      </w:r>
      <w:r w:rsidR="006B45CD">
        <w:rPr>
          <w:rFonts w:ascii="Times New Roman" w:hAnsi="Times New Roman" w:cs="Times New Roman"/>
        </w:rPr>
        <w:t>pp.</w:t>
      </w:r>
      <w:r w:rsidRPr="00B215F2">
        <w:rPr>
          <w:rFonts w:ascii="Times New Roman" w:hAnsi="Times New Roman" w:cs="Times New Roman"/>
        </w:rPr>
        <w:t>128-129</w:t>
      </w:r>
    </w:p>
  </w:footnote>
  <w:footnote w:id="254">
    <w:p w:rsidR="00970F6F" w:rsidRPr="00B215F2" w:rsidRDefault="00970F6F" w:rsidP="00615A16">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Consider e.g. C</w:t>
      </w:r>
      <w:r w:rsidR="006B45CD">
        <w:rPr>
          <w:rFonts w:ascii="Times New Roman" w:hAnsi="Times New Roman" w:cs="Times New Roman"/>
        </w:rPr>
        <w:t>ourt of Justice, judgment of 12 March 1987, case c-178/84</w:t>
      </w:r>
      <w:r w:rsidRPr="00B215F2">
        <w:rPr>
          <w:rFonts w:ascii="Times New Roman" w:hAnsi="Times New Roman" w:cs="Times New Roman"/>
        </w:rPr>
        <w:t xml:space="preserve"> </w:t>
      </w:r>
      <w:r w:rsidRPr="00B215F2">
        <w:rPr>
          <w:rFonts w:ascii="Times New Roman" w:hAnsi="Times New Roman" w:cs="Times New Roman"/>
          <w:i/>
        </w:rPr>
        <w:t xml:space="preserve">Commission v Germany (Beer Purity) </w:t>
      </w:r>
      <w:r w:rsidRPr="00B215F2">
        <w:rPr>
          <w:rFonts w:ascii="Times New Roman" w:hAnsi="Times New Roman" w:cs="Times New Roman"/>
        </w:rPr>
        <w:t>in which the</w:t>
      </w:r>
      <w:r>
        <w:rPr>
          <w:rFonts w:ascii="Times New Roman" w:hAnsi="Times New Roman" w:cs="Times New Roman"/>
        </w:rPr>
        <w:t xml:space="preserve"> Court noted that while </w:t>
      </w:r>
      <w:proofErr w:type="gramStart"/>
      <w:r w:rsidRPr="00B215F2">
        <w:rPr>
          <w:rFonts w:ascii="Times New Roman" w:hAnsi="Times New Roman" w:cs="Times New Roman"/>
        </w:rPr>
        <w:t>consumers</w:t>
      </w:r>
      <w:proofErr w:type="gramEnd"/>
      <w:r w:rsidRPr="00B215F2">
        <w:rPr>
          <w:rFonts w:ascii="Times New Roman" w:hAnsi="Times New Roman" w:cs="Times New Roman"/>
        </w:rPr>
        <w:t xml:space="preserve"> conceptions may vary from State to State they will also evolve as part of the establishment of the internal market.</w:t>
      </w:r>
    </w:p>
  </w:footnote>
  <w:footnote w:id="255">
    <w:p w:rsidR="00970F6F" w:rsidRPr="00B215F2" w:rsidRDefault="00970F6F" w:rsidP="005F64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w:t>
      </w:r>
      <w:r w:rsidR="006B45CD">
        <w:rPr>
          <w:rFonts w:ascii="Times New Roman" w:hAnsi="Times New Roman" w:cs="Times New Roman"/>
        </w:rPr>
        <w:t>IC SHUIBHNE</w:t>
      </w:r>
      <w:r w:rsidRPr="00B215F2">
        <w:rPr>
          <w:rFonts w:ascii="Times New Roman" w:hAnsi="Times New Roman" w:cs="Times New Roman"/>
          <w:i/>
        </w:rPr>
        <w:t xml:space="preserve">, </w:t>
      </w:r>
      <w:r w:rsidR="006B45CD">
        <w:rPr>
          <w:rFonts w:ascii="Times New Roman" w:hAnsi="Times New Roman" w:cs="Times New Roman"/>
          <w:i/>
        </w:rPr>
        <w:t>Coherence and Fragmentation</w:t>
      </w:r>
      <w:r w:rsidRPr="00B215F2">
        <w:rPr>
          <w:rFonts w:ascii="Times New Roman" w:hAnsi="Times New Roman" w:cs="Times New Roman"/>
        </w:rPr>
        <w:t>, p</w:t>
      </w:r>
      <w:r w:rsidR="006B45CD">
        <w:rPr>
          <w:rFonts w:ascii="Times New Roman" w:hAnsi="Times New Roman" w:cs="Times New Roman"/>
        </w:rPr>
        <w:t>p</w:t>
      </w:r>
      <w:r w:rsidRPr="00B215F2">
        <w:rPr>
          <w:rFonts w:ascii="Times New Roman" w:hAnsi="Times New Roman" w:cs="Times New Roman"/>
        </w:rPr>
        <w:t>.225; 183-184</w:t>
      </w:r>
    </w:p>
  </w:footnote>
  <w:footnote w:id="256">
    <w:p w:rsidR="00970F6F" w:rsidRPr="00B215F2" w:rsidRDefault="00970F6F" w:rsidP="005F648F">
      <w:pPr>
        <w:pStyle w:val="FootnoteText"/>
        <w:rPr>
          <w:rFonts w:ascii="Times New Roman" w:hAnsi="Times New Roman" w:cs="Times New Roman"/>
        </w:rPr>
      </w:pPr>
      <w:r w:rsidRPr="00B215F2">
        <w:rPr>
          <w:rStyle w:val="FootnoteReference"/>
          <w:rFonts w:ascii="Times New Roman" w:hAnsi="Times New Roman" w:cs="Times New Roman"/>
        </w:rPr>
        <w:footnoteRef/>
      </w:r>
      <w:r w:rsidR="006B45CD">
        <w:rPr>
          <w:rFonts w:ascii="Times New Roman" w:hAnsi="Times New Roman" w:cs="Times New Roman"/>
        </w:rPr>
        <w:t xml:space="preserve"> TORRES PEREZ</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Conflicts of Rights in the European Union</w:t>
      </w:r>
      <w:r w:rsidRPr="00B215F2">
        <w:rPr>
          <w:rFonts w:ascii="Times New Roman" w:hAnsi="Times New Roman" w:cs="Times New Roman"/>
        </w:rPr>
        <w:t>, p.120</w:t>
      </w:r>
    </w:p>
  </w:footnote>
  <w:footnote w:id="257">
    <w:p w:rsidR="00970F6F" w:rsidRPr="00B215F2" w:rsidRDefault="00970F6F" w:rsidP="005F648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N</w:t>
      </w:r>
      <w:r w:rsidR="006B45CD">
        <w:rPr>
          <w:rFonts w:ascii="Times New Roman" w:hAnsi="Times New Roman" w:cs="Times New Roman"/>
        </w:rPr>
        <w:t>IC SHUIBHNE</w:t>
      </w:r>
      <w:r w:rsidRPr="00B215F2">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Coherence and Fragmentation,</w:t>
      </w:r>
      <w:r w:rsidR="006B45CD">
        <w:rPr>
          <w:rFonts w:ascii="Times New Roman" w:hAnsi="Times New Roman" w:cs="Times New Roman"/>
        </w:rPr>
        <w:t xml:space="preserve"> p.</w:t>
      </w:r>
      <w:r w:rsidRPr="00B215F2">
        <w:rPr>
          <w:rFonts w:ascii="Times New Roman" w:hAnsi="Times New Roman" w:cs="Times New Roman"/>
        </w:rPr>
        <w:t xml:space="preserve"> 250</w:t>
      </w:r>
    </w:p>
  </w:footnote>
  <w:footnote w:id="258">
    <w:p w:rsidR="00970F6F" w:rsidRPr="00B215F2" w:rsidRDefault="00970F6F" w:rsidP="00D268F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D. GALLO</w:t>
      </w:r>
      <w:r w:rsidRPr="00B215F2">
        <w:rPr>
          <w:rFonts w:ascii="Times New Roman" w:hAnsi="Times New Roman" w:cs="Times New Roman"/>
        </w:rPr>
        <w:t xml:space="preserve">, </w:t>
      </w:r>
      <w:r w:rsidR="006B45CD">
        <w:rPr>
          <w:rFonts w:ascii="Times New Roman" w:hAnsi="Times New Roman" w:cs="Times New Roman"/>
          <w:i/>
        </w:rPr>
        <w:t>Golden Shares</w:t>
      </w:r>
      <w:r w:rsidRPr="00B215F2">
        <w:rPr>
          <w:rFonts w:ascii="Times New Roman" w:hAnsi="Times New Roman" w:cs="Times New Roman"/>
        </w:rPr>
        <w:t>, p.827</w:t>
      </w:r>
    </w:p>
  </w:footnote>
  <w:footnote w:id="259">
    <w:p w:rsidR="00970F6F" w:rsidRPr="00B215F2" w:rsidRDefault="00970F6F" w:rsidP="00D268F0">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Pr="00BB4F33">
        <w:rPr>
          <w:rFonts w:ascii="Times New Roman" w:hAnsi="Times New Roman" w:cs="Times New Roman"/>
          <w:i/>
        </w:rPr>
        <w:t>Ibid</w:t>
      </w:r>
    </w:p>
  </w:footnote>
  <w:footnote w:id="26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D. GALLO</w:t>
      </w:r>
      <w:r w:rsidRPr="00B215F2">
        <w:rPr>
          <w:rFonts w:ascii="Times New Roman" w:hAnsi="Times New Roman" w:cs="Times New Roman"/>
        </w:rPr>
        <w:t xml:space="preserve">, </w:t>
      </w:r>
      <w:r w:rsidR="006B45CD">
        <w:rPr>
          <w:rFonts w:ascii="Times New Roman" w:hAnsi="Times New Roman" w:cs="Times New Roman"/>
          <w:i/>
        </w:rPr>
        <w:t>Golden Shares</w:t>
      </w:r>
      <w:r w:rsidRPr="00B215F2">
        <w:rPr>
          <w:rFonts w:ascii="Times New Roman" w:hAnsi="Times New Roman" w:cs="Times New Roman"/>
        </w:rPr>
        <w:t>, p.829</w:t>
      </w:r>
    </w:p>
  </w:footnote>
  <w:footnote w:id="26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Pr>
          <w:rFonts w:ascii="Times New Roman" w:hAnsi="Times New Roman" w:cs="Times New Roman"/>
        </w:rPr>
        <w:t xml:space="preserve"> </w:t>
      </w:r>
      <w:r w:rsidR="006B45CD">
        <w:rPr>
          <w:rFonts w:ascii="Times New Roman" w:hAnsi="Times New Roman" w:cs="Times New Roman"/>
        </w:rPr>
        <w:t>K. ARMSTRONG</w:t>
      </w:r>
      <w:r>
        <w:rPr>
          <w:rFonts w:ascii="Times New Roman" w:hAnsi="Times New Roman" w:cs="Times New Roman"/>
        </w:rPr>
        <w:t>,</w:t>
      </w:r>
      <w:r w:rsidR="006B45CD">
        <w:rPr>
          <w:rFonts w:ascii="Times New Roman" w:hAnsi="Times New Roman" w:cs="Times New Roman"/>
        </w:rPr>
        <w:t xml:space="preserve"> </w:t>
      </w:r>
      <w:r w:rsidR="006B45CD">
        <w:rPr>
          <w:rFonts w:ascii="Times New Roman" w:hAnsi="Times New Roman" w:cs="Times New Roman"/>
          <w:i/>
        </w:rPr>
        <w:t>Governing Social Inclusion</w:t>
      </w:r>
      <w:r w:rsidRPr="00B215F2">
        <w:rPr>
          <w:rFonts w:ascii="Times New Roman" w:hAnsi="Times New Roman" w:cs="Times New Roman"/>
        </w:rPr>
        <w:t>, p.262</w:t>
      </w:r>
    </w:p>
  </w:footnote>
  <w:footnote w:id="262">
    <w:p w:rsidR="00970F6F" w:rsidRPr="00B215F2" w:rsidRDefault="00970F6F" w:rsidP="00A572A9">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w:t>
      </w:r>
      <w:r w:rsidR="006B45CD">
        <w:rPr>
          <w:rFonts w:ascii="Times New Roman" w:hAnsi="Times New Roman" w:cs="Times New Roman"/>
        </w:rPr>
        <w:t xml:space="preserve">Court of Justice, judgment of </w:t>
      </w:r>
      <w:r w:rsidR="00736279">
        <w:rPr>
          <w:rFonts w:ascii="Times New Roman" w:hAnsi="Times New Roman" w:cs="Times New Roman"/>
        </w:rPr>
        <w:t>7 October 2010, case c</w:t>
      </w:r>
      <w:r w:rsidRPr="00B215F2">
        <w:rPr>
          <w:rFonts w:ascii="Times New Roman" w:hAnsi="Times New Roman" w:cs="Times New Roman"/>
        </w:rPr>
        <w:t xml:space="preserve">-515/08 </w:t>
      </w:r>
      <w:r w:rsidRPr="00B215F2">
        <w:rPr>
          <w:rFonts w:ascii="Times New Roman" w:hAnsi="Times New Roman" w:cs="Times New Roman"/>
          <w:i/>
        </w:rPr>
        <w:t xml:space="preserve">Santos </w:t>
      </w:r>
      <w:proofErr w:type="spellStart"/>
      <w:r w:rsidRPr="00B215F2">
        <w:rPr>
          <w:rFonts w:ascii="Times New Roman" w:hAnsi="Times New Roman" w:cs="Times New Roman"/>
          <w:i/>
        </w:rPr>
        <w:t>Palhota</w:t>
      </w:r>
      <w:proofErr w:type="spellEnd"/>
    </w:p>
  </w:footnote>
  <w:footnote w:id="26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Para.53</w:t>
      </w:r>
    </w:p>
  </w:footnote>
  <w:footnote w:id="264">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Art.3(3) TEU</w:t>
      </w:r>
    </w:p>
  </w:footnote>
  <w:footnote w:id="265">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736279">
        <w:rPr>
          <w:rFonts w:ascii="Times New Roman" w:hAnsi="Times New Roman" w:cs="Times New Roman"/>
        </w:rPr>
        <w:t xml:space="preserve"> </w:t>
      </w:r>
      <w:r w:rsidRPr="00B215F2">
        <w:rPr>
          <w:rFonts w:ascii="Times New Roman" w:hAnsi="Times New Roman" w:cs="Times New Roman"/>
          <w:i/>
        </w:rPr>
        <w:t xml:space="preserve">Santos </w:t>
      </w:r>
      <w:proofErr w:type="spellStart"/>
      <w:r w:rsidRPr="00B215F2">
        <w:rPr>
          <w:rFonts w:ascii="Times New Roman" w:hAnsi="Times New Roman" w:cs="Times New Roman"/>
          <w:i/>
        </w:rPr>
        <w:t>Palhota</w:t>
      </w:r>
      <w:proofErr w:type="spellEnd"/>
      <w:r w:rsidRPr="00B215F2">
        <w:rPr>
          <w:rFonts w:ascii="Times New Roman" w:hAnsi="Times New Roman" w:cs="Times New Roman"/>
        </w:rPr>
        <w:t xml:space="preserve">, </w:t>
      </w:r>
      <w:r w:rsidR="00736279">
        <w:rPr>
          <w:rFonts w:ascii="Times New Roman" w:hAnsi="Times New Roman" w:cs="Times New Roman"/>
        </w:rPr>
        <w:t xml:space="preserve">cit., </w:t>
      </w:r>
      <w:r w:rsidRPr="00B215F2">
        <w:rPr>
          <w:rFonts w:ascii="Times New Roman" w:hAnsi="Times New Roman" w:cs="Times New Roman"/>
        </w:rPr>
        <w:t>para.53</w:t>
      </w:r>
    </w:p>
  </w:footnote>
  <w:footnote w:id="266">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Para.55</w:t>
      </w:r>
    </w:p>
  </w:footnote>
  <w:footnote w:id="267">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w:t>
      </w:r>
      <w:r w:rsidR="00736279">
        <w:rPr>
          <w:rFonts w:ascii="Times New Roman" w:hAnsi="Times New Roman" w:cs="Times New Roman"/>
        </w:rPr>
        <w:t>s</w:t>
      </w:r>
      <w:r w:rsidRPr="00B215F2">
        <w:rPr>
          <w:rFonts w:ascii="Times New Roman" w:hAnsi="Times New Roman" w:cs="Times New Roman"/>
        </w:rPr>
        <w:t>.71-76</w:t>
      </w:r>
    </w:p>
  </w:footnote>
  <w:footnote w:id="268">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C</w:t>
      </w:r>
      <w:r w:rsidR="00736279">
        <w:rPr>
          <w:rFonts w:ascii="Times New Roman" w:hAnsi="Times New Roman" w:cs="Times New Roman"/>
        </w:rPr>
        <w:t>ourt of Justice, judgment of 15 July 2010, case c</w:t>
      </w:r>
      <w:r w:rsidRPr="00B215F2">
        <w:rPr>
          <w:rFonts w:ascii="Times New Roman" w:hAnsi="Times New Roman" w:cs="Times New Roman"/>
        </w:rPr>
        <w:t xml:space="preserve">-271/08 </w:t>
      </w:r>
      <w:r w:rsidRPr="00B215F2">
        <w:rPr>
          <w:rFonts w:ascii="Times New Roman" w:hAnsi="Times New Roman" w:cs="Times New Roman"/>
          <w:i/>
        </w:rPr>
        <w:t>Commission v Germany</w:t>
      </w:r>
    </w:p>
  </w:footnote>
  <w:footnote w:id="269">
    <w:p w:rsidR="00970F6F" w:rsidRPr="00B215F2" w:rsidRDefault="00970F6F" w:rsidP="00E45228">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Paras.179-182</w:t>
      </w:r>
    </w:p>
  </w:footnote>
  <w:footnote w:id="270">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Paras.183-184</w:t>
      </w:r>
    </w:p>
  </w:footnote>
  <w:footnote w:id="271">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Paras.190-191</w:t>
      </w:r>
    </w:p>
  </w:footnote>
  <w:footnote w:id="272">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00736279">
        <w:rPr>
          <w:rFonts w:ascii="Times New Roman" w:hAnsi="Times New Roman" w:cs="Times New Roman"/>
        </w:rPr>
        <w:t xml:space="preserve"> </w:t>
      </w:r>
      <w:r w:rsidRPr="00B215F2">
        <w:rPr>
          <w:rFonts w:ascii="Times New Roman" w:hAnsi="Times New Roman" w:cs="Times New Roman"/>
          <w:i/>
        </w:rPr>
        <w:t>Commission v Germany</w:t>
      </w:r>
      <w:r w:rsidR="00736279">
        <w:rPr>
          <w:rFonts w:ascii="Times New Roman" w:hAnsi="Times New Roman" w:cs="Times New Roman"/>
        </w:rPr>
        <w:t>, cit.</w:t>
      </w:r>
    </w:p>
  </w:footnote>
  <w:footnote w:id="273">
    <w:p w:rsidR="00970F6F" w:rsidRPr="00B215F2" w:rsidRDefault="00970F6F">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Para.44</w:t>
      </w:r>
    </w:p>
  </w:footnote>
  <w:footnote w:id="274">
    <w:p w:rsidR="00970F6F" w:rsidRPr="00B215F2" w:rsidRDefault="00970F6F" w:rsidP="005768F8">
      <w:pPr>
        <w:pStyle w:val="FootnoteText"/>
        <w:rPr>
          <w:rFonts w:ascii="Times New Roman" w:hAnsi="Times New Roman" w:cs="Times New Roman"/>
        </w:rPr>
      </w:pPr>
      <w:r w:rsidRPr="00B215F2">
        <w:rPr>
          <w:rStyle w:val="FootnoteReference"/>
          <w:rFonts w:ascii="Times New Roman" w:hAnsi="Times New Roman" w:cs="Times New Roman"/>
        </w:rPr>
        <w:footnoteRef/>
      </w:r>
      <w:r w:rsidRPr="00B215F2">
        <w:rPr>
          <w:rFonts w:ascii="Times New Roman" w:hAnsi="Times New Roman" w:cs="Times New Roman"/>
        </w:rPr>
        <w:t xml:space="preserve"> Para.52</w:t>
      </w:r>
    </w:p>
  </w:footnote>
  <w:footnote w:id="275">
    <w:p w:rsidR="00970F6F" w:rsidRPr="00B215F2" w:rsidRDefault="00970F6F" w:rsidP="00C72B73">
      <w:pPr>
        <w:pStyle w:val="FootnoteText"/>
        <w:rPr>
          <w:rFonts w:ascii="Times New Roman" w:hAnsi="Times New Roman" w:cs="Times New Roman"/>
        </w:rPr>
      </w:pPr>
      <w:r w:rsidRPr="00B215F2">
        <w:rPr>
          <w:rStyle w:val="FootnoteReference"/>
          <w:rFonts w:ascii="Times New Roman" w:hAnsi="Times New Roman" w:cs="Times New Roman"/>
        </w:rPr>
        <w:footnoteRef/>
      </w:r>
      <w:r w:rsidR="00736279">
        <w:rPr>
          <w:rFonts w:ascii="Times New Roman" w:hAnsi="Times New Roman" w:cs="Times New Roman"/>
        </w:rPr>
        <w:t xml:space="preserve"> </w:t>
      </w:r>
      <w:proofErr w:type="spellStart"/>
      <w:r w:rsidRPr="00B215F2">
        <w:rPr>
          <w:rFonts w:ascii="Times New Roman" w:hAnsi="Times New Roman" w:cs="Times New Roman"/>
          <w:i/>
        </w:rPr>
        <w:t>RegioPost</w:t>
      </w:r>
      <w:proofErr w:type="spellEnd"/>
      <w:r w:rsidR="00736279">
        <w:rPr>
          <w:rFonts w:ascii="Times New Roman" w:hAnsi="Times New Roman" w:cs="Times New Roman"/>
        </w:rPr>
        <w:t>, cit.</w:t>
      </w:r>
      <w:r w:rsidRPr="00B215F2">
        <w:rPr>
          <w:rFonts w:ascii="Times New Roman" w:hAnsi="Times New Roman" w:cs="Times New Roman"/>
        </w:rPr>
        <w:t xml:space="preserve"> </w:t>
      </w:r>
      <w:proofErr w:type="gramStart"/>
      <w:r w:rsidRPr="00B215F2">
        <w:rPr>
          <w:rFonts w:ascii="Times New Roman" w:hAnsi="Times New Roman" w:cs="Times New Roman"/>
        </w:rPr>
        <w:t>Specifically</w:t>
      </w:r>
      <w:proofErr w:type="gramEnd"/>
      <w:r w:rsidRPr="00B215F2">
        <w:rPr>
          <w:rFonts w:ascii="Times New Roman" w:hAnsi="Times New Roman" w:cs="Times New Roman"/>
        </w:rPr>
        <w:t>, the application of certain minimum wage requirements to tenders. For comment, see C. K</w:t>
      </w:r>
      <w:r w:rsidR="00736279">
        <w:rPr>
          <w:rFonts w:ascii="Times New Roman" w:hAnsi="Times New Roman" w:cs="Times New Roman"/>
        </w:rPr>
        <w:t xml:space="preserve">AUPA, </w:t>
      </w:r>
      <w:r w:rsidRPr="00736279">
        <w:rPr>
          <w:rFonts w:ascii="Times New Roman" w:hAnsi="Times New Roman" w:cs="Times New Roman"/>
          <w:i/>
        </w:rPr>
        <w:t>Public procurement, Social Policy and Minimum Wage Regulation for Posted Workers: Towards a More Balanced Soci</w:t>
      </w:r>
      <w:r w:rsidR="00736279" w:rsidRPr="00736279">
        <w:rPr>
          <w:rFonts w:ascii="Times New Roman" w:hAnsi="Times New Roman" w:cs="Times New Roman"/>
          <w:i/>
        </w:rPr>
        <w:t>o-Economic Integration Process</w:t>
      </w:r>
      <w:r w:rsidR="00736279">
        <w:rPr>
          <w:rFonts w:ascii="Times New Roman" w:hAnsi="Times New Roman" w:cs="Times New Roman"/>
        </w:rPr>
        <w:t xml:space="preserve">? </w:t>
      </w:r>
      <w:proofErr w:type="gramStart"/>
      <w:r w:rsidR="00736279">
        <w:rPr>
          <w:rFonts w:ascii="Times New Roman" w:hAnsi="Times New Roman" w:cs="Times New Roman"/>
        </w:rPr>
        <w:t>in</w:t>
      </w:r>
      <w:proofErr w:type="gramEnd"/>
      <w:r w:rsidRPr="00B215F2">
        <w:rPr>
          <w:rFonts w:ascii="Times New Roman" w:hAnsi="Times New Roman" w:cs="Times New Roman"/>
        </w:rPr>
        <w:t xml:space="preserve"> </w:t>
      </w:r>
      <w:r w:rsidRPr="00B215F2">
        <w:rPr>
          <w:rFonts w:ascii="Times New Roman" w:hAnsi="Times New Roman" w:cs="Times New Roman"/>
          <w:i/>
        </w:rPr>
        <w:t>European Papers</w:t>
      </w:r>
      <w:r w:rsidR="00736279">
        <w:rPr>
          <w:rFonts w:ascii="Times New Roman" w:hAnsi="Times New Roman" w:cs="Times New Roman"/>
          <w:i/>
        </w:rPr>
        <w:t xml:space="preserve">, </w:t>
      </w:r>
      <w:r w:rsidR="00736279">
        <w:rPr>
          <w:rFonts w:ascii="Times New Roman" w:hAnsi="Times New Roman" w:cs="Times New Roman"/>
        </w:rPr>
        <w:t>2016,</w:t>
      </w:r>
      <w:r w:rsidRPr="00B215F2">
        <w:rPr>
          <w:rFonts w:ascii="Times New Roman" w:hAnsi="Times New Roman" w:cs="Times New Roman"/>
        </w:rPr>
        <w:t xml:space="preserve"> </w:t>
      </w:r>
      <w:r w:rsidR="00736279">
        <w:rPr>
          <w:rFonts w:ascii="Times New Roman" w:hAnsi="Times New Roman" w:cs="Times New Roman"/>
        </w:rPr>
        <w:t>p.</w:t>
      </w:r>
      <w:r w:rsidRPr="00B215F2">
        <w:rPr>
          <w:rFonts w:ascii="Times New Roman" w:hAnsi="Times New Roman" w:cs="Times New Roman"/>
        </w:rPr>
        <w:t>127</w:t>
      </w:r>
      <w:r w:rsidR="00736279">
        <w:rPr>
          <w:rFonts w:ascii="Times New Roman" w:hAnsi="Times New Roman" w:cs="Times New Roman"/>
          <w:i/>
        </w:rPr>
        <w:t xml:space="preserve"> et seq.</w:t>
      </w:r>
    </w:p>
  </w:footnote>
  <w:footnote w:id="276">
    <w:p w:rsidR="00970F6F" w:rsidRPr="00736279" w:rsidRDefault="00970F6F" w:rsidP="00C72B73">
      <w:pPr>
        <w:pStyle w:val="FootnoteText"/>
        <w:rPr>
          <w:rFonts w:ascii="Times New Roman" w:hAnsi="Times New Roman" w:cs="Times New Roman"/>
        </w:rPr>
      </w:pPr>
      <w:r w:rsidRPr="00B215F2">
        <w:rPr>
          <w:rStyle w:val="FootnoteReference"/>
          <w:rFonts w:ascii="Times New Roman" w:hAnsi="Times New Roman" w:cs="Times New Roman"/>
        </w:rPr>
        <w:footnoteRef/>
      </w:r>
      <w:r w:rsidR="00736279">
        <w:rPr>
          <w:rFonts w:ascii="Times New Roman" w:hAnsi="Times New Roman" w:cs="Times New Roman"/>
        </w:rPr>
        <w:t xml:space="preserve"> </w:t>
      </w:r>
      <w:proofErr w:type="spellStart"/>
      <w:r w:rsidRPr="00B215F2">
        <w:rPr>
          <w:rFonts w:ascii="Times New Roman" w:hAnsi="Times New Roman" w:cs="Times New Roman"/>
          <w:i/>
        </w:rPr>
        <w:t>Rüffert</w:t>
      </w:r>
      <w:proofErr w:type="spellEnd"/>
      <w:r w:rsidR="00736279">
        <w:rPr>
          <w:rFonts w:ascii="Times New Roman" w:hAnsi="Times New Roman" w:cs="Times New Roman"/>
        </w:rPr>
        <w:t>,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52D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8734D"/>
    <w:multiLevelType w:val="hybridMultilevel"/>
    <w:tmpl w:val="51F6B7AC"/>
    <w:lvl w:ilvl="0" w:tplc="271822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3939"/>
    <w:multiLevelType w:val="hybridMultilevel"/>
    <w:tmpl w:val="81D2C2C6"/>
    <w:lvl w:ilvl="0" w:tplc="59F47D04">
      <w:numFmt w:val="bullet"/>
      <w:lvlText w:val="-"/>
      <w:lvlJc w:val="left"/>
      <w:pPr>
        <w:ind w:left="720" w:hanging="360"/>
      </w:pPr>
      <w:rPr>
        <w:rFonts w:ascii="Times New Roman" w:eastAsiaTheme="minorHAnsi"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44FD4"/>
    <w:multiLevelType w:val="multilevel"/>
    <w:tmpl w:val="9084ACB6"/>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DFB41EE"/>
    <w:multiLevelType w:val="hybridMultilevel"/>
    <w:tmpl w:val="3F8C3142"/>
    <w:lvl w:ilvl="0" w:tplc="F9143358">
      <w:start w:val="1"/>
      <w:numFmt w:val="upperRoman"/>
      <w:lvlText w:val="%1."/>
      <w:lvlJc w:val="left"/>
      <w:pPr>
        <w:ind w:left="1080" w:hanging="72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457D8"/>
    <w:multiLevelType w:val="hybridMultilevel"/>
    <w:tmpl w:val="47BAFFD2"/>
    <w:lvl w:ilvl="0" w:tplc="8662D0E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51C99"/>
    <w:multiLevelType w:val="multilevel"/>
    <w:tmpl w:val="884078C4"/>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B000A01"/>
    <w:multiLevelType w:val="multilevel"/>
    <w:tmpl w:val="9084ACB6"/>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C53E84"/>
    <w:multiLevelType w:val="hybridMultilevel"/>
    <w:tmpl w:val="0584DAD6"/>
    <w:lvl w:ilvl="0" w:tplc="24E23AC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709"/>
    <w:multiLevelType w:val="hybridMultilevel"/>
    <w:tmpl w:val="5D5043D0"/>
    <w:lvl w:ilvl="0" w:tplc="A5CAAFA8">
      <w:start w:val="4"/>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1"/>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28"/>
    <w:rsid w:val="00000814"/>
    <w:rsid w:val="00000B0A"/>
    <w:rsid w:val="0000368D"/>
    <w:rsid w:val="000066B1"/>
    <w:rsid w:val="00006C2B"/>
    <w:rsid w:val="00010513"/>
    <w:rsid w:val="00010F95"/>
    <w:rsid w:val="000115B5"/>
    <w:rsid w:val="00011BFF"/>
    <w:rsid w:val="00012619"/>
    <w:rsid w:val="00013E93"/>
    <w:rsid w:val="0001463A"/>
    <w:rsid w:val="00014659"/>
    <w:rsid w:val="000169FA"/>
    <w:rsid w:val="00016EC3"/>
    <w:rsid w:val="00020402"/>
    <w:rsid w:val="00021125"/>
    <w:rsid w:val="00021341"/>
    <w:rsid w:val="000223C5"/>
    <w:rsid w:val="00022415"/>
    <w:rsid w:val="00022AD1"/>
    <w:rsid w:val="000233B9"/>
    <w:rsid w:val="000250AF"/>
    <w:rsid w:val="000264B1"/>
    <w:rsid w:val="000322B2"/>
    <w:rsid w:val="00032956"/>
    <w:rsid w:val="00034357"/>
    <w:rsid w:val="000353E1"/>
    <w:rsid w:val="0003594F"/>
    <w:rsid w:val="00036061"/>
    <w:rsid w:val="000360FD"/>
    <w:rsid w:val="000361D3"/>
    <w:rsid w:val="00036208"/>
    <w:rsid w:val="00037D27"/>
    <w:rsid w:val="00037FA4"/>
    <w:rsid w:val="000402D4"/>
    <w:rsid w:val="00040952"/>
    <w:rsid w:val="00040F28"/>
    <w:rsid w:val="0004107D"/>
    <w:rsid w:val="00041BB8"/>
    <w:rsid w:val="00042C3D"/>
    <w:rsid w:val="00043773"/>
    <w:rsid w:val="00045EF4"/>
    <w:rsid w:val="00046111"/>
    <w:rsid w:val="000473F1"/>
    <w:rsid w:val="00047FCD"/>
    <w:rsid w:val="00050A7D"/>
    <w:rsid w:val="00050DBF"/>
    <w:rsid w:val="00052DB2"/>
    <w:rsid w:val="00053026"/>
    <w:rsid w:val="00057C51"/>
    <w:rsid w:val="0006165F"/>
    <w:rsid w:val="00061D85"/>
    <w:rsid w:val="00061EBD"/>
    <w:rsid w:val="000627B3"/>
    <w:rsid w:val="00062AB0"/>
    <w:rsid w:val="00065173"/>
    <w:rsid w:val="000669E4"/>
    <w:rsid w:val="00066B84"/>
    <w:rsid w:val="0006727D"/>
    <w:rsid w:val="00070A2A"/>
    <w:rsid w:val="00070D9E"/>
    <w:rsid w:val="0007176D"/>
    <w:rsid w:val="000717BB"/>
    <w:rsid w:val="0007307F"/>
    <w:rsid w:val="000739F1"/>
    <w:rsid w:val="0008173F"/>
    <w:rsid w:val="00083B10"/>
    <w:rsid w:val="00084064"/>
    <w:rsid w:val="00084893"/>
    <w:rsid w:val="00084F6D"/>
    <w:rsid w:val="00085417"/>
    <w:rsid w:val="00085447"/>
    <w:rsid w:val="00087574"/>
    <w:rsid w:val="000907AC"/>
    <w:rsid w:val="00092DA7"/>
    <w:rsid w:val="00095EEF"/>
    <w:rsid w:val="00096CBA"/>
    <w:rsid w:val="00097896"/>
    <w:rsid w:val="000A0D6C"/>
    <w:rsid w:val="000A109F"/>
    <w:rsid w:val="000A17E8"/>
    <w:rsid w:val="000A29F7"/>
    <w:rsid w:val="000A3118"/>
    <w:rsid w:val="000A3D2C"/>
    <w:rsid w:val="000A4150"/>
    <w:rsid w:val="000A4D56"/>
    <w:rsid w:val="000A5252"/>
    <w:rsid w:val="000A5F1F"/>
    <w:rsid w:val="000A605C"/>
    <w:rsid w:val="000A7A96"/>
    <w:rsid w:val="000A7B46"/>
    <w:rsid w:val="000B1C21"/>
    <w:rsid w:val="000B1F5A"/>
    <w:rsid w:val="000B248E"/>
    <w:rsid w:val="000B25B4"/>
    <w:rsid w:val="000B2A63"/>
    <w:rsid w:val="000B30D0"/>
    <w:rsid w:val="000B5D67"/>
    <w:rsid w:val="000B7605"/>
    <w:rsid w:val="000B766E"/>
    <w:rsid w:val="000C0394"/>
    <w:rsid w:val="000C5F10"/>
    <w:rsid w:val="000D072D"/>
    <w:rsid w:val="000D0DE0"/>
    <w:rsid w:val="000D1EAC"/>
    <w:rsid w:val="000D54F6"/>
    <w:rsid w:val="000D58AC"/>
    <w:rsid w:val="000D5AFB"/>
    <w:rsid w:val="000D7125"/>
    <w:rsid w:val="000D7509"/>
    <w:rsid w:val="000D7CCF"/>
    <w:rsid w:val="000E0233"/>
    <w:rsid w:val="000E1628"/>
    <w:rsid w:val="000E224F"/>
    <w:rsid w:val="000E2DD7"/>
    <w:rsid w:val="000E38A2"/>
    <w:rsid w:val="000E4F43"/>
    <w:rsid w:val="000E7214"/>
    <w:rsid w:val="000F1E91"/>
    <w:rsid w:val="000F27ED"/>
    <w:rsid w:val="000F28B0"/>
    <w:rsid w:val="000F30B9"/>
    <w:rsid w:val="000F3192"/>
    <w:rsid w:val="000F5C8C"/>
    <w:rsid w:val="000F6A57"/>
    <w:rsid w:val="000F7D1F"/>
    <w:rsid w:val="00101850"/>
    <w:rsid w:val="00101C1D"/>
    <w:rsid w:val="00102EDD"/>
    <w:rsid w:val="00104A6E"/>
    <w:rsid w:val="00105ECF"/>
    <w:rsid w:val="0011014C"/>
    <w:rsid w:val="0011076F"/>
    <w:rsid w:val="0011442E"/>
    <w:rsid w:val="001144A2"/>
    <w:rsid w:val="00114D37"/>
    <w:rsid w:val="001153BB"/>
    <w:rsid w:val="00115E7C"/>
    <w:rsid w:val="00117644"/>
    <w:rsid w:val="00117AD5"/>
    <w:rsid w:val="001200F4"/>
    <w:rsid w:val="0012024D"/>
    <w:rsid w:val="0012071F"/>
    <w:rsid w:val="00121612"/>
    <w:rsid w:val="0012184B"/>
    <w:rsid w:val="00121DF4"/>
    <w:rsid w:val="00121F32"/>
    <w:rsid w:val="0012273D"/>
    <w:rsid w:val="00122B44"/>
    <w:rsid w:val="001233E1"/>
    <w:rsid w:val="001239C8"/>
    <w:rsid w:val="00123D40"/>
    <w:rsid w:val="001245D3"/>
    <w:rsid w:val="001253BA"/>
    <w:rsid w:val="00125947"/>
    <w:rsid w:val="00126667"/>
    <w:rsid w:val="001273B9"/>
    <w:rsid w:val="0012755A"/>
    <w:rsid w:val="001312DF"/>
    <w:rsid w:val="00131A71"/>
    <w:rsid w:val="00131D48"/>
    <w:rsid w:val="001324F4"/>
    <w:rsid w:val="00132E12"/>
    <w:rsid w:val="00133A02"/>
    <w:rsid w:val="0013568E"/>
    <w:rsid w:val="00136BD4"/>
    <w:rsid w:val="001377CC"/>
    <w:rsid w:val="00137A5E"/>
    <w:rsid w:val="00137DAB"/>
    <w:rsid w:val="00140A4D"/>
    <w:rsid w:val="001410ED"/>
    <w:rsid w:val="00142178"/>
    <w:rsid w:val="001435D2"/>
    <w:rsid w:val="001449FE"/>
    <w:rsid w:val="001458D7"/>
    <w:rsid w:val="00145A2C"/>
    <w:rsid w:val="0014635C"/>
    <w:rsid w:val="001463A9"/>
    <w:rsid w:val="00146706"/>
    <w:rsid w:val="00147739"/>
    <w:rsid w:val="00151C3A"/>
    <w:rsid w:val="001521CB"/>
    <w:rsid w:val="001531BD"/>
    <w:rsid w:val="00154310"/>
    <w:rsid w:val="00155C70"/>
    <w:rsid w:val="00156593"/>
    <w:rsid w:val="00156758"/>
    <w:rsid w:val="0015724A"/>
    <w:rsid w:val="0016094F"/>
    <w:rsid w:val="00161BD5"/>
    <w:rsid w:val="00161C02"/>
    <w:rsid w:val="00164861"/>
    <w:rsid w:val="0016618B"/>
    <w:rsid w:val="001663D2"/>
    <w:rsid w:val="00166404"/>
    <w:rsid w:val="001667E2"/>
    <w:rsid w:val="00166A0B"/>
    <w:rsid w:val="001679CD"/>
    <w:rsid w:val="00167BF5"/>
    <w:rsid w:val="00173E17"/>
    <w:rsid w:val="00175239"/>
    <w:rsid w:val="001762BE"/>
    <w:rsid w:val="00177F65"/>
    <w:rsid w:val="0018313F"/>
    <w:rsid w:val="001839F7"/>
    <w:rsid w:val="00184DDE"/>
    <w:rsid w:val="00185608"/>
    <w:rsid w:val="00187B38"/>
    <w:rsid w:val="00190D47"/>
    <w:rsid w:val="00193A9A"/>
    <w:rsid w:val="00194035"/>
    <w:rsid w:val="0019488C"/>
    <w:rsid w:val="00195B8F"/>
    <w:rsid w:val="0019634D"/>
    <w:rsid w:val="001963A4"/>
    <w:rsid w:val="00196768"/>
    <w:rsid w:val="00196F1D"/>
    <w:rsid w:val="00196F2A"/>
    <w:rsid w:val="00197244"/>
    <w:rsid w:val="001A0009"/>
    <w:rsid w:val="001A04F7"/>
    <w:rsid w:val="001A0DBE"/>
    <w:rsid w:val="001A15AF"/>
    <w:rsid w:val="001A3097"/>
    <w:rsid w:val="001A343E"/>
    <w:rsid w:val="001A4272"/>
    <w:rsid w:val="001A52D9"/>
    <w:rsid w:val="001A5EB6"/>
    <w:rsid w:val="001A63DF"/>
    <w:rsid w:val="001A67C4"/>
    <w:rsid w:val="001A6D19"/>
    <w:rsid w:val="001B0ADB"/>
    <w:rsid w:val="001B0CEB"/>
    <w:rsid w:val="001B16D7"/>
    <w:rsid w:val="001B37FA"/>
    <w:rsid w:val="001B52DE"/>
    <w:rsid w:val="001B6EA8"/>
    <w:rsid w:val="001B7604"/>
    <w:rsid w:val="001B7D7A"/>
    <w:rsid w:val="001B7E31"/>
    <w:rsid w:val="001C08A5"/>
    <w:rsid w:val="001C1ABF"/>
    <w:rsid w:val="001C2BD8"/>
    <w:rsid w:val="001C3ECE"/>
    <w:rsid w:val="001C425F"/>
    <w:rsid w:val="001C46F4"/>
    <w:rsid w:val="001C525B"/>
    <w:rsid w:val="001C525C"/>
    <w:rsid w:val="001C7A59"/>
    <w:rsid w:val="001C7D65"/>
    <w:rsid w:val="001D0A89"/>
    <w:rsid w:val="001D0C3B"/>
    <w:rsid w:val="001D11F8"/>
    <w:rsid w:val="001D255C"/>
    <w:rsid w:val="001D290D"/>
    <w:rsid w:val="001D38EF"/>
    <w:rsid w:val="001D3F49"/>
    <w:rsid w:val="001D4C61"/>
    <w:rsid w:val="001D4DD2"/>
    <w:rsid w:val="001D5241"/>
    <w:rsid w:val="001D7713"/>
    <w:rsid w:val="001D78CC"/>
    <w:rsid w:val="001E18E9"/>
    <w:rsid w:val="001E2C16"/>
    <w:rsid w:val="001E35AB"/>
    <w:rsid w:val="001E381F"/>
    <w:rsid w:val="001E3E11"/>
    <w:rsid w:val="001E55F4"/>
    <w:rsid w:val="001E5C48"/>
    <w:rsid w:val="001F00F4"/>
    <w:rsid w:val="001F0AEB"/>
    <w:rsid w:val="001F0C5C"/>
    <w:rsid w:val="001F16C1"/>
    <w:rsid w:val="001F1C0D"/>
    <w:rsid w:val="001F2576"/>
    <w:rsid w:val="001F3CA8"/>
    <w:rsid w:val="001F59DC"/>
    <w:rsid w:val="001F5AD4"/>
    <w:rsid w:val="001F6C74"/>
    <w:rsid w:val="00203F02"/>
    <w:rsid w:val="002041F8"/>
    <w:rsid w:val="0020580E"/>
    <w:rsid w:val="00205951"/>
    <w:rsid w:val="002074B6"/>
    <w:rsid w:val="0021025E"/>
    <w:rsid w:val="0021141C"/>
    <w:rsid w:val="00214A9D"/>
    <w:rsid w:val="00216948"/>
    <w:rsid w:val="00217ABF"/>
    <w:rsid w:val="002206C1"/>
    <w:rsid w:val="00221511"/>
    <w:rsid w:val="002218F6"/>
    <w:rsid w:val="002231C3"/>
    <w:rsid w:val="002247C8"/>
    <w:rsid w:val="00225872"/>
    <w:rsid w:val="00227C39"/>
    <w:rsid w:val="00230C31"/>
    <w:rsid w:val="0023132D"/>
    <w:rsid w:val="00232747"/>
    <w:rsid w:val="00232FFA"/>
    <w:rsid w:val="00233544"/>
    <w:rsid w:val="00233BAB"/>
    <w:rsid w:val="00233DAC"/>
    <w:rsid w:val="00236CDC"/>
    <w:rsid w:val="00237417"/>
    <w:rsid w:val="002374DB"/>
    <w:rsid w:val="002375AF"/>
    <w:rsid w:val="00237D1D"/>
    <w:rsid w:val="0024284E"/>
    <w:rsid w:val="002431F0"/>
    <w:rsid w:val="00243D53"/>
    <w:rsid w:val="00244459"/>
    <w:rsid w:val="002470B4"/>
    <w:rsid w:val="00251093"/>
    <w:rsid w:val="00251BCA"/>
    <w:rsid w:val="00253D65"/>
    <w:rsid w:val="00255C04"/>
    <w:rsid w:val="00255F84"/>
    <w:rsid w:val="002663E5"/>
    <w:rsid w:val="002667E2"/>
    <w:rsid w:val="00267666"/>
    <w:rsid w:val="00270748"/>
    <w:rsid w:val="00270929"/>
    <w:rsid w:val="0027231F"/>
    <w:rsid w:val="002731F0"/>
    <w:rsid w:val="00275BAE"/>
    <w:rsid w:val="00275E7B"/>
    <w:rsid w:val="002760D7"/>
    <w:rsid w:val="00276905"/>
    <w:rsid w:val="002773A4"/>
    <w:rsid w:val="00277667"/>
    <w:rsid w:val="00277FDC"/>
    <w:rsid w:val="00281A8A"/>
    <w:rsid w:val="00281B27"/>
    <w:rsid w:val="00281EE9"/>
    <w:rsid w:val="00282456"/>
    <w:rsid w:val="00283D34"/>
    <w:rsid w:val="0028468C"/>
    <w:rsid w:val="00285E3E"/>
    <w:rsid w:val="00286508"/>
    <w:rsid w:val="0028652E"/>
    <w:rsid w:val="002879E6"/>
    <w:rsid w:val="002923FA"/>
    <w:rsid w:val="00293A1C"/>
    <w:rsid w:val="002A0BA8"/>
    <w:rsid w:val="002A2DE5"/>
    <w:rsid w:val="002A5ABD"/>
    <w:rsid w:val="002A5C99"/>
    <w:rsid w:val="002A5E69"/>
    <w:rsid w:val="002A6A02"/>
    <w:rsid w:val="002A6ED9"/>
    <w:rsid w:val="002A70E7"/>
    <w:rsid w:val="002B1BE5"/>
    <w:rsid w:val="002B3A12"/>
    <w:rsid w:val="002B655F"/>
    <w:rsid w:val="002B660A"/>
    <w:rsid w:val="002C00ED"/>
    <w:rsid w:val="002C0C00"/>
    <w:rsid w:val="002C2D17"/>
    <w:rsid w:val="002C2F2B"/>
    <w:rsid w:val="002C3654"/>
    <w:rsid w:val="002C3ADF"/>
    <w:rsid w:val="002C54AF"/>
    <w:rsid w:val="002C5E99"/>
    <w:rsid w:val="002C6CE4"/>
    <w:rsid w:val="002D01EE"/>
    <w:rsid w:val="002D08BB"/>
    <w:rsid w:val="002D1250"/>
    <w:rsid w:val="002D3494"/>
    <w:rsid w:val="002D4CA7"/>
    <w:rsid w:val="002D6F48"/>
    <w:rsid w:val="002D77CE"/>
    <w:rsid w:val="002D7C03"/>
    <w:rsid w:val="002D7F0E"/>
    <w:rsid w:val="002E0239"/>
    <w:rsid w:val="002E024A"/>
    <w:rsid w:val="002E106C"/>
    <w:rsid w:val="002E6080"/>
    <w:rsid w:val="002E6BA4"/>
    <w:rsid w:val="002E6F38"/>
    <w:rsid w:val="002F073A"/>
    <w:rsid w:val="002F09C6"/>
    <w:rsid w:val="002F17C8"/>
    <w:rsid w:val="002F1F80"/>
    <w:rsid w:val="002F33D2"/>
    <w:rsid w:val="002F41DE"/>
    <w:rsid w:val="002F6F7D"/>
    <w:rsid w:val="002F7462"/>
    <w:rsid w:val="00301325"/>
    <w:rsid w:val="00302637"/>
    <w:rsid w:val="0030268D"/>
    <w:rsid w:val="00302AEF"/>
    <w:rsid w:val="0030308F"/>
    <w:rsid w:val="003033A7"/>
    <w:rsid w:val="0030474E"/>
    <w:rsid w:val="00307396"/>
    <w:rsid w:val="00310ADE"/>
    <w:rsid w:val="003111A5"/>
    <w:rsid w:val="00311C69"/>
    <w:rsid w:val="00313A49"/>
    <w:rsid w:val="00314A68"/>
    <w:rsid w:val="00314AA5"/>
    <w:rsid w:val="003152AB"/>
    <w:rsid w:val="003201C0"/>
    <w:rsid w:val="00320CB0"/>
    <w:rsid w:val="00320DD7"/>
    <w:rsid w:val="003215FE"/>
    <w:rsid w:val="00321BF7"/>
    <w:rsid w:val="00321C99"/>
    <w:rsid w:val="00322FA6"/>
    <w:rsid w:val="0032443A"/>
    <w:rsid w:val="00325BFB"/>
    <w:rsid w:val="00326E0B"/>
    <w:rsid w:val="003273C8"/>
    <w:rsid w:val="003273E0"/>
    <w:rsid w:val="00331876"/>
    <w:rsid w:val="0033278D"/>
    <w:rsid w:val="00333986"/>
    <w:rsid w:val="00333998"/>
    <w:rsid w:val="00334858"/>
    <w:rsid w:val="003355B6"/>
    <w:rsid w:val="00335EC4"/>
    <w:rsid w:val="00336738"/>
    <w:rsid w:val="00337200"/>
    <w:rsid w:val="0033795C"/>
    <w:rsid w:val="00340474"/>
    <w:rsid w:val="0034270E"/>
    <w:rsid w:val="00344686"/>
    <w:rsid w:val="00344715"/>
    <w:rsid w:val="00345BA3"/>
    <w:rsid w:val="00345DCB"/>
    <w:rsid w:val="00345E36"/>
    <w:rsid w:val="003462D3"/>
    <w:rsid w:val="0034689F"/>
    <w:rsid w:val="00346A7F"/>
    <w:rsid w:val="003474E4"/>
    <w:rsid w:val="0035048C"/>
    <w:rsid w:val="0035080E"/>
    <w:rsid w:val="003529CC"/>
    <w:rsid w:val="0035304B"/>
    <w:rsid w:val="00353788"/>
    <w:rsid w:val="00355646"/>
    <w:rsid w:val="00355B42"/>
    <w:rsid w:val="00356CE7"/>
    <w:rsid w:val="00357F14"/>
    <w:rsid w:val="00360188"/>
    <w:rsid w:val="00360327"/>
    <w:rsid w:val="00361102"/>
    <w:rsid w:val="00362D79"/>
    <w:rsid w:val="0036416C"/>
    <w:rsid w:val="00364C91"/>
    <w:rsid w:val="00365694"/>
    <w:rsid w:val="003656DE"/>
    <w:rsid w:val="00365968"/>
    <w:rsid w:val="0036662E"/>
    <w:rsid w:val="00367BA4"/>
    <w:rsid w:val="00371F13"/>
    <w:rsid w:val="00372D2D"/>
    <w:rsid w:val="00373D6F"/>
    <w:rsid w:val="003740FB"/>
    <w:rsid w:val="00374372"/>
    <w:rsid w:val="0037514E"/>
    <w:rsid w:val="0038195A"/>
    <w:rsid w:val="00382147"/>
    <w:rsid w:val="0038249C"/>
    <w:rsid w:val="003833B0"/>
    <w:rsid w:val="00383C70"/>
    <w:rsid w:val="00384B4E"/>
    <w:rsid w:val="00386C63"/>
    <w:rsid w:val="00386FA8"/>
    <w:rsid w:val="00386FC5"/>
    <w:rsid w:val="003949D4"/>
    <w:rsid w:val="003954C2"/>
    <w:rsid w:val="00396D8B"/>
    <w:rsid w:val="00396E76"/>
    <w:rsid w:val="00397055"/>
    <w:rsid w:val="003975F3"/>
    <w:rsid w:val="003A08FE"/>
    <w:rsid w:val="003A0E8E"/>
    <w:rsid w:val="003A1149"/>
    <w:rsid w:val="003A4CA8"/>
    <w:rsid w:val="003A5323"/>
    <w:rsid w:val="003B0D99"/>
    <w:rsid w:val="003B0E07"/>
    <w:rsid w:val="003B204D"/>
    <w:rsid w:val="003B35F1"/>
    <w:rsid w:val="003B4144"/>
    <w:rsid w:val="003B50E3"/>
    <w:rsid w:val="003B5CBE"/>
    <w:rsid w:val="003B6B9B"/>
    <w:rsid w:val="003B79EE"/>
    <w:rsid w:val="003C2EB0"/>
    <w:rsid w:val="003C3989"/>
    <w:rsid w:val="003C45A1"/>
    <w:rsid w:val="003C77AF"/>
    <w:rsid w:val="003C7863"/>
    <w:rsid w:val="003D10F5"/>
    <w:rsid w:val="003D120A"/>
    <w:rsid w:val="003D2024"/>
    <w:rsid w:val="003D23C7"/>
    <w:rsid w:val="003D2416"/>
    <w:rsid w:val="003D315C"/>
    <w:rsid w:val="003D5777"/>
    <w:rsid w:val="003D5BC3"/>
    <w:rsid w:val="003D63CE"/>
    <w:rsid w:val="003D7BDE"/>
    <w:rsid w:val="003E1325"/>
    <w:rsid w:val="003E1EFD"/>
    <w:rsid w:val="003E211E"/>
    <w:rsid w:val="003E3CBE"/>
    <w:rsid w:val="003E5B81"/>
    <w:rsid w:val="003E6B79"/>
    <w:rsid w:val="003F1A20"/>
    <w:rsid w:val="003F1CB5"/>
    <w:rsid w:val="003F2B41"/>
    <w:rsid w:val="003F3B15"/>
    <w:rsid w:val="003F67FC"/>
    <w:rsid w:val="003F73EE"/>
    <w:rsid w:val="003F75BC"/>
    <w:rsid w:val="00400712"/>
    <w:rsid w:val="00400B79"/>
    <w:rsid w:val="00400E16"/>
    <w:rsid w:val="004037A8"/>
    <w:rsid w:val="00404136"/>
    <w:rsid w:val="004044FB"/>
    <w:rsid w:val="004045EA"/>
    <w:rsid w:val="00405FF0"/>
    <w:rsid w:val="00406793"/>
    <w:rsid w:val="00406A6B"/>
    <w:rsid w:val="00406B76"/>
    <w:rsid w:val="00411177"/>
    <w:rsid w:val="004121DB"/>
    <w:rsid w:val="00412C51"/>
    <w:rsid w:val="00412CC7"/>
    <w:rsid w:val="00413E56"/>
    <w:rsid w:val="004158F4"/>
    <w:rsid w:val="00415CC7"/>
    <w:rsid w:val="004178C0"/>
    <w:rsid w:val="00421FFC"/>
    <w:rsid w:val="00422B42"/>
    <w:rsid w:val="0042414C"/>
    <w:rsid w:val="00424740"/>
    <w:rsid w:val="004253F4"/>
    <w:rsid w:val="00425ADD"/>
    <w:rsid w:val="00425E1D"/>
    <w:rsid w:val="00426156"/>
    <w:rsid w:val="00427F57"/>
    <w:rsid w:val="00432718"/>
    <w:rsid w:val="00432D5E"/>
    <w:rsid w:val="00435297"/>
    <w:rsid w:val="00437B0F"/>
    <w:rsid w:val="00440D73"/>
    <w:rsid w:val="004415C6"/>
    <w:rsid w:val="00441D92"/>
    <w:rsid w:val="00441E3F"/>
    <w:rsid w:val="00442136"/>
    <w:rsid w:val="00445144"/>
    <w:rsid w:val="00446180"/>
    <w:rsid w:val="00447E60"/>
    <w:rsid w:val="00450EAE"/>
    <w:rsid w:val="00452360"/>
    <w:rsid w:val="00455B75"/>
    <w:rsid w:val="0045673E"/>
    <w:rsid w:val="00456A54"/>
    <w:rsid w:val="00456F7B"/>
    <w:rsid w:val="004570F9"/>
    <w:rsid w:val="00460C0E"/>
    <w:rsid w:val="00461142"/>
    <w:rsid w:val="00462CC5"/>
    <w:rsid w:val="00463DB7"/>
    <w:rsid w:val="00464A59"/>
    <w:rsid w:val="00465335"/>
    <w:rsid w:val="00465B82"/>
    <w:rsid w:val="00465DC3"/>
    <w:rsid w:val="00465F1C"/>
    <w:rsid w:val="00470532"/>
    <w:rsid w:val="00470AD5"/>
    <w:rsid w:val="00472140"/>
    <w:rsid w:val="004726A6"/>
    <w:rsid w:val="00472D98"/>
    <w:rsid w:val="00472FD4"/>
    <w:rsid w:val="00472FFD"/>
    <w:rsid w:val="00473074"/>
    <w:rsid w:val="00474B68"/>
    <w:rsid w:val="00477E5B"/>
    <w:rsid w:val="00480174"/>
    <w:rsid w:val="00480CF1"/>
    <w:rsid w:val="004823FC"/>
    <w:rsid w:val="00482D47"/>
    <w:rsid w:val="00483C86"/>
    <w:rsid w:val="00483DC9"/>
    <w:rsid w:val="004842C7"/>
    <w:rsid w:val="00485998"/>
    <w:rsid w:val="00486B80"/>
    <w:rsid w:val="00486CD4"/>
    <w:rsid w:val="00490950"/>
    <w:rsid w:val="00490C35"/>
    <w:rsid w:val="00492065"/>
    <w:rsid w:val="0049292B"/>
    <w:rsid w:val="0049364C"/>
    <w:rsid w:val="004944C4"/>
    <w:rsid w:val="00494F64"/>
    <w:rsid w:val="00495DBB"/>
    <w:rsid w:val="00497C0F"/>
    <w:rsid w:val="004A0642"/>
    <w:rsid w:val="004A09A1"/>
    <w:rsid w:val="004A3BAB"/>
    <w:rsid w:val="004A49AC"/>
    <w:rsid w:val="004A49EB"/>
    <w:rsid w:val="004A56E5"/>
    <w:rsid w:val="004A59E3"/>
    <w:rsid w:val="004A6470"/>
    <w:rsid w:val="004B0A47"/>
    <w:rsid w:val="004B26CA"/>
    <w:rsid w:val="004B3805"/>
    <w:rsid w:val="004B547E"/>
    <w:rsid w:val="004B577E"/>
    <w:rsid w:val="004B6264"/>
    <w:rsid w:val="004B7184"/>
    <w:rsid w:val="004B7DCB"/>
    <w:rsid w:val="004C0BD0"/>
    <w:rsid w:val="004C1ADC"/>
    <w:rsid w:val="004C2EBA"/>
    <w:rsid w:val="004C442A"/>
    <w:rsid w:val="004C463C"/>
    <w:rsid w:val="004C5A8F"/>
    <w:rsid w:val="004C5BD0"/>
    <w:rsid w:val="004C5ED2"/>
    <w:rsid w:val="004C7F20"/>
    <w:rsid w:val="004D0185"/>
    <w:rsid w:val="004D054E"/>
    <w:rsid w:val="004D08AC"/>
    <w:rsid w:val="004D278E"/>
    <w:rsid w:val="004D2C69"/>
    <w:rsid w:val="004D4259"/>
    <w:rsid w:val="004D4809"/>
    <w:rsid w:val="004D6276"/>
    <w:rsid w:val="004D716F"/>
    <w:rsid w:val="004D72D2"/>
    <w:rsid w:val="004E03F7"/>
    <w:rsid w:val="004E353B"/>
    <w:rsid w:val="004E35F4"/>
    <w:rsid w:val="004E48D7"/>
    <w:rsid w:val="004E5F65"/>
    <w:rsid w:val="004E75EA"/>
    <w:rsid w:val="004E7D42"/>
    <w:rsid w:val="004F0AFD"/>
    <w:rsid w:val="004F0C55"/>
    <w:rsid w:val="004F0F1B"/>
    <w:rsid w:val="004F2A0F"/>
    <w:rsid w:val="004F3DA5"/>
    <w:rsid w:val="004F4BD8"/>
    <w:rsid w:val="004F5CFA"/>
    <w:rsid w:val="004F6276"/>
    <w:rsid w:val="004F6961"/>
    <w:rsid w:val="004F6BEC"/>
    <w:rsid w:val="004F6FA9"/>
    <w:rsid w:val="004F7170"/>
    <w:rsid w:val="00500231"/>
    <w:rsid w:val="00500237"/>
    <w:rsid w:val="00501F8E"/>
    <w:rsid w:val="00502587"/>
    <w:rsid w:val="0050394D"/>
    <w:rsid w:val="00504DE7"/>
    <w:rsid w:val="00506C7B"/>
    <w:rsid w:val="005079DA"/>
    <w:rsid w:val="00507B9A"/>
    <w:rsid w:val="005107FE"/>
    <w:rsid w:val="005111E0"/>
    <w:rsid w:val="00511994"/>
    <w:rsid w:val="005123C0"/>
    <w:rsid w:val="00512998"/>
    <w:rsid w:val="00513B99"/>
    <w:rsid w:val="00514710"/>
    <w:rsid w:val="005201AF"/>
    <w:rsid w:val="005209BA"/>
    <w:rsid w:val="00521FB4"/>
    <w:rsid w:val="00522F5C"/>
    <w:rsid w:val="00522F5F"/>
    <w:rsid w:val="00523156"/>
    <w:rsid w:val="005240B5"/>
    <w:rsid w:val="00526601"/>
    <w:rsid w:val="005267D4"/>
    <w:rsid w:val="00526F63"/>
    <w:rsid w:val="00527C0C"/>
    <w:rsid w:val="00527C6E"/>
    <w:rsid w:val="00531AA0"/>
    <w:rsid w:val="00531F84"/>
    <w:rsid w:val="00533736"/>
    <w:rsid w:val="005342D0"/>
    <w:rsid w:val="00535482"/>
    <w:rsid w:val="0053653B"/>
    <w:rsid w:val="00537815"/>
    <w:rsid w:val="0054211A"/>
    <w:rsid w:val="0054329D"/>
    <w:rsid w:val="00544293"/>
    <w:rsid w:val="00544C2B"/>
    <w:rsid w:val="00544E28"/>
    <w:rsid w:val="00550CC2"/>
    <w:rsid w:val="005522C5"/>
    <w:rsid w:val="0055230B"/>
    <w:rsid w:val="0055385B"/>
    <w:rsid w:val="005566EF"/>
    <w:rsid w:val="00556C28"/>
    <w:rsid w:val="0056015B"/>
    <w:rsid w:val="00560CCC"/>
    <w:rsid w:val="00560E4B"/>
    <w:rsid w:val="00561136"/>
    <w:rsid w:val="00561756"/>
    <w:rsid w:val="00562032"/>
    <w:rsid w:val="005626CA"/>
    <w:rsid w:val="00562CF1"/>
    <w:rsid w:val="0056376C"/>
    <w:rsid w:val="00563C0C"/>
    <w:rsid w:val="005640D4"/>
    <w:rsid w:val="005641F0"/>
    <w:rsid w:val="00565BEE"/>
    <w:rsid w:val="0056659C"/>
    <w:rsid w:val="00566C12"/>
    <w:rsid w:val="005679FB"/>
    <w:rsid w:val="00570894"/>
    <w:rsid w:val="00570C43"/>
    <w:rsid w:val="00571B13"/>
    <w:rsid w:val="00572453"/>
    <w:rsid w:val="0057481E"/>
    <w:rsid w:val="00574A48"/>
    <w:rsid w:val="005754B3"/>
    <w:rsid w:val="005768F8"/>
    <w:rsid w:val="005774B2"/>
    <w:rsid w:val="005800A4"/>
    <w:rsid w:val="0058113E"/>
    <w:rsid w:val="00581F70"/>
    <w:rsid w:val="00583E95"/>
    <w:rsid w:val="00583EE4"/>
    <w:rsid w:val="00584712"/>
    <w:rsid w:val="00586376"/>
    <w:rsid w:val="005864C1"/>
    <w:rsid w:val="005872B1"/>
    <w:rsid w:val="00592323"/>
    <w:rsid w:val="0059301F"/>
    <w:rsid w:val="005935E9"/>
    <w:rsid w:val="00593D4D"/>
    <w:rsid w:val="00593DD3"/>
    <w:rsid w:val="005976C0"/>
    <w:rsid w:val="005A022A"/>
    <w:rsid w:val="005A1206"/>
    <w:rsid w:val="005A3183"/>
    <w:rsid w:val="005A32AD"/>
    <w:rsid w:val="005A4866"/>
    <w:rsid w:val="005A4AB1"/>
    <w:rsid w:val="005A5705"/>
    <w:rsid w:val="005A6E70"/>
    <w:rsid w:val="005B028B"/>
    <w:rsid w:val="005B0EE3"/>
    <w:rsid w:val="005B2076"/>
    <w:rsid w:val="005B3FB9"/>
    <w:rsid w:val="005B472C"/>
    <w:rsid w:val="005B5051"/>
    <w:rsid w:val="005B78CD"/>
    <w:rsid w:val="005B7D47"/>
    <w:rsid w:val="005C01C1"/>
    <w:rsid w:val="005C1E44"/>
    <w:rsid w:val="005C2E4D"/>
    <w:rsid w:val="005C4E5D"/>
    <w:rsid w:val="005C5079"/>
    <w:rsid w:val="005C6407"/>
    <w:rsid w:val="005C74EB"/>
    <w:rsid w:val="005D158E"/>
    <w:rsid w:val="005D167F"/>
    <w:rsid w:val="005D19B1"/>
    <w:rsid w:val="005E1E23"/>
    <w:rsid w:val="005E23D0"/>
    <w:rsid w:val="005E3135"/>
    <w:rsid w:val="005E388D"/>
    <w:rsid w:val="005E6B0F"/>
    <w:rsid w:val="005E6B3A"/>
    <w:rsid w:val="005F1566"/>
    <w:rsid w:val="005F2A1F"/>
    <w:rsid w:val="005F2E32"/>
    <w:rsid w:val="005F33FC"/>
    <w:rsid w:val="005F35C1"/>
    <w:rsid w:val="005F400F"/>
    <w:rsid w:val="005F4EEA"/>
    <w:rsid w:val="005F648F"/>
    <w:rsid w:val="005F6D46"/>
    <w:rsid w:val="005F6DFA"/>
    <w:rsid w:val="005F7EB1"/>
    <w:rsid w:val="006014F2"/>
    <w:rsid w:val="00601C79"/>
    <w:rsid w:val="00602B14"/>
    <w:rsid w:val="00603F78"/>
    <w:rsid w:val="006041D6"/>
    <w:rsid w:val="00605367"/>
    <w:rsid w:val="006054EE"/>
    <w:rsid w:val="0060684A"/>
    <w:rsid w:val="00607804"/>
    <w:rsid w:val="00610819"/>
    <w:rsid w:val="00610C9F"/>
    <w:rsid w:val="00613CD8"/>
    <w:rsid w:val="006154BE"/>
    <w:rsid w:val="006155B1"/>
    <w:rsid w:val="00615A16"/>
    <w:rsid w:val="00616F47"/>
    <w:rsid w:val="00617C4A"/>
    <w:rsid w:val="00620664"/>
    <w:rsid w:val="006223CF"/>
    <w:rsid w:val="006224F1"/>
    <w:rsid w:val="00623562"/>
    <w:rsid w:val="00624D85"/>
    <w:rsid w:val="00625059"/>
    <w:rsid w:val="0062617A"/>
    <w:rsid w:val="00626631"/>
    <w:rsid w:val="00626649"/>
    <w:rsid w:val="006302E5"/>
    <w:rsid w:val="00630D50"/>
    <w:rsid w:val="0063239D"/>
    <w:rsid w:val="00632AD4"/>
    <w:rsid w:val="00632C45"/>
    <w:rsid w:val="006339F8"/>
    <w:rsid w:val="006341F1"/>
    <w:rsid w:val="006342A3"/>
    <w:rsid w:val="00635720"/>
    <w:rsid w:val="00636232"/>
    <w:rsid w:val="00637490"/>
    <w:rsid w:val="00637624"/>
    <w:rsid w:val="00637BCC"/>
    <w:rsid w:val="006401E3"/>
    <w:rsid w:val="00641473"/>
    <w:rsid w:val="00644F5F"/>
    <w:rsid w:val="00645260"/>
    <w:rsid w:val="0064672A"/>
    <w:rsid w:val="00646AC3"/>
    <w:rsid w:val="00647DF9"/>
    <w:rsid w:val="00650B82"/>
    <w:rsid w:val="00650D14"/>
    <w:rsid w:val="00650F91"/>
    <w:rsid w:val="00651402"/>
    <w:rsid w:val="00651E02"/>
    <w:rsid w:val="00654D31"/>
    <w:rsid w:val="00655578"/>
    <w:rsid w:val="006555F3"/>
    <w:rsid w:val="00655ED9"/>
    <w:rsid w:val="006574E0"/>
    <w:rsid w:val="00657EBA"/>
    <w:rsid w:val="00660AFA"/>
    <w:rsid w:val="00661C8A"/>
    <w:rsid w:val="006638CE"/>
    <w:rsid w:val="0066414C"/>
    <w:rsid w:val="00664F8B"/>
    <w:rsid w:val="00667302"/>
    <w:rsid w:val="006675F9"/>
    <w:rsid w:val="00667DB5"/>
    <w:rsid w:val="00670016"/>
    <w:rsid w:val="00670017"/>
    <w:rsid w:val="00671301"/>
    <w:rsid w:val="0067181E"/>
    <w:rsid w:val="006719B5"/>
    <w:rsid w:val="00672376"/>
    <w:rsid w:val="006724A9"/>
    <w:rsid w:val="006724FC"/>
    <w:rsid w:val="006733E4"/>
    <w:rsid w:val="006736EB"/>
    <w:rsid w:val="00674400"/>
    <w:rsid w:val="0067456B"/>
    <w:rsid w:val="00674A78"/>
    <w:rsid w:val="00676411"/>
    <w:rsid w:val="0067662A"/>
    <w:rsid w:val="006804FF"/>
    <w:rsid w:val="00682A47"/>
    <w:rsid w:val="00683397"/>
    <w:rsid w:val="006845AA"/>
    <w:rsid w:val="006849A4"/>
    <w:rsid w:val="00686248"/>
    <w:rsid w:val="0068646E"/>
    <w:rsid w:val="006868A5"/>
    <w:rsid w:val="00686BC4"/>
    <w:rsid w:val="00687048"/>
    <w:rsid w:val="00690989"/>
    <w:rsid w:val="00691546"/>
    <w:rsid w:val="00695837"/>
    <w:rsid w:val="006961B7"/>
    <w:rsid w:val="00696547"/>
    <w:rsid w:val="0069663D"/>
    <w:rsid w:val="00697693"/>
    <w:rsid w:val="00697A2A"/>
    <w:rsid w:val="006A0251"/>
    <w:rsid w:val="006A02EC"/>
    <w:rsid w:val="006A053C"/>
    <w:rsid w:val="006A1603"/>
    <w:rsid w:val="006A2F55"/>
    <w:rsid w:val="006A391F"/>
    <w:rsid w:val="006A4EA9"/>
    <w:rsid w:val="006A6776"/>
    <w:rsid w:val="006A6FA6"/>
    <w:rsid w:val="006B29AE"/>
    <w:rsid w:val="006B2C68"/>
    <w:rsid w:val="006B45CD"/>
    <w:rsid w:val="006B5082"/>
    <w:rsid w:val="006B589A"/>
    <w:rsid w:val="006B6DE6"/>
    <w:rsid w:val="006C0356"/>
    <w:rsid w:val="006C07F6"/>
    <w:rsid w:val="006C18F4"/>
    <w:rsid w:val="006C1A55"/>
    <w:rsid w:val="006C3741"/>
    <w:rsid w:val="006C37DC"/>
    <w:rsid w:val="006C42FC"/>
    <w:rsid w:val="006C4B6F"/>
    <w:rsid w:val="006C5887"/>
    <w:rsid w:val="006C637F"/>
    <w:rsid w:val="006C654C"/>
    <w:rsid w:val="006C7531"/>
    <w:rsid w:val="006C79BD"/>
    <w:rsid w:val="006D0E3F"/>
    <w:rsid w:val="006D43D1"/>
    <w:rsid w:val="006D492C"/>
    <w:rsid w:val="006D55A0"/>
    <w:rsid w:val="006D5D7C"/>
    <w:rsid w:val="006E09DE"/>
    <w:rsid w:val="006E0E7A"/>
    <w:rsid w:val="006E119D"/>
    <w:rsid w:val="006E1CA1"/>
    <w:rsid w:val="006E21B2"/>
    <w:rsid w:val="006E3C78"/>
    <w:rsid w:val="006E4906"/>
    <w:rsid w:val="006E4E25"/>
    <w:rsid w:val="006E5968"/>
    <w:rsid w:val="006E6530"/>
    <w:rsid w:val="006E6FB7"/>
    <w:rsid w:val="006F0CC0"/>
    <w:rsid w:val="006F0D49"/>
    <w:rsid w:val="006F19F3"/>
    <w:rsid w:val="006F2B33"/>
    <w:rsid w:val="006F374C"/>
    <w:rsid w:val="006F4312"/>
    <w:rsid w:val="006F4A87"/>
    <w:rsid w:val="006F50E2"/>
    <w:rsid w:val="006F50EF"/>
    <w:rsid w:val="006F569A"/>
    <w:rsid w:val="006F5987"/>
    <w:rsid w:val="006F6D64"/>
    <w:rsid w:val="006F7917"/>
    <w:rsid w:val="006F7BA8"/>
    <w:rsid w:val="00701AE6"/>
    <w:rsid w:val="0071108C"/>
    <w:rsid w:val="00711D04"/>
    <w:rsid w:val="00712527"/>
    <w:rsid w:val="00713564"/>
    <w:rsid w:val="007136DF"/>
    <w:rsid w:val="007147C2"/>
    <w:rsid w:val="007157A4"/>
    <w:rsid w:val="00716494"/>
    <w:rsid w:val="00716E7A"/>
    <w:rsid w:val="007219B4"/>
    <w:rsid w:val="007223E7"/>
    <w:rsid w:val="007230CC"/>
    <w:rsid w:val="007256F3"/>
    <w:rsid w:val="00725B23"/>
    <w:rsid w:val="0072670F"/>
    <w:rsid w:val="00726C64"/>
    <w:rsid w:val="00730714"/>
    <w:rsid w:val="00730AC1"/>
    <w:rsid w:val="00730B0E"/>
    <w:rsid w:val="0073362F"/>
    <w:rsid w:val="0073475D"/>
    <w:rsid w:val="00734905"/>
    <w:rsid w:val="007357EE"/>
    <w:rsid w:val="00735CF1"/>
    <w:rsid w:val="00736279"/>
    <w:rsid w:val="0073654F"/>
    <w:rsid w:val="00737ADA"/>
    <w:rsid w:val="00737EA8"/>
    <w:rsid w:val="0074272A"/>
    <w:rsid w:val="00744FC5"/>
    <w:rsid w:val="007454FC"/>
    <w:rsid w:val="00746F31"/>
    <w:rsid w:val="00746F5D"/>
    <w:rsid w:val="00747399"/>
    <w:rsid w:val="00750482"/>
    <w:rsid w:val="00752B9D"/>
    <w:rsid w:val="0075441A"/>
    <w:rsid w:val="00757BCF"/>
    <w:rsid w:val="00757E05"/>
    <w:rsid w:val="00761397"/>
    <w:rsid w:val="00761B59"/>
    <w:rsid w:val="0076330C"/>
    <w:rsid w:val="00763640"/>
    <w:rsid w:val="00763848"/>
    <w:rsid w:val="00763A23"/>
    <w:rsid w:val="00764722"/>
    <w:rsid w:val="00767C95"/>
    <w:rsid w:val="0077074A"/>
    <w:rsid w:val="00770BE6"/>
    <w:rsid w:val="00770D9A"/>
    <w:rsid w:val="00771859"/>
    <w:rsid w:val="00773322"/>
    <w:rsid w:val="00773420"/>
    <w:rsid w:val="007750CD"/>
    <w:rsid w:val="007774CB"/>
    <w:rsid w:val="00777E73"/>
    <w:rsid w:val="007809A1"/>
    <w:rsid w:val="00781372"/>
    <w:rsid w:val="00782747"/>
    <w:rsid w:val="007830F9"/>
    <w:rsid w:val="00783531"/>
    <w:rsid w:val="007837EE"/>
    <w:rsid w:val="00784303"/>
    <w:rsid w:val="00786713"/>
    <w:rsid w:val="00786DCA"/>
    <w:rsid w:val="007874E2"/>
    <w:rsid w:val="00791239"/>
    <w:rsid w:val="00791FF6"/>
    <w:rsid w:val="007925F0"/>
    <w:rsid w:val="00792C04"/>
    <w:rsid w:val="00793748"/>
    <w:rsid w:val="0079547E"/>
    <w:rsid w:val="00795B9A"/>
    <w:rsid w:val="007963FA"/>
    <w:rsid w:val="007975E9"/>
    <w:rsid w:val="007A1F4B"/>
    <w:rsid w:val="007A2CA8"/>
    <w:rsid w:val="007A3125"/>
    <w:rsid w:val="007A316D"/>
    <w:rsid w:val="007A356D"/>
    <w:rsid w:val="007A391E"/>
    <w:rsid w:val="007A3F82"/>
    <w:rsid w:val="007A4C62"/>
    <w:rsid w:val="007A7A5F"/>
    <w:rsid w:val="007A7C49"/>
    <w:rsid w:val="007B20D2"/>
    <w:rsid w:val="007B2D19"/>
    <w:rsid w:val="007B6260"/>
    <w:rsid w:val="007B6F19"/>
    <w:rsid w:val="007B752D"/>
    <w:rsid w:val="007B77DF"/>
    <w:rsid w:val="007C00F5"/>
    <w:rsid w:val="007C094D"/>
    <w:rsid w:val="007C0DAC"/>
    <w:rsid w:val="007C125E"/>
    <w:rsid w:val="007C2BD2"/>
    <w:rsid w:val="007C3AB6"/>
    <w:rsid w:val="007C3FCA"/>
    <w:rsid w:val="007C5D2A"/>
    <w:rsid w:val="007C7175"/>
    <w:rsid w:val="007C7DDF"/>
    <w:rsid w:val="007D0059"/>
    <w:rsid w:val="007D06D8"/>
    <w:rsid w:val="007D3685"/>
    <w:rsid w:val="007D3C88"/>
    <w:rsid w:val="007D427E"/>
    <w:rsid w:val="007D557E"/>
    <w:rsid w:val="007D5D13"/>
    <w:rsid w:val="007D6F85"/>
    <w:rsid w:val="007E0F6C"/>
    <w:rsid w:val="007E1772"/>
    <w:rsid w:val="007E3105"/>
    <w:rsid w:val="007E322C"/>
    <w:rsid w:val="007E4E15"/>
    <w:rsid w:val="007E62D5"/>
    <w:rsid w:val="007E7021"/>
    <w:rsid w:val="007F061D"/>
    <w:rsid w:val="007F2367"/>
    <w:rsid w:val="007F2FDC"/>
    <w:rsid w:val="007F4004"/>
    <w:rsid w:val="007F46A6"/>
    <w:rsid w:val="007F5E66"/>
    <w:rsid w:val="007F7B71"/>
    <w:rsid w:val="008000F5"/>
    <w:rsid w:val="00801265"/>
    <w:rsid w:val="00804AD9"/>
    <w:rsid w:val="0080656A"/>
    <w:rsid w:val="008076A0"/>
    <w:rsid w:val="00807F7A"/>
    <w:rsid w:val="00811366"/>
    <w:rsid w:val="00812B0A"/>
    <w:rsid w:val="00813BD1"/>
    <w:rsid w:val="00815BA2"/>
    <w:rsid w:val="00816575"/>
    <w:rsid w:val="0082018D"/>
    <w:rsid w:val="00820850"/>
    <w:rsid w:val="00821394"/>
    <w:rsid w:val="00821D1D"/>
    <w:rsid w:val="00822021"/>
    <w:rsid w:val="008221EB"/>
    <w:rsid w:val="0082276B"/>
    <w:rsid w:val="00824FFA"/>
    <w:rsid w:val="008250D8"/>
    <w:rsid w:val="00825A7D"/>
    <w:rsid w:val="00826DE8"/>
    <w:rsid w:val="0082738C"/>
    <w:rsid w:val="00827578"/>
    <w:rsid w:val="0083144D"/>
    <w:rsid w:val="008314CC"/>
    <w:rsid w:val="00832381"/>
    <w:rsid w:val="00833143"/>
    <w:rsid w:val="008343B5"/>
    <w:rsid w:val="00834FDD"/>
    <w:rsid w:val="00835082"/>
    <w:rsid w:val="00837986"/>
    <w:rsid w:val="008401BD"/>
    <w:rsid w:val="00840A7A"/>
    <w:rsid w:val="00841607"/>
    <w:rsid w:val="00841F89"/>
    <w:rsid w:val="008438AF"/>
    <w:rsid w:val="00844ED4"/>
    <w:rsid w:val="00845EC9"/>
    <w:rsid w:val="00847AC2"/>
    <w:rsid w:val="00847D08"/>
    <w:rsid w:val="00850EA9"/>
    <w:rsid w:val="00852B9B"/>
    <w:rsid w:val="00854CC4"/>
    <w:rsid w:val="00862125"/>
    <w:rsid w:val="0086222B"/>
    <w:rsid w:val="008626CA"/>
    <w:rsid w:val="00862765"/>
    <w:rsid w:val="00864B80"/>
    <w:rsid w:val="0086575A"/>
    <w:rsid w:val="008657C7"/>
    <w:rsid w:val="0086631A"/>
    <w:rsid w:val="008668EB"/>
    <w:rsid w:val="008672C4"/>
    <w:rsid w:val="0086731C"/>
    <w:rsid w:val="00867D52"/>
    <w:rsid w:val="00870100"/>
    <w:rsid w:val="008708BA"/>
    <w:rsid w:val="00871D1B"/>
    <w:rsid w:val="00873349"/>
    <w:rsid w:val="008825B0"/>
    <w:rsid w:val="00882609"/>
    <w:rsid w:val="00883FB3"/>
    <w:rsid w:val="00884472"/>
    <w:rsid w:val="0088469A"/>
    <w:rsid w:val="00884DCC"/>
    <w:rsid w:val="008850BE"/>
    <w:rsid w:val="00885649"/>
    <w:rsid w:val="00886EA4"/>
    <w:rsid w:val="008872A9"/>
    <w:rsid w:val="00887C0B"/>
    <w:rsid w:val="00887E47"/>
    <w:rsid w:val="0089044F"/>
    <w:rsid w:val="00891278"/>
    <w:rsid w:val="0089164F"/>
    <w:rsid w:val="00893EF8"/>
    <w:rsid w:val="008940A9"/>
    <w:rsid w:val="00895036"/>
    <w:rsid w:val="00895E0B"/>
    <w:rsid w:val="008A060C"/>
    <w:rsid w:val="008A1BBF"/>
    <w:rsid w:val="008A281F"/>
    <w:rsid w:val="008A3BEC"/>
    <w:rsid w:val="008A4A43"/>
    <w:rsid w:val="008A702A"/>
    <w:rsid w:val="008A71FC"/>
    <w:rsid w:val="008A7367"/>
    <w:rsid w:val="008A75A8"/>
    <w:rsid w:val="008A7F55"/>
    <w:rsid w:val="008B137F"/>
    <w:rsid w:val="008B2028"/>
    <w:rsid w:val="008B3964"/>
    <w:rsid w:val="008B3A6B"/>
    <w:rsid w:val="008B444A"/>
    <w:rsid w:val="008B5C6F"/>
    <w:rsid w:val="008B5DA0"/>
    <w:rsid w:val="008B747B"/>
    <w:rsid w:val="008C1344"/>
    <w:rsid w:val="008C28B7"/>
    <w:rsid w:val="008C2AF8"/>
    <w:rsid w:val="008C38EC"/>
    <w:rsid w:val="008C413A"/>
    <w:rsid w:val="008C5389"/>
    <w:rsid w:val="008D00A0"/>
    <w:rsid w:val="008D081E"/>
    <w:rsid w:val="008D09C2"/>
    <w:rsid w:val="008D1211"/>
    <w:rsid w:val="008D1772"/>
    <w:rsid w:val="008D1AEF"/>
    <w:rsid w:val="008D2CCB"/>
    <w:rsid w:val="008D2E81"/>
    <w:rsid w:val="008D34A5"/>
    <w:rsid w:val="008D424D"/>
    <w:rsid w:val="008D58F5"/>
    <w:rsid w:val="008D65D6"/>
    <w:rsid w:val="008D72F7"/>
    <w:rsid w:val="008D7426"/>
    <w:rsid w:val="008D7EAF"/>
    <w:rsid w:val="008E0CC7"/>
    <w:rsid w:val="008E2B80"/>
    <w:rsid w:val="008E6A4C"/>
    <w:rsid w:val="008E7763"/>
    <w:rsid w:val="008F0070"/>
    <w:rsid w:val="008F11E0"/>
    <w:rsid w:val="008F14A7"/>
    <w:rsid w:val="008F228D"/>
    <w:rsid w:val="008F384B"/>
    <w:rsid w:val="008F4C32"/>
    <w:rsid w:val="008F604A"/>
    <w:rsid w:val="008F6723"/>
    <w:rsid w:val="0090117C"/>
    <w:rsid w:val="00902E81"/>
    <w:rsid w:val="00903925"/>
    <w:rsid w:val="0090475C"/>
    <w:rsid w:val="00904F7B"/>
    <w:rsid w:val="00905598"/>
    <w:rsid w:val="009056E4"/>
    <w:rsid w:val="009065BC"/>
    <w:rsid w:val="00906BA2"/>
    <w:rsid w:val="00911AFD"/>
    <w:rsid w:val="009120DC"/>
    <w:rsid w:val="00912603"/>
    <w:rsid w:val="0091579F"/>
    <w:rsid w:val="009200D0"/>
    <w:rsid w:val="009203FE"/>
    <w:rsid w:val="00920D66"/>
    <w:rsid w:val="00924CFA"/>
    <w:rsid w:val="009251DC"/>
    <w:rsid w:val="009254BA"/>
    <w:rsid w:val="00930F74"/>
    <w:rsid w:val="009317E8"/>
    <w:rsid w:val="00934900"/>
    <w:rsid w:val="00934952"/>
    <w:rsid w:val="00934A83"/>
    <w:rsid w:val="00934F8F"/>
    <w:rsid w:val="00935C01"/>
    <w:rsid w:val="00941631"/>
    <w:rsid w:val="00941C07"/>
    <w:rsid w:val="00942E15"/>
    <w:rsid w:val="009436B1"/>
    <w:rsid w:val="00943BEA"/>
    <w:rsid w:val="009559A8"/>
    <w:rsid w:val="00955AC2"/>
    <w:rsid w:val="00957C78"/>
    <w:rsid w:val="00957DAC"/>
    <w:rsid w:val="009612F4"/>
    <w:rsid w:val="00962DB9"/>
    <w:rsid w:val="00964D28"/>
    <w:rsid w:val="00966027"/>
    <w:rsid w:val="00966124"/>
    <w:rsid w:val="009675FC"/>
    <w:rsid w:val="00967FDF"/>
    <w:rsid w:val="009703C1"/>
    <w:rsid w:val="009707DE"/>
    <w:rsid w:val="009709BC"/>
    <w:rsid w:val="00970F6F"/>
    <w:rsid w:val="0097298C"/>
    <w:rsid w:val="0097306C"/>
    <w:rsid w:val="00973A8E"/>
    <w:rsid w:val="0097546A"/>
    <w:rsid w:val="009754F5"/>
    <w:rsid w:val="00975815"/>
    <w:rsid w:val="00980C1E"/>
    <w:rsid w:val="00981A8D"/>
    <w:rsid w:val="009842AF"/>
    <w:rsid w:val="00984B25"/>
    <w:rsid w:val="00984CEF"/>
    <w:rsid w:val="0098612B"/>
    <w:rsid w:val="0098744A"/>
    <w:rsid w:val="00987AD6"/>
    <w:rsid w:val="0099029E"/>
    <w:rsid w:val="0099030C"/>
    <w:rsid w:val="00992974"/>
    <w:rsid w:val="009929BF"/>
    <w:rsid w:val="00994ECB"/>
    <w:rsid w:val="009979E6"/>
    <w:rsid w:val="009A08B2"/>
    <w:rsid w:val="009A3B00"/>
    <w:rsid w:val="009A3E7E"/>
    <w:rsid w:val="009A4804"/>
    <w:rsid w:val="009A6CA9"/>
    <w:rsid w:val="009A771B"/>
    <w:rsid w:val="009B0DAC"/>
    <w:rsid w:val="009B195E"/>
    <w:rsid w:val="009B3045"/>
    <w:rsid w:val="009B7498"/>
    <w:rsid w:val="009B7B16"/>
    <w:rsid w:val="009C0397"/>
    <w:rsid w:val="009C13C8"/>
    <w:rsid w:val="009C38B4"/>
    <w:rsid w:val="009C4627"/>
    <w:rsid w:val="009C4DCC"/>
    <w:rsid w:val="009C4DDF"/>
    <w:rsid w:val="009C50D0"/>
    <w:rsid w:val="009C5DE8"/>
    <w:rsid w:val="009C7922"/>
    <w:rsid w:val="009D068D"/>
    <w:rsid w:val="009D0D41"/>
    <w:rsid w:val="009D11AB"/>
    <w:rsid w:val="009D287F"/>
    <w:rsid w:val="009D3EC6"/>
    <w:rsid w:val="009D5B49"/>
    <w:rsid w:val="009D6073"/>
    <w:rsid w:val="009D6937"/>
    <w:rsid w:val="009D772E"/>
    <w:rsid w:val="009D7B10"/>
    <w:rsid w:val="009E1738"/>
    <w:rsid w:val="009E1E53"/>
    <w:rsid w:val="009E3A9E"/>
    <w:rsid w:val="009E5E55"/>
    <w:rsid w:val="009E6070"/>
    <w:rsid w:val="009F0849"/>
    <w:rsid w:val="009F09FF"/>
    <w:rsid w:val="009F0C1D"/>
    <w:rsid w:val="009F1308"/>
    <w:rsid w:val="009F2419"/>
    <w:rsid w:val="009F3F46"/>
    <w:rsid w:val="009F4850"/>
    <w:rsid w:val="009F5D3A"/>
    <w:rsid w:val="009F60F1"/>
    <w:rsid w:val="009F7D06"/>
    <w:rsid w:val="00A01FD5"/>
    <w:rsid w:val="00A0216C"/>
    <w:rsid w:val="00A02319"/>
    <w:rsid w:val="00A03170"/>
    <w:rsid w:val="00A03C5C"/>
    <w:rsid w:val="00A03FD3"/>
    <w:rsid w:val="00A05B11"/>
    <w:rsid w:val="00A066D0"/>
    <w:rsid w:val="00A06C3A"/>
    <w:rsid w:val="00A0754A"/>
    <w:rsid w:val="00A075CE"/>
    <w:rsid w:val="00A075DE"/>
    <w:rsid w:val="00A11406"/>
    <w:rsid w:val="00A114CF"/>
    <w:rsid w:val="00A11747"/>
    <w:rsid w:val="00A12045"/>
    <w:rsid w:val="00A1252D"/>
    <w:rsid w:val="00A12F09"/>
    <w:rsid w:val="00A13D0F"/>
    <w:rsid w:val="00A15750"/>
    <w:rsid w:val="00A161E0"/>
    <w:rsid w:val="00A1650C"/>
    <w:rsid w:val="00A1707D"/>
    <w:rsid w:val="00A17F19"/>
    <w:rsid w:val="00A20CC2"/>
    <w:rsid w:val="00A216B7"/>
    <w:rsid w:val="00A21CF9"/>
    <w:rsid w:val="00A2268E"/>
    <w:rsid w:val="00A22BA7"/>
    <w:rsid w:val="00A23250"/>
    <w:rsid w:val="00A2638E"/>
    <w:rsid w:val="00A2787F"/>
    <w:rsid w:val="00A301B0"/>
    <w:rsid w:val="00A311CE"/>
    <w:rsid w:val="00A33279"/>
    <w:rsid w:val="00A34201"/>
    <w:rsid w:val="00A35A47"/>
    <w:rsid w:val="00A35AC2"/>
    <w:rsid w:val="00A362AD"/>
    <w:rsid w:val="00A3694F"/>
    <w:rsid w:val="00A40557"/>
    <w:rsid w:val="00A4079A"/>
    <w:rsid w:val="00A40B16"/>
    <w:rsid w:val="00A41FEF"/>
    <w:rsid w:val="00A43BDE"/>
    <w:rsid w:val="00A45067"/>
    <w:rsid w:val="00A478BF"/>
    <w:rsid w:val="00A47FB5"/>
    <w:rsid w:val="00A53412"/>
    <w:rsid w:val="00A563DA"/>
    <w:rsid w:val="00A56590"/>
    <w:rsid w:val="00A572A9"/>
    <w:rsid w:val="00A57564"/>
    <w:rsid w:val="00A576ED"/>
    <w:rsid w:val="00A57797"/>
    <w:rsid w:val="00A578AD"/>
    <w:rsid w:val="00A579D0"/>
    <w:rsid w:val="00A60FCA"/>
    <w:rsid w:val="00A612C4"/>
    <w:rsid w:val="00A61E2B"/>
    <w:rsid w:val="00A63CDA"/>
    <w:rsid w:val="00A64265"/>
    <w:rsid w:val="00A64B8F"/>
    <w:rsid w:val="00A64D88"/>
    <w:rsid w:val="00A65BA0"/>
    <w:rsid w:val="00A662B4"/>
    <w:rsid w:val="00A66FE6"/>
    <w:rsid w:val="00A7014A"/>
    <w:rsid w:val="00A71096"/>
    <w:rsid w:val="00A72914"/>
    <w:rsid w:val="00A7306B"/>
    <w:rsid w:val="00A7357E"/>
    <w:rsid w:val="00A745D1"/>
    <w:rsid w:val="00A74D4E"/>
    <w:rsid w:val="00A753BF"/>
    <w:rsid w:val="00A757C3"/>
    <w:rsid w:val="00A76075"/>
    <w:rsid w:val="00A8020C"/>
    <w:rsid w:val="00A80D1D"/>
    <w:rsid w:val="00A82F32"/>
    <w:rsid w:val="00A83654"/>
    <w:rsid w:val="00A8382C"/>
    <w:rsid w:val="00A84225"/>
    <w:rsid w:val="00A843A4"/>
    <w:rsid w:val="00A858F6"/>
    <w:rsid w:val="00A86B9E"/>
    <w:rsid w:val="00A8790D"/>
    <w:rsid w:val="00A91766"/>
    <w:rsid w:val="00A924C3"/>
    <w:rsid w:val="00A92BF0"/>
    <w:rsid w:val="00A93A04"/>
    <w:rsid w:val="00A9412A"/>
    <w:rsid w:val="00A94AE5"/>
    <w:rsid w:val="00A966F8"/>
    <w:rsid w:val="00AA11DD"/>
    <w:rsid w:val="00AA2BCA"/>
    <w:rsid w:val="00AA2F54"/>
    <w:rsid w:val="00AA403B"/>
    <w:rsid w:val="00AA43B8"/>
    <w:rsid w:val="00AA4504"/>
    <w:rsid w:val="00AA57D2"/>
    <w:rsid w:val="00AA5F51"/>
    <w:rsid w:val="00AA7110"/>
    <w:rsid w:val="00AA74CC"/>
    <w:rsid w:val="00AA7BEA"/>
    <w:rsid w:val="00AB1759"/>
    <w:rsid w:val="00AB1EDF"/>
    <w:rsid w:val="00AB23D5"/>
    <w:rsid w:val="00AB3073"/>
    <w:rsid w:val="00AB6B9B"/>
    <w:rsid w:val="00AB7B18"/>
    <w:rsid w:val="00AC0584"/>
    <w:rsid w:val="00AC4343"/>
    <w:rsid w:val="00AC5299"/>
    <w:rsid w:val="00AC52E4"/>
    <w:rsid w:val="00AC5FDE"/>
    <w:rsid w:val="00AD2389"/>
    <w:rsid w:val="00AD2581"/>
    <w:rsid w:val="00AD26E0"/>
    <w:rsid w:val="00AD33CB"/>
    <w:rsid w:val="00AD5ABE"/>
    <w:rsid w:val="00AD7288"/>
    <w:rsid w:val="00AD778F"/>
    <w:rsid w:val="00AE09B8"/>
    <w:rsid w:val="00AE1C6E"/>
    <w:rsid w:val="00AE43AB"/>
    <w:rsid w:val="00AE480F"/>
    <w:rsid w:val="00AE499C"/>
    <w:rsid w:val="00AE579B"/>
    <w:rsid w:val="00AE5FD4"/>
    <w:rsid w:val="00AE6EE5"/>
    <w:rsid w:val="00AE7A6D"/>
    <w:rsid w:val="00AF2DAA"/>
    <w:rsid w:val="00AF464E"/>
    <w:rsid w:val="00AF525A"/>
    <w:rsid w:val="00AF7F1F"/>
    <w:rsid w:val="00B00793"/>
    <w:rsid w:val="00B01F59"/>
    <w:rsid w:val="00B036D0"/>
    <w:rsid w:val="00B04B07"/>
    <w:rsid w:val="00B04B1B"/>
    <w:rsid w:val="00B05013"/>
    <w:rsid w:val="00B05925"/>
    <w:rsid w:val="00B0599B"/>
    <w:rsid w:val="00B05D94"/>
    <w:rsid w:val="00B0673D"/>
    <w:rsid w:val="00B10E7B"/>
    <w:rsid w:val="00B136FE"/>
    <w:rsid w:val="00B15307"/>
    <w:rsid w:val="00B15511"/>
    <w:rsid w:val="00B172F0"/>
    <w:rsid w:val="00B17940"/>
    <w:rsid w:val="00B17F70"/>
    <w:rsid w:val="00B20A19"/>
    <w:rsid w:val="00B215F2"/>
    <w:rsid w:val="00B217A3"/>
    <w:rsid w:val="00B2265D"/>
    <w:rsid w:val="00B23807"/>
    <w:rsid w:val="00B240B0"/>
    <w:rsid w:val="00B24B0E"/>
    <w:rsid w:val="00B24D28"/>
    <w:rsid w:val="00B26A02"/>
    <w:rsid w:val="00B26C3C"/>
    <w:rsid w:val="00B27E88"/>
    <w:rsid w:val="00B306CE"/>
    <w:rsid w:val="00B30E68"/>
    <w:rsid w:val="00B31306"/>
    <w:rsid w:val="00B31388"/>
    <w:rsid w:val="00B34435"/>
    <w:rsid w:val="00B35202"/>
    <w:rsid w:val="00B35370"/>
    <w:rsid w:val="00B361F7"/>
    <w:rsid w:val="00B401A6"/>
    <w:rsid w:val="00B42468"/>
    <w:rsid w:val="00B43911"/>
    <w:rsid w:val="00B458B5"/>
    <w:rsid w:val="00B4594F"/>
    <w:rsid w:val="00B47FEE"/>
    <w:rsid w:val="00B50F4F"/>
    <w:rsid w:val="00B513D0"/>
    <w:rsid w:val="00B53562"/>
    <w:rsid w:val="00B53DE4"/>
    <w:rsid w:val="00B54F40"/>
    <w:rsid w:val="00B561AD"/>
    <w:rsid w:val="00B56E33"/>
    <w:rsid w:val="00B614D1"/>
    <w:rsid w:val="00B61C38"/>
    <w:rsid w:val="00B6337A"/>
    <w:rsid w:val="00B63A48"/>
    <w:rsid w:val="00B65501"/>
    <w:rsid w:val="00B6559D"/>
    <w:rsid w:val="00B67563"/>
    <w:rsid w:val="00B67630"/>
    <w:rsid w:val="00B67F28"/>
    <w:rsid w:val="00B706D1"/>
    <w:rsid w:val="00B754AC"/>
    <w:rsid w:val="00B761CA"/>
    <w:rsid w:val="00B8044C"/>
    <w:rsid w:val="00B80A17"/>
    <w:rsid w:val="00B82838"/>
    <w:rsid w:val="00B871D5"/>
    <w:rsid w:val="00B91F23"/>
    <w:rsid w:val="00B93BD2"/>
    <w:rsid w:val="00B95625"/>
    <w:rsid w:val="00B95B0C"/>
    <w:rsid w:val="00B95D79"/>
    <w:rsid w:val="00B974C3"/>
    <w:rsid w:val="00BA0FD2"/>
    <w:rsid w:val="00BA14AA"/>
    <w:rsid w:val="00BA17E4"/>
    <w:rsid w:val="00BA18CC"/>
    <w:rsid w:val="00BA38A9"/>
    <w:rsid w:val="00BA4199"/>
    <w:rsid w:val="00BA42B6"/>
    <w:rsid w:val="00BA48C5"/>
    <w:rsid w:val="00BA4B42"/>
    <w:rsid w:val="00BA587A"/>
    <w:rsid w:val="00BA5D91"/>
    <w:rsid w:val="00BA72A2"/>
    <w:rsid w:val="00BA7312"/>
    <w:rsid w:val="00BB1DD0"/>
    <w:rsid w:val="00BB2587"/>
    <w:rsid w:val="00BB4F33"/>
    <w:rsid w:val="00BB6F8C"/>
    <w:rsid w:val="00BB7273"/>
    <w:rsid w:val="00BB7497"/>
    <w:rsid w:val="00BB7D54"/>
    <w:rsid w:val="00BC1870"/>
    <w:rsid w:val="00BC4312"/>
    <w:rsid w:val="00BC5FD9"/>
    <w:rsid w:val="00BD0496"/>
    <w:rsid w:val="00BD20C1"/>
    <w:rsid w:val="00BD25D0"/>
    <w:rsid w:val="00BD68AF"/>
    <w:rsid w:val="00BE1675"/>
    <w:rsid w:val="00BE2077"/>
    <w:rsid w:val="00BE3368"/>
    <w:rsid w:val="00BE4BCE"/>
    <w:rsid w:val="00BE556A"/>
    <w:rsid w:val="00BE5DF6"/>
    <w:rsid w:val="00BE5EBD"/>
    <w:rsid w:val="00BE6C97"/>
    <w:rsid w:val="00BE79DD"/>
    <w:rsid w:val="00BF05CC"/>
    <w:rsid w:val="00BF0779"/>
    <w:rsid w:val="00BF0C3A"/>
    <w:rsid w:val="00BF0CCF"/>
    <w:rsid w:val="00BF0F8C"/>
    <w:rsid w:val="00BF10F0"/>
    <w:rsid w:val="00BF1137"/>
    <w:rsid w:val="00BF1927"/>
    <w:rsid w:val="00BF3E1F"/>
    <w:rsid w:val="00BF580B"/>
    <w:rsid w:val="00BF71DE"/>
    <w:rsid w:val="00BF72E4"/>
    <w:rsid w:val="00BF74E0"/>
    <w:rsid w:val="00C00AC4"/>
    <w:rsid w:val="00C00C7E"/>
    <w:rsid w:val="00C00F12"/>
    <w:rsid w:val="00C01622"/>
    <w:rsid w:val="00C02A36"/>
    <w:rsid w:val="00C0379C"/>
    <w:rsid w:val="00C0466D"/>
    <w:rsid w:val="00C05CF6"/>
    <w:rsid w:val="00C0657C"/>
    <w:rsid w:val="00C110FC"/>
    <w:rsid w:val="00C1115D"/>
    <w:rsid w:val="00C12C50"/>
    <w:rsid w:val="00C13E53"/>
    <w:rsid w:val="00C14D4A"/>
    <w:rsid w:val="00C14EDE"/>
    <w:rsid w:val="00C156F1"/>
    <w:rsid w:val="00C15AFD"/>
    <w:rsid w:val="00C15F85"/>
    <w:rsid w:val="00C16123"/>
    <w:rsid w:val="00C16324"/>
    <w:rsid w:val="00C16F40"/>
    <w:rsid w:val="00C2182C"/>
    <w:rsid w:val="00C21967"/>
    <w:rsid w:val="00C22EB9"/>
    <w:rsid w:val="00C2386A"/>
    <w:rsid w:val="00C23F95"/>
    <w:rsid w:val="00C24066"/>
    <w:rsid w:val="00C250BE"/>
    <w:rsid w:val="00C2514A"/>
    <w:rsid w:val="00C25469"/>
    <w:rsid w:val="00C26B73"/>
    <w:rsid w:val="00C3047E"/>
    <w:rsid w:val="00C31329"/>
    <w:rsid w:val="00C33087"/>
    <w:rsid w:val="00C3392E"/>
    <w:rsid w:val="00C339BD"/>
    <w:rsid w:val="00C35D18"/>
    <w:rsid w:val="00C372EC"/>
    <w:rsid w:val="00C37A28"/>
    <w:rsid w:val="00C40267"/>
    <w:rsid w:val="00C40A3D"/>
    <w:rsid w:val="00C40F9B"/>
    <w:rsid w:val="00C41E9E"/>
    <w:rsid w:val="00C4298D"/>
    <w:rsid w:val="00C43CFD"/>
    <w:rsid w:val="00C46672"/>
    <w:rsid w:val="00C47694"/>
    <w:rsid w:val="00C47A56"/>
    <w:rsid w:val="00C500FF"/>
    <w:rsid w:val="00C52967"/>
    <w:rsid w:val="00C5350B"/>
    <w:rsid w:val="00C53B19"/>
    <w:rsid w:val="00C54176"/>
    <w:rsid w:val="00C61710"/>
    <w:rsid w:val="00C61B7C"/>
    <w:rsid w:val="00C62A06"/>
    <w:rsid w:val="00C62FFA"/>
    <w:rsid w:val="00C67AF2"/>
    <w:rsid w:val="00C67E7B"/>
    <w:rsid w:val="00C70A19"/>
    <w:rsid w:val="00C70B3E"/>
    <w:rsid w:val="00C70E13"/>
    <w:rsid w:val="00C72B73"/>
    <w:rsid w:val="00C7311B"/>
    <w:rsid w:val="00C73714"/>
    <w:rsid w:val="00C7467C"/>
    <w:rsid w:val="00C74A7D"/>
    <w:rsid w:val="00C75B1C"/>
    <w:rsid w:val="00C75D36"/>
    <w:rsid w:val="00C77558"/>
    <w:rsid w:val="00C77E58"/>
    <w:rsid w:val="00C84654"/>
    <w:rsid w:val="00C84B92"/>
    <w:rsid w:val="00C8607A"/>
    <w:rsid w:val="00C86EB5"/>
    <w:rsid w:val="00C904A0"/>
    <w:rsid w:val="00C91B98"/>
    <w:rsid w:val="00C92732"/>
    <w:rsid w:val="00C92805"/>
    <w:rsid w:val="00C93D5C"/>
    <w:rsid w:val="00C97C95"/>
    <w:rsid w:val="00CA043B"/>
    <w:rsid w:val="00CA09B8"/>
    <w:rsid w:val="00CA2D2C"/>
    <w:rsid w:val="00CA34ED"/>
    <w:rsid w:val="00CA39B2"/>
    <w:rsid w:val="00CA3A47"/>
    <w:rsid w:val="00CA5DAD"/>
    <w:rsid w:val="00CA6C15"/>
    <w:rsid w:val="00CA6F62"/>
    <w:rsid w:val="00CB1BCA"/>
    <w:rsid w:val="00CB21DC"/>
    <w:rsid w:val="00CB640C"/>
    <w:rsid w:val="00CB753F"/>
    <w:rsid w:val="00CC19D6"/>
    <w:rsid w:val="00CC1E68"/>
    <w:rsid w:val="00CC2D07"/>
    <w:rsid w:val="00CC2D0A"/>
    <w:rsid w:val="00CC32D2"/>
    <w:rsid w:val="00CC3A7A"/>
    <w:rsid w:val="00CC492D"/>
    <w:rsid w:val="00CC535A"/>
    <w:rsid w:val="00CC6CFA"/>
    <w:rsid w:val="00CC6DD3"/>
    <w:rsid w:val="00CC77D6"/>
    <w:rsid w:val="00CD06E1"/>
    <w:rsid w:val="00CD082B"/>
    <w:rsid w:val="00CD1230"/>
    <w:rsid w:val="00CD2B2A"/>
    <w:rsid w:val="00CD3F27"/>
    <w:rsid w:val="00CD68BE"/>
    <w:rsid w:val="00CD7BF9"/>
    <w:rsid w:val="00CE028A"/>
    <w:rsid w:val="00CE08C3"/>
    <w:rsid w:val="00CE096A"/>
    <w:rsid w:val="00CE0F6B"/>
    <w:rsid w:val="00CE1C53"/>
    <w:rsid w:val="00CE31D8"/>
    <w:rsid w:val="00CE39FB"/>
    <w:rsid w:val="00CE4AEB"/>
    <w:rsid w:val="00CE4CD9"/>
    <w:rsid w:val="00CF03BE"/>
    <w:rsid w:val="00CF058F"/>
    <w:rsid w:val="00CF1C28"/>
    <w:rsid w:val="00CF3107"/>
    <w:rsid w:val="00CF36E9"/>
    <w:rsid w:val="00CF58A8"/>
    <w:rsid w:val="00CF657D"/>
    <w:rsid w:val="00CF71AE"/>
    <w:rsid w:val="00D0175C"/>
    <w:rsid w:val="00D02B21"/>
    <w:rsid w:val="00D02FB4"/>
    <w:rsid w:val="00D02FFD"/>
    <w:rsid w:val="00D03E98"/>
    <w:rsid w:val="00D04219"/>
    <w:rsid w:val="00D068FF"/>
    <w:rsid w:val="00D11E0C"/>
    <w:rsid w:val="00D13674"/>
    <w:rsid w:val="00D144C5"/>
    <w:rsid w:val="00D171E6"/>
    <w:rsid w:val="00D17B73"/>
    <w:rsid w:val="00D17FAF"/>
    <w:rsid w:val="00D20FE9"/>
    <w:rsid w:val="00D217D3"/>
    <w:rsid w:val="00D2251D"/>
    <w:rsid w:val="00D22B73"/>
    <w:rsid w:val="00D24797"/>
    <w:rsid w:val="00D24CA4"/>
    <w:rsid w:val="00D25856"/>
    <w:rsid w:val="00D2650B"/>
    <w:rsid w:val="00D268F0"/>
    <w:rsid w:val="00D30CFD"/>
    <w:rsid w:val="00D3178B"/>
    <w:rsid w:val="00D3258A"/>
    <w:rsid w:val="00D333B9"/>
    <w:rsid w:val="00D335EE"/>
    <w:rsid w:val="00D3588D"/>
    <w:rsid w:val="00D368C8"/>
    <w:rsid w:val="00D36D9C"/>
    <w:rsid w:val="00D375B4"/>
    <w:rsid w:val="00D40CA0"/>
    <w:rsid w:val="00D4190F"/>
    <w:rsid w:val="00D42D84"/>
    <w:rsid w:val="00D43542"/>
    <w:rsid w:val="00D43741"/>
    <w:rsid w:val="00D446CD"/>
    <w:rsid w:val="00D451B1"/>
    <w:rsid w:val="00D4579A"/>
    <w:rsid w:val="00D459C5"/>
    <w:rsid w:val="00D45B04"/>
    <w:rsid w:val="00D45E60"/>
    <w:rsid w:val="00D46445"/>
    <w:rsid w:val="00D51638"/>
    <w:rsid w:val="00D5224D"/>
    <w:rsid w:val="00D52D00"/>
    <w:rsid w:val="00D54A10"/>
    <w:rsid w:val="00D54C2E"/>
    <w:rsid w:val="00D5514A"/>
    <w:rsid w:val="00D55759"/>
    <w:rsid w:val="00D57F21"/>
    <w:rsid w:val="00D62125"/>
    <w:rsid w:val="00D634B4"/>
    <w:rsid w:val="00D641AA"/>
    <w:rsid w:val="00D644B1"/>
    <w:rsid w:val="00D64870"/>
    <w:rsid w:val="00D662F8"/>
    <w:rsid w:val="00D66933"/>
    <w:rsid w:val="00D67D37"/>
    <w:rsid w:val="00D71181"/>
    <w:rsid w:val="00D71871"/>
    <w:rsid w:val="00D742D8"/>
    <w:rsid w:val="00D76EEA"/>
    <w:rsid w:val="00D7758E"/>
    <w:rsid w:val="00D77AB7"/>
    <w:rsid w:val="00D77DE0"/>
    <w:rsid w:val="00D77F50"/>
    <w:rsid w:val="00D80384"/>
    <w:rsid w:val="00D81605"/>
    <w:rsid w:val="00D823E8"/>
    <w:rsid w:val="00D8282A"/>
    <w:rsid w:val="00D865E5"/>
    <w:rsid w:val="00D908A4"/>
    <w:rsid w:val="00D938DF"/>
    <w:rsid w:val="00D94F9B"/>
    <w:rsid w:val="00D950F0"/>
    <w:rsid w:val="00D95387"/>
    <w:rsid w:val="00D96AC9"/>
    <w:rsid w:val="00D96C6F"/>
    <w:rsid w:val="00D96F54"/>
    <w:rsid w:val="00D9709E"/>
    <w:rsid w:val="00D971D3"/>
    <w:rsid w:val="00D972F7"/>
    <w:rsid w:val="00DA0F5F"/>
    <w:rsid w:val="00DA165C"/>
    <w:rsid w:val="00DA2469"/>
    <w:rsid w:val="00DA24D1"/>
    <w:rsid w:val="00DA6A7E"/>
    <w:rsid w:val="00DA75F7"/>
    <w:rsid w:val="00DA7B5F"/>
    <w:rsid w:val="00DB1C2C"/>
    <w:rsid w:val="00DB1CE4"/>
    <w:rsid w:val="00DB24D7"/>
    <w:rsid w:val="00DB30A5"/>
    <w:rsid w:val="00DB424E"/>
    <w:rsid w:val="00DB4388"/>
    <w:rsid w:val="00DB4C92"/>
    <w:rsid w:val="00DB56A3"/>
    <w:rsid w:val="00DB5790"/>
    <w:rsid w:val="00DB5AC3"/>
    <w:rsid w:val="00DB75E5"/>
    <w:rsid w:val="00DC25C7"/>
    <w:rsid w:val="00DC299A"/>
    <w:rsid w:val="00DC3525"/>
    <w:rsid w:val="00DC3B47"/>
    <w:rsid w:val="00DC3FB4"/>
    <w:rsid w:val="00DC42FF"/>
    <w:rsid w:val="00DC7B90"/>
    <w:rsid w:val="00DD13D6"/>
    <w:rsid w:val="00DD141F"/>
    <w:rsid w:val="00DD167E"/>
    <w:rsid w:val="00DD1C87"/>
    <w:rsid w:val="00DD2393"/>
    <w:rsid w:val="00DD328C"/>
    <w:rsid w:val="00DD3344"/>
    <w:rsid w:val="00DD5648"/>
    <w:rsid w:val="00DD5824"/>
    <w:rsid w:val="00DD61C7"/>
    <w:rsid w:val="00DD72CB"/>
    <w:rsid w:val="00DE0D3B"/>
    <w:rsid w:val="00DE13C3"/>
    <w:rsid w:val="00DE4600"/>
    <w:rsid w:val="00DE53C1"/>
    <w:rsid w:val="00DE5544"/>
    <w:rsid w:val="00DE6DCF"/>
    <w:rsid w:val="00DF056A"/>
    <w:rsid w:val="00DF07E7"/>
    <w:rsid w:val="00DF1465"/>
    <w:rsid w:val="00DF200B"/>
    <w:rsid w:val="00DF494E"/>
    <w:rsid w:val="00DF4C0C"/>
    <w:rsid w:val="00DF52FE"/>
    <w:rsid w:val="00DF557B"/>
    <w:rsid w:val="00DF6DC4"/>
    <w:rsid w:val="00DF6F25"/>
    <w:rsid w:val="00E0006B"/>
    <w:rsid w:val="00E0077C"/>
    <w:rsid w:val="00E01CEC"/>
    <w:rsid w:val="00E01F86"/>
    <w:rsid w:val="00E02CF2"/>
    <w:rsid w:val="00E02E5B"/>
    <w:rsid w:val="00E02F01"/>
    <w:rsid w:val="00E05309"/>
    <w:rsid w:val="00E061C1"/>
    <w:rsid w:val="00E07D71"/>
    <w:rsid w:val="00E07EBD"/>
    <w:rsid w:val="00E11DED"/>
    <w:rsid w:val="00E12F7E"/>
    <w:rsid w:val="00E15C36"/>
    <w:rsid w:val="00E15CDB"/>
    <w:rsid w:val="00E1749B"/>
    <w:rsid w:val="00E23F2B"/>
    <w:rsid w:val="00E2488D"/>
    <w:rsid w:val="00E2585C"/>
    <w:rsid w:val="00E261C8"/>
    <w:rsid w:val="00E26585"/>
    <w:rsid w:val="00E27D51"/>
    <w:rsid w:val="00E315DE"/>
    <w:rsid w:val="00E31913"/>
    <w:rsid w:val="00E32249"/>
    <w:rsid w:val="00E33AEC"/>
    <w:rsid w:val="00E34375"/>
    <w:rsid w:val="00E357C7"/>
    <w:rsid w:val="00E372A9"/>
    <w:rsid w:val="00E37385"/>
    <w:rsid w:val="00E4048B"/>
    <w:rsid w:val="00E40688"/>
    <w:rsid w:val="00E41A6D"/>
    <w:rsid w:val="00E42099"/>
    <w:rsid w:val="00E423D5"/>
    <w:rsid w:val="00E42804"/>
    <w:rsid w:val="00E434AC"/>
    <w:rsid w:val="00E4408B"/>
    <w:rsid w:val="00E4445F"/>
    <w:rsid w:val="00E45228"/>
    <w:rsid w:val="00E478D6"/>
    <w:rsid w:val="00E509AE"/>
    <w:rsid w:val="00E50BF9"/>
    <w:rsid w:val="00E52527"/>
    <w:rsid w:val="00E5275C"/>
    <w:rsid w:val="00E53AAB"/>
    <w:rsid w:val="00E53CFF"/>
    <w:rsid w:val="00E555E0"/>
    <w:rsid w:val="00E55652"/>
    <w:rsid w:val="00E557EF"/>
    <w:rsid w:val="00E57071"/>
    <w:rsid w:val="00E57BAA"/>
    <w:rsid w:val="00E6095A"/>
    <w:rsid w:val="00E612CE"/>
    <w:rsid w:val="00E624AC"/>
    <w:rsid w:val="00E63FD7"/>
    <w:rsid w:val="00E64E06"/>
    <w:rsid w:val="00E65D0A"/>
    <w:rsid w:val="00E660E1"/>
    <w:rsid w:val="00E67456"/>
    <w:rsid w:val="00E674D5"/>
    <w:rsid w:val="00E67B71"/>
    <w:rsid w:val="00E67E73"/>
    <w:rsid w:val="00E71DE2"/>
    <w:rsid w:val="00E71EDE"/>
    <w:rsid w:val="00E72079"/>
    <w:rsid w:val="00E72DCA"/>
    <w:rsid w:val="00E73FF0"/>
    <w:rsid w:val="00E7548D"/>
    <w:rsid w:val="00E761FC"/>
    <w:rsid w:val="00E76F3F"/>
    <w:rsid w:val="00E80B93"/>
    <w:rsid w:val="00E81462"/>
    <w:rsid w:val="00E83960"/>
    <w:rsid w:val="00E84C43"/>
    <w:rsid w:val="00E850B6"/>
    <w:rsid w:val="00E85DB6"/>
    <w:rsid w:val="00E86B61"/>
    <w:rsid w:val="00E87781"/>
    <w:rsid w:val="00E911DA"/>
    <w:rsid w:val="00E914DA"/>
    <w:rsid w:val="00E91822"/>
    <w:rsid w:val="00E929A4"/>
    <w:rsid w:val="00E936CF"/>
    <w:rsid w:val="00E94F4F"/>
    <w:rsid w:val="00E96FAF"/>
    <w:rsid w:val="00E97D9C"/>
    <w:rsid w:val="00EA02B6"/>
    <w:rsid w:val="00EA2439"/>
    <w:rsid w:val="00EA28A4"/>
    <w:rsid w:val="00EA32AC"/>
    <w:rsid w:val="00EA3AE9"/>
    <w:rsid w:val="00EA3F33"/>
    <w:rsid w:val="00EA5CDA"/>
    <w:rsid w:val="00EB3608"/>
    <w:rsid w:val="00EB4506"/>
    <w:rsid w:val="00EB55AB"/>
    <w:rsid w:val="00EB5C4F"/>
    <w:rsid w:val="00EB5F7D"/>
    <w:rsid w:val="00EB644A"/>
    <w:rsid w:val="00EB700E"/>
    <w:rsid w:val="00EC13E7"/>
    <w:rsid w:val="00EC28CF"/>
    <w:rsid w:val="00EC2AF2"/>
    <w:rsid w:val="00EC4EAB"/>
    <w:rsid w:val="00EC6B9E"/>
    <w:rsid w:val="00EC7761"/>
    <w:rsid w:val="00ED1427"/>
    <w:rsid w:val="00ED20C1"/>
    <w:rsid w:val="00ED26DF"/>
    <w:rsid w:val="00ED3960"/>
    <w:rsid w:val="00ED4F5E"/>
    <w:rsid w:val="00ED54DE"/>
    <w:rsid w:val="00ED5FF1"/>
    <w:rsid w:val="00ED630D"/>
    <w:rsid w:val="00ED6784"/>
    <w:rsid w:val="00ED74C9"/>
    <w:rsid w:val="00EE002A"/>
    <w:rsid w:val="00EE04CC"/>
    <w:rsid w:val="00EE0A45"/>
    <w:rsid w:val="00EE182E"/>
    <w:rsid w:val="00EE3F3D"/>
    <w:rsid w:val="00EE7241"/>
    <w:rsid w:val="00EF07C0"/>
    <w:rsid w:val="00EF155B"/>
    <w:rsid w:val="00EF1683"/>
    <w:rsid w:val="00EF2171"/>
    <w:rsid w:val="00EF2431"/>
    <w:rsid w:val="00EF5480"/>
    <w:rsid w:val="00EF5AE3"/>
    <w:rsid w:val="00EF5F08"/>
    <w:rsid w:val="00EF6170"/>
    <w:rsid w:val="00EF6AD1"/>
    <w:rsid w:val="00F01F9F"/>
    <w:rsid w:val="00F02539"/>
    <w:rsid w:val="00F02887"/>
    <w:rsid w:val="00F02CD0"/>
    <w:rsid w:val="00F02FE4"/>
    <w:rsid w:val="00F03586"/>
    <w:rsid w:val="00F04D07"/>
    <w:rsid w:val="00F051AF"/>
    <w:rsid w:val="00F05349"/>
    <w:rsid w:val="00F0631E"/>
    <w:rsid w:val="00F07935"/>
    <w:rsid w:val="00F110BD"/>
    <w:rsid w:val="00F1196E"/>
    <w:rsid w:val="00F12AE8"/>
    <w:rsid w:val="00F12F23"/>
    <w:rsid w:val="00F13DA8"/>
    <w:rsid w:val="00F143A3"/>
    <w:rsid w:val="00F15869"/>
    <w:rsid w:val="00F15F32"/>
    <w:rsid w:val="00F16E5E"/>
    <w:rsid w:val="00F20C36"/>
    <w:rsid w:val="00F22BC6"/>
    <w:rsid w:val="00F22FF1"/>
    <w:rsid w:val="00F23BC6"/>
    <w:rsid w:val="00F242A2"/>
    <w:rsid w:val="00F25A80"/>
    <w:rsid w:val="00F30B4D"/>
    <w:rsid w:val="00F30D36"/>
    <w:rsid w:val="00F30FC8"/>
    <w:rsid w:val="00F311E4"/>
    <w:rsid w:val="00F32AAB"/>
    <w:rsid w:val="00F32DB2"/>
    <w:rsid w:val="00F333FB"/>
    <w:rsid w:val="00F3434C"/>
    <w:rsid w:val="00F35104"/>
    <w:rsid w:val="00F356BD"/>
    <w:rsid w:val="00F36433"/>
    <w:rsid w:val="00F366DA"/>
    <w:rsid w:val="00F370A2"/>
    <w:rsid w:val="00F37243"/>
    <w:rsid w:val="00F40702"/>
    <w:rsid w:val="00F40AD7"/>
    <w:rsid w:val="00F40BD4"/>
    <w:rsid w:val="00F40F98"/>
    <w:rsid w:val="00F432E7"/>
    <w:rsid w:val="00F43A0C"/>
    <w:rsid w:val="00F443D5"/>
    <w:rsid w:val="00F44F4E"/>
    <w:rsid w:val="00F47080"/>
    <w:rsid w:val="00F47C74"/>
    <w:rsid w:val="00F5138C"/>
    <w:rsid w:val="00F52302"/>
    <w:rsid w:val="00F52BF3"/>
    <w:rsid w:val="00F53771"/>
    <w:rsid w:val="00F53EEB"/>
    <w:rsid w:val="00F551A5"/>
    <w:rsid w:val="00F55F74"/>
    <w:rsid w:val="00F56C63"/>
    <w:rsid w:val="00F571D8"/>
    <w:rsid w:val="00F57457"/>
    <w:rsid w:val="00F57FC6"/>
    <w:rsid w:val="00F6004D"/>
    <w:rsid w:val="00F609C9"/>
    <w:rsid w:val="00F61616"/>
    <w:rsid w:val="00F61624"/>
    <w:rsid w:val="00F62080"/>
    <w:rsid w:val="00F62385"/>
    <w:rsid w:val="00F65347"/>
    <w:rsid w:val="00F67F49"/>
    <w:rsid w:val="00F709F8"/>
    <w:rsid w:val="00F70E98"/>
    <w:rsid w:val="00F71BBF"/>
    <w:rsid w:val="00F763BE"/>
    <w:rsid w:val="00F769E6"/>
    <w:rsid w:val="00F807B7"/>
    <w:rsid w:val="00F80CC6"/>
    <w:rsid w:val="00F83A8D"/>
    <w:rsid w:val="00F848E3"/>
    <w:rsid w:val="00F84ECB"/>
    <w:rsid w:val="00F85581"/>
    <w:rsid w:val="00F909C3"/>
    <w:rsid w:val="00F9227D"/>
    <w:rsid w:val="00F92945"/>
    <w:rsid w:val="00F93640"/>
    <w:rsid w:val="00F93D93"/>
    <w:rsid w:val="00F93F5F"/>
    <w:rsid w:val="00F97493"/>
    <w:rsid w:val="00FA4139"/>
    <w:rsid w:val="00FA5083"/>
    <w:rsid w:val="00FA6DAE"/>
    <w:rsid w:val="00FB00DD"/>
    <w:rsid w:val="00FB0FD0"/>
    <w:rsid w:val="00FB1933"/>
    <w:rsid w:val="00FB1FD9"/>
    <w:rsid w:val="00FB28A4"/>
    <w:rsid w:val="00FB405F"/>
    <w:rsid w:val="00FB4231"/>
    <w:rsid w:val="00FB5A9A"/>
    <w:rsid w:val="00FC05BF"/>
    <w:rsid w:val="00FC206B"/>
    <w:rsid w:val="00FC20B4"/>
    <w:rsid w:val="00FC2420"/>
    <w:rsid w:val="00FC598F"/>
    <w:rsid w:val="00FC5D7B"/>
    <w:rsid w:val="00FC77B6"/>
    <w:rsid w:val="00FC7AE1"/>
    <w:rsid w:val="00FC7F2C"/>
    <w:rsid w:val="00FD0139"/>
    <w:rsid w:val="00FD0A92"/>
    <w:rsid w:val="00FD1334"/>
    <w:rsid w:val="00FD25B6"/>
    <w:rsid w:val="00FD2F43"/>
    <w:rsid w:val="00FD2F50"/>
    <w:rsid w:val="00FD5C46"/>
    <w:rsid w:val="00FD5D08"/>
    <w:rsid w:val="00FE055D"/>
    <w:rsid w:val="00FE1424"/>
    <w:rsid w:val="00FE1CB7"/>
    <w:rsid w:val="00FE1DC5"/>
    <w:rsid w:val="00FE70CA"/>
    <w:rsid w:val="00FF11ED"/>
    <w:rsid w:val="00FF17EC"/>
    <w:rsid w:val="00FF2E8D"/>
    <w:rsid w:val="00FF38FB"/>
    <w:rsid w:val="00FF4E1A"/>
    <w:rsid w:val="00FF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682F1-EBFD-4A36-AB95-0BECFAAB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E28"/>
    <w:pPr>
      <w:spacing w:after="0" w:line="240" w:lineRule="auto"/>
    </w:pPr>
  </w:style>
  <w:style w:type="paragraph" w:styleId="ListParagraph">
    <w:name w:val="List Paragraph"/>
    <w:basedOn w:val="Normal"/>
    <w:uiPriority w:val="34"/>
    <w:qFormat/>
    <w:rsid w:val="00F61616"/>
    <w:pPr>
      <w:ind w:left="720"/>
      <w:contextualSpacing/>
    </w:p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M Footnotes,ft"/>
    <w:basedOn w:val="Normal"/>
    <w:link w:val="FootnoteTextChar"/>
    <w:uiPriority w:val="99"/>
    <w:unhideWhenUsed/>
    <w:qFormat/>
    <w:rsid w:val="00632C45"/>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632C45"/>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link w:val="FootnotesymbolCarZchn"/>
    <w:uiPriority w:val="99"/>
    <w:unhideWhenUsed/>
    <w:qFormat/>
    <w:rsid w:val="00632C45"/>
    <w:rPr>
      <w:vertAlign w:val="superscript"/>
    </w:rPr>
  </w:style>
  <w:style w:type="character" w:styleId="Hyperlink">
    <w:name w:val="Hyperlink"/>
    <w:basedOn w:val="DefaultParagraphFont"/>
    <w:uiPriority w:val="99"/>
    <w:unhideWhenUsed/>
    <w:rsid w:val="00D641AA"/>
    <w:rPr>
      <w:color w:val="0563C1" w:themeColor="hyperlink"/>
      <w:u w:val="single"/>
    </w:rPr>
  </w:style>
  <w:style w:type="paragraph" w:styleId="Header">
    <w:name w:val="header"/>
    <w:basedOn w:val="Normal"/>
    <w:link w:val="HeaderChar"/>
    <w:uiPriority w:val="99"/>
    <w:unhideWhenUsed/>
    <w:rsid w:val="006E1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CA1"/>
  </w:style>
  <w:style w:type="paragraph" w:styleId="Footer">
    <w:name w:val="footer"/>
    <w:basedOn w:val="Normal"/>
    <w:link w:val="FooterChar"/>
    <w:uiPriority w:val="99"/>
    <w:unhideWhenUsed/>
    <w:rsid w:val="006E1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CA1"/>
  </w:style>
  <w:style w:type="paragraph" w:styleId="NormalWeb">
    <w:name w:val="Normal (Web)"/>
    <w:basedOn w:val="Normal"/>
    <w:uiPriority w:val="99"/>
    <w:semiHidden/>
    <w:unhideWhenUsed/>
    <w:rsid w:val="000A5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441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A03170"/>
    <w:pPr>
      <w:numPr>
        <w:numId w:val="3"/>
      </w:numPr>
      <w:contextualSpacing/>
    </w:pPr>
  </w:style>
  <w:style w:type="character" w:styleId="FollowedHyperlink">
    <w:name w:val="FollowedHyperlink"/>
    <w:basedOn w:val="DefaultParagraphFont"/>
    <w:uiPriority w:val="99"/>
    <w:semiHidden/>
    <w:unhideWhenUsed/>
    <w:rsid w:val="000A7B46"/>
    <w:rPr>
      <w:color w:val="954F72" w:themeColor="followed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673E"/>
    <w:pPr>
      <w:spacing w:line="240" w:lineRule="exact"/>
      <w:jc w:val="both"/>
    </w:pPr>
    <w:rPr>
      <w:vertAlign w:val="superscript"/>
    </w:rPr>
  </w:style>
  <w:style w:type="character" w:customStyle="1" w:styleId="outputecliaff">
    <w:name w:val="outputecliaff"/>
    <w:basedOn w:val="DefaultParagraphFont"/>
    <w:rsid w:val="00893EF8"/>
  </w:style>
  <w:style w:type="character" w:styleId="CommentReference">
    <w:name w:val="annotation reference"/>
    <w:basedOn w:val="DefaultParagraphFont"/>
    <w:uiPriority w:val="99"/>
    <w:semiHidden/>
    <w:unhideWhenUsed/>
    <w:rsid w:val="00B47FEE"/>
    <w:rPr>
      <w:sz w:val="16"/>
      <w:szCs w:val="16"/>
    </w:rPr>
  </w:style>
  <w:style w:type="paragraph" w:styleId="CommentText">
    <w:name w:val="annotation text"/>
    <w:basedOn w:val="Normal"/>
    <w:link w:val="CommentTextChar"/>
    <w:uiPriority w:val="99"/>
    <w:semiHidden/>
    <w:unhideWhenUsed/>
    <w:rsid w:val="00B47FEE"/>
    <w:pPr>
      <w:spacing w:line="240" w:lineRule="auto"/>
    </w:pPr>
    <w:rPr>
      <w:sz w:val="20"/>
      <w:szCs w:val="20"/>
    </w:rPr>
  </w:style>
  <w:style w:type="character" w:customStyle="1" w:styleId="CommentTextChar">
    <w:name w:val="Comment Text Char"/>
    <w:basedOn w:val="DefaultParagraphFont"/>
    <w:link w:val="CommentText"/>
    <w:uiPriority w:val="99"/>
    <w:semiHidden/>
    <w:rsid w:val="00B47FEE"/>
    <w:rPr>
      <w:sz w:val="20"/>
      <w:szCs w:val="20"/>
    </w:rPr>
  </w:style>
  <w:style w:type="paragraph" w:styleId="CommentSubject">
    <w:name w:val="annotation subject"/>
    <w:basedOn w:val="CommentText"/>
    <w:next w:val="CommentText"/>
    <w:link w:val="CommentSubjectChar"/>
    <w:uiPriority w:val="99"/>
    <w:semiHidden/>
    <w:unhideWhenUsed/>
    <w:rsid w:val="00B47FEE"/>
    <w:rPr>
      <w:b/>
      <w:bCs/>
    </w:rPr>
  </w:style>
  <w:style w:type="character" w:customStyle="1" w:styleId="CommentSubjectChar">
    <w:name w:val="Comment Subject Char"/>
    <w:basedOn w:val="CommentTextChar"/>
    <w:link w:val="CommentSubject"/>
    <w:uiPriority w:val="99"/>
    <w:semiHidden/>
    <w:rsid w:val="00B47FEE"/>
    <w:rPr>
      <w:b/>
      <w:bCs/>
      <w:sz w:val="20"/>
      <w:szCs w:val="20"/>
    </w:rPr>
  </w:style>
  <w:style w:type="paragraph" w:styleId="BalloonText">
    <w:name w:val="Balloon Text"/>
    <w:basedOn w:val="Normal"/>
    <w:link w:val="BalloonTextChar"/>
    <w:uiPriority w:val="99"/>
    <w:semiHidden/>
    <w:unhideWhenUsed/>
    <w:rsid w:val="00B4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EE"/>
    <w:rPr>
      <w:rFonts w:ascii="Tahoma" w:hAnsi="Tahoma" w:cs="Tahoma"/>
      <w:sz w:val="16"/>
      <w:szCs w:val="16"/>
    </w:rPr>
  </w:style>
  <w:style w:type="character" w:styleId="Strong">
    <w:name w:val="Strong"/>
    <w:basedOn w:val="DefaultParagraphFont"/>
    <w:uiPriority w:val="22"/>
    <w:qFormat/>
    <w:rsid w:val="00C500FF"/>
    <w:rPr>
      <w:b/>
      <w:bCs/>
    </w:rPr>
  </w:style>
  <w:style w:type="paragraph" w:customStyle="1" w:styleId="c09marge0avecretrait">
    <w:name w:val="c09marge0avecretrait"/>
    <w:basedOn w:val="Normal"/>
    <w:rsid w:val="00DB24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6titre3">
    <w:name w:val="c06titre3"/>
    <w:basedOn w:val="Normal"/>
    <w:rsid w:val="00D551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altn">
    <w:name w:val="c01pointaltn"/>
    <w:basedOn w:val="Normal"/>
    <w:rsid w:val="004F7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427">
      <w:bodyDiv w:val="1"/>
      <w:marLeft w:val="0"/>
      <w:marRight w:val="0"/>
      <w:marTop w:val="0"/>
      <w:marBottom w:val="0"/>
      <w:divBdr>
        <w:top w:val="none" w:sz="0" w:space="0" w:color="auto"/>
        <w:left w:val="none" w:sz="0" w:space="0" w:color="auto"/>
        <w:bottom w:val="none" w:sz="0" w:space="0" w:color="auto"/>
        <w:right w:val="none" w:sz="0" w:space="0" w:color="auto"/>
      </w:divBdr>
    </w:div>
    <w:div w:id="74865097">
      <w:bodyDiv w:val="1"/>
      <w:marLeft w:val="0"/>
      <w:marRight w:val="0"/>
      <w:marTop w:val="0"/>
      <w:marBottom w:val="0"/>
      <w:divBdr>
        <w:top w:val="none" w:sz="0" w:space="0" w:color="auto"/>
        <w:left w:val="none" w:sz="0" w:space="0" w:color="auto"/>
        <w:bottom w:val="none" w:sz="0" w:space="0" w:color="auto"/>
        <w:right w:val="none" w:sz="0" w:space="0" w:color="auto"/>
      </w:divBdr>
    </w:div>
    <w:div w:id="337929024">
      <w:bodyDiv w:val="1"/>
      <w:marLeft w:val="0"/>
      <w:marRight w:val="0"/>
      <w:marTop w:val="0"/>
      <w:marBottom w:val="0"/>
      <w:divBdr>
        <w:top w:val="none" w:sz="0" w:space="0" w:color="auto"/>
        <w:left w:val="none" w:sz="0" w:space="0" w:color="auto"/>
        <w:bottom w:val="none" w:sz="0" w:space="0" w:color="auto"/>
        <w:right w:val="none" w:sz="0" w:space="0" w:color="auto"/>
      </w:divBdr>
    </w:div>
    <w:div w:id="344209282">
      <w:bodyDiv w:val="1"/>
      <w:marLeft w:val="0"/>
      <w:marRight w:val="0"/>
      <w:marTop w:val="0"/>
      <w:marBottom w:val="0"/>
      <w:divBdr>
        <w:top w:val="none" w:sz="0" w:space="0" w:color="auto"/>
        <w:left w:val="none" w:sz="0" w:space="0" w:color="auto"/>
        <w:bottom w:val="none" w:sz="0" w:space="0" w:color="auto"/>
        <w:right w:val="none" w:sz="0" w:space="0" w:color="auto"/>
      </w:divBdr>
    </w:div>
    <w:div w:id="439568800">
      <w:bodyDiv w:val="1"/>
      <w:marLeft w:val="0"/>
      <w:marRight w:val="0"/>
      <w:marTop w:val="0"/>
      <w:marBottom w:val="0"/>
      <w:divBdr>
        <w:top w:val="none" w:sz="0" w:space="0" w:color="auto"/>
        <w:left w:val="none" w:sz="0" w:space="0" w:color="auto"/>
        <w:bottom w:val="none" w:sz="0" w:space="0" w:color="auto"/>
        <w:right w:val="none" w:sz="0" w:space="0" w:color="auto"/>
      </w:divBdr>
    </w:div>
    <w:div w:id="455561923">
      <w:bodyDiv w:val="1"/>
      <w:marLeft w:val="0"/>
      <w:marRight w:val="0"/>
      <w:marTop w:val="0"/>
      <w:marBottom w:val="0"/>
      <w:divBdr>
        <w:top w:val="none" w:sz="0" w:space="0" w:color="auto"/>
        <w:left w:val="none" w:sz="0" w:space="0" w:color="auto"/>
        <w:bottom w:val="none" w:sz="0" w:space="0" w:color="auto"/>
        <w:right w:val="none" w:sz="0" w:space="0" w:color="auto"/>
      </w:divBdr>
    </w:div>
    <w:div w:id="476266836">
      <w:bodyDiv w:val="1"/>
      <w:marLeft w:val="0"/>
      <w:marRight w:val="0"/>
      <w:marTop w:val="0"/>
      <w:marBottom w:val="0"/>
      <w:divBdr>
        <w:top w:val="none" w:sz="0" w:space="0" w:color="auto"/>
        <w:left w:val="none" w:sz="0" w:space="0" w:color="auto"/>
        <w:bottom w:val="none" w:sz="0" w:space="0" w:color="auto"/>
        <w:right w:val="none" w:sz="0" w:space="0" w:color="auto"/>
      </w:divBdr>
    </w:div>
    <w:div w:id="541870558">
      <w:bodyDiv w:val="1"/>
      <w:marLeft w:val="0"/>
      <w:marRight w:val="0"/>
      <w:marTop w:val="0"/>
      <w:marBottom w:val="0"/>
      <w:divBdr>
        <w:top w:val="none" w:sz="0" w:space="0" w:color="auto"/>
        <w:left w:val="none" w:sz="0" w:space="0" w:color="auto"/>
        <w:bottom w:val="none" w:sz="0" w:space="0" w:color="auto"/>
        <w:right w:val="none" w:sz="0" w:space="0" w:color="auto"/>
      </w:divBdr>
    </w:div>
    <w:div w:id="545141069">
      <w:bodyDiv w:val="1"/>
      <w:marLeft w:val="0"/>
      <w:marRight w:val="0"/>
      <w:marTop w:val="0"/>
      <w:marBottom w:val="0"/>
      <w:divBdr>
        <w:top w:val="none" w:sz="0" w:space="0" w:color="auto"/>
        <w:left w:val="none" w:sz="0" w:space="0" w:color="auto"/>
        <w:bottom w:val="none" w:sz="0" w:space="0" w:color="auto"/>
        <w:right w:val="none" w:sz="0" w:space="0" w:color="auto"/>
      </w:divBdr>
    </w:div>
    <w:div w:id="565065750">
      <w:bodyDiv w:val="1"/>
      <w:marLeft w:val="0"/>
      <w:marRight w:val="0"/>
      <w:marTop w:val="0"/>
      <w:marBottom w:val="0"/>
      <w:divBdr>
        <w:top w:val="none" w:sz="0" w:space="0" w:color="auto"/>
        <w:left w:val="none" w:sz="0" w:space="0" w:color="auto"/>
        <w:bottom w:val="none" w:sz="0" w:space="0" w:color="auto"/>
        <w:right w:val="none" w:sz="0" w:space="0" w:color="auto"/>
      </w:divBdr>
    </w:div>
    <w:div w:id="574897706">
      <w:bodyDiv w:val="1"/>
      <w:marLeft w:val="0"/>
      <w:marRight w:val="0"/>
      <w:marTop w:val="0"/>
      <w:marBottom w:val="0"/>
      <w:divBdr>
        <w:top w:val="none" w:sz="0" w:space="0" w:color="auto"/>
        <w:left w:val="none" w:sz="0" w:space="0" w:color="auto"/>
        <w:bottom w:val="none" w:sz="0" w:space="0" w:color="auto"/>
        <w:right w:val="none" w:sz="0" w:space="0" w:color="auto"/>
      </w:divBdr>
    </w:div>
    <w:div w:id="640575108">
      <w:bodyDiv w:val="1"/>
      <w:marLeft w:val="0"/>
      <w:marRight w:val="0"/>
      <w:marTop w:val="0"/>
      <w:marBottom w:val="0"/>
      <w:divBdr>
        <w:top w:val="none" w:sz="0" w:space="0" w:color="auto"/>
        <w:left w:val="none" w:sz="0" w:space="0" w:color="auto"/>
        <w:bottom w:val="none" w:sz="0" w:space="0" w:color="auto"/>
        <w:right w:val="none" w:sz="0" w:space="0" w:color="auto"/>
      </w:divBdr>
    </w:div>
    <w:div w:id="735130203">
      <w:bodyDiv w:val="1"/>
      <w:marLeft w:val="0"/>
      <w:marRight w:val="0"/>
      <w:marTop w:val="0"/>
      <w:marBottom w:val="0"/>
      <w:divBdr>
        <w:top w:val="none" w:sz="0" w:space="0" w:color="auto"/>
        <w:left w:val="none" w:sz="0" w:space="0" w:color="auto"/>
        <w:bottom w:val="none" w:sz="0" w:space="0" w:color="auto"/>
        <w:right w:val="none" w:sz="0" w:space="0" w:color="auto"/>
      </w:divBdr>
    </w:div>
    <w:div w:id="755177635">
      <w:bodyDiv w:val="1"/>
      <w:marLeft w:val="0"/>
      <w:marRight w:val="0"/>
      <w:marTop w:val="0"/>
      <w:marBottom w:val="0"/>
      <w:divBdr>
        <w:top w:val="none" w:sz="0" w:space="0" w:color="auto"/>
        <w:left w:val="none" w:sz="0" w:space="0" w:color="auto"/>
        <w:bottom w:val="none" w:sz="0" w:space="0" w:color="auto"/>
        <w:right w:val="none" w:sz="0" w:space="0" w:color="auto"/>
      </w:divBdr>
    </w:div>
    <w:div w:id="761143456">
      <w:bodyDiv w:val="1"/>
      <w:marLeft w:val="0"/>
      <w:marRight w:val="0"/>
      <w:marTop w:val="0"/>
      <w:marBottom w:val="0"/>
      <w:divBdr>
        <w:top w:val="none" w:sz="0" w:space="0" w:color="auto"/>
        <w:left w:val="none" w:sz="0" w:space="0" w:color="auto"/>
        <w:bottom w:val="none" w:sz="0" w:space="0" w:color="auto"/>
        <w:right w:val="none" w:sz="0" w:space="0" w:color="auto"/>
      </w:divBdr>
    </w:div>
    <w:div w:id="773669225">
      <w:bodyDiv w:val="1"/>
      <w:marLeft w:val="0"/>
      <w:marRight w:val="0"/>
      <w:marTop w:val="0"/>
      <w:marBottom w:val="0"/>
      <w:divBdr>
        <w:top w:val="none" w:sz="0" w:space="0" w:color="auto"/>
        <w:left w:val="none" w:sz="0" w:space="0" w:color="auto"/>
        <w:bottom w:val="none" w:sz="0" w:space="0" w:color="auto"/>
        <w:right w:val="none" w:sz="0" w:space="0" w:color="auto"/>
      </w:divBdr>
    </w:div>
    <w:div w:id="786656252">
      <w:bodyDiv w:val="1"/>
      <w:marLeft w:val="0"/>
      <w:marRight w:val="0"/>
      <w:marTop w:val="0"/>
      <w:marBottom w:val="0"/>
      <w:divBdr>
        <w:top w:val="none" w:sz="0" w:space="0" w:color="auto"/>
        <w:left w:val="none" w:sz="0" w:space="0" w:color="auto"/>
        <w:bottom w:val="none" w:sz="0" w:space="0" w:color="auto"/>
        <w:right w:val="none" w:sz="0" w:space="0" w:color="auto"/>
      </w:divBdr>
    </w:div>
    <w:div w:id="825167181">
      <w:bodyDiv w:val="1"/>
      <w:marLeft w:val="0"/>
      <w:marRight w:val="0"/>
      <w:marTop w:val="0"/>
      <w:marBottom w:val="0"/>
      <w:divBdr>
        <w:top w:val="none" w:sz="0" w:space="0" w:color="auto"/>
        <w:left w:val="none" w:sz="0" w:space="0" w:color="auto"/>
        <w:bottom w:val="none" w:sz="0" w:space="0" w:color="auto"/>
        <w:right w:val="none" w:sz="0" w:space="0" w:color="auto"/>
      </w:divBdr>
    </w:div>
    <w:div w:id="917517106">
      <w:bodyDiv w:val="1"/>
      <w:marLeft w:val="0"/>
      <w:marRight w:val="0"/>
      <w:marTop w:val="0"/>
      <w:marBottom w:val="0"/>
      <w:divBdr>
        <w:top w:val="none" w:sz="0" w:space="0" w:color="auto"/>
        <w:left w:val="none" w:sz="0" w:space="0" w:color="auto"/>
        <w:bottom w:val="none" w:sz="0" w:space="0" w:color="auto"/>
        <w:right w:val="none" w:sz="0" w:space="0" w:color="auto"/>
      </w:divBdr>
    </w:div>
    <w:div w:id="1025789797">
      <w:bodyDiv w:val="1"/>
      <w:marLeft w:val="0"/>
      <w:marRight w:val="0"/>
      <w:marTop w:val="0"/>
      <w:marBottom w:val="0"/>
      <w:divBdr>
        <w:top w:val="none" w:sz="0" w:space="0" w:color="auto"/>
        <w:left w:val="none" w:sz="0" w:space="0" w:color="auto"/>
        <w:bottom w:val="none" w:sz="0" w:space="0" w:color="auto"/>
        <w:right w:val="none" w:sz="0" w:space="0" w:color="auto"/>
      </w:divBdr>
    </w:div>
    <w:div w:id="1041706212">
      <w:bodyDiv w:val="1"/>
      <w:marLeft w:val="0"/>
      <w:marRight w:val="0"/>
      <w:marTop w:val="0"/>
      <w:marBottom w:val="0"/>
      <w:divBdr>
        <w:top w:val="none" w:sz="0" w:space="0" w:color="auto"/>
        <w:left w:val="none" w:sz="0" w:space="0" w:color="auto"/>
        <w:bottom w:val="none" w:sz="0" w:space="0" w:color="auto"/>
        <w:right w:val="none" w:sz="0" w:space="0" w:color="auto"/>
      </w:divBdr>
    </w:div>
    <w:div w:id="1071997939">
      <w:bodyDiv w:val="1"/>
      <w:marLeft w:val="0"/>
      <w:marRight w:val="0"/>
      <w:marTop w:val="0"/>
      <w:marBottom w:val="0"/>
      <w:divBdr>
        <w:top w:val="none" w:sz="0" w:space="0" w:color="auto"/>
        <w:left w:val="none" w:sz="0" w:space="0" w:color="auto"/>
        <w:bottom w:val="none" w:sz="0" w:space="0" w:color="auto"/>
        <w:right w:val="none" w:sz="0" w:space="0" w:color="auto"/>
      </w:divBdr>
    </w:div>
    <w:div w:id="1097100661">
      <w:bodyDiv w:val="1"/>
      <w:marLeft w:val="0"/>
      <w:marRight w:val="0"/>
      <w:marTop w:val="0"/>
      <w:marBottom w:val="0"/>
      <w:divBdr>
        <w:top w:val="none" w:sz="0" w:space="0" w:color="auto"/>
        <w:left w:val="none" w:sz="0" w:space="0" w:color="auto"/>
        <w:bottom w:val="none" w:sz="0" w:space="0" w:color="auto"/>
        <w:right w:val="none" w:sz="0" w:space="0" w:color="auto"/>
      </w:divBdr>
    </w:div>
    <w:div w:id="1101798426">
      <w:bodyDiv w:val="1"/>
      <w:marLeft w:val="0"/>
      <w:marRight w:val="0"/>
      <w:marTop w:val="0"/>
      <w:marBottom w:val="0"/>
      <w:divBdr>
        <w:top w:val="none" w:sz="0" w:space="0" w:color="auto"/>
        <w:left w:val="none" w:sz="0" w:space="0" w:color="auto"/>
        <w:bottom w:val="none" w:sz="0" w:space="0" w:color="auto"/>
        <w:right w:val="none" w:sz="0" w:space="0" w:color="auto"/>
      </w:divBdr>
    </w:div>
    <w:div w:id="1126464687">
      <w:bodyDiv w:val="1"/>
      <w:marLeft w:val="0"/>
      <w:marRight w:val="0"/>
      <w:marTop w:val="0"/>
      <w:marBottom w:val="0"/>
      <w:divBdr>
        <w:top w:val="none" w:sz="0" w:space="0" w:color="auto"/>
        <w:left w:val="none" w:sz="0" w:space="0" w:color="auto"/>
        <w:bottom w:val="none" w:sz="0" w:space="0" w:color="auto"/>
        <w:right w:val="none" w:sz="0" w:space="0" w:color="auto"/>
      </w:divBdr>
    </w:div>
    <w:div w:id="1141465668">
      <w:bodyDiv w:val="1"/>
      <w:marLeft w:val="0"/>
      <w:marRight w:val="0"/>
      <w:marTop w:val="0"/>
      <w:marBottom w:val="0"/>
      <w:divBdr>
        <w:top w:val="none" w:sz="0" w:space="0" w:color="auto"/>
        <w:left w:val="none" w:sz="0" w:space="0" w:color="auto"/>
        <w:bottom w:val="none" w:sz="0" w:space="0" w:color="auto"/>
        <w:right w:val="none" w:sz="0" w:space="0" w:color="auto"/>
      </w:divBdr>
    </w:div>
    <w:div w:id="1147018951">
      <w:bodyDiv w:val="1"/>
      <w:marLeft w:val="0"/>
      <w:marRight w:val="0"/>
      <w:marTop w:val="0"/>
      <w:marBottom w:val="0"/>
      <w:divBdr>
        <w:top w:val="none" w:sz="0" w:space="0" w:color="auto"/>
        <w:left w:val="none" w:sz="0" w:space="0" w:color="auto"/>
        <w:bottom w:val="none" w:sz="0" w:space="0" w:color="auto"/>
        <w:right w:val="none" w:sz="0" w:space="0" w:color="auto"/>
      </w:divBdr>
    </w:div>
    <w:div w:id="1173835019">
      <w:bodyDiv w:val="1"/>
      <w:marLeft w:val="0"/>
      <w:marRight w:val="0"/>
      <w:marTop w:val="0"/>
      <w:marBottom w:val="0"/>
      <w:divBdr>
        <w:top w:val="none" w:sz="0" w:space="0" w:color="auto"/>
        <w:left w:val="none" w:sz="0" w:space="0" w:color="auto"/>
        <w:bottom w:val="none" w:sz="0" w:space="0" w:color="auto"/>
        <w:right w:val="none" w:sz="0" w:space="0" w:color="auto"/>
      </w:divBdr>
    </w:div>
    <w:div w:id="1192182157">
      <w:bodyDiv w:val="1"/>
      <w:marLeft w:val="0"/>
      <w:marRight w:val="0"/>
      <w:marTop w:val="0"/>
      <w:marBottom w:val="0"/>
      <w:divBdr>
        <w:top w:val="none" w:sz="0" w:space="0" w:color="auto"/>
        <w:left w:val="none" w:sz="0" w:space="0" w:color="auto"/>
        <w:bottom w:val="none" w:sz="0" w:space="0" w:color="auto"/>
        <w:right w:val="none" w:sz="0" w:space="0" w:color="auto"/>
      </w:divBdr>
    </w:div>
    <w:div w:id="1194465020">
      <w:bodyDiv w:val="1"/>
      <w:marLeft w:val="0"/>
      <w:marRight w:val="0"/>
      <w:marTop w:val="0"/>
      <w:marBottom w:val="0"/>
      <w:divBdr>
        <w:top w:val="none" w:sz="0" w:space="0" w:color="auto"/>
        <w:left w:val="none" w:sz="0" w:space="0" w:color="auto"/>
        <w:bottom w:val="none" w:sz="0" w:space="0" w:color="auto"/>
        <w:right w:val="none" w:sz="0" w:space="0" w:color="auto"/>
      </w:divBdr>
    </w:div>
    <w:div w:id="1259677208">
      <w:bodyDiv w:val="1"/>
      <w:marLeft w:val="0"/>
      <w:marRight w:val="0"/>
      <w:marTop w:val="0"/>
      <w:marBottom w:val="0"/>
      <w:divBdr>
        <w:top w:val="none" w:sz="0" w:space="0" w:color="auto"/>
        <w:left w:val="none" w:sz="0" w:space="0" w:color="auto"/>
        <w:bottom w:val="none" w:sz="0" w:space="0" w:color="auto"/>
        <w:right w:val="none" w:sz="0" w:space="0" w:color="auto"/>
      </w:divBdr>
    </w:div>
    <w:div w:id="1288898118">
      <w:bodyDiv w:val="1"/>
      <w:marLeft w:val="0"/>
      <w:marRight w:val="0"/>
      <w:marTop w:val="0"/>
      <w:marBottom w:val="0"/>
      <w:divBdr>
        <w:top w:val="none" w:sz="0" w:space="0" w:color="auto"/>
        <w:left w:val="none" w:sz="0" w:space="0" w:color="auto"/>
        <w:bottom w:val="none" w:sz="0" w:space="0" w:color="auto"/>
        <w:right w:val="none" w:sz="0" w:space="0" w:color="auto"/>
      </w:divBdr>
    </w:div>
    <w:div w:id="1309482992">
      <w:bodyDiv w:val="1"/>
      <w:marLeft w:val="0"/>
      <w:marRight w:val="0"/>
      <w:marTop w:val="0"/>
      <w:marBottom w:val="0"/>
      <w:divBdr>
        <w:top w:val="none" w:sz="0" w:space="0" w:color="auto"/>
        <w:left w:val="none" w:sz="0" w:space="0" w:color="auto"/>
        <w:bottom w:val="none" w:sz="0" w:space="0" w:color="auto"/>
        <w:right w:val="none" w:sz="0" w:space="0" w:color="auto"/>
      </w:divBdr>
    </w:div>
    <w:div w:id="1325891441">
      <w:bodyDiv w:val="1"/>
      <w:marLeft w:val="0"/>
      <w:marRight w:val="0"/>
      <w:marTop w:val="0"/>
      <w:marBottom w:val="0"/>
      <w:divBdr>
        <w:top w:val="none" w:sz="0" w:space="0" w:color="auto"/>
        <w:left w:val="none" w:sz="0" w:space="0" w:color="auto"/>
        <w:bottom w:val="none" w:sz="0" w:space="0" w:color="auto"/>
        <w:right w:val="none" w:sz="0" w:space="0" w:color="auto"/>
      </w:divBdr>
    </w:div>
    <w:div w:id="1377780782">
      <w:bodyDiv w:val="1"/>
      <w:marLeft w:val="0"/>
      <w:marRight w:val="0"/>
      <w:marTop w:val="0"/>
      <w:marBottom w:val="0"/>
      <w:divBdr>
        <w:top w:val="none" w:sz="0" w:space="0" w:color="auto"/>
        <w:left w:val="none" w:sz="0" w:space="0" w:color="auto"/>
        <w:bottom w:val="none" w:sz="0" w:space="0" w:color="auto"/>
        <w:right w:val="none" w:sz="0" w:space="0" w:color="auto"/>
      </w:divBdr>
    </w:div>
    <w:div w:id="1390881371">
      <w:bodyDiv w:val="1"/>
      <w:marLeft w:val="0"/>
      <w:marRight w:val="0"/>
      <w:marTop w:val="0"/>
      <w:marBottom w:val="0"/>
      <w:divBdr>
        <w:top w:val="none" w:sz="0" w:space="0" w:color="auto"/>
        <w:left w:val="none" w:sz="0" w:space="0" w:color="auto"/>
        <w:bottom w:val="none" w:sz="0" w:space="0" w:color="auto"/>
        <w:right w:val="none" w:sz="0" w:space="0" w:color="auto"/>
      </w:divBdr>
    </w:div>
    <w:div w:id="1392387962">
      <w:bodyDiv w:val="1"/>
      <w:marLeft w:val="0"/>
      <w:marRight w:val="0"/>
      <w:marTop w:val="0"/>
      <w:marBottom w:val="0"/>
      <w:divBdr>
        <w:top w:val="none" w:sz="0" w:space="0" w:color="auto"/>
        <w:left w:val="none" w:sz="0" w:space="0" w:color="auto"/>
        <w:bottom w:val="none" w:sz="0" w:space="0" w:color="auto"/>
        <w:right w:val="none" w:sz="0" w:space="0" w:color="auto"/>
      </w:divBdr>
    </w:div>
    <w:div w:id="1417290895">
      <w:bodyDiv w:val="1"/>
      <w:marLeft w:val="0"/>
      <w:marRight w:val="0"/>
      <w:marTop w:val="0"/>
      <w:marBottom w:val="0"/>
      <w:divBdr>
        <w:top w:val="none" w:sz="0" w:space="0" w:color="auto"/>
        <w:left w:val="none" w:sz="0" w:space="0" w:color="auto"/>
        <w:bottom w:val="none" w:sz="0" w:space="0" w:color="auto"/>
        <w:right w:val="none" w:sz="0" w:space="0" w:color="auto"/>
      </w:divBdr>
    </w:div>
    <w:div w:id="1425220326">
      <w:bodyDiv w:val="1"/>
      <w:marLeft w:val="0"/>
      <w:marRight w:val="0"/>
      <w:marTop w:val="0"/>
      <w:marBottom w:val="0"/>
      <w:divBdr>
        <w:top w:val="none" w:sz="0" w:space="0" w:color="auto"/>
        <w:left w:val="none" w:sz="0" w:space="0" w:color="auto"/>
        <w:bottom w:val="none" w:sz="0" w:space="0" w:color="auto"/>
        <w:right w:val="none" w:sz="0" w:space="0" w:color="auto"/>
      </w:divBdr>
    </w:div>
    <w:div w:id="1437209595">
      <w:bodyDiv w:val="1"/>
      <w:marLeft w:val="0"/>
      <w:marRight w:val="0"/>
      <w:marTop w:val="0"/>
      <w:marBottom w:val="0"/>
      <w:divBdr>
        <w:top w:val="none" w:sz="0" w:space="0" w:color="auto"/>
        <w:left w:val="none" w:sz="0" w:space="0" w:color="auto"/>
        <w:bottom w:val="none" w:sz="0" w:space="0" w:color="auto"/>
        <w:right w:val="none" w:sz="0" w:space="0" w:color="auto"/>
      </w:divBdr>
    </w:div>
    <w:div w:id="1505051510">
      <w:bodyDiv w:val="1"/>
      <w:marLeft w:val="0"/>
      <w:marRight w:val="0"/>
      <w:marTop w:val="0"/>
      <w:marBottom w:val="0"/>
      <w:divBdr>
        <w:top w:val="none" w:sz="0" w:space="0" w:color="auto"/>
        <w:left w:val="none" w:sz="0" w:space="0" w:color="auto"/>
        <w:bottom w:val="none" w:sz="0" w:space="0" w:color="auto"/>
        <w:right w:val="none" w:sz="0" w:space="0" w:color="auto"/>
      </w:divBdr>
    </w:div>
    <w:div w:id="1510364842">
      <w:bodyDiv w:val="1"/>
      <w:marLeft w:val="0"/>
      <w:marRight w:val="0"/>
      <w:marTop w:val="0"/>
      <w:marBottom w:val="0"/>
      <w:divBdr>
        <w:top w:val="none" w:sz="0" w:space="0" w:color="auto"/>
        <w:left w:val="none" w:sz="0" w:space="0" w:color="auto"/>
        <w:bottom w:val="none" w:sz="0" w:space="0" w:color="auto"/>
        <w:right w:val="none" w:sz="0" w:space="0" w:color="auto"/>
      </w:divBdr>
    </w:div>
    <w:div w:id="1556234237">
      <w:bodyDiv w:val="1"/>
      <w:marLeft w:val="0"/>
      <w:marRight w:val="0"/>
      <w:marTop w:val="0"/>
      <w:marBottom w:val="0"/>
      <w:divBdr>
        <w:top w:val="none" w:sz="0" w:space="0" w:color="auto"/>
        <w:left w:val="none" w:sz="0" w:space="0" w:color="auto"/>
        <w:bottom w:val="none" w:sz="0" w:space="0" w:color="auto"/>
        <w:right w:val="none" w:sz="0" w:space="0" w:color="auto"/>
      </w:divBdr>
    </w:div>
    <w:div w:id="1569875428">
      <w:bodyDiv w:val="1"/>
      <w:marLeft w:val="0"/>
      <w:marRight w:val="0"/>
      <w:marTop w:val="0"/>
      <w:marBottom w:val="0"/>
      <w:divBdr>
        <w:top w:val="none" w:sz="0" w:space="0" w:color="auto"/>
        <w:left w:val="none" w:sz="0" w:space="0" w:color="auto"/>
        <w:bottom w:val="none" w:sz="0" w:space="0" w:color="auto"/>
        <w:right w:val="none" w:sz="0" w:space="0" w:color="auto"/>
      </w:divBdr>
    </w:div>
    <w:div w:id="1647851502">
      <w:bodyDiv w:val="1"/>
      <w:marLeft w:val="0"/>
      <w:marRight w:val="0"/>
      <w:marTop w:val="0"/>
      <w:marBottom w:val="0"/>
      <w:divBdr>
        <w:top w:val="none" w:sz="0" w:space="0" w:color="auto"/>
        <w:left w:val="none" w:sz="0" w:space="0" w:color="auto"/>
        <w:bottom w:val="none" w:sz="0" w:space="0" w:color="auto"/>
        <w:right w:val="none" w:sz="0" w:space="0" w:color="auto"/>
      </w:divBdr>
    </w:div>
    <w:div w:id="1665619456">
      <w:bodyDiv w:val="1"/>
      <w:marLeft w:val="0"/>
      <w:marRight w:val="0"/>
      <w:marTop w:val="0"/>
      <w:marBottom w:val="0"/>
      <w:divBdr>
        <w:top w:val="none" w:sz="0" w:space="0" w:color="auto"/>
        <w:left w:val="none" w:sz="0" w:space="0" w:color="auto"/>
        <w:bottom w:val="none" w:sz="0" w:space="0" w:color="auto"/>
        <w:right w:val="none" w:sz="0" w:space="0" w:color="auto"/>
      </w:divBdr>
    </w:div>
    <w:div w:id="1719862653">
      <w:bodyDiv w:val="1"/>
      <w:marLeft w:val="0"/>
      <w:marRight w:val="0"/>
      <w:marTop w:val="0"/>
      <w:marBottom w:val="0"/>
      <w:divBdr>
        <w:top w:val="none" w:sz="0" w:space="0" w:color="auto"/>
        <w:left w:val="none" w:sz="0" w:space="0" w:color="auto"/>
        <w:bottom w:val="none" w:sz="0" w:space="0" w:color="auto"/>
        <w:right w:val="none" w:sz="0" w:space="0" w:color="auto"/>
      </w:divBdr>
    </w:div>
    <w:div w:id="1748728240">
      <w:bodyDiv w:val="1"/>
      <w:marLeft w:val="0"/>
      <w:marRight w:val="0"/>
      <w:marTop w:val="0"/>
      <w:marBottom w:val="0"/>
      <w:divBdr>
        <w:top w:val="none" w:sz="0" w:space="0" w:color="auto"/>
        <w:left w:val="none" w:sz="0" w:space="0" w:color="auto"/>
        <w:bottom w:val="none" w:sz="0" w:space="0" w:color="auto"/>
        <w:right w:val="none" w:sz="0" w:space="0" w:color="auto"/>
      </w:divBdr>
    </w:div>
    <w:div w:id="1751544160">
      <w:bodyDiv w:val="1"/>
      <w:marLeft w:val="0"/>
      <w:marRight w:val="0"/>
      <w:marTop w:val="0"/>
      <w:marBottom w:val="0"/>
      <w:divBdr>
        <w:top w:val="none" w:sz="0" w:space="0" w:color="auto"/>
        <w:left w:val="none" w:sz="0" w:space="0" w:color="auto"/>
        <w:bottom w:val="none" w:sz="0" w:space="0" w:color="auto"/>
        <w:right w:val="none" w:sz="0" w:space="0" w:color="auto"/>
      </w:divBdr>
    </w:div>
    <w:div w:id="1796555520">
      <w:bodyDiv w:val="1"/>
      <w:marLeft w:val="0"/>
      <w:marRight w:val="0"/>
      <w:marTop w:val="0"/>
      <w:marBottom w:val="0"/>
      <w:divBdr>
        <w:top w:val="none" w:sz="0" w:space="0" w:color="auto"/>
        <w:left w:val="none" w:sz="0" w:space="0" w:color="auto"/>
        <w:bottom w:val="none" w:sz="0" w:space="0" w:color="auto"/>
        <w:right w:val="none" w:sz="0" w:space="0" w:color="auto"/>
      </w:divBdr>
    </w:div>
    <w:div w:id="1802262748">
      <w:bodyDiv w:val="1"/>
      <w:marLeft w:val="0"/>
      <w:marRight w:val="0"/>
      <w:marTop w:val="0"/>
      <w:marBottom w:val="0"/>
      <w:divBdr>
        <w:top w:val="none" w:sz="0" w:space="0" w:color="auto"/>
        <w:left w:val="none" w:sz="0" w:space="0" w:color="auto"/>
        <w:bottom w:val="none" w:sz="0" w:space="0" w:color="auto"/>
        <w:right w:val="none" w:sz="0" w:space="0" w:color="auto"/>
      </w:divBdr>
    </w:div>
    <w:div w:id="1861966304">
      <w:bodyDiv w:val="1"/>
      <w:marLeft w:val="0"/>
      <w:marRight w:val="0"/>
      <w:marTop w:val="0"/>
      <w:marBottom w:val="0"/>
      <w:divBdr>
        <w:top w:val="none" w:sz="0" w:space="0" w:color="auto"/>
        <w:left w:val="none" w:sz="0" w:space="0" w:color="auto"/>
        <w:bottom w:val="none" w:sz="0" w:space="0" w:color="auto"/>
        <w:right w:val="none" w:sz="0" w:space="0" w:color="auto"/>
      </w:divBdr>
    </w:div>
    <w:div w:id="1875582105">
      <w:bodyDiv w:val="1"/>
      <w:marLeft w:val="0"/>
      <w:marRight w:val="0"/>
      <w:marTop w:val="0"/>
      <w:marBottom w:val="0"/>
      <w:divBdr>
        <w:top w:val="none" w:sz="0" w:space="0" w:color="auto"/>
        <w:left w:val="none" w:sz="0" w:space="0" w:color="auto"/>
        <w:bottom w:val="none" w:sz="0" w:space="0" w:color="auto"/>
        <w:right w:val="none" w:sz="0" w:space="0" w:color="auto"/>
      </w:divBdr>
    </w:div>
    <w:div w:id="1890722874">
      <w:bodyDiv w:val="1"/>
      <w:marLeft w:val="0"/>
      <w:marRight w:val="0"/>
      <w:marTop w:val="0"/>
      <w:marBottom w:val="0"/>
      <w:divBdr>
        <w:top w:val="none" w:sz="0" w:space="0" w:color="auto"/>
        <w:left w:val="none" w:sz="0" w:space="0" w:color="auto"/>
        <w:bottom w:val="none" w:sz="0" w:space="0" w:color="auto"/>
        <w:right w:val="none" w:sz="0" w:space="0" w:color="auto"/>
      </w:divBdr>
    </w:div>
    <w:div w:id="1959024528">
      <w:bodyDiv w:val="1"/>
      <w:marLeft w:val="0"/>
      <w:marRight w:val="0"/>
      <w:marTop w:val="0"/>
      <w:marBottom w:val="0"/>
      <w:divBdr>
        <w:top w:val="none" w:sz="0" w:space="0" w:color="auto"/>
        <w:left w:val="none" w:sz="0" w:space="0" w:color="auto"/>
        <w:bottom w:val="none" w:sz="0" w:space="0" w:color="auto"/>
        <w:right w:val="none" w:sz="0" w:space="0" w:color="auto"/>
      </w:divBdr>
    </w:div>
    <w:div w:id="1974483680">
      <w:bodyDiv w:val="1"/>
      <w:marLeft w:val="0"/>
      <w:marRight w:val="0"/>
      <w:marTop w:val="0"/>
      <w:marBottom w:val="0"/>
      <w:divBdr>
        <w:top w:val="none" w:sz="0" w:space="0" w:color="auto"/>
        <w:left w:val="none" w:sz="0" w:space="0" w:color="auto"/>
        <w:bottom w:val="none" w:sz="0" w:space="0" w:color="auto"/>
        <w:right w:val="none" w:sz="0" w:space="0" w:color="auto"/>
      </w:divBdr>
    </w:div>
    <w:div w:id="20816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minimum-earnings-threshold-for-eea-migrants-introduced" TargetMode="External"/><Relationship Id="rId1" Type="http://schemas.openxmlformats.org/officeDocument/2006/relationships/hyperlink" Target="https://ec.europa.eu/commission/sites/beta-political/files/roadmap-factsheet-tallin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37F8-700D-4A65-BB25-679EBE26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42</Pages>
  <Words>13816</Words>
  <Characters>78753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Reynolds</dc:creator>
  <cp:keywords/>
  <dc:description/>
  <cp:lastModifiedBy>Reynolds, Stephanie</cp:lastModifiedBy>
  <cp:revision>185</cp:revision>
  <cp:lastPrinted>2018-04-23T18:55:00Z</cp:lastPrinted>
  <dcterms:created xsi:type="dcterms:W3CDTF">2018-08-10T14:35:00Z</dcterms:created>
  <dcterms:modified xsi:type="dcterms:W3CDTF">2018-08-20T11:46:00Z</dcterms:modified>
</cp:coreProperties>
</file>