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AB" w:rsidRDefault="003504AB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6F134A" w:rsidRDefault="006F134A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6F134A" w:rsidRPr="008E6B11" w:rsidRDefault="006F134A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3504AB" w:rsidRPr="008E6B11" w:rsidRDefault="003504AB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3504AB" w:rsidRPr="008E6B11" w:rsidRDefault="003504AB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3504AB" w:rsidRPr="008E6B11" w:rsidRDefault="003504AB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C2665B" w:rsidRPr="00A107B1" w:rsidRDefault="00C2665B" w:rsidP="00C2665B">
      <w:pPr>
        <w:pStyle w:val="BodyText"/>
        <w:spacing w:line="480" w:lineRule="auto"/>
        <w:jc w:val="center"/>
        <w:rPr>
          <w:b/>
          <w:color w:val="000000" w:themeColor="text1"/>
          <w:szCs w:val="24"/>
        </w:rPr>
      </w:pPr>
      <w:r w:rsidRPr="00A107B1">
        <w:rPr>
          <w:b/>
          <w:color w:val="000000" w:themeColor="text1"/>
          <w:szCs w:val="24"/>
        </w:rPr>
        <w:t>2D:4D digit ratio and types of adult paranormal belief</w:t>
      </w:r>
      <w:r w:rsidR="003340A5" w:rsidRPr="00A107B1">
        <w:rPr>
          <w:b/>
          <w:color w:val="000000" w:themeColor="text1"/>
          <w:szCs w:val="24"/>
        </w:rPr>
        <w:t xml:space="preserve">: </w:t>
      </w:r>
      <w:r w:rsidRPr="00A107B1">
        <w:rPr>
          <w:b/>
          <w:color w:val="000000" w:themeColor="text1"/>
          <w:szCs w:val="24"/>
        </w:rPr>
        <w:t>An attempted replication</w:t>
      </w:r>
    </w:p>
    <w:p w:rsidR="00C2665B" w:rsidRPr="00A107B1" w:rsidRDefault="00C2665B" w:rsidP="00C2665B">
      <w:pPr>
        <w:pStyle w:val="BodyText"/>
        <w:spacing w:line="480" w:lineRule="auto"/>
        <w:jc w:val="center"/>
        <w:rPr>
          <w:b/>
          <w:color w:val="000000" w:themeColor="text1"/>
          <w:szCs w:val="24"/>
        </w:rPr>
      </w:pPr>
      <w:proofErr w:type="gramStart"/>
      <w:r w:rsidRPr="00A107B1">
        <w:rPr>
          <w:b/>
          <w:color w:val="000000" w:themeColor="text1"/>
          <w:szCs w:val="24"/>
        </w:rPr>
        <w:t>and</w:t>
      </w:r>
      <w:proofErr w:type="gramEnd"/>
      <w:r w:rsidRPr="00A107B1">
        <w:rPr>
          <w:b/>
          <w:color w:val="000000" w:themeColor="text1"/>
          <w:szCs w:val="24"/>
        </w:rPr>
        <w:t xml:space="preserve"> extension of Voracek (2009) with a UK sample</w:t>
      </w:r>
    </w:p>
    <w:p w:rsidR="00D367B6" w:rsidRDefault="00D367B6" w:rsidP="00C2665B">
      <w:pPr>
        <w:pStyle w:val="BodyText"/>
        <w:spacing w:line="480" w:lineRule="auto"/>
        <w:jc w:val="center"/>
        <w:rPr>
          <w:color w:val="000000" w:themeColor="text1"/>
          <w:szCs w:val="24"/>
        </w:rPr>
      </w:pPr>
    </w:p>
    <w:p w:rsidR="00D367B6" w:rsidRDefault="00D367B6" w:rsidP="00D367B6">
      <w:pPr>
        <w:pStyle w:val="BodyText"/>
        <w:spacing w:after="120" w:line="240" w:lineRule="auto"/>
        <w:jc w:val="center"/>
        <w:rPr>
          <w:color w:val="0D0D0D" w:themeColor="text1" w:themeTint="F2"/>
          <w:szCs w:val="24"/>
          <w:vertAlign w:val="superscript"/>
        </w:rPr>
      </w:pPr>
      <w:r>
        <w:rPr>
          <w:color w:val="0D0D0D" w:themeColor="text1" w:themeTint="F2"/>
          <w:szCs w:val="24"/>
        </w:rPr>
        <w:t xml:space="preserve">Paul Rogers </w:t>
      </w:r>
      <w:proofErr w:type="spellStart"/>
      <w:r>
        <w:rPr>
          <w:color w:val="0D0D0D" w:themeColor="text1" w:themeTint="F2"/>
          <w:szCs w:val="24"/>
        </w:rPr>
        <w:t>PhD</w:t>
      </w:r>
      <w:r>
        <w:rPr>
          <w:color w:val="0D0D0D" w:themeColor="text1" w:themeTint="F2"/>
          <w:szCs w:val="24"/>
          <w:vertAlign w:val="superscript"/>
        </w:rPr>
        <w:t>a</w:t>
      </w:r>
      <w:proofErr w:type="spellEnd"/>
      <w:r>
        <w:rPr>
          <w:color w:val="0D0D0D" w:themeColor="text1" w:themeTint="F2"/>
          <w:szCs w:val="24"/>
        </w:rPr>
        <w:t xml:space="preserve">, Noreen Caswell </w:t>
      </w:r>
      <w:proofErr w:type="spellStart"/>
      <w:r>
        <w:rPr>
          <w:color w:val="0D0D0D" w:themeColor="text1" w:themeTint="F2"/>
          <w:szCs w:val="24"/>
        </w:rPr>
        <w:t>PhD</w:t>
      </w:r>
      <w:r>
        <w:rPr>
          <w:color w:val="0D0D0D" w:themeColor="text1" w:themeTint="F2"/>
          <w:szCs w:val="24"/>
          <w:vertAlign w:val="superscript"/>
        </w:rPr>
        <w:t>b</w:t>
      </w:r>
      <w:proofErr w:type="spellEnd"/>
      <w:r>
        <w:rPr>
          <w:color w:val="0D0D0D" w:themeColor="text1" w:themeTint="F2"/>
          <w:szCs w:val="24"/>
        </w:rPr>
        <w:t xml:space="preserve"> &amp; Gayle Brewer </w:t>
      </w:r>
      <w:proofErr w:type="spellStart"/>
      <w:r>
        <w:rPr>
          <w:color w:val="0D0D0D" w:themeColor="text1" w:themeTint="F2"/>
          <w:szCs w:val="24"/>
        </w:rPr>
        <w:t>PhD</w:t>
      </w:r>
      <w:r>
        <w:rPr>
          <w:color w:val="0D0D0D" w:themeColor="text1" w:themeTint="F2"/>
          <w:szCs w:val="24"/>
          <w:vertAlign w:val="superscript"/>
        </w:rPr>
        <w:t>b</w:t>
      </w:r>
      <w:proofErr w:type="spellEnd"/>
    </w:p>
    <w:p w:rsidR="00D367B6" w:rsidRDefault="00D367B6" w:rsidP="00D367B6">
      <w:pPr>
        <w:pStyle w:val="BodyText"/>
        <w:spacing w:after="120" w:line="240" w:lineRule="auto"/>
        <w:jc w:val="center"/>
        <w:rPr>
          <w:color w:val="0D0D0D" w:themeColor="text1" w:themeTint="F2"/>
          <w:szCs w:val="24"/>
        </w:rPr>
      </w:pPr>
    </w:p>
    <w:p w:rsidR="00D367B6" w:rsidRDefault="00D367B6" w:rsidP="00D367B6">
      <w:pPr>
        <w:rPr>
          <w:color w:val="0D0D0D" w:themeColor="text1" w:themeTint="F2"/>
          <w:sz w:val="20"/>
          <w:szCs w:val="20"/>
        </w:rPr>
      </w:pPr>
      <w:r>
        <w:rPr>
          <w:rFonts w:eastAsiaTheme="minorEastAsia"/>
          <w:noProof/>
          <w:color w:val="0D0D0D" w:themeColor="text1" w:themeTint="F2"/>
          <w:sz w:val="20"/>
          <w:vertAlign w:val="superscript"/>
        </w:rPr>
        <w:t>a</w:t>
      </w:r>
      <w:r>
        <w:rPr>
          <w:rFonts w:eastAsiaTheme="minorEastAsia"/>
          <w:noProof/>
          <w:color w:val="0D0D0D" w:themeColor="text1" w:themeTint="F2"/>
          <w:sz w:val="20"/>
        </w:rPr>
        <w:t xml:space="preserve"> </w:t>
      </w:r>
      <w:r>
        <w:rPr>
          <w:color w:val="0D0D0D" w:themeColor="text1" w:themeTint="F2"/>
          <w:sz w:val="20"/>
          <w:szCs w:val="20"/>
        </w:rPr>
        <w:t>Anomalistic Psychology Research Unit, Department of Psychology, Goldsmith's College, University of London, New Cross, London SE14 6NW, UK</w:t>
      </w:r>
    </w:p>
    <w:p w:rsidR="000D32F8" w:rsidRDefault="00D367B6" w:rsidP="00D367B6">
      <w:pPr>
        <w:pStyle w:val="BodyText"/>
        <w:spacing w:line="240" w:lineRule="auto"/>
        <w:rPr>
          <w:color w:val="0D0D0D" w:themeColor="text1" w:themeTint="F2"/>
          <w:sz w:val="20"/>
        </w:rPr>
      </w:pPr>
      <w:proofErr w:type="gramStart"/>
      <w:r>
        <w:rPr>
          <w:color w:val="0D0D0D" w:themeColor="text1" w:themeTint="F2"/>
          <w:sz w:val="20"/>
          <w:vertAlign w:val="superscript"/>
        </w:rPr>
        <w:t>b</w:t>
      </w:r>
      <w:proofErr w:type="gramEnd"/>
      <w:r>
        <w:rPr>
          <w:color w:val="0D0D0D" w:themeColor="text1" w:themeTint="F2"/>
          <w:sz w:val="20"/>
        </w:rPr>
        <w:t xml:space="preserve"> School of Psychology, Darwin Building, University of Central Lancashire, Preston, Lancashire PR1 2HE, UK</w:t>
      </w:r>
    </w:p>
    <w:p w:rsidR="000D32F8" w:rsidRDefault="000D32F8">
      <w:pPr>
        <w:rPr>
          <w:color w:val="0D0D0D" w:themeColor="text1" w:themeTint="F2"/>
          <w:sz w:val="20"/>
          <w:szCs w:val="20"/>
          <w:lang w:eastAsia="en-US"/>
        </w:rPr>
      </w:pPr>
      <w:r>
        <w:rPr>
          <w:color w:val="0D0D0D" w:themeColor="text1" w:themeTint="F2"/>
          <w:sz w:val="20"/>
        </w:rPr>
        <w:br w:type="page"/>
      </w:r>
    </w:p>
    <w:p w:rsidR="000D32F8" w:rsidRDefault="000D32F8" w:rsidP="000D32F8">
      <w:pPr>
        <w:spacing w:line="480" w:lineRule="auto"/>
        <w:jc w:val="center"/>
        <w:rPr>
          <w:color w:val="000000"/>
        </w:rPr>
      </w:pPr>
      <w:r>
        <w:rPr>
          <w:rStyle w:val="Strong"/>
          <w:color w:val="000000"/>
        </w:rPr>
        <w:t>Highlights</w:t>
      </w:r>
    </w:p>
    <w:p w:rsidR="000D32F8" w:rsidRDefault="000D32F8" w:rsidP="000D32F8">
      <w:pPr>
        <w:pStyle w:val="ListParagraph"/>
        <w:numPr>
          <w:ilvl w:val="0"/>
          <w:numId w:val="8"/>
        </w:numPr>
        <w:spacing w:line="480" w:lineRule="auto"/>
        <w:ind w:left="284" w:hanging="284"/>
        <w:rPr>
          <w:color w:val="000000"/>
        </w:rPr>
      </w:pPr>
      <w:r>
        <w:rPr>
          <w:color w:val="000000"/>
        </w:rPr>
        <w:t>Females reported (marginally) stronger beliefs in ESP and life after death.</w:t>
      </w:r>
    </w:p>
    <w:p w:rsidR="000D32F8" w:rsidRDefault="000D32F8" w:rsidP="000D32F8">
      <w:pPr>
        <w:pStyle w:val="ListParagraph"/>
        <w:numPr>
          <w:ilvl w:val="0"/>
          <w:numId w:val="8"/>
        </w:numPr>
        <w:spacing w:line="480" w:lineRule="auto"/>
        <w:ind w:left="284" w:hanging="284"/>
        <w:rPr>
          <w:color w:val="000000"/>
        </w:rPr>
      </w:pPr>
      <w:r>
        <w:rPr>
          <w:color w:val="000000"/>
        </w:rPr>
        <w:t xml:space="preserve">Females also reported higher indirect </w:t>
      </w:r>
      <w:proofErr w:type="spellStart"/>
      <w:r>
        <w:rPr>
          <w:color w:val="000000"/>
        </w:rPr>
        <w:t>rater</w:t>
      </w:r>
      <w:proofErr w:type="spellEnd"/>
      <w:r>
        <w:rPr>
          <w:color w:val="000000"/>
        </w:rPr>
        <w:t>-based 2D:4D ratios.</w:t>
      </w:r>
    </w:p>
    <w:p w:rsidR="000D32F8" w:rsidRDefault="000D32F8" w:rsidP="000D32F8">
      <w:pPr>
        <w:pStyle w:val="ListParagraph"/>
        <w:numPr>
          <w:ilvl w:val="0"/>
          <w:numId w:val="8"/>
        </w:numPr>
        <w:spacing w:line="480" w:lineRule="auto"/>
        <w:ind w:left="284" w:hanging="284"/>
        <w:rPr>
          <w:color w:val="000000"/>
        </w:rPr>
      </w:pPr>
      <w:r>
        <w:rPr>
          <w:color w:val="000000"/>
        </w:rPr>
        <w:t>Females’ direct self-rated 2D:4D correlated positively with their ESP and PK beliefs.</w:t>
      </w:r>
    </w:p>
    <w:p w:rsidR="000D32F8" w:rsidRDefault="000D32F8" w:rsidP="000D32F8">
      <w:pPr>
        <w:pStyle w:val="ListParagraph"/>
        <w:numPr>
          <w:ilvl w:val="0"/>
          <w:numId w:val="8"/>
        </w:numPr>
        <w:spacing w:line="480" w:lineRule="auto"/>
        <w:ind w:left="284" w:hanging="284"/>
        <w:rPr>
          <w:color w:val="000000"/>
        </w:rPr>
      </w:pPr>
      <w:r>
        <w:rPr>
          <w:color w:val="000000"/>
        </w:rPr>
        <w:t>Females’ direct self-rated functional asymmetry correlated with their PK beliefs.</w:t>
      </w:r>
    </w:p>
    <w:p w:rsidR="000D32F8" w:rsidRDefault="000D32F8" w:rsidP="000D32F8">
      <w:pPr>
        <w:pStyle w:val="ListParagraph"/>
        <w:numPr>
          <w:ilvl w:val="0"/>
          <w:numId w:val="8"/>
        </w:numPr>
        <w:spacing w:line="480" w:lineRule="auto"/>
        <w:ind w:left="284" w:right="237" w:hanging="284"/>
        <w:rPr>
          <w:color w:val="000000"/>
        </w:rPr>
      </w:pPr>
      <w:r>
        <w:rPr>
          <w:color w:val="000000"/>
        </w:rPr>
        <w:t xml:space="preserve">No significant digit-related </w:t>
      </w:r>
      <w:r>
        <w:rPr>
          <w:color w:val="000000"/>
        </w:rPr>
        <w:sym w:font="Symbol" w:char="F0B4"/>
      </w:r>
      <w:r>
        <w:rPr>
          <w:color w:val="000000"/>
        </w:rPr>
        <w:t xml:space="preserve"> paranormal belief associations existed for males.</w:t>
      </w:r>
    </w:p>
    <w:p w:rsidR="00D367B6" w:rsidRDefault="00D367B6" w:rsidP="00D367B6">
      <w:pPr>
        <w:pStyle w:val="BodyText"/>
        <w:spacing w:line="240" w:lineRule="auto"/>
        <w:rPr>
          <w:color w:val="0D0D0D" w:themeColor="text1" w:themeTint="F2"/>
          <w:sz w:val="20"/>
        </w:rPr>
      </w:pPr>
    </w:p>
    <w:p w:rsidR="00D367B6" w:rsidRPr="008E6B11" w:rsidRDefault="00D367B6" w:rsidP="00C2665B">
      <w:pPr>
        <w:pStyle w:val="BodyText"/>
        <w:spacing w:line="480" w:lineRule="auto"/>
        <w:jc w:val="center"/>
        <w:rPr>
          <w:color w:val="000000" w:themeColor="text1"/>
          <w:szCs w:val="24"/>
        </w:rPr>
      </w:pPr>
    </w:p>
    <w:p w:rsidR="00CE6DCD" w:rsidRPr="008E6B11" w:rsidRDefault="00CE6DCD" w:rsidP="00351B69">
      <w:pPr>
        <w:pStyle w:val="BodyText"/>
        <w:spacing w:line="480" w:lineRule="auto"/>
        <w:rPr>
          <w:color w:val="000000" w:themeColor="text1"/>
          <w:szCs w:val="24"/>
        </w:rPr>
      </w:pPr>
    </w:p>
    <w:p w:rsidR="003504AB" w:rsidRPr="008E6B11" w:rsidRDefault="003504AB" w:rsidP="008C12A1">
      <w:pPr>
        <w:spacing w:line="480" w:lineRule="auto"/>
        <w:rPr>
          <w:b/>
          <w:color w:val="000000" w:themeColor="text1"/>
        </w:rPr>
      </w:pPr>
    </w:p>
    <w:p w:rsidR="007C7E17" w:rsidRPr="008E6B11" w:rsidRDefault="007C7E17" w:rsidP="008C12A1">
      <w:pPr>
        <w:spacing w:line="480" w:lineRule="auto"/>
        <w:rPr>
          <w:b/>
          <w:color w:val="000000" w:themeColor="text1"/>
        </w:rPr>
      </w:pPr>
    </w:p>
    <w:p w:rsidR="007C7E17" w:rsidRPr="008E6B11" w:rsidRDefault="007C7E17" w:rsidP="008C12A1">
      <w:pPr>
        <w:spacing w:line="480" w:lineRule="auto"/>
        <w:rPr>
          <w:b/>
          <w:color w:val="000000" w:themeColor="text1"/>
        </w:rPr>
      </w:pPr>
    </w:p>
    <w:p w:rsidR="007C7E17" w:rsidRPr="008E6B11" w:rsidRDefault="007C7E17" w:rsidP="008C12A1">
      <w:pPr>
        <w:spacing w:line="480" w:lineRule="auto"/>
        <w:rPr>
          <w:b/>
          <w:color w:val="000000" w:themeColor="text1"/>
        </w:rPr>
      </w:pPr>
    </w:p>
    <w:p w:rsidR="007C7E17" w:rsidRPr="008E6B11" w:rsidRDefault="007C7E17" w:rsidP="008C12A1">
      <w:pPr>
        <w:spacing w:line="480" w:lineRule="auto"/>
        <w:rPr>
          <w:b/>
          <w:color w:val="000000" w:themeColor="text1"/>
        </w:rPr>
      </w:pPr>
    </w:p>
    <w:p w:rsidR="00F506A4" w:rsidRPr="008E6B11" w:rsidRDefault="00F506A4" w:rsidP="008C12A1">
      <w:pPr>
        <w:spacing w:line="480" w:lineRule="auto"/>
        <w:rPr>
          <w:b/>
          <w:color w:val="000000" w:themeColor="text1"/>
        </w:rPr>
      </w:pPr>
    </w:p>
    <w:p w:rsidR="00F506A4" w:rsidRPr="008E6B11" w:rsidRDefault="00F506A4" w:rsidP="008C12A1">
      <w:pPr>
        <w:spacing w:line="480" w:lineRule="auto"/>
        <w:rPr>
          <w:b/>
          <w:color w:val="000000" w:themeColor="text1"/>
        </w:rPr>
        <w:sectPr w:rsidR="00F506A4" w:rsidRPr="008E6B11" w:rsidSect="007E50FC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:rsidR="008F1504" w:rsidRPr="008E6B11" w:rsidRDefault="002E7FB3" w:rsidP="008C12A1">
      <w:pPr>
        <w:spacing w:line="480" w:lineRule="auto"/>
        <w:jc w:val="center"/>
        <w:rPr>
          <w:b/>
          <w:color w:val="000000" w:themeColor="text1"/>
        </w:rPr>
      </w:pPr>
      <w:r w:rsidRPr="008E6B11">
        <w:rPr>
          <w:b/>
          <w:color w:val="000000" w:themeColor="text1"/>
        </w:rPr>
        <w:lastRenderedPageBreak/>
        <w:t>Abstract</w:t>
      </w:r>
    </w:p>
    <w:p w:rsidR="00577691" w:rsidRPr="008E6B11" w:rsidRDefault="00B44277" w:rsidP="00B44277">
      <w:pPr>
        <w:spacing w:line="480" w:lineRule="auto"/>
        <w:rPr>
          <w:color w:val="000000" w:themeColor="text1"/>
        </w:rPr>
      </w:pPr>
      <w:r w:rsidRPr="008E6B11">
        <w:rPr>
          <w:color w:val="000000" w:themeColor="text1"/>
        </w:rPr>
        <w:t xml:space="preserve">This study </w:t>
      </w:r>
      <w:r w:rsidR="00AF23EA" w:rsidRPr="008E6B11">
        <w:rPr>
          <w:color w:val="000000" w:themeColor="text1"/>
        </w:rPr>
        <w:t xml:space="preserve">examines the extent to which </w:t>
      </w:r>
      <w:r w:rsidR="00332913" w:rsidRPr="008E6B11">
        <w:rPr>
          <w:color w:val="000000" w:themeColor="text1"/>
        </w:rPr>
        <w:t xml:space="preserve">mean </w:t>
      </w:r>
      <w:r w:rsidR="000F25E9" w:rsidRPr="008E6B11">
        <w:rPr>
          <w:color w:val="000000" w:themeColor="text1"/>
        </w:rPr>
        <w:t>digit length (MDL)</w:t>
      </w:r>
      <w:r w:rsidR="00332913" w:rsidRPr="008E6B11">
        <w:rPr>
          <w:color w:val="000000" w:themeColor="text1"/>
        </w:rPr>
        <w:t xml:space="preserve">, </w:t>
      </w:r>
      <w:r w:rsidR="000F25E9" w:rsidRPr="008E6B11">
        <w:rPr>
          <w:color w:val="000000" w:themeColor="text1"/>
        </w:rPr>
        <w:t>second-to-fourth</w:t>
      </w:r>
      <w:r w:rsidRPr="008E6B11">
        <w:rPr>
          <w:color w:val="000000" w:themeColor="text1"/>
        </w:rPr>
        <w:t xml:space="preserve"> digit ratio</w:t>
      </w:r>
      <w:r w:rsidR="000F25E9" w:rsidRPr="008E6B11">
        <w:rPr>
          <w:color w:val="000000" w:themeColor="text1"/>
        </w:rPr>
        <w:t xml:space="preserve"> (2D:4D)</w:t>
      </w:r>
      <w:r w:rsidRPr="008E6B11">
        <w:rPr>
          <w:color w:val="000000" w:themeColor="text1"/>
        </w:rPr>
        <w:t>, digit asymmetry</w:t>
      </w:r>
      <w:r w:rsidR="000F25E9" w:rsidRPr="008E6B11">
        <w:rPr>
          <w:color w:val="000000" w:themeColor="text1"/>
        </w:rPr>
        <w:t xml:space="preserve"> (DA)</w:t>
      </w:r>
      <w:r w:rsidRPr="008E6B11">
        <w:rPr>
          <w:color w:val="000000" w:themeColor="text1"/>
        </w:rPr>
        <w:t xml:space="preserve"> and fluctuating asymmetry</w:t>
      </w:r>
      <w:r w:rsidR="000F25E9" w:rsidRPr="008E6B11">
        <w:rPr>
          <w:color w:val="000000" w:themeColor="text1"/>
        </w:rPr>
        <w:t xml:space="preserve"> (FA</w:t>
      </w:r>
      <w:r w:rsidRPr="008E6B11">
        <w:rPr>
          <w:color w:val="000000" w:themeColor="text1"/>
        </w:rPr>
        <w:t xml:space="preserve">) </w:t>
      </w:r>
      <w:r w:rsidR="00AF23EA" w:rsidRPr="008E6B11">
        <w:rPr>
          <w:color w:val="000000" w:themeColor="text1"/>
        </w:rPr>
        <w:t xml:space="preserve">correlate with </w:t>
      </w:r>
      <w:r w:rsidRPr="008E6B11">
        <w:rPr>
          <w:color w:val="000000" w:themeColor="text1"/>
        </w:rPr>
        <w:t xml:space="preserve">belief in three types of alleged paranormal phenomena </w:t>
      </w:r>
      <w:r w:rsidR="00577691" w:rsidRPr="008E6B11">
        <w:rPr>
          <w:color w:val="000000" w:themeColor="text1"/>
        </w:rPr>
        <w:t>(</w:t>
      </w:r>
      <w:r w:rsidRPr="008E6B11">
        <w:rPr>
          <w:color w:val="000000" w:themeColor="text1"/>
        </w:rPr>
        <w:t>extrasensory perception, psychokinesis</w:t>
      </w:r>
      <w:r w:rsidR="00FC6CFD" w:rsidRPr="008E6B11">
        <w:rPr>
          <w:color w:val="000000" w:themeColor="text1"/>
        </w:rPr>
        <w:t>,</w:t>
      </w:r>
      <w:r w:rsidRPr="008E6B11">
        <w:rPr>
          <w:color w:val="000000" w:themeColor="text1"/>
        </w:rPr>
        <w:t xml:space="preserve"> and life after death). </w:t>
      </w:r>
      <w:r w:rsidR="00577691" w:rsidRPr="008E6B11">
        <w:rPr>
          <w:color w:val="000000" w:themeColor="text1"/>
        </w:rPr>
        <w:t xml:space="preserve">An opportunistic sample of </w:t>
      </w:r>
      <w:r w:rsidR="006711BF" w:rsidRPr="008E6B11">
        <w:rPr>
          <w:color w:val="000000" w:themeColor="text1"/>
        </w:rPr>
        <w:t>275</w:t>
      </w:r>
      <w:r w:rsidR="00577691" w:rsidRPr="008E6B11">
        <w:rPr>
          <w:color w:val="000000" w:themeColor="text1"/>
        </w:rPr>
        <w:t xml:space="preserve"> undergraduate</w:t>
      </w:r>
      <w:r w:rsidR="003679A1" w:rsidRPr="008E6B11">
        <w:rPr>
          <w:color w:val="000000" w:themeColor="text1"/>
        </w:rPr>
        <w:t xml:space="preserve"> student</w:t>
      </w:r>
      <w:r w:rsidR="00FC6CFD" w:rsidRPr="008E6B11">
        <w:rPr>
          <w:color w:val="000000" w:themeColor="text1"/>
        </w:rPr>
        <w:t>s</w:t>
      </w:r>
      <w:r w:rsidR="003679A1" w:rsidRPr="008E6B11">
        <w:rPr>
          <w:color w:val="000000" w:themeColor="text1"/>
        </w:rPr>
        <w:t xml:space="preserve"> </w:t>
      </w:r>
      <w:r w:rsidR="00577691" w:rsidRPr="008E6B11">
        <w:rPr>
          <w:color w:val="000000" w:themeColor="text1"/>
        </w:rPr>
        <w:t>completed standard paranormal belief and demographics questionnaires</w:t>
      </w:r>
      <w:r w:rsidR="00A03192" w:rsidRPr="008E6B11">
        <w:rPr>
          <w:color w:val="000000" w:themeColor="text1"/>
        </w:rPr>
        <w:t xml:space="preserve"> with </w:t>
      </w:r>
      <w:r w:rsidR="00A9031E" w:rsidRPr="008E6B11">
        <w:rPr>
          <w:color w:val="000000" w:themeColor="text1"/>
        </w:rPr>
        <w:t xml:space="preserve">the absolute length of </w:t>
      </w:r>
      <w:r w:rsidR="00A03192" w:rsidRPr="008E6B11">
        <w:rPr>
          <w:color w:val="000000" w:themeColor="text1"/>
        </w:rPr>
        <w:t xml:space="preserve">their </w:t>
      </w:r>
      <w:r w:rsidR="003679A1" w:rsidRPr="008E6B11">
        <w:rPr>
          <w:color w:val="000000" w:themeColor="text1"/>
        </w:rPr>
        <w:t xml:space="preserve">2D and 4D </w:t>
      </w:r>
      <w:r w:rsidR="00A03192" w:rsidRPr="008E6B11">
        <w:rPr>
          <w:color w:val="000000" w:themeColor="text1"/>
        </w:rPr>
        <w:t xml:space="preserve">on </w:t>
      </w:r>
      <w:r w:rsidR="00A9031E" w:rsidRPr="008E6B11">
        <w:rPr>
          <w:color w:val="000000" w:themeColor="text1"/>
        </w:rPr>
        <w:t xml:space="preserve">both hands </w:t>
      </w:r>
      <w:r w:rsidR="003679A1" w:rsidRPr="008E6B11">
        <w:rPr>
          <w:color w:val="000000" w:themeColor="text1"/>
        </w:rPr>
        <w:t>measured</w:t>
      </w:r>
      <w:r w:rsidR="00A62EA4" w:rsidRPr="008E6B11">
        <w:rPr>
          <w:color w:val="000000" w:themeColor="text1"/>
        </w:rPr>
        <w:t xml:space="preserve"> by participants </w:t>
      </w:r>
      <w:r w:rsidR="00D313C4" w:rsidRPr="008E6B11">
        <w:rPr>
          <w:color w:val="000000" w:themeColor="text1"/>
        </w:rPr>
        <w:t xml:space="preserve">themselves </w:t>
      </w:r>
      <w:r w:rsidR="003679A1" w:rsidRPr="008E6B11">
        <w:rPr>
          <w:color w:val="000000" w:themeColor="text1"/>
        </w:rPr>
        <w:t>(</w:t>
      </w:r>
      <w:r w:rsidR="00D313C4" w:rsidRPr="008E6B11">
        <w:rPr>
          <w:color w:val="000000" w:themeColor="text1"/>
        </w:rPr>
        <w:t>direct</w:t>
      </w:r>
      <w:r w:rsidR="00CB09AB" w:rsidRPr="008E6B11">
        <w:rPr>
          <w:color w:val="000000" w:themeColor="text1"/>
        </w:rPr>
        <w:t xml:space="preserve"> self-based</w:t>
      </w:r>
      <w:r w:rsidR="00D313C4" w:rsidRPr="008E6B11">
        <w:rPr>
          <w:color w:val="000000" w:themeColor="text1"/>
        </w:rPr>
        <w:t xml:space="preserve"> measures</w:t>
      </w:r>
      <w:r w:rsidR="003679A1" w:rsidRPr="008E6B11">
        <w:rPr>
          <w:color w:val="000000" w:themeColor="text1"/>
        </w:rPr>
        <w:t xml:space="preserve">) </w:t>
      </w:r>
      <w:r w:rsidR="00A62EA4" w:rsidRPr="008E6B11">
        <w:rPr>
          <w:color w:val="000000" w:themeColor="text1"/>
        </w:rPr>
        <w:t>as well as</w:t>
      </w:r>
      <w:r w:rsidR="003679A1" w:rsidRPr="008E6B11">
        <w:rPr>
          <w:color w:val="000000" w:themeColor="text1"/>
        </w:rPr>
        <w:t xml:space="preserve"> by </w:t>
      </w:r>
      <w:r w:rsidR="00393A90" w:rsidRPr="008E6B11">
        <w:rPr>
          <w:color w:val="000000" w:themeColor="text1"/>
        </w:rPr>
        <w:t xml:space="preserve">two </w:t>
      </w:r>
      <w:r w:rsidR="003679A1" w:rsidRPr="008E6B11">
        <w:rPr>
          <w:color w:val="000000" w:themeColor="text1"/>
        </w:rPr>
        <w:t xml:space="preserve">independent </w:t>
      </w:r>
      <w:r w:rsidR="00A03192" w:rsidRPr="008E6B11">
        <w:rPr>
          <w:color w:val="000000" w:themeColor="text1"/>
        </w:rPr>
        <w:t>from</w:t>
      </w:r>
      <w:r w:rsidR="003679A1" w:rsidRPr="008E6B11">
        <w:rPr>
          <w:color w:val="000000" w:themeColor="text1"/>
        </w:rPr>
        <w:t xml:space="preserve"> hand photocopies (</w:t>
      </w:r>
      <w:r w:rsidR="00CB09AB" w:rsidRPr="008E6B11">
        <w:rPr>
          <w:color w:val="000000" w:themeColor="text1"/>
        </w:rPr>
        <w:t>indirect rater</w:t>
      </w:r>
      <w:r w:rsidR="003679A1" w:rsidRPr="008E6B11">
        <w:rPr>
          <w:color w:val="000000" w:themeColor="text1"/>
        </w:rPr>
        <w:t>-based</w:t>
      </w:r>
      <w:r w:rsidR="00D313C4" w:rsidRPr="008E6B11">
        <w:rPr>
          <w:color w:val="000000" w:themeColor="text1"/>
        </w:rPr>
        <w:t xml:space="preserve"> measures</w:t>
      </w:r>
      <w:r w:rsidR="003679A1" w:rsidRPr="008E6B11">
        <w:rPr>
          <w:color w:val="000000" w:themeColor="text1"/>
        </w:rPr>
        <w:t>)</w:t>
      </w:r>
      <w:r w:rsidR="00A9031E" w:rsidRPr="008E6B11">
        <w:rPr>
          <w:color w:val="000000" w:themeColor="text1"/>
        </w:rPr>
        <w:t xml:space="preserve">. </w:t>
      </w:r>
      <w:r w:rsidR="00577691" w:rsidRPr="008E6B11">
        <w:rPr>
          <w:color w:val="000000" w:themeColor="text1"/>
        </w:rPr>
        <w:t xml:space="preserve">As hypothesised, females presented a lower </w:t>
      </w:r>
      <w:r w:rsidR="00393A90" w:rsidRPr="008E6B11">
        <w:rPr>
          <w:color w:val="000000" w:themeColor="text1"/>
        </w:rPr>
        <w:t xml:space="preserve">MDL (both measurement sources) </w:t>
      </w:r>
      <w:r w:rsidR="00577691" w:rsidRPr="008E6B11">
        <w:rPr>
          <w:color w:val="000000" w:themeColor="text1"/>
        </w:rPr>
        <w:t xml:space="preserve">but higher </w:t>
      </w:r>
      <w:r w:rsidR="00CB09AB" w:rsidRPr="008E6B11">
        <w:rPr>
          <w:color w:val="000000" w:themeColor="text1"/>
        </w:rPr>
        <w:t>indirect rater</w:t>
      </w:r>
      <w:r w:rsidR="00577691" w:rsidRPr="008E6B11">
        <w:rPr>
          <w:color w:val="000000" w:themeColor="text1"/>
        </w:rPr>
        <w:t>-based 2D:4D ratio than males</w:t>
      </w:r>
      <w:r w:rsidR="00A62EA4" w:rsidRPr="008E6B11">
        <w:rPr>
          <w:color w:val="000000" w:themeColor="text1"/>
        </w:rPr>
        <w:t xml:space="preserve">. </w:t>
      </w:r>
      <w:r w:rsidR="00393A90" w:rsidRPr="008E6B11">
        <w:rPr>
          <w:color w:val="000000" w:themeColor="text1"/>
        </w:rPr>
        <w:t xml:space="preserve">Additionally, females’ </w:t>
      </w:r>
      <w:r w:rsidR="009D7682" w:rsidRPr="008E6B11">
        <w:rPr>
          <w:color w:val="000000" w:themeColor="text1"/>
        </w:rPr>
        <w:t xml:space="preserve">left hand 2D:4D correlated </w:t>
      </w:r>
      <w:r w:rsidR="00A62EA4" w:rsidRPr="008E6B11">
        <w:rPr>
          <w:color w:val="000000" w:themeColor="text1"/>
        </w:rPr>
        <w:t xml:space="preserve">positively </w:t>
      </w:r>
      <w:r w:rsidR="009D7682" w:rsidRPr="008E6B11">
        <w:rPr>
          <w:color w:val="000000" w:themeColor="text1"/>
        </w:rPr>
        <w:t xml:space="preserve">with </w:t>
      </w:r>
      <w:r w:rsidR="00393A90" w:rsidRPr="008E6B11">
        <w:rPr>
          <w:color w:val="000000" w:themeColor="text1"/>
        </w:rPr>
        <w:t xml:space="preserve">their </w:t>
      </w:r>
      <w:r w:rsidR="009D7682" w:rsidRPr="008E6B11">
        <w:rPr>
          <w:color w:val="000000" w:themeColor="text1"/>
        </w:rPr>
        <w:t xml:space="preserve">belief in psychokinesis </w:t>
      </w:r>
      <w:r w:rsidR="00393A90" w:rsidRPr="008E6B11">
        <w:rPr>
          <w:color w:val="000000" w:themeColor="text1"/>
        </w:rPr>
        <w:t>with their</w:t>
      </w:r>
      <w:r w:rsidR="009D7682" w:rsidRPr="008E6B11">
        <w:rPr>
          <w:color w:val="000000" w:themeColor="text1"/>
        </w:rPr>
        <w:t xml:space="preserve"> right hand 2D:4D correlat</w:t>
      </w:r>
      <w:r w:rsidR="00A03192" w:rsidRPr="008E6B11">
        <w:rPr>
          <w:color w:val="000000" w:themeColor="text1"/>
        </w:rPr>
        <w:t>ing</w:t>
      </w:r>
      <w:r w:rsidR="009D7682" w:rsidRPr="008E6B11">
        <w:rPr>
          <w:color w:val="000000" w:themeColor="text1"/>
        </w:rPr>
        <w:t xml:space="preserve"> with</w:t>
      </w:r>
      <w:r w:rsidR="00A9031E" w:rsidRPr="008E6B11">
        <w:rPr>
          <w:color w:val="000000" w:themeColor="text1"/>
        </w:rPr>
        <w:t xml:space="preserve"> </w:t>
      </w:r>
      <w:r w:rsidR="009D7682" w:rsidRPr="008E6B11">
        <w:rPr>
          <w:color w:val="000000" w:themeColor="text1"/>
        </w:rPr>
        <w:t>belief in both extrasensory perception and psychokinesis</w:t>
      </w:r>
      <w:r w:rsidR="00A9031E" w:rsidRPr="008E6B11">
        <w:rPr>
          <w:color w:val="000000" w:themeColor="text1"/>
        </w:rPr>
        <w:t xml:space="preserve">. </w:t>
      </w:r>
      <w:r w:rsidR="00393A90" w:rsidRPr="008E6B11">
        <w:rPr>
          <w:color w:val="000000" w:themeColor="text1"/>
        </w:rPr>
        <w:t xml:space="preserve">Females’ </w:t>
      </w:r>
      <w:r w:rsidR="00D313C4" w:rsidRPr="008E6B11">
        <w:rPr>
          <w:color w:val="000000" w:themeColor="text1"/>
        </w:rPr>
        <w:t>direct</w:t>
      </w:r>
      <w:r w:rsidR="00CB09AB" w:rsidRPr="008E6B11">
        <w:rPr>
          <w:color w:val="000000" w:themeColor="text1"/>
        </w:rPr>
        <w:t xml:space="preserve"> self-based</w:t>
      </w:r>
      <w:r w:rsidR="00393A90" w:rsidRPr="008E6B11">
        <w:rPr>
          <w:color w:val="000000" w:themeColor="text1"/>
        </w:rPr>
        <w:t xml:space="preserve"> FA was also associated with stronger PK beliefs.</w:t>
      </w:r>
      <w:r w:rsidR="007D6CF2" w:rsidRPr="008E6B11">
        <w:rPr>
          <w:color w:val="000000" w:themeColor="text1"/>
        </w:rPr>
        <w:t xml:space="preserve"> </w:t>
      </w:r>
      <w:r w:rsidR="00A03192" w:rsidRPr="008E6B11">
        <w:rPr>
          <w:color w:val="000000" w:themeColor="text1"/>
        </w:rPr>
        <w:t>T</w:t>
      </w:r>
      <w:r w:rsidR="00A9031E" w:rsidRPr="008E6B11">
        <w:rPr>
          <w:color w:val="000000" w:themeColor="text1"/>
        </w:rPr>
        <w:t xml:space="preserve">hese trends </w:t>
      </w:r>
      <w:r w:rsidR="00393A90" w:rsidRPr="008E6B11">
        <w:rPr>
          <w:color w:val="000000" w:themeColor="text1"/>
        </w:rPr>
        <w:t xml:space="preserve">did not </w:t>
      </w:r>
      <w:r w:rsidR="00A9031E" w:rsidRPr="008E6B11">
        <w:rPr>
          <w:color w:val="000000" w:themeColor="text1"/>
        </w:rPr>
        <w:t>exist for male</w:t>
      </w:r>
      <w:r w:rsidR="00393A90" w:rsidRPr="008E6B11">
        <w:rPr>
          <w:color w:val="000000" w:themeColor="text1"/>
        </w:rPr>
        <w:t xml:space="preserve"> participants. Finally, no significant relationships were found between either MDL or DA and any belief type regardless of measurement source, hand or participant sex. </w:t>
      </w:r>
      <w:r w:rsidR="00630A9E" w:rsidRPr="008E6B11">
        <w:rPr>
          <w:color w:val="000000" w:themeColor="text1"/>
        </w:rPr>
        <w:t xml:space="preserve">Results are discussed in </w:t>
      </w:r>
      <w:r w:rsidR="00A62EA4" w:rsidRPr="008E6B11">
        <w:rPr>
          <w:color w:val="000000" w:themeColor="text1"/>
        </w:rPr>
        <w:t xml:space="preserve">relation to </w:t>
      </w:r>
      <w:r w:rsidR="00393A90" w:rsidRPr="008E6B11">
        <w:rPr>
          <w:color w:val="000000" w:themeColor="text1"/>
        </w:rPr>
        <w:t>previous</w:t>
      </w:r>
      <w:r w:rsidR="00630A9E" w:rsidRPr="008E6B11">
        <w:rPr>
          <w:color w:val="000000" w:themeColor="text1"/>
        </w:rPr>
        <w:t xml:space="preserve"> work by Voracek (2009)</w:t>
      </w:r>
      <w:r w:rsidR="00940CA1" w:rsidRPr="008E6B11">
        <w:rPr>
          <w:color w:val="000000" w:themeColor="text1"/>
        </w:rPr>
        <w:t xml:space="preserve"> and their support for genetic</w:t>
      </w:r>
      <w:r w:rsidR="00BD0D4B" w:rsidRPr="008E6B11">
        <w:rPr>
          <w:color w:val="000000" w:themeColor="text1"/>
        </w:rPr>
        <w:t xml:space="preserve"> bio-markers of adult paranormality. </w:t>
      </w:r>
      <w:r w:rsidR="00630A9E" w:rsidRPr="008E6B11">
        <w:rPr>
          <w:color w:val="000000" w:themeColor="text1"/>
        </w:rPr>
        <w:t>Methodological limitations are also considered.</w:t>
      </w:r>
    </w:p>
    <w:p w:rsidR="007B550D" w:rsidRPr="008E6B11" w:rsidRDefault="007B550D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8E31F0" w:rsidRPr="008E6B11" w:rsidRDefault="008E31F0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8E31F0" w:rsidRPr="008E6B11" w:rsidRDefault="008E31F0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7B550D" w:rsidRPr="008E6B11" w:rsidRDefault="007B550D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7B550D" w:rsidRPr="008E6B11" w:rsidRDefault="007B550D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7B550D" w:rsidRPr="008E6B11" w:rsidRDefault="007B550D" w:rsidP="008C12A1">
      <w:pPr>
        <w:pStyle w:val="BodyText"/>
        <w:spacing w:line="480" w:lineRule="auto"/>
        <w:rPr>
          <w:color w:val="000000" w:themeColor="text1"/>
          <w:szCs w:val="24"/>
        </w:rPr>
      </w:pPr>
    </w:p>
    <w:p w:rsidR="003504AB" w:rsidRPr="008E6B11" w:rsidRDefault="003504AB" w:rsidP="008C12A1">
      <w:pPr>
        <w:pStyle w:val="BodyText"/>
        <w:spacing w:line="480" w:lineRule="auto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Keywords: P</w:t>
      </w:r>
      <w:r w:rsidR="00A57AB5" w:rsidRPr="008E6B11">
        <w:rPr>
          <w:color w:val="000000" w:themeColor="text1"/>
          <w:szCs w:val="24"/>
        </w:rPr>
        <w:t>aranormal belief</w:t>
      </w:r>
      <w:r w:rsidR="00FC6CFD" w:rsidRPr="008E6B11">
        <w:rPr>
          <w:color w:val="000000" w:themeColor="text1"/>
          <w:szCs w:val="24"/>
        </w:rPr>
        <w:t>;</w:t>
      </w:r>
      <w:r w:rsidRPr="008E6B11">
        <w:rPr>
          <w:color w:val="000000" w:themeColor="text1"/>
          <w:szCs w:val="24"/>
        </w:rPr>
        <w:t xml:space="preserve"> 2D:4D </w:t>
      </w:r>
      <w:r w:rsidR="00B87BD9" w:rsidRPr="008E6B11">
        <w:rPr>
          <w:color w:val="000000" w:themeColor="text1"/>
          <w:szCs w:val="24"/>
        </w:rPr>
        <w:t>digit ratio; Genetic; Hormones; Sex Differences</w:t>
      </w:r>
    </w:p>
    <w:p w:rsidR="003504AB" w:rsidRPr="008E6B11" w:rsidRDefault="003504AB" w:rsidP="008C12A1">
      <w:pPr>
        <w:spacing w:line="480" w:lineRule="auto"/>
        <w:ind w:firstLine="284"/>
        <w:rPr>
          <w:color w:val="000000" w:themeColor="text1"/>
        </w:rPr>
        <w:sectPr w:rsidR="003504AB" w:rsidRPr="008E6B11" w:rsidSect="00FC6CFD">
          <w:footerReference w:type="default" r:id="rId10"/>
          <w:pgSz w:w="11906" w:h="16838" w:code="9"/>
          <w:pgMar w:top="1440" w:right="1440" w:bottom="1440" w:left="1440" w:header="708" w:footer="708" w:gutter="0"/>
          <w:lnNumType w:countBy="1" w:restart="continuous"/>
          <w:pgNumType w:start="2"/>
          <w:cols w:space="708"/>
          <w:docGrid w:linePitch="360"/>
        </w:sectPr>
      </w:pPr>
    </w:p>
    <w:p w:rsidR="00F61FD5" w:rsidRPr="008E6B11" w:rsidRDefault="00EB5063">
      <w:pPr>
        <w:spacing w:line="480" w:lineRule="auto"/>
        <w:rPr>
          <w:b/>
          <w:color w:val="000000" w:themeColor="text1"/>
        </w:rPr>
      </w:pPr>
      <w:r w:rsidRPr="008E6B11">
        <w:rPr>
          <w:b/>
          <w:color w:val="000000" w:themeColor="text1"/>
        </w:rPr>
        <w:lastRenderedPageBreak/>
        <w:t>1. Introduction</w:t>
      </w:r>
    </w:p>
    <w:p w:rsidR="009D7B0E" w:rsidRPr="008E6B11" w:rsidRDefault="004970AB" w:rsidP="008C12A1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>N</w:t>
      </w:r>
      <w:r w:rsidR="00971F38" w:rsidRPr="008E6B11">
        <w:rPr>
          <w:color w:val="000000" w:themeColor="text1"/>
        </w:rPr>
        <w:t xml:space="preserve">umerous studies </w:t>
      </w:r>
      <w:r w:rsidR="006019A0" w:rsidRPr="008E6B11">
        <w:rPr>
          <w:color w:val="000000" w:themeColor="text1"/>
        </w:rPr>
        <w:t xml:space="preserve">suggest </w:t>
      </w:r>
      <w:r w:rsidR="00971F38" w:rsidRPr="008E6B11">
        <w:rPr>
          <w:color w:val="000000" w:themeColor="text1"/>
        </w:rPr>
        <w:t xml:space="preserve">women are more likely to </w:t>
      </w:r>
      <w:r w:rsidR="007D638B" w:rsidRPr="008E6B11">
        <w:rPr>
          <w:color w:val="000000" w:themeColor="text1"/>
        </w:rPr>
        <w:t xml:space="preserve">believe in </w:t>
      </w:r>
      <w:r w:rsidRPr="008E6B11">
        <w:rPr>
          <w:color w:val="000000" w:themeColor="text1"/>
        </w:rPr>
        <w:t xml:space="preserve">paranormal </w:t>
      </w:r>
      <w:r w:rsidR="007D638B" w:rsidRPr="008E6B11">
        <w:rPr>
          <w:color w:val="000000" w:themeColor="text1"/>
        </w:rPr>
        <w:t xml:space="preserve">concepts </w:t>
      </w:r>
      <w:r w:rsidRPr="008E6B11">
        <w:rPr>
          <w:color w:val="000000" w:themeColor="text1"/>
        </w:rPr>
        <w:t xml:space="preserve">such as </w:t>
      </w:r>
      <w:r w:rsidR="00C21B14" w:rsidRPr="008E6B11">
        <w:rPr>
          <w:color w:val="000000" w:themeColor="text1"/>
        </w:rPr>
        <w:t xml:space="preserve">extrasensory perception </w:t>
      </w:r>
      <w:r w:rsidR="00335373" w:rsidRPr="008E6B11">
        <w:rPr>
          <w:color w:val="000000" w:themeColor="text1"/>
        </w:rPr>
        <w:t>(ESP</w:t>
      </w:r>
      <w:r w:rsidR="00C21B14" w:rsidRPr="008E6B11">
        <w:rPr>
          <w:color w:val="000000" w:themeColor="text1"/>
        </w:rPr>
        <w:t>), psychokinesis (</w:t>
      </w:r>
      <w:r w:rsidR="00335373" w:rsidRPr="008E6B11">
        <w:rPr>
          <w:color w:val="000000" w:themeColor="text1"/>
        </w:rPr>
        <w:t>PK</w:t>
      </w:r>
      <w:r w:rsidR="00C21B14" w:rsidRPr="008E6B11">
        <w:rPr>
          <w:color w:val="000000" w:themeColor="text1"/>
        </w:rPr>
        <w:t>)</w:t>
      </w:r>
      <w:r w:rsidR="00FC6CFD" w:rsidRPr="008E6B11">
        <w:rPr>
          <w:color w:val="000000" w:themeColor="text1"/>
        </w:rPr>
        <w:t>,</w:t>
      </w:r>
      <w:r w:rsidR="00C21B14" w:rsidRPr="008E6B11">
        <w:rPr>
          <w:color w:val="000000" w:themeColor="text1"/>
        </w:rPr>
        <w:t xml:space="preserve"> and life after death (</w:t>
      </w:r>
      <w:r w:rsidR="00335373" w:rsidRPr="008E6B11">
        <w:rPr>
          <w:color w:val="000000" w:themeColor="text1"/>
        </w:rPr>
        <w:t>LAD</w:t>
      </w:r>
      <w:r w:rsidR="00114423" w:rsidRPr="008E6B11">
        <w:rPr>
          <w:color w:val="000000" w:themeColor="text1"/>
        </w:rPr>
        <w:t>)</w:t>
      </w:r>
      <w:r w:rsidR="000F5ED6" w:rsidRPr="008E6B11">
        <w:rPr>
          <w:color w:val="000000" w:themeColor="text1"/>
        </w:rPr>
        <w:t xml:space="preserve"> than are men</w:t>
      </w:r>
      <w:r w:rsidR="00FA1DAB" w:rsidRPr="008E6B11">
        <w:rPr>
          <w:color w:val="000000" w:themeColor="text1"/>
        </w:rPr>
        <w:t>.</w:t>
      </w:r>
      <w:r w:rsidR="00C21B14" w:rsidRPr="008E6B11">
        <w:rPr>
          <w:color w:val="000000" w:themeColor="text1"/>
        </w:rPr>
        <w:t xml:space="preserve"> </w:t>
      </w:r>
      <w:r w:rsidR="00EB5063" w:rsidRPr="008E6B11">
        <w:rPr>
          <w:color w:val="000000" w:themeColor="text1"/>
        </w:rPr>
        <w:t>Early</w:t>
      </w:r>
      <w:r w:rsidR="008479B9" w:rsidRPr="008E6B11">
        <w:rPr>
          <w:color w:val="000000" w:themeColor="text1"/>
        </w:rPr>
        <w:t xml:space="preserve"> writers </w:t>
      </w:r>
      <w:r w:rsidR="00D60171" w:rsidRPr="008E6B11">
        <w:rPr>
          <w:color w:val="000000" w:themeColor="text1"/>
        </w:rPr>
        <w:t>claimed</w:t>
      </w:r>
      <w:r w:rsidR="008479B9" w:rsidRPr="008E6B11">
        <w:rPr>
          <w:color w:val="000000" w:themeColor="text1"/>
        </w:rPr>
        <w:t xml:space="preserve"> </w:t>
      </w:r>
      <w:r w:rsidR="00EB4BD9" w:rsidRPr="008E6B11">
        <w:rPr>
          <w:color w:val="000000" w:themeColor="text1"/>
        </w:rPr>
        <w:t>these</w:t>
      </w:r>
      <w:r w:rsidRPr="008E6B11">
        <w:rPr>
          <w:color w:val="000000" w:themeColor="text1"/>
        </w:rPr>
        <w:t xml:space="preserve"> </w:t>
      </w:r>
      <w:r w:rsidR="007D638B" w:rsidRPr="008E6B11">
        <w:rPr>
          <w:color w:val="000000" w:themeColor="text1"/>
        </w:rPr>
        <w:t xml:space="preserve">sex </w:t>
      </w:r>
      <w:r w:rsidR="008479B9" w:rsidRPr="008E6B11">
        <w:rPr>
          <w:color w:val="000000" w:themeColor="text1"/>
        </w:rPr>
        <w:t xml:space="preserve">differences </w:t>
      </w:r>
      <w:r w:rsidR="00A4455C" w:rsidRPr="008E6B11">
        <w:rPr>
          <w:color w:val="000000" w:themeColor="text1"/>
        </w:rPr>
        <w:t>developed</w:t>
      </w:r>
      <w:r w:rsidR="005E0894" w:rsidRPr="008E6B11">
        <w:rPr>
          <w:color w:val="000000" w:themeColor="text1"/>
        </w:rPr>
        <w:t xml:space="preserve"> </w:t>
      </w:r>
      <w:r w:rsidR="00B75AB9" w:rsidRPr="008E6B11">
        <w:rPr>
          <w:color w:val="000000" w:themeColor="text1"/>
        </w:rPr>
        <w:t>as</w:t>
      </w:r>
      <w:r w:rsidR="0026227F" w:rsidRPr="008E6B11">
        <w:rPr>
          <w:color w:val="000000" w:themeColor="text1"/>
        </w:rPr>
        <w:t xml:space="preserve"> </w:t>
      </w:r>
      <w:r w:rsidR="005E0894" w:rsidRPr="008E6B11">
        <w:rPr>
          <w:color w:val="000000" w:themeColor="text1"/>
        </w:rPr>
        <w:t>a</w:t>
      </w:r>
      <w:r w:rsidR="00533BE7" w:rsidRPr="008E6B11">
        <w:rPr>
          <w:color w:val="000000" w:themeColor="text1"/>
        </w:rPr>
        <w:t xml:space="preserve"> </w:t>
      </w:r>
      <w:r w:rsidR="005E0894" w:rsidRPr="008E6B11">
        <w:rPr>
          <w:color w:val="000000" w:themeColor="text1"/>
        </w:rPr>
        <w:t>reaction</w:t>
      </w:r>
      <w:r w:rsidR="00533BE7" w:rsidRPr="008E6B11">
        <w:rPr>
          <w:color w:val="000000" w:themeColor="text1"/>
        </w:rPr>
        <w:t xml:space="preserve"> to</w:t>
      </w:r>
      <w:r w:rsidR="00A62385" w:rsidRPr="008E6B11">
        <w:rPr>
          <w:color w:val="000000" w:themeColor="text1"/>
        </w:rPr>
        <w:t xml:space="preserve"> feelings of </w:t>
      </w:r>
      <w:r w:rsidR="00533BE7" w:rsidRPr="008E6B11">
        <w:rPr>
          <w:color w:val="000000" w:themeColor="text1"/>
        </w:rPr>
        <w:t>alienation experienced by those with low or marginal status in society</w:t>
      </w:r>
      <w:r w:rsidR="00596065" w:rsidRPr="008E6B11">
        <w:rPr>
          <w:color w:val="000000" w:themeColor="text1"/>
        </w:rPr>
        <w:t xml:space="preserve"> which at the time</w:t>
      </w:r>
      <w:r w:rsidR="00A4455C" w:rsidRPr="008E6B11">
        <w:rPr>
          <w:color w:val="000000" w:themeColor="text1"/>
        </w:rPr>
        <w:t xml:space="preserve"> </w:t>
      </w:r>
      <w:r w:rsidR="00596065" w:rsidRPr="008E6B11">
        <w:rPr>
          <w:color w:val="000000" w:themeColor="text1"/>
        </w:rPr>
        <w:t>included women</w:t>
      </w:r>
      <w:r w:rsidR="0026227F" w:rsidRPr="008E6B11">
        <w:rPr>
          <w:color w:val="000000" w:themeColor="text1"/>
        </w:rPr>
        <w:t xml:space="preserve"> (</w:t>
      </w:r>
      <w:r w:rsidR="000F5ED6" w:rsidRPr="008E6B11">
        <w:rPr>
          <w:color w:val="000000" w:themeColor="text1"/>
        </w:rPr>
        <w:t xml:space="preserve">e.g., </w:t>
      </w:r>
      <w:r w:rsidR="00C80905" w:rsidRPr="008E6B11">
        <w:rPr>
          <w:color w:val="000000" w:themeColor="text1"/>
        </w:rPr>
        <w:t>Emmons &amp; Sobal, 1981</w:t>
      </w:r>
      <w:r w:rsidR="00890EC6" w:rsidRPr="008E6B11">
        <w:rPr>
          <w:color w:val="000000" w:themeColor="text1"/>
        </w:rPr>
        <w:t xml:space="preserve">). </w:t>
      </w:r>
      <w:r w:rsidR="00E961D4" w:rsidRPr="008E6B11">
        <w:rPr>
          <w:color w:val="000000" w:themeColor="text1"/>
        </w:rPr>
        <w:t>Others</w:t>
      </w:r>
      <w:r w:rsidR="00D64460" w:rsidRPr="008E6B11">
        <w:rPr>
          <w:color w:val="000000" w:themeColor="text1"/>
        </w:rPr>
        <w:t xml:space="preserve"> </w:t>
      </w:r>
      <w:r w:rsidR="00E961D4" w:rsidRPr="008E6B11">
        <w:rPr>
          <w:color w:val="000000" w:themeColor="text1"/>
        </w:rPr>
        <w:t xml:space="preserve">have </w:t>
      </w:r>
      <w:r w:rsidR="00006792" w:rsidRPr="008E6B11">
        <w:rPr>
          <w:color w:val="000000" w:themeColor="text1"/>
        </w:rPr>
        <w:t xml:space="preserve">since argued </w:t>
      </w:r>
      <w:r w:rsidR="00D64460" w:rsidRPr="008E6B11">
        <w:rPr>
          <w:color w:val="000000" w:themeColor="text1"/>
        </w:rPr>
        <w:t xml:space="preserve">women’s heightened paranormality reflects </w:t>
      </w:r>
      <w:r w:rsidR="00BB698F" w:rsidRPr="008E6B11">
        <w:rPr>
          <w:color w:val="000000" w:themeColor="text1"/>
        </w:rPr>
        <w:t>their</w:t>
      </w:r>
      <w:r w:rsidR="00D60171" w:rsidRPr="008E6B11">
        <w:rPr>
          <w:color w:val="000000" w:themeColor="text1"/>
        </w:rPr>
        <w:t xml:space="preserve"> preference for intuitive over rational thinking</w:t>
      </w:r>
      <w:r w:rsidR="00C80905" w:rsidRPr="008E6B11">
        <w:rPr>
          <w:color w:val="000000" w:themeColor="text1"/>
        </w:rPr>
        <w:t xml:space="preserve"> (Aarnio &amp; Lindeman, 2005</w:t>
      </w:r>
      <w:r w:rsidR="00D60171" w:rsidRPr="008E6B11">
        <w:rPr>
          <w:color w:val="000000" w:themeColor="text1"/>
        </w:rPr>
        <w:t xml:space="preserve">) else a </w:t>
      </w:r>
      <w:r w:rsidR="00D64460" w:rsidRPr="008E6B11">
        <w:rPr>
          <w:color w:val="000000" w:themeColor="text1"/>
        </w:rPr>
        <w:t xml:space="preserve">socially constructed </w:t>
      </w:r>
      <w:r w:rsidR="003B08A3" w:rsidRPr="008E6B11">
        <w:rPr>
          <w:color w:val="000000" w:themeColor="text1"/>
        </w:rPr>
        <w:t>gender</w:t>
      </w:r>
      <w:r w:rsidR="00D64460" w:rsidRPr="008E6B11">
        <w:rPr>
          <w:color w:val="000000" w:themeColor="text1"/>
        </w:rPr>
        <w:t xml:space="preserve"> role</w:t>
      </w:r>
      <w:r w:rsidR="00006792" w:rsidRPr="008E6B11">
        <w:rPr>
          <w:color w:val="000000" w:themeColor="text1"/>
        </w:rPr>
        <w:t xml:space="preserve"> stereotype</w:t>
      </w:r>
      <w:r w:rsidR="00D64460" w:rsidRPr="008E6B11">
        <w:rPr>
          <w:color w:val="000000" w:themeColor="text1"/>
        </w:rPr>
        <w:t xml:space="preserve"> (Simmonds-Moore &amp; Moore, 2009).</w:t>
      </w:r>
      <w:r w:rsidR="002D3F68" w:rsidRPr="008E6B11">
        <w:rPr>
          <w:color w:val="000000" w:themeColor="text1"/>
        </w:rPr>
        <w:t xml:space="preserve"> </w:t>
      </w:r>
      <w:r w:rsidR="008479B9" w:rsidRPr="008E6B11">
        <w:rPr>
          <w:color w:val="000000" w:themeColor="text1"/>
        </w:rPr>
        <w:t>At present</w:t>
      </w:r>
      <w:r w:rsidR="00D64460" w:rsidRPr="008E6B11">
        <w:rPr>
          <w:color w:val="000000" w:themeColor="text1"/>
        </w:rPr>
        <w:t xml:space="preserve">, </w:t>
      </w:r>
      <w:r w:rsidR="00FE595F" w:rsidRPr="008E6B11">
        <w:rPr>
          <w:color w:val="000000" w:themeColor="text1"/>
        </w:rPr>
        <w:t xml:space="preserve">empirical support for </w:t>
      </w:r>
      <w:r w:rsidR="00D64460" w:rsidRPr="008E6B11">
        <w:rPr>
          <w:color w:val="000000" w:themeColor="text1"/>
        </w:rPr>
        <w:t xml:space="preserve">these arguments is </w:t>
      </w:r>
      <w:r w:rsidR="003D7E1D" w:rsidRPr="008E6B11">
        <w:rPr>
          <w:color w:val="000000" w:themeColor="text1"/>
        </w:rPr>
        <w:t xml:space="preserve">either sparse or </w:t>
      </w:r>
      <w:r w:rsidR="00D64460" w:rsidRPr="008E6B11">
        <w:rPr>
          <w:color w:val="000000" w:themeColor="text1"/>
        </w:rPr>
        <w:t xml:space="preserve">mixed </w:t>
      </w:r>
      <w:r w:rsidR="00A4455C" w:rsidRPr="008E6B11">
        <w:rPr>
          <w:color w:val="000000" w:themeColor="text1"/>
        </w:rPr>
        <w:t xml:space="preserve">(Irwin, </w:t>
      </w:r>
      <w:r w:rsidR="00EB5063" w:rsidRPr="008E6B11">
        <w:rPr>
          <w:color w:val="000000" w:themeColor="text1"/>
        </w:rPr>
        <w:t>2009).</w:t>
      </w:r>
      <w:r w:rsidR="00D64460" w:rsidRPr="008E6B11">
        <w:rPr>
          <w:color w:val="000000" w:themeColor="text1"/>
        </w:rPr>
        <w:t xml:space="preserve"> </w:t>
      </w:r>
      <w:r w:rsidR="00E64DC5" w:rsidRPr="008E6B11">
        <w:rPr>
          <w:color w:val="000000" w:themeColor="text1"/>
        </w:rPr>
        <w:t>A</w:t>
      </w:r>
      <w:r w:rsidR="009D7B0E" w:rsidRPr="008E6B11">
        <w:rPr>
          <w:color w:val="000000" w:themeColor="text1"/>
        </w:rPr>
        <w:t xml:space="preserve">nother </w:t>
      </w:r>
      <w:r w:rsidR="00E64DC5" w:rsidRPr="008E6B11">
        <w:rPr>
          <w:color w:val="000000" w:themeColor="text1"/>
        </w:rPr>
        <w:t>possibility</w:t>
      </w:r>
      <w:r w:rsidR="002D3F68" w:rsidRPr="008E6B11">
        <w:rPr>
          <w:color w:val="000000" w:themeColor="text1"/>
        </w:rPr>
        <w:t xml:space="preserve"> </w:t>
      </w:r>
      <w:r w:rsidR="00E64DC5" w:rsidRPr="008E6B11">
        <w:rPr>
          <w:color w:val="000000" w:themeColor="text1"/>
        </w:rPr>
        <w:t xml:space="preserve">is that </w:t>
      </w:r>
      <w:r w:rsidR="007D638B" w:rsidRPr="008E6B11">
        <w:rPr>
          <w:color w:val="000000" w:themeColor="text1"/>
        </w:rPr>
        <w:t xml:space="preserve">sex </w:t>
      </w:r>
      <w:r w:rsidR="00E64DC5" w:rsidRPr="008E6B11">
        <w:rPr>
          <w:color w:val="000000" w:themeColor="text1"/>
        </w:rPr>
        <w:t xml:space="preserve">differences in adult </w:t>
      </w:r>
      <w:r w:rsidR="00BB698F" w:rsidRPr="008E6B11">
        <w:rPr>
          <w:color w:val="000000" w:themeColor="text1"/>
        </w:rPr>
        <w:t>paranormal belief</w:t>
      </w:r>
      <w:r w:rsidR="00D038AF" w:rsidRPr="008E6B11">
        <w:rPr>
          <w:color w:val="000000" w:themeColor="text1"/>
        </w:rPr>
        <w:t xml:space="preserve"> </w:t>
      </w:r>
      <w:r w:rsidR="00D64460" w:rsidRPr="008E6B11">
        <w:rPr>
          <w:color w:val="000000" w:themeColor="text1"/>
        </w:rPr>
        <w:t xml:space="preserve">have </w:t>
      </w:r>
      <w:r w:rsidR="00E4078F" w:rsidRPr="008E6B11">
        <w:rPr>
          <w:color w:val="000000" w:themeColor="text1"/>
        </w:rPr>
        <w:t xml:space="preserve">a </w:t>
      </w:r>
      <w:r w:rsidR="002D3F68" w:rsidRPr="008E6B11">
        <w:rPr>
          <w:color w:val="000000" w:themeColor="text1"/>
        </w:rPr>
        <w:t>genetic</w:t>
      </w:r>
      <w:r w:rsidR="00E4078F" w:rsidRPr="008E6B11">
        <w:rPr>
          <w:color w:val="000000" w:themeColor="text1"/>
        </w:rPr>
        <w:t xml:space="preserve"> </w:t>
      </w:r>
      <w:r w:rsidR="002D3F68" w:rsidRPr="008E6B11">
        <w:rPr>
          <w:color w:val="000000" w:themeColor="text1"/>
        </w:rPr>
        <w:t>basis</w:t>
      </w:r>
      <w:r w:rsidR="008479B9" w:rsidRPr="008E6B11">
        <w:rPr>
          <w:color w:val="000000" w:themeColor="text1"/>
        </w:rPr>
        <w:t xml:space="preserve">. </w:t>
      </w:r>
      <w:r w:rsidR="0065026E" w:rsidRPr="008E6B11">
        <w:rPr>
          <w:color w:val="000000" w:themeColor="text1"/>
        </w:rPr>
        <w:t>The present study investigat</w:t>
      </w:r>
      <w:r w:rsidR="00454382" w:rsidRPr="008E6B11">
        <w:rPr>
          <w:color w:val="000000" w:themeColor="text1"/>
        </w:rPr>
        <w:t xml:space="preserve">es this possibility by testing the </w:t>
      </w:r>
      <w:r w:rsidR="00FC6CFD" w:rsidRPr="008E6B11">
        <w:rPr>
          <w:color w:val="000000" w:themeColor="text1"/>
        </w:rPr>
        <w:t xml:space="preserve">degree </w:t>
      </w:r>
      <w:r w:rsidR="0065026E" w:rsidRPr="008E6B11">
        <w:rPr>
          <w:color w:val="000000" w:themeColor="text1"/>
        </w:rPr>
        <w:t xml:space="preserve">to which </w:t>
      </w:r>
      <w:r w:rsidR="007E1440" w:rsidRPr="008E6B11">
        <w:rPr>
          <w:color w:val="000000" w:themeColor="text1"/>
        </w:rPr>
        <w:t xml:space="preserve">various digit-related measures </w:t>
      </w:r>
      <w:r w:rsidR="000E309B" w:rsidRPr="008E6B11">
        <w:rPr>
          <w:color w:val="000000" w:themeColor="text1"/>
        </w:rPr>
        <w:t xml:space="preserve">- </w:t>
      </w:r>
      <w:r w:rsidR="007D638B" w:rsidRPr="008E6B11">
        <w:rPr>
          <w:color w:val="000000" w:themeColor="text1"/>
        </w:rPr>
        <w:t xml:space="preserve">mean </w:t>
      </w:r>
      <w:r w:rsidR="000F25E9" w:rsidRPr="008E6B11">
        <w:rPr>
          <w:color w:val="000000" w:themeColor="text1"/>
        </w:rPr>
        <w:t xml:space="preserve">digit length, </w:t>
      </w:r>
      <w:r w:rsidR="007E1440" w:rsidRPr="008E6B11">
        <w:rPr>
          <w:color w:val="000000" w:themeColor="text1"/>
        </w:rPr>
        <w:t>2D:4D digit ratio, digit asymmetry and fluctuating asymmetry</w:t>
      </w:r>
      <w:r w:rsidR="000E309B" w:rsidRPr="008E6B11">
        <w:rPr>
          <w:color w:val="000000" w:themeColor="text1"/>
        </w:rPr>
        <w:t xml:space="preserve"> -</w:t>
      </w:r>
      <w:r w:rsidR="007E1440" w:rsidRPr="008E6B11">
        <w:rPr>
          <w:color w:val="000000" w:themeColor="text1"/>
        </w:rPr>
        <w:t xml:space="preserve"> </w:t>
      </w:r>
      <w:r w:rsidR="00454382" w:rsidRPr="008E6B11">
        <w:rPr>
          <w:color w:val="000000" w:themeColor="text1"/>
        </w:rPr>
        <w:t>correlate</w:t>
      </w:r>
      <w:r w:rsidR="0065026E" w:rsidRPr="008E6B11">
        <w:rPr>
          <w:color w:val="000000" w:themeColor="text1"/>
        </w:rPr>
        <w:t xml:space="preserve"> with specific</w:t>
      </w:r>
      <w:r w:rsidR="0065026E" w:rsidRPr="008E6B11">
        <w:rPr>
          <w:i/>
          <w:color w:val="000000" w:themeColor="text1"/>
        </w:rPr>
        <w:t xml:space="preserve"> types</w:t>
      </w:r>
      <w:r w:rsidR="0065026E" w:rsidRPr="008E6B11">
        <w:rPr>
          <w:color w:val="000000" w:themeColor="text1"/>
        </w:rPr>
        <w:t xml:space="preserve"> of </w:t>
      </w:r>
      <w:r w:rsidR="000F5ED6" w:rsidRPr="008E6B11">
        <w:rPr>
          <w:color w:val="000000" w:themeColor="text1"/>
        </w:rPr>
        <w:t xml:space="preserve">adult </w:t>
      </w:r>
      <w:r w:rsidR="0065026E" w:rsidRPr="008E6B11">
        <w:rPr>
          <w:color w:val="000000" w:themeColor="text1"/>
        </w:rPr>
        <w:t>paranormal belief.</w:t>
      </w:r>
    </w:p>
    <w:p w:rsidR="00B63FA7" w:rsidRPr="008E6B11" w:rsidRDefault="00EB5063" w:rsidP="008C12A1">
      <w:pPr>
        <w:spacing w:line="480" w:lineRule="auto"/>
        <w:rPr>
          <w:b/>
          <w:i/>
          <w:color w:val="000000" w:themeColor="text1"/>
        </w:rPr>
      </w:pPr>
      <w:r w:rsidRPr="008E6B11">
        <w:rPr>
          <w:b/>
          <w:i/>
          <w:color w:val="000000" w:themeColor="text1"/>
        </w:rPr>
        <w:t xml:space="preserve">1.1 Digit </w:t>
      </w:r>
      <w:r w:rsidR="00B87BD9" w:rsidRPr="008E6B11">
        <w:rPr>
          <w:b/>
          <w:i/>
          <w:color w:val="000000" w:themeColor="text1"/>
        </w:rPr>
        <w:t>r</w:t>
      </w:r>
      <w:r w:rsidRPr="008E6B11">
        <w:rPr>
          <w:b/>
          <w:i/>
          <w:color w:val="000000" w:themeColor="text1"/>
        </w:rPr>
        <w:t>atio</w:t>
      </w:r>
    </w:p>
    <w:p w:rsidR="00BB698F" w:rsidRPr="008E6B11" w:rsidRDefault="00B9375F" w:rsidP="00BB698F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>As its name implies 2D:4D digit ratio reflects the relative length of a person’s second digit (2D) to that of their fourth digit (4D). This ratio develops in utero under the influence of Homeobox genes which determine prenatal le</w:t>
      </w:r>
      <w:r w:rsidR="001D5996" w:rsidRPr="008E6B11">
        <w:rPr>
          <w:color w:val="000000" w:themeColor="text1"/>
        </w:rPr>
        <w:t xml:space="preserve">vels of male and female hormone both </w:t>
      </w:r>
      <w:r w:rsidRPr="008E6B11">
        <w:rPr>
          <w:color w:val="000000" w:themeColor="text1"/>
        </w:rPr>
        <w:t xml:space="preserve">of </w:t>
      </w:r>
      <w:r w:rsidR="001D5996" w:rsidRPr="008E6B11">
        <w:rPr>
          <w:color w:val="000000" w:themeColor="text1"/>
        </w:rPr>
        <w:t>which</w:t>
      </w:r>
      <w:r w:rsidR="000E309B" w:rsidRPr="008E6B11">
        <w:rPr>
          <w:color w:val="000000" w:themeColor="text1"/>
        </w:rPr>
        <w:t xml:space="preserve"> exert a permanent thus </w:t>
      </w:r>
      <w:r w:rsidRPr="008E6B11">
        <w:rPr>
          <w:color w:val="000000" w:themeColor="text1"/>
        </w:rPr>
        <w:t>organising effect on brain</w:t>
      </w:r>
      <w:r w:rsidR="000F5ED6" w:rsidRPr="008E6B11">
        <w:rPr>
          <w:color w:val="000000" w:themeColor="text1"/>
        </w:rPr>
        <w:t xml:space="preserve"> physiology</w:t>
      </w:r>
      <w:r w:rsidRPr="008E6B11">
        <w:rPr>
          <w:color w:val="000000" w:themeColor="text1"/>
        </w:rPr>
        <w:t xml:space="preserve">. </w:t>
      </w:r>
      <w:r w:rsidR="00BB698F" w:rsidRPr="008E6B11">
        <w:rPr>
          <w:color w:val="000000" w:themeColor="text1"/>
        </w:rPr>
        <w:t>B</w:t>
      </w:r>
      <w:r w:rsidRPr="008E6B11">
        <w:rPr>
          <w:color w:val="000000" w:themeColor="text1"/>
        </w:rPr>
        <w:t>ecause 2D:4D</w:t>
      </w:r>
      <w:r w:rsidR="009202BA" w:rsidRPr="008E6B11">
        <w:rPr>
          <w:color w:val="000000" w:themeColor="text1"/>
        </w:rPr>
        <w:t xml:space="preserve"> </w:t>
      </w:r>
      <w:r w:rsidRPr="008E6B11">
        <w:rPr>
          <w:color w:val="000000" w:themeColor="text1"/>
        </w:rPr>
        <w:t>remains relatively stable post</w:t>
      </w:r>
      <w:r w:rsidR="0091337F" w:rsidRPr="008E6B11">
        <w:rPr>
          <w:color w:val="000000" w:themeColor="text1"/>
        </w:rPr>
        <w:t xml:space="preserve"> </w:t>
      </w:r>
      <w:r w:rsidRPr="008E6B11">
        <w:rPr>
          <w:color w:val="000000" w:themeColor="text1"/>
        </w:rPr>
        <w:t>partum</w:t>
      </w:r>
      <w:r w:rsidR="000E72CA" w:rsidRPr="008E6B11">
        <w:rPr>
          <w:color w:val="000000" w:themeColor="text1"/>
        </w:rPr>
        <w:t>,</w:t>
      </w:r>
      <w:r w:rsidRPr="008E6B11">
        <w:rPr>
          <w:color w:val="000000" w:themeColor="text1"/>
        </w:rPr>
        <w:t xml:space="preserve"> it act</w:t>
      </w:r>
      <w:r w:rsidR="00D24C6E" w:rsidRPr="008E6B11">
        <w:rPr>
          <w:color w:val="000000" w:themeColor="text1"/>
        </w:rPr>
        <w:t xml:space="preserve">s as a retrospective bio-marker </w:t>
      </w:r>
      <w:r w:rsidRPr="008E6B11">
        <w:rPr>
          <w:color w:val="000000" w:themeColor="text1"/>
        </w:rPr>
        <w:t xml:space="preserve">for prenatal </w:t>
      </w:r>
      <w:r w:rsidR="00D24C6E" w:rsidRPr="008E6B11">
        <w:rPr>
          <w:color w:val="000000" w:themeColor="text1"/>
        </w:rPr>
        <w:t xml:space="preserve">exposure to </w:t>
      </w:r>
      <w:r w:rsidRPr="008E6B11">
        <w:rPr>
          <w:color w:val="000000" w:themeColor="text1"/>
        </w:rPr>
        <w:t xml:space="preserve">testosterone </w:t>
      </w:r>
      <w:r w:rsidR="000C69EA" w:rsidRPr="008E6B11">
        <w:rPr>
          <w:color w:val="000000" w:themeColor="text1"/>
        </w:rPr>
        <w:t>and</w:t>
      </w:r>
      <w:r w:rsidRPr="008E6B11">
        <w:rPr>
          <w:color w:val="000000" w:themeColor="text1"/>
        </w:rPr>
        <w:t xml:space="preserve"> oestrogen</w:t>
      </w:r>
      <w:r w:rsidR="00D24C6E" w:rsidRPr="008E6B11">
        <w:rPr>
          <w:color w:val="000000" w:themeColor="text1"/>
        </w:rPr>
        <w:t xml:space="preserve"> </w:t>
      </w:r>
      <w:r w:rsidR="000F5ED6" w:rsidRPr="008E6B11">
        <w:rPr>
          <w:color w:val="000000" w:themeColor="text1"/>
        </w:rPr>
        <w:t xml:space="preserve">levels </w:t>
      </w:r>
      <w:r w:rsidR="00BB698F" w:rsidRPr="008E6B11">
        <w:rPr>
          <w:color w:val="000000" w:themeColor="text1"/>
        </w:rPr>
        <w:t xml:space="preserve">and is directly linked to, not only adult physique and sexual development, but also to adult </w:t>
      </w:r>
      <w:r w:rsidR="001D5996" w:rsidRPr="008E6B11">
        <w:rPr>
          <w:color w:val="000000" w:themeColor="text1"/>
        </w:rPr>
        <w:t xml:space="preserve">traits, </w:t>
      </w:r>
      <w:r w:rsidR="00BB698F" w:rsidRPr="008E6B11">
        <w:rPr>
          <w:color w:val="000000" w:themeColor="text1"/>
        </w:rPr>
        <w:t>cognitions and behaviour (</w:t>
      </w:r>
      <w:r w:rsidR="00C80905" w:rsidRPr="008E6B11">
        <w:rPr>
          <w:color w:val="000000" w:themeColor="text1"/>
        </w:rPr>
        <w:t>Manning 2002; 2008</w:t>
      </w:r>
      <w:r w:rsidR="00BB698F" w:rsidRPr="008E6B11">
        <w:rPr>
          <w:color w:val="000000" w:themeColor="text1"/>
        </w:rPr>
        <w:t>).</w:t>
      </w:r>
    </w:p>
    <w:p w:rsidR="00700B5A" w:rsidRPr="008E6B11" w:rsidRDefault="00B01BDF" w:rsidP="00482659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>D</w:t>
      </w:r>
      <w:r w:rsidR="009A5CBA" w:rsidRPr="008E6B11">
        <w:rPr>
          <w:color w:val="000000" w:themeColor="text1"/>
        </w:rPr>
        <w:t>ig</w:t>
      </w:r>
      <w:r w:rsidR="008B26BB" w:rsidRPr="008E6B11">
        <w:rPr>
          <w:color w:val="000000" w:themeColor="text1"/>
        </w:rPr>
        <w:t xml:space="preserve">it ratio is sexually dimorphic </w:t>
      </w:r>
      <w:r w:rsidR="00D64460" w:rsidRPr="008E6B11">
        <w:rPr>
          <w:color w:val="000000" w:themeColor="text1"/>
        </w:rPr>
        <w:t>with</w:t>
      </w:r>
      <w:r w:rsidR="009A5CBA" w:rsidRPr="008E6B11">
        <w:rPr>
          <w:color w:val="000000" w:themeColor="text1"/>
        </w:rPr>
        <w:t xml:space="preserve"> </w:t>
      </w:r>
      <w:r w:rsidR="00142982" w:rsidRPr="008E6B11">
        <w:rPr>
          <w:color w:val="000000" w:themeColor="text1"/>
        </w:rPr>
        <w:t>fe</w:t>
      </w:r>
      <w:r w:rsidR="00076583" w:rsidRPr="008E6B11">
        <w:rPr>
          <w:color w:val="000000" w:themeColor="text1"/>
        </w:rPr>
        <w:t>m</w:t>
      </w:r>
      <w:r w:rsidR="009A5CBA" w:rsidRPr="008E6B11">
        <w:rPr>
          <w:color w:val="000000" w:themeColor="text1"/>
        </w:rPr>
        <w:t>ales typically display</w:t>
      </w:r>
      <w:r w:rsidR="00D64460" w:rsidRPr="008E6B11">
        <w:rPr>
          <w:color w:val="000000" w:themeColor="text1"/>
        </w:rPr>
        <w:t>ing</w:t>
      </w:r>
      <w:r w:rsidR="007714C1" w:rsidRPr="008E6B11">
        <w:rPr>
          <w:color w:val="000000" w:themeColor="text1"/>
        </w:rPr>
        <w:t xml:space="preserve"> </w:t>
      </w:r>
      <w:r w:rsidR="00142982" w:rsidRPr="008E6B11">
        <w:rPr>
          <w:color w:val="000000" w:themeColor="text1"/>
        </w:rPr>
        <w:t>higher</w:t>
      </w:r>
      <w:r w:rsidR="009A5CBA" w:rsidRPr="008E6B11">
        <w:rPr>
          <w:color w:val="000000" w:themeColor="text1"/>
        </w:rPr>
        <w:t xml:space="preserve"> 2D:4D </w:t>
      </w:r>
      <w:r w:rsidRPr="008E6B11">
        <w:rPr>
          <w:color w:val="000000" w:themeColor="text1"/>
        </w:rPr>
        <w:t xml:space="preserve">than </w:t>
      </w:r>
      <w:r w:rsidR="009A5CBA" w:rsidRPr="008E6B11">
        <w:rPr>
          <w:color w:val="000000" w:themeColor="text1"/>
        </w:rPr>
        <w:t>males</w:t>
      </w:r>
      <w:r w:rsidR="00623C40" w:rsidRPr="008E6B11">
        <w:rPr>
          <w:color w:val="000000" w:themeColor="text1"/>
        </w:rPr>
        <w:t>.</w:t>
      </w:r>
      <w:r w:rsidR="009A5CBA" w:rsidRPr="008E6B11">
        <w:rPr>
          <w:color w:val="000000" w:themeColor="text1"/>
        </w:rPr>
        <w:t xml:space="preserve"> </w:t>
      </w:r>
      <w:r w:rsidR="008A01B0" w:rsidRPr="008E6B11">
        <w:rPr>
          <w:color w:val="000000" w:themeColor="text1"/>
        </w:rPr>
        <w:t xml:space="preserve">In general, higher 2D:4D </w:t>
      </w:r>
      <w:r w:rsidR="00142982" w:rsidRPr="008E6B11">
        <w:rPr>
          <w:color w:val="000000" w:themeColor="text1"/>
        </w:rPr>
        <w:t xml:space="preserve">is </w:t>
      </w:r>
      <w:r w:rsidR="008A01B0" w:rsidRPr="008E6B11">
        <w:rPr>
          <w:color w:val="000000" w:themeColor="text1"/>
        </w:rPr>
        <w:t>associated with characteristics typically deemed more feminine in nature</w:t>
      </w:r>
      <w:r w:rsidR="00244056" w:rsidRPr="008E6B11">
        <w:rPr>
          <w:color w:val="000000" w:themeColor="text1"/>
        </w:rPr>
        <w:t xml:space="preserve"> with sex-differences</w:t>
      </w:r>
      <w:r w:rsidR="00AC1ABD" w:rsidRPr="008E6B11">
        <w:rPr>
          <w:color w:val="000000" w:themeColor="text1"/>
        </w:rPr>
        <w:t xml:space="preserve">, for the most part, </w:t>
      </w:r>
      <w:r w:rsidR="00244056" w:rsidRPr="008E6B11">
        <w:rPr>
          <w:color w:val="000000" w:themeColor="text1"/>
        </w:rPr>
        <w:t>robust to variations in</w:t>
      </w:r>
      <w:r w:rsidR="006800DC" w:rsidRPr="008E6B11">
        <w:rPr>
          <w:color w:val="000000" w:themeColor="text1"/>
        </w:rPr>
        <w:t xml:space="preserve"> </w:t>
      </w:r>
      <w:r w:rsidR="00244056" w:rsidRPr="008E6B11">
        <w:rPr>
          <w:color w:val="000000" w:themeColor="text1"/>
        </w:rPr>
        <w:t>measurement protocol (</w:t>
      </w:r>
      <w:r w:rsidR="000E309B" w:rsidRPr="008E6B11">
        <w:rPr>
          <w:color w:val="000000" w:themeColor="text1"/>
        </w:rPr>
        <w:t xml:space="preserve">Manning, 2002; 2008; </w:t>
      </w:r>
      <w:r w:rsidR="00244056" w:rsidRPr="008E6B11">
        <w:rPr>
          <w:color w:val="000000" w:themeColor="text1"/>
        </w:rPr>
        <w:t>Voracek, Manning</w:t>
      </w:r>
      <w:r w:rsidR="00FC6CFD" w:rsidRPr="008E6B11">
        <w:rPr>
          <w:color w:val="000000" w:themeColor="text1"/>
        </w:rPr>
        <w:t>,</w:t>
      </w:r>
      <w:r w:rsidR="00244056" w:rsidRPr="008E6B11">
        <w:rPr>
          <w:color w:val="000000" w:themeColor="text1"/>
        </w:rPr>
        <w:t xml:space="preserve"> &amp; Dressler, 2007</w:t>
      </w:r>
      <w:r w:rsidR="00AC1ABD" w:rsidRPr="008E6B11">
        <w:rPr>
          <w:color w:val="000000" w:themeColor="text1"/>
        </w:rPr>
        <w:t xml:space="preserve">; although </w:t>
      </w:r>
      <w:r w:rsidR="00AC1ABD" w:rsidRPr="008E6B11">
        <w:rPr>
          <w:color w:val="000000" w:themeColor="text1"/>
        </w:rPr>
        <w:lastRenderedPageBreak/>
        <w:t xml:space="preserve">see </w:t>
      </w:r>
      <w:r w:rsidR="00BE350A" w:rsidRPr="008E6B11">
        <w:rPr>
          <w:color w:val="000000" w:themeColor="text1"/>
        </w:rPr>
        <w:t>Ribeiro, Neave, Morais &amp; Manning, 2016)</w:t>
      </w:r>
      <w:r w:rsidR="00EB5063" w:rsidRPr="008E6B11">
        <w:rPr>
          <w:color w:val="000000" w:themeColor="text1"/>
        </w:rPr>
        <w:t>. For</w:t>
      </w:r>
      <w:r w:rsidR="007714C1" w:rsidRPr="008E6B11">
        <w:rPr>
          <w:color w:val="000000" w:themeColor="text1"/>
        </w:rPr>
        <w:t xml:space="preserve"> example, higher </w:t>
      </w:r>
      <w:r w:rsidR="008660D4" w:rsidRPr="008E6B11">
        <w:rPr>
          <w:color w:val="000000" w:themeColor="text1"/>
        </w:rPr>
        <w:t xml:space="preserve">(more feminized) </w:t>
      </w:r>
      <w:r w:rsidR="007714C1" w:rsidRPr="008E6B11">
        <w:rPr>
          <w:color w:val="000000" w:themeColor="text1"/>
        </w:rPr>
        <w:t xml:space="preserve">2D:4D has been </w:t>
      </w:r>
      <w:r w:rsidR="008C12A1" w:rsidRPr="008E6B11">
        <w:rPr>
          <w:color w:val="000000" w:themeColor="text1"/>
        </w:rPr>
        <w:t xml:space="preserve">shown to correlate </w:t>
      </w:r>
      <w:r w:rsidR="000E309B" w:rsidRPr="008E6B11">
        <w:rPr>
          <w:color w:val="000000" w:themeColor="text1"/>
        </w:rPr>
        <w:t xml:space="preserve">with </w:t>
      </w:r>
      <w:r w:rsidR="00700B5A" w:rsidRPr="008E6B11">
        <w:rPr>
          <w:color w:val="000000" w:themeColor="text1"/>
        </w:rPr>
        <w:t>a preference for intuitive over reflective decision-making (Bosch-Domènech, Brañas-Garza, &amp; Espín, 2014).</w:t>
      </w:r>
    </w:p>
    <w:p w:rsidR="005027CD" w:rsidRPr="008E6B11" w:rsidRDefault="00EB5063" w:rsidP="008C12A1">
      <w:pPr>
        <w:spacing w:line="480" w:lineRule="auto"/>
        <w:rPr>
          <w:b/>
          <w:i/>
          <w:color w:val="000000" w:themeColor="text1"/>
        </w:rPr>
      </w:pPr>
      <w:r w:rsidRPr="008E6B11">
        <w:rPr>
          <w:b/>
          <w:i/>
          <w:color w:val="000000" w:themeColor="text1"/>
        </w:rPr>
        <w:t xml:space="preserve">1.2 Digit </w:t>
      </w:r>
      <w:r w:rsidR="00B87BD9" w:rsidRPr="008E6B11">
        <w:rPr>
          <w:b/>
          <w:i/>
          <w:color w:val="000000" w:themeColor="text1"/>
        </w:rPr>
        <w:t>ratio, asymmetry, length and paranormal belief</w:t>
      </w:r>
    </w:p>
    <w:p w:rsidR="00482454" w:rsidRPr="008E6B11" w:rsidRDefault="00025684" w:rsidP="008C12A1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>To date only one study has examined the relationship between</w:t>
      </w:r>
      <w:r w:rsidR="005E41CB" w:rsidRPr="008E6B11">
        <w:rPr>
          <w:color w:val="000000" w:themeColor="text1"/>
        </w:rPr>
        <w:t xml:space="preserve"> digit ratio and</w:t>
      </w:r>
      <w:r w:rsidRPr="008E6B11">
        <w:rPr>
          <w:color w:val="000000" w:themeColor="text1"/>
        </w:rPr>
        <w:t xml:space="preserve"> paranormal</w:t>
      </w:r>
      <w:r w:rsidR="00066189" w:rsidRPr="008E6B11">
        <w:rPr>
          <w:color w:val="000000" w:themeColor="text1"/>
        </w:rPr>
        <w:t xml:space="preserve"> </w:t>
      </w:r>
      <w:r w:rsidRPr="008E6B11">
        <w:rPr>
          <w:color w:val="000000" w:themeColor="text1"/>
        </w:rPr>
        <w:t xml:space="preserve">belief. </w:t>
      </w:r>
      <w:r w:rsidR="00F44B84" w:rsidRPr="008E6B11">
        <w:rPr>
          <w:color w:val="000000" w:themeColor="text1"/>
        </w:rPr>
        <w:t>Voracek</w:t>
      </w:r>
      <w:r w:rsidRPr="008E6B11">
        <w:rPr>
          <w:color w:val="000000" w:themeColor="text1"/>
        </w:rPr>
        <w:t xml:space="preserve"> (2009)</w:t>
      </w:r>
      <w:r w:rsidR="00671607" w:rsidRPr="008E6B11">
        <w:rPr>
          <w:color w:val="000000" w:themeColor="text1"/>
        </w:rPr>
        <w:t xml:space="preserve"> </w:t>
      </w:r>
      <w:r w:rsidR="002A5325" w:rsidRPr="008E6B11">
        <w:rPr>
          <w:color w:val="000000" w:themeColor="text1"/>
        </w:rPr>
        <w:t>took palm</w:t>
      </w:r>
      <w:r w:rsidR="00ED76DD" w:rsidRPr="008E6B11">
        <w:rPr>
          <w:color w:val="000000" w:themeColor="text1"/>
        </w:rPr>
        <w:t>ar</w:t>
      </w:r>
      <w:r w:rsidR="002A5325" w:rsidRPr="008E6B11">
        <w:rPr>
          <w:color w:val="000000" w:themeColor="text1"/>
        </w:rPr>
        <w:t xml:space="preserve">-view photocopies of participants’ right and left hands from which three trained investigators blind to study aims </w:t>
      </w:r>
      <w:r w:rsidR="00ED76DD" w:rsidRPr="008E6B11">
        <w:rPr>
          <w:color w:val="000000" w:themeColor="text1"/>
        </w:rPr>
        <w:t xml:space="preserve">used digital vernier callipers to </w:t>
      </w:r>
      <w:r w:rsidR="002A5325" w:rsidRPr="008E6B11">
        <w:rPr>
          <w:color w:val="000000" w:themeColor="text1"/>
        </w:rPr>
        <w:t>measure 2D and 4D lengths to .01 mm</w:t>
      </w:r>
      <w:r w:rsidR="00ED76DD" w:rsidRPr="008E6B11">
        <w:rPr>
          <w:color w:val="000000" w:themeColor="text1"/>
        </w:rPr>
        <w:t xml:space="preserve">. </w:t>
      </w:r>
      <w:proofErr w:type="gramStart"/>
      <w:r w:rsidR="002A5325" w:rsidRPr="008E6B11">
        <w:rPr>
          <w:color w:val="000000" w:themeColor="text1"/>
        </w:rPr>
        <w:t>W</w:t>
      </w:r>
      <w:r w:rsidR="000126CC" w:rsidRPr="008E6B11">
        <w:rPr>
          <w:color w:val="000000" w:themeColor="text1"/>
        </w:rPr>
        <w:t>hilst</w:t>
      </w:r>
      <w:proofErr w:type="gramEnd"/>
      <w:r w:rsidR="000126CC" w:rsidRPr="008E6B11">
        <w:rPr>
          <w:color w:val="000000" w:themeColor="text1"/>
        </w:rPr>
        <w:t xml:space="preserve"> </w:t>
      </w:r>
      <w:r w:rsidR="00545550" w:rsidRPr="008E6B11">
        <w:rPr>
          <w:color w:val="000000" w:themeColor="text1"/>
        </w:rPr>
        <w:t>wo</w:t>
      </w:r>
      <w:r w:rsidR="00671607" w:rsidRPr="008E6B11">
        <w:rPr>
          <w:color w:val="000000" w:themeColor="text1"/>
        </w:rPr>
        <w:t xml:space="preserve">men </w:t>
      </w:r>
      <w:r w:rsidR="007A4D63" w:rsidRPr="008E6B11">
        <w:rPr>
          <w:color w:val="000000" w:themeColor="text1"/>
        </w:rPr>
        <w:t xml:space="preserve">had </w:t>
      </w:r>
      <w:r w:rsidR="00545550" w:rsidRPr="008E6B11">
        <w:rPr>
          <w:color w:val="000000" w:themeColor="text1"/>
        </w:rPr>
        <w:t>higher 2D:4D and</w:t>
      </w:r>
      <w:r w:rsidR="007A4D63" w:rsidRPr="008E6B11">
        <w:rPr>
          <w:color w:val="000000" w:themeColor="text1"/>
        </w:rPr>
        <w:t xml:space="preserve"> more pronounced paranormal and superstitious belief</w:t>
      </w:r>
      <w:r w:rsidR="00713A30" w:rsidRPr="008E6B11">
        <w:rPr>
          <w:color w:val="000000" w:themeColor="text1"/>
        </w:rPr>
        <w:t>s</w:t>
      </w:r>
      <w:r w:rsidR="002C6AA5" w:rsidRPr="008E6B11">
        <w:rPr>
          <w:color w:val="000000" w:themeColor="text1"/>
        </w:rPr>
        <w:t xml:space="preserve"> than men</w:t>
      </w:r>
      <w:r w:rsidR="000126CC" w:rsidRPr="008E6B11">
        <w:rPr>
          <w:color w:val="000000" w:themeColor="text1"/>
        </w:rPr>
        <w:t>, their</w:t>
      </w:r>
      <w:r w:rsidR="00F83BD6" w:rsidRPr="008E6B11">
        <w:rPr>
          <w:color w:val="000000" w:themeColor="text1"/>
        </w:rPr>
        <w:t xml:space="preserve"> </w:t>
      </w:r>
      <w:r w:rsidR="005525A8" w:rsidRPr="008E6B11">
        <w:rPr>
          <w:color w:val="000000" w:themeColor="text1"/>
        </w:rPr>
        <w:t>ratio</w:t>
      </w:r>
      <w:r w:rsidR="005717DF" w:rsidRPr="008E6B11">
        <w:rPr>
          <w:color w:val="000000" w:themeColor="text1"/>
        </w:rPr>
        <w:t xml:space="preserve"> and paranormal belief scores were uncorrelated</w:t>
      </w:r>
      <w:r w:rsidR="00442CF8" w:rsidRPr="008E6B11">
        <w:rPr>
          <w:color w:val="000000" w:themeColor="text1"/>
        </w:rPr>
        <w:t xml:space="preserve">. </w:t>
      </w:r>
      <w:r w:rsidR="00546A94" w:rsidRPr="008E6B11">
        <w:rPr>
          <w:color w:val="000000" w:themeColor="text1"/>
        </w:rPr>
        <w:t>S</w:t>
      </w:r>
      <w:r w:rsidR="00CE38F6" w:rsidRPr="008E6B11">
        <w:rPr>
          <w:color w:val="000000" w:themeColor="text1"/>
        </w:rPr>
        <w:t xml:space="preserve">ignificant ratio </w:t>
      </w:r>
      <w:r w:rsidR="00FC0BC8" w:rsidRPr="008E6B11">
        <w:rPr>
          <w:color w:val="000000" w:themeColor="text1"/>
        </w:rPr>
        <w:sym w:font="Symbol" w:char="F0B4"/>
      </w:r>
      <w:r w:rsidR="00CE38F6" w:rsidRPr="008E6B11">
        <w:rPr>
          <w:color w:val="000000" w:themeColor="text1"/>
        </w:rPr>
        <w:t xml:space="preserve"> belief correlations did emerge for men</w:t>
      </w:r>
      <w:r w:rsidR="00546A94" w:rsidRPr="008E6B11">
        <w:rPr>
          <w:color w:val="000000" w:themeColor="text1"/>
        </w:rPr>
        <w:t xml:space="preserve"> however</w:t>
      </w:r>
      <w:r w:rsidR="00BE1C49" w:rsidRPr="008E6B11">
        <w:rPr>
          <w:color w:val="000000" w:themeColor="text1"/>
        </w:rPr>
        <w:t>; m</w:t>
      </w:r>
      <w:r w:rsidR="00BB4EF2" w:rsidRPr="008E6B11">
        <w:rPr>
          <w:color w:val="000000" w:themeColor="text1"/>
        </w:rPr>
        <w:t>en wi</w:t>
      </w:r>
      <w:r w:rsidR="00671607" w:rsidRPr="008E6B11">
        <w:rPr>
          <w:color w:val="000000" w:themeColor="text1"/>
        </w:rPr>
        <w:t xml:space="preserve">th a </w:t>
      </w:r>
      <w:r w:rsidR="00713A30" w:rsidRPr="008E6B11">
        <w:rPr>
          <w:color w:val="000000" w:themeColor="text1"/>
        </w:rPr>
        <w:t>higher (</w:t>
      </w:r>
      <w:r w:rsidR="00671607" w:rsidRPr="008E6B11">
        <w:rPr>
          <w:color w:val="000000" w:themeColor="text1"/>
        </w:rPr>
        <w:t>more feminized</w:t>
      </w:r>
      <w:r w:rsidR="00713A30" w:rsidRPr="008E6B11">
        <w:rPr>
          <w:color w:val="000000" w:themeColor="text1"/>
        </w:rPr>
        <w:t>)</w:t>
      </w:r>
      <w:r w:rsidR="00671607" w:rsidRPr="008E6B11">
        <w:rPr>
          <w:color w:val="000000" w:themeColor="text1"/>
        </w:rPr>
        <w:t xml:space="preserve"> 2D:4D ratio</w:t>
      </w:r>
      <w:r w:rsidR="00442CF8" w:rsidRPr="008E6B11">
        <w:rPr>
          <w:color w:val="000000" w:themeColor="text1"/>
        </w:rPr>
        <w:t xml:space="preserve"> </w:t>
      </w:r>
      <w:r w:rsidR="009254E4" w:rsidRPr="008E6B11">
        <w:rPr>
          <w:color w:val="000000" w:themeColor="text1"/>
        </w:rPr>
        <w:t xml:space="preserve">reported </w:t>
      </w:r>
      <w:r w:rsidR="00671607" w:rsidRPr="008E6B11">
        <w:rPr>
          <w:color w:val="000000" w:themeColor="text1"/>
        </w:rPr>
        <w:t xml:space="preserve">stronger paranormal </w:t>
      </w:r>
      <w:r w:rsidR="00713A30" w:rsidRPr="008E6B11">
        <w:rPr>
          <w:color w:val="000000" w:themeColor="text1"/>
        </w:rPr>
        <w:t xml:space="preserve">and superstitious </w:t>
      </w:r>
      <w:r w:rsidR="00671607" w:rsidRPr="008E6B11">
        <w:rPr>
          <w:color w:val="000000" w:themeColor="text1"/>
        </w:rPr>
        <w:t xml:space="preserve">beliefs than </w:t>
      </w:r>
      <w:r w:rsidR="00106CD3" w:rsidRPr="008E6B11">
        <w:rPr>
          <w:color w:val="000000" w:themeColor="text1"/>
        </w:rPr>
        <w:t>men</w:t>
      </w:r>
      <w:r w:rsidR="00671607" w:rsidRPr="008E6B11">
        <w:rPr>
          <w:color w:val="000000" w:themeColor="text1"/>
        </w:rPr>
        <w:t xml:space="preserve"> with a </w:t>
      </w:r>
      <w:r w:rsidR="00545550" w:rsidRPr="008E6B11">
        <w:rPr>
          <w:color w:val="000000" w:themeColor="text1"/>
        </w:rPr>
        <w:t>lower (</w:t>
      </w:r>
      <w:r w:rsidR="00ED76DD" w:rsidRPr="008E6B11">
        <w:rPr>
          <w:color w:val="000000" w:themeColor="text1"/>
        </w:rPr>
        <w:t>less feminized</w:t>
      </w:r>
      <w:r w:rsidR="00545550" w:rsidRPr="008E6B11">
        <w:rPr>
          <w:color w:val="000000" w:themeColor="text1"/>
        </w:rPr>
        <w:t>)</w:t>
      </w:r>
      <w:r w:rsidR="00671607" w:rsidRPr="008E6B11">
        <w:rPr>
          <w:color w:val="000000" w:themeColor="text1"/>
        </w:rPr>
        <w:t xml:space="preserve"> 2D:4D ratio. </w:t>
      </w:r>
      <w:r w:rsidR="00482454" w:rsidRPr="008E6B11">
        <w:rPr>
          <w:color w:val="000000" w:themeColor="text1"/>
        </w:rPr>
        <w:t>T</w:t>
      </w:r>
      <w:r w:rsidR="00713A30" w:rsidRPr="008E6B11">
        <w:rPr>
          <w:color w:val="000000" w:themeColor="text1"/>
        </w:rPr>
        <w:t>his was tr</w:t>
      </w:r>
      <w:r w:rsidR="00545550" w:rsidRPr="008E6B11">
        <w:rPr>
          <w:color w:val="000000" w:themeColor="text1"/>
        </w:rPr>
        <w:t>ue for both left and right hands</w:t>
      </w:r>
      <w:r w:rsidR="00BE1C49" w:rsidRPr="008E6B11">
        <w:rPr>
          <w:color w:val="000000" w:themeColor="text1"/>
        </w:rPr>
        <w:t xml:space="preserve"> </w:t>
      </w:r>
      <w:r w:rsidR="005525A8" w:rsidRPr="008E6B11">
        <w:rPr>
          <w:color w:val="000000" w:themeColor="text1"/>
        </w:rPr>
        <w:t xml:space="preserve">and persisted even after </w:t>
      </w:r>
      <w:r w:rsidR="00442CF8" w:rsidRPr="008E6B11">
        <w:rPr>
          <w:color w:val="000000" w:themeColor="text1"/>
        </w:rPr>
        <w:t>men</w:t>
      </w:r>
      <w:r w:rsidR="00AC747F" w:rsidRPr="008E6B11">
        <w:rPr>
          <w:color w:val="000000" w:themeColor="text1"/>
        </w:rPr>
        <w:t>’</w:t>
      </w:r>
      <w:r w:rsidR="00442CF8" w:rsidRPr="008E6B11">
        <w:rPr>
          <w:color w:val="000000" w:themeColor="text1"/>
        </w:rPr>
        <w:t>s</w:t>
      </w:r>
      <w:r w:rsidR="00713A30" w:rsidRPr="008E6B11">
        <w:rPr>
          <w:color w:val="000000" w:themeColor="text1"/>
        </w:rPr>
        <w:t xml:space="preserve"> age, y</w:t>
      </w:r>
      <w:r w:rsidR="008C55EE" w:rsidRPr="008E6B11">
        <w:rPr>
          <w:color w:val="000000" w:themeColor="text1"/>
        </w:rPr>
        <w:t xml:space="preserve">ears of education, </w:t>
      </w:r>
      <w:r w:rsidR="00545550" w:rsidRPr="008E6B11">
        <w:rPr>
          <w:color w:val="000000" w:themeColor="text1"/>
        </w:rPr>
        <w:t xml:space="preserve">birth </w:t>
      </w:r>
      <w:r w:rsidR="00442CF8" w:rsidRPr="008E6B11">
        <w:rPr>
          <w:color w:val="000000" w:themeColor="text1"/>
        </w:rPr>
        <w:t>dimensions (</w:t>
      </w:r>
      <w:r w:rsidR="00545550" w:rsidRPr="008E6B11">
        <w:rPr>
          <w:color w:val="000000" w:themeColor="text1"/>
        </w:rPr>
        <w:t>length and weight</w:t>
      </w:r>
      <w:r w:rsidR="00442CF8" w:rsidRPr="008E6B11">
        <w:rPr>
          <w:color w:val="000000" w:themeColor="text1"/>
        </w:rPr>
        <w:t>)</w:t>
      </w:r>
      <w:r w:rsidR="001B2CE7" w:rsidRPr="008E6B11">
        <w:rPr>
          <w:color w:val="000000" w:themeColor="text1"/>
        </w:rPr>
        <w:t>,</w:t>
      </w:r>
      <w:r w:rsidR="00545550" w:rsidRPr="008E6B11">
        <w:rPr>
          <w:color w:val="000000" w:themeColor="text1"/>
        </w:rPr>
        <w:t xml:space="preserve"> and adult </w:t>
      </w:r>
      <w:r w:rsidR="00442CF8" w:rsidRPr="008E6B11">
        <w:rPr>
          <w:color w:val="000000" w:themeColor="text1"/>
        </w:rPr>
        <w:t>dimensions (</w:t>
      </w:r>
      <w:r w:rsidR="008C55EE" w:rsidRPr="008E6B11">
        <w:rPr>
          <w:color w:val="000000" w:themeColor="text1"/>
        </w:rPr>
        <w:t xml:space="preserve">height and </w:t>
      </w:r>
      <w:r w:rsidR="00713A30" w:rsidRPr="008E6B11">
        <w:rPr>
          <w:color w:val="000000" w:themeColor="text1"/>
        </w:rPr>
        <w:t xml:space="preserve">weight </w:t>
      </w:r>
      <w:r w:rsidR="00545550" w:rsidRPr="008E6B11">
        <w:rPr>
          <w:color w:val="000000" w:themeColor="text1"/>
        </w:rPr>
        <w:t xml:space="preserve">at the time of testing) </w:t>
      </w:r>
      <w:r w:rsidR="00106CD3" w:rsidRPr="008E6B11">
        <w:rPr>
          <w:color w:val="000000" w:themeColor="text1"/>
        </w:rPr>
        <w:t xml:space="preserve">had been partialled </w:t>
      </w:r>
      <w:r w:rsidR="00EB5063" w:rsidRPr="008E6B11">
        <w:rPr>
          <w:color w:val="000000" w:themeColor="text1"/>
        </w:rPr>
        <w:t>out.</w:t>
      </w:r>
      <w:r w:rsidR="001B2CE7" w:rsidRPr="008E6B11">
        <w:rPr>
          <w:color w:val="000000" w:themeColor="text1"/>
        </w:rPr>
        <w:t xml:space="preserve"> </w:t>
      </w:r>
      <w:r w:rsidR="00ED76DD" w:rsidRPr="008E6B11">
        <w:rPr>
          <w:color w:val="000000" w:themeColor="text1"/>
        </w:rPr>
        <w:t>T</w:t>
      </w:r>
      <w:r w:rsidR="001B2CE7" w:rsidRPr="008E6B11">
        <w:rPr>
          <w:color w:val="000000" w:themeColor="text1"/>
        </w:rPr>
        <w:t>hese trends existed for both positive superstitions (e.g., the efficacy of lucky charms) and to a lesser extent negative superstitions (e.g. unfavourable outcomes associated with the number thirteen)</w:t>
      </w:r>
      <w:r w:rsidR="00ED76DD" w:rsidRPr="008E6B11">
        <w:rPr>
          <w:color w:val="000000" w:themeColor="text1"/>
        </w:rPr>
        <w:t xml:space="preserve"> with one exception; </w:t>
      </w:r>
      <w:r w:rsidR="001B2CE7" w:rsidRPr="008E6B11">
        <w:rPr>
          <w:color w:val="000000" w:themeColor="text1"/>
        </w:rPr>
        <w:t xml:space="preserve">men’s right hand 2D:4D failed to correlate with their </w:t>
      </w:r>
      <w:r w:rsidR="00503A9A" w:rsidRPr="008E6B11">
        <w:rPr>
          <w:color w:val="000000" w:themeColor="text1"/>
        </w:rPr>
        <w:t>endorsement of</w:t>
      </w:r>
      <w:r w:rsidR="001B2CE7" w:rsidRPr="008E6B11">
        <w:rPr>
          <w:color w:val="000000" w:themeColor="text1"/>
        </w:rPr>
        <w:t xml:space="preserve"> negative superstitions.</w:t>
      </w:r>
    </w:p>
    <w:p w:rsidR="00985F15" w:rsidRPr="008E6B11" w:rsidRDefault="00F13602" w:rsidP="0084050E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In the same study Voracek also </w:t>
      </w:r>
      <w:r w:rsidR="00106CD3" w:rsidRPr="008E6B11">
        <w:rPr>
          <w:color w:val="000000" w:themeColor="text1"/>
        </w:rPr>
        <w:t xml:space="preserve">examined the relationship paranormal and superstitious beliefs had with </w:t>
      </w:r>
      <w:r w:rsidR="00AD725E" w:rsidRPr="008E6B11">
        <w:rPr>
          <w:color w:val="000000" w:themeColor="text1"/>
        </w:rPr>
        <w:t xml:space="preserve">right minus left hand 2D:4D </w:t>
      </w:r>
      <w:r w:rsidR="00106CD3" w:rsidRPr="008E6B11">
        <w:rPr>
          <w:color w:val="000000" w:themeColor="text1"/>
        </w:rPr>
        <w:t xml:space="preserve">difference </w:t>
      </w:r>
      <w:r w:rsidR="00AD725E" w:rsidRPr="008E6B11">
        <w:rPr>
          <w:color w:val="000000" w:themeColor="text1"/>
        </w:rPr>
        <w:t>(D</w:t>
      </w:r>
      <w:r w:rsidR="00AD725E" w:rsidRPr="008E6B11">
        <w:rPr>
          <w:color w:val="000000" w:themeColor="text1"/>
          <w:vertAlign w:val="subscript"/>
        </w:rPr>
        <w:t>R-L</w:t>
      </w:r>
      <w:r w:rsidR="00AD725E" w:rsidRPr="008E6B11">
        <w:rPr>
          <w:color w:val="000000" w:themeColor="text1"/>
        </w:rPr>
        <w:t xml:space="preserve">) </w:t>
      </w:r>
      <w:r w:rsidR="00106CD3" w:rsidRPr="008E6B11">
        <w:rPr>
          <w:color w:val="000000" w:themeColor="text1"/>
        </w:rPr>
        <w:t>scores</w:t>
      </w:r>
      <w:r w:rsidR="00503A9A" w:rsidRPr="008E6B11">
        <w:rPr>
          <w:color w:val="000000" w:themeColor="text1"/>
        </w:rPr>
        <w:t xml:space="preserve"> -</w:t>
      </w:r>
      <w:r w:rsidR="007D7DD0" w:rsidRPr="008E6B11">
        <w:rPr>
          <w:color w:val="000000" w:themeColor="text1"/>
        </w:rPr>
        <w:t xml:space="preserve"> </w:t>
      </w:r>
      <w:r w:rsidR="00503A9A" w:rsidRPr="008E6B11">
        <w:rPr>
          <w:color w:val="000000" w:themeColor="text1"/>
        </w:rPr>
        <w:t>also</w:t>
      </w:r>
      <w:r w:rsidR="007D7DD0" w:rsidRPr="008E6B11">
        <w:rPr>
          <w:color w:val="000000" w:themeColor="text1"/>
        </w:rPr>
        <w:t xml:space="preserve"> </w:t>
      </w:r>
      <w:r w:rsidR="00503A9A" w:rsidRPr="008E6B11">
        <w:rPr>
          <w:color w:val="000000" w:themeColor="text1"/>
        </w:rPr>
        <w:t xml:space="preserve">termed </w:t>
      </w:r>
      <w:r w:rsidR="008607A0" w:rsidRPr="008E6B11">
        <w:rPr>
          <w:color w:val="000000" w:themeColor="text1"/>
        </w:rPr>
        <w:t>“directional asymmetry” (DA)</w:t>
      </w:r>
      <w:r w:rsidR="00503A9A" w:rsidRPr="008E6B11">
        <w:rPr>
          <w:color w:val="000000" w:themeColor="text1"/>
        </w:rPr>
        <w:t xml:space="preserve"> - </w:t>
      </w:r>
      <w:r w:rsidR="007D7DD0" w:rsidRPr="008E6B11">
        <w:rPr>
          <w:color w:val="000000" w:themeColor="text1"/>
        </w:rPr>
        <w:t>and</w:t>
      </w:r>
      <w:r w:rsidR="00985F15" w:rsidRPr="008E6B11">
        <w:rPr>
          <w:color w:val="000000" w:themeColor="text1"/>
        </w:rPr>
        <w:t xml:space="preserve"> is </w:t>
      </w:r>
      <w:r w:rsidR="00106CD3" w:rsidRPr="008E6B11">
        <w:rPr>
          <w:color w:val="000000" w:themeColor="text1"/>
        </w:rPr>
        <w:t xml:space="preserve">thought to be an alternative marker of prenatal testosterone </w:t>
      </w:r>
      <w:r w:rsidR="008607A0" w:rsidRPr="008E6B11">
        <w:rPr>
          <w:color w:val="000000" w:themeColor="text1"/>
        </w:rPr>
        <w:t>and thus sex-dependent characteristics in adulthood</w:t>
      </w:r>
      <w:r w:rsidR="007D7DD0" w:rsidRPr="008E6B11">
        <w:rPr>
          <w:color w:val="000000" w:themeColor="text1"/>
        </w:rPr>
        <w:t xml:space="preserve">. According to Voracek, Offenmüller and Dressler (2008) </w:t>
      </w:r>
      <w:r w:rsidR="00AA68BF" w:rsidRPr="008E6B11">
        <w:rPr>
          <w:color w:val="000000" w:themeColor="text1"/>
        </w:rPr>
        <w:t>DA is the likely cause of</w:t>
      </w:r>
      <w:r w:rsidR="00483755" w:rsidRPr="008E6B11">
        <w:rPr>
          <w:color w:val="000000" w:themeColor="text1"/>
        </w:rPr>
        <w:t xml:space="preserve"> much 2D:4D </w:t>
      </w:r>
      <w:r w:rsidR="00AA68BF" w:rsidRPr="008E6B11">
        <w:rPr>
          <w:color w:val="000000" w:themeColor="text1"/>
        </w:rPr>
        <w:t>variance</w:t>
      </w:r>
      <w:r w:rsidR="00483755" w:rsidRPr="008E6B11">
        <w:rPr>
          <w:color w:val="000000" w:themeColor="text1"/>
        </w:rPr>
        <w:t>.</w:t>
      </w:r>
      <w:r w:rsidR="0084050E" w:rsidRPr="008E6B11">
        <w:rPr>
          <w:color w:val="000000" w:themeColor="text1"/>
        </w:rPr>
        <w:t xml:space="preserve"> </w:t>
      </w:r>
    </w:p>
    <w:p w:rsidR="00C61505" w:rsidRPr="008E6B11" w:rsidRDefault="00985F15" w:rsidP="00C01A93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In general, </w:t>
      </w:r>
      <w:r w:rsidR="00CD6039" w:rsidRPr="008E6B11">
        <w:rPr>
          <w:color w:val="000000" w:themeColor="text1"/>
        </w:rPr>
        <w:t>DA</w:t>
      </w:r>
      <w:r w:rsidR="0084050E" w:rsidRPr="008E6B11">
        <w:rPr>
          <w:color w:val="000000" w:themeColor="text1"/>
        </w:rPr>
        <w:t xml:space="preserve"> scores are larger </w:t>
      </w:r>
      <w:r w:rsidRPr="008E6B11">
        <w:rPr>
          <w:color w:val="000000" w:themeColor="text1"/>
        </w:rPr>
        <w:t>and thus</w:t>
      </w:r>
      <w:r w:rsidR="0084050E" w:rsidRPr="008E6B11">
        <w:rPr>
          <w:color w:val="000000" w:themeColor="text1"/>
        </w:rPr>
        <w:t xml:space="preserve"> more </w:t>
      </w:r>
      <w:r w:rsidRPr="008E6B11">
        <w:rPr>
          <w:color w:val="000000" w:themeColor="text1"/>
        </w:rPr>
        <w:t>“</w:t>
      </w:r>
      <w:r w:rsidR="0084050E" w:rsidRPr="008E6B11">
        <w:rPr>
          <w:color w:val="000000" w:themeColor="text1"/>
        </w:rPr>
        <w:t>rightward biased</w:t>
      </w:r>
      <w:r w:rsidRPr="008E6B11">
        <w:rPr>
          <w:color w:val="000000" w:themeColor="text1"/>
        </w:rPr>
        <w:t>”</w:t>
      </w:r>
      <w:r w:rsidR="00062AAB" w:rsidRPr="008E6B11">
        <w:rPr>
          <w:color w:val="000000" w:themeColor="text1"/>
        </w:rPr>
        <w:t xml:space="preserve"> for women than for men, implicating the existence of two entirely different sex-biased growth programmes which differ in sensitivity to prenatal androgen levels (Voracek et al., 2008). </w:t>
      </w:r>
      <w:r w:rsidR="00C61505" w:rsidRPr="008E6B11">
        <w:rPr>
          <w:color w:val="000000" w:themeColor="text1"/>
        </w:rPr>
        <w:t xml:space="preserve">Consequently, </w:t>
      </w:r>
      <w:r w:rsidR="00F13602" w:rsidRPr="008E6B11">
        <w:rPr>
          <w:color w:val="000000" w:themeColor="text1"/>
        </w:rPr>
        <w:t xml:space="preserve">positive </w:t>
      </w:r>
      <w:r w:rsidR="00CD6039" w:rsidRPr="008E6B11">
        <w:rPr>
          <w:color w:val="000000" w:themeColor="text1"/>
        </w:rPr>
        <w:t>DA</w:t>
      </w:r>
      <w:r w:rsidR="00F13602" w:rsidRPr="008E6B11">
        <w:rPr>
          <w:color w:val="000000" w:themeColor="text1"/>
        </w:rPr>
        <w:t xml:space="preserve"> scores </w:t>
      </w:r>
      <w:r w:rsidR="00C61505" w:rsidRPr="008E6B11">
        <w:rPr>
          <w:color w:val="000000" w:themeColor="text1"/>
        </w:rPr>
        <w:t xml:space="preserve">should be associated with more pronounced adult paranormality. </w:t>
      </w:r>
      <w:r w:rsidR="00D936BD" w:rsidRPr="008E6B11">
        <w:rPr>
          <w:color w:val="000000" w:themeColor="text1"/>
        </w:rPr>
        <w:t>But, w</w:t>
      </w:r>
      <w:r w:rsidR="005525A8" w:rsidRPr="008E6B11">
        <w:rPr>
          <w:color w:val="000000" w:themeColor="text1"/>
        </w:rPr>
        <w:t xml:space="preserve">hilst </w:t>
      </w:r>
      <w:r w:rsidRPr="008E6B11">
        <w:rPr>
          <w:color w:val="000000" w:themeColor="text1"/>
        </w:rPr>
        <w:t xml:space="preserve">Voracek (2009) </w:t>
      </w:r>
      <w:r w:rsidR="005525A8" w:rsidRPr="008E6B11">
        <w:rPr>
          <w:color w:val="000000" w:themeColor="text1"/>
        </w:rPr>
        <w:t xml:space="preserve">found </w:t>
      </w:r>
      <w:r w:rsidR="00602215" w:rsidRPr="008E6B11">
        <w:rPr>
          <w:color w:val="000000" w:themeColor="text1"/>
        </w:rPr>
        <w:t>women</w:t>
      </w:r>
      <w:r w:rsidR="006F3DEF" w:rsidRPr="008E6B11">
        <w:rPr>
          <w:color w:val="000000" w:themeColor="text1"/>
        </w:rPr>
        <w:t xml:space="preserve"> </w:t>
      </w:r>
      <w:r w:rsidRPr="008E6B11">
        <w:rPr>
          <w:color w:val="000000" w:themeColor="text1"/>
        </w:rPr>
        <w:t>present</w:t>
      </w:r>
      <w:r w:rsidR="005525A8" w:rsidRPr="008E6B11">
        <w:rPr>
          <w:color w:val="000000" w:themeColor="text1"/>
        </w:rPr>
        <w:t>ed</w:t>
      </w:r>
      <w:r w:rsidRPr="008E6B11">
        <w:rPr>
          <w:color w:val="000000" w:themeColor="text1"/>
        </w:rPr>
        <w:t xml:space="preserve"> </w:t>
      </w:r>
      <w:r w:rsidR="006F3DEF" w:rsidRPr="008E6B11">
        <w:rPr>
          <w:color w:val="000000" w:themeColor="text1"/>
        </w:rPr>
        <w:t xml:space="preserve">slightly </w:t>
      </w:r>
      <w:r w:rsidRPr="008E6B11">
        <w:rPr>
          <w:color w:val="000000" w:themeColor="text1"/>
        </w:rPr>
        <w:t>larger</w:t>
      </w:r>
      <w:r w:rsidR="00F83BD6" w:rsidRPr="008E6B11">
        <w:rPr>
          <w:color w:val="000000" w:themeColor="text1"/>
        </w:rPr>
        <w:t xml:space="preserve"> (more rightward</w:t>
      </w:r>
      <w:r w:rsidR="005525A8" w:rsidRPr="008E6B11">
        <w:rPr>
          <w:color w:val="000000" w:themeColor="text1"/>
        </w:rPr>
        <w:t xml:space="preserve"> biased</w:t>
      </w:r>
      <w:r w:rsidR="00F83BD6" w:rsidRPr="008E6B11">
        <w:rPr>
          <w:color w:val="000000" w:themeColor="text1"/>
        </w:rPr>
        <w:t xml:space="preserve">) </w:t>
      </w:r>
      <w:r w:rsidR="00CD6039" w:rsidRPr="008E6B11">
        <w:rPr>
          <w:color w:val="000000" w:themeColor="text1"/>
        </w:rPr>
        <w:t>DA</w:t>
      </w:r>
      <w:r w:rsidR="005525A8" w:rsidRPr="008E6B11">
        <w:rPr>
          <w:color w:val="000000" w:themeColor="text1"/>
        </w:rPr>
        <w:t xml:space="preserve"> </w:t>
      </w:r>
      <w:r w:rsidRPr="008E6B11">
        <w:rPr>
          <w:color w:val="000000" w:themeColor="text1"/>
        </w:rPr>
        <w:t>than men</w:t>
      </w:r>
      <w:r w:rsidR="005525A8" w:rsidRPr="008E6B11">
        <w:rPr>
          <w:color w:val="000000" w:themeColor="text1"/>
        </w:rPr>
        <w:t xml:space="preserve">, </w:t>
      </w:r>
      <w:r w:rsidR="00CD6039" w:rsidRPr="008E6B11">
        <w:rPr>
          <w:color w:val="000000" w:themeColor="text1"/>
        </w:rPr>
        <w:t>DA was</w:t>
      </w:r>
      <w:r w:rsidR="00C61505" w:rsidRPr="008E6B11">
        <w:rPr>
          <w:color w:val="000000" w:themeColor="text1"/>
        </w:rPr>
        <w:t xml:space="preserve"> not related to either paranormal or superstitious belief</w:t>
      </w:r>
      <w:r w:rsidR="005525A8" w:rsidRPr="008E6B11">
        <w:rPr>
          <w:color w:val="000000" w:themeColor="text1"/>
        </w:rPr>
        <w:t>s</w:t>
      </w:r>
      <w:r w:rsidR="00C61505" w:rsidRPr="008E6B11">
        <w:rPr>
          <w:color w:val="000000" w:themeColor="text1"/>
        </w:rPr>
        <w:t xml:space="preserve"> </w:t>
      </w:r>
      <w:r w:rsidR="00F83BD6" w:rsidRPr="008E6B11">
        <w:rPr>
          <w:color w:val="000000" w:themeColor="text1"/>
        </w:rPr>
        <w:t>for either sex</w:t>
      </w:r>
      <w:r w:rsidR="00C61505" w:rsidRPr="008E6B11">
        <w:rPr>
          <w:color w:val="000000" w:themeColor="text1"/>
        </w:rPr>
        <w:t>.</w:t>
      </w:r>
    </w:p>
    <w:p w:rsidR="00B70633" w:rsidRPr="008E6B11" w:rsidRDefault="007B3642" w:rsidP="00DB31DA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Overall, women tend to have shorter 2D and 4D for both left and right hands with their mean </w:t>
      </w:r>
      <w:r w:rsidR="000F25E9" w:rsidRPr="008E6B11">
        <w:rPr>
          <w:color w:val="000000" w:themeColor="text1"/>
        </w:rPr>
        <w:t xml:space="preserve">digit length </w:t>
      </w:r>
      <w:r w:rsidR="00BE1C49" w:rsidRPr="008E6B11">
        <w:rPr>
          <w:color w:val="000000" w:themeColor="text1"/>
        </w:rPr>
        <w:t xml:space="preserve">(MDL) </w:t>
      </w:r>
      <w:r w:rsidRPr="008E6B11">
        <w:rPr>
          <w:color w:val="000000" w:themeColor="text1"/>
        </w:rPr>
        <w:t xml:space="preserve">across these four digits shorter than that of men (e.g., Voracek, 2009). </w:t>
      </w:r>
      <w:r w:rsidR="00085C19" w:rsidRPr="008E6B11">
        <w:rPr>
          <w:color w:val="000000" w:themeColor="text1"/>
        </w:rPr>
        <w:t>B</w:t>
      </w:r>
      <w:r w:rsidR="00106CD3" w:rsidRPr="008E6B11">
        <w:rPr>
          <w:color w:val="000000" w:themeColor="text1"/>
        </w:rPr>
        <w:t xml:space="preserve">ecause sex differences in 2D and 4D are </w:t>
      </w:r>
      <w:r w:rsidR="00527894" w:rsidRPr="008E6B11">
        <w:rPr>
          <w:color w:val="000000" w:themeColor="text1"/>
        </w:rPr>
        <w:t>negligible</w:t>
      </w:r>
      <w:r w:rsidR="00106CD3" w:rsidRPr="008E6B11">
        <w:rPr>
          <w:color w:val="000000" w:themeColor="text1"/>
        </w:rPr>
        <w:t xml:space="preserve"> </w:t>
      </w:r>
      <w:r w:rsidR="00527894" w:rsidRPr="008E6B11">
        <w:rPr>
          <w:color w:val="000000" w:themeColor="text1"/>
        </w:rPr>
        <w:t>in pre-pubescent children</w:t>
      </w:r>
      <w:r w:rsidR="00106CD3" w:rsidRPr="008E6B11">
        <w:rPr>
          <w:color w:val="000000" w:themeColor="text1"/>
        </w:rPr>
        <w:t xml:space="preserve"> but large </w:t>
      </w:r>
      <w:r w:rsidR="00085C19" w:rsidRPr="008E6B11">
        <w:rPr>
          <w:color w:val="000000" w:themeColor="text1"/>
        </w:rPr>
        <w:t>in</w:t>
      </w:r>
      <w:r w:rsidR="00106CD3" w:rsidRPr="008E6B11">
        <w:rPr>
          <w:color w:val="000000" w:themeColor="text1"/>
        </w:rPr>
        <w:t xml:space="preserve"> adult</w:t>
      </w:r>
      <w:r w:rsidR="00085C19" w:rsidRPr="008E6B11">
        <w:rPr>
          <w:color w:val="000000" w:themeColor="text1"/>
        </w:rPr>
        <w:t xml:space="preserve"> populations</w:t>
      </w:r>
      <w:r w:rsidR="00527894" w:rsidRPr="008E6B11">
        <w:rPr>
          <w:color w:val="000000" w:themeColor="text1"/>
        </w:rPr>
        <w:t xml:space="preserve">, </w:t>
      </w:r>
      <w:r w:rsidR="00BE1C49" w:rsidRPr="008E6B11">
        <w:rPr>
          <w:color w:val="000000" w:themeColor="text1"/>
        </w:rPr>
        <w:t>MDL</w:t>
      </w:r>
      <w:r w:rsidR="00085C19" w:rsidRPr="008E6B11">
        <w:rPr>
          <w:color w:val="000000" w:themeColor="text1"/>
        </w:rPr>
        <w:t xml:space="preserve"> </w:t>
      </w:r>
      <w:r w:rsidR="00DF3E80" w:rsidRPr="008E6B11">
        <w:rPr>
          <w:color w:val="000000" w:themeColor="text1"/>
        </w:rPr>
        <w:t>is</w:t>
      </w:r>
      <w:r w:rsidR="00085C19" w:rsidRPr="008E6B11">
        <w:rPr>
          <w:color w:val="000000" w:themeColor="text1"/>
        </w:rPr>
        <w:t xml:space="preserve"> seen as </w:t>
      </w:r>
      <w:r w:rsidR="00145D72" w:rsidRPr="008E6B11">
        <w:rPr>
          <w:color w:val="000000" w:themeColor="text1"/>
        </w:rPr>
        <w:t xml:space="preserve">a </w:t>
      </w:r>
      <w:r w:rsidR="00DF3E80" w:rsidRPr="008E6B11">
        <w:rPr>
          <w:color w:val="000000" w:themeColor="text1"/>
        </w:rPr>
        <w:t>putative marker</w:t>
      </w:r>
      <w:r w:rsidR="00085C19" w:rsidRPr="008E6B11">
        <w:rPr>
          <w:color w:val="000000" w:themeColor="text1"/>
        </w:rPr>
        <w:t xml:space="preserve"> of androgen levels</w:t>
      </w:r>
      <w:r w:rsidR="0086280E" w:rsidRPr="008E6B11">
        <w:rPr>
          <w:color w:val="000000" w:themeColor="text1"/>
        </w:rPr>
        <w:t xml:space="preserve"> following pubertal-adolescent growth spurts</w:t>
      </w:r>
      <w:r w:rsidR="006800DC" w:rsidRPr="008E6B11">
        <w:rPr>
          <w:color w:val="000000" w:themeColor="text1"/>
        </w:rPr>
        <w:t xml:space="preserve"> </w:t>
      </w:r>
      <w:r w:rsidR="00085C19" w:rsidRPr="008E6B11">
        <w:rPr>
          <w:color w:val="000000" w:themeColor="text1"/>
        </w:rPr>
        <w:t xml:space="preserve">(Manning, 2002; </w:t>
      </w:r>
      <w:r w:rsidR="00F02F8A" w:rsidRPr="008E6B11">
        <w:rPr>
          <w:color w:val="000000" w:themeColor="text1"/>
        </w:rPr>
        <w:t>2008</w:t>
      </w:r>
      <w:r w:rsidR="00085C19" w:rsidRPr="008E6B11">
        <w:rPr>
          <w:color w:val="000000" w:themeColor="text1"/>
        </w:rPr>
        <w:t>).</w:t>
      </w:r>
      <w:r w:rsidR="00FD5626" w:rsidRPr="008E6B11">
        <w:rPr>
          <w:color w:val="000000" w:themeColor="text1"/>
        </w:rPr>
        <w:t xml:space="preserve"> As such, </w:t>
      </w:r>
      <w:r w:rsidR="00417312" w:rsidRPr="008E6B11">
        <w:rPr>
          <w:color w:val="000000" w:themeColor="text1"/>
        </w:rPr>
        <w:t>lower MDL</w:t>
      </w:r>
      <w:r w:rsidR="00FD5626" w:rsidRPr="008E6B11">
        <w:rPr>
          <w:color w:val="000000" w:themeColor="text1"/>
        </w:rPr>
        <w:t xml:space="preserve"> should </w:t>
      </w:r>
      <w:r w:rsidR="00AA68BF" w:rsidRPr="008E6B11">
        <w:rPr>
          <w:color w:val="000000" w:themeColor="text1"/>
        </w:rPr>
        <w:t xml:space="preserve">also </w:t>
      </w:r>
      <w:r w:rsidR="00FD5626" w:rsidRPr="008E6B11">
        <w:rPr>
          <w:color w:val="000000" w:themeColor="text1"/>
        </w:rPr>
        <w:t xml:space="preserve">be associated with more pronounced paranormal and superstitious worldviews. </w:t>
      </w:r>
      <w:r w:rsidR="00907A80" w:rsidRPr="008E6B11">
        <w:rPr>
          <w:color w:val="000000" w:themeColor="text1"/>
        </w:rPr>
        <w:t>In partial support of th</w:t>
      </w:r>
      <w:r w:rsidRPr="008E6B11">
        <w:rPr>
          <w:color w:val="000000" w:themeColor="text1"/>
        </w:rPr>
        <w:t>is argument</w:t>
      </w:r>
      <w:r w:rsidR="007E25DC" w:rsidRPr="008E6B11">
        <w:rPr>
          <w:color w:val="000000" w:themeColor="text1"/>
        </w:rPr>
        <w:t>,</w:t>
      </w:r>
      <w:r w:rsidRPr="008E6B11">
        <w:rPr>
          <w:color w:val="000000" w:themeColor="text1"/>
        </w:rPr>
        <w:t xml:space="preserve"> </w:t>
      </w:r>
      <w:r w:rsidR="00527894" w:rsidRPr="008E6B11">
        <w:rPr>
          <w:color w:val="000000" w:themeColor="text1"/>
        </w:rPr>
        <w:t xml:space="preserve">Voracek </w:t>
      </w:r>
      <w:r w:rsidR="00AA68BF" w:rsidRPr="008E6B11">
        <w:rPr>
          <w:color w:val="000000" w:themeColor="text1"/>
        </w:rPr>
        <w:t xml:space="preserve">(2009) </w:t>
      </w:r>
      <w:r w:rsidR="008E1A3A" w:rsidRPr="008E6B11">
        <w:rPr>
          <w:color w:val="000000" w:themeColor="text1"/>
        </w:rPr>
        <w:t xml:space="preserve">found </w:t>
      </w:r>
      <w:r w:rsidR="0071367A" w:rsidRPr="008E6B11">
        <w:rPr>
          <w:color w:val="000000" w:themeColor="text1"/>
        </w:rPr>
        <w:t xml:space="preserve">(near) significant </w:t>
      </w:r>
      <w:r w:rsidR="00296D3A" w:rsidRPr="008E6B11">
        <w:rPr>
          <w:color w:val="000000" w:themeColor="text1"/>
        </w:rPr>
        <w:t>negative association</w:t>
      </w:r>
      <w:r w:rsidR="0071367A" w:rsidRPr="008E6B11">
        <w:rPr>
          <w:color w:val="000000" w:themeColor="text1"/>
        </w:rPr>
        <w:t>s</w:t>
      </w:r>
      <w:r w:rsidR="00296D3A" w:rsidRPr="008E6B11">
        <w:rPr>
          <w:color w:val="000000" w:themeColor="text1"/>
        </w:rPr>
        <w:t xml:space="preserve"> between </w:t>
      </w:r>
      <w:r w:rsidR="00335373" w:rsidRPr="008E6B11">
        <w:rPr>
          <w:color w:val="000000" w:themeColor="text1"/>
        </w:rPr>
        <w:t>MDL</w:t>
      </w:r>
      <w:r w:rsidRPr="008E6B11">
        <w:rPr>
          <w:color w:val="000000" w:themeColor="text1"/>
        </w:rPr>
        <w:t xml:space="preserve"> </w:t>
      </w:r>
      <w:r w:rsidR="00296D3A" w:rsidRPr="008E6B11">
        <w:rPr>
          <w:color w:val="000000" w:themeColor="text1"/>
        </w:rPr>
        <w:t xml:space="preserve">and </w:t>
      </w:r>
      <w:r w:rsidR="0071367A" w:rsidRPr="008E6B11">
        <w:rPr>
          <w:color w:val="000000" w:themeColor="text1"/>
        </w:rPr>
        <w:t xml:space="preserve">both positive and negative </w:t>
      </w:r>
      <w:r w:rsidR="00296D3A" w:rsidRPr="008E6B11">
        <w:rPr>
          <w:color w:val="000000" w:themeColor="text1"/>
        </w:rPr>
        <w:t xml:space="preserve">superstitious </w:t>
      </w:r>
      <w:r w:rsidR="0071367A" w:rsidRPr="008E6B11">
        <w:rPr>
          <w:color w:val="000000" w:themeColor="text1"/>
        </w:rPr>
        <w:t xml:space="preserve">- but not paranormal - </w:t>
      </w:r>
      <w:r w:rsidR="00296D3A" w:rsidRPr="008E6B11">
        <w:rPr>
          <w:color w:val="000000" w:themeColor="text1"/>
        </w:rPr>
        <w:t xml:space="preserve">beliefs for women </w:t>
      </w:r>
      <w:r w:rsidR="00F46205" w:rsidRPr="008E6B11">
        <w:rPr>
          <w:color w:val="000000" w:themeColor="text1"/>
        </w:rPr>
        <w:t>but not men</w:t>
      </w:r>
      <w:r w:rsidR="00EB5063" w:rsidRPr="008E6B11">
        <w:rPr>
          <w:color w:val="000000" w:themeColor="text1"/>
        </w:rPr>
        <w:t xml:space="preserve">. </w:t>
      </w:r>
      <w:r w:rsidR="00F46205" w:rsidRPr="008E6B11">
        <w:rPr>
          <w:color w:val="000000" w:themeColor="text1"/>
        </w:rPr>
        <w:t>T</w:t>
      </w:r>
      <w:r w:rsidRPr="008E6B11">
        <w:rPr>
          <w:color w:val="000000" w:themeColor="text1"/>
        </w:rPr>
        <w:t>his suggest</w:t>
      </w:r>
      <w:r w:rsidR="00F46205" w:rsidRPr="008E6B11">
        <w:rPr>
          <w:color w:val="000000" w:themeColor="text1"/>
        </w:rPr>
        <w:t>s</w:t>
      </w:r>
      <w:r w:rsidR="0086280E" w:rsidRPr="008E6B11">
        <w:rPr>
          <w:color w:val="000000" w:themeColor="text1"/>
        </w:rPr>
        <w:t xml:space="preserve"> comparatively</w:t>
      </w:r>
      <w:r w:rsidR="00DB31DA" w:rsidRPr="008E6B11">
        <w:rPr>
          <w:color w:val="000000" w:themeColor="text1"/>
        </w:rPr>
        <w:t xml:space="preserve"> </w:t>
      </w:r>
      <w:r w:rsidR="00C410A4" w:rsidRPr="008E6B11">
        <w:rPr>
          <w:color w:val="000000" w:themeColor="text1"/>
        </w:rPr>
        <w:t>low testosterone</w:t>
      </w:r>
      <w:r w:rsidR="0086280E" w:rsidRPr="008E6B11">
        <w:rPr>
          <w:color w:val="000000" w:themeColor="text1"/>
        </w:rPr>
        <w:t xml:space="preserve"> </w:t>
      </w:r>
      <w:r w:rsidR="003E5AB9" w:rsidRPr="008E6B11">
        <w:rPr>
          <w:color w:val="000000" w:themeColor="text1"/>
        </w:rPr>
        <w:t xml:space="preserve">levels </w:t>
      </w:r>
      <w:r w:rsidR="00145D72" w:rsidRPr="008E6B11">
        <w:rPr>
          <w:color w:val="000000" w:themeColor="text1"/>
        </w:rPr>
        <w:t>during</w:t>
      </w:r>
      <w:r w:rsidR="00C410A4" w:rsidRPr="008E6B11">
        <w:rPr>
          <w:color w:val="000000" w:themeColor="text1"/>
        </w:rPr>
        <w:t xml:space="preserve"> </w:t>
      </w:r>
      <w:r w:rsidR="00B171C6" w:rsidRPr="008E6B11">
        <w:rPr>
          <w:color w:val="000000" w:themeColor="text1"/>
        </w:rPr>
        <w:t xml:space="preserve">the female </w:t>
      </w:r>
      <w:r w:rsidR="00131846" w:rsidRPr="008E6B11">
        <w:rPr>
          <w:color w:val="000000" w:themeColor="text1"/>
        </w:rPr>
        <w:t>-</w:t>
      </w:r>
      <w:r w:rsidR="00352DFF" w:rsidRPr="008E6B11">
        <w:rPr>
          <w:color w:val="000000" w:themeColor="text1"/>
        </w:rPr>
        <w:t xml:space="preserve"> but not male - </w:t>
      </w:r>
      <w:r w:rsidR="00C410A4" w:rsidRPr="008E6B11">
        <w:rPr>
          <w:color w:val="000000" w:themeColor="text1"/>
        </w:rPr>
        <w:t>pubertal growth spurt</w:t>
      </w:r>
      <w:r w:rsidR="00AA68BF" w:rsidRPr="008E6B11">
        <w:rPr>
          <w:color w:val="000000" w:themeColor="text1"/>
        </w:rPr>
        <w:t>s</w:t>
      </w:r>
      <w:r w:rsidR="00DB31DA" w:rsidRPr="008E6B11">
        <w:rPr>
          <w:color w:val="000000" w:themeColor="text1"/>
        </w:rPr>
        <w:t xml:space="preserve"> </w:t>
      </w:r>
      <w:r w:rsidR="0086280E" w:rsidRPr="008E6B11">
        <w:rPr>
          <w:color w:val="000000" w:themeColor="text1"/>
        </w:rPr>
        <w:t>heighten</w:t>
      </w:r>
      <w:r w:rsidR="00C410A4" w:rsidRPr="008E6B11">
        <w:rPr>
          <w:color w:val="000000" w:themeColor="text1"/>
        </w:rPr>
        <w:t xml:space="preserve"> adult superstitiousness</w:t>
      </w:r>
      <w:r w:rsidR="005820D9" w:rsidRPr="008E6B11">
        <w:rPr>
          <w:color w:val="000000" w:themeColor="text1"/>
        </w:rPr>
        <w:t xml:space="preserve"> but not adult paranormality</w:t>
      </w:r>
      <w:r w:rsidR="00DA72C3" w:rsidRPr="008E6B11">
        <w:rPr>
          <w:color w:val="000000" w:themeColor="text1"/>
        </w:rPr>
        <w:t xml:space="preserve">. </w:t>
      </w:r>
      <w:r w:rsidR="00AA68BF" w:rsidRPr="008E6B11">
        <w:rPr>
          <w:color w:val="000000" w:themeColor="text1"/>
        </w:rPr>
        <w:t>But in Voracek’s study this</w:t>
      </w:r>
      <w:r w:rsidR="00F46205" w:rsidRPr="008E6B11">
        <w:rPr>
          <w:color w:val="000000" w:themeColor="text1"/>
        </w:rPr>
        <w:t xml:space="preserve"> </w:t>
      </w:r>
      <w:r w:rsidR="00500551" w:rsidRPr="008E6B11">
        <w:rPr>
          <w:color w:val="000000" w:themeColor="text1"/>
        </w:rPr>
        <w:t>relationship</w:t>
      </w:r>
      <w:r w:rsidR="00DB31DA" w:rsidRPr="008E6B11">
        <w:rPr>
          <w:color w:val="000000" w:themeColor="text1"/>
        </w:rPr>
        <w:t xml:space="preserve"> </w:t>
      </w:r>
      <w:r w:rsidR="00B171C6" w:rsidRPr="008E6B11">
        <w:rPr>
          <w:color w:val="000000" w:themeColor="text1"/>
        </w:rPr>
        <w:t>disappeared when the same demographic and body measures outlined above were controlled</w:t>
      </w:r>
      <w:r w:rsidR="003E5AB9" w:rsidRPr="008E6B11">
        <w:rPr>
          <w:color w:val="000000" w:themeColor="text1"/>
        </w:rPr>
        <w:t xml:space="preserve"> for. </w:t>
      </w:r>
      <w:r w:rsidR="00DB31DA" w:rsidRPr="008E6B11">
        <w:rPr>
          <w:color w:val="000000" w:themeColor="text1"/>
        </w:rPr>
        <w:t>Voracek</w:t>
      </w:r>
      <w:r w:rsidR="0071367A" w:rsidRPr="008E6B11">
        <w:rPr>
          <w:color w:val="000000" w:themeColor="text1"/>
        </w:rPr>
        <w:t xml:space="preserve"> </w:t>
      </w:r>
      <w:r w:rsidR="009F7D2E" w:rsidRPr="008E6B11">
        <w:rPr>
          <w:color w:val="000000" w:themeColor="text1"/>
        </w:rPr>
        <w:t>conced</w:t>
      </w:r>
      <w:r w:rsidR="00B171C6" w:rsidRPr="008E6B11">
        <w:rPr>
          <w:color w:val="000000" w:themeColor="text1"/>
        </w:rPr>
        <w:t>e</w:t>
      </w:r>
      <w:r w:rsidR="00145D72" w:rsidRPr="008E6B11">
        <w:rPr>
          <w:color w:val="000000" w:themeColor="text1"/>
        </w:rPr>
        <w:t>d</w:t>
      </w:r>
      <w:r w:rsidR="0068400C" w:rsidRPr="008E6B11">
        <w:rPr>
          <w:color w:val="000000" w:themeColor="text1"/>
        </w:rPr>
        <w:t xml:space="preserve"> that</w:t>
      </w:r>
      <w:r w:rsidR="009F7D2E" w:rsidRPr="008E6B11">
        <w:rPr>
          <w:color w:val="000000" w:themeColor="text1"/>
        </w:rPr>
        <w:t xml:space="preserve"> the association between </w:t>
      </w:r>
      <w:r w:rsidR="0059554F" w:rsidRPr="008E6B11">
        <w:rPr>
          <w:color w:val="000000" w:themeColor="text1"/>
        </w:rPr>
        <w:t xml:space="preserve">women’s </w:t>
      </w:r>
      <w:r w:rsidR="00AA68BF" w:rsidRPr="008E6B11">
        <w:rPr>
          <w:color w:val="000000" w:themeColor="text1"/>
        </w:rPr>
        <w:t>MDL</w:t>
      </w:r>
      <w:r w:rsidR="000F25E9" w:rsidRPr="008E6B11">
        <w:rPr>
          <w:color w:val="000000" w:themeColor="text1"/>
        </w:rPr>
        <w:t xml:space="preserve"> </w:t>
      </w:r>
      <w:r w:rsidR="009F7D2E" w:rsidRPr="008E6B11">
        <w:rPr>
          <w:color w:val="000000" w:themeColor="text1"/>
        </w:rPr>
        <w:t>and superstitious</w:t>
      </w:r>
      <w:r w:rsidR="00AA68BF" w:rsidRPr="008E6B11">
        <w:rPr>
          <w:color w:val="000000" w:themeColor="text1"/>
        </w:rPr>
        <w:t>ness</w:t>
      </w:r>
      <w:r w:rsidR="009F7D2E" w:rsidRPr="008E6B11">
        <w:rPr>
          <w:color w:val="000000" w:themeColor="text1"/>
        </w:rPr>
        <w:t xml:space="preserve"> may</w:t>
      </w:r>
      <w:r w:rsidR="0068400C" w:rsidRPr="008E6B11">
        <w:rPr>
          <w:color w:val="000000" w:themeColor="text1"/>
        </w:rPr>
        <w:t xml:space="preserve">, in fact, </w:t>
      </w:r>
      <w:r w:rsidR="005737AB" w:rsidRPr="008E6B11">
        <w:rPr>
          <w:color w:val="000000" w:themeColor="text1"/>
        </w:rPr>
        <w:t>be spurious (p.108)</w:t>
      </w:r>
      <w:r w:rsidR="009F7D2E" w:rsidRPr="008E6B11">
        <w:rPr>
          <w:color w:val="000000" w:themeColor="text1"/>
        </w:rPr>
        <w:t xml:space="preserve">. </w:t>
      </w:r>
    </w:p>
    <w:p w:rsidR="0059554F" w:rsidRPr="008E6B11" w:rsidRDefault="0059554F" w:rsidP="0059554F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Finally, Voracek </w:t>
      </w:r>
      <w:r w:rsidR="0071367A" w:rsidRPr="008E6B11">
        <w:rPr>
          <w:color w:val="000000" w:themeColor="text1"/>
        </w:rPr>
        <w:t xml:space="preserve">(2009) </w:t>
      </w:r>
      <w:r w:rsidRPr="008E6B11">
        <w:rPr>
          <w:color w:val="000000" w:themeColor="text1"/>
        </w:rPr>
        <w:t>examined the extent to which “fluctuating asymmetry” (FA) is</w:t>
      </w:r>
      <w:r w:rsidR="006F24A3" w:rsidRPr="008E6B11">
        <w:rPr>
          <w:color w:val="000000" w:themeColor="text1"/>
        </w:rPr>
        <w:t xml:space="preserve"> </w:t>
      </w:r>
      <w:r w:rsidRPr="008E6B11">
        <w:rPr>
          <w:color w:val="000000" w:themeColor="text1"/>
        </w:rPr>
        <w:t xml:space="preserve">associated with adult paranormal and superstitious beliefs. </w:t>
      </w:r>
      <w:r w:rsidR="006310D7" w:rsidRPr="008E6B11">
        <w:rPr>
          <w:color w:val="000000" w:themeColor="text1"/>
        </w:rPr>
        <w:t xml:space="preserve">Bodily </w:t>
      </w:r>
      <w:r w:rsidRPr="008E6B11">
        <w:rPr>
          <w:color w:val="000000" w:themeColor="text1"/>
        </w:rPr>
        <w:t>FA reflects the extent to which bilateral body parts (</w:t>
      </w:r>
      <w:r w:rsidR="003F0C69" w:rsidRPr="008E6B11">
        <w:rPr>
          <w:color w:val="000000" w:themeColor="text1"/>
        </w:rPr>
        <w:t>such as</w:t>
      </w:r>
      <w:r w:rsidRPr="008E6B11">
        <w:rPr>
          <w:color w:val="000000" w:themeColor="text1"/>
        </w:rPr>
        <w:t xml:space="preserve"> 2D and 4D) </w:t>
      </w:r>
      <w:r w:rsidR="00C04A91" w:rsidRPr="008E6B11">
        <w:rPr>
          <w:color w:val="000000" w:themeColor="text1"/>
        </w:rPr>
        <w:t xml:space="preserve">randomly </w:t>
      </w:r>
      <w:r w:rsidRPr="008E6B11">
        <w:rPr>
          <w:color w:val="000000" w:themeColor="text1"/>
        </w:rPr>
        <w:t xml:space="preserve">deviate from perfect symmetry and is thought to reflect the cumulative effect </w:t>
      </w:r>
      <w:r w:rsidR="00586B21" w:rsidRPr="008E6B11">
        <w:rPr>
          <w:color w:val="000000" w:themeColor="text1"/>
        </w:rPr>
        <w:t xml:space="preserve">genomic or environmental </w:t>
      </w:r>
      <w:r w:rsidR="008557C1" w:rsidRPr="008E6B11">
        <w:rPr>
          <w:color w:val="000000" w:themeColor="text1"/>
        </w:rPr>
        <w:t>factors have</w:t>
      </w:r>
      <w:r w:rsidR="009B0569" w:rsidRPr="008E6B11">
        <w:rPr>
          <w:color w:val="000000" w:themeColor="text1"/>
        </w:rPr>
        <w:t xml:space="preserve"> on development</w:t>
      </w:r>
      <w:r w:rsidR="00AA68BF" w:rsidRPr="008E6B11">
        <w:rPr>
          <w:color w:val="000000" w:themeColor="text1"/>
          <w:vertAlign w:val="superscript"/>
        </w:rPr>
        <w:t>1</w:t>
      </w:r>
      <w:r w:rsidRPr="008E6B11">
        <w:rPr>
          <w:color w:val="000000" w:themeColor="text1"/>
        </w:rPr>
        <w:t>.</w:t>
      </w:r>
      <w:r w:rsidR="00180D05" w:rsidRPr="008E6B11">
        <w:rPr>
          <w:color w:val="000000" w:themeColor="text1"/>
        </w:rPr>
        <w:t xml:space="preserve"> </w:t>
      </w:r>
      <w:r w:rsidR="00EB5063" w:rsidRPr="008E6B11">
        <w:rPr>
          <w:color w:val="000000" w:themeColor="text1"/>
        </w:rPr>
        <w:t>Voracek</w:t>
      </w:r>
      <w:r w:rsidR="00066711" w:rsidRPr="008E6B11">
        <w:rPr>
          <w:color w:val="000000" w:themeColor="text1"/>
        </w:rPr>
        <w:t xml:space="preserve"> </w:t>
      </w:r>
      <w:r w:rsidR="00650FB4" w:rsidRPr="008E6B11">
        <w:rPr>
          <w:color w:val="000000" w:themeColor="text1"/>
        </w:rPr>
        <w:t xml:space="preserve">reasoned that greater FA should be linked to stronger paranormal and superstitious worldviews </w:t>
      </w:r>
      <w:r w:rsidR="000D1103" w:rsidRPr="008E6B11">
        <w:rPr>
          <w:color w:val="000000" w:themeColor="text1"/>
        </w:rPr>
        <w:t xml:space="preserve">because both are also linked with various forms of adult psychopathology. </w:t>
      </w:r>
      <w:r w:rsidR="00AA68BF" w:rsidRPr="008E6B11">
        <w:rPr>
          <w:color w:val="000000" w:themeColor="text1"/>
        </w:rPr>
        <w:t xml:space="preserve">Contrary to this argument </w:t>
      </w:r>
      <w:r w:rsidRPr="008E6B11">
        <w:rPr>
          <w:color w:val="000000" w:themeColor="text1"/>
        </w:rPr>
        <w:t xml:space="preserve">no </w:t>
      </w:r>
      <w:r w:rsidR="000D1103" w:rsidRPr="008E6B11">
        <w:rPr>
          <w:color w:val="000000" w:themeColor="text1"/>
        </w:rPr>
        <w:t xml:space="preserve">sex differences in </w:t>
      </w:r>
      <w:r w:rsidR="00FC6CFD" w:rsidRPr="008E6B11">
        <w:rPr>
          <w:color w:val="000000" w:themeColor="text1"/>
        </w:rPr>
        <w:t>FA</w:t>
      </w:r>
      <w:r w:rsidR="00066711" w:rsidRPr="008E6B11">
        <w:rPr>
          <w:color w:val="000000" w:themeColor="text1"/>
        </w:rPr>
        <w:t xml:space="preserve"> </w:t>
      </w:r>
      <w:r w:rsidR="00AA68BF" w:rsidRPr="008E6B11">
        <w:rPr>
          <w:color w:val="000000" w:themeColor="text1"/>
        </w:rPr>
        <w:t xml:space="preserve">were found with </w:t>
      </w:r>
      <w:r w:rsidR="000D1103" w:rsidRPr="008E6B11">
        <w:rPr>
          <w:color w:val="000000" w:themeColor="text1"/>
        </w:rPr>
        <w:t>FA</w:t>
      </w:r>
      <w:r w:rsidRPr="008E6B11">
        <w:rPr>
          <w:color w:val="000000" w:themeColor="text1"/>
        </w:rPr>
        <w:t xml:space="preserve"> unrelated to both paranormal and superstitious beliefs for both </w:t>
      </w:r>
      <w:r w:rsidR="00F46205" w:rsidRPr="008E6B11">
        <w:rPr>
          <w:color w:val="000000" w:themeColor="text1"/>
        </w:rPr>
        <w:t>sexes</w:t>
      </w:r>
      <w:r w:rsidR="000D1103" w:rsidRPr="008E6B11">
        <w:rPr>
          <w:color w:val="000000" w:themeColor="text1"/>
        </w:rPr>
        <w:t>.</w:t>
      </w:r>
    </w:p>
    <w:p w:rsidR="00D901AA" w:rsidRPr="008E6B11" w:rsidRDefault="009F7D2E" w:rsidP="00335373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In </w:t>
      </w:r>
      <w:r w:rsidR="00414202" w:rsidRPr="008E6B11">
        <w:rPr>
          <w:color w:val="000000" w:themeColor="text1"/>
        </w:rPr>
        <w:t xml:space="preserve">sum, </w:t>
      </w:r>
      <w:r w:rsidR="00DF3E80" w:rsidRPr="008E6B11">
        <w:rPr>
          <w:color w:val="000000" w:themeColor="text1"/>
        </w:rPr>
        <w:t>Voracek</w:t>
      </w:r>
      <w:r w:rsidR="00E20BE5" w:rsidRPr="008E6B11">
        <w:rPr>
          <w:color w:val="000000" w:themeColor="text1"/>
        </w:rPr>
        <w:t>’s</w:t>
      </w:r>
      <w:r w:rsidR="00DF3E80" w:rsidRPr="008E6B11">
        <w:rPr>
          <w:color w:val="000000" w:themeColor="text1"/>
        </w:rPr>
        <w:t xml:space="preserve"> </w:t>
      </w:r>
      <w:r w:rsidR="009A41CA" w:rsidRPr="008E6B11">
        <w:rPr>
          <w:color w:val="000000" w:themeColor="text1"/>
        </w:rPr>
        <w:t xml:space="preserve">(2009) </w:t>
      </w:r>
      <w:r w:rsidR="00E20BE5" w:rsidRPr="008E6B11">
        <w:rPr>
          <w:color w:val="000000" w:themeColor="text1"/>
        </w:rPr>
        <w:t xml:space="preserve">findings </w:t>
      </w:r>
      <w:r w:rsidR="00DD0333" w:rsidRPr="008E6B11">
        <w:rPr>
          <w:color w:val="000000" w:themeColor="text1"/>
        </w:rPr>
        <w:t>suggest</w:t>
      </w:r>
      <w:r w:rsidR="00DF3E80" w:rsidRPr="008E6B11">
        <w:rPr>
          <w:color w:val="000000" w:themeColor="text1"/>
        </w:rPr>
        <w:t xml:space="preserve"> </w:t>
      </w:r>
      <w:r w:rsidR="00414202" w:rsidRPr="008E6B11">
        <w:rPr>
          <w:color w:val="000000" w:themeColor="text1"/>
        </w:rPr>
        <w:t>only higher (more femini</w:t>
      </w:r>
      <w:r w:rsidR="00C568DE" w:rsidRPr="008E6B11">
        <w:rPr>
          <w:color w:val="000000" w:themeColor="text1"/>
        </w:rPr>
        <w:t>z</w:t>
      </w:r>
      <w:r w:rsidR="00414202" w:rsidRPr="008E6B11">
        <w:rPr>
          <w:color w:val="000000" w:themeColor="text1"/>
        </w:rPr>
        <w:t xml:space="preserve">ed) </w:t>
      </w:r>
      <w:r w:rsidR="008E1A3A" w:rsidRPr="008E6B11">
        <w:rPr>
          <w:color w:val="000000" w:themeColor="text1"/>
        </w:rPr>
        <w:t xml:space="preserve">2D:4D </w:t>
      </w:r>
      <w:r w:rsidR="0085473C" w:rsidRPr="008E6B11">
        <w:rPr>
          <w:color w:val="000000" w:themeColor="text1"/>
        </w:rPr>
        <w:t>is</w:t>
      </w:r>
      <w:r w:rsidR="008E1A3A" w:rsidRPr="008E6B11">
        <w:rPr>
          <w:color w:val="000000" w:themeColor="text1"/>
        </w:rPr>
        <w:t xml:space="preserve"> linked to paranormal and superstitious thinking</w:t>
      </w:r>
      <w:r w:rsidR="00414202" w:rsidRPr="008E6B11">
        <w:rPr>
          <w:color w:val="000000" w:themeColor="text1"/>
        </w:rPr>
        <w:t xml:space="preserve"> in adulthood</w:t>
      </w:r>
      <w:r w:rsidR="001330D2" w:rsidRPr="008E6B11">
        <w:rPr>
          <w:color w:val="000000" w:themeColor="text1"/>
        </w:rPr>
        <w:t>,</w:t>
      </w:r>
      <w:r w:rsidR="00BB4EF2" w:rsidRPr="008E6B11">
        <w:rPr>
          <w:color w:val="000000" w:themeColor="text1"/>
        </w:rPr>
        <w:t xml:space="preserve"> </w:t>
      </w:r>
      <w:r w:rsidR="0085473C" w:rsidRPr="008E6B11">
        <w:rPr>
          <w:color w:val="000000" w:themeColor="text1"/>
        </w:rPr>
        <w:t>with</w:t>
      </w:r>
      <w:r w:rsidR="00BB4EF2" w:rsidRPr="008E6B11">
        <w:rPr>
          <w:color w:val="000000" w:themeColor="text1"/>
        </w:rPr>
        <w:t xml:space="preserve"> sex differences in </w:t>
      </w:r>
      <w:r w:rsidR="0085473C" w:rsidRPr="008E6B11">
        <w:rPr>
          <w:color w:val="000000" w:themeColor="text1"/>
        </w:rPr>
        <w:t>these</w:t>
      </w:r>
      <w:r w:rsidR="00BB4EF2" w:rsidRPr="008E6B11">
        <w:rPr>
          <w:color w:val="000000" w:themeColor="text1"/>
        </w:rPr>
        <w:t xml:space="preserve"> beliefs most likely </w:t>
      </w:r>
      <w:r w:rsidR="00C76FD7" w:rsidRPr="008E6B11">
        <w:rPr>
          <w:color w:val="000000" w:themeColor="text1"/>
        </w:rPr>
        <w:t xml:space="preserve">influenced </w:t>
      </w:r>
      <w:r w:rsidR="00BB4EF2" w:rsidRPr="008E6B11">
        <w:rPr>
          <w:color w:val="000000" w:themeColor="text1"/>
        </w:rPr>
        <w:t>by</w:t>
      </w:r>
      <w:r w:rsidR="00BB4EF2" w:rsidRPr="008E6B11">
        <w:rPr>
          <w:i/>
          <w:color w:val="000000" w:themeColor="text1"/>
        </w:rPr>
        <w:t xml:space="preserve"> </w:t>
      </w:r>
      <w:r w:rsidR="00BB4EF2" w:rsidRPr="008E6B11">
        <w:rPr>
          <w:color w:val="000000" w:themeColor="text1"/>
        </w:rPr>
        <w:t>prenatal testosterone levels rather than pubertal-adolescent androgen</w:t>
      </w:r>
      <w:r w:rsidR="0085473C" w:rsidRPr="008E6B11">
        <w:rPr>
          <w:color w:val="000000" w:themeColor="text1"/>
        </w:rPr>
        <w:t xml:space="preserve"> spurts</w:t>
      </w:r>
      <w:r w:rsidR="00BB4EF2" w:rsidRPr="008E6B11">
        <w:rPr>
          <w:color w:val="000000" w:themeColor="text1"/>
        </w:rPr>
        <w:t xml:space="preserve"> and/or developmental instability.</w:t>
      </w:r>
      <w:r w:rsidR="00414202" w:rsidRPr="008E6B11">
        <w:rPr>
          <w:color w:val="000000" w:themeColor="text1"/>
        </w:rPr>
        <w:t xml:space="preserve"> </w:t>
      </w:r>
      <w:r w:rsidR="00AE043A" w:rsidRPr="008E6B11">
        <w:rPr>
          <w:color w:val="000000" w:themeColor="text1"/>
        </w:rPr>
        <w:t xml:space="preserve">However, </w:t>
      </w:r>
      <w:r w:rsidR="00C1631B" w:rsidRPr="008E6B11">
        <w:rPr>
          <w:color w:val="000000" w:themeColor="text1"/>
        </w:rPr>
        <w:t>there are several issues with this work than render replication necessary. First, virtually all</w:t>
      </w:r>
      <w:r w:rsidR="005455DC" w:rsidRPr="008E6B11">
        <w:rPr>
          <w:color w:val="000000" w:themeColor="text1"/>
        </w:rPr>
        <w:t xml:space="preserve"> significant associations </w:t>
      </w:r>
      <w:r w:rsidR="008F63B7" w:rsidRPr="008E6B11">
        <w:rPr>
          <w:color w:val="000000" w:themeColor="text1"/>
        </w:rPr>
        <w:t>existed</w:t>
      </w:r>
      <w:r w:rsidR="005455DC" w:rsidRPr="008E6B11">
        <w:rPr>
          <w:color w:val="000000" w:themeColor="text1"/>
        </w:rPr>
        <w:t xml:space="preserve"> for male participants only who, as already noted, are less inclined to uphold paranormal and superstitious worldviews</w:t>
      </w:r>
      <w:r w:rsidR="00C1631B" w:rsidRPr="008E6B11">
        <w:rPr>
          <w:color w:val="000000" w:themeColor="text1"/>
        </w:rPr>
        <w:t xml:space="preserve">. In </w:t>
      </w:r>
      <w:r w:rsidR="00582436" w:rsidRPr="008E6B11">
        <w:rPr>
          <w:color w:val="000000" w:themeColor="text1"/>
        </w:rPr>
        <w:t>other words</w:t>
      </w:r>
      <w:r w:rsidR="00C1631B" w:rsidRPr="008E6B11">
        <w:rPr>
          <w:color w:val="000000" w:themeColor="text1"/>
        </w:rPr>
        <w:t>, Voracek’s findings</w:t>
      </w:r>
      <w:r w:rsidR="005455DC" w:rsidRPr="008E6B11">
        <w:rPr>
          <w:color w:val="000000" w:themeColor="text1"/>
        </w:rPr>
        <w:t xml:space="preserve"> </w:t>
      </w:r>
      <w:r w:rsidR="00C1631B" w:rsidRPr="008E6B11">
        <w:rPr>
          <w:color w:val="000000" w:themeColor="text1"/>
        </w:rPr>
        <w:t xml:space="preserve">were </w:t>
      </w:r>
      <w:r w:rsidR="005455DC" w:rsidRPr="008E6B11">
        <w:rPr>
          <w:color w:val="000000" w:themeColor="text1"/>
        </w:rPr>
        <w:t xml:space="preserve">in the opposite direction to that hypothesised </w:t>
      </w:r>
      <w:r w:rsidR="00C1631B" w:rsidRPr="008E6B11">
        <w:rPr>
          <w:color w:val="000000" w:themeColor="text1"/>
        </w:rPr>
        <w:t>and</w:t>
      </w:r>
      <w:r w:rsidR="005455DC" w:rsidRPr="008E6B11">
        <w:rPr>
          <w:color w:val="000000" w:themeColor="text1"/>
        </w:rPr>
        <w:t xml:space="preserve"> </w:t>
      </w:r>
      <w:r w:rsidR="00582436" w:rsidRPr="008E6B11">
        <w:rPr>
          <w:color w:val="000000" w:themeColor="text1"/>
        </w:rPr>
        <w:t xml:space="preserve">as such, </w:t>
      </w:r>
      <w:r w:rsidR="005455DC" w:rsidRPr="008E6B11">
        <w:rPr>
          <w:color w:val="000000" w:themeColor="text1"/>
        </w:rPr>
        <w:t xml:space="preserve">cannot explain </w:t>
      </w:r>
      <w:r w:rsidR="00582436" w:rsidRPr="008E6B11">
        <w:rPr>
          <w:color w:val="000000" w:themeColor="text1"/>
        </w:rPr>
        <w:t xml:space="preserve">women’s preponderance for endorsing paranormal and superstitious concepts (cf. Irwin, 2009). </w:t>
      </w:r>
      <w:r w:rsidR="00C322AB" w:rsidRPr="008E6B11">
        <w:rPr>
          <w:color w:val="000000" w:themeColor="text1"/>
        </w:rPr>
        <w:t xml:space="preserve">Second, </w:t>
      </w:r>
      <w:r w:rsidR="000C48B5" w:rsidRPr="008E6B11">
        <w:rPr>
          <w:color w:val="000000" w:themeColor="text1"/>
        </w:rPr>
        <w:t xml:space="preserve">observed associations </w:t>
      </w:r>
      <w:r w:rsidR="00FF6CA3" w:rsidRPr="008E6B11">
        <w:rPr>
          <w:color w:val="000000" w:themeColor="text1"/>
        </w:rPr>
        <w:t xml:space="preserve">were </w:t>
      </w:r>
      <w:r w:rsidR="000C48B5" w:rsidRPr="008E6B11">
        <w:rPr>
          <w:color w:val="000000" w:themeColor="text1"/>
        </w:rPr>
        <w:t xml:space="preserve">generally </w:t>
      </w:r>
      <w:r w:rsidR="00FF6CA3" w:rsidRPr="008E6B11">
        <w:rPr>
          <w:color w:val="000000" w:themeColor="text1"/>
        </w:rPr>
        <w:t>small</w:t>
      </w:r>
      <w:r w:rsidR="000C48B5" w:rsidRPr="008E6B11">
        <w:rPr>
          <w:color w:val="000000" w:themeColor="text1"/>
        </w:rPr>
        <w:t xml:space="preserve"> (all </w:t>
      </w:r>
      <w:r w:rsidR="000C48B5" w:rsidRPr="008E6B11">
        <w:rPr>
          <w:i/>
          <w:color w:val="000000" w:themeColor="text1"/>
        </w:rPr>
        <w:t>r</w:t>
      </w:r>
      <w:r w:rsidR="000C48B5" w:rsidRPr="008E6B11">
        <w:rPr>
          <w:color w:val="000000" w:themeColor="text1"/>
        </w:rPr>
        <w:t>’s</w:t>
      </w:r>
      <w:r w:rsidR="00292B08" w:rsidRPr="008E6B11">
        <w:rPr>
          <w:color w:val="000000" w:themeColor="text1"/>
        </w:rPr>
        <w:t xml:space="preserve"> </w:t>
      </w:r>
      <w:r w:rsidR="000C48B5" w:rsidRPr="008E6B11">
        <w:rPr>
          <w:color w:val="000000" w:themeColor="text1"/>
        </w:rPr>
        <w:t xml:space="preserve">&lt;.15) with </w:t>
      </w:r>
      <w:r w:rsidR="00C568DE" w:rsidRPr="008E6B11">
        <w:rPr>
          <w:color w:val="000000" w:themeColor="text1"/>
        </w:rPr>
        <w:t>&lt;</w:t>
      </w:r>
      <w:r w:rsidR="000C48B5" w:rsidRPr="008E6B11">
        <w:rPr>
          <w:color w:val="000000" w:themeColor="text1"/>
        </w:rPr>
        <w:t xml:space="preserve"> 3% of belief variance explained by</w:t>
      </w:r>
      <w:r w:rsidR="002D3D44" w:rsidRPr="008E6B11">
        <w:rPr>
          <w:color w:val="000000" w:themeColor="text1"/>
        </w:rPr>
        <w:t xml:space="preserve"> digit ratio</w:t>
      </w:r>
      <w:r w:rsidR="00ED3614" w:rsidRPr="008E6B11">
        <w:rPr>
          <w:color w:val="000000" w:themeColor="text1"/>
        </w:rPr>
        <w:t xml:space="preserve"> (Thalbourne, 2010)</w:t>
      </w:r>
      <w:r w:rsidR="003A7100" w:rsidRPr="008E6B11">
        <w:rPr>
          <w:color w:val="000000" w:themeColor="text1"/>
        </w:rPr>
        <w:t>.</w:t>
      </w:r>
      <w:r w:rsidR="00FF6CA3" w:rsidRPr="008E6B11">
        <w:rPr>
          <w:color w:val="000000" w:themeColor="text1"/>
        </w:rPr>
        <w:t xml:space="preserve"> </w:t>
      </w:r>
      <w:r w:rsidR="00C1631B" w:rsidRPr="008E6B11">
        <w:rPr>
          <w:color w:val="000000" w:themeColor="text1"/>
        </w:rPr>
        <w:t xml:space="preserve">Finally, Voracek </w:t>
      </w:r>
      <w:r w:rsidR="00582436" w:rsidRPr="008E6B11">
        <w:rPr>
          <w:color w:val="000000" w:themeColor="text1"/>
        </w:rPr>
        <w:t xml:space="preserve">had </w:t>
      </w:r>
      <w:r w:rsidR="00C1631B" w:rsidRPr="008E6B11">
        <w:rPr>
          <w:color w:val="000000" w:themeColor="text1"/>
        </w:rPr>
        <w:t xml:space="preserve">2D:4D </w:t>
      </w:r>
      <w:r w:rsidR="00582436" w:rsidRPr="008E6B11">
        <w:rPr>
          <w:color w:val="000000" w:themeColor="text1"/>
        </w:rPr>
        <w:t xml:space="preserve">measured </w:t>
      </w:r>
      <w:r w:rsidR="005B27DA" w:rsidRPr="008E6B11">
        <w:rPr>
          <w:color w:val="000000" w:themeColor="text1"/>
        </w:rPr>
        <w:t>indirectly from hand photocopies</w:t>
      </w:r>
      <w:r w:rsidR="00930CDF" w:rsidRPr="008E6B11">
        <w:rPr>
          <w:color w:val="000000" w:themeColor="text1"/>
        </w:rPr>
        <w:t xml:space="preserve"> </w:t>
      </w:r>
      <w:r w:rsidR="00C7732D" w:rsidRPr="008E6B11">
        <w:rPr>
          <w:color w:val="000000" w:themeColor="text1"/>
        </w:rPr>
        <w:t>rather than</w:t>
      </w:r>
      <w:r w:rsidR="00930CDF" w:rsidRPr="008E6B11">
        <w:rPr>
          <w:color w:val="000000" w:themeColor="text1"/>
        </w:rPr>
        <w:t xml:space="preserve"> direct</w:t>
      </w:r>
      <w:r w:rsidR="00582436" w:rsidRPr="008E6B11">
        <w:rPr>
          <w:color w:val="000000" w:themeColor="text1"/>
        </w:rPr>
        <w:t>ly</w:t>
      </w:r>
      <w:r w:rsidR="00930CDF" w:rsidRPr="008E6B11">
        <w:rPr>
          <w:color w:val="000000" w:themeColor="text1"/>
        </w:rPr>
        <w:t xml:space="preserve"> from</w:t>
      </w:r>
      <w:r w:rsidR="001E77A2" w:rsidRPr="008E6B11">
        <w:rPr>
          <w:color w:val="000000" w:themeColor="text1"/>
        </w:rPr>
        <w:t xml:space="preserve"> participants’ </w:t>
      </w:r>
      <w:r w:rsidR="00582436" w:rsidRPr="008E6B11">
        <w:rPr>
          <w:color w:val="000000" w:themeColor="text1"/>
        </w:rPr>
        <w:t>actual hands</w:t>
      </w:r>
      <w:r w:rsidR="001E77A2" w:rsidRPr="008E6B11">
        <w:rPr>
          <w:color w:val="000000" w:themeColor="text1"/>
        </w:rPr>
        <w:t xml:space="preserve">. </w:t>
      </w:r>
      <w:r w:rsidR="00897E86" w:rsidRPr="008E6B11">
        <w:rPr>
          <w:color w:val="000000" w:themeColor="text1"/>
        </w:rPr>
        <w:t xml:space="preserve">Indirect 2D:4D </w:t>
      </w:r>
      <w:r w:rsidR="005B27DA" w:rsidRPr="008E6B11">
        <w:rPr>
          <w:color w:val="000000" w:themeColor="text1"/>
        </w:rPr>
        <w:t xml:space="preserve">is </w:t>
      </w:r>
      <w:r w:rsidR="00930CDF" w:rsidRPr="008E6B11">
        <w:rPr>
          <w:color w:val="000000" w:themeColor="text1"/>
        </w:rPr>
        <w:t>thought</w:t>
      </w:r>
      <w:r w:rsidR="005B27DA" w:rsidRPr="008E6B11">
        <w:rPr>
          <w:color w:val="000000" w:themeColor="text1"/>
        </w:rPr>
        <w:t xml:space="preserve"> </w:t>
      </w:r>
      <w:r w:rsidR="00C1631B" w:rsidRPr="008E6B11">
        <w:rPr>
          <w:color w:val="000000" w:themeColor="text1"/>
        </w:rPr>
        <w:t xml:space="preserve">to </w:t>
      </w:r>
      <w:r w:rsidR="00C2727E" w:rsidRPr="008E6B11">
        <w:rPr>
          <w:color w:val="000000" w:themeColor="text1"/>
        </w:rPr>
        <w:t>be</w:t>
      </w:r>
      <w:r w:rsidR="00897E86" w:rsidRPr="008E6B11">
        <w:rPr>
          <w:color w:val="000000" w:themeColor="text1"/>
        </w:rPr>
        <w:t xml:space="preserve"> less accurate</w:t>
      </w:r>
      <w:r w:rsidR="00C2727E" w:rsidRPr="008E6B11">
        <w:rPr>
          <w:color w:val="000000" w:themeColor="text1"/>
        </w:rPr>
        <w:t xml:space="preserve"> and</w:t>
      </w:r>
      <w:r w:rsidR="00897E86" w:rsidRPr="008E6B11">
        <w:rPr>
          <w:color w:val="000000" w:themeColor="text1"/>
        </w:rPr>
        <w:t xml:space="preserve"> generally lower </w:t>
      </w:r>
      <w:r w:rsidR="00B05288" w:rsidRPr="008E6B11">
        <w:rPr>
          <w:color w:val="000000" w:themeColor="text1"/>
        </w:rPr>
        <w:t>than</w:t>
      </w:r>
      <w:r w:rsidR="00897E86" w:rsidRPr="008E6B11">
        <w:rPr>
          <w:color w:val="000000" w:themeColor="text1"/>
        </w:rPr>
        <w:t xml:space="preserve"> </w:t>
      </w:r>
      <w:r w:rsidR="008B11FB" w:rsidRPr="008E6B11">
        <w:rPr>
          <w:color w:val="000000" w:themeColor="text1"/>
        </w:rPr>
        <w:t xml:space="preserve">corresponding </w:t>
      </w:r>
      <w:r w:rsidR="00897E86" w:rsidRPr="008E6B11">
        <w:rPr>
          <w:color w:val="000000" w:themeColor="text1"/>
        </w:rPr>
        <w:t>direct 2D:4D</w:t>
      </w:r>
      <w:r w:rsidR="001455F7" w:rsidRPr="008E6B11">
        <w:rPr>
          <w:color w:val="000000" w:themeColor="text1"/>
        </w:rPr>
        <w:t xml:space="preserve">, </w:t>
      </w:r>
      <w:r w:rsidR="00C2727E" w:rsidRPr="008E6B11">
        <w:rPr>
          <w:color w:val="000000" w:themeColor="text1"/>
        </w:rPr>
        <w:t xml:space="preserve">especially for males </w:t>
      </w:r>
      <w:r w:rsidR="00897E86" w:rsidRPr="008E6B11">
        <w:rPr>
          <w:color w:val="000000" w:themeColor="text1"/>
        </w:rPr>
        <w:t>(</w:t>
      </w:r>
      <w:r w:rsidR="00FC5AC5" w:rsidRPr="008E6B11">
        <w:rPr>
          <w:color w:val="000000" w:themeColor="text1"/>
        </w:rPr>
        <w:t xml:space="preserve">Manning, Fink, Neave &amp; Caswell, 2005; </w:t>
      </w:r>
      <w:r w:rsidR="00E303ED" w:rsidRPr="008E6B11">
        <w:rPr>
          <w:color w:val="000000" w:themeColor="text1"/>
        </w:rPr>
        <w:t xml:space="preserve">Ribeiro </w:t>
      </w:r>
      <w:r w:rsidR="00D747D2" w:rsidRPr="008E6B11">
        <w:rPr>
          <w:color w:val="000000" w:themeColor="text1"/>
        </w:rPr>
        <w:t xml:space="preserve">et al., </w:t>
      </w:r>
      <w:r w:rsidR="00E303ED" w:rsidRPr="008E6B11">
        <w:rPr>
          <w:color w:val="000000" w:themeColor="text1"/>
        </w:rPr>
        <w:t>2016)</w:t>
      </w:r>
      <w:r w:rsidR="00FC5AC5" w:rsidRPr="008E6B11">
        <w:rPr>
          <w:color w:val="000000" w:themeColor="text1"/>
        </w:rPr>
        <w:t xml:space="preserve">, the </w:t>
      </w:r>
      <w:r w:rsidR="001455F7" w:rsidRPr="008E6B11">
        <w:rPr>
          <w:color w:val="000000" w:themeColor="text1"/>
        </w:rPr>
        <w:t xml:space="preserve">implication </w:t>
      </w:r>
      <w:r w:rsidR="00FC5AC5" w:rsidRPr="008E6B11">
        <w:rPr>
          <w:color w:val="000000" w:themeColor="text1"/>
        </w:rPr>
        <w:t>being</w:t>
      </w:r>
      <w:r w:rsidR="001455F7" w:rsidRPr="008E6B11">
        <w:rPr>
          <w:color w:val="000000" w:themeColor="text1"/>
        </w:rPr>
        <w:t xml:space="preserve"> that</w:t>
      </w:r>
      <w:r w:rsidR="00C2727E" w:rsidRPr="008E6B11">
        <w:rPr>
          <w:color w:val="000000" w:themeColor="text1"/>
        </w:rPr>
        <w:t xml:space="preserve"> </w:t>
      </w:r>
      <w:r w:rsidR="00401954" w:rsidRPr="008E6B11">
        <w:rPr>
          <w:color w:val="000000" w:themeColor="text1"/>
        </w:rPr>
        <w:t>cross-sex correlations are</w:t>
      </w:r>
      <w:r w:rsidR="00C2727E" w:rsidRPr="008E6B11">
        <w:rPr>
          <w:color w:val="000000" w:themeColor="text1"/>
        </w:rPr>
        <w:t xml:space="preserve"> unduly influenced by measurement </w:t>
      </w:r>
      <w:r w:rsidR="00FC5AC5" w:rsidRPr="008E6B11">
        <w:rPr>
          <w:color w:val="000000" w:themeColor="text1"/>
        </w:rPr>
        <w:t>source</w:t>
      </w:r>
      <w:r w:rsidR="00C2727E" w:rsidRPr="008E6B11">
        <w:rPr>
          <w:color w:val="000000" w:themeColor="text1"/>
        </w:rPr>
        <w:t xml:space="preserve">. </w:t>
      </w:r>
      <w:r w:rsidR="00EB5063" w:rsidRPr="008E6B11">
        <w:rPr>
          <w:color w:val="000000" w:themeColor="text1"/>
        </w:rPr>
        <w:t>These</w:t>
      </w:r>
      <w:r w:rsidR="002D36E1" w:rsidRPr="008E6B11">
        <w:rPr>
          <w:color w:val="000000" w:themeColor="text1"/>
        </w:rPr>
        <w:t xml:space="preserve"> </w:t>
      </w:r>
      <w:r w:rsidR="00292B08" w:rsidRPr="008E6B11">
        <w:rPr>
          <w:color w:val="000000" w:themeColor="text1"/>
        </w:rPr>
        <w:t>issues</w:t>
      </w:r>
      <w:r w:rsidR="002D36E1" w:rsidRPr="008E6B11">
        <w:rPr>
          <w:color w:val="000000" w:themeColor="text1"/>
        </w:rPr>
        <w:t>, coupled with the widespread inconsistencies</w:t>
      </w:r>
      <w:r w:rsidR="00FC5AC5" w:rsidRPr="008E6B11">
        <w:rPr>
          <w:color w:val="000000" w:themeColor="text1"/>
        </w:rPr>
        <w:t xml:space="preserve"> and</w:t>
      </w:r>
      <w:r w:rsidR="00EB784C" w:rsidRPr="008E6B11">
        <w:rPr>
          <w:color w:val="000000" w:themeColor="text1"/>
        </w:rPr>
        <w:t xml:space="preserve"> </w:t>
      </w:r>
      <w:r w:rsidR="00FD0984" w:rsidRPr="008E6B11">
        <w:rPr>
          <w:color w:val="000000" w:themeColor="text1"/>
        </w:rPr>
        <w:t>lack of repeatability</w:t>
      </w:r>
      <w:r w:rsidR="002D36E1" w:rsidRPr="008E6B11">
        <w:rPr>
          <w:color w:val="000000" w:themeColor="text1"/>
        </w:rPr>
        <w:t xml:space="preserve"> common in 2D:4D research (Valla &amp; Ceci, 2011) suggests a replication of Voracek (2009)</w:t>
      </w:r>
      <w:r w:rsidR="00FC5AC5" w:rsidRPr="008E6B11">
        <w:rPr>
          <w:color w:val="000000" w:themeColor="text1"/>
        </w:rPr>
        <w:t>,</w:t>
      </w:r>
      <w:r w:rsidR="002D36E1" w:rsidRPr="008E6B11">
        <w:rPr>
          <w:color w:val="000000" w:themeColor="text1"/>
        </w:rPr>
        <w:t xml:space="preserve"> </w:t>
      </w:r>
      <w:r w:rsidR="00C2727E" w:rsidRPr="008E6B11">
        <w:rPr>
          <w:color w:val="000000" w:themeColor="text1"/>
        </w:rPr>
        <w:t>employing both direct and indirect measurement protocols</w:t>
      </w:r>
      <w:r w:rsidR="00FC5AC5" w:rsidRPr="008E6B11">
        <w:rPr>
          <w:color w:val="000000" w:themeColor="text1"/>
        </w:rPr>
        <w:t>,</w:t>
      </w:r>
      <w:r w:rsidR="00C2727E" w:rsidRPr="008E6B11">
        <w:rPr>
          <w:color w:val="000000" w:themeColor="text1"/>
        </w:rPr>
        <w:t xml:space="preserve"> </w:t>
      </w:r>
      <w:r w:rsidR="002D36E1" w:rsidRPr="008E6B11">
        <w:rPr>
          <w:color w:val="000000" w:themeColor="text1"/>
        </w:rPr>
        <w:t xml:space="preserve">is warranted. </w:t>
      </w:r>
    </w:p>
    <w:p w:rsidR="00671607" w:rsidRPr="008E6B11" w:rsidRDefault="00EB5063" w:rsidP="008C12A1">
      <w:pPr>
        <w:spacing w:line="480" w:lineRule="auto"/>
        <w:rPr>
          <w:b/>
          <w:i/>
          <w:color w:val="000000" w:themeColor="text1"/>
        </w:rPr>
      </w:pPr>
      <w:r w:rsidRPr="008E6B11">
        <w:rPr>
          <w:b/>
          <w:i/>
          <w:color w:val="000000" w:themeColor="text1"/>
        </w:rPr>
        <w:t xml:space="preserve">1.3 Study </w:t>
      </w:r>
      <w:r w:rsidR="00C568DE" w:rsidRPr="008E6B11">
        <w:rPr>
          <w:b/>
          <w:i/>
          <w:color w:val="000000" w:themeColor="text1"/>
        </w:rPr>
        <w:t>overview and hypotheses</w:t>
      </w:r>
    </w:p>
    <w:p w:rsidR="00A502CA" w:rsidRPr="008E6B11" w:rsidRDefault="00671607" w:rsidP="003C69DB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The current study </w:t>
      </w:r>
      <w:r w:rsidR="00DA026F" w:rsidRPr="008E6B11">
        <w:rPr>
          <w:color w:val="000000" w:themeColor="text1"/>
        </w:rPr>
        <w:t>investigates</w:t>
      </w:r>
      <w:r w:rsidRPr="008E6B11">
        <w:rPr>
          <w:color w:val="000000" w:themeColor="text1"/>
        </w:rPr>
        <w:t xml:space="preserve"> the extent to which </w:t>
      </w:r>
      <w:r w:rsidR="00D901AA" w:rsidRPr="008E6B11">
        <w:rPr>
          <w:color w:val="000000" w:themeColor="text1"/>
        </w:rPr>
        <w:t>MDL, 2D:4D</w:t>
      </w:r>
      <w:r w:rsidR="001F190E" w:rsidRPr="008E6B11">
        <w:rPr>
          <w:color w:val="000000" w:themeColor="text1"/>
        </w:rPr>
        <w:t xml:space="preserve"> digit ratio</w:t>
      </w:r>
      <w:r w:rsidR="007B6729" w:rsidRPr="008E6B11">
        <w:rPr>
          <w:color w:val="000000" w:themeColor="text1"/>
        </w:rPr>
        <w:t xml:space="preserve">, </w:t>
      </w:r>
      <w:r w:rsidR="00D901AA" w:rsidRPr="008E6B11">
        <w:rPr>
          <w:color w:val="000000" w:themeColor="text1"/>
        </w:rPr>
        <w:t>DA</w:t>
      </w:r>
      <w:r w:rsidR="00DA026F" w:rsidRPr="008E6B11">
        <w:rPr>
          <w:color w:val="000000" w:themeColor="text1"/>
        </w:rPr>
        <w:t>,</w:t>
      </w:r>
      <w:r w:rsidR="00D901AA" w:rsidRPr="008E6B11">
        <w:rPr>
          <w:color w:val="000000" w:themeColor="text1"/>
        </w:rPr>
        <w:t xml:space="preserve"> </w:t>
      </w:r>
      <w:r w:rsidR="007B6729" w:rsidRPr="008E6B11">
        <w:rPr>
          <w:color w:val="000000" w:themeColor="text1"/>
        </w:rPr>
        <w:t xml:space="preserve">and </w:t>
      </w:r>
      <w:r w:rsidR="00D901AA" w:rsidRPr="008E6B11">
        <w:rPr>
          <w:color w:val="000000" w:themeColor="text1"/>
        </w:rPr>
        <w:t xml:space="preserve">FA </w:t>
      </w:r>
      <w:r w:rsidR="00C167CF" w:rsidRPr="008E6B11">
        <w:rPr>
          <w:color w:val="000000" w:themeColor="text1"/>
        </w:rPr>
        <w:t>scores</w:t>
      </w:r>
      <w:r w:rsidRPr="008E6B11">
        <w:rPr>
          <w:color w:val="000000" w:themeColor="text1"/>
        </w:rPr>
        <w:t xml:space="preserve"> </w:t>
      </w:r>
      <w:r w:rsidR="00773E0B" w:rsidRPr="008E6B11">
        <w:rPr>
          <w:color w:val="000000" w:themeColor="text1"/>
        </w:rPr>
        <w:t>correlate</w:t>
      </w:r>
      <w:r w:rsidRPr="008E6B11">
        <w:rPr>
          <w:color w:val="000000" w:themeColor="text1"/>
        </w:rPr>
        <w:t xml:space="preserve"> with </w:t>
      </w:r>
      <w:r w:rsidRPr="008E6B11">
        <w:rPr>
          <w:i/>
          <w:color w:val="000000" w:themeColor="text1"/>
        </w:rPr>
        <w:t>speci</w:t>
      </w:r>
      <w:r w:rsidR="00592897" w:rsidRPr="008E6B11">
        <w:rPr>
          <w:i/>
          <w:color w:val="000000" w:themeColor="text1"/>
        </w:rPr>
        <w:t>fic</w:t>
      </w:r>
      <w:r w:rsidR="00592897" w:rsidRPr="008E6B11">
        <w:rPr>
          <w:color w:val="000000" w:themeColor="text1"/>
        </w:rPr>
        <w:t xml:space="preserve"> belief</w:t>
      </w:r>
      <w:r w:rsidR="00773E0B" w:rsidRPr="008E6B11">
        <w:rPr>
          <w:color w:val="000000" w:themeColor="text1"/>
        </w:rPr>
        <w:t>s</w:t>
      </w:r>
      <w:r w:rsidR="00592897" w:rsidRPr="008E6B11">
        <w:rPr>
          <w:color w:val="000000" w:themeColor="text1"/>
        </w:rPr>
        <w:t xml:space="preserve"> in </w:t>
      </w:r>
      <w:r w:rsidR="00E25036" w:rsidRPr="008E6B11">
        <w:rPr>
          <w:color w:val="000000" w:themeColor="text1"/>
        </w:rPr>
        <w:t xml:space="preserve">three </w:t>
      </w:r>
      <w:r w:rsidR="0070760D" w:rsidRPr="008E6B11">
        <w:rPr>
          <w:color w:val="000000" w:themeColor="text1"/>
        </w:rPr>
        <w:t>“</w:t>
      </w:r>
      <w:r w:rsidR="00E25036" w:rsidRPr="008E6B11">
        <w:rPr>
          <w:color w:val="000000" w:themeColor="text1"/>
        </w:rPr>
        <w:t>core</w:t>
      </w:r>
      <w:r w:rsidR="0070760D" w:rsidRPr="008E6B11">
        <w:rPr>
          <w:color w:val="000000" w:themeColor="text1"/>
        </w:rPr>
        <w:t>”</w:t>
      </w:r>
      <w:r w:rsidR="00E25036" w:rsidRPr="008E6B11">
        <w:rPr>
          <w:color w:val="000000" w:themeColor="text1"/>
        </w:rPr>
        <w:t xml:space="preserve"> paranormal concepts namely </w:t>
      </w:r>
      <w:r w:rsidR="001F190E" w:rsidRPr="008E6B11">
        <w:rPr>
          <w:color w:val="000000" w:themeColor="text1"/>
        </w:rPr>
        <w:t>extrasensory perception (</w:t>
      </w:r>
      <w:r w:rsidR="00592897" w:rsidRPr="008E6B11">
        <w:rPr>
          <w:color w:val="000000" w:themeColor="text1"/>
        </w:rPr>
        <w:t>ESP</w:t>
      </w:r>
      <w:r w:rsidR="001F190E" w:rsidRPr="008E6B11">
        <w:rPr>
          <w:color w:val="000000" w:themeColor="text1"/>
        </w:rPr>
        <w:t>), psychokinesis (</w:t>
      </w:r>
      <w:r w:rsidR="00592897" w:rsidRPr="008E6B11">
        <w:rPr>
          <w:color w:val="000000" w:themeColor="text1"/>
        </w:rPr>
        <w:t>PK</w:t>
      </w:r>
      <w:r w:rsidR="001F190E" w:rsidRPr="008E6B11">
        <w:rPr>
          <w:color w:val="000000" w:themeColor="text1"/>
        </w:rPr>
        <w:t>)</w:t>
      </w:r>
      <w:r w:rsidR="00592897" w:rsidRPr="008E6B11">
        <w:rPr>
          <w:color w:val="000000" w:themeColor="text1"/>
        </w:rPr>
        <w:t xml:space="preserve"> and </w:t>
      </w:r>
      <w:r w:rsidR="001F190E" w:rsidRPr="008E6B11">
        <w:rPr>
          <w:color w:val="000000" w:themeColor="text1"/>
        </w:rPr>
        <w:t>life after death (</w:t>
      </w:r>
      <w:r w:rsidR="00592897" w:rsidRPr="008E6B11">
        <w:rPr>
          <w:color w:val="000000" w:themeColor="text1"/>
        </w:rPr>
        <w:t>LAD</w:t>
      </w:r>
      <w:r w:rsidR="001F190E" w:rsidRPr="008E6B11">
        <w:rPr>
          <w:color w:val="000000" w:themeColor="text1"/>
        </w:rPr>
        <w:t>)</w:t>
      </w:r>
      <w:r w:rsidR="00D901AA" w:rsidRPr="008E6B11">
        <w:rPr>
          <w:color w:val="000000" w:themeColor="text1"/>
        </w:rPr>
        <w:t xml:space="preserve">. </w:t>
      </w:r>
      <w:r w:rsidR="00DA026F" w:rsidRPr="008E6B11">
        <w:rPr>
          <w:color w:val="000000" w:themeColor="text1"/>
        </w:rPr>
        <w:t>P</w:t>
      </w:r>
      <w:r w:rsidR="00A502CA" w:rsidRPr="008E6B11">
        <w:rPr>
          <w:color w:val="000000" w:themeColor="text1"/>
        </w:rPr>
        <w:t xml:space="preserve">articipants’ self-reported </w:t>
      </w:r>
      <w:r w:rsidR="00ED3614" w:rsidRPr="008E6B11">
        <w:rPr>
          <w:color w:val="000000" w:themeColor="text1"/>
        </w:rPr>
        <w:t>(“</w:t>
      </w:r>
      <w:r w:rsidR="00D313C4" w:rsidRPr="008E6B11">
        <w:rPr>
          <w:color w:val="000000" w:themeColor="text1"/>
        </w:rPr>
        <w:t>direct</w:t>
      </w:r>
      <w:r w:rsidR="00CB09AB" w:rsidRPr="008E6B11">
        <w:rPr>
          <w:color w:val="000000" w:themeColor="text1"/>
        </w:rPr>
        <w:t xml:space="preserve"> self-based</w:t>
      </w:r>
      <w:r w:rsidR="00ED3614" w:rsidRPr="008E6B11">
        <w:rPr>
          <w:color w:val="000000" w:themeColor="text1"/>
        </w:rPr>
        <w:t xml:space="preserve">”) </w:t>
      </w:r>
      <w:r w:rsidR="000F25E9" w:rsidRPr="008E6B11">
        <w:rPr>
          <w:color w:val="000000" w:themeColor="text1"/>
        </w:rPr>
        <w:t xml:space="preserve">digit lengths plus digit lengths </w:t>
      </w:r>
      <w:r w:rsidR="00A502CA" w:rsidRPr="008E6B11">
        <w:rPr>
          <w:color w:val="000000" w:themeColor="text1"/>
        </w:rPr>
        <w:t xml:space="preserve">derived from </w:t>
      </w:r>
      <w:r w:rsidR="00ED3614" w:rsidRPr="008E6B11">
        <w:rPr>
          <w:color w:val="000000" w:themeColor="text1"/>
        </w:rPr>
        <w:t xml:space="preserve">hand photocopies and assessed by </w:t>
      </w:r>
      <w:r w:rsidR="00A502CA" w:rsidRPr="008E6B11">
        <w:rPr>
          <w:color w:val="000000" w:themeColor="text1"/>
        </w:rPr>
        <w:t xml:space="preserve">two independent </w:t>
      </w:r>
      <w:r w:rsidR="00310FBC" w:rsidRPr="008E6B11">
        <w:rPr>
          <w:color w:val="000000" w:themeColor="text1"/>
        </w:rPr>
        <w:t>and trained judges</w:t>
      </w:r>
      <w:r w:rsidR="00A502CA" w:rsidRPr="008E6B11">
        <w:rPr>
          <w:color w:val="000000" w:themeColor="text1"/>
        </w:rPr>
        <w:t xml:space="preserve"> </w:t>
      </w:r>
      <w:r w:rsidR="00ED3614" w:rsidRPr="008E6B11">
        <w:rPr>
          <w:color w:val="000000" w:themeColor="text1"/>
        </w:rPr>
        <w:t>(</w:t>
      </w:r>
      <w:r w:rsidR="00A502CA" w:rsidRPr="008E6B11">
        <w:rPr>
          <w:color w:val="000000" w:themeColor="text1"/>
        </w:rPr>
        <w:t>“</w:t>
      </w:r>
      <w:r w:rsidR="00CB09AB" w:rsidRPr="008E6B11">
        <w:rPr>
          <w:color w:val="000000" w:themeColor="text1"/>
        </w:rPr>
        <w:t>indirect rater</w:t>
      </w:r>
      <w:r w:rsidR="00A502CA" w:rsidRPr="008E6B11">
        <w:rPr>
          <w:color w:val="000000" w:themeColor="text1"/>
        </w:rPr>
        <w:t>-based”</w:t>
      </w:r>
      <w:r w:rsidR="00ED3614" w:rsidRPr="008E6B11">
        <w:rPr>
          <w:color w:val="000000" w:themeColor="text1"/>
        </w:rPr>
        <w:t>)</w:t>
      </w:r>
      <w:r w:rsidR="00A502CA" w:rsidRPr="008E6B11">
        <w:rPr>
          <w:color w:val="000000" w:themeColor="text1"/>
        </w:rPr>
        <w:t xml:space="preserve"> are included. </w:t>
      </w:r>
      <w:r w:rsidR="003C69DB" w:rsidRPr="008E6B11">
        <w:rPr>
          <w:color w:val="000000" w:themeColor="text1"/>
        </w:rPr>
        <w:t>In general</w:t>
      </w:r>
      <w:r w:rsidR="00310FBC" w:rsidRPr="008E6B11">
        <w:rPr>
          <w:color w:val="000000" w:themeColor="text1"/>
        </w:rPr>
        <w:t xml:space="preserve"> digit-related measures </w:t>
      </w:r>
      <w:r w:rsidR="003C69DB" w:rsidRPr="008E6B11">
        <w:rPr>
          <w:color w:val="000000" w:themeColor="text1"/>
        </w:rPr>
        <w:t>indicative of greater femininity</w:t>
      </w:r>
      <w:r w:rsidR="00310FBC" w:rsidRPr="008E6B11">
        <w:rPr>
          <w:color w:val="000000" w:themeColor="text1"/>
        </w:rPr>
        <w:t xml:space="preserve"> - hence less prenatal testosterone - should</w:t>
      </w:r>
      <w:r w:rsidR="003C69DB" w:rsidRPr="008E6B11">
        <w:rPr>
          <w:color w:val="000000" w:themeColor="text1"/>
        </w:rPr>
        <w:t xml:space="preserve"> correlate positively with</w:t>
      </w:r>
      <w:r w:rsidR="00A502CA" w:rsidRPr="008E6B11">
        <w:rPr>
          <w:color w:val="000000" w:themeColor="text1"/>
        </w:rPr>
        <w:t xml:space="preserve"> all types of paranormal belief. </w:t>
      </w:r>
      <w:r w:rsidR="00335373" w:rsidRPr="008E6B11">
        <w:rPr>
          <w:color w:val="000000" w:themeColor="text1"/>
        </w:rPr>
        <w:t xml:space="preserve">As such, </w:t>
      </w:r>
      <w:r w:rsidR="003C69DB" w:rsidRPr="008E6B11">
        <w:rPr>
          <w:color w:val="000000" w:themeColor="text1"/>
        </w:rPr>
        <w:t xml:space="preserve">the following hypotheses are </w:t>
      </w:r>
      <w:r w:rsidR="005D522A" w:rsidRPr="008E6B11">
        <w:rPr>
          <w:color w:val="000000" w:themeColor="text1"/>
        </w:rPr>
        <w:t>proposed</w:t>
      </w:r>
      <w:r w:rsidR="003C69DB" w:rsidRPr="008E6B11">
        <w:rPr>
          <w:color w:val="000000" w:themeColor="text1"/>
        </w:rPr>
        <w:t>.</w:t>
      </w:r>
      <w:r w:rsidR="00A502CA" w:rsidRPr="008E6B11">
        <w:rPr>
          <w:color w:val="000000" w:themeColor="text1"/>
        </w:rPr>
        <w:t xml:space="preserve"> </w:t>
      </w:r>
    </w:p>
    <w:p w:rsidR="00310FBC" w:rsidRPr="008E6B11" w:rsidRDefault="003C69DB" w:rsidP="003C69DB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>First, female</w:t>
      </w:r>
      <w:r w:rsidR="000808B3" w:rsidRPr="008E6B11">
        <w:rPr>
          <w:color w:val="000000" w:themeColor="text1"/>
        </w:rPr>
        <w:t xml:space="preserve">s </w:t>
      </w:r>
      <w:r w:rsidRPr="008E6B11">
        <w:rPr>
          <w:color w:val="000000" w:themeColor="text1"/>
        </w:rPr>
        <w:t>will report stronger beliefs in ESP, PK</w:t>
      </w:r>
      <w:r w:rsidR="00DA026F" w:rsidRPr="008E6B11">
        <w:rPr>
          <w:color w:val="000000" w:themeColor="text1"/>
        </w:rPr>
        <w:t>,</w:t>
      </w:r>
      <w:r w:rsidRPr="008E6B11">
        <w:rPr>
          <w:color w:val="000000" w:themeColor="text1"/>
        </w:rPr>
        <w:t xml:space="preserve"> and LAD than male</w:t>
      </w:r>
      <w:r w:rsidR="000808B3" w:rsidRPr="008E6B11">
        <w:rPr>
          <w:color w:val="000000" w:themeColor="text1"/>
        </w:rPr>
        <w:t>s</w:t>
      </w:r>
      <w:r w:rsidRPr="008E6B11">
        <w:rPr>
          <w:color w:val="000000" w:themeColor="text1"/>
        </w:rPr>
        <w:t xml:space="preserve"> (H01). Second, females will present </w:t>
      </w:r>
      <w:r w:rsidR="00EC6A69" w:rsidRPr="008E6B11">
        <w:rPr>
          <w:color w:val="000000" w:themeColor="text1"/>
        </w:rPr>
        <w:t xml:space="preserve">shorter </w:t>
      </w:r>
      <w:r w:rsidR="000808B3" w:rsidRPr="008E6B11">
        <w:rPr>
          <w:color w:val="000000" w:themeColor="text1"/>
        </w:rPr>
        <w:t>MDL</w:t>
      </w:r>
      <w:r w:rsidR="00EC6A69" w:rsidRPr="008E6B11">
        <w:rPr>
          <w:color w:val="000000" w:themeColor="text1"/>
        </w:rPr>
        <w:t xml:space="preserve">, </w:t>
      </w:r>
      <w:r w:rsidRPr="008E6B11">
        <w:rPr>
          <w:color w:val="000000" w:themeColor="text1"/>
        </w:rPr>
        <w:t>larger</w:t>
      </w:r>
      <w:r w:rsidR="0072041D" w:rsidRPr="008E6B11">
        <w:rPr>
          <w:color w:val="000000" w:themeColor="text1"/>
        </w:rPr>
        <w:t xml:space="preserve"> (</w:t>
      </w:r>
      <w:r w:rsidRPr="008E6B11">
        <w:rPr>
          <w:color w:val="000000" w:themeColor="text1"/>
        </w:rPr>
        <w:t>more feminized</w:t>
      </w:r>
      <w:r w:rsidR="0072041D" w:rsidRPr="008E6B11">
        <w:rPr>
          <w:color w:val="000000" w:themeColor="text1"/>
        </w:rPr>
        <w:t>)</w:t>
      </w:r>
      <w:r w:rsidRPr="008E6B11">
        <w:rPr>
          <w:color w:val="000000" w:themeColor="text1"/>
        </w:rPr>
        <w:t xml:space="preserve"> </w:t>
      </w:r>
      <w:r w:rsidR="004950D7" w:rsidRPr="008E6B11">
        <w:rPr>
          <w:color w:val="000000" w:themeColor="text1"/>
        </w:rPr>
        <w:t xml:space="preserve">2D:4D </w:t>
      </w:r>
      <w:r w:rsidRPr="008E6B11">
        <w:rPr>
          <w:color w:val="000000" w:themeColor="text1"/>
        </w:rPr>
        <w:t xml:space="preserve">digit ratios, </w:t>
      </w:r>
      <w:r w:rsidR="004950D7" w:rsidRPr="008E6B11">
        <w:rPr>
          <w:color w:val="000000" w:themeColor="text1"/>
        </w:rPr>
        <w:t>larger (</w:t>
      </w:r>
      <w:r w:rsidR="001A56DC" w:rsidRPr="008E6B11">
        <w:rPr>
          <w:color w:val="000000" w:themeColor="text1"/>
        </w:rPr>
        <w:t>more</w:t>
      </w:r>
      <w:r w:rsidR="00943866" w:rsidRPr="008E6B11">
        <w:rPr>
          <w:color w:val="000000" w:themeColor="text1"/>
        </w:rPr>
        <w:t xml:space="preserve"> </w:t>
      </w:r>
      <w:r w:rsidR="002E6801" w:rsidRPr="008E6B11">
        <w:rPr>
          <w:color w:val="000000" w:themeColor="text1"/>
        </w:rPr>
        <w:t>rightward biased</w:t>
      </w:r>
      <w:r w:rsidR="00310FBC" w:rsidRPr="008E6B11">
        <w:rPr>
          <w:color w:val="000000" w:themeColor="text1"/>
        </w:rPr>
        <w:t>)</w:t>
      </w:r>
      <w:r w:rsidR="002E6801" w:rsidRPr="008E6B11">
        <w:rPr>
          <w:color w:val="000000" w:themeColor="text1"/>
        </w:rPr>
        <w:t xml:space="preserve"> DA</w:t>
      </w:r>
      <w:r w:rsidR="00400997" w:rsidRPr="008E6B11">
        <w:rPr>
          <w:color w:val="000000" w:themeColor="text1"/>
        </w:rPr>
        <w:t xml:space="preserve"> </w:t>
      </w:r>
      <w:r w:rsidR="002E6801" w:rsidRPr="008E6B11">
        <w:rPr>
          <w:color w:val="000000" w:themeColor="text1"/>
        </w:rPr>
        <w:t xml:space="preserve">and </w:t>
      </w:r>
      <w:r w:rsidR="00400997" w:rsidRPr="008E6B11">
        <w:rPr>
          <w:color w:val="000000" w:themeColor="text1"/>
        </w:rPr>
        <w:t xml:space="preserve">more </w:t>
      </w:r>
      <w:r w:rsidR="00310FBC" w:rsidRPr="008E6B11">
        <w:rPr>
          <w:color w:val="000000" w:themeColor="text1"/>
        </w:rPr>
        <w:t>FA</w:t>
      </w:r>
      <w:r w:rsidR="005D522A" w:rsidRPr="008E6B11">
        <w:rPr>
          <w:color w:val="000000" w:themeColor="text1"/>
        </w:rPr>
        <w:t xml:space="preserve"> </w:t>
      </w:r>
      <w:r w:rsidR="008C70F9" w:rsidRPr="008E6B11">
        <w:rPr>
          <w:color w:val="000000" w:themeColor="text1"/>
        </w:rPr>
        <w:t>than males (H02 to H0</w:t>
      </w:r>
      <w:r w:rsidR="000F25E9" w:rsidRPr="008E6B11">
        <w:rPr>
          <w:color w:val="000000" w:themeColor="text1"/>
        </w:rPr>
        <w:t>5</w:t>
      </w:r>
      <w:r w:rsidR="008C70F9" w:rsidRPr="008E6B11">
        <w:rPr>
          <w:color w:val="000000" w:themeColor="text1"/>
        </w:rPr>
        <w:t xml:space="preserve"> respectively)</w:t>
      </w:r>
      <w:r w:rsidR="000E7178" w:rsidRPr="008E6B11">
        <w:rPr>
          <w:color w:val="000000" w:themeColor="text1"/>
        </w:rPr>
        <w:t xml:space="preserve">. </w:t>
      </w:r>
      <w:r w:rsidR="0086780C" w:rsidRPr="008E6B11">
        <w:rPr>
          <w:color w:val="000000" w:themeColor="text1"/>
        </w:rPr>
        <w:t xml:space="preserve">Third, </w:t>
      </w:r>
      <w:r w:rsidR="00310FBC" w:rsidRPr="008E6B11">
        <w:rPr>
          <w:color w:val="000000" w:themeColor="text1"/>
        </w:rPr>
        <w:t>females</w:t>
      </w:r>
      <w:r w:rsidR="0086780C" w:rsidRPr="008E6B11">
        <w:rPr>
          <w:color w:val="000000" w:themeColor="text1"/>
        </w:rPr>
        <w:t xml:space="preserve"> </w:t>
      </w:r>
      <w:r w:rsidRPr="008E6B11">
        <w:rPr>
          <w:color w:val="000000" w:themeColor="text1"/>
        </w:rPr>
        <w:t xml:space="preserve">with </w:t>
      </w:r>
      <w:r w:rsidR="008C70F9" w:rsidRPr="008E6B11">
        <w:rPr>
          <w:color w:val="000000" w:themeColor="text1"/>
        </w:rPr>
        <w:t xml:space="preserve">shorter </w:t>
      </w:r>
      <w:r w:rsidR="002E6801" w:rsidRPr="008E6B11">
        <w:rPr>
          <w:color w:val="000000" w:themeColor="text1"/>
        </w:rPr>
        <w:t>MDL</w:t>
      </w:r>
      <w:r w:rsidR="008C70F9" w:rsidRPr="008E6B11">
        <w:rPr>
          <w:color w:val="000000" w:themeColor="text1"/>
        </w:rPr>
        <w:t xml:space="preserve">, </w:t>
      </w:r>
      <w:r w:rsidRPr="008E6B11">
        <w:rPr>
          <w:color w:val="000000" w:themeColor="text1"/>
        </w:rPr>
        <w:t xml:space="preserve">larger </w:t>
      </w:r>
      <w:r w:rsidR="002E6801" w:rsidRPr="008E6B11">
        <w:rPr>
          <w:color w:val="000000" w:themeColor="text1"/>
        </w:rPr>
        <w:t>2D:4D</w:t>
      </w:r>
      <w:r w:rsidRPr="008E6B11">
        <w:rPr>
          <w:color w:val="000000" w:themeColor="text1"/>
        </w:rPr>
        <w:t>,</w:t>
      </w:r>
      <w:r w:rsidR="008C70F9" w:rsidRPr="008E6B11">
        <w:rPr>
          <w:color w:val="000000" w:themeColor="text1"/>
        </w:rPr>
        <w:t xml:space="preserve"> larger</w:t>
      </w:r>
      <w:r w:rsidRPr="008E6B11">
        <w:rPr>
          <w:color w:val="000000" w:themeColor="text1"/>
        </w:rPr>
        <w:t xml:space="preserve"> </w:t>
      </w:r>
      <w:r w:rsidR="002E6801" w:rsidRPr="008E6B11">
        <w:rPr>
          <w:color w:val="000000" w:themeColor="text1"/>
        </w:rPr>
        <w:t>DA</w:t>
      </w:r>
      <w:r w:rsidR="00FC6CFD" w:rsidRPr="008E6B11">
        <w:rPr>
          <w:color w:val="000000" w:themeColor="text1"/>
        </w:rPr>
        <w:t>,</w:t>
      </w:r>
      <w:r w:rsidR="002E6801" w:rsidRPr="008E6B11">
        <w:rPr>
          <w:color w:val="000000" w:themeColor="text1"/>
        </w:rPr>
        <w:t xml:space="preserve"> </w:t>
      </w:r>
      <w:r w:rsidR="008C70F9" w:rsidRPr="008E6B11">
        <w:rPr>
          <w:color w:val="000000" w:themeColor="text1"/>
        </w:rPr>
        <w:t xml:space="preserve">and </w:t>
      </w:r>
      <w:r w:rsidR="002E6801" w:rsidRPr="008E6B11">
        <w:rPr>
          <w:color w:val="000000" w:themeColor="text1"/>
        </w:rPr>
        <w:t>larger FA</w:t>
      </w:r>
      <w:r w:rsidR="008C70F9" w:rsidRPr="008E6B11">
        <w:rPr>
          <w:color w:val="000000" w:themeColor="text1"/>
        </w:rPr>
        <w:t xml:space="preserve"> </w:t>
      </w:r>
      <w:r w:rsidR="002E6801" w:rsidRPr="008E6B11">
        <w:rPr>
          <w:color w:val="000000" w:themeColor="text1"/>
        </w:rPr>
        <w:t xml:space="preserve">scores </w:t>
      </w:r>
      <w:r w:rsidRPr="008E6B11">
        <w:rPr>
          <w:color w:val="000000" w:themeColor="text1"/>
        </w:rPr>
        <w:t>will have stronger beliefs in ESP, PK</w:t>
      </w:r>
      <w:r w:rsidR="00DA026F" w:rsidRPr="008E6B11">
        <w:rPr>
          <w:color w:val="000000" w:themeColor="text1"/>
        </w:rPr>
        <w:t>,</w:t>
      </w:r>
      <w:r w:rsidRPr="008E6B11">
        <w:rPr>
          <w:color w:val="000000" w:themeColor="text1"/>
        </w:rPr>
        <w:t xml:space="preserve"> and LAD (H0</w:t>
      </w:r>
      <w:r w:rsidR="000F25E9" w:rsidRPr="008E6B11">
        <w:rPr>
          <w:color w:val="000000" w:themeColor="text1"/>
        </w:rPr>
        <w:t>6</w:t>
      </w:r>
      <w:r w:rsidRPr="008E6B11">
        <w:rPr>
          <w:color w:val="000000" w:themeColor="text1"/>
        </w:rPr>
        <w:t xml:space="preserve"> to H0</w:t>
      </w:r>
      <w:r w:rsidR="000F25E9" w:rsidRPr="008E6B11">
        <w:rPr>
          <w:color w:val="000000" w:themeColor="text1"/>
        </w:rPr>
        <w:t>9</w:t>
      </w:r>
      <w:r w:rsidR="0086780C" w:rsidRPr="008E6B11">
        <w:rPr>
          <w:color w:val="000000" w:themeColor="text1"/>
        </w:rPr>
        <w:t xml:space="preserve"> respectively)</w:t>
      </w:r>
      <w:r w:rsidR="00310FBC" w:rsidRPr="008E6B11">
        <w:rPr>
          <w:color w:val="000000" w:themeColor="text1"/>
        </w:rPr>
        <w:t xml:space="preserve"> with fourth, parallel associations less pronounced for male participants </w:t>
      </w:r>
      <w:r w:rsidRPr="008E6B11">
        <w:rPr>
          <w:color w:val="000000" w:themeColor="text1"/>
        </w:rPr>
        <w:t>(H1</w:t>
      </w:r>
      <w:r w:rsidR="000F25E9" w:rsidRPr="008E6B11">
        <w:rPr>
          <w:color w:val="000000" w:themeColor="text1"/>
        </w:rPr>
        <w:t>0</w:t>
      </w:r>
      <w:r w:rsidRPr="008E6B11">
        <w:rPr>
          <w:color w:val="000000" w:themeColor="text1"/>
        </w:rPr>
        <w:t xml:space="preserve"> to H1</w:t>
      </w:r>
      <w:r w:rsidR="000F25E9" w:rsidRPr="008E6B11">
        <w:rPr>
          <w:color w:val="000000" w:themeColor="text1"/>
        </w:rPr>
        <w:t>3</w:t>
      </w:r>
      <w:r w:rsidRPr="008E6B11">
        <w:rPr>
          <w:color w:val="000000" w:themeColor="text1"/>
        </w:rPr>
        <w:t xml:space="preserve"> respectively).</w:t>
      </w:r>
      <w:r w:rsidR="00C13149" w:rsidRPr="008E6B11">
        <w:rPr>
          <w:color w:val="000000" w:themeColor="text1"/>
        </w:rPr>
        <w:t xml:space="preserve"> </w:t>
      </w:r>
      <w:r w:rsidR="00310FBC" w:rsidRPr="008E6B11">
        <w:rPr>
          <w:color w:val="000000" w:themeColor="text1"/>
        </w:rPr>
        <w:t>Fifth</w:t>
      </w:r>
      <w:r w:rsidR="001A56DC" w:rsidRPr="008E6B11">
        <w:rPr>
          <w:color w:val="000000" w:themeColor="text1"/>
        </w:rPr>
        <w:t xml:space="preserve">, the above differences and trends should be </w:t>
      </w:r>
      <w:r w:rsidR="00FC7E8D" w:rsidRPr="008E6B11">
        <w:rPr>
          <w:color w:val="000000" w:themeColor="text1"/>
        </w:rPr>
        <w:t>equally</w:t>
      </w:r>
      <w:r w:rsidR="001A56DC" w:rsidRPr="008E6B11">
        <w:rPr>
          <w:color w:val="000000" w:themeColor="text1"/>
        </w:rPr>
        <w:t xml:space="preserve"> </w:t>
      </w:r>
      <w:r w:rsidR="00310FBC" w:rsidRPr="008E6B11">
        <w:rPr>
          <w:color w:val="000000" w:themeColor="text1"/>
        </w:rPr>
        <w:t>strong</w:t>
      </w:r>
      <w:r w:rsidR="001A56DC" w:rsidRPr="008E6B11">
        <w:rPr>
          <w:color w:val="000000" w:themeColor="text1"/>
        </w:rPr>
        <w:t xml:space="preserve"> </w:t>
      </w:r>
      <w:r w:rsidR="001A2314" w:rsidRPr="008E6B11">
        <w:rPr>
          <w:color w:val="000000" w:themeColor="text1"/>
        </w:rPr>
        <w:t xml:space="preserve">for </w:t>
      </w:r>
      <w:r w:rsidR="001A56DC" w:rsidRPr="008E6B11">
        <w:rPr>
          <w:color w:val="000000" w:themeColor="text1"/>
        </w:rPr>
        <w:t>ESP</w:t>
      </w:r>
      <w:r w:rsidR="00CD4156" w:rsidRPr="008E6B11">
        <w:rPr>
          <w:color w:val="000000" w:themeColor="text1"/>
        </w:rPr>
        <w:t>,</w:t>
      </w:r>
      <w:r w:rsidR="001A56DC" w:rsidRPr="008E6B11">
        <w:rPr>
          <w:color w:val="000000" w:themeColor="text1"/>
        </w:rPr>
        <w:t xml:space="preserve"> PK</w:t>
      </w:r>
      <w:r w:rsidR="00DA026F" w:rsidRPr="008E6B11">
        <w:rPr>
          <w:color w:val="000000" w:themeColor="text1"/>
        </w:rPr>
        <w:t>,</w:t>
      </w:r>
      <w:r w:rsidR="001A56DC" w:rsidRPr="008E6B11">
        <w:rPr>
          <w:color w:val="000000" w:themeColor="text1"/>
        </w:rPr>
        <w:t xml:space="preserve"> and LAD</w:t>
      </w:r>
      <w:r w:rsidR="001A2314" w:rsidRPr="008E6B11">
        <w:rPr>
          <w:color w:val="000000" w:themeColor="text1"/>
        </w:rPr>
        <w:t xml:space="preserve"> </w:t>
      </w:r>
      <w:r w:rsidR="000808B3" w:rsidRPr="008E6B11">
        <w:rPr>
          <w:color w:val="000000" w:themeColor="text1"/>
        </w:rPr>
        <w:t xml:space="preserve">beliefs </w:t>
      </w:r>
      <w:r w:rsidR="001A2314" w:rsidRPr="008E6B11">
        <w:rPr>
          <w:color w:val="000000" w:themeColor="text1"/>
        </w:rPr>
        <w:t>(H</w:t>
      </w:r>
      <w:r w:rsidR="003D189F" w:rsidRPr="008E6B11">
        <w:rPr>
          <w:color w:val="000000" w:themeColor="text1"/>
        </w:rPr>
        <w:t>1</w:t>
      </w:r>
      <w:r w:rsidR="000F25E9" w:rsidRPr="008E6B11">
        <w:rPr>
          <w:color w:val="000000" w:themeColor="text1"/>
        </w:rPr>
        <w:t>4</w:t>
      </w:r>
      <w:r w:rsidR="001A56DC" w:rsidRPr="008E6B11">
        <w:rPr>
          <w:color w:val="000000" w:themeColor="text1"/>
        </w:rPr>
        <w:t>)</w:t>
      </w:r>
      <w:r w:rsidR="00310FBC" w:rsidRPr="008E6B11">
        <w:rPr>
          <w:color w:val="000000" w:themeColor="text1"/>
        </w:rPr>
        <w:t xml:space="preserve">. Finally, larger/stronger </w:t>
      </w:r>
      <w:r w:rsidR="005A20A7" w:rsidRPr="008E6B11">
        <w:rPr>
          <w:color w:val="000000" w:themeColor="text1"/>
        </w:rPr>
        <w:t xml:space="preserve">relationships will be found for </w:t>
      </w:r>
      <w:r w:rsidR="00D313C4" w:rsidRPr="008E6B11">
        <w:rPr>
          <w:color w:val="000000" w:themeColor="text1"/>
        </w:rPr>
        <w:t>direct</w:t>
      </w:r>
      <w:r w:rsidR="00CB09AB" w:rsidRPr="008E6B11">
        <w:rPr>
          <w:color w:val="000000" w:themeColor="text1"/>
        </w:rPr>
        <w:t xml:space="preserve"> self-based</w:t>
      </w:r>
      <w:r w:rsidR="005A20A7" w:rsidRPr="008E6B11">
        <w:rPr>
          <w:color w:val="000000" w:themeColor="text1"/>
        </w:rPr>
        <w:t xml:space="preserve"> over </w:t>
      </w:r>
      <w:r w:rsidR="00CB09AB" w:rsidRPr="008E6B11">
        <w:rPr>
          <w:color w:val="000000" w:themeColor="text1"/>
        </w:rPr>
        <w:t>indirect rater</w:t>
      </w:r>
      <w:r w:rsidR="005A20A7" w:rsidRPr="008E6B11">
        <w:rPr>
          <w:color w:val="000000" w:themeColor="text1"/>
        </w:rPr>
        <w:t>-based measures (H15)</w:t>
      </w:r>
      <w:r w:rsidR="0056283F" w:rsidRPr="008E6B11">
        <w:rPr>
          <w:color w:val="000000" w:themeColor="text1"/>
        </w:rPr>
        <w:t>.</w:t>
      </w:r>
    </w:p>
    <w:p w:rsidR="00F61FD5" w:rsidRPr="008E6B11" w:rsidRDefault="00A57AB5">
      <w:pPr>
        <w:pStyle w:val="BodyText"/>
        <w:spacing w:line="480" w:lineRule="auto"/>
        <w:rPr>
          <w:b/>
          <w:color w:val="000000" w:themeColor="text1"/>
          <w:szCs w:val="24"/>
        </w:rPr>
      </w:pPr>
      <w:r w:rsidRPr="008E6B11">
        <w:rPr>
          <w:b/>
          <w:color w:val="000000" w:themeColor="text1"/>
          <w:szCs w:val="24"/>
        </w:rPr>
        <w:t xml:space="preserve">2 </w:t>
      </w:r>
      <w:r w:rsidR="003C69DB" w:rsidRPr="008E6B11">
        <w:rPr>
          <w:b/>
          <w:color w:val="000000" w:themeColor="text1"/>
          <w:szCs w:val="24"/>
        </w:rPr>
        <w:t>Method</w:t>
      </w:r>
    </w:p>
    <w:p w:rsidR="003C69DB" w:rsidRPr="008E6B11" w:rsidRDefault="00EB5063" w:rsidP="003C69DB">
      <w:pPr>
        <w:pStyle w:val="BodyText"/>
        <w:spacing w:line="480" w:lineRule="auto"/>
        <w:rPr>
          <w:b/>
          <w:i/>
          <w:color w:val="000000" w:themeColor="text1"/>
          <w:szCs w:val="24"/>
        </w:rPr>
      </w:pPr>
      <w:r w:rsidRPr="008E6B11">
        <w:rPr>
          <w:b/>
          <w:i/>
          <w:color w:val="000000" w:themeColor="text1"/>
          <w:szCs w:val="24"/>
        </w:rPr>
        <w:t>2.1 Participants</w:t>
      </w:r>
    </w:p>
    <w:p w:rsidR="003C69DB" w:rsidRPr="008E6B11" w:rsidRDefault="00A57AB5" w:rsidP="003C69DB">
      <w:pPr>
        <w:pStyle w:val="BodyText"/>
        <w:spacing w:line="480" w:lineRule="auto"/>
        <w:ind w:firstLine="284"/>
        <w:rPr>
          <w:color w:val="000000" w:themeColor="text1"/>
          <w:szCs w:val="24"/>
          <w:u w:val="single"/>
        </w:rPr>
      </w:pPr>
      <w:r w:rsidRPr="008E6B11">
        <w:rPr>
          <w:color w:val="000000" w:themeColor="text1"/>
          <w:szCs w:val="24"/>
        </w:rPr>
        <w:t xml:space="preserve">Undergraduate </w:t>
      </w:r>
      <w:r w:rsidR="003C69DB" w:rsidRPr="008E6B11">
        <w:rPr>
          <w:color w:val="000000" w:themeColor="text1"/>
          <w:szCs w:val="24"/>
        </w:rPr>
        <w:t xml:space="preserve">students </w:t>
      </w:r>
      <w:r w:rsidRPr="008E6B11">
        <w:rPr>
          <w:color w:val="000000" w:themeColor="text1"/>
          <w:szCs w:val="24"/>
        </w:rPr>
        <w:t>(</w:t>
      </w:r>
      <w:r w:rsidR="00EB5063" w:rsidRPr="008E6B11">
        <w:rPr>
          <w:i/>
          <w:color w:val="000000" w:themeColor="text1"/>
          <w:szCs w:val="24"/>
        </w:rPr>
        <w:t>N</w:t>
      </w:r>
      <w:r w:rsidR="00C568DE" w:rsidRPr="008E6B11">
        <w:rPr>
          <w:color w:val="000000" w:themeColor="text1"/>
          <w:szCs w:val="24"/>
        </w:rPr>
        <w:t xml:space="preserve"> = </w:t>
      </w:r>
      <w:r w:rsidRPr="008E6B11">
        <w:rPr>
          <w:color w:val="000000" w:themeColor="text1"/>
          <w:szCs w:val="24"/>
        </w:rPr>
        <w:t xml:space="preserve">344) </w:t>
      </w:r>
      <w:r w:rsidR="003C69DB" w:rsidRPr="008E6B11">
        <w:rPr>
          <w:color w:val="000000" w:themeColor="text1"/>
          <w:szCs w:val="24"/>
        </w:rPr>
        <w:t xml:space="preserve">were </w:t>
      </w:r>
      <w:r w:rsidRPr="008E6B11">
        <w:rPr>
          <w:color w:val="000000" w:themeColor="text1"/>
          <w:szCs w:val="24"/>
        </w:rPr>
        <w:t xml:space="preserve">recruited </w:t>
      </w:r>
      <w:r w:rsidR="003C69DB" w:rsidRPr="008E6B11">
        <w:rPr>
          <w:color w:val="000000" w:themeColor="text1"/>
          <w:szCs w:val="24"/>
        </w:rPr>
        <w:t xml:space="preserve">from a large university </w:t>
      </w:r>
      <w:r w:rsidR="00A8625B" w:rsidRPr="008E6B11">
        <w:rPr>
          <w:color w:val="000000" w:themeColor="text1"/>
          <w:szCs w:val="24"/>
        </w:rPr>
        <w:t>i</w:t>
      </w:r>
      <w:r w:rsidR="003C69DB" w:rsidRPr="008E6B11">
        <w:rPr>
          <w:color w:val="000000" w:themeColor="text1"/>
          <w:szCs w:val="24"/>
        </w:rPr>
        <w:t xml:space="preserve">n North-West England. Of these, 275 returned usable </w:t>
      </w:r>
      <w:r w:rsidR="00A8625B" w:rsidRPr="008E6B11">
        <w:rPr>
          <w:color w:val="000000" w:themeColor="text1"/>
          <w:szCs w:val="24"/>
        </w:rPr>
        <w:t>data</w:t>
      </w:r>
      <w:r w:rsidR="003C69DB" w:rsidRPr="008E6B11">
        <w:rPr>
          <w:color w:val="000000" w:themeColor="text1"/>
          <w:szCs w:val="24"/>
        </w:rPr>
        <w:t xml:space="preserve">, a response rate of 79.9%. </w:t>
      </w:r>
      <w:r w:rsidR="00954A0C" w:rsidRPr="008E6B11">
        <w:rPr>
          <w:color w:val="000000" w:themeColor="text1"/>
          <w:szCs w:val="24"/>
        </w:rPr>
        <w:t>Most participants</w:t>
      </w:r>
      <w:r w:rsidR="003C69DB" w:rsidRPr="008E6B11">
        <w:rPr>
          <w:color w:val="000000" w:themeColor="text1"/>
          <w:szCs w:val="24"/>
        </w:rPr>
        <w:t xml:space="preserve"> were female (77.1%) </w:t>
      </w:r>
      <w:r w:rsidR="00954A0C" w:rsidRPr="008E6B11">
        <w:rPr>
          <w:color w:val="000000" w:themeColor="text1"/>
          <w:szCs w:val="24"/>
        </w:rPr>
        <w:t>and</w:t>
      </w:r>
      <w:r w:rsidR="007D3458" w:rsidRPr="008E6B11">
        <w:rPr>
          <w:color w:val="000000" w:themeColor="text1"/>
          <w:szCs w:val="24"/>
        </w:rPr>
        <w:t xml:space="preserve"> </w:t>
      </w:r>
      <w:r w:rsidR="003C69DB" w:rsidRPr="008E6B11">
        <w:rPr>
          <w:color w:val="000000" w:themeColor="text1"/>
          <w:szCs w:val="24"/>
        </w:rPr>
        <w:t>of Caucasian ethnicity (94.9%)</w:t>
      </w:r>
      <w:r w:rsidR="00954A0C" w:rsidRPr="008E6B11">
        <w:rPr>
          <w:color w:val="000000" w:themeColor="text1"/>
          <w:szCs w:val="24"/>
        </w:rPr>
        <w:t>, with age ranging</w:t>
      </w:r>
      <w:r w:rsidR="003C69DB" w:rsidRPr="008E6B11">
        <w:rPr>
          <w:color w:val="000000" w:themeColor="text1"/>
          <w:szCs w:val="24"/>
        </w:rPr>
        <w:t xml:space="preserve"> from 18 to 44 years (</w:t>
      </w:r>
      <w:r w:rsidR="003C69DB" w:rsidRPr="008E6B11">
        <w:rPr>
          <w:i/>
          <w:color w:val="000000" w:themeColor="text1"/>
          <w:szCs w:val="24"/>
        </w:rPr>
        <w:t>M</w:t>
      </w:r>
      <w:r w:rsidR="00C568DE" w:rsidRPr="008E6B11">
        <w:rPr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 xml:space="preserve">19.74 years; </w:t>
      </w:r>
      <w:r w:rsidR="003C69DB" w:rsidRPr="008E6B11">
        <w:rPr>
          <w:i/>
          <w:color w:val="000000" w:themeColor="text1"/>
          <w:szCs w:val="24"/>
        </w:rPr>
        <w:t>SD</w:t>
      </w:r>
      <w:r w:rsidR="00C568DE" w:rsidRPr="008E6B11">
        <w:rPr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>3.65 years).</w:t>
      </w:r>
      <w:r w:rsidR="00954A0C" w:rsidRPr="008E6B11">
        <w:rPr>
          <w:color w:val="000000" w:themeColor="text1"/>
          <w:szCs w:val="24"/>
        </w:rPr>
        <w:t xml:space="preserve"> No other demographic details were collected.</w:t>
      </w:r>
    </w:p>
    <w:p w:rsidR="003C69DB" w:rsidRPr="008E6B11" w:rsidRDefault="00EB5063" w:rsidP="003C69DB">
      <w:pPr>
        <w:pStyle w:val="BodyText"/>
        <w:spacing w:line="480" w:lineRule="auto"/>
        <w:rPr>
          <w:b/>
          <w:color w:val="000000" w:themeColor="text1"/>
          <w:szCs w:val="24"/>
        </w:rPr>
      </w:pPr>
      <w:r w:rsidRPr="008E6B11">
        <w:rPr>
          <w:b/>
          <w:i/>
          <w:color w:val="000000" w:themeColor="text1"/>
          <w:szCs w:val="24"/>
        </w:rPr>
        <w:t xml:space="preserve">2.2 Materials </w:t>
      </w:r>
    </w:p>
    <w:p w:rsidR="00AD7D6A" w:rsidRPr="008E6B11" w:rsidRDefault="00C568DE" w:rsidP="003C69DB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i/>
          <w:color w:val="000000" w:themeColor="text1"/>
          <w:szCs w:val="24"/>
        </w:rPr>
        <w:t xml:space="preserve">2.1.1 </w:t>
      </w:r>
      <w:r w:rsidR="003C69DB" w:rsidRPr="008E6B11">
        <w:rPr>
          <w:i/>
          <w:color w:val="000000" w:themeColor="text1"/>
          <w:szCs w:val="24"/>
        </w:rPr>
        <w:t>Paranormal</w:t>
      </w:r>
      <w:r w:rsidR="003C69DB" w:rsidRPr="008E6B11">
        <w:rPr>
          <w:color w:val="000000" w:themeColor="text1"/>
          <w:szCs w:val="24"/>
        </w:rPr>
        <w:t xml:space="preserve"> </w:t>
      </w:r>
      <w:r w:rsidR="003C69DB" w:rsidRPr="008E6B11">
        <w:rPr>
          <w:i/>
          <w:color w:val="000000" w:themeColor="text1"/>
          <w:szCs w:val="24"/>
        </w:rPr>
        <w:t>Belief:</w:t>
      </w:r>
      <w:r w:rsidR="003C69DB" w:rsidRPr="008E6B11">
        <w:rPr>
          <w:color w:val="000000" w:themeColor="text1"/>
          <w:szCs w:val="24"/>
        </w:rPr>
        <w:t xml:space="preserve"> </w:t>
      </w:r>
      <w:r w:rsidR="007D3458" w:rsidRPr="008E6B11">
        <w:rPr>
          <w:color w:val="000000" w:themeColor="text1"/>
          <w:szCs w:val="24"/>
        </w:rPr>
        <w:t>This</w:t>
      </w:r>
      <w:r w:rsidR="003C69DB" w:rsidRPr="008E6B11">
        <w:rPr>
          <w:color w:val="000000" w:themeColor="text1"/>
          <w:szCs w:val="24"/>
        </w:rPr>
        <w:t xml:space="preserve"> was </w:t>
      </w:r>
      <w:r w:rsidR="007D3458" w:rsidRPr="008E6B11">
        <w:rPr>
          <w:color w:val="000000" w:themeColor="text1"/>
          <w:szCs w:val="24"/>
        </w:rPr>
        <w:t xml:space="preserve">assessed </w:t>
      </w:r>
      <w:r w:rsidR="003C69DB" w:rsidRPr="008E6B11">
        <w:rPr>
          <w:color w:val="000000" w:themeColor="text1"/>
          <w:szCs w:val="24"/>
        </w:rPr>
        <w:t xml:space="preserve">via the </w:t>
      </w:r>
      <w:r w:rsidR="003C69DB" w:rsidRPr="008E6B11">
        <w:rPr>
          <w:i/>
          <w:color w:val="000000" w:themeColor="text1"/>
          <w:szCs w:val="24"/>
        </w:rPr>
        <w:t xml:space="preserve">Australian Sheep-Goat Scale </w:t>
      </w:r>
      <w:r w:rsidR="003C69DB" w:rsidRPr="008E6B11">
        <w:rPr>
          <w:color w:val="000000" w:themeColor="text1"/>
          <w:szCs w:val="24"/>
        </w:rPr>
        <w:t>(ASGS: Thalbourne &amp; Delin, 1993)</w:t>
      </w:r>
      <w:r w:rsidR="00AD7D6A" w:rsidRPr="008E6B11">
        <w:rPr>
          <w:color w:val="000000" w:themeColor="text1"/>
          <w:szCs w:val="24"/>
        </w:rPr>
        <w:t xml:space="preserve"> </w:t>
      </w:r>
      <w:r w:rsidR="007D3458" w:rsidRPr="008E6B11">
        <w:rPr>
          <w:color w:val="000000" w:themeColor="text1"/>
          <w:szCs w:val="24"/>
        </w:rPr>
        <w:t xml:space="preserve">a psychometrically sound measure of </w:t>
      </w:r>
      <w:r w:rsidR="00AD7D6A" w:rsidRPr="008E6B11">
        <w:rPr>
          <w:color w:val="000000" w:themeColor="text1"/>
          <w:szCs w:val="24"/>
        </w:rPr>
        <w:t>belief in ESP, PK</w:t>
      </w:r>
      <w:r w:rsidR="00FC6CFD" w:rsidRPr="008E6B11">
        <w:rPr>
          <w:color w:val="000000" w:themeColor="text1"/>
          <w:szCs w:val="24"/>
        </w:rPr>
        <w:t>,</w:t>
      </w:r>
      <w:r w:rsidR="00AD7D6A" w:rsidRPr="008E6B11">
        <w:rPr>
          <w:color w:val="000000" w:themeColor="text1"/>
          <w:szCs w:val="24"/>
        </w:rPr>
        <w:t xml:space="preserve"> and LAD across three subscales (Thalbourne, 2010). Participants </w:t>
      </w:r>
      <w:r w:rsidR="00954A0C" w:rsidRPr="008E6B11">
        <w:rPr>
          <w:color w:val="000000" w:themeColor="text1"/>
          <w:szCs w:val="24"/>
        </w:rPr>
        <w:t>rate</w:t>
      </w:r>
      <w:r w:rsidR="00AD7D6A" w:rsidRPr="008E6B11">
        <w:rPr>
          <w:color w:val="000000" w:themeColor="text1"/>
          <w:szCs w:val="24"/>
        </w:rPr>
        <w:t xml:space="preserve"> 18 statements on a 7-point Likert scale from 1 ‘strongly disagree’ to 7 ‘strongly agree’ with items (re)coded such that higher scores reflected stronger belief in each paranormal concept.</w:t>
      </w:r>
    </w:p>
    <w:p w:rsidR="00577691" w:rsidRPr="008E6B11" w:rsidRDefault="00C568DE" w:rsidP="00577691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i/>
          <w:color w:val="000000" w:themeColor="text1"/>
          <w:szCs w:val="24"/>
        </w:rPr>
        <w:t xml:space="preserve">2.1.2 </w:t>
      </w:r>
      <w:r w:rsidR="00577691" w:rsidRPr="008E6B11">
        <w:rPr>
          <w:i/>
          <w:color w:val="000000" w:themeColor="text1"/>
          <w:szCs w:val="24"/>
        </w:rPr>
        <w:t>Demographics</w:t>
      </w:r>
      <w:r w:rsidR="00577691" w:rsidRPr="008E6B11">
        <w:rPr>
          <w:color w:val="000000" w:themeColor="text1"/>
          <w:szCs w:val="24"/>
        </w:rPr>
        <w:t>: A standard demographics questionnaire assessing participant’s age, sex</w:t>
      </w:r>
      <w:r w:rsidR="00FC6CFD" w:rsidRPr="008E6B11">
        <w:rPr>
          <w:color w:val="000000" w:themeColor="text1"/>
          <w:szCs w:val="24"/>
        </w:rPr>
        <w:t>,</w:t>
      </w:r>
      <w:r w:rsidR="00577691" w:rsidRPr="008E6B11">
        <w:rPr>
          <w:color w:val="000000" w:themeColor="text1"/>
          <w:szCs w:val="24"/>
        </w:rPr>
        <w:t xml:space="preserve"> and ethnicity (16 categories) was </w:t>
      </w:r>
      <w:r w:rsidR="00BF3C8E" w:rsidRPr="008E6B11">
        <w:rPr>
          <w:color w:val="000000" w:themeColor="text1"/>
          <w:szCs w:val="24"/>
        </w:rPr>
        <w:t xml:space="preserve">also </w:t>
      </w:r>
      <w:r w:rsidR="00577691" w:rsidRPr="008E6B11">
        <w:rPr>
          <w:color w:val="000000" w:themeColor="text1"/>
          <w:szCs w:val="24"/>
        </w:rPr>
        <w:t xml:space="preserve">included. </w:t>
      </w:r>
    </w:p>
    <w:p w:rsidR="00D1290F" w:rsidRPr="008E6B11" w:rsidRDefault="00C568DE" w:rsidP="003C69DB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i/>
          <w:color w:val="000000" w:themeColor="text1"/>
          <w:szCs w:val="24"/>
        </w:rPr>
        <w:t xml:space="preserve">2.1.3 </w:t>
      </w:r>
      <w:r w:rsidR="000F25E9" w:rsidRPr="008E6B11">
        <w:rPr>
          <w:i/>
          <w:color w:val="000000" w:themeColor="text1"/>
          <w:szCs w:val="24"/>
        </w:rPr>
        <w:t>Digit</w:t>
      </w:r>
      <w:r w:rsidR="00286914" w:rsidRPr="008E6B11">
        <w:rPr>
          <w:i/>
          <w:color w:val="000000" w:themeColor="text1"/>
          <w:szCs w:val="24"/>
        </w:rPr>
        <w:t>-Related Measures</w:t>
      </w:r>
      <w:r w:rsidR="003C69DB" w:rsidRPr="008E6B11">
        <w:rPr>
          <w:color w:val="000000" w:themeColor="text1"/>
          <w:szCs w:val="24"/>
        </w:rPr>
        <w:t xml:space="preserve">: </w:t>
      </w:r>
      <w:r w:rsidR="00286914" w:rsidRPr="008E6B11">
        <w:rPr>
          <w:color w:val="000000" w:themeColor="text1"/>
          <w:szCs w:val="24"/>
        </w:rPr>
        <w:t xml:space="preserve">Both </w:t>
      </w:r>
      <w:r w:rsidR="006145B4" w:rsidRPr="008E6B11">
        <w:rPr>
          <w:color w:val="000000" w:themeColor="text1"/>
          <w:szCs w:val="24"/>
        </w:rPr>
        <w:t xml:space="preserve">direct </w:t>
      </w:r>
      <w:r w:rsidR="00286914" w:rsidRPr="008E6B11">
        <w:rPr>
          <w:color w:val="000000" w:themeColor="text1"/>
          <w:szCs w:val="24"/>
        </w:rPr>
        <w:t>s</w:t>
      </w:r>
      <w:r w:rsidR="003C69DB" w:rsidRPr="008E6B11">
        <w:rPr>
          <w:color w:val="000000" w:themeColor="text1"/>
          <w:szCs w:val="24"/>
        </w:rPr>
        <w:t xml:space="preserve">elf and </w:t>
      </w:r>
      <w:r w:rsidR="00CB09AB" w:rsidRPr="008E6B11">
        <w:rPr>
          <w:color w:val="000000" w:themeColor="text1"/>
          <w:szCs w:val="24"/>
        </w:rPr>
        <w:t>indirect rater</w:t>
      </w:r>
      <w:r w:rsidR="003C69DB" w:rsidRPr="008E6B11">
        <w:rPr>
          <w:color w:val="000000" w:themeColor="text1"/>
          <w:szCs w:val="24"/>
        </w:rPr>
        <w:t xml:space="preserve">-based </w:t>
      </w:r>
      <w:r w:rsidR="00286914" w:rsidRPr="008E6B11">
        <w:rPr>
          <w:color w:val="000000" w:themeColor="text1"/>
          <w:szCs w:val="24"/>
        </w:rPr>
        <w:t xml:space="preserve">digit lengths </w:t>
      </w:r>
      <w:r w:rsidR="00BF3C8E" w:rsidRPr="008E6B11">
        <w:rPr>
          <w:color w:val="000000" w:themeColor="text1"/>
          <w:szCs w:val="24"/>
        </w:rPr>
        <w:t xml:space="preserve">were </w:t>
      </w:r>
      <w:r w:rsidR="003C69DB" w:rsidRPr="008E6B11">
        <w:rPr>
          <w:color w:val="000000" w:themeColor="text1"/>
          <w:szCs w:val="24"/>
        </w:rPr>
        <w:t>measure</w:t>
      </w:r>
      <w:r w:rsidR="00BF3C8E" w:rsidRPr="008E6B11">
        <w:rPr>
          <w:color w:val="000000" w:themeColor="text1"/>
          <w:szCs w:val="24"/>
        </w:rPr>
        <w:t>d</w:t>
      </w:r>
      <w:r w:rsidR="003C69DB" w:rsidRPr="008E6B11">
        <w:rPr>
          <w:color w:val="000000" w:themeColor="text1"/>
          <w:szCs w:val="24"/>
        </w:rPr>
        <w:t xml:space="preserve">. </w:t>
      </w:r>
      <w:r w:rsidR="00D1290F" w:rsidRPr="008E6B11">
        <w:rPr>
          <w:color w:val="000000" w:themeColor="text1"/>
          <w:szCs w:val="24"/>
        </w:rPr>
        <w:t>For</w:t>
      </w:r>
      <w:r w:rsidR="003C69DB" w:rsidRPr="008E6B11">
        <w:rPr>
          <w:color w:val="000000" w:themeColor="text1"/>
          <w:szCs w:val="24"/>
        </w:rPr>
        <w:t xml:space="preserve"> the former, participants were given a photocopy of the ventral surface of a hand on which the base </w:t>
      </w:r>
      <w:r w:rsidR="000B329D" w:rsidRPr="008E6B11">
        <w:rPr>
          <w:color w:val="000000" w:themeColor="text1"/>
          <w:szCs w:val="24"/>
        </w:rPr>
        <w:t xml:space="preserve">(i.e. the crease where the finger joins the palm) </w:t>
      </w:r>
      <w:r w:rsidR="003C69DB" w:rsidRPr="008E6B11">
        <w:rPr>
          <w:color w:val="000000" w:themeColor="text1"/>
          <w:szCs w:val="24"/>
        </w:rPr>
        <w:t xml:space="preserve">and tip of both </w:t>
      </w:r>
      <w:r w:rsidR="00BF3C8E" w:rsidRPr="008E6B11">
        <w:rPr>
          <w:color w:val="000000" w:themeColor="text1"/>
          <w:szCs w:val="24"/>
        </w:rPr>
        <w:t>2D and 4D</w:t>
      </w:r>
      <w:r w:rsidR="003C69DB" w:rsidRPr="008E6B11">
        <w:rPr>
          <w:color w:val="000000" w:themeColor="text1"/>
          <w:szCs w:val="24"/>
        </w:rPr>
        <w:t xml:space="preserve"> were marked</w:t>
      </w:r>
      <w:r w:rsidR="00D1290F" w:rsidRPr="008E6B11">
        <w:rPr>
          <w:color w:val="000000" w:themeColor="text1"/>
          <w:szCs w:val="24"/>
        </w:rPr>
        <w:t xml:space="preserve">. This served as an instructive sheet. </w:t>
      </w:r>
      <w:r w:rsidR="003C69DB" w:rsidRPr="008E6B11">
        <w:rPr>
          <w:color w:val="000000" w:themeColor="text1"/>
          <w:szCs w:val="24"/>
        </w:rPr>
        <w:t xml:space="preserve">They were then asked to hold out their left hand, establish the </w:t>
      </w:r>
      <w:r w:rsidR="00BF3C8E" w:rsidRPr="008E6B11">
        <w:rPr>
          <w:color w:val="000000" w:themeColor="text1"/>
          <w:szCs w:val="24"/>
        </w:rPr>
        <w:t>2D</w:t>
      </w:r>
      <w:r w:rsidR="003C69DB" w:rsidRPr="008E6B11">
        <w:rPr>
          <w:color w:val="000000" w:themeColor="text1"/>
          <w:szCs w:val="24"/>
        </w:rPr>
        <w:t xml:space="preserve"> base and</w:t>
      </w:r>
      <w:r w:rsidR="00D1290F" w:rsidRPr="008E6B11">
        <w:rPr>
          <w:color w:val="000000" w:themeColor="text1"/>
          <w:szCs w:val="24"/>
        </w:rPr>
        <w:t xml:space="preserve">, using a ruler provided ensuring this ran up the middle of each digit, </w:t>
      </w:r>
      <w:r w:rsidR="003C69DB" w:rsidRPr="008E6B11">
        <w:rPr>
          <w:color w:val="000000" w:themeColor="text1"/>
          <w:szCs w:val="24"/>
        </w:rPr>
        <w:t xml:space="preserve">measure the distance </w:t>
      </w:r>
      <w:r w:rsidR="00BF3C8E" w:rsidRPr="008E6B11">
        <w:rPr>
          <w:color w:val="000000" w:themeColor="text1"/>
          <w:szCs w:val="24"/>
        </w:rPr>
        <w:t xml:space="preserve">in millimetres </w:t>
      </w:r>
      <w:r w:rsidR="003C69DB" w:rsidRPr="008E6B11">
        <w:rPr>
          <w:color w:val="000000" w:themeColor="text1"/>
          <w:szCs w:val="24"/>
        </w:rPr>
        <w:t xml:space="preserve">from the mid-point of this crease to the tip of </w:t>
      </w:r>
      <w:r w:rsidR="00D1290F" w:rsidRPr="008E6B11">
        <w:rPr>
          <w:color w:val="000000" w:themeColor="text1"/>
          <w:szCs w:val="24"/>
        </w:rPr>
        <w:t>that</w:t>
      </w:r>
      <w:r w:rsidR="003C69DB" w:rsidRPr="008E6B11">
        <w:rPr>
          <w:color w:val="000000" w:themeColor="text1"/>
          <w:szCs w:val="24"/>
        </w:rPr>
        <w:t xml:space="preserve"> finger</w:t>
      </w:r>
      <w:r w:rsidR="009164A1" w:rsidRPr="008E6B11">
        <w:rPr>
          <w:color w:val="000000" w:themeColor="text1"/>
          <w:szCs w:val="24"/>
        </w:rPr>
        <w:t xml:space="preserve"> (excluding fingernails</w:t>
      </w:r>
      <w:r w:rsidR="007933FC" w:rsidRPr="008E6B11">
        <w:rPr>
          <w:color w:val="000000" w:themeColor="text1"/>
          <w:szCs w:val="24"/>
        </w:rPr>
        <w:t>). T</w:t>
      </w:r>
      <w:r w:rsidR="003C69DB" w:rsidRPr="008E6B11">
        <w:rPr>
          <w:color w:val="000000" w:themeColor="text1"/>
          <w:szCs w:val="24"/>
        </w:rPr>
        <w:t xml:space="preserve">his </w:t>
      </w:r>
      <w:r w:rsidR="007933FC" w:rsidRPr="008E6B11">
        <w:rPr>
          <w:color w:val="000000" w:themeColor="text1"/>
          <w:szCs w:val="24"/>
        </w:rPr>
        <w:t xml:space="preserve">procedure </w:t>
      </w:r>
      <w:r w:rsidR="003C69DB" w:rsidRPr="008E6B11">
        <w:rPr>
          <w:color w:val="000000" w:themeColor="text1"/>
          <w:szCs w:val="24"/>
        </w:rPr>
        <w:t xml:space="preserve">was repeated for </w:t>
      </w:r>
      <w:r w:rsidR="00D1290F" w:rsidRPr="008E6B11">
        <w:rPr>
          <w:color w:val="000000" w:themeColor="text1"/>
          <w:szCs w:val="24"/>
        </w:rPr>
        <w:t>right</w:t>
      </w:r>
      <w:r w:rsidR="00BF3C8E" w:rsidRPr="008E6B11">
        <w:rPr>
          <w:color w:val="000000" w:themeColor="text1"/>
          <w:szCs w:val="24"/>
        </w:rPr>
        <w:t xml:space="preserve"> hand 4D</w:t>
      </w:r>
      <w:r w:rsidR="00D1290F" w:rsidRPr="008E6B11">
        <w:rPr>
          <w:color w:val="000000" w:themeColor="text1"/>
          <w:szCs w:val="24"/>
        </w:rPr>
        <w:t>, left hand 2D and left hand 4D.</w:t>
      </w:r>
    </w:p>
    <w:p w:rsidR="003C69DB" w:rsidRPr="008E6B11" w:rsidRDefault="003C69DB" w:rsidP="003C69DB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 xml:space="preserve">For </w:t>
      </w:r>
      <w:r w:rsidR="00CB09AB" w:rsidRPr="008E6B11">
        <w:rPr>
          <w:color w:val="000000" w:themeColor="text1"/>
          <w:szCs w:val="24"/>
        </w:rPr>
        <w:t>indirect rater</w:t>
      </w:r>
      <w:r w:rsidRPr="008E6B11">
        <w:rPr>
          <w:color w:val="000000" w:themeColor="text1"/>
          <w:szCs w:val="24"/>
        </w:rPr>
        <w:t xml:space="preserve">-based measures, the ventral surface of participants’ left and right hands were photocopied onto sheets of A4 paper. Participants were asked </w:t>
      </w:r>
      <w:r w:rsidR="00FC6CFD" w:rsidRPr="008E6B11">
        <w:rPr>
          <w:color w:val="000000" w:themeColor="text1"/>
          <w:szCs w:val="24"/>
        </w:rPr>
        <w:t xml:space="preserve">to </w:t>
      </w:r>
      <w:r w:rsidRPr="008E6B11">
        <w:rPr>
          <w:color w:val="000000" w:themeColor="text1"/>
          <w:szCs w:val="24"/>
        </w:rPr>
        <w:t>pres</w:t>
      </w:r>
      <w:r w:rsidR="00D1290F" w:rsidRPr="008E6B11">
        <w:rPr>
          <w:color w:val="000000" w:themeColor="text1"/>
          <w:szCs w:val="24"/>
        </w:rPr>
        <w:t xml:space="preserve">s their hands gently on the </w:t>
      </w:r>
      <w:r w:rsidRPr="008E6B11">
        <w:rPr>
          <w:color w:val="000000" w:themeColor="text1"/>
          <w:szCs w:val="24"/>
        </w:rPr>
        <w:t xml:space="preserve">copier’s glass plate ensuring </w:t>
      </w:r>
      <w:r w:rsidR="000B329D" w:rsidRPr="008E6B11">
        <w:rPr>
          <w:color w:val="000000" w:themeColor="text1"/>
          <w:szCs w:val="24"/>
        </w:rPr>
        <w:t xml:space="preserve">all </w:t>
      </w:r>
      <w:r w:rsidRPr="008E6B11">
        <w:rPr>
          <w:color w:val="000000" w:themeColor="text1"/>
          <w:szCs w:val="24"/>
        </w:rPr>
        <w:t>fingers were straight</w:t>
      </w:r>
      <w:r w:rsidR="00C01A93" w:rsidRPr="008E6B11">
        <w:rPr>
          <w:color w:val="000000" w:themeColor="text1"/>
          <w:szCs w:val="24"/>
        </w:rPr>
        <w:t xml:space="preserve"> and laying flat</w:t>
      </w:r>
      <w:r w:rsidR="007D6CF2" w:rsidRPr="008E6B11">
        <w:rPr>
          <w:color w:val="000000" w:themeColor="text1"/>
          <w:szCs w:val="24"/>
          <w:vertAlign w:val="superscript"/>
        </w:rPr>
        <w:t>2</w:t>
      </w:r>
      <w:r w:rsidRPr="008E6B11">
        <w:rPr>
          <w:color w:val="000000" w:themeColor="text1"/>
          <w:szCs w:val="24"/>
        </w:rPr>
        <w:t>.</w:t>
      </w:r>
      <w:r w:rsidR="00D1290F" w:rsidRPr="008E6B11">
        <w:rPr>
          <w:color w:val="000000" w:themeColor="text1"/>
          <w:szCs w:val="24"/>
        </w:rPr>
        <w:t xml:space="preserve"> </w:t>
      </w:r>
      <w:r w:rsidRPr="008E6B11">
        <w:rPr>
          <w:color w:val="000000" w:themeColor="text1"/>
          <w:szCs w:val="24"/>
        </w:rPr>
        <w:t xml:space="preserve">Landmark locations at the tip and base of </w:t>
      </w:r>
      <w:r w:rsidR="00D1290F" w:rsidRPr="008E6B11">
        <w:rPr>
          <w:color w:val="000000" w:themeColor="text1"/>
          <w:szCs w:val="24"/>
        </w:rPr>
        <w:t xml:space="preserve">each digit </w:t>
      </w:r>
      <w:r w:rsidR="00BB1218" w:rsidRPr="008E6B11">
        <w:rPr>
          <w:color w:val="000000" w:themeColor="text1"/>
          <w:szCs w:val="24"/>
        </w:rPr>
        <w:t xml:space="preserve">were highlighted on the </w:t>
      </w:r>
      <w:r w:rsidRPr="008E6B11">
        <w:rPr>
          <w:color w:val="000000" w:themeColor="text1"/>
          <w:szCs w:val="24"/>
        </w:rPr>
        <w:t>copy, with the distance bet</w:t>
      </w:r>
      <w:r w:rsidR="00C01A93" w:rsidRPr="008E6B11">
        <w:rPr>
          <w:color w:val="000000" w:themeColor="text1"/>
          <w:szCs w:val="24"/>
        </w:rPr>
        <w:t xml:space="preserve">ween these points measured </w:t>
      </w:r>
      <w:r w:rsidR="000B329D" w:rsidRPr="008E6B11">
        <w:rPr>
          <w:color w:val="000000" w:themeColor="text1"/>
          <w:szCs w:val="24"/>
        </w:rPr>
        <w:t xml:space="preserve">in </w:t>
      </w:r>
      <w:r w:rsidRPr="008E6B11">
        <w:rPr>
          <w:color w:val="000000" w:themeColor="text1"/>
          <w:szCs w:val="24"/>
        </w:rPr>
        <w:t>millimetre</w:t>
      </w:r>
      <w:r w:rsidR="000B329D" w:rsidRPr="008E6B11">
        <w:rPr>
          <w:color w:val="000000" w:themeColor="text1"/>
          <w:szCs w:val="24"/>
        </w:rPr>
        <w:t>s</w:t>
      </w:r>
      <w:r w:rsidR="00C01A93" w:rsidRPr="008E6B11">
        <w:rPr>
          <w:color w:val="000000" w:themeColor="text1"/>
          <w:szCs w:val="24"/>
        </w:rPr>
        <w:t xml:space="preserve"> </w:t>
      </w:r>
      <w:r w:rsidRPr="008E6B11">
        <w:rPr>
          <w:color w:val="000000" w:themeColor="text1"/>
          <w:szCs w:val="24"/>
        </w:rPr>
        <w:t xml:space="preserve">by two trained </w:t>
      </w:r>
      <w:r w:rsidR="00CB09AB" w:rsidRPr="008E6B11">
        <w:rPr>
          <w:color w:val="000000" w:themeColor="text1"/>
          <w:szCs w:val="24"/>
        </w:rPr>
        <w:t>rater</w:t>
      </w:r>
      <w:r w:rsidR="00D83B5D" w:rsidRPr="008E6B11">
        <w:rPr>
          <w:color w:val="000000" w:themeColor="text1"/>
          <w:szCs w:val="24"/>
        </w:rPr>
        <w:t>s</w:t>
      </w:r>
      <w:r w:rsidRPr="008E6B11">
        <w:rPr>
          <w:color w:val="000000" w:themeColor="text1"/>
          <w:szCs w:val="24"/>
        </w:rPr>
        <w:t xml:space="preserve"> </w:t>
      </w:r>
      <w:r w:rsidR="000B329D" w:rsidRPr="008E6B11">
        <w:rPr>
          <w:color w:val="000000" w:themeColor="text1"/>
          <w:szCs w:val="24"/>
        </w:rPr>
        <w:t xml:space="preserve">blind to </w:t>
      </w:r>
      <w:r w:rsidR="00BB1218" w:rsidRPr="008E6B11">
        <w:rPr>
          <w:color w:val="000000" w:themeColor="text1"/>
          <w:szCs w:val="24"/>
        </w:rPr>
        <w:t>each</w:t>
      </w:r>
      <w:r w:rsidR="000B329D" w:rsidRPr="008E6B11">
        <w:rPr>
          <w:color w:val="000000" w:themeColor="text1"/>
          <w:szCs w:val="24"/>
        </w:rPr>
        <w:t xml:space="preserve"> other’s </w:t>
      </w:r>
      <w:r w:rsidRPr="008E6B11">
        <w:rPr>
          <w:color w:val="000000" w:themeColor="text1"/>
          <w:szCs w:val="24"/>
        </w:rPr>
        <w:t xml:space="preserve">calculations. This method of establishing finger length - and thus 2D:4D ratio - is </w:t>
      </w:r>
      <w:r w:rsidR="00BB1218" w:rsidRPr="008E6B11">
        <w:rPr>
          <w:color w:val="000000" w:themeColor="text1"/>
          <w:szCs w:val="24"/>
        </w:rPr>
        <w:t>both common and</w:t>
      </w:r>
      <w:r w:rsidR="000B329D" w:rsidRPr="008E6B11">
        <w:rPr>
          <w:color w:val="000000" w:themeColor="text1"/>
          <w:szCs w:val="24"/>
        </w:rPr>
        <w:t xml:space="preserve"> </w:t>
      </w:r>
      <w:r w:rsidRPr="008E6B11">
        <w:rPr>
          <w:color w:val="000000" w:themeColor="text1"/>
          <w:szCs w:val="24"/>
        </w:rPr>
        <w:t>highly reliable (Caswell &amp; Manning, 2009</w:t>
      </w:r>
      <w:r w:rsidR="00546ABE" w:rsidRPr="008E6B11">
        <w:rPr>
          <w:color w:val="000000" w:themeColor="text1"/>
          <w:szCs w:val="24"/>
        </w:rPr>
        <w:t>).</w:t>
      </w:r>
    </w:p>
    <w:p w:rsidR="003C69DB" w:rsidRPr="008E6B11" w:rsidRDefault="00AD7D6A" w:rsidP="003C69DB">
      <w:pPr>
        <w:pStyle w:val="BodyText"/>
        <w:spacing w:line="480" w:lineRule="auto"/>
        <w:rPr>
          <w:b/>
          <w:i/>
          <w:color w:val="000000" w:themeColor="text1"/>
          <w:szCs w:val="24"/>
        </w:rPr>
      </w:pPr>
      <w:r w:rsidRPr="008E6B11">
        <w:rPr>
          <w:b/>
          <w:i/>
          <w:color w:val="000000" w:themeColor="text1"/>
          <w:szCs w:val="24"/>
        </w:rPr>
        <w:t xml:space="preserve">2.3 </w:t>
      </w:r>
      <w:r w:rsidR="003C69DB" w:rsidRPr="008E6B11">
        <w:rPr>
          <w:b/>
          <w:i/>
          <w:color w:val="000000" w:themeColor="text1"/>
          <w:szCs w:val="24"/>
        </w:rPr>
        <w:t>Procedure</w:t>
      </w:r>
    </w:p>
    <w:p w:rsidR="00AD7D6A" w:rsidRPr="008E6B11" w:rsidRDefault="00577691" w:rsidP="003C69DB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Demographic, paranormal belief</w:t>
      </w:r>
      <w:r w:rsidR="00AD7D6A" w:rsidRPr="008E6B11">
        <w:rPr>
          <w:color w:val="000000" w:themeColor="text1"/>
          <w:szCs w:val="24"/>
        </w:rPr>
        <w:t xml:space="preserve"> and </w:t>
      </w:r>
      <w:r w:rsidR="00286914" w:rsidRPr="008E6B11">
        <w:rPr>
          <w:color w:val="000000" w:themeColor="text1"/>
          <w:szCs w:val="24"/>
        </w:rPr>
        <w:t xml:space="preserve">digit length </w:t>
      </w:r>
      <w:r w:rsidR="00AD7D6A" w:rsidRPr="008E6B11">
        <w:rPr>
          <w:color w:val="000000" w:themeColor="text1"/>
          <w:szCs w:val="24"/>
        </w:rPr>
        <w:t xml:space="preserve">data were collected from an opportunistic sample of undergraduate students. The order of photocopying and questionnaire completion was counterbalanced </w:t>
      </w:r>
      <w:r w:rsidR="0058582B" w:rsidRPr="008E6B11">
        <w:rPr>
          <w:color w:val="000000" w:themeColor="text1"/>
          <w:szCs w:val="24"/>
        </w:rPr>
        <w:t xml:space="preserve">with all </w:t>
      </w:r>
      <w:r w:rsidR="00AD7D6A" w:rsidRPr="008E6B11">
        <w:rPr>
          <w:color w:val="000000" w:themeColor="text1"/>
          <w:szCs w:val="24"/>
        </w:rPr>
        <w:t xml:space="preserve">digit-related </w:t>
      </w:r>
      <w:r w:rsidR="0058582B" w:rsidRPr="008E6B11">
        <w:rPr>
          <w:color w:val="000000" w:themeColor="text1"/>
          <w:szCs w:val="24"/>
        </w:rPr>
        <w:t xml:space="preserve">measures </w:t>
      </w:r>
      <w:r w:rsidR="00AD7D6A" w:rsidRPr="008E6B11">
        <w:rPr>
          <w:color w:val="000000" w:themeColor="text1"/>
          <w:szCs w:val="24"/>
        </w:rPr>
        <w:t xml:space="preserve">computed according to standard protocols (e.g., Voracek </w:t>
      </w:r>
      <w:r w:rsidR="00DB7309" w:rsidRPr="008E6B11">
        <w:rPr>
          <w:color w:val="000000" w:themeColor="text1"/>
          <w:szCs w:val="24"/>
        </w:rPr>
        <w:t xml:space="preserve">et al., </w:t>
      </w:r>
      <w:r w:rsidR="00AD7D6A" w:rsidRPr="008E6B11">
        <w:rPr>
          <w:color w:val="000000" w:themeColor="text1"/>
          <w:szCs w:val="24"/>
        </w:rPr>
        <w:t xml:space="preserve">2007). No incentives were provided </w:t>
      </w:r>
      <w:r w:rsidR="0058582B" w:rsidRPr="008E6B11">
        <w:rPr>
          <w:color w:val="000000" w:themeColor="text1"/>
          <w:szCs w:val="24"/>
        </w:rPr>
        <w:t>with adhering to</w:t>
      </w:r>
      <w:r w:rsidR="007410DD" w:rsidRPr="008E6B11">
        <w:rPr>
          <w:color w:val="000000" w:themeColor="text1"/>
          <w:szCs w:val="24"/>
        </w:rPr>
        <w:t xml:space="preserve"> </w:t>
      </w:r>
      <w:r w:rsidR="00AD7D6A" w:rsidRPr="008E6B11">
        <w:rPr>
          <w:color w:val="000000" w:themeColor="text1"/>
          <w:szCs w:val="24"/>
        </w:rPr>
        <w:t>British Psychological Society (BPS) ethical guidelines</w:t>
      </w:r>
      <w:r w:rsidR="0058582B" w:rsidRPr="008E6B11">
        <w:rPr>
          <w:color w:val="000000" w:themeColor="text1"/>
          <w:szCs w:val="24"/>
        </w:rPr>
        <w:t>.</w:t>
      </w:r>
    </w:p>
    <w:p w:rsidR="00F61FD5" w:rsidRPr="008E6B11" w:rsidRDefault="00D577D2">
      <w:pPr>
        <w:pStyle w:val="BodyText"/>
        <w:spacing w:line="480" w:lineRule="auto"/>
        <w:rPr>
          <w:b/>
          <w:color w:val="000000" w:themeColor="text1"/>
          <w:szCs w:val="24"/>
        </w:rPr>
      </w:pPr>
      <w:r w:rsidRPr="008E6B11">
        <w:rPr>
          <w:b/>
          <w:color w:val="000000" w:themeColor="text1"/>
          <w:szCs w:val="24"/>
        </w:rPr>
        <w:t xml:space="preserve">3 </w:t>
      </w:r>
      <w:r w:rsidR="003C69DB" w:rsidRPr="008E6B11">
        <w:rPr>
          <w:b/>
          <w:color w:val="000000" w:themeColor="text1"/>
          <w:szCs w:val="24"/>
        </w:rPr>
        <w:t>Results</w:t>
      </w:r>
    </w:p>
    <w:p w:rsidR="00433870" w:rsidRPr="008E6B11" w:rsidRDefault="00EB5063" w:rsidP="00433870">
      <w:pPr>
        <w:pStyle w:val="BodyText"/>
        <w:spacing w:line="480" w:lineRule="auto"/>
        <w:rPr>
          <w:b/>
          <w:i/>
          <w:color w:val="000000" w:themeColor="text1"/>
          <w:szCs w:val="24"/>
        </w:rPr>
      </w:pPr>
      <w:r w:rsidRPr="008E6B11">
        <w:rPr>
          <w:b/>
          <w:i/>
          <w:color w:val="000000" w:themeColor="text1"/>
          <w:szCs w:val="24"/>
        </w:rPr>
        <w:t xml:space="preserve">3.1 Paranormal </w:t>
      </w:r>
      <w:r w:rsidR="00C568DE" w:rsidRPr="008E6B11">
        <w:rPr>
          <w:b/>
          <w:i/>
          <w:color w:val="000000" w:themeColor="text1"/>
          <w:szCs w:val="24"/>
        </w:rPr>
        <w:t>b</w:t>
      </w:r>
      <w:r w:rsidRPr="008E6B11">
        <w:rPr>
          <w:b/>
          <w:i/>
          <w:color w:val="000000" w:themeColor="text1"/>
          <w:szCs w:val="24"/>
        </w:rPr>
        <w:t>elief</w:t>
      </w:r>
    </w:p>
    <w:p w:rsidR="003C69DB" w:rsidRPr="008E6B11" w:rsidRDefault="00FA7912" w:rsidP="003C69DB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S</w:t>
      </w:r>
      <w:r w:rsidR="003C69DB" w:rsidRPr="008E6B11">
        <w:rPr>
          <w:color w:val="000000" w:themeColor="text1"/>
          <w:szCs w:val="24"/>
        </w:rPr>
        <w:t>pecific beliefs in ESP, PK</w:t>
      </w:r>
      <w:r w:rsidR="00D577D2" w:rsidRPr="008E6B11">
        <w:rPr>
          <w:color w:val="000000" w:themeColor="text1"/>
          <w:szCs w:val="24"/>
        </w:rPr>
        <w:t>,</w:t>
      </w:r>
      <w:r w:rsidR="003C69DB" w:rsidRPr="008E6B11">
        <w:rPr>
          <w:color w:val="000000" w:themeColor="text1"/>
          <w:szCs w:val="24"/>
        </w:rPr>
        <w:t xml:space="preserve"> and LAD </w:t>
      </w:r>
      <w:r w:rsidR="006D0FB7" w:rsidRPr="008E6B11">
        <w:rPr>
          <w:color w:val="000000" w:themeColor="text1"/>
          <w:szCs w:val="24"/>
        </w:rPr>
        <w:t>were all</w:t>
      </w:r>
      <w:r w:rsidR="003C69DB" w:rsidRPr="008E6B11">
        <w:rPr>
          <w:color w:val="000000" w:themeColor="text1"/>
          <w:szCs w:val="24"/>
        </w:rPr>
        <w:t xml:space="preserve"> internal</w:t>
      </w:r>
      <w:r w:rsidR="006D0FB7" w:rsidRPr="008E6B11">
        <w:rPr>
          <w:color w:val="000000" w:themeColor="text1"/>
          <w:szCs w:val="24"/>
        </w:rPr>
        <w:t xml:space="preserve">ly reliable </w:t>
      </w:r>
      <w:r w:rsidRPr="008E6B11">
        <w:rPr>
          <w:color w:val="000000" w:themeColor="text1"/>
          <w:szCs w:val="24"/>
        </w:rPr>
        <w:t>(see Table 1)</w:t>
      </w:r>
      <w:r w:rsidR="003C69DB" w:rsidRPr="008E6B11">
        <w:rPr>
          <w:color w:val="000000" w:themeColor="text1"/>
          <w:szCs w:val="24"/>
        </w:rPr>
        <w:t xml:space="preserve">. That said, removal </w:t>
      </w:r>
      <w:r w:rsidR="00D577D2" w:rsidRPr="008E6B11">
        <w:rPr>
          <w:color w:val="000000" w:themeColor="text1"/>
          <w:szCs w:val="24"/>
        </w:rPr>
        <w:t xml:space="preserve">of </w:t>
      </w:r>
      <w:r w:rsidR="003C69DB" w:rsidRPr="008E6B11">
        <w:rPr>
          <w:color w:val="000000" w:themeColor="text1"/>
          <w:szCs w:val="24"/>
        </w:rPr>
        <w:t>one item (“non-hallucinatory visions”) improved the internal reliability of the LAD subscale considerably (</w:t>
      </w:r>
      <w:r w:rsidR="00986B7A" w:rsidRPr="008E6B11">
        <w:rPr>
          <w:color w:val="000000" w:themeColor="text1"/>
          <w:szCs w:val="24"/>
        </w:rPr>
        <w:t>from</w:t>
      </w:r>
      <w:r w:rsidR="003C69DB" w:rsidRPr="008E6B11">
        <w:rPr>
          <w:color w:val="000000" w:themeColor="text1"/>
          <w:szCs w:val="24"/>
        </w:rPr>
        <w:t xml:space="preserve"> </w:t>
      </w:r>
      <w:r w:rsidR="006D0FB7" w:rsidRPr="008E6B11">
        <w:rPr>
          <w:rFonts w:ascii="Symbol" w:hAnsi="Symbol"/>
          <w:color w:val="000000" w:themeColor="text1"/>
          <w:szCs w:val="24"/>
        </w:rPr>
        <w:t></w:t>
      </w:r>
      <w:r w:rsidR="00C568DE" w:rsidRPr="008E6B11">
        <w:rPr>
          <w:color w:val="000000" w:themeColor="text1"/>
          <w:szCs w:val="24"/>
        </w:rPr>
        <w:t xml:space="preserve"> = </w:t>
      </w:r>
      <w:r w:rsidR="006D0FB7" w:rsidRPr="008E6B11">
        <w:rPr>
          <w:color w:val="000000" w:themeColor="text1"/>
          <w:szCs w:val="24"/>
        </w:rPr>
        <w:t xml:space="preserve">.64 to </w:t>
      </w:r>
      <w:r w:rsidR="003C69DB" w:rsidRPr="008E6B11">
        <w:rPr>
          <w:rFonts w:ascii="Symbol" w:hAnsi="Symbol"/>
          <w:color w:val="000000" w:themeColor="text1"/>
          <w:szCs w:val="24"/>
        </w:rPr>
        <w:t></w:t>
      </w:r>
      <w:r w:rsidR="006D0FB7" w:rsidRPr="008E6B11">
        <w:rPr>
          <w:rFonts w:ascii="Symbol" w:hAnsi="Symbol"/>
          <w:color w:val="000000" w:themeColor="text1"/>
          <w:szCs w:val="24"/>
        </w:rPr>
        <w:t></w:t>
      </w:r>
      <w:r w:rsidR="006D0FB7" w:rsidRPr="008E6B11">
        <w:rPr>
          <w:color w:val="000000" w:themeColor="text1"/>
          <w:szCs w:val="24"/>
        </w:rPr>
        <w:t>.73) with this revised measure subsequently computed</w:t>
      </w:r>
      <w:r w:rsidR="003C69DB" w:rsidRPr="008E6B11">
        <w:rPr>
          <w:color w:val="000000" w:themeColor="text1"/>
          <w:szCs w:val="24"/>
        </w:rPr>
        <w:t xml:space="preserve">. </w:t>
      </w:r>
      <w:r w:rsidR="00E33BC3" w:rsidRPr="008E6B11">
        <w:rPr>
          <w:color w:val="000000" w:themeColor="text1"/>
          <w:szCs w:val="24"/>
        </w:rPr>
        <w:t>O</w:t>
      </w:r>
      <w:r w:rsidR="003C69DB" w:rsidRPr="008E6B11">
        <w:rPr>
          <w:color w:val="000000" w:themeColor="text1"/>
          <w:szCs w:val="24"/>
        </w:rPr>
        <w:t>nly ESP beliefs were normally distributed</w:t>
      </w:r>
      <w:r w:rsidR="008B5D4F" w:rsidRPr="008E6B11">
        <w:rPr>
          <w:color w:val="000000" w:themeColor="text1"/>
          <w:szCs w:val="24"/>
        </w:rPr>
        <w:t xml:space="preserve"> with PK beliefs presenting noticeable positive skew and LAD beliefs</w:t>
      </w:r>
      <w:r w:rsidR="00E33BC3" w:rsidRPr="008E6B11">
        <w:rPr>
          <w:color w:val="000000" w:themeColor="text1"/>
          <w:szCs w:val="24"/>
        </w:rPr>
        <w:t xml:space="preserve"> slight negative skew</w:t>
      </w:r>
      <w:r w:rsidR="008B5D4F" w:rsidRPr="008E6B11">
        <w:rPr>
          <w:color w:val="000000" w:themeColor="text1"/>
          <w:szCs w:val="24"/>
        </w:rPr>
        <w:t xml:space="preserve">. </w:t>
      </w:r>
      <w:r w:rsidR="003C69DB" w:rsidRPr="008E6B11">
        <w:rPr>
          <w:color w:val="000000" w:themeColor="text1"/>
          <w:szCs w:val="24"/>
        </w:rPr>
        <w:t xml:space="preserve">No outliers were found in any belief measure. </w:t>
      </w:r>
    </w:p>
    <w:p w:rsidR="0072041D" w:rsidRPr="008E6B11" w:rsidRDefault="0072041D" w:rsidP="0072041D">
      <w:pPr>
        <w:pStyle w:val="BodyText"/>
        <w:spacing w:line="480" w:lineRule="auto"/>
        <w:jc w:val="center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 xml:space="preserve">*** Table 1 </w:t>
      </w:r>
      <w:r w:rsidR="00773C36" w:rsidRPr="008E6B11">
        <w:rPr>
          <w:color w:val="000000" w:themeColor="text1"/>
          <w:szCs w:val="24"/>
        </w:rPr>
        <w:t xml:space="preserve">here </w:t>
      </w:r>
      <w:r w:rsidRPr="008E6B11">
        <w:rPr>
          <w:color w:val="000000" w:themeColor="text1"/>
          <w:szCs w:val="24"/>
        </w:rPr>
        <w:t>***</w:t>
      </w:r>
    </w:p>
    <w:p w:rsidR="00D774BF" w:rsidRPr="008E6B11" w:rsidRDefault="003C69DB" w:rsidP="00FA7912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 xml:space="preserve">Mann-Whitney tests revealed (near) significant </w:t>
      </w:r>
      <w:r w:rsidR="00EC26C5" w:rsidRPr="008E6B11">
        <w:rPr>
          <w:color w:val="000000" w:themeColor="text1"/>
          <w:szCs w:val="24"/>
        </w:rPr>
        <w:t>participant</w:t>
      </w:r>
      <w:r w:rsidR="009119EE" w:rsidRPr="008E6B11">
        <w:rPr>
          <w:color w:val="000000" w:themeColor="text1"/>
          <w:szCs w:val="24"/>
        </w:rPr>
        <w:t xml:space="preserve"> </w:t>
      </w:r>
      <w:r w:rsidR="003B08A3" w:rsidRPr="008E6B11">
        <w:rPr>
          <w:color w:val="000000" w:themeColor="text1"/>
          <w:szCs w:val="24"/>
        </w:rPr>
        <w:t>sex</w:t>
      </w:r>
      <w:r w:rsidRPr="008E6B11">
        <w:rPr>
          <w:color w:val="000000" w:themeColor="text1"/>
          <w:szCs w:val="24"/>
        </w:rPr>
        <w:t xml:space="preserve"> differences in two of the three belief subscales with females having (marginally) stronger beliefs in both ESP, </w:t>
      </w:r>
      <w:r w:rsidRPr="008E6B11">
        <w:rPr>
          <w:i/>
          <w:color w:val="000000" w:themeColor="text1"/>
          <w:szCs w:val="24"/>
        </w:rPr>
        <w:t>U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Pr="008E6B11">
        <w:rPr>
          <w:color w:val="000000" w:themeColor="text1"/>
          <w:szCs w:val="24"/>
        </w:rPr>
        <w:t xml:space="preserve">5679.5; </w:t>
      </w:r>
      <w:r w:rsidRPr="008E6B11">
        <w:rPr>
          <w:i/>
          <w:color w:val="000000" w:themeColor="text1"/>
          <w:szCs w:val="24"/>
        </w:rPr>
        <w:t>Z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Pr="008E6B11">
        <w:rPr>
          <w:color w:val="000000" w:themeColor="text1"/>
          <w:szCs w:val="24"/>
        </w:rPr>
        <w:t xml:space="preserve">-1.80; </w:t>
      </w:r>
      <w:r w:rsidRPr="008E6B11">
        <w:rPr>
          <w:i/>
          <w:color w:val="000000" w:themeColor="text1"/>
          <w:szCs w:val="24"/>
        </w:rPr>
        <w:t>p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Pr="008E6B11">
        <w:rPr>
          <w:color w:val="000000" w:themeColor="text1"/>
          <w:szCs w:val="24"/>
        </w:rPr>
        <w:t xml:space="preserve">.072, and LAD, </w:t>
      </w:r>
      <w:r w:rsidRPr="008E6B11">
        <w:rPr>
          <w:i/>
          <w:color w:val="000000" w:themeColor="text1"/>
          <w:szCs w:val="24"/>
        </w:rPr>
        <w:t>U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Pr="008E6B11">
        <w:rPr>
          <w:color w:val="000000" w:themeColor="text1"/>
          <w:szCs w:val="24"/>
        </w:rPr>
        <w:t xml:space="preserve">5447.0; </w:t>
      </w:r>
      <w:r w:rsidRPr="008E6B11">
        <w:rPr>
          <w:i/>
          <w:color w:val="000000" w:themeColor="text1"/>
          <w:szCs w:val="24"/>
        </w:rPr>
        <w:t>Z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Pr="008E6B11">
        <w:rPr>
          <w:color w:val="000000" w:themeColor="text1"/>
          <w:szCs w:val="24"/>
        </w:rPr>
        <w:t xml:space="preserve">-2.23; </w:t>
      </w:r>
      <w:r w:rsidRPr="008E6B11">
        <w:rPr>
          <w:i/>
          <w:color w:val="000000" w:themeColor="text1"/>
          <w:szCs w:val="24"/>
        </w:rPr>
        <w:t>p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Pr="008E6B11">
        <w:rPr>
          <w:color w:val="000000" w:themeColor="text1"/>
          <w:szCs w:val="24"/>
        </w:rPr>
        <w:t xml:space="preserve">.026, than males. No </w:t>
      </w:r>
      <w:r w:rsidR="00D774BF" w:rsidRPr="008E6B11">
        <w:rPr>
          <w:color w:val="000000" w:themeColor="text1"/>
          <w:szCs w:val="24"/>
        </w:rPr>
        <w:t>sex</w:t>
      </w:r>
      <w:r w:rsidRPr="008E6B11">
        <w:rPr>
          <w:color w:val="000000" w:themeColor="text1"/>
          <w:szCs w:val="24"/>
        </w:rPr>
        <w:t xml:space="preserve"> differences were found </w:t>
      </w:r>
      <w:r w:rsidR="00D774BF" w:rsidRPr="008E6B11">
        <w:rPr>
          <w:color w:val="000000" w:themeColor="text1"/>
          <w:szCs w:val="24"/>
        </w:rPr>
        <w:t>in</w:t>
      </w:r>
      <w:r w:rsidRPr="008E6B11">
        <w:rPr>
          <w:color w:val="000000" w:themeColor="text1"/>
          <w:szCs w:val="24"/>
        </w:rPr>
        <w:t xml:space="preserve"> PK beliefs. </w:t>
      </w:r>
      <w:r w:rsidR="00B94F0F" w:rsidRPr="008E6B11">
        <w:rPr>
          <w:color w:val="000000" w:themeColor="text1"/>
          <w:szCs w:val="24"/>
        </w:rPr>
        <w:t>T</w:t>
      </w:r>
      <w:r w:rsidRPr="008E6B11">
        <w:rPr>
          <w:color w:val="000000" w:themeColor="text1"/>
          <w:szCs w:val="24"/>
        </w:rPr>
        <w:t xml:space="preserve">hus, H01 is partially supported. </w:t>
      </w:r>
    </w:p>
    <w:p w:rsidR="003C69DB" w:rsidRPr="008E6B11" w:rsidRDefault="00D774BF" w:rsidP="00FA7912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B</w:t>
      </w:r>
      <w:r w:rsidR="00FA7912" w:rsidRPr="008E6B11">
        <w:rPr>
          <w:color w:val="000000" w:themeColor="text1"/>
          <w:szCs w:val="24"/>
        </w:rPr>
        <w:t xml:space="preserve">elief </w:t>
      </w:r>
      <w:r w:rsidR="003C69DB" w:rsidRPr="008E6B11">
        <w:rPr>
          <w:color w:val="000000" w:themeColor="text1"/>
          <w:szCs w:val="24"/>
        </w:rPr>
        <w:t xml:space="preserve">in ESP alone correlated with participant age, </w:t>
      </w:r>
      <w:r w:rsidR="003C69DB" w:rsidRPr="008E6B11">
        <w:rPr>
          <w:i/>
          <w:color w:val="000000" w:themeColor="text1"/>
          <w:szCs w:val="24"/>
        </w:rPr>
        <w:t>tau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 xml:space="preserve">.12; </w:t>
      </w:r>
      <w:r w:rsidR="003C69DB" w:rsidRPr="008E6B11">
        <w:rPr>
          <w:i/>
          <w:color w:val="000000" w:themeColor="text1"/>
          <w:szCs w:val="24"/>
        </w:rPr>
        <w:t>p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 xml:space="preserve">.009; two-tailed; </w:t>
      </w:r>
      <w:r w:rsidR="003C69DB" w:rsidRPr="008E6B11">
        <w:rPr>
          <w:i/>
          <w:color w:val="000000" w:themeColor="text1"/>
          <w:szCs w:val="24"/>
        </w:rPr>
        <w:t>n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 xml:space="preserve">274, with no significant associations found between any paranormal belief type and participants’ (Caucasian vs. non-Caucasian) ethnicity. </w:t>
      </w:r>
    </w:p>
    <w:p w:rsidR="00433870" w:rsidRPr="008E6B11" w:rsidRDefault="00EB5063" w:rsidP="00433870">
      <w:pPr>
        <w:pStyle w:val="BodyText"/>
        <w:spacing w:line="480" w:lineRule="auto"/>
        <w:rPr>
          <w:b/>
          <w:i/>
          <w:color w:val="000000" w:themeColor="text1"/>
          <w:szCs w:val="24"/>
        </w:rPr>
      </w:pPr>
      <w:r w:rsidRPr="008E6B11">
        <w:rPr>
          <w:b/>
          <w:i/>
          <w:color w:val="000000" w:themeColor="text1"/>
          <w:szCs w:val="24"/>
        </w:rPr>
        <w:t>3.2 Digit-</w:t>
      </w:r>
      <w:r w:rsidR="00C568DE" w:rsidRPr="008E6B11">
        <w:rPr>
          <w:b/>
          <w:i/>
          <w:color w:val="000000" w:themeColor="text1"/>
          <w:szCs w:val="24"/>
        </w:rPr>
        <w:t>related measures: Preliminary analyses</w:t>
      </w:r>
    </w:p>
    <w:p w:rsidR="003C69DB" w:rsidRPr="008E6B11" w:rsidRDefault="00C568DE" w:rsidP="00C30FEE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i/>
          <w:color w:val="000000" w:themeColor="text1"/>
          <w:szCs w:val="24"/>
        </w:rPr>
        <w:t xml:space="preserve">3.2.1 </w:t>
      </w:r>
      <w:r w:rsidR="003C69DB" w:rsidRPr="008E6B11">
        <w:rPr>
          <w:i/>
          <w:color w:val="000000" w:themeColor="text1"/>
          <w:szCs w:val="24"/>
        </w:rPr>
        <w:t>Inter</w:t>
      </w:r>
      <w:r w:rsidR="00CB09AB" w:rsidRPr="008E6B11">
        <w:rPr>
          <w:i/>
          <w:color w:val="000000" w:themeColor="text1"/>
          <w:szCs w:val="24"/>
        </w:rPr>
        <w:t xml:space="preserve"> rater</w:t>
      </w:r>
      <w:r w:rsidR="003C69DB" w:rsidRPr="008E6B11">
        <w:rPr>
          <w:i/>
          <w:color w:val="000000" w:themeColor="text1"/>
          <w:szCs w:val="24"/>
        </w:rPr>
        <w:t xml:space="preserve"> Reliability</w:t>
      </w:r>
      <w:r w:rsidR="003C69DB" w:rsidRPr="008E6B11">
        <w:rPr>
          <w:color w:val="000000" w:themeColor="text1"/>
          <w:szCs w:val="24"/>
        </w:rPr>
        <w:t xml:space="preserve">: Highly significant positive intra-class correlations emerged between </w:t>
      </w:r>
      <w:r w:rsidR="00CB09AB" w:rsidRPr="008E6B11">
        <w:rPr>
          <w:color w:val="000000" w:themeColor="text1"/>
          <w:szCs w:val="24"/>
        </w:rPr>
        <w:t>rater</w:t>
      </w:r>
      <w:r w:rsidR="00180EE2" w:rsidRPr="008E6B11">
        <w:rPr>
          <w:color w:val="000000" w:themeColor="text1"/>
          <w:szCs w:val="24"/>
        </w:rPr>
        <w:t xml:space="preserve">s’ independent </w:t>
      </w:r>
      <w:r w:rsidR="003C69DB" w:rsidRPr="008E6B11">
        <w:rPr>
          <w:color w:val="000000" w:themeColor="text1"/>
          <w:szCs w:val="24"/>
        </w:rPr>
        <w:t xml:space="preserve">measurements for </w:t>
      </w:r>
      <w:r w:rsidR="00180EE2" w:rsidRPr="008E6B11">
        <w:rPr>
          <w:color w:val="000000" w:themeColor="text1"/>
          <w:szCs w:val="24"/>
        </w:rPr>
        <w:t xml:space="preserve">2D and 4D on </w:t>
      </w:r>
      <w:r w:rsidR="00D774BF" w:rsidRPr="008E6B11">
        <w:rPr>
          <w:color w:val="000000" w:themeColor="text1"/>
          <w:szCs w:val="24"/>
        </w:rPr>
        <w:t>both</w:t>
      </w:r>
      <w:r w:rsidR="00180EE2" w:rsidRPr="008E6B11">
        <w:rPr>
          <w:color w:val="000000" w:themeColor="text1"/>
          <w:szCs w:val="24"/>
        </w:rPr>
        <w:t xml:space="preserve"> hand</w:t>
      </w:r>
      <w:r w:rsidR="00D774BF" w:rsidRPr="008E6B11">
        <w:rPr>
          <w:color w:val="000000" w:themeColor="text1"/>
          <w:szCs w:val="24"/>
        </w:rPr>
        <w:t>s</w:t>
      </w:r>
      <w:r w:rsidR="00402534" w:rsidRPr="008E6B11">
        <w:rPr>
          <w:color w:val="000000" w:themeColor="text1"/>
          <w:szCs w:val="24"/>
        </w:rPr>
        <w:t xml:space="preserve">, </w:t>
      </w:r>
      <w:r w:rsidR="003C69DB" w:rsidRPr="008E6B11">
        <w:rPr>
          <w:color w:val="000000" w:themeColor="text1"/>
          <w:szCs w:val="24"/>
        </w:rPr>
        <w:t xml:space="preserve">all </w:t>
      </w:r>
      <w:r w:rsidR="003C69DB" w:rsidRPr="008E6B11">
        <w:rPr>
          <w:i/>
          <w:color w:val="000000" w:themeColor="text1"/>
          <w:szCs w:val="24"/>
        </w:rPr>
        <w:t>r</w:t>
      </w:r>
      <w:r w:rsidR="003C69DB" w:rsidRPr="008E6B11">
        <w:rPr>
          <w:i/>
          <w:color w:val="000000" w:themeColor="text1"/>
          <w:szCs w:val="24"/>
          <w:vertAlign w:val="subscript"/>
        </w:rPr>
        <w:t>1</w:t>
      </w:r>
      <w:r w:rsidR="003C69DB" w:rsidRPr="008E6B11">
        <w:rPr>
          <w:color w:val="000000" w:themeColor="text1"/>
          <w:szCs w:val="24"/>
        </w:rPr>
        <w:t>’s</w:t>
      </w:r>
      <w:r w:rsidRPr="008E6B11">
        <w:rPr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>1.00;</w:t>
      </w:r>
      <w:r w:rsidR="00DD0333" w:rsidRPr="008E6B11">
        <w:rPr>
          <w:color w:val="000000" w:themeColor="text1"/>
          <w:szCs w:val="24"/>
        </w:rPr>
        <w:t xml:space="preserve"> all </w:t>
      </w:r>
      <w:r w:rsidR="003C69DB" w:rsidRPr="008E6B11">
        <w:rPr>
          <w:i/>
          <w:color w:val="000000" w:themeColor="text1"/>
          <w:szCs w:val="24"/>
        </w:rPr>
        <w:t>p</w:t>
      </w:r>
      <w:r w:rsidR="003C69DB" w:rsidRPr="008E6B11">
        <w:rPr>
          <w:color w:val="000000" w:themeColor="text1"/>
          <w:szCs w:val="24"/>
        </w:rPr>
        <w:t>’s</w:t>
      </w:r>
      <w:r w:rsidR="00D577D2" w:rsidRPr="008E6B11">
        <w:rPr>
          <w:color w:val="000000" w:themeColor="text1"/>
          <w:szCs w:val="24"/>
        </w:rPr>
        <w:t xml:space="preserve"> </w:t>
      </w:r>
      <w:r w:rsidR="003C69DB" w:rsidRPr="008E6B11">
        <w:rPr>
          <w:color w:val="000000" w:themeColor="text1"/>
          <w:szCs w:val="24"/>
        </w:rPr>
        <w:t>&lt;.001; two-tailed;</w:t>
      </w:r>
      <w:r w:rsidR="00FA1DAB" w:rsidRPr="008E6B11">
        <w:rPr>
          <w:color w:val="000000" w:themeColor="text1"/>
          <w:szCs w:val="24"/>
        </w:rPr>
        <w:t xml:space="preserve"> </w:t>
      </w:r>
      <w:r w:rsidR="003C69DB" w:rsidRPr="008E6B11">
        <w:rPr>
          <w:i/>
          <w:color w:val="000000" w:themeColor="text1"/>
          <w:szCs w:val="24"/>
        </w:rPr>
        <w:t>n</w:t>
      </w:r>
      <w:r w:rsidRPr="008E6B11">
        <w:rPr>
          <w:i/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 xml:space="preserve">273 to 275, </w:t>
      </w:r>
      <w:r w:rsidR="00180EE2" w:rsidRPr="008E6B11">
        <w:rPr>
          <w:color w:val="000000" w:themeColor="text1"/>
          <w:szCs w:val="24"/>
        </w:rPr>
        <w:t xml:space="preserve">with </w:t>
      </w:r>
      <w:r w:rsidR="00402534" w:rsidRPr="008E6B11">
        <w:rPr>
          <w:color w:val="000000" w:themeColor="text1"/>
          <w:szCs w:val="24"/>
        </w:rPr>
        <w:t>perfect</w:t>
      </w:r>
      <w:r w:rsidR="003C69DB" w:rsidRPr="008E6B11">
        <w:rPr>
          <w:color w:val="000000" w:themeColor="text1"/>
          <w:szCs w:val="24"/>
        </w:rPr>
        <w:t xml:space="preserve"> inter-</w:t>
      </w:r>
      <w:r w:rsidR="00CB09AB" w:rsidRPr="008E6B11">
        <w:rPr>
          <w:color w:val="000000" w:themeColor="text1"/>
          <w:szCs w:val="24"/>
        </w:rPr>
        <w:t xml:space="preserve"> rater</w:t>
      </w:r>
      <w:r w:rsidR="003C69DB" w:rsidRPr="008E6B11">
        <w:rPr>
          <w:color w:val="000000" w:themeColor="text1"/>
          <w:szCs w:val="24"/>
        </w:rPr>
        <w:t xml:space="preserve"> reliability</w:t>
      </w:r>
      <w:r w:rsidR="00180EE2" w:rsidRPr="008E6B11">
        <w:rPr>
          <w:color w:val="000000" w:themeColor="text1"/>
          <w:szCs w:val="24"/>
        </w:rPr>
        <w:t xml:space="preserve"> found in all cases</w:t>
      </w:r>
      <w:r w:rsidR="003C69DB" w:rsidRPr="008E6B11">
        <w:rPr>
          <w:color w:val="000000" w:themeColor="text1"/>
          <w:szCs w:val="24"/>
        </w:rPr>
        <w:t xml:space="preserve">. Mean </w:t>
      </w:r>
      <w:r w:rsidR="00286914" w:rsidRPr="008E6B11">
        <w:rPr>
          <w:color w:val="000000" w:themeColor="text1"/>
          <w:szCs w:val="24"/>
        </w:rPr>
        <w:t xml:space="preserve">digit lengths </w:t>
      </w:r>
      <w:r w:rsidR="003C69DB" w:rsidRPr="008E6B11">
        <w:rPr>
          <w:color w:val="000000" w:themeColor="text1"/>
          <w:szCs w:val="24"/>
        </w:rPr>
        <w:t xml:space="preserve">across the two </w:t>
      </w:r>
      <w:r w:rsidR="00CB09AB" w:rsidRPr="008E6B11">
        <w:rPr>
          <w:color w:val="000000" w:themeColor="text1"/>
          <w:szCs w:val="24"/>
        </w:rPr>
        <w:t>rater</w:t>
      </w:r>
      <w:r w:rsidR="003C69DB" w:rsidRPr="008E6B11">
        <w:rPr>
          <w:color w:val="000000" w:themeColor="text1"/>
          <w:szCs w:val="24"/>
        </w:rPr>
        <w:t xml:space="preserve">s were subsequently computed to </w:t>
      </w:r>
      <w:r w:rsidR="00D774BF" w:rsidRPr="008E6B11">
        <w:rPr>
          <w:color w:val="000000" w:themeColor="text1"/>
          <w:szCs w:val="24"/>
        </w:rPr>
        <w:t>generate</w:t>
      </w:r>
      <w:r w:rsidR="003C69DB" w:rsidRPr="008E6B11">
        <w:rPr>
          <w:color w:val="000000" w:themeColor="text1"/>
          <w:szCs w:val="24"/>
        </w:rPr>
        <w:t xml:space="preserve"> </w:t>
      </w:r>
      <w:r w:rsidR="00CB09AB" w:rsidRPr="008E6B11">
        <w:rPr>
          <w:color w:val="000000" w:themeColor="text1"/>
          <w:szCs w:val="24"/>
        </w:rPr>
        <w:t>indirect rater</w:t>
      </w:r>
      <w:r w:rsidR="00180EE2" w:rsidRPr="008E6B11">
        <w:rPr>
          <w:color w:val="000000" w:themeColor="text1"/>
          <w:szCs w:val="24"/>
        </w:rPr>
        <w:t>-</w:t>
      </w:r>
      <w:r w:rsidR="003C69DB" w:rsidRPr="008E6B11">
        <w:rPr>
          <w:color w:val="000000" w:themeColor="text1"/>
          <w:szCs w:val="24"/>
        </w:rPr>
        <w:t xml:space="preserve">based measurements (cf. Caswell &amp; Manning, 2009). </w:t>
      </w:r>
    </w:p>
    <w:p w:rsidR="007B0953" w:rsidRPr="008E6B11" w:rsidRDefault="00C568DE" w:rsidP="00FF6860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i/>
          <w:color w:val="000000" w:themeColor="text1"/>
          <w:szCs w:val="24"/>
        </w:rPr>
        <w:t xml:space="preserve">3.2.2 </w:t>
      </w:r>
      <w:r w:rsidR="00E668B6" w:rsidRPr="008E6B11">
        <w:rPr>
          <w:i/>
          <w:color w:val="000000" w:themeColor="text1"/>
          <w:szCs w:val="24"/>
        </w:rPr>
        <w:t xml:space="preserve">Descriptive </w:t>
      </w:r>
      <w:r w:rsidR="00535FA0" w:rsidRPr="008E6B11">
        <w:rPr>
          <w:i/>
          <w:color w:val="000000" w:themeColor="text1"/>
          <w:szCs w:val="24"/>
        </w:rPr>
        <w:t>Data</w:t>
      </w:r>
      <w:r w:rsidR="003C69DB" w:rsidRPr="008E6B11">
        <w:rPr>
          <w:i/>
          <w:color w:val="000000" w:themeColor="text1"/>
          <w:szCs w:val="24"/>
        </w:rPr>
        <w:t>:</w:t>
      </w:r>
      <w:r w:rsidR="003C69DB" w:rsidRPr="008E6B11">
        <w:rPr>
          <w:b/>
          <w:color w:val="000000" w:themeColor="text1"/>
          <w:szCs w:val="24"/>
        </w:rPr>
        <w:t xml:space="preserve"> </w:t>
      </w:r>
      <w:r w:rsidR="009E6287" w:rsidRPr="008E6B11">
        <w:rPr>
          <w:color w:val="000000" w:themeColor="text1"/>
          <w:szCs w:val="24"/>
        </w:rPr>
        <w:t>Normality</w:t>
      </w:r>
      <w:r w:rsidR="00D774BF" w:rsidRPr="008E6B11">
        <w:rPr>
          <w:color w:val="000000" w:themeColor="text1"/>
          <w:szCs w:val="24"/>
        </w:rPr>
        <w:t>, skew</w:t>
      </w:r>
      <w:r w:rsidR="009E6287" w:rsidRPr="008E6B11">
        <w:rPr>
          <w:color w:val="000000" w:themeColor="text1"/>
          <w:szCs w:val="24"/>
        </w:rPr>
        <w:t xml:space="preserve"> and </w:t>
      </w:r>
      <w:r w:rsidR="00D774BF" w:rsidRPr="008E6B11">
        <w:rPr>
          <w:color w:val="000000" w:themeColor="text1"/>
          <w:szCs w:val="24"/>
        </w:rPr>
        <w:t>means</w:t>
      </w:r>
      <w:r w:rsidR="009E6287" w:rsidRPr="008E6B11">
        <w:rPr>
          <w:color w:val="000000" w:themeColor="text1"/>
          <w:szCs w:val="24"/>
        </w:rPr>
        <w:t xml:space="preserve"> data for </w:t>
      </w:r>
      <w:r w:rsidR="006145B4" w:rsidRPr="008E6B11">
        <w:rPr>
          <w:color w:val="000000" w:themeColor="text1"/>
          <w:szCs w:val="24"/>
        </w:rPr>
        <w:t xml:space="preserve">direct </w:t>
      </w:r>
      <w:r w:rsidR="009E6287" w:rsidRPr="008E6B11">
        <w:rPr>
          <w:color w:val="000000" w:themeColor="text1"/>
          <w:szCs w:val="24"/>
        </w:rPr>
        <w:t xml:space="preserve">self and </w:t>
      </w:r>
      <w:r w:rsidR="00CB09AB" w:rsidRPr="008E6B11">
        <w:rPr>
          <w:color w:val="000000" w:themeColor="text1"/>
          <w:szCs w:val="24"/>
        </w:rPr>
        <w:t>indirect rater</w:t>
      </w:r>
      <w:r w:rsidR="009E6287" w:rsidRPr="008E6B11">
        <w:rPr>
          <w:color w:val="000000" w:themeColor="text1"/>
          <w:szCs w:val="24"/>
        </w:rPr>
        <w:t xml:space="preserve">-based digit-related measures across relevant digit (2D vs. 4D) </w:t>
      </w:r>
      <w:r w:rsidR="00FC0BC8" w:rsidRPr="008E6B11">
        <w:rPr>
          <w:color w:val="000000" w:themeColor="text1"/>
          <w:szCs w:val="24"/>
        </w:rPr>
        <w:sym w:font="Symbol" w:char="F0B4"/>
      </w:r>
      <w:r w:rsidR="009E6287" w:rsidRPr="008E6B11">
        <w:rPr>
          <w:color w:val="000000" w:themeColor="text1"/>
          <w:szCs w:val="24"/>
        </w:rPr>
        <w:t xml:space="preserve"> hand (left vs. right) combinations were examined, with </w:t>
      </w:r>
      <w:r w:rsidR="009E6287" w:rsidRPr="008E6B11">
        <w:rPr>
          <w:color w:val="000000" w:themeColor="text1"/>
        </w:rPr>
        <w:t>variance explained (e</w:t>
      </w:r>
      <w:r w:rsidR="009E6287" w:rsidRPr="008E6B11">
        <w:rPr>
          <w:i/>
          <w:color w:val="000000" w:themeColor="text1"/>
        </w:rPr>
        <w:t>ta</w:t>
      </w:r>
      <w:r w:rsidR="009E6287" w:rsidRPr="008E6B11">
        <w:rPr>
          <w:i/>
          <w:color w:val="000000" w:themeColor="text1"/>
          <w:vertAlign w:val="superscript"/>
        </w:rPr>
        <w:t>2</w:t>
      </w:r>
      <w:r w:rsidR="009E6287" w:rsidRPr="008E6B11">
        <w:rPr>
          <w:color w:val="000000" w:themeColor="text1"/>
        </w:rPr>
        <w:t xml:space="preserve">) figures calculated following guidelines </w:t>
      </w:r>
      <w:r w:rsidR="00C7034A" w:rsidRPr="008E6B11">
        <w:rPr>
          <w:color w:val="000000" w:themeColor="text1"/>
        </w:rPr>
        <w:t>in</w:t>
      </w:r>
      <w:r w:rsidR="009E6287" w:rsidRPr="008E6B11">
        <w:rPr>
          <w:color w:val="000000" w:themeColor="text1"/>
        </w:rPr>
        <w:t xml:space="preserve"> Fritz, Morris, and Richler (2012). </w:t>
      </w:r>
      <w:r w:rsidR="00E7537F" w:rsidRPr="008E6B11">
        <w:rPr>
          <w:color w:val="000000" w:themeColor="text1"/>
          <w:szCs w:val="24"/>
        </w:rPr>
        <w:t>Of the</w:t>
      </w:r>
      <w:r w:rsidR="003C69DB" w:rsidRPr="008E6B11">
        <w:rPr>
          <w:color w:val="000000" w:themeColor="text1"/>
          <w:szCs w:val="24"/>
        </w:rPr>
        <w:t xml:space="preserve"> </w:t>
      </w:r>
      <w:r w:rsidR="005A735F" w:rsidRPr="008E6B11">
        <w:rPr>
          <w:color w:val="000000" w:themeColor="text1"/>
          <w:szCs w:val="24"/>
        </w:rPr>
        <w:t>eighteen</w:t>
      </w:r>
      <w:r w:rsidR="00E7537F" w:rsidRPr="008E6B11">
        <w:rPr>
          <w:color w:val="000000" w:themeColor="text1"/>
          <w:szCs w:val="24"/>
        </w:rPr>
        <w:t xml:space="preserve"> </w:t>
      </w:r>
      <w:r w:rsidR="00533E9F" w:rsidRPr="008E6B11">
        <w:rPr>
          <w:color w:val="000000" w:themeColor="text1"/>
          <w:szCs w:val="24"/>
        </w:rPr>
        <w:t>digit-related measures</w:t>
      </w:r>
      <w:r w:rsidR="00E7537F" w:rsidRPr="008E6B11">
        <w:rPr>
          <w:color w:val="000000" w:themeColor="text1"/>
          <w:szCs w:val="24"/>
        </w:rPr>
        <w:t xml:space="preserve"> </w:t>
      </w:r>
      <w:r w:rsidR="005A735F" w:rsidRPr="008E6B11">
        <w:rPr>
          <w:color w:val="000000" w:themeColor="text1"/>
          <w:szCs w:val="24"/>
        </w:rPr>
        <w:t xml:space="preserve">thirteen were non-normal as follows: </w:t>
      </w:r>
      <w:r w:rsidR="00D313C4" w:rsidRPr="008E6B11">
        <w:rPr>
          <w:color w:val="000000" w:themeColor="text1"/>
          <w:szCs w:val="24"/>
        </w:rPr>
        <w:t>direct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="005A735F" w:rsidRPr="008E6B11">
        <w:rPr>
          <w:color w:val="000000" w:themeColor="text1"/>
          <w:szCs w:val="24"/>
        </w:rPr>
        <w:t xml:space="preserve"> 2D and 4D lengths</w:t>
      </w:r>
      <w:r w:rsidR="00D774BF" w:rsidRPr="008E6B11">
        <w:rPr>
          <w:color w:val="000000" w:themeColor="text1"/>
          <w:szCs w:val="24"/>
        </w:rPr>
        <w:t xml:space="preserve"> for both left and right hands, </w:t>
      </w:r>
      <w:r w:rsidR="005A735F" w:rsidRPr="008E6B11">
        <w:rPr>
          <w:color w:val="000000" w:themeColor="text1"/>
          <w:szCs w:val="24"/>
        </w:rPr>
        <w:t xml:space="preserve">all </w:t>
      </w:r>
      <w:r w:rsidR="005A735F" w:rsidRPr="008E6B11">
        <w:rPr>
          <w:i/>
          <w:color w:val="000000" w:themeColor="text1"/>
          <w:szCs w:val="24"/>
        </w:rPr>
        <w:t>Z</w:t>
      </w:r>
      <w:r w:rsidR="005A735F" w:rsidRPr="008E6B11">
        <w:rPr>
          <w:i/>
          <w:color w:val="000000" w:themeColor="text1"/>
          <w:szCs w:val="24"/>
          <w:vertAlign w:val="subscript"/>
        </w:rPr>
        <w:t>K-S</w:t>
      </w:r>
      <w:r w:rsidR="005A735F" w:rsidRPr="008E6B11">
        <w:rPr>
          <w:color w:val="000000" w:themeColor="text1"/>
          <w:szCs w:val="24"/>
        </w:rPr>
        <w:t xml:space="preserve"> from.12 to.14; </w:t>
      </w:r>
      <w:r w:rsidR="005A735F" w:rsidRPr="008E6B11">
        <w:rPr>
          <w:i/>
          <w:color w:val="000000" w:themeColor="text1"/>
          <w:szCs w:val="24"/>
        </w:rPr>
        <w:t>p</w:t>
      </w:r>
      <w:r w:rsidR="005A735F" w:rsidRPr="008E6B11">
        <w:rPr>
          <w:color w:val="000000" w:themeColor="text1"/>
          <w:szCs w:val="24"/>
        </w:rPr>
        <w:t xml:space="preserve">&lt;.001; </w:t>
      </w:r>
      <w:r w:rsidR="00CB09AB" w:rsidRPr="008E6B11">
        <w:rPr>
          <w:color w:val="000000" w:themeColor="text1"/>
          <w:szCs w:val="24"/>
        </w:rPr>
        <w:t>indirect rater</w:t>
      </w:r>
      <w:r w:rsidR="0056283F" w:rsidRPr="008E6B11">
        <w:rPr>
          <w:color w:val="000000" w:themeColor="text1"/>
          <w:szCs w:val="24"/>
        </w:rPr>
        <w:t>-based</w:t>
      </w:r>
      <w:r w:rsidR="005A735F" w:rsidRPr="008E6B11">
        <w:rPr>
          <w:color w:val="000000" w:themeColor="text1"/>
          <w:szCs w:val="24"/>
        </w:rPr>
        <w:t xml:space="preserve"> 2D</w:t>
      </w:r>
      <w:r w:rsidR="000B4D7B" w:rsidRPr="008E6B11">
        <w:rPr>
          <w:color w:val="000000" w:themeColor="text1"/>
          <w:szCs w:val="24"/>
        </w:rPr>
        <w:t xml:space="preserve"> </w:t>
      </w:r>
      <w:r w:rsidR="005A735F" w:rsidRPr="008E6B11">
        <w:rPr>
          <w:color w:val="000000" w:themeColor="text1"/>
          <w:szCs w:val="24"/>
        </w:rPr>
        <w:t>and 4D for the right hand</w:t>
      </w:r>
      <w:r w:rsidR="00D774BF" w:rsidRPr="008E6B11">
        <w:rPr>
          <w:color w:val="000000" w:themeColor="text1"/>
          <w:szCs w:val="24"/>
        </w:rPr>
        <w:t xml:space="preserve">, </w:t>
      </w:r>
      <w:r w:rsidR="000B4D7B" w:rsidRPr="008E6B11">
        <w:rPr>
          <w:i/>
          <w:color w:val="000000" w:themeColor="text1"/>
          <w:szCs w:val="24"/>
        </w:rPr>
        <w:t>Z</w:t>
      </w:r>
      <w:r w:rsidR="000B4D7B" w:rsidRPr="008E6B11">
        <w:rPr>
          <w:i/>
          <w:color w:val="000000" w:themeColor="text1"/>
          <w:szCs w:val="24"/>
          <w:vertAlign w:val="subscript"/>
        </w:rPr>
        <w:t>K-S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 xml:space="preserve">.07; </w:t>
      </w:r>
      <w:r w:rsidR="000B4D7B" w:rsidRPr="008E6B11">
        <w:rPr>
          <w:i/>
          <w:color w:val="000000" w:themeColor="text1"/>
          <w:szCs w:val="24"/>
        </w:rPr>
        <w:t>p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>.006 and</w:t>
      </w:r>
      <w:r w:rsidR="000B4D7B" w:rsidRPr="008E6B11">
        <w:rPr>
          <w:i/>
          <w:color w:val="000000" w:themeColor="text1"/>
          <w:szCs w:val="24"/>
        </w:rPr>
        <w:t xml:space="preserve"> Z</w:t>
      </w:r>
      <w:r w:rsidR="000B4D7B" w:rsidRPr="008E6B11">
        <w:rPr>
          <w:i/>
          <w:color w:val="000000" w:themeColor="text1"/>
          <w:szCs w:val="24"/>
          <w:vertAlign w:val="subscript"/>
        </w:rPr>
        <w:t>K-S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 xml:space="preserve">.06; </w:t>
      </w:r>
      <w:r w:rsidR="000B4D7B" w:rsidRPr="008E6B11">
        <w:rPr>
          <w:i/>
          <w:color w:val="000000" w:themeColor="text1"/>
          <w:szCs w:val="24"/>
        </w:rPr>
        <w:t>p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 xml:space="preserve">.012 respectively; </w:t>
      </w:r>
      <w:r w:rsidR="00D313C4" w:rsidRPr="008E6B11">
        <w:rPr>
          <w:color w:val="000000" w:themeColor="text1"/>
          <w:szCs w:val="24"/>
        </w:rPr>
        <w:t>direct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="000B4D7B" w:rsidRPr="008E6B11">
        <w:rPr>
          <w:color w:val="000000" w:themeColor="text1"/>
          <w:szCs w:val="24"/>
        </w:rPr>
        <w:t xml:space="preserve"> MDL</w:t>
      </w:r>
      <w:r w:rsidR="00D774BF" w:rsidRPr="008E6B11">
        <w:rPr>
          <w:color w:val="000000" w:themeColor="text1"/>
          <w:szCs w:val="24"/>
        </w:rPr>
        <w:t xml:space="preserve">, </w:t>
      </w:r>
      <w:r w:rsidR="000B4D7B" w:rsidRPr="008E6B11">
        <w:rPr>
          <w:i/>
          <w:color w:val="000000" w:themeColor="text1"/>
          <w:szCs w:val="24"/>
        </w:rPr>
        <w:t>Z</w:t>
      </w:r>
      <w:r w:rsidR="000B4D7B" w:rsidRPr="008E6B11">
        <w:rPr>
          <w:i/>
          <w:color w:val="000000" w:themeColor="text1"/>
          <w:szCs w:val="24"/>
          <w:vertAlign w:val="subscript"/>
        </w:rPr>
        <w:t>K-S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 xml:space="preserve">.12; </w:t>
      </w:r>
      <w:r w:rsidR="000B4D7B" w:rsidRPr="008E6B11">
        <w:rPr>
          <w:i/>
          <w:color w:val="000000" w:themeColor="text1"/>
          <w:szCs w:val="24"/>
        </w:rPr>
        <w:t>p</w:t>
      </w:r>
      <w:r w:rsidR="000B4D7B" w:rsidRPr="008E6B11">
        <w:rPr>
          <w:color w:val="000000" w:themeColor="text1"/>
          <w:szCs w:val="24"/>
        </w:rPr>
        <w:t xml:space="preserve">&lt;.001; </w:t>
      </w:r>
      <w:r w:rsidR="00D313C4" w:rsidRPr="008E6B11">
        <w:rPr>
          <w:color w:val="000000" w:themeColor="text1"/>
          <w:szCs w:val="24"/>
        </w:rPr>
        <w:t>direct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="000B4D7B" w:rsidRPr="008E6B11">
        <w:rPr>
          <w:color w:val="000000" w:themeColor="text1"/>
          <w:szCs w:val="24"/>
        </w:rPr>
        <w:t xml:space="preserve"> 2D:4D ratio</w:t>
      </w:r>
      <w:r w:rsidR="00D774BF" w:rsidRPr="008E6B11">
        <w:rPr>
          <w:color w:val="000000" w:themeColor="text1"/>
          <w:szCs w:val="24"/>
        </w:rPr>
        <w:t>s</w:t>
      </w:r>
      <w:r w:rsidR="000B4D7B" w:rsidRPr="008E6B11">
        <w:rPr>
          <w:color w:val="000000" w:themeColor="text1"/>
          <w:szCs w:val="24"/>
        </w:rPr>
        <w:t xml:space="preserve"> for both left and right hands</w:t>
      </w:r>
      <w:r w:rsidR="00D774BF" w:rsidRPr="008E6B11">
        <w:rPr>
          <w:color w:val="000000" w:themeColor="text1"/>
          <w:szCs w:val="24"/>
        </w:rPr>
        <w:t xml:space="preserve">, </w:t>
      </w:r>
      <w:r w:rsidR="000B4D7B" w:rsidRPr="008E6B11">
        <w:rPr>
          <w:i/>
          <w:color w:val="000000" w:themeColor="text1"/>
          <w:szCs w:val="24"/>
        </w:rPr>
        <w:t>Z</w:t>
      </w:r>
      <w:r w:rsidR="000B4D7B" w:rsidRPr="008E6B11">
        <w:rPr>
          <w:i/>
          <w:color w:val="000000" w:themeColor="text1"/>
          <w:szCs w:val="24"/>
          <w:vertAlign w:val="subscript"/>
        </w:rPr>
        <w:t>K-S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>.36</w:t>
      </w:r>
      <w:r w:rsidR="00D774BF" w:rsidRPr="008E6B11">
        <w:rPr>
          <w:color w:val="000000" w:themeColor="text1"/>
          <w:szCs w:val="24"/>
        </w:rPr>
        <w:t xml:space="preserve">; </w:t>
      </w:r>
      <w:r w:rsidR="00D774BF" w:rsidRPr="008E6B11">
        <w:rPr>
          <w:i/>
          <w:color w:val="000000" w:themeColor="text1"/>
          <w:szCs w:val="24"/>
        </w:rPr>
        <w:t>p</w:t>
      </w:r>
      <w:r w:rsidR="00D774BF" w:rsidRPr="008E6B11">
        <w:rPr>
          <w:color w:val="000000" w:themeColor="text1"/>
          <w:szCs w:val="24"/>
        </w:rPr>
        <w:t>&lt;.001</w:t>
      </w:r>
      <w:r w:rsidR="000B4D7B" w:rsidRPr="008E6B11">
        <w:rPr>
          <w:color w:val="000000" w:themeColor="text1"/>
          <w:szCs w:val="24"/>
        </w:rPr>
        <w:t xml:space="preserve"> and </w:t>
      </w:r>
      <w:r w:rsidR="000B4D7B" w:rsidRPr="008E6B11">
        <w:rPr>
          <w:i/>
          <w:color w:val="000000" w:themeColor="text1"/>
          <w:szCs w:val="24"/>
        </w:rPr>
        <w:t>Z</w:t>
      </w:r>
      <w:r w:rsidR="000B4D7B" w:rsidRPr="008E6B11">
        <w:rPr>
          <w:i/>
          <w:color w:val="000000" w:themeColor="text1"/>
          <w:szCs w:val="24"/>
          <w:vertAlign w:val="subscript"/>
        </w:rPr>
        <w:t>K-S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>.39</w:t>
      </w:r>
      <w:r w:rsidR="00D774BF" w:rsidRPr="008E6B11">
        <w:rPr>
          <w:color w:val="000000" w:themeColor="text1"/>
          <w:szCs w:val="24"/>
        </w:rPr>
        <w:t xml:space="preserve">; </w:t>
      </w:r>
      <w:r w:rsidR="00D774BF" w:rsidRPr="008E6B11">
        <w:rPr>
          <w:i/>
          <w:color w:val="000000" w:themeColor="text1"/>
          <w:szCs w:val="24"/>
        </w:rPr>
        <w:t>p</w:t>
      </w:r>
      <w:r w:rsidR="00D774BF" w:rsidRPr="008E6B11">
        <w:rPr>
          <w:color w:val="000000" w:themeColor="text1"/>
          <w:szCs w:val="24"/>
        </w:rPr>
        <w:t>&lt;.001</w:t>
      </w:r>
      <w:r w:rsidR="000B4D7B" w:rsidRPr="008E6B11">
        <w:rPr>
          <w:color w:val="000000" w:themeColor="text1"/>
          <w:szCs w:val="24"/>
        </w:rPr>
        <w:t xml:space="preserve"> respectively; </w:t>
      </w:r>
      <w:r w:rsidR="00CB09AB" w:rsidRPr="008E6B11">
        <w:rPr>
          <w:color w:val="000000" w:themeColor="text1"/>
          <w:szCs w:val="24"/>
        </w:rPr>
        <w:t>indirect rater</w:t>
      </w:r>
      <w:r w:rsidR="0056283F" w:rsidRPr="008E6B11">
        <w:rPr>
          <w:color w:val="000000" w:themeColor="text1"/>
          <w:szCs w:val="24"/>
        </w:rPr>
        <w:t>-based</w:t>
      </w:r>
      <w:r w:rsidR="000B4D7B" w:rsidRPr="008E6B11">
        <w:rPr>
          <w:color w:val="000000" w:themeColor="text1"/>
          <w:szCs w:val="24"/>
        </w:rPr>
        <w:t xml:space="preserve"> 2D:4D ratio for the right hand</w:t>
      </w:r>
      <w:r w:rsidR="00D774BF" w:rsidRPr="008E6B11">
        <w:rPr>
          <w:color w:val="000000" w:themeColor="text1"/>
          <w:szCs w:val="24"/>
        </w:rPr>
        <w:t xml:space="preserve">, </w:t>
      </w:r>
      <w:r w:rsidR="000B4D7B" w:rsidRPr="008E6B11">
        <w:rPr>
          <w:i/>
          <w:color w:val="000000" w:themeColor="text1"/>
          <w:szCs w:val="24"/>
        </w:rPr>
        <w:t>Z</w:t>
      </w:r>
      <w:r w:rsidR="000B4D7B" w:rsidRPr="008E6B11">
        <w:rPr>
          <w:i/>
          <w:color w:val="000000" w:themeColor="text1"/>
          <w:szCs w:val="24"/>
          <w:vertAlign w:val="subscript"/>
        </w:rPr>
        <w:t>K-S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 xml:space="preserve">.06; </w:t>
      </w:r>
      <w:r w:rsidR="000B4D7B" w:rsidRPr="008E6B11">
        <w:rPr>
          <w:i/>
          <w:color w:val="000000" w:themeColor="text1"/>
          <w:szCs w:val="24"/>
        </w:rPr>
        <w:t>p</w:t>
      </w:r>
      <w:r w:rsidRPr="008E6B11">
        <w:rPr>
          <w:color w:val="000000" w:themeColor="text1"/>
          <w:szCs w:val="24"/>
        </w:rPr>
        <w:t xml:space="preserve"> = </w:t>
      </w:r>
      <w:r w:rsidR="00D774BF" w:rsidRPr="008E6B11">
        <w:rPr>
          <w:color w:val="000000" w:themeColor="text1"/>
          <w:szCs w:val="24"/>
        </w:rPr>
        <w:t>.027;</w:t>
      </w:r>
      <w:r w:rsidR="000B4D7B" w:rsidRPr="008E6B11">
        <w:rPr>
          <w:color w:val="000000" w:themeColor="text1"/>
          <w:szCs w:val="24"/>
        </w:rPr>
        <w:t xml:space="preserve"> </w:t>
      </w:r>
      <w:r w:rsidR="00D313C4" w:rsidRPr="008E6B11">
        <w:rPr>
          <w:color w:val="000000" w:themeColor="text1"/>
          <w:szCs w:val="24"/>
        </w:rPr>
        <w:t>direct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="000B4D7B" w:rsidRPr="008E6B11">
        <w:rPr>
          <w:color w:val="000000" w:themeColor="text1"/>
          <w:szCs w:val="24"/>
        </w:rPr>
        <w:t xml:space="preserve"> </w:t>
      </w:r>
      <w:r w:rsidR="00D774BF" w:rsidRPr="008E6B11">
        <w:rPr>
          <w:color w:val="000000" w:themeColor="text1"/>
          <w:szCs w:val="24"/>
        </w:rPr>
        <w:t xml:space="preserve">DA, </w:t>
      </w:r>
      <w:r w:rsidR="000B4D7B" w:rsidRPr="008E6B11">
        <w:rPr>
          <w:i/>
          <w:color w:val="000000" w:themeColor="text1"/>
          <w:szCs w:val="24"/>
        </w:rPr>
        <w:t>Z</w:t>
      </w:r>
      <w:r w:rsidR="000B4D7B" w:rsidRPr="008E6B11">
        <w:rPr>
          <w:i/>
          <w:color w:val="000000" w:themeColor="text1"/>
          <w:szCs w:val="24"/>
          <w:vertAlign w:val="subscript"/>
        </w:rPr>
        <w:t>K-S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 xml:space="preserve">.37; </w:t>
      </w:r>
      <w:r w:rsidR="000B4D7B" w:rsidRPr="008E6B11">
        <w:rPr>
          <w:i/>
          <w:color w:val="000000" w:themeColor="text1"/>
          <w:szCs w:val="24"/>
        </w:rPr>
        <w:t>p</w:t>
      </w:r>
      <w:r w:rsidR="000B4D7B" w:rsidRPr="008E6B11">
        <w:rPr>
          <w:color w:val="000000" w:themeColor="text1"/>
          <w:szCs w:val="24"/>
        </w:rPr>
        <w:t>&lt;.001</w:t>
      </w:r>
      <w:r w:rsidR="00D774BF" w:rsidRPr="008E6B11">
        <w:rPr>
          <w:color w:val="000000" w:themeColor="text1"/>
          <w:szCs w:val="24"/>
        </w:rPr>
        <w:t>;</w:t>
      </w:r>
      <w:r w:rsidR="000B4D7B" w:rsidRPr="008E6B11">
        <w:rPr>
          <w:color w:val="000000" w:themeColor="text1"/>
          <w:szCs w:val="24"/>
        </w:rPr>
        <w:t xml:space="preserve"> and finally, both </w:t>
      </w:r>
      <w:r w:rsidR="00D313C4" w:rsidRPr="008E6B11">
        <w:rPr>
          <w:color w:val="000000" w:themeColor="text1"/>
          <w:szCs w:val="24"/>
        </w:rPr>
        <w:t>direct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="000B4D7B" w:rsidRPr="008E6B11">
        <w:rPr>
          <w:color w:val="000000" w:themeColor="text1"/>
          <w:szCs w:val="24"/>
        </w:rPr>
        <w:t xml:space="preserve"> and </w:t>
      </w:r>
      <w:r w:rsidR="00CB09AB" w:rsidRPr="008E6B11">
        <w:rPr>
          <w:color w:val="000000" w:themeColor="text1"/>
          <w:szCs w:val="24"/>
        </w:rPr>
        <w:t>indirect rater</w:t>
      </w:r>
      <w:r w:rsidR="0056283F" w:rsidRPr="008E6B11">
        <w:rPr>
          <w:color w:val="000000" w:themeColor="text1"/>
          <w:szCs w:val="24"/>
        </w:rPr>
        <w:t>-based</w:t>
      </w:r>
      <w:r w:rsidR="000B4D7B" w:rsidRPr="008E6B11">
        <w:rPr>
          <w:color w:val="000000" w:themeColor="text1"/>
          <w:szCs w:val="24"/>
        </w:rPr>
        <w:t xml:space="preserve"> </w:t>
      </w:r>
      <w:r w:rsidR="00D774BF" w:rsidRPr="008E6B11">
        <w:rPr>
          <w:color w:val="000000" w:themeColor="text1"/>
          <w:szCs w:val="24"/>
        </w:rPr>
        <w:t xml:space="preserve">FA, </w:t>
      </w:r>
      <w:r w:rsidR="000B4D7B" w:rsidRPr="008E6B11">
        <w:rPr>
          <w:i/>
          <w:color w:val="000000" w:themeColor="text1"/>
          <w:szCs w:val="24"/>
        </w:rPr>
        <w:t>Z</w:t>
      </w:r>
      <w:r w:rsidR="000B4D7B" w:rsidRPr="008E6B11">
        <w:rPr>
          <w:i/>
          <w:color w:val="000000" w:themeColor="text1"/>
          <w:szCs w:val="24"/>
          <w:vertAlign w:val="subscript"/>
        </w:rPr>
        <w:t>K-S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 xml:space="preserve">.16; </w:t>
      </w:r>
      <w:r w:rsidR="000B4D7B" w:rsidRPr="008E6B11">
        <w:rPr>
          <w:i/>
          <w:color w:val="000000" w:themeColor="text1"/>
          <w:szCs w:val="24"/>
        </w:rPr>
        <w:t>p</w:t>
      </w:r>
      <w:r w:rsidR="000B4D7B" w:rsidRPr="008E6B11">
        <w:rPr>
          <w:color w:val="000000" w:themeColor="text1"/>
          <w:szCs w:val="24"/>
        </w:rPr>
        <w:t>&lt;.001 and</w:t>
      </w:r>
      <w:r w:rsidR="000B4D7B" w:rsidRPr="008E6B11">
        <w:rPr>
          <w:i/>
          <w:color w:val="000000" w:themeColor="text1"/>
          <w:szCs w:val="24"/>
        </w:rPr>
        <w:t xml:space="preserve"> Z</w:t>
      </w:r>
      <w:r w:rsidR="000B4D7B" w:rsidRPr="008E6B11">
        <w:rPr>
          <w:i/>
          <w:color w:val="000000" w:themeColor="text1"/>
          <w:szCs w:val="24"/>
          <w:vertAlign w:val="subscript"/>
        </w:rPr>
        <w:t>K-S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 xml:space="preserve">.07; </w:t>
      </w:r>
      <w:r w:rsidR="000B4D7B" w:rsidRPr="008E6B11">
        <w:rPr>
          <w:i/>
          <w:color w:val="000000" w:themeColor="text1"/>
          <w:szCs w:val="24"/>
        </w:rPr>
        <w:t>p</w:t>
      </w:r>
      <w:r w:rsidRPr="008E6B11">
        <w:rPr>
          <w:color w:val="000000" w:themeColor="text1"/>
          <w:szCs w:val="24"/>
        </w:rPr>
        <w:t xml:space="preserve"> = </w:t>
      </w:r>
      <w:r w:rsidR="000B4D7B" w:rsidRPr="008E6B11">
        <w:rPr>
          <w:color w:val="000000" w:themeColor="text1"/>
          <w:szCs w:val="24"/>
        </w:rPr>
        <w:t xml:space="preserve">.007 respectively. </w:t>
      </w:r>
    </w:p>
    <w:p w:rsidR="003C305B" w:rsidRPr="008E6B11" w:rsidRDefault="009E6287" w:rsidP="00FF6860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With</w:t>
      </w:r>
      <w:r w:rsidR="000B4D7B" w:rsidRPr="008E6B11">
        <w:rPr>
          <w:color w:val="000000" w:themeColor="text1"/>
          <w:szCs w:val="24"/>
        </w:rPr>
        <w:t xml:space="preserve"> the Kolgomorov-Smirnov (</w:t>
      </w:r>
      <w:r w:rsidR="000B4D7B" w:rsidRPr="008E6B11">
        <w:rPr>
          <w:i/>
          <w:color w:val="000000" w:themeColor="text1"/>
          <w:szCs w:val="24"/>
        </w:rPr>
        <w:t>K-S</w:t>
      </w:r>
      <w:r w:rsidR="000B4D7B" w:rsidRPr="008E6B11">
        <w:rPr>
          <w:color w:val="000000" w:themeColor="text1"/>
          <w:szCs w:val="24"/>
        </w:rPr>
        <w:t>) test sensitive to sample size (Field, 2013), index of skew (</w:t>
      </w:r>
      <w:r w:rsidR="000B4D7B" w:rsidRPr="008E6B11">
        <w:rPr>
          <w:i/>
          <w:color w:val="000000" w:themeColor="text1"/>
          <w:szCs w:val="24"/>
        </w:rPr>
        <w:t>IS</w:t>
      </w:r>
      <w:r w:rsidR="000B4D7B" w:rsidRPr="008E6B11">
        <w:rPr>
          <w:color w:val="000000" w:themeColor="text1"/>
          <w:szCs w:val="24"/>
        </w:rPr>
        <w:t xml:space="preserve">) figures were also examined. </w:t>
      </w:r>
      <w:r w:rsidR="00D313C4" w:rsidRPr="008E6B11">
        <w:rPr>
          <w:color w:val="000000" w:themeColor="text1"/>
          <w:szCs w:val="24"/>
        </w:rPr>
        <w:t>Direct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Pr="008E6B11">
        <w:rPr>
          <w:color w:val="000000" w:themeColor="text1"/>
          <w:szCs w:val="24"/>
        </w:rPr>
        <w:t xml:space="preserve"> </w:t>
      </w:r>
      <w:r w:rsidR="00653BF6" w:rsidRPr="008E6B11">
        <w:rPr>
          <w:color w:val="000000" w:themeColor="text1"/>
          <w:szCs w:val="24"/>
        </w:rPr>
        <w:t>MDL</w:t>
      </w:r>
      <w:r w:rsidRPr="008E6B11">
        <w:rPr>
          <w:color w:val="000000" w:themeColor="text1"/>
          <w:szCs w:val="24"/>
        </w:rPr>
        <w:t xml:space="preserve"> </w:t>
      </w:r>
      <w:r w:rsidR="00653BF6" w:rsidRPr="008E6B11">
        <w:rPr>
          <w:color w:val="000000" w:themeColor="text1"/>
          <w:szCs w:val="24"/>
        </w:rPr>
        <w:t>was</w:t>
      </w:r>
      <w:r w:rsidRPr="008E6B11">
        <w:rPr>
          <w:color w:val="000000" w:themeColor="text1"/>
          <w:szCs w:val="24"/>
        </w:rPr>
        <w:t xml:space="preserve"> negatively skewed</w:t>
      </w:r>
      <w:r w:rsidR="00F90757" w:rsidRPr="008E6B11">
        <w:rPr>
          <w:color w:val="000000" w:themeColor="text1"/>
          <w:szCs w:val="24"/>
        </w:rPr>
        <w:t xml:space="preserve"> (</w:t>
      </w:r>
      <w:r w:rsidR="00F90757" w:rsidRPr="008E6B11">
        <w:rPr>
          <w:i/>
          <w:color w:val="000000" w:themeColor="text1"/>
          <w:szCs w:val="24"/>
        </w:rPr>
        <w:t>IS</w:t>
      </w:r>
      <w:r w:rsidR="00C568DE" w:rsidRPr="008E6B11">
        <w:rPr>
          <w:color w:val="000000" w:themeColor="text1"/>
          <w:szCs w:val="24"/>
        </w:rPr>
        <w:t xml:space="preserve"> = </w:t>
      </w:r>
      <w:r w:rsidR="00F90757" w:rsidRPr="008E6B11">
        <w:rPr>
          <w:color w:val="000000" w:themeColor="text1"/>
          <w:szCs w:val="24"/>
        </w:rPr>
        <w:t xml:space="preserve">-3.16) </w:t>
      </w:r>
      <w:r w:rsidRPr="008E6B11">
        <w:rPr>
          <w:color w:val="000000" w:themeColor="text1"/>
          <w:szCs w:val="24"/>
        </w:rPr>
        <w:t>whereas</w:t>
      </w:r>
      <w:r w:rsidR="00F90757" w:rsidRPr="008E6B11">
        <w:rPr>
          <w:color w:val="000000" w:themeColor="text1"/>
          <w:szCs w:val="24"/>
        </w:rPr>
        <w:t xml:space="preserve"> </w:t>
      </w:r>
      <w:r w:rsidR="00CB09AB" w:rsidRPr="008E6B11">
        <w:rPr>
          <w:color w:val="000000" w:themeColor="text1"/>
          <w:szCs w:val="24"/>
        </w:rPr>
        <w:t>indirect rater</w:t>
      </w:r>
      <w:r w:rsidR="00F90757" w:rsidRPr="008E6B11">
        <w:rPr>
          <w:color w:val="000000" w:themeColor="text1"/>
          <w:szCs w:val="24"/>
        </w:rPr>
        <w:t>-based</w:t>
      </w:r>
      <w:r w:rsidRPr="008E6B11">
        <w:rPr>
          <w:color w:val="000000" w:themeColor="text1"/>
          <w:szCs w:val="24"/>
        </w:rPr>
        <w:t xml:space="preserve"> </w:t>
      </w:r>
      <w:r w:rsidR="00653BF6" w:rsidRPr="008E6B11">
        <w:rPr>
          <w:color w:val="000000" w:themeColor="text1"/>
          <w:szCs w:val="24"/>
        </w:rPr>
        <w:t>MDL</w:t>
      </w:r>
      <w:r w:rsidRPr="008E6B11">
        <w:rPr>
          <w:color w:val="000000" w:themeColor="text1"/>
          <w:szCs w:val="24"/>
        </w:rPr>
        <w:t xml:space="preserve"> </w:t>
      </w:r>
      <w:r w:rsidR="00F90757" w:rsidRPr="008E6B11">
        <w:rPr>
          <w:color w:val="000000" w:themeColor="text1"/>
          <w:szCs w:val="24"/>
        </w:rPr>
        <w:t>(</w:t>
      </w:r>
      <w:r w:rsidR="00F90757" w:rsidRPr="008E6B11">
        <w:rPr>
          <w:i/>
          <w:color w:val="000000" w:themeColor="text1"/>
          <w:szCs w:val="24"/>
        </w:rPr>
        <w:t>IS</w:t>
      </w:r>
      <w:r w:rsidR="00C568DE" w:rsidRPr="008E6B11">
        <w:rPr>
          <w:color w:val="000000" w:themeColor="text1"/>
          <w:szCs w:val="24"/>
        </w:rPr>
        <w:t xml:space="preserve"> = </w:t>
      </w:r>
      <w:r w:rsidR="00F90757" w:rsidRPr="008E6B11">
        <w:rPr>
          <w:color w:val="000000" w:themeColor="text1"/>
          <w:szCs w:val="24"/>
        </w:rPr>
        <w:t xml:space="preserve">.25) </w:t>
      </w:r>
      <w:r w:rsidR="00653BF6" w:rsidRPr="008E6B11">
        <w:rPr>
          <w:color w:val="000000" w:themeColor="text1"/>
          <w:szCs w:val="24"/>
        </w:rPr>
        <w:t>was</w:t>
      </w:r>
      <w:r w:rsidRPr="008E6B11">
        <w:rPr>
          <w:color w:val="000000" w:themeColor="text1"/>
          <w:szCs w:val="24"/>
        </w:rPr>
        <w:t xml:space="preserve"> not. </w:t>
      </w:r>
      <w:r w:rsidR="00C7034A" w:rsidRPr="008E6B11">
        <w:rPr>
          <w:color w:val="000000" w:themeColor="text1"/>
          <w:szCs w:val="24"/>
        </w:rPr>
        <w:t>D</w:t>
      </w:r>
      <w:r w:rsidR="00D313C4" w:rsidRPr="008E6B11">
        <w:rPr>
          <w:color w:val="000000" w:themeColor="text1"/>
          <w:szCs w:val="24"/>
        </w:rPr>
        <w:t>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="00F90757" w:rsidRPr="008E6B11">
        <w:rPr>
          <w:color w:val="000000" w:themeColor="text1"/>
          <w:szCs w:val="24"/>
        </w:rPr>
        <w:t xml:space="preserve"> </w:t>
      </w:r>
      <w:r w:rsidR="00653BF6" w:rsidRPr="008E6B11">
        <w:rPr>
          <w:color w:val="000000" w:themeColor="text1"/>
          <w:szCs w:val="24"/>
        </w:rPr>
        <w:t>2</w:t>
      </w:r>
      <w:r w:rsidR="006145B4" w:rsidRPr="008E6B11">
        <w:rPr>
          <w:color w:val="000000" w:themeColor="text1"/>
          <w:szCs w:val="24"/>
        </w:rPr>
        <w:t>D</w:t>
      </w:r>
      <w:r w:rsidR="00653BF6" w:rsidRPr="008E6B11">
        <w:rPr>
          <w:color w:val="000000" w:themeColor="text1"/>
          <w:szCs w:val="24"/>
        </w:rPr>
        <w:t>:4</w:t>
      </w:r>
      <w:r w:rsidR="006145B4" w:rsidRPr="008E6B11">
        <w:rPr>
          <w:color w:val="000000" w:themeColor="text1"/>
          <w:szCs w:val="24"/>
        </w:rPr>
        <w:t>D</w:t>
      </w:r>
      <w:r w:rsidR="00653BF6" w:rsidRPr="008E6B11">
        <w:rPr>
          <w:color w:val="000000" w:themeColor="text1"/>
          <w:szCs w:val="24"/>
        </w:rPr>
        <w:t xml:space="preserve"> ratios </w:t>
      </w:r>
      <w:r w:rsidR="003C305B" w:rsidRPr="008E6B11">
        <w:rPr>
          <w:color w:val="000000" w:themeColor="text1"/>
          <w:szCs w:val="24"/>
        </w:rPr>
        <w:t>for</w:t>
      </w:r>
      <w:r w:rsidR="00F90757" w:rsidRPr="008E6B11">
        <w:rPr>
          <w:color w:val="000000" w:themeColor="text1"/>
          <w:szCs w:val="24"/>
        </w:rPr>
        <w:t xml:space="preserve"> </w:t>
      </w:r>
      <w:r w:rsidRPr="008E6B11">
        <w:rPr>
          <w:color w:val="000000" w:themeColor="text1"/>
          <w:szCs w:val="24"/>
        </w:rPr>
        <w:t xml:space="preserve">both </w:t>
      </w:r>
      <w:r w:rsidR="003C305B" w:rsidRPr="008E6B11">
        <w:rPr>
          <w:color w:val="000000" w:themeColor="text1"/>
          <w:szCs w:val="24"/>
        </w:rPr>
        <w:t xml:space="preserve">left and right hands </w:t>
      </w:r>
      <w:r w:rsidRPr="008E6B11">
        <w:rPr>
          <w:color w:val="000000" w:themeColor="text1"/>
          <w:szCs w:val="24"/>
        </w:rPr>
        <w:t>were also negatively skewed</w:t>
      </w:r>
      <w:r w:rsidR="00F90757" w:rsidRPr="008E6B11">
        <w:rPr>
          <w:color w:val="000000" w:themeColor="text1"/>
          <w:szCs w:val="24"/>
        </w:rPr>
        <w:t xml:space="preserve"> (</w:t>
      </w:r>
      <w:r w:rsidR="00F90757" w:rsidRPr="008E6B11">
        <w:rPr>
          <w:i/>
          <w:color w:val="000000" w:themeColor="text1"/>
          <w:szCs w:val="24"/>
        </w:rPr>
        <w:t>IS</w:t>
      </w:r>
      <w:r w:rsidR="00C568DE" w:rsidRPr="008E6B11">
        <w:rPr>
          <w:color w:val="000000" w:themeColor="text1"/>
          <w:szCs w:val="24"/>
        </w:rPr>
        <w:t xml:space="preserve"> = </w:t>
      </w:r>
      <w:r w:rsidR="00F90757" w:rsidRPr="008E6B11">
        <w:rPr>
          <w:color w:val="000000" w:themeColor="text1"/>
          <w:szCs w:val="24"/>
        </w:rPr>
        <w:t xml:space="preserve">-.18 and -1.30 respectively) </w:t>
      </w:r>
      <w:r w:rsidRPr="008E6B11">
        <w:rPr>
          <w:color w:val="000000" w:themeColor="text1"/>
          <w:szCs w:val="24"/>
        </w:rPr>
        <w:t>unlike</w:t>
      </w:r>
      <w:r w:rsidR="00F90757" w:rsidRPr="008E6B11">
        <w:rPr>
          <w:color w:val="000000" w:themeColor="text1"/>
          <w:szCs w:val="24"/>
        </w:rPr>
        <w:t xml:space="preserve"> </w:t>
      </w:r>
      <w:r w:rsidR="00CB09AB" w:rsidRPr="008E6B11">
        <w:rPr>
          <w:color w:val="000000" w:themeColor="text1"/>
          <w:szCs w:val="24"/>
        </w:rPr>
        <w:t>indirect rater</w:t>
      </w:r>
      <w:r w:rsidR="00F90757" w:rsidRPr="008E6B11">
        <w:rPr>
          <w:color w:val="000000" w:themeColor="text1"/>
          <w:szCs w:val="24"/>
        </w:rPr>
        <w:t>-based ratios</w:t>
      </w:r>
      <w:r w:rsidRPr="008E6B11">
        <w:rPr>
          <w:color w:val="000000" w:themeColor="text1"/>
          <w:szCs w:val="24"/>
        </w:rPr>
        <w:t xml:space="preserve"> </w:t>
      </w:r>
      <w:r w:rsidR="00F90757" w:rsidRPr="008E6B11">
        <w:rPr>
          <w:color w:val="000000" w:themeColor="text1"/>
          <w:szCs w:val="24"/>
        </w:rPr>
        <w:t>(</w:t>
      </w:r>
      <w:r w:rsidR="00F90757" w:rsidRPr="008E6B11">
        <w:rPr>
          <w:i/>
          <w:color w:val="000000" w:themeColor="text1"/>
          <w:szCs w:val="24"/>
        </w:rPr>
        <w:t>IS</w:t>
      </w:r>
      <w:r w:rsidR="00C568DE" w:rsidRPr="008E6B11">
        <w:rPr>
          <w:color w:val="000000" w:themeColor="text1"/>
          <w:szCs w:val="24"/>
        </w:rPr>
        <w:t xml:space="preserve"> = </w:t>
      </w:r>
      <w:r w:rsidR="00F90757" w:rsidRPr="008E6B11">
        <w:rPr>
          <w:color w:val="000000" w:themeColor="text1"/>
          <w:szCs w:val="24"/>
        </w:rPr>
        <w:t xml:space="preserve">.17 and .18 respectively). </w:t>
      </w:r>
      <w:r w:rsidR="00C7034A" w:rsidRPr="008E6B11">
        <w:rPr>
          <w:color w:val="000000" w:themeColor="text1"/>
          <w:szCs w:val="24"/>
        </w:rPr>
        <w:t>Similarly, d</w:t>
      </w:r>
      <w:r w:rsidR="00D313C4" w:rsidRPr="008E6B11">
        <w:rPr>
          <w:color w:val="000000" w:themeColor="text1"/>
          <w:szCs w:val="24"/>
        </w:rPr>
        <w:t>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="00C7034A" w:rsidRPr="008E6B11">
        <w:rPr>
          <w:color w:val="000000" w:themeColor="text1"/>
          <w:szCs w:val="24"/>
        </w:rPr>
        <w:t xml:space="preserve"> but not </w:t>
      </w:r>
      <w:r w:rsidR="00CB09AB" w:rsidRPr="008E6B11">
        <w:rPr>
          <w:color w:val="000000" w:themeColor="text1"/>
          <w:szCs w:val="24"/>
        </w:rPr>
        <w:t>indirect rater</w:t>
      </w:r>
      <w:r w:rsidRPr="008E6B11">
        <w:rPr>
          <w:color w:val="000000" w:themeColor="text1"/>
          <w:szCs w:val="24"/>
        </w:rPr>
        <w:t>-based</w:t>
      </w:r>
      <w:r w:rsidR="003C305B" w:rsidRPr="008E6B11">
        <w:rPr>
          <w:color w:val="000000" w:themeColor="text1"/>
          <w:szCs w:val="24"/>
        </w:rPr>
        <w:t>, DA</w:t>
      </w:r>
      <w:r w:rsidRPr="008E6B11">
        <w:rPr>
          <w:color w:val="000000" w:themeColor="text1"/>
          <w:szCs w:val="24"/>
        </w:rPr>
        <w:t xml:space="preserve"> </w:t>
      </w:r>
      <w:r w:rsidR="00F90757" w:rsidRPr="008E6B11">
        <w:rPr>
          <w:color w:val="000000" w:themeColor="text1"/>
          <w:szCs w:val="24"/>
        </w:rPr>
        <w:t xml:space="preserve">presented </w:t>
      </w:r>
      <w:r w:rsidR="003C305B" w:rsidRPr="008E6B11">
        <w:rPr>
          <w:color w:val="000000" w:themeColor="text1"/>
          <w:szCs w:val="24"/>
        </w:rPr>
        <w:t xml:space="preserve">slight </w:t>
      </w:r>
      <w:r w:rsidR="00F90757" w:rsidRPr="008E6B11">
        <w:rPr>
          <w:color w:val="000000" w:themeColor="text1"/>
          <w:szCs w:val="24"/>
        </w:rPr>
        <w:t xml:space="preserve">negative skew </w:t>
      </w:r>
      <w:r w:rsidRPr="008E6B11">
        <w:rPr>
          <w:color w:val="000000" w:themeColor="text1"/>
          <w:szCs w:val="24"/>
        </w:rPr>
        <w:t>(</w:t>
      </w:r>
      <w:r w:rsidRPr="008E6B11">
        <w:rPr>
          <w:i/>
          <w:color w:val="000000" w:themeColor="text1"/>
          <w:szCs w:val="24"/>
        </w:rPr>
        <w:t>IS</w:t>
      </w:r>
      <w:r w:rsidRPr="008E6B11">
        <w:rPr>
          <w:color w:val="000000" w:themeColor="text1"/>
          <w:szCs w:val="24"/>
        </w:rPr>
        <w:t xml:space="preserve"> of -.80 and -.25 respectively)</w:t>
      </w:r>
      <w:r w:rsidR="00C7034A" w:rsidRPr="008E6B11">
        <w:rPr>
          <w:color w:val="000000" w:themeColor="text1"/>
          <w:szCs w:val="24"/>
        </w:rPr>
        <w:t>. In contrast, d</w:t>
      </w:r>
      <w:r w:rsidR="006145B4" w:rsidRPr="008E6B11">
        <w:rPr>
          <w:color w:val="000000" w:themeColor="text1"/>
          <w:szCs w:val="24"/>
        </w:rPr>
        <w:t xml:space="preserve">irect </w:t>
      </w:r>
      <w:r w:rsidR="005A735F" w:rsidRPr="008E6B11">
        <w:rPr>
          <w:color w:val="000000" w:themeColor="text1"/>
          <w:szCs w:val="24"/>
        </w:rPr>
        <w:t xml:space="preserve">self and </w:t>
      </w:r>
      <w:r w:rsidR="00CB09AB" w:rsidRPr="008E6B11">
        <w:rPr>
          <w:color w:val="000000" w:themeColor="text1"/>
          <w:szCs w:val="24"/>
        </w:rPr>
        <w:t>indirect rater</w:t>
      </w:r>
      <w:r w:rsidR="005A735F" w:rsidRPr="008E6B11">
        <w:rPr>
          <w:color w:val="000000" w:themeColor="text1"/>
          <w:szCs w:val="24"/>
        </w:rPr>
        <w:t xml:space="preserve">-based </w:t>
      </w:r>
      <w:r w:rsidR="003C305B" w:rsidRPr="008E6B11">
        <w:rPr>
          <w:color w:val="000000" w:themeColor="text1"/>
          <w:szCs w:val="24"/>
        </w:rPr>
        <w:t>FA</w:t>
      </w:r>
      <w:r w:rsidR="00C7034A" w:rsidRPr="008E6B11">
        <w:rPr>
          <w:color w:val="000000" w:themeColor="text1"/>
          <w:szCs w:val="24"/>
        </w:rPr>
        <w:t xml:space="preserve"> </w:t>
      </w:r>
      <w:r w:rsidR="005A735F" w:rsidRPr="008E6B11">
        <w:rPr>
          <w:color w:val="000000" w:themeColor="text1"/>
          <w:szCs w:val="24"/>
        </w:rPr>
        <w:t>present</w:t>
      </w:r>
      <w:r w:rsidR="003C305B" w:rsidRPr="008E6B11">
        <w:rPr>
          <w:color w:val="000000" w:themeColor="text1"/>
          <w:szCs w:val="24"/>
        </w:rPr>
        <w:t>ed</w:t>
      </w:r>
      <w:r w:rsidR="005A735F" w:rsidRPr="008E6B11">
        <w:rPr>
          <w:color w:val="000000" w:themeColor="text1"/>
          <w:szCs w:val="24"/>
        </w:rPr>
        <w:t xml:space="preserve"> </w:t>
      </w:r>
      <w:r w:rsidR="003C305B" w:rsidRPr="008E6B11">
        <w:rPr>
          <w:color w:val="000000" w:themeColor="text1"/>
          <w:szCs w:val="24"/>
        </w:rPr>
        <w:t xml:space="preserve">positive skew; </w:t>
      </w:r>
      <w:r w:rsidRPr="008E6B11">
        <w:rPr>
          <w:color w:val="000000" w:themeColor="text1"/>
          <w:szCs w:val="24"/>
        </w:rPr>
        <w:t>the former noticeably large (</w:t>
      </w:r>
      <w:r w:rsidRPr="008E6B11">
        <w:rPr>
          <w:i/>
          <w:color w:val="000000" w:themeColor="text1"/>
          <w:szCs w:val="24"/>
        </w:rPr>
        <w:t>IS</w:t>
      </w:r>
      <w:r w:rsidR="00C568DE" w:rsidRPr="008E6B11">
        <w:rPr>
          <w:color w:val="000000" w:themeColor="text1"/>
          <w:szCs w:val="24"/>
        </w:rPr>
        <w:t xml:space="preserve"> = </w:t>
      </w:r>
      <w:r w:rsidRPr="008E6B11">
        <w:rPr>
          <w:color w:val="000000" w:themeColor="text1"/>
          <w:szCs w:val="24"/>
        </w:rPr>
        <w:t xml:space="preserve">2.77 and .70 respectively). </w:t>
      </w:r>
      <w:r w:rsidR="00DF6CE1" w:rsidRPr="008E6B11">
        <w:rPr>
          <w:color w:val="000000" w:themeColor="text1"/>
          <w:szCs w:val="24"/>
        </w:rPr>
        <w:t>N</w:t>
      </w:r>
      <w:r w:rsidR="00F91E6D" w:rsidRPr="008E6B11">
        <w:rPr>
          <w:color w:val="000000" w:themeColor="text1"/>
          <w:szCs w:val="24"/>
        </w:rPr>
        <w:t xml:space="preserve">o outliers were removed with all </w:t>
      </w:r>
      <w:r w:rsidR="00A94C30" w:rsidRPr="008E6B11">
        <w:rPr>
          <w:color w:val="000000" w:themeColor="text1"/>
          <w:szCs w:val="24"/>
        </w:rPr>
        <w:t xml:space="preserve">data </w:t>
      </w:r>
      <w:r w:rsidR="00C7034A" w:rsidRPr="008E6B11">
        <w:rPr>
          <w:color w:val="000000" w:themeColor="text1"/>
          <w:szCs w:val="24"/>
        </w:rPr>
        <w:t>retained</w:t>
      </w:r>
      <w:r w:rsidR="00A94C30" w:rsidRPr="008E6B11">
        <w:rPr>
          <w:color w:val="000000" w:themeColor="text1"/>
          <w:szCs w:val="24"/>
        </w:rPr>
        <w:t>.</w:t>
      </w:r>
      <w:r w:rsidR="000773C1" w:rsidRPr="008E6B11">
        <w:rPr>
          <w:color w:val="000000" w:themeColor="text1"/>
          <w:szCs w:val="24"/>
        </w:rPr>
        <w:t xml:space="preserve"> </w:t>
      </w:r>
      <w:r w:rsidR="00180EE2" w:rsidRPr="008E6B11">
        <w:rPr>
          <w:color w:val="000000" w:themeColor="text1"/>
          <w:szCs w:val="24"/>
        </w:rPr>
        <w:t>S</w:t>
      </w:r>
      <w:r w:rsidR="000773C1" w:rsidRPr="008E6B11">
        <w:rPr>
          <w:color w:val="000000" w:themeColor="text1"/>
          <w:szCs w:val="24"/>
        </w:rPr>
        <w:t>ubsequent analyses employed non-parametric two-tailed tests.</w:t>
      </w:r>
      <w:r w:rsidR="00976111" w:rsidRPr="008E6B11">
        <w:rPr>
          <w:color w:val="000000" w:themeColor="text1"/>
          <w:szCs w:val="24"/>
        </w:rPr>
        <w:t xml:space="preserve"> </w:t>
      </w:r>
    </w:p>
    <w:p w:rsidR="00E93F5D" w:rsidRPr="008E6B11" w:rsidRDefault="00C568DE" w:rsidP="00E93F5D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i/>
          <w:color w:val="000000" w:themeColor="text1"/>
          <w:szCs w:val="24"/>
        </w:rPr>
        <w:t xml:space="preserve">3.2.3 </w:t>
      </w:r>
      <w:r w:rsidR="00E93F5D" w:rsidRPr="008E6B11">
        <w:rPr>
          <w:i/>
          <w:color w:val="000000" w:themeColor="text1"/>
          <w:szCs w:val="24"/>
        </w:rPr>
        <w:t>Measurement Source</w:t>
      </w:r>
      <w:r w:rsidR="00E93F5D" w:rsidRPr="008E6B11">
        <w:rPr>
          <w:color w:val="000000" w:themeColor="text1"/>
          <w:szCs w:val="24"/>
        </w:rPr>
        <w:t xml:space="preserve">: Wilcoxon signed-ranks tests revealed </w:t>
      </w:r>
      <w:r w:rsidR="00D313C4" w:rsidRPr="008E6B11">
        <w:rPr>
          <w:color w:val="000000" w:themeColor="text1"/>
          <w:szCs w:val="24"/>
        </w:rPr>
        <w:t>direct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="00E93F5D" w:rsidRPr="008E6B11">
        <w:rPr>
          <w:color w:val="000000" w:themeColor="text1"/>
          <w:szCs w:val="24"/>
        </w:rPr>
        <w:t xml:space="preserve"> 2D to be higher than </w:t>
      </w:r>
      <w:r w:rsidR="00CB09AB" w:rsidRPr="008E6B11">
        <w:rPr>
          <w:color w:val="000000" w:themeColor="text1"/>
          <w:szCs w:val="24"/>
        </w:rPr>
        <w:t>indirect rater</w:t>
      </w:r>
      <w:r w:rsidR="00E93F5D" w:rsidRPr="008E6B11">
        <w:rPr>
          <w:color w:val="000000" w:themeColor="text1"/>
          <w:szCs w:val="24"/>
        </w:rPr>
        <w:t>-based 2D for both left</w:t>
      </w:r>
      <w:r w:rsidR="003C305B" w:rsidRPr="008E6B11">
        <w:rPr>
          <w:color w:val="000000" w:themeColor="text1"/>
          <w:szCs w:val="24"/>
        </w:rPr>
        <w:t xml:space="preserve"> and right hands</w:t>
      </w:r>
      <w:r w:rsidR="00A40D28" w:rsidRPr="008E6B11">
        <w:rPr>
          <w:color w:val="000000" w:themeColor="text1"/>
          <w:szCs w:val="24"/>
        </w:rPr>
        <w:t xml:space="preserve">, </w:t>
      </w:r>
      <w:r w:rsidR="00E93F5D" w:rsidRPr="008E6B11">
        <w:rPr>
          <w:i/>
          <w:color w:val="000000" w:themeColor="text1"/>
          <w:szCs w:val="24"/>
        </w:rPr>
        <w:t>T</w:t>
      </w:r>
      <w:r w:rsidRPr="008E6B11">
        <w:rPr>
          <w:color w:val="000000" w:themeColor="text1"/>
          <w:szCs w:val="24"/>
        </w:rPr>
        <w:t xml:space="preserve"> = </w:t>
      </w:r>
      <w:r w:rsidR="00E93F5D" w:rsidRPr="008E6B11">
        <w:rPr>
          <w:color w:val="000000" w:themeColor="text1"/>
          <w:szCs w:val="24"/>
        </w:rPr>
        <w:t xml:space="preserve">-8.92; </w:t>
      </w:r>
      <w:r w:rsidR="00E93F5D" w:rsidRPr="008E6B11">
        <w:rPr>
          <w:i/>
          <w:color w:val="000000" w:themeColor="text1"/>
          <w:szCs w:val="24"/>
        </w:rPr>
        <w:t>p</w:t>
      </w:r>
      <w:r w:rsidR="00E93F5D" w:rsidRPr="008E6B11">
        <w:rPr>
          <w:color w:val="000000" w:themeColor="text1"/>
          <w:szCs w:val="24"/>
        </w:rPr>
        <w:t>&lt;.001</w:t>
      </w:r>
      <w:r w:rsidR="003C305B" w:rsidRPr="008E6B11">
        <w:rPr>
          <w:color w:val="000000" w:themeColor="text1"/>
          <w:szCs w:val="24"/>
        </w:rPr>
        <w:t xml:space="preserve"> and </w:t>
      </w:r>
      <w:r w:rsidR="00E93F5D" w:rsidRPr="008E6B11">
        <w:rPr>
          <w:i/>
          <w:color w:val="000000" w:themeColor="text1"/>
          <w:szCs w:val="24"/>
        </w:rPr>
        <w:t>T</w:t>
      </w:r>
      <w:r w:rsidRPr="008E6B11">
        <w:rPr>
          <w:color w:val="000000" w:themeColor="text1"/>
          <w:szCs w:val="24"/>
        </w:rPr>
        <w:t xml:space="preserve"> = </w:t>
      </w:r>
      <w:r w:rsidR="00E93F5D" w:rsidRPr="008E6B11">
        <w:rPr>
          <w:color w:val="000000" w:themeColor="text1"/>
          <w:szCs w:val="24"/>
        </w:rPr>
        <w:t xml:space="preserve">-3.81; </w:t>
      </w:r>
      <w:r w:rsidR="00E93F5D" w:rsidRPr="008E6B11">
        <w:rPr>
          <w:i/>
          <w:color w:val="000000" w:themeColor="text1"/>
          <w:szCs w:val="24"/>
        </w:rPr>
        <w:t>p</w:t>
      </w:r>
      <w:r w:rsidR="00E93F5D" w:rsidRPr="008E6B11">
        <w:rPr>
          <w:color w:val="000000" w:themeColor="text1"/>
          <w:szCs w:val="24"/>
        </w:rPr>
        <w:t>&lt;.001</w:t>
      </w:r>
      <w:r w:rsidR="003C305B" w:rsidRPr="008E6B11">
        <w:rPr>
          <w:color w:val="000000" w:themeColor="text1"/>
          <w:szCs w:val="24"/>
        </w:rPr>
        <w:t xml:space="preserve"> respectively</w:t>
      </w:r>
      <w:r w:rsidR="00E93F5D" w:rsidRPr="008E6B11">
        <w:rPr>
          <w:color w:val="000000" w:themeColor="text1"/>
          <w:szCs w:val="24"/>
        </w:rPr>
        <w:t xml:space="preserve">. The same was also true of </w:t>
      </w:r>
      <w:r w:rsidR="00CB09AB" w:rsidRPr="008E6B11">
        <w:rPr>
          <w:color w:val="000000" w:themeColor="text1"/>
          <w:szCs w:val="24"/>
        </w:rPr>
        <w:t>indirect rater</w:t>
      </w:r>
      <w:r w:rsidR="004939BE" w:rsidRPr="008E6B11">
        <w:rPr>
          <w:color w:val="000000" w:themeColor="text1"/>
          <w:szCs w:val="24"/>
        </w:rPr>
        <w:t xml:space="preserve">-based </w:t>
      </w:r>
      <w:r w:rsidR="006145B4" w:rsidRPr="008E6B11">
        <w:rPr>
          <w:color w:val="000000" w:themeColor="text1"/>
          <w:szCs w:val="24"/>
        </w:rPr>
        <w:t xml:space="preserve">4D for the </w:t>
      </w:r>
      <w:r w:rsidR="00E93F5D" w:rsidRPr="008E6B11">
        <w:rPr>
          <w:color w:val="000000" w:themeColor="text1"/>
          <w:szCs w:val="24"/>
        </w:rPr>
        <w:t>left</w:t>
      </w:r>
      <w:r w:rsidR="00A40D28" w:rsidRPr="008E6B11">
        <w:rPr>
          <w:color w:val="000000" w:themeColor="text1"/>
          <w:szCs w:val="24"/>
        </w:rPr>
        <w:t xml:space="preserve">, </w:t>
      </w:r>
      <w:r w:rsidR="00E93F5D" w:rsidRPr="008E6B11">
        <w:rPr>
          <w:i/>
          <w:color w:val="000000" w:themeColor="text1"/>
          <w:szCs w:val="24"/>
        </w:rPr>
        <w:t>T</w:t>
      </w:r>
      <w:r w:rsidRPr="008E6B11">
        <w:rPr>
          <w:color w:val="000000" w:themeColor="text1"/>
          <w:szCs w:val="24"/>
        </w:rPr>
        <w:t xml:space="preserve"> = </w:t>
      </w:r>
      <w:r w:rsidR="00E93F5D" w:rsidRPr="008E6B11">
        <w:rPr>
          <w:color w:val="000000" w:themeColor="text1"/>
          <w:szCs w:val="24"/>
        </w:rPr>
        <w:t xml:space="preserve">-2.51; </w:t>
      </w:r>
      <w:r w:rsidR="00E93F5D" w:rsidRPr="008E6B11">
        <w:rPr>
          <w:i/>
          <w:color w:val="000000" w:themeColor="text1"/>
          <w:szCs w:val="24"/>
        </w:rPr>
        <w:t>p</w:t>
      </w:r>
      <w:r w:rsidRPr="008E6B11">
        <w:rPr>
          <w:color w:val="000000" w:themeColor="text1"/>
          <w:szCs w:val="24"/>
        </w:rPr>
        <w:t xml:space="preserve"> = </w:t>
      </w:r>
      <w:r w:rsidR="00E93F5D" w:rsidRPr="008E6B11">
        <w:rPr>
          <w:color w:val="000000" w:themeColor="text1"/>
          <w:szCs w:val="24"/>
        </w:rPr>
        <w:t>.011</w:t>
      </w:r>
      <w:r w:rsidR="00A40D28" w:rsidRPr="008E6B11">
        <w:rPr>
          <w:color w:val="000000" w:themeColor="text1"/>
          <w:szCs w:val="24"/>
        </w:rPr>
        <w:t xml:space="preserve">, </w:t>
      </w:r>
      <w:r w:rsidR="00E93F5D" w:rsidRPr="008E6B11">
        <w:rPr>
          <w:color w:val="000000" w:themeColor="text1"/>
          <w:szCs w:val="24"/>
        </w:rPr>
        <w:t xml:space="preserve">but not right hand. </w:t>
      </w:r>
      <w:r w:rsidR="004939BE" w:rsidRPr="008E6B11">
        <w:rPr>
          <w:color w:val="000000" w:themeColor="text1"/>
          <w:szCs w:val="24"/>
        </w:rPr>
        <w:t>Subsequent</w:t>
      </w:r>
      <w:r w:rsidR="00E93F5D" w:rsidRPr="008E6B11">
        <w:rPr>
          <w:color w:val="000000" w:themeColor="text1"/>
          <w:szCs w:val="24"/>
        </w:rPr>
        <w:t xml:space="preserve"> analyses confirmed significant cross-source differences in MDL</w:t>
      </w:r>
      <w:r w:rsidR="00A40D28" w:rsidRPr="008E6B11">
        <w:rPr>
          <w:color w:val="000000" w:themeColor="text1"/>
          <w:szCs w:val="24"/>
        </w:rPr>
        <w:t xml:space="preserve">, </w:t>
      </w:r>
      <w:r w:rsidR="00E93F5D" w:rsidRPr="008E6B11">
        <w:rPr>
          <w:i/>
          <w:color w:val="000000" w:themeColor="text1"/>
          <w:szCs w:val="24"/>
        </w:rPr>
        <w:t>T</w:t>
      </w:r>
      <w:r w:rsidRPr="008E6B11">
        <w:rPr>
          <w:color w:val="000000" w:themeColor="text1"/>
          <w:szCs w:val="24"/>
        </w:rPr>
        <w:t xml:space="preserve"> = </w:t>
      </w:r>
      <w:r w:rsidR="00E93F5D" w:rsidRPr="008E6B11">
        <w:rPr>
          <w:color w:val="000000" w:themeColor="text1"/>
          <w:szCs w:val="24"/>
        </w:rPr>
        <w:t xml:space="preserve">-5.22; </w:t>
      </w:r>
      <w:r w:rsidR="00E93F5D" w:rsidRPr="008E6B11">
        <w:rPr>
          <w:i/>
          <w:color w:val="000000" w:themeColor="text1"/>
          <w:szCs w:val="24"/>
        </w:rPr>
        <w:t>p</w:t>
      </w:r>
      <w:r w:rsidR="00E93F5D" w:rsidRPr="008E6B11">
        <w:rPr>
          <w:color w:val="000000" w:themeColor="text1"/>
          <w:szCs w:val="24"/>
        </w:rPr>
        <w:t>&lt;.001;</w:t>
      </w:r>
      <w:r w:rsidR="004939BE" w:rsidRPr="008E6B11">
        <w:rPr>
          <w:color w:val="000000" w:themeColor="text1"/>
          <w:szCs w:val="24"/>
        </w:rPr>
        <w:t xml:space="preserve"> in</w:t>
      </w:r>
      <w:r w:rsidR="00E93F5D" w:rsidRPr="008E6B11">
        <w:rPr>
          <w:color w:val="000000" w:themeColor="text1"/>
          <w:szCs w:val="24"/>
        </w:rPr>
        <w:t xml:space="preserve"> both left </w:t>
      </w:r>
      <w:r w:rsidR="004939BE" w:rsidRPr="008E6B11">
        <w:rPr>
          <w:color w:val="000000" w:themeColor="text1"/>
          <w:szCs w:val="24"/>
        </w:rPr>
        <w:t xml:space="preserve">and right </w:t>
      </w:r>
      <w:r w:rsidR="00E93F5D" w:rsidRPr="008E6B11">
        <w:rPr>
          <w:color w:val="000000" w:themeColor="text1"/>
          <w:szCs w:val="24"/>
        </w:rPr>
        <w:t>hand</w:t>
      </w:r>
      <w:r w:rsidR="00A40D28" w:rsidRPr="008E6B11">
        <w:rPr>
          <w:color w:val="000000" w:themeColor="text1"/>
          <w:szCs w:val="24"/>
        </w:rPr>
        <w:t xml:space="preserve"> 2D:4D, </w:t>
      </w:r>
      <w:r w:rsidR="00E93F5D" w:rsidRPr="008E6B11">
        <w:rPr>
          <w:i/>
          <w:color w:val="000000" w:themeColor="text1"/>
          <w:szCs w:val="24"/>
        </w:rPr>
        <w:t>T</w:t>
      </w:r>
      <w:r w:rsidRPr="008E6B11">
        <w:rPr>
          <w:color w:val="000000" w:themeColor="text1"/>
          <w:szCs w:val="24"/>
        </w:rPr>
        <w:t xml:space="preserve"> = </w:t>
      </w:r>
      <w:r w:rsidR="00E93F5D" w:rsidRPr="008E6B11">
        <w:rPr>
          <w:color w:val="000000" w:themeColor="text1"/>
          <w:szCs w:val="24"/>
        </w:rPr>
        <w:t xml:space="preserve">-5.66; </w:t>
      </w:r>
      <w:r w:rsidR="00E93F5D" w:rsidRPr="008E6B11">
        <w:rPr>
          <w:i/>
          <w:color w:val="000000" w:themeColor="text1"/>
          <w:szCs w:val="24"/>
        </w:rPr>
        <w:t>p</w:t>
      </w:r>
      <w:r w:rsidR="004939BE" w:rsidRPr="008E6B11">
        <w:rPr>
          <w:color w:val="000000" w:themeColor="text1"/>
          <w:szCs w:val="24"/>
        </w:rPr>
        <w:t>&lt;.001 and</w:t>
      </w:r>
      <w:r w:rsidR="00A40D28" w:rsidRPr="008E6B11">
        <w:rPr>
          <w:color w:val="000000" w:themeColor="text1"/>
          <w:szCs w:val="24"/>
        </w:rPr>
        <w:t xml:space="preserve"> </w:t>
      </w:r>
      <w:r w:rsidR="00E93F5D" w:rsidRPr="008E6B11">
        <w:rPr>
          <w:i/>
          <w:color w:val="000000" w:themeColor="text1"/>
          <w:szCs w:val="24"/>
        </w:rPr>
        <w:t>T</w:t>
      </w:r>
      <w:r w:rsidRPr="008E6B11">
        <w:rPr>
          <w:color w:val="000000" w:themeColor="text1"/>
          <w:szCs w:val="24"/>
        </w:rPr>
        <w:t xml:space="preserve"> = </w:t>
      </w:r>
      <w:r w:rsidR="00E93F5D" w:rsidRPr="008E6B11">
        <w:rPr>
          <w:color w:val="000000" w:themeColor="text1"/>
          <w:szCs w:val="24"/>
        </w:rPr>
        <w:t xml:space="preserve">-2.73; </w:t>
      </w:r>
      <w:r w:rsidR="00E93F5D" w:rsidRPr="008E6B11">
        <w:rPr>
          <w:i/>
          <w:color w:val="000000" w:themeColor="text1"/>
          <w:szCs w:val="24"/>
        </w:rPr>
        <w:t>p</w:t>
      </w:r>
      <w:r w:rsidRPr="008E6B11">
        <w:rPr>
          <w:color w:val="000000" w:themeColor="text1"/>
          <w:szCs w:val="24"/>
        </w:rPr>
        <w:t xml:space="preserve"> = </w:t>
      </w:r>
      <w:r w:rsidR="00E93F5D" w:rsidRPr="008E6B11">
        <w:rPr>
          <w:color w:val="000000" w:themeColor="text1"/>
          <w:szCs w:val="24"/>
        </w:rPr>
        <w:t>.006</w:t>
      </w:r>
      <w:r w:rsidR="004939BE" w:rsidRPr="008E6B11">
        <w:rPr>
          <w:color w:val="000000" w:themeColor="text1"/>
          <w:szCs w:val="24"/>
        </w:rPr>
        <w:t xml:space="preserve"> respectively</w:t>
      </w:r>
      <w:r w:rsidR="00E93F5D" w:rsidRPr="008E6B11">
        <w:rPr>
          <w:color w:val="000000" w:themeColor="text1"/>
          <w:szCs w:val="24"/>
        </w:rPr>
        <w:t>; in DA</w:t>
      </w:r>
      <w:r w:rsidR="00A40D28" w:rsidRPr="008E6B11">
        <w:rPr>
          <w:color w:val="000000" w:themeColor="text1"/>
          <w:szCs w:val="24"/>
        </w:rPr>
        <w:t xml:space="preserve">, </w:t>
      </w:r>
      <w:r w:rsidR="00E93F5D" w:rsidRPr="008E6B11">
        <w:rPr>
          <w:i/>
          <w:color w:val="000000" w:themeColor="text1"/>
          <w:szCs w:val="24"/>
        </w:rPr>
        <w:t>T</w:t>
      </w:r>
      <w:r w:rsidRPr="008E6B11">
        <w:rPr>
          <w:color w:val="000000" w:themeColor="text1"/>
          <w:szCs w:val="24"/>
        </w:rPr>
        <w:t xml:space="preserve"> = </w:t>
      </w:r>
      <w:r w:rsidR="00E93F5D" w:rsidRPr="008E6B11">
        <w:rPr>
          <w:color w:val="000000" w:themeColor="text1"/>
          <w:szCs w:val="24"/>
        </w:rPr>
        <w:t xml:space="preserve">-3.64; </w:t>
      </w:r>
      <w:r w:rsidR="00E93F5D" w:rsidRPr="008E6B11">
        <w:rPr>
          <w:i/>
          <w:color w:val="000000" w:themeColor="text1"/>
          <w:szCs w:val="24"/>
        </w:rPr>
        <w:t>p</w:t>
      </w:r>
      <w:r w:rsidRPr="008E6B11">
        <w:rPr>
          <w:color w:val="000000" w:themeColor="text1"/>
          <w:szCs w:val="24"/>
        </w:rPr>
        <w:t xml:space="preserve"> = </w:t>
      </w:r>
      <w:r w:rsidR="00E93F5D" w:rsidRPr="008E6B11">
        <w:rPr>
          <w:color w:val="000000" w:themeColor="text1"/>
          <w:szCs w:val="24"/>
        </w:rPr>
        <w:t>.006 and</w:t>
      </w:r>
      <w:r w:rsidR="00A40D28" w:rsidRPr="008E6B11">
        <w:rPr>
          <w:color w:val="000000" w:themeColor="text1"/>
          <w:szCs w:val="24"/>
        </w:rPr>
        <w:t xml:space="preserve"> finally</w:t>
      </w:r>
      <w:r w:rsidR="00E93F5D" w:rsidRPr="008E6B11">
        <w:rPr>
          <w:color w:val="000000" w:themeColor="text1"/>
          <w:szCs w:val="24"/>
        </w:rPr>
        <w:t xml:space="preserve"> in FA scores</w:t>
      </w:r>
      <w:r w:rsidR="00A40D28" w:rsidRPr="008E6B11">
        <w:rPr>
          <w:color w:val="000000" w:themeColor="text1"/>
          <w:szCs w:val="24"/>
        </w:rPr>
        <w:t xml:space="preserve">, </w:t>
      </w:r>
      <w:r w:rsidR="00E93F5D" w:rsidRPr="008E6B11">
        <w:rPr>
          <w:i/>
          <w:color w:val="000000" w:themeColor="text1"/>
          <w:szCs w:val="24"/>
        </w:rPr>
        <w:t>T</w:t>
      </w:r>
      <w:r w:rsidRPr="008E6B11">
        <w:rPr>
          <w:color w:val="000000" w:themeColor="text1"/>
          <w:szCs w:val="24"/>
        </w:rPr>
        <w:t xml:space="preserve"> = </w:t>
      </w:r>
      <w:r w:rsidR="00E93F5D" w:rsidRPr="008E6B11">
        <w:rPr>
          <w:color w:val="000000" w:themeColor="text1"/>
          <w:szCs w:val="24"/>
        </w:rPr>
        <w:t xml:space="preserve">-3.64; </w:t>
      </w:r>
      <w:r w:rsidR="00E93F5D" w:rsidRPr="008E6B11">
        <w:rPr>
          <w:i/>
          <w:color w:val="000000" w:themeColor="text1"/>
          <w:szCs w:val="24"/>
        </w:rPr>
        <w:t>p</w:t>
      </w:r>
      <w:r w:rsidR="00E93F5D" w:rsidRPr="008E6B11">
        <w:rPr>
          <w:color w:val="000000" w:themeColor="text1"/>
          <w:szCs w:val="24"/>
        </w:rPr>
        <w:t>&lt;.001</w:t>
      </w:r>
      <w:r w:rsidR="00A40D28" w:rsidRPr="008E6B11">
        <w:rPr>
          <w:color w:val="000000" w:themeColor="text1"/>
          <w:szCs w:val="24"/>
        </w:rPr>
        <w:t>. With one exception</w:t>
      </w:r>
      <w:r w:rsidR="00E93F5D" w:rsidRPr="008E6B11">
        <w:rPr>
          <w:color w:val="000000" w:themeColor="text1"/>
          <w:szCs w:val="24"/>
        </w:rPr>
        <w:t xml:space="preserve">, </w:t>
      </w:r>
      <w:r w:rsidR="00D313C4" w:rsidRPr="008E6B11">
        <w:rPr>
          <w:color w:val="000000" w:themeColor="text1"/>
          <w:szCs w:val="24"/>
        </w:rPr>
        <w:t>direct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="00E93F5D" w:rsidRPr="008E6B11">
        <w:rPr>
          <w:color w:val="000000" w:themeColor="text1"/>
          <w:szCs w:val="24"/>
        </w:rPr>
        <w:t xml:space="preserve"> scores </w:t>
      </w:r>
      <w:r w:rsidR="00A40D28" w:rsidRPr="008E6B11">
        <w:rPr>
          <w:color w:val="000000" w:themeColor="text1"/>
          <w:szCs w:val="24"/>
        </w:rPr>
        <w:t xml:space="preserve">were </w:t>
      </w:r>
      <w:r w:rsidR="00E93F5D" w:rsidRPr="008E6B11">
        <w:rPr>
          <w:color w:val="000000" w:themeColor="text1"/>
          <w:szCs w:val="24"/>
        </w:rPr>
        <w:t xml:space="preserve">higher/larger than their </w:t>
      </w:r>
      <w:r w:rsidR="00CB09AB" w:rsidRPr="008E6B11">
        <w:rPr>
          <w:color w:val="000000" w:themeColor="text1"/>
          <w:szCs w:val="24"/>
        </w:rPr>
        <w:t>indirect rater</w:t>
      </w:r>
      <w:r w:rsidR="00E93F5D" w:rsidRPr="008E6B11">
        <w:rPr>
          <w:color w:val="000000" w:themeColor="text1"/>
          <w:szCs w:val="24"/>
        </w:rPr>
        <w:t xml:space="preserve">–based equivalents; </w:t>
      </w:r>
      <w:r w:rsidR="00A40D28" w:rsidRPr="008E6B11">
        <w:rPr>
          <w:color w:val="000000" w:themeColor="text1"/>
          <w:szCs w:val="24"/>
        </w:rPr>
        <w:t xml:space="preserve">only DA was smaller for self </w:t>
      </w:r>
      <w:r w:rsidR="00E93F5D" w:rsidRPr="008E6B11">
        <w:rPr>
          <w:color w:val="000000" w:themeColor="text1"/>
          <w:szCs w:val="24"/>
        </w:rPr>
        <w:t xml:space="preserve">than for </w:t>
      </w:r>
      <w:r w:rsidR="00CB09AB" w:rsidRPr="008E6B11">
        <w:rPr>
          <w:color w:val="000000" w:themeColor="text1"/>
          <w:szCs w:val="24"/>
        </w:rPr>
        <w:t>indirect rater</w:t>
      </w:r>
      <w:r w:rsidR="00E93F5D" w:rsidRPr="008E6B11">
        <w:rPr>
          <w:color w:val="000000" w:themeColor="text1"/>
          <w:szCs w:val="24"/>
        </w:rPr>
        <w:t>-based measures.</w:t>
      </w:r>
    </w:p>
    <w:p w:rsidR="00976111" w:rsidRPr="008E6B11" w:rsidRDefault="00976111" w:rsidP="00976111">
      <w:pPr>
        <w:pStyle w:val="BodyText"/>
        <w:spacing w:line="480" w:lineRule="auto"/>
        <w:rPr>
          <w:b/>
          <w:i/>
          <w:color w:val="000000" w:themeColor="text1"/>
          <w:szCs w:val="24"/>
        </w:rPr>
      </w:pPr>
      <w:r w:rsidRPr="008E6B11">
        <w:rPr>
          <w:b/>
          <w:i/>
          <w:color w:val="000000" w:themeColor="text1"/>
          <w:szCs w:val="24"/>
        </w:rPr>
        <w:t xml:space="preserve">3.3 Sex </w:t>
      </w:r>
      <w:r w:rsidR="00C568DE" w:rsidRPr="008E6B11">
        <w:rPr>
          <w:b/>
          <w:i/>
          <w:color w:val="000000" w:themeColor="text1"/>
          <w:szCs w:val="24"/>
        </w:rPr>
        <w:t>d</w:t>
      </w:r>
      <w:r w:rsidRPr="008E6B11">
        <w:rPr>
          <w:b/>
          <w:i/>
          <w:color w:val="000000" w:themeColor="text1"/>
          <w:szCs w:val="24"/>
        </w:rPr>
        <w:t>ifferences</w:t>
      </w:r>
    </w:p>
    <w:p w:rsidR="00701FF8" w:rsidRPr="008E6B11" w:rsidRDefault="003C305B" w:rsidP="00701FF8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 xml:space="preserve">Table 2 </w:t>
      </w:r>
      <w:r w:rsidR="00D43A4F" w:rsidRPr="008E6B11">
        <w:rPr>
          <w:color w:val="000000" w:themeColor="text1"/>
          <w:szCs w:val="24"/>
        </w:rPr>
        <w:t>presents</w:t>
      </w:r>
      <w:r w:rsidRPr="008E6B11">
        <w:rPr>
          <w:color w:val="000000" w:themeColor="text1"/>
          <w:szCs w:val="24"/>
        </w:rPr>
        <w:t xml:space="preserve"> </w:t>
      </w:r>
      <w:r w:rsidR="00D43A4F" w:rsidRPr="008E6B11">
        <w:rPr>
          <w:color w:val="000000" w:themeColor="text1"/>
          <w:szCs w:val="24"/>
        </w:rPr>
        <w:t>means</w:t>
      </w:r>
      <w:r w:rsidRPr="008E6B11">
        <w:rPr>
          <w:color w:val="000000" w:themeColor="text1"/>
          <w:szCs w:val="24"/>
        </w:rPr>
        <w:t xml:space="preserve"> data for digit-related measures across male versus female participants. </w:t>
      </w:r>
    </w:p>
    <w:p w:rsidR="00701FF8" w:rsidRPr="008E6B11" w:rsidRDefault="00701FF8" w:rsidP="00701FF8">
      <w:pPr>
        <w:pStyle w:val="BodyText"/>
        <w:spacing w:line="480" w:lineRule="auto"/>
        <w:jc w:val="center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*** Table 2 here ***</w:t>
      </w:r>
    </w:p>
    <w:p w:rsidR="0023262F" w:rsidRPr="008E6B11" w:rsidRDefault="004F0C47" w:rsidP="00701FF8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U</w:t>
      </w:r>
      <w:r w:rsidR="001B201C" w:rsidRPr="008E6B11">
        <w:rPr>
          <w:color w:val="000000" w:themeColor="text1"/>
          <w:szCs w:val="24"/>
        </w:rPr>
        <w:t xml:space="preserve">nsurprisingly, </w:t>
      </w:r>
      <w:r w:rsidR="007D3A45" w:rsidRPr="008E6B11">
        <w:rPr>
          <w:color w:val="000000" w:themeColor="text1"/>
          <w:szCs w:val="24"/>
        </w:rPr>
        <w:t xml:space="preserve">females </w:t>
      </w:r>
      <w:r w:rsidR="00D17E21" w:rsidRPr="008E6B11">
        <w:rPr>
          <w:color w:val="000000" w:themeColor="text1"/>
          <w:szCs w:val="24"/>
        </w:rPr>
        <w:t>present</w:t>
      </w:r>
      <w:r w:rsidR="007D3A45" w:rsidRPr="008E6B11">
        <w:rPr>
          <w:color w:val="000000" w:themeColor="text1"/>
          <w:szCs w:val="24"/>
        </w:rPr>
        <w:t xml:space="preserve">ed </w:t>
      </w:r>
      <w:r w:rsidR="00D17E21" w:rsidRPr="008E6B11">
        <w:rPr>
          <w:color w:val="000000" w:themeColor="text1"/>
          <w:szCs w:val="24"/>
        </w:rPr>
        <w:t xml:space="preserve">shorter </w:t>
      </w:r>
      <w:r w:rsidR="007D3A45" w:rsidRPr="008E6B11">
        <w:rPr>
          <w:color w:val="000000" w:themeColor="text1"/>
          <w:szCs w:val="24"/>
        </w:rPr>
        <w:t xml:space="preserve">MDLs </w:t>
      </w:r>
      <w:r w:rsidR="000507C8" w:rsidRPr="008E6B11">
        <w:rPr>
          <w:color w:val="000000" w:themeColor="text1"/>
          <w:szCs w:val="24"/>
        </w:rPr>
        <w:t>than males</w:t>
      </w:r>
      <w:r w:rsidR="001D1D25" w:rsidRPr="008E6B11">
        <w:rPr>
          <w:color w:val="000000" w:themeColor="text1"/>
          <w:szCs w:val="24"/>
        </w:rPr>
        <w:t>. This was true of</w:t>
      </w:r>
      <w:r w:rsidR="000507C8" w:rsidRPr="008E6B11">
        <w:rPr>
          <w:color w:val="000000" w:themeColor="text1"/>
          <w:szCs w:val="24"/>
        </w:rPr>
        <w:t xml:space="preserve"> </w:t>
      </w:r>
      <w:r w:rsidR="007C6B16" w:rsidRPr="008E6B11">
        <w:rPr>
          <w:color w:val="000000" w:themeColor="text1"/>
          <w:szCs w:val="24"/>
        </w:rPr>
        <w:t xml:space="preserve">both </w:t>
      </w:r>
      <w:r w:rsidR="00D313C4" w:rsidRPr="008E6B11">
        <w:rPr>
          <w:color w:val="000000" w:themeColor="text1"/>
          <w:szCs w:val="24"/>
        </w:rPr>
        <w:t>direct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="00DB5E1E" w:rsidRPr="008E6B11">
        <w:rPr>
          <w:color w:val="000000" w:themeColor="text1"/>
          <w:szCs w:val="24"/>
        </w:rPr>
        <w:t xml:space="preserve"> and </w:t>
      </w:r>
      <w:r w:rsidR="00CB09AB" w:rsidRPr="008E6B11">
        <w:rPr>
          <w:color w:val="000000" w:themeColor="text1"/>
          <w:szCs w:val="24"/>
        </w:rPr>
        <w:t>indirect rater</w:t>
      </w:r>
      <w:r w:rsidR="00DB5E1E" w:rsidRPr="008E6B11">
        <w:rPr>
          <w:color w:val="000000" w:themeColor="text1"/>
          <w:szCs w:val="24"/>
        </w:rPr>
        <w:t>-based measures</w:t>
      </w:r>
      <w:r w:rsidR="00D17E21" w:rsidRPr="008E6B11">
        <w:rPr>
          <w:color w:val="000000" w:themeColor="text1"/>
          <w:szCs w:val="24"/>
        </w:rPr>
        <w:t xml:space="preserve">, </w:t>
      </w:r>
      <w:r w:rsidR="00D17E21" w:rsidRPr="008E6B11">
        <w:rPr>
          <w:i/>
          <w:color w:val="000000" w:themeColor="text1"/>
          <w:szCs w:val="24"/>
        </w:rPr>
        <w:t>U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0D4C48" w:rsidRPr="008E6B11">
        <w:rPr>
          <w:color w:val="000000" w:themeColor="text1"/>
          <w:szCs w:val="24"/>
        </w:rPr>
        <w:t>2825.0</w:t>
      </w:r>
      <w:r w:rsidR="00D17E21" w:rsidRPr="008E6B11">
        <w:rPr>
          <w:color w:val="000000" w:themeColor="text1"/>
          <w:szCs w:val="24"/>
        </w:rPr>
        <w:t xml:space="preserve">; </w:t>
      </w:r>
      <w:r w:rsidR="00D17E21" w:rsidRPr="008E6B11">
        <w:rPr>
          <w:i/>
          <w:color w:val="000000" w:themeColor="text1"/>
          <w:szCs w:val="24"/>
        </w:rPr>
        <w:t>Z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0D4C48" w:rsidRPr="008E6B11">
        <w:rPr>
          <w:color w:val="000000" w:themeColor="text1"/>
          <w:szCs w:val="24"/>
        </w:rPr>
        <w:t>-6.95</w:t>
      </w:r>
      <w:r w:rsidR="00D17E21" w:rsidRPr="008E6B11">
        <w:rPr>
          <w:color w:val="000000" w:themeColor="text1"/>
          <w:szCs w:val="24"/>
        </w:rPr>
        <w:t xml:space="preserve">; </w:t>
      </w:r>
      <w:r w:rsidR="00D17E21" w:rsidRPr="008E6B11">
        <w:rPr>
          <w:i/>
          <w:color w:val="000000" w:themeColor="text1"/>
          <w:szCs w:val="24"/>
        </w:rPr>
        <w:t>p</w:t>
      </w:r>
      <w:r w:rsidR="00D577D2" w:rsidRPr="008E6B11">
        <w:rPr>
          <w:i/>
          <w:color w:val="000000" w:themeColor="text1"/>
          <w:szCs w:val="24"/>
        </w:rPr>
        <w:t xml:space="preserve"> </w:t>
      </w:r>
      <w:r w:rsidR="000D4C48" w:rsidRPr="008E6B11">
        <w:rPr>
          <w:color w:val="000000" w:themeColor="text1"/>
          <w:szCs w:val="24"/>
        </w:rPr>
        <w:t>&lt;.001</w:t>
      </w:r>
      <w:r w:rsidR="00D17E21" w:rsidRPr="008E6B11">
        <w:rPr>
          <w:color w:val="000000" w:themeColor="text1"/>
          <w:szCs w:val="24"/>
        </w:rPr>
        <w:t xml:space="preserve"> and</w:t>
      </w:r>
      <w:r w:rsidR="007C6B16" w:rsidRPr="008E6B11">
        <w:rPr>
          <w:color w:val="000000" w:themeColor="text1"/>
          <w:szCs w:val="24"/>
        </w:rPr>
        <w:t xml:space="preserve"> </w:t>
      </w:r>
      <w:r w:rsidR="007C6B16" w:rsidRPr="008E6B11">
        <w:rPr>
          <w:i/>
          <w:color w:val="000000" w:themeColor="text1"/>
          <w:szCs w:val="24"/>
        </w:rPr>
        <w:t>U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7C6B16" w:rsidRPr="008E6B11">
        <w:rPr>
          <w:color w:val="000000" w:themeColor="text1"/>
          <w:szCs w:val="24"/>
        </w:rPr>
        <w:t xml:space="preserve">2993.5; </w:t>
      </w:r>
      <w:r w:rsidR="007C6B16" w:rsidRPr="008E6B11">
        <w:rPr>
          <w:i/>
          <w:color w:val="000000" w:themeColor="text1"/>
          <w:szCs w:val="24"/>
        </w:rPr>
        <w:t>Z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7C6B16" w:rsidRPr="008E6B11">
        <w:rPr>
          <w:color w:val="000000" w:themeColor="text1"/>
          <w:szCs w:val="24"/>
        </w:rPr>
        <w:t xml:space="preserve">-7.01; </w:t>
      </w:r>
      <w:r w:rsidR="007C6B16" w:rsidRPr="008E6B11">
        <w:rPr>
          <w:i/>
          <w:color w:val="000000" w:themeColor="text1"/>
          <w:szCs w:val="24"/>
        </w:rPr>
        <w:t>p</w:t>
      </w:r>
      <w:r w:rsidR="00D577D2" w:rsidRPr="008E6B11">
        <w:rPr>
          <w:i/>
          <w:color w:val="000000" w:themeColor="text1"/>
          <w:szCs w:val="24"/>
        </w:rPr>
        <w:t xml:space="preserve"> </w:t>
      </w:r>
      <w:r w:rsidR="00DB5E1E" w:rsidRPr="008E6B11">
        <w:rPr>
          <w:color w:val="000000" w:themeColor="text1"/>
          <w:szCs w:val="24"/>
        </w:rPr>
        <w:t xml:space="preserve">&lt;.01 respectively, with </w:t>
      </w:r>
      <w:r w:rsidR="008549F0" w:rsidRPr="008E6B11">
        <w:rPr>
          <w:color w:val="000000" w:themeColor="text1"/>
          <w:szCs w:val="24"/>
        </w:rPr>
        <w:t>H0</w:t>
      </w:r>
      <w:r w:rsidR="00DF6CE1" w:rsidRPr="008E6B11">
        <w:rPr>
          <w:color w:val="000000" w:themeColor="text1"/>
          <w:szCs w:val="24"/>
        </w:rPr>
        <w:t>2</w:t>
      </w:r>
      <w:r w:rsidR="008549F0" w:rsidRPr="008E6B11">
        <w:rPr>
          <w:color w:val="000000" w:themeColor="text1"/>
          <w:szCs w:val="24"/>
        </w:rPr>
        <w:t xml:space="preserve"> </w:t>
      </w:r>
      <w:r w:rsidR="00DB5E1E" w:rsidRPr="008E6B11">
        <w:rPr>
          <w:color w:val="000000" w:themeColor="text1"/>
          <w:szCs w:val="24"/>
        </w:rPr>
        <w:t xml:space="preserve">thus </w:t>
      </w:r>
      <w:r w:rsidR="008549F0" w:rsidRPr="008E6B11">
        <w:rPr>
          <w:color w:val="000000" w:themeColor="text1"/>
          <w:szCs w:val="24"/>
        </w:rPr>
        <w:t>fully supported.</w:t>
      </w:r>
      <w:r w:rsidR="00A40D28" w:rsidRPr="008E6B11">
        <w:rPr>
          <w:color w:val="000000" w:themeColor="text1"/>
          <w:szCs w:val="24"/>
        </w:rPr>
        <w:t xml:space="preserve"> </w:t>
      </w:r>
      <w:r w:rsidR="00DB5E1E" w:rsidRPr="008E6B11">
        <w:rPr>
          <w:color w:val="000000" w:themeColor="text1"/>
          <w:szCs w:val="24"/>
        </w:rPr>
        <w:t>Whilst</w:t>
      </w:r>
      <w:r w:rsidR="003C69DB" w:rsidRPr="008E6B11">
        <w:rPr>
          <w:color w:val="000000" w:themeColor="text1"/>
          <w:szCs w:val="24"/>
        </w:rPr>
        <w:t xml:space="preserve"> </w:t>
      </w:r>
      <w:r w:rsidR="00D313C4" w:rsidRPr="008E6B11">
        <w:rPr>
          <w:color w:val="000000" w:themeColor="text1"/>
          <w:szCs w:val="24"/>
        </w:rPr>
        <w:t>direct</w:t>
      </w:r>
      <w:r w:rsidR="00CB09AB" w:rsidRPr="008E6B11">
        <w:rPr>
          <w:color w:val="000000" w:themeColor="text1"/>
          <w:szCs w:val="24"/>
        </w:rPr>
        <w:t xml:space="preserve"> self-based</w:t>
      </w:r>
      <w:r w:rsidR="00A40D28" w:rsidRPr="008E6B11">
        <w:rPr>
          <w:color w:val="000000" w:themeColor="text1"/>
          <w:szCs w:val="24"/>
        </w:rPr>
        <w:t xml:space="preserve"> </w:t>
      </w:r>
      <w:r w:rsidR="003C69DB" w:rsidRPr="008E6B11">
        <w:rPr>
          <w:color w:val="000000" w:themeColor="text1"/>
          <w:szCs w:val="24"/>
        </w:rPr>
        <w:t>2D:4D did not differ across participant</w:t>
      </w:r>
      <w:r w:rsidR="00DB5E1E" w:rsidRPr="008E6B11">
        <w:rPr>
          <w:color w:val="000000" w:themeColor="text1"/>
          <w:szCs w:val="24"/>
        </w:rPr>
        <w:t xml:space="preserve"> sex for either hand</w:t>
      </w:r>
      <w:r w:rsidR="003C69DB" w:rsidRPr="008E6B11">
        <w:rPr>
          <w:color w:val="000000" w:themeColor="text1"/>
          <w:szCs w:val="24"/>
        </w:rPr>
        <w:t xml:space="preserve">, </w:t>
      </w:r>
      <w:r w:rsidR="00CB09AB" w:rsidRPr="008E6B11">
        <w:rPr>
          <w:color w:val="000000" w:themeColor="text1"/>
          <w:szCs w:val="24"/>
        </w:rPr>
        <w:t>indirect rater</w:t>
      </w:r>
      <w:r w:rsidR="003C69DB" w:rsidRPr="008E6B11">
        <w:rPr>
          <w:color w:val="000000" w:themeColor="text1"/>
          <w:szCs w:val="24"/>
        </w:rPr>
        <w:t>-based ratios for both left</w:t>
      </w:r>
      <w:r w:rsidR="00DB5E1E" w:rsidRPr="008E6B11">
        <w:rPr>
          <w:color w:val="000000" w:themeColor="text1"/>
          <w:szCs w:val="24"/>
        </w:rPr>
        <w:t xml:space="preserve"> and right hands did, </w:t>
      </w:r>
      <w:r w:rsidR="003C69DB" w:rsidRPr="008E6B11">
        <w:rPr>
          <w:i/>
          <w:color w:val="000000" w:themeColor="text1"/>
          <w:szCs w:val="24"/>
        </w:rPr>
        <w:t>U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 xml:space="preserve">5479.5; </w:t>
      </w:r>
      <w:r w:rsidR="003C69DB" w:rsidRPr="008E6B11">
        <w:rPr>
          <w:i/>
          <w:color w:val="000000" w:themeColor="text1"/>
          <w:szCs w:val="24"/>
        </w:rPr>
        <w:t>Z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 xml:space="preserve">-2.11; </w:t>
      </w:r>
      <w:r w:rsidR="003C69DB" w:rsidRPr="008E6B11">
        <w:rPr>
          <w:i/>
          <w:color w:val="000000" w:themeColor="text1"/>
          <w:szCs w:val="24"/>
        </w:rPr>
        <w:t>p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 xml:space="preserve">.034 and </w:t>
      </w:r>
      <w:r w:rsidR="003C69DB" w:rsidRPr="008E6B11">
        <w:rPr>
          <w:i/>
          <w:color w:val="000000" w:themeColor="text1"/>
          <w:szCs w:val="24"/>
        </w:rPr>
        <w:t>U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 xml:space="preserve">5358.5; </w:t>
      </w:r>
      <w:r w:rsidR="003C69DB" w:rsidRPr="008E6B11">
        <w:rPr>
          <w:i/>
          <w:color w:val="000000" w:themeColor="text1"/>
          <w:szCs w:val="24"/>
        </w:rPr>
        <w:t>Z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 xml:space="preserve">-2.38; </w:t>
      </w:r>
      <w:r w:rsidR="003C69DB" w:rsidRPr="008E6B11">
        <w:rPr>
          <w:i/>
          <w:color w:val="000000" w:themeColor="text1"/>
          <w:szCs w:val="24"/>
        </w:rPr>
        <w:t>p</w:t>
      </w:r>
      <w:r w:rsidR="00C568DE" w:rsidRPr="008E6B11">
        <w:rPr>
          <w:i/>
          <w:color w:val="000000" w:themeColor="text1"/>
          <w:szCs w:val="24"/>
        </w:rPr>
        <w:t xml:space="preserve"> = </w:t>
      </w:r>
      <w:r w:rsidR="003C69DB" w:rsidRPr="008E6B11">
        <w:rPr>
          <w:color w:val="000000" w:themeColor="text1"/>
          <w:szCs w:val="24"/>
        </w:rPr>
        <w:t>.017</w:t>
      </w:r>
      <w:r w:rsidR="00DB5E1E" w:rsidRPr="008E6B11">
        <w:rPr>
          <w:color w:val="000000" w:themeColor="text1"/>
          <w:szCs w:val="24"/>
        </w:rPr>
        <w:t xml:space="preserve"> respectively</w:t>
      </w:r>
      <w:r w:rsidR="00701FF8" w:rsidRPr="008E6B11">
        <w:rPr>
          <w:color w:val="000000" w:themeColor="text1"/>
          <w:szCs w:val="24"/>
        </w:rPr>
        <w:t xml:space="preserve">, with these significantly </w:t>
      </w:r>
      <w:r w:rsidR="003C69DB" w:rsidRPr="008E6B11">
        <w:rPr>
          <w:color w:val="000000" w:themeColor="text1"/>
          <w:szCs w:val="24"/>
        </w:rPr>
        <w:t xml:space="preserve">higher (more </w:t>
      </w:r>
      <w:r w:rsidR="007162F8" w:rsidRPr="008E6B11">
        <w:rPr>
          <w:color w:val="000000" w:themeColor="text1"/>
          <w:szCs w:val="24"/>
        </w:rPr>
        <w:t>feminized</w:t>
      </w:r>
      <w:r w:rsidR="003C69DB" w:rsidRPr="008E6B11">
        <w:rPr>
          <w:color w:val="000000" w:themeColor="text1"/>
          <w:szCs w:val="24"/>
        </w:rPr>
        <w:t>) for females over males</w:t>
      </w:r>
      <w:r w:rsidR="006E1E72" w:rsidRPr="008E6B11">
        <w:rPr>
          <w:color w:val="000000" w:themeColor="text1"/>
          <w:szCs w:val="24"/>
        </w:rPr>
        <w:t xml:space="preserve">. </w:t>
      </w:r>
      <w:r w:rsidR="00701FF8" w:rsidRPr="008E6B11">
        <w:rPr>
          <w:color w:val="000000" w:themeColor="text1"/>
          <w:szCs w:val="24"/>
        </w:rPr>
        <w:t>As such</w:t>
      </w:r>
      <w:r w:rsidR="00B97BAD" w:rsidRPr="008E6B11">
        <w:rPr>
          <w:color w:val="000000" w:themeColor="text1"/>
          <w:szCs w:val="24"/>
        </w:rPr>
        <w:t xml:space="preserve">, </w:t>
      </w:r>
      <w:r w:rsidR="00722562" w:rsidRPr="008E6B11">
        <w:rPr>
          <w:color w:val="000000" w:themeColor="text1"/>
          <w:szCs w:val="24"/>
        </w:rPr>
        <w:t>H0</w:t>
      </w:r>
      <w:r w:rsidR="00DF6CE1" w:rsidRPr="008E6B11">
        <w:rPr>
          <w:color w:val="000000" w:themeColor="text1"/>
          <w:szCs w:val="24"/>
        </w:rPr>
        <w:t>3</w:t>
      </w:r>
      <w:r w:rsidR="00722562" w:rsidRPr="008E6B11">
        <w:rPr>
          <w:color w:val="000000" w:themeColor="text1"/>
          <w:szCs w:val="24"/>
        </w:rPr>
        <w:t xml:space="preserve"> is partially supported. </w:t>
      </w:r>
      <w:r w:rsidR="006E1E72" w:rsidRPr="008E6B11">
        <w:rPr>
          <w:color w:val="000000" w:themeColor="text1"/>
          <w:szCs w:val="24"/>
        </w:rPr>
        <w:t>In all cases 2D:4D ratios fell just below unity.</w:t>
      </w:r>
      <w:r w:rsidR="00701FF8" w:rsidRPr="008E6B11">
        <w:rPr>
          <w:color w:val="000000" w:themeColor="text1"/>
          <w:szCs w:val="24"/>
        </w:rPr>
        <w:t xml:space="preserve"> </w:t>
      </w:r>
      <w:r w:rsidR="00A40D28" w:rsidRPr="008E6B11">
        <w:rPr>
          <w:color w:val="000000" w:themeColor="text1"/>
          <w:szCs w:val="24"/>
        </w:rPr>
        <w:t>In contrast, n</w:t>
      </w:r>
      <w:r w:rsidR="003C69DB" w:rsidRPr="008E6B11">
        <w:rPr>
          <w:color w:val="000000" w:themeColor="text1"/>
          <w:szCs w:val="24"/>
        </w:rPr>
        <w:t xml:space="preserve">either </w:t>
      </w:r>
      <w:r w:rsidR="00D313C4" w:rsidRPr="008E6B11">
        <w:rPr>
          <w:color w:val="000000" w:themeColor="text1"/>
          <w:szCs w:val="24"/>
        </w:rPr>
        <w:t>direct</w:t>
      </w:r>
      <w:r w:rsidR="006145B4" w:rsidRPr="008E6B11">
        <w:rPr>
          <w:color w:val="000000" w:themeColor="text1"/>
          <w:szCs w:val="24"/>
        </w:rPr>
        <w:t xml:space="preserve"> self</w:t>
      </w:r>
      <w:r w:rsidR="003C69DB" w:rsidRPr="008E6B11">
        <w:rPr>
          <w:color w:val="000000" w:themeColor="text1"/>
          <w:szCs w:val="24"/>
        </w:rPr>
        <w:t xml:space="preserve"> </w:t>
      </w:r>
      <w:r w:rsidR="0023262F" w:rsidRPr="008E6B11">
        <w:rPr>
          <w:color w:val="000000" w:themeColor="text1"/>
          <w:szCs w:val="24"/>
        </w:rPr>
        <w:t>n</w:t>
      </w:r>
      <w:r w:rsidR="00D452D2" w:rsidRPr="008E6B11">
        <w:rPr>
          <w:color w:val="000000" w:themeColor="text1"/>
          <w:szCs w:val="24"/>
        </w:rPr>
        <w:t xml:space="preserve">or </w:t>
      </w:r>
      <w:r w:rsidR="00CB09AB" w:rsidRPr="008E6B11">
        <w:rPr>
          <w:color w:val="000000" w:themeColor="text1"/>
          <w:szCs w:val="24"/>
        </w:rPr>
        <w:t>indirect rater</w:t>
      </w:r>
      <w:r w:rsidR="00D452D2" w:rsidRPr="008E6B11">
        <w:rPr>
          <w:color w:val="000000" w:themeColor="text1"/>
          <w:szCs w:val="24"/>
        </w:rPr>
        <w:t>-</w:t>
      </w:r>
      <w:r w:rsidR="003C69DB" w:rsidRPr="008E6B11">
        <w:rPr>
          <w:color w:val="000000" w:themeColor="text1"/>
          <w:szCs w:val="24"/>
        </w:rPr>
        <w:t xml:space="preserve">based </w:t>
      </w:r>
      <w:r w:rsidR="00701FF8" w:rsidRPr="008E6B11">
        <w:rPr>
          <w:color w:val="000000" w:themeColor="text1"/>
          <w:szCs w:val="24"/>
        </w:rPr>
        <w:t xml:space="preserve">ratio difference </w:t>
      </w:r>
      <w:r w:rsidR="003C69DB" w:rsidRPr="008E6B11">
        <w:rPr>
          <w:color w:val="000000" w:themeColor="text1"/>
          <w:szCs w:val="24"/>
        </w:rPr>
        <w:t xml:space="preserve">scores </w:t>
      </w:r>
      <w:r w:rsidR="00CA7DE1" w:rsidRPr="008E6B11">
        <w:rPr>
          <w:color w:val="000000" w:themeColor="text1"/>
          <w:szCs w:val="24"/>
        </w:rPr>
        <w:t>varied</w:t>
      </w:r>
      <w:r w:rsidR="003C69DB" w:rsidRPr="008E6B11">
        <w:rPr>
          <w:color w:val="000000" w:themeColor="text1"/>
          <w:szCs w:val="24"/>
        </w:rPr>
        <w:t xml:space="preserve"> significantly across </w:t>
      </w:r>
      <w:r w:rsidR="008832C2" w:rsidRPr="008E6B11">
        <w:rPr>
          <w:color w:val="000000" w:themeColor="text1"/>
          <w:szCs w:val="24"/>
        </w:rPr>
        <w:t>participant</w:t>
      </w:r>
      <w:r w:rsidR="00CA7DE1" w:rsidRPr="008E6B11">
        <w:rPr>
          <w:color w:val="000000" w:themeColor="text1"/>
          <w:szCs w:val="24"/>
        </w:rPr>
        <w:t xml:space="preserve"> </w:t>
      </w:r>
      <w:r w:rsidR="008832C2" w:rsidRPr="008E6B11">
        <w:rPr>
          <w:color w:val="000000" w:themeColor="text1"/>
          <w:szCs w:val="24"/>
        </w:rPr>
        <w:t>sex</w:t>
      </w:r>
      <w:r w:rsidR="00D452D2" w:rsidRPr="008E6B11">
        <w:rPr>
          <w:color w:val="000000" w:themeColor="text1"/>
          <w:szCs w:val="24"/>
        </w:rPr>
        <w:t>,</w:t>
      </w:r>
      <w:r w:rsidR="008832C2" w:rsidRPr="008E6B11">
        <w:rPr>
          <w:color w:val="000000" w:themeColor="text1"/>
          <w:szCs w:val="24"/>
        </w:rPr>
        <w:t xml:space="preserve"> with males and females both displaying </w:t>
      </w:r>
      <w:r w:rsidR="00D452D2" w:rsidRPr="008E6B11">
        <w:rPr>
          <w:color w:val="000000" w:themeColor="text1"/>
          <w:szCs w:val="24"/>
        </w:rPr>
        <w:t xml:space="preserve">near zero </w:t>
      </w:r>
      <w:r w:rsidR="008832C2" w:rsidRPr="008E6B11">
        <w:rPr>
          <w:color w:val="000000" w:themeColor="text1"/>
          <w:szCs w:val="24"/>
        </w:rPr>
        <w:t xml:space="preserve">DA. </w:t>
      </w:r>
      <w:r w:rsidR="003C69DB" w:rsidRPr="008E6B11">
        <w:rPr>
          <w:color w:val="000000" w:themeColor="text1"/>
          <w:szCs w:val="24"/>
        </w:rPr>
        <w:t>H0</w:t>
      </w:r>
      <w:r w:rsidR="00DF6CE1" w:rsidRPr="008E6B11">
        <w:rPr>
          <w:color w:val="000000" w:themeColor="text1"/>
          <w:szCs w:val="24"/>
        </w:rPr>
        <w:t>4</w:t>
      </w:r>
      <w:r w:rsidR="003C69DB" w:rsidRPr="008E6B11">
        <w:rPr>
          <w:color w:val="000000" w:themeColor="text1"/>
          <w:szCs w:val="24"/>
        </w:rPr>
        <w:t xml:space="preserve"> is not supported.</w:t>
      </w:r>
      <w:r w:rsidR="00145A5B" w:rsidRPr="008E6B11">
        <w:rPr>
          <w:color w:val="000000" w:themeColor="text1"/>
          <w:szCs w:val="24"/>
        </w:rPr>
        <w:t xml:space="preserve"> </w:t>
      </w:r>
      <w:r w:rsidR="0023262F" w:rsidRPr="008E6B11">
        <w:rPr>
          <w:color w:val="000000" w:themeColor="text1"/>
          <w:szCs w:val="24"/>
        </w:rPr>
        <w:t xml:space="preserve">Finally, neither </w:t>
      </w:r>
      <w:r w:rsidR="006145B4" w:rsidRPr="008E6B11">
        <w:rPr>
          <w:color w:val="000000" w:themeColor="text1"/>
          <w:szCs w:val="24"/>
        </w:rPr>
        <w:t xml:space="preserve">direct </w:t>
      </w:r>
      <w:r w:rsidR="0023262F" w:rsidRPr="008E6B11">
        <w:rPr>
          <w:color w:val="000000" w:themeColor="text1"/>
          <w:szCs w:val="24"/>
        </w:rPr>
        <w:t>self n</w:t>
      </w:r>
      <w:r w:rsidR="00D452D2" w:rsidRPr="008E6B11">
        <w:rPr>
          <w:color w:val="000000" w:themeColor="text1"/>
          <w:szCs w:val="24"/>
        </w:rPr>
        <w:t xml:space="preserve">or </w:t>
      </w:r>
      <w:r w:rsidR="00CB09AB" w:rsidRPr="008E6B11">
        <w:rPr>
          <w:color w:val="000000" w:themeColor="text1"/>
          <w:szCs w:val="24"/>
        </w:rPr>
        <w:t>indirect rater</w:t>
      </w:r>
      <w:r w:rsidR="00D452D2" w:rsidRPr="008E6B11">
        <w:rPr>
          <w:color w:val="000000" w:themeColor="text1"/>
          <w:szCs w:val="24"/>
        </w:rPr>
        <w:t>-</w:t>
      </w:r>
      <w:r w:rsidR="0023262F" w:rsidRPr="008E6B11">
        <w:rPr>
          <w:color w:val="000000" w:themeColor="text1"/>
          <w:szCs w:val="24"/>
        </w:rPr>
        <w:t xml:space="preserve">based FA differed across </w:t>
      </w:r>
      <w:r w:rsidR="008832C2" w:rsidRPr="008E6B11">
        <w:rPr>
          <w:color w:val="000000" w:themeColor="text1"/>
          <w:szCs w:val="24"/>
        </w:rPr>
        <w:t>males verses females with, in all cases</w:t>
      </w:r>
      <w:r w:rsidR="00D452D2" w:rsidRPr="008E6B11">
        <w:rPr>
          <w:color w:val="000000" w:themeColor="text1"/>
          <w:szCs w:val="24"/>
        </w:rPr>
        <w:t>,</w:t>
      </w:r>
      <w:r w:rsidR="008832C2" w:rsidRPr="008E6B11">
        <w:rPr>
          <w:color w:val="000000" w:themeColor="text1"/>
          <w:szCs w:val="24"/>
        </w:rPr>
        <w:t xml:space="preserve"> FA representing </w:t>
      </w:r>
      <w:r w:rsidR="007162F8" w:rsidRPr="008E6B11">
        <w:rPr>
          <w:color w:val="000000" w:themeColor="text1"/>
          <w:szCs w:val="24"/>
        </w:rPr>
        <w:t>&lt;</w:t>
      </w:r>
      <w:r w:rsidR="008832C2" w:rsidRPr="008E6B11">
        <w:rPr>
          <w:color w:val="000000" w:themeColor="text1"/>
          <w:szCs w:val="24"/>
        </w:rPr>
        <w:t xml:space="preserve"> 3.0% </w:t>
      </w:r>
      <w:r w:rsidR="006B4469" w:rsidRPr="008E6B11">
        <w:rPr>
          <w:color w:val="000000" w:themeColor="text1"/>
          <w:szCs w:val="24"/>
        </w:rPr>
        <w:t>of</w:t>
      </w:r>
      <w:r w:rsidR="008832C2" w:rsidRPr="008E6B11">
        <w:rPr>
          <w:color w:val="000000" w:themeColor="text1"/>
          <w:szCs w:val="24"/>
        </w:rPr>
        <w:t xml:space="preserve"> trait </w:t>
      </w:r>
      <w:r w:rsidR="006B4469" w:rsidRPr="008E6B11">
        <w:rPr>
          <w:color w:val="000000" w:themeColor="text1"/>
          <w:szCs w:val="24"/>
        </w:rPr>
        <w:t>size (cf. Voracek, 2009)</w:t>
      </w:r>
      <w:r w:rsidR="008832C2" w:rsidRPr="008E6B11">
        <w:rPr>
          <w:color w:val="000000" w:themeColor="text1"/>
          <w:szCs w:val="24"/>
        </w:rPr>
        <w:t xml:space="preserve">. </w:t>
      </w:r>
      <w:r w:rsidR="0023262F" w:rsidRPr="008E6B11">
        <w:rPr>
          <w:color w:val="000000" w:themeColor="text1"/>
          <w:szCs w:val="24"/>
        </w:rPr>
        <w:t>H0</w:t>
      </w:r>
      <w:r w:rsidR="00DF6CE1" w:rsidRPr="008E6B11">
        <w:rPr>
          <w:color w:val="000000" w:themeColor="text1"/>
          <w:szCs w:val="24"/>
        </w:rPr>
        <w:t>5</w:t>
      </w:r>
      <w:r w:rsidR="0023262F" w:rsidRPr="008E6B11">
        <w:rPr>
          <w:color w:val="000000" w:themeColor="text1"/>
          <w:szCs w:val="24"/>
        </w:rPr>
        <w:t xml:space="preserve"> is </w:t>
      </w:r>
      <w:r w:rsidR="00C813B0" w:rsidRPr="008E6B11">
        <w:rPr>
          <w:color w:val="000000" w:themeColor="text1"/>
          <w:szCs w:val="24"/>
        </w:rPr>
        <w:t xml:space="preserve">not </w:t>
      </w:r>
      <w:r w:rsidR="0023262F" w:rsidRPr="008E6B11">
        <w:rPr>
          <w:color w:val="000000" w:themeColor="text1"/>
          <w:szCs w:val="24"/>
        </w:rPr>
        <w:t>supported</w:t>
      </w:r>
      <w:r w:rsidR="00A40D28" w:rsidRPr="008E6B11">
        <w:rPr>
          <w:color w:val="000000" w:themeColor="text1"/>
          <w:szCs w:val="24"/>
        </w:rPr>
        <w:t xml:space="preserve"> either</w:t>
      </w:r>
      <w:r w:rsidR="00145A5B" w:rsidRPr="008E6B11">
        <w:rPr>
          <w:color w:val="000000" w:themeColor="text1"/>
          <w:szCs w:val="24"/>
        </w:rPr>
        <w:t>.</w:t>
      </w:r>
    </w:p>
    <w:p w:rsidR="003C69DB" w:rsidRPr="008E6B11" w:rsidRDefault="00EB5063" w:rsidP="003C69DB">
      <w:pPr>
        <w:pStyle w:val="BodyText"/>
        <w:spacing w:line="480" w:lineRule="auto"/>
        <w:rPr>
          <w:b/>
          <w:i/>
          <w:color w:val="000000" w:themeColor="text1"/>
          <w:szCs w:val="24"/>
        </w:rPr>
      </w:pPr>
      <w:r w:rsidRPr="008E6B11">
        <w:rPr>
          <w:b/>
          <w:i/>
          <w:color w:val="000000" w:themeColor="text1"/>
          <w:szCs w:val="24"/>
        </w:rPr>
        <w:t xml:space="preserve">3.4 Associations with </w:t>
      </w:r>
      <w:r w:rsidR="00C568DE" w:rsidRPr="008E6B11">
        <w:rPr>
          <w:b/>
          <w:i/>
          <w:color w:val="000000" w:themeColor="text1"/>
          <w:szCs w:val="24"/>
        </w:rPr>
        <w:t>participant age and ethnicity</w:t>
      </w:r>
    </w:p>
    <w:p w:rsidR="003C69DB" w:rsidRPr="008E6B11" w:rsidRDefault="009317D1" w:rsidP="00CA7DE1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All</w:t>
      </w:r>
      <w:r w:rsidR="00CA7DE1" w:rsidRPr="008E6B11">
        <w:rPr>
          <w:color w:val="000000" w:themeColor="text1"/>
          <w:szCs w:val="24"/>
        </w:rPr>
        <w:t xml:space="preserve"> digit-related measure</w:t>
      </w:r>
      <w:r w:rsidRPr="008E6B11">
        <w:rPr>
          <w:color w:val="000000" w:themeColor="text1"/>
          <w:szCs w:val="24"/>
        </w:rPr>
        <w:t>s</w:t>
      </w:r>
      <w:r w:rsidR="00CA7DE1" w:rsidRPr="008E6B11">
        <w:rPr>
          <w:color w:val="000000" w:themeColor="text1"/>
          <w:szCs w:val="24"/>
        </w:rPr>
        <w:t xml:space="preserve"> </w:t>
      </w:r>
      <w:r w:rsidRPr="008E6B11">
        <w:rPr>
          <w:color w:val="000000" w:themeColor="text1"/>
          <w:szCs w:val="24"/>
        </w:rPr>
        <w:t xml:space="preserve">were unrelated to </w:t>
      </w:r>
      <w:r w:rsidR="003C69DB" w:rsidRPr="008E6B11">
        <w:rPr>
          <w:color w:val="000000" w:themeColor="text1"/>
          <w:szCs w:val="24"/>
        </w:rPr>
        <w:t>participant</w:t>
      </w:r>
      <w:r w:rsidR="00FF6860" w:rsidRPr="008E6B11">
        <w:rPr>
          <w:color w:val="000000" w:themeColor="text1"/>
          <w:szCs w:val="24"/>
        </w:rPr>
        <w:t>s’</w:t>
      </w:r>
      <w:r w:rsidR="003C69DB" w:rsidRPr="008E6B11">
        <w:rPr>
          <w:color w:val="000000" w:themeColor="text1"/>
          <w:szCs w:val="24"/>
        </w:rPr>
        <w:t xml:space="preserve"> age </w:t>
      </w:r>
      <w:r w:rsidRPr="008E6B11">
        <w:rPr>
          <w:color w:val="000000" w:themeColor="text1"/>
          <w:szCs w:val="24"/>
        </w:rPr>
        <w:t>and</w:t>
      </w:r>
      <w:r w:rsidR="003C69DB" w:rsidRPr="008E6B11">
        <w:rPr>
          <w:color w:val="000000" w:themeColor="text1"/>
          <w:szCs w:val="24"/>
        </w:rPr>
        <w:t xml:space="preserve"> (Caucasian vs. non-Caucasian) ethnicity</w:t>
      </w:r>
      <w:r w:rsidR="00CA7DE1" w:rsidRPr="008E6B11">
        <w:rPr>
          <w:color w:val="000000" w:themeColor="text1"/>
          <w:szCs w:val="24"/>
        </w:rPr>
        <w:t xml:space="preserve">. </w:t>
      </w:r>
      <w:r w:rsidR="004254FA" w:rsidRPr="008E6B11">
        <w:rPr>
          <w:color w:val="000000" w:themeColor="text1"/>
          <w:szCs w:val="24"/>
        </w:rPr>
        <w:t>T</w:t>
      </w:r>
      <w:r w:rsidR="00CA7DE1" w:rsidRPr="008E6B11">
        <w:rPr>
          <w:color w:val="000000" w:themeColor="text1"/>
          <w:szCs w:val="24"/>
        </w:rPr>
        <w:t xml:space="preserve">hese two demographics </w:t>
      </w:r>
      <w:r w:rsidR="004254FA" w:rsidRPr="008E6B11">
        <w:rPr>
          <w:color w:val="000000" w:themeColor="text1"/>
          <w:szCs w:val="24"/>
        </w:rPr>
        <w:t>are</w:t>
      </w:r>
      <w:r w:rsidR="003C69DB" w:rsidRPr="008E6B11">
        <w:rPr>
          <w:color w:val="000000" w:themeColor="text1"/>
          <w:szCs w:val="24"/>
        </w:rPr>
        <w:t xml:space="preserve"> </w:t>
      </w:r>
      <w:r w:rsidR="00D452D2" w:rsidRPr="008E6B11">
        <w:rPr>
          <w:color w:val="000000" w:themeColor="text1"/>
          <w:szCs w:val="24"/>
        </w:rPr>
        <w:t>no longer</w:t>
      </w:r>
      <w:r w:rsidR="003C69DB" w:rsidRPr="008E6B11">
        <w:rPr>
          <w:color w:val="000000" w:themeColor="text1"/>
          <w:szCs w:val="24"/>
        </w:rPr>
        <w:t xml:space="preserve"> </w:t>
      </w:r>
      <w:r w:rsidR="006B2FDE" w:rsidRPr="008E6B11">
        <w:rPr>
          <w:color w:val="000000" w:themeColor="text1"/>
          <w:szCs w:val="24"/>
        </w:rPr>
        <w:t>considered</w:t>
      </w:r>
      <w:r w:rsidR="003C69DB" w:rsidRPr="008E6B11">
        <w:rPr>
          <w:color w:val="000000" w:themeColor="text1"/>
          <w:szCs w:val="24"/>
        </w:rPr>
        <w:t xml:space="preserve">. </w:t>
      </w:r>
    </w:p>
    <w:p w:rsidR="00145A5B" w:rsidRPr="008E6B11" w:rsidRDefault="00145A5B" w:rsidP="00145A5B">
      <w:pPr>
        <w:pStyle w:val="BodyText"/>
        <w:spacing w:line="480" w:lineRule="auto"/>
        <w:rPr>
          <w:b/>
          <w:i/>
          <w:color w:val="000000" w:themeColor="text1"/>
          <w:szCs w:val="24"/>
        </w:rPr>
      </w:pPr>
      <w:r w:rsidRPr="008E6B11">
        <w:rPr>
          <w:b/>
          <w:i/>
          <w:color w:val="000000" w:themeColor="text1"/>
          <w:szCs w:val="24"/>
        </w:rPr>
        <w:t xml:space="preserve">3.5 Associations with </w:t>
      </w:r>
      <w:r w:rsidR="00C568DE" w:rsidRPr="008E6B11">
        <w:rPr>
          <w:b/>
          <w:i/>
          <w:color w:val="000000" w:themeColor="text1"/>
          <w:szCs w:val="24"/>
        </w:rPr>
        <w:t>paranormal belief: Trends for males vs. females</w:t>
      </w:r>
    </w:p>
    <w:p w:rsidR="00145A5B" w:rsidRPr="008E6B11" w:rsidRDefault="00145A5B" w:rsidP="00145A5B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Correlations between all digit-related measures and the three paranormal belief types are presented separately for male and female participants in Table 3. Corresponding variance explained (</w:t>
      </w:r>
      <w:r w:rsidRPr="008E6B11">
        <w:rPr>
          <w:i/>
          <w:color w:val="000000" w:themeColor="text1"/>
          <w:szCs w:val="24"/>
        </w:rPr>
        <w:t>eta</w:t>
      </w:r>
      <w:r w:rsidRPr="008E6B11">
        <w:rPr>
          <w:i/>
          <w:color w:val="000000" w:themeColor="text1"/>
          <w:szCs w:val="24"/>
          <w:vertAlign w:val="superscript"/>
        </w:rPr>
        <w:t>2</w:t>
      </w:r>
      <w:r w:rsidRPr="008E6B11">
        <w:rPr>
          <w:color w:val="000000" w:themeColor="text1"/>
          <w:szCs w:val="24"/>
        </w:rPr>
        <w:t>) figures</w:t>
      </w:r>
      <w:r w:rsidRPr="008E6B11">
        <w:rPr>
          <w:rStyle w:val="FootnoteReference"/>
          <w:color w:val="000000" w:themeColor="text1"/>
          <w:szCs w:val="24"/>
        </w:rPr>
        <w:t xml:space="preserve"> </w:t>
      </w:r>
      <w:r w:rsidRPr="008E6B11">
        <w:rPr>
          <w:color w:val="000000" w:themeColor="text1"/>
          <w:szCs w:val="24"/>
        </w:rPr>
        <w:t xml:space="preserve">- calculated from guidelines in Walker (2003) – are given in the supplementary Appendix. </w:t>
      </w:r>
    </w:p>
    <w:p w:rsidR="00145A5B" w:rsidRPr="008E6B11" w:rsidRDefault="00145A5B" w:rsidP="00145A5B">
      <w:pPr>
        <w:pStyle w:val="BodyText"/>
        <w:spacing w:line="480" w:lineRule="auto"/>
        <w:jc w:val="center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*** Table 3 here ***</w:t>
      </w:r>
    </w:p>
    <w:p w:rsidR="00145A5B" w:rsidRPr="008E6B11" w:rsidRDefault="00145A5B" w:rsidP="00145A5B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 xml:space="preserve">As Table 3 shows, </w:t>
      </w:r>
      <w:r w:rsidR="001C42B4" w:rsidRPr="008E6B11">
        <w:rPr>
          <w:color w:val="000000" w:themeColor="text1"/>
          <w:szCs w:val="24"/>
        </w:rPr>
        <w:t>only four (near) significant</w:t>
      </w:r>
      <w:r w:rsidR="009317D1" w:rsidRPr="008E6B11">
        <w:rPr>
          <w:color w:val="000000" w:themeColor="text1"/>
          <w:szCs w:val="24"/>
        </w:rPr>
        <w:t xml:space="preserve"> correlations were found, </w:t>
      </w:r>
      <w:r w:rsidR="003C4D49" w:rsidRPr="008E6B11">
        <w:rPr>
          <w:color w:val="000000" w:themeColor="text1"/>
          <w:szCs w:val="24"/>
        </w:rPr>
        <w:t>First, f</w:t>
      </w:r>
      <w:r w:rsidR="001C42B4" w:rsidRPr="008E6B11">
        <w:rPr>
          <w:color w:val="000000" w:themeColor="text1"/>
          <w:szCs w:val="24"/>
        </w:rPr>
        <w:t>emales’ belief in ESP correlated positively with their self-rated right hand 2D:4D</w:t>
      </w:r>
      <w:r w:rsidR="003C4D49" w:rsidRPr="008E6B11">
        <w:rPr>
          <w:color w:val="000000" w:themeColor="text1"/>
          <w:szCs w:val="24"/>
        </w:rPr>
        <w:t xml:space="preserve">. Second, females’ </w:t>
      </w:r>
      <w:r w:rsidR="001C42B4" w:rsidRPr="008E6B11">
        <w:rPr>
          <w:color w:val="000000" w:themeColor="text1"/>
          <w:szCs w:val="24"/>
        </w:rPr>
        <w:t xml:space="preserve">belief in PK </w:t>
      </w:r>
      <w:r w:rsidR="003C4D49" w:rsidRPr="008E6B11">
        <w:rPr>
          <w:color w:val="000000" w:themeColor="text1"/>
          <w:szCs w:val="24"/>
        </w:rPr>
        <w:t>did</w:t>
      </w:r>
      <w:r w:rsidR="001C42B4" w:rsidRPr="008E6B11">
        <w:rPr>
          <w:color w:val="000000" w:themeColor="text1"/>
          <w:szCs w:val="24"/>
        </w:rPr>
        <w:t xml:space="preserve"> likewise with self-rated 2D:4D for both hands</w:t>
      </w:r>
      <w:r w:rsidR="003C4D49" w:rsidRPr="008E6B11">
        <w:rPr>
          <w:color w:val="000000" w:themeColor="text1"/>
          <w:szCs w:val="24"/>
        </w:rPr>
        <w:t>, with the ri</w:t>
      </w:r>
      <w:r w:rsidR="009317D1" w:rsidRPr="008E6B11">
        <w:rPr>
          <w:color w:val="000000" w:themeColor="text1"/>
          <w:szCs w:val="24"/>
        </w:rPr>
        <w:t>ght hand correlation marginally</w:t>
      </w:r>
      <w:r w:rsidR="00EF04AA" w:rsidRPr="008E6B11">
        <w:rPr>
          <w:color w:val="000000" w:themeColor="text1"/>
          <w:szCs w:val="24"/>
        </w:rPr>
        <w:t xml:space="preserve"> </w:t>
      </w:r>
      <w:r w:rsidR="003C4D49" w:rsidRPr="008E6B11">
        <w:rPr>
          <w:color w:val="000000" w:themeColor="text1"/>
          <w:szCs w:val="24"/>
        </w:rPr>
        <w:t>significant</w:t>
      </w:r>
      <w:r w:rsidR="009317D1" w:rsidRPr="008E6B11">
        <w:rPr>
          <w:color w:val="000000" w:themeColor="text1"/>
          <w:szCs w:val="24"/>
        </w:rPr>
        <w:t xml:space="preserve"> (</w:t>
      </w:r>
      <w:r w:rsidR="009317D1" w:rsidRPr="008E6B11">
        <w:rPr>
          <w:i/>
          <w:color w:val="000000" w:themeColor="text1"/>
          <w:szCs w:val="24"/>
        </w:rPr>
        <w:t>p</w:t>
      </w:r>
      <w:r w:rsidR="00C568DE" w:rsidRPr="008E6B11">
        <w:rPr>
          <w:color w:val="000000" w:themeColor="text1"/>
          <w:szCs w:val="24"/>
        </w:rPr>
        <w:t xml:space="preserve"> = </w:t>
      </w:r>
      <w:r w:rsidR="009317D1" w:rsidRPr="008E6B11">
        <w:rPr>
          <w:color w:val="000000" w:themeColor="text1"/>
          <w:szCs w:val="24"/>
        </w:rPr>
        <w:t>.</w:t>
      </w:r>
      <w:r w:rsidR="00EF04AA" w:rsidRPr="008E6B11">
        <w:rPr>
          <w:color w:val="000000" w:themeColor="text1"/>
          <w:szCs w:val="24"/>
        </w:rPr>
        <w:t>058</w:t>
      </w:r>
      <w:r w:rsidR="009317D1" w:rsidRPr="008E6B11">
        <w:rPr>
          <w:color w:val="000000" w:themeColor="text1"/>
          <w:szCs w:val="24"/>
        </w:rPr>
        <w:t>)</w:t>
      </w:r>
      <w:r w:rsidR="003C4D49" w:rsidRPr="008E6B11">
        <w:rPr>
          <w:color w:val="000000" w:themeColor="text1"/>
          <w:szCs w:val="24"/>
        </w:rPr>
        <w:t>. Finally</w:t>
      </w:r>
      <w:r w:rsidR="00EF04AA" w:rsidRPr="008E6B11">
        <w:rPr>
          <w:color w:val="000000" w:themeColor="text1"/>
          <w:szCs w:val="24"/>
        </w:rPr>
        <w:t>,</w:t>
      </w:r>
      <w:r w:rsidR="003C4D49" w:rsidRPr="008E6B11">
        <w:rPr>
          <w:color w:val="000000" w:themeColor="text1"/>
          <w:szCs w:val="24"/>
        </w:rPr>
        <w:t xml:space="preserve"> </w:t>
      </w:r>
      <w:r w:rsidR="001C42B4" w:rsidRPr="008E6B11">
        <w:rPr>
          <w:color w:val="000000" w:themeColor="text1"/>
          <w:szCs w:val="24"/>
        </w:rPr>
        <w:t xml:space="preserve">females’ belief in PK </w:t>
      </w:r>
      <w:r w:rsidR="003C4D49" w:rsidRPr="008E6B11">
        <w:rPr>
          <w:color w:val="000000" w:themeColor="text1"/>
          <w:szCs w:val="24"/>
        </w:rPr>
        <w:t xml:space="preserve">also </w:t>
      </w:r>
      <w:r w:rsidR="001C42B4" w:rsidRPr="008E6B11">
        <w:rPr>
          <w:color w:val="000000" w:themeColor="text1"/>
          <w:szCs w:val="24"/>
        </w:rPr>
        <w:t>correlated positively with their self-rated FA. No more than 4% of belief variance was explained by these relationships</w:t>
      </w:r>
      <w:r w:rsidR="00950861" w:rsidRPr="008E6B11">
        <w:rPr>
          <w:color w:val="000000" w:themeColor="text1"/>
          <w:szCs w:val="24"/>
        </w:rPr>
        <w:t xml:space="preserve"> (see Appendix)</w:t>
      </w:r>
      <w:r w:rsidR="003C4D49" w:rsidRPr="008E6B11">
        <w:rPr>
          <w:color w:val="000000" w:themeColor="text1"/>
          <w:szCs w:val="24"/>
        </w:rPr>
        <w:t xml:space="preserve"> which were not replicated for male participants. </w:t>
      </w:r>
      <w:r w:rsidR="001C42B4" w:rsidRPr="008E6B11">
        <w:rPr>
          <w:color w:val="000000" w:themeColor="text1"/>
          <w:szCs w:val="24"/>
        </w:rPr>
        <w:t>In sum, there was limited support for H07 and H09 with all other hypotheses unsupported.</w:t>
      </w:r>
    </w:p>
    <w:p w:rsidR="00203C05" w:rsidRPr="008E6B11" w:rsidRDefault="00EB5063" w:rsidP="00203C05">
      <w:pPr>
        <w:spacing w:line="480" w:lineRule="auto"/>
        <w:rPr>
          <w:b/>
          <w:i/>
          <w:color w:val="000000" w:themeColor="text1"/>
        </w:rPr>
      </w:pPr>
      <w:r w:rsidRPr="008E6B11">
        <w:rPr>
          <w:b/>
          <w:i/>
          <w:color w:val="000000" w:themeColor="text1"/>
        </w:rPr>
        <w:t xml:space="preserve">3.7 Trends </w:t>
      </w:r>
      <w:r w:rsidR="007162F8" w:rsidRPr="008E6B11">
        <w:rPr>
          <w:b/>
          <w:i/>
          <w:color w:val="000000" w:themeColor="text1"/>
        </w:rPr>
        <w:t>for different paranormal belief types</w:t>
      </w:r>
    </w:p>
    <w:p w:rsidR="00EF04AA" w:rsidRPr="008E6B11" w:rsidRDefault="00203C05" w:rsidP="008E3AD3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>Of the</w:t>
      </w:r>
      <w:r w:rsidR="00EF04AA" w:rsidRPr="008E6B11">
        <w:rPr>
          <w:color w:val="000000" w:themeColor="text1"/>
        </w:rPr>
        <w:t xml:space="preserve">se above (near) significant belief </w:t>
      </w:r>
      <w:r w:rsidR="00FC0BC8" w:rsidRPr="008E6B11">
        <w:rPr>
          <w:color w:val="000000" w:themeColor="text1"/>
        </w:rPr>
        <w:sym w:font="Symbol" w:char="F0B4"/>
      </w:r>
      <w:r w:rsidR="00EF04AA" w:rsidRPr="008E6B11">
        <w:rPr>
          <w:color w:val="000000" w:themeColor="text1"/>
        </w:rPr>
        <w:t xml:space="preserve"> digit associations, one involved ESP with three involving PK beliefs, with all four of comparable magnitude (</w:t>
      </w:r>
      <w:r w:rsidR="00EF04AA" w:rsidRPr="008E6B11">
        <w:rPr>
          <w:i/>
          <w:color w:val="000000" w:themeColor="text1"/>
        </w:rPr>
        <w:t>tau-b</w:t>
      </w:r>
      <w:r w:rsidR="00EF04AA" w:rsidRPr="008E6B11">
        <w:rPr>
          <w:color w:val="000000" w:themeColor="text1"/>
        </w:rPr>
        <w:t xml:space="preserve"> from .10 to .12). Some support for H14 was therefore found. </w:t>
      </w:r>
    </w:p>
    <w:p w:rsidR="00827A01" w:rsidRPr="008E6B11" w:rsidRDefault="00EB5063" w:rsidP="00827A01">
      <w:pPr>
        <w:pStyle w:val="BodyText"/>
        <w:spacing w:line="480" w:lineRule="auto"/>
        <w:rPr>
          <w:i/>
          <w:color w:val="000000" w:themeColor="text1"/>
          <w:szCs w:val="24"/>
        </w:rPr>
      </w:pPr>
      <w:r w:rsidRPr="008E6B11">
        <w:rPr>
          <w:b/>
          <w:i/>
          <w:color w:val="000000" w:themeColor="text1"/>
          <w:szCs w:val="24"/>
        </w:rPr>
        <w:t xml:space="preserve">3.8 </w:t>
      </w:r>
      <w:r w:rsidR="00986B7A" w:rsidRPr="008E6B11">
        <w:rPr>
          <w:b/>
          <w:i/>
          <w:color w:val="000000" w:themeColor="text1"/>
          <w:szCs w:val="24"/>
        </w:rPr>
        <w:t xml:space="preserve">Direct </w:t>
      </w:r>
      <w:r w:rsidRPr="008E6B11">
        <w:rPr>
          <w:b/>
          <w:i/>
          <w:color w:val="000000" w:themeColor="text1"/>
          <w:szCs w:val="24"/>
        </w:rPr>
        <w:t xml:space="preserve">Self vs. </w:t>
      </w:r>
      <w:r w:rsidR="00CB09AB" w:rsidRPr="008E6B11">
        <w:rPr>
          <w:b/>
          <w:i/>
          <w:color w:val="000000" w:themeColor="text1"/>
          <w:szCs w:val="24"/>
        </w:rPr>
        <w:t xml:space="preserve">Indirect </w:t>
      </w:r>
      <w:r w:rsidR="00986B7A" w:rsidRPr="008E6B11">
        <w:rPr>
          <w:b/>
          <w:i/>
          <w:color w:val="000000" w:themeColor="text1"/>
          <w:szCs w:val="24"/>
        </w:rPr>
        <w:t>R</w:t>
      </w:r>
      <w:r w:rsidR="00CB09AB" w:rsidRPr="008E6B11">
        <w:rPr>
          <w:b/>
          <w:i/>
          <w:color w:val="000000" w:themeColor="text1"/>
          <w:szCs w:val="24"/>
        </w:rPr>
        <w:t>ater</w:t>
      </w:r>
      <w:r w:rsidRPr="008E6B11">
        <w:rPr>
          <w:b/>
          <w:i/>
          <w:color w:val="000000" w:themeColor="text1"/>
          <w:szCs w:val="24"/>
        </w:rPr>
        <w:t>-Based Digit Measurements</w:t>
      </w:r>
      <w:r w:rsidRPr="008E6B11">
        <w:rPr>
          <w:i/>
          <w:color w:val="000000" w:themeColor="text1"/>
          <w:szCs w:val="24"/>
        </w:rPr>
        <w:t xml:space="preserve"> </w:t>
      </w:r>
    </w:p>
    <w:p w:rsidR="001F4A6B" w:rsidRPr="008E6B11" w:rsidRDefault="001F4A6B" w:rsidP="00827A01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>Noticeably, these four</w:t>
      </w:r>
      <w:r w:rsidR="00983881" w:rsidRPr="008E6B11">
        <w:rPr>
          <w:color w:val="000000" w:themeColor="text1"/>
        </w:rPr>
        <w:t xml:space="preserve"> </w:t>
      </w:r>
      <w:r w:rsidR="004871FA" w:rsidRPr="008E6B11">
        <w:rPr>
          <w:color w:val="000000" w:themeColor="text1"/>
        </w:rPr>
        <w:t xml:space="preserve">the (near) </w:t>
      </w:r>
      <w:r w:rsidR="00983881" w:rsidRPr="008E6B11">
        <w:rPr>
          <w:color w:val="000000" w:themeColor="text1"/>
        </w:rPr>
        <w:t xml:space="preserve">significant correlations </w:t>
      </w:r>
      <w:r w:rsidRPr="008E6B11">
        <w:rPr>
          <w:color w:val="000000" w:themeColor="text1"/>
        </w:rPr>
        <w:t>existed only</w:t>
      </w:r>
      <w:r w:rsidR="00983881" w:rsidRPr="008E6B11">
        <w:rPr>
          <w:color w:val="000000" w:themeColor="text1"/>
        </w:rPr>
        <w:t xml:space="preserve"> </w:t>
      </w:r>
      <w:r w:rsidR="004871FA" w:rsidRPr="008E6B11">
        <w:rPr>
          <w:color w:val="000000" w:themeColor="text1"/>
        </w:rPr>
        <w:t>for</w:t>
      </w:r>
      <w:r w:rsidR="00983881" w:rsidRPr="008E6B11">
        <w:rPr>
          <w:color w:val="000000" w:themeColor="text1"/>
        </w:rPr>
        <w:t xml:space="preserve"> </w:t>
      </w:r>
      <w:r w:rsidR="004871FA" w:rsidRPr="008E6B11">
        <w:rPr>
          <w:color w:val="000000" w:themeColor="text1"/>
        </w:rPr>
        <w:t xml:space="preserve">females’ </w:t>
      </w:r>
      <w:r w:rsidR="00D313C4" w:rsidRPr="008E6B11">
        <w:rPr>
          <w:color w:val="000000" w:themeColor="text1"/>
        </w:rPr>
        <w:t>direct</w:t>
      </w:r>
      <w:r w:rsidR="00CB09AB" w:rsidRPr="008E6B11">
        <w:rPr>
          <w:color w:val="000000" w:themeColor="text1"/>
        </w:rPr>
        <w:t xml:space="preserve"> self-based</w:t>
      </w:r>
      <w:r w:rsidR="00983881" w:rsidRPr="008E6B11">
        <w:rPr>
          <w:color w:val="000000" w:themeColor="text1"/>
        </w:rPr>
        <w:t xml:space="preserve"> </w:t>
      </w:r>
      <w:r w:rsidRPr="008E6B11">
        <w:rPr>
          <w:color w:val="000000" w:themeColor="text1"/>
        </w:rPr>
        <w:t>measures</w:t>
      </w:r>
      <w:r w:rsidR="00983881" w:rsidRPr="008E6B11">
        <w:rPr>
          <w:color w:val="000000" w:themeColor="text1"/>
        </w:rPr>
        <w:t xml:space="preserve">. </w:t>
      </w:r>
      <w:r w:rsidRPr="008E6B11">
        <w:rPr>
          <w:color w:val="000000" w:themeColor="text1"/>
        </w:rPr>
        <w:t xml:space="preserve">Some support for H15 was also found. </w:t>
      </w:r>
    </w:p>
    <w:p w:rsidR="00F61FD5" w:rsidRPr="008E6B11" w:rsidRDefault="00845C76">
      <w:pPr>
        <w:pStyle w:val="BodyText"/>
        <w:spacing w:line="480" w:lineRule="auto"/>
        <w:rPr>
          <w:b/>
          <w:color w:val="000000" w:themeColor="text1"/>
          <w:szCs w:val="24"/>
        </w:rPr>
      </w:pPr>
      <w:r w:rsidRPr="008E6B11">
        <w:rPr>
          <w:b/>
          <w:color w:val="000000" w:themeColor="text1"/>
          <w:szCs w:val="24"/>
        </w:rPr>
        <w:t>4. Discussion</w:t>
      </w:r>
    </w:p>
    <w:p w:rsidR="00AF1281" w:rsidRPr="008E6B11" w:rsidRDefault="00A906BF" w:rsidP="00AF1281">
      <w:pPr>
        <w:pStyle w:val="BodyText"/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  <w:szCs w:val="24"/>
        </w:rPr>
        <w:t xml:space="preserve">For the most part, </w:t>
      </w:r>
      <w:r w:rsidR="00FF1AA6" w:rsidRPr="008E6B11">
        <w:rPr>
          <w:color w:val="000000" w:themeColor="text1"/>
          <w:szCs w:val="24"/>
        </w:rPr>
        <w:t xml:space="preserve">digit-related </w:t>
      </w:r>
      <w:r w:rsidR="009C772D" w:rsidRPr="008E6B11">
        <w:rPr>
          <w:color w:val="000000" w:themeColor="text1"/>
          <w:szCs w:val="24"/>
        </w:rPr>
        <w:t xml:space="preserve">scores </w:t>
      </w:r>
      <w:r w:rsidRPr="008E6B11">
        <w:rPr>
          <w:color w:val="000000" w:themeColor="text1"/>
          <w:szCs w:val="24"/>
        </w:rPr>
        <w:t xml:space="preserve">derived from </w:t>
      </w:r>
      <w:r w:rsidR="00FF1AA6" w:rsidRPr="008E6B11">
        <w:rPr>
          <w:color w:val="000000" w:themeColor="text1"/>
          <w:szCs w:val="24"/>
        </w:rPr>
        <w:t xml:space="preserve">participants’ </w:t>
      </w:r>
      <w:r w:rsidR="009C772D" w:rsidRPr="008E6B11">
        <w:rPr>
          <w:color w:val="000000" w:themeColor="text1"/>
          <w:szCs w:val="24"/>
        </w:rPr>
        <w:t>self-judged</w:t>
      </w:r>
      <w:r w:rsidR="00FF1AA6" w:rsidRPr="008E6B11">
        <w:rPr>
          <w:color w:val="000000" w:themeColor="text1"/>
          <w:szCs w:val="24"/>
        </w:rPr>
        <w:t xml:space="preserve"> </w:t>
      </w:r>
      <w:r w:rsidRPr="008E6B11">
        <w:rPr>
          <w:color w:val="000000" w:themeColor="text1"/>
          <w:szCs w:val="24"/>
        </w:rPr>
        <w:t xml:space="preserve">digit lengths were higher/larger than those </w:t>
      </w:r>
      <w:r w:rsidR="009C772D" w:rsidRPr="008E6B11">
        <w:rPr>
          <w:color w:val="000000" w:themeColor="text1"/>
          <w:szCs w:val="24"/>
        </w:rPr>
        <w:t>measured by</w:t>
      </w:r>
      <w:r w:rsidRPr="008E6B11">
        <w:rPr>
          <w:color w:val="000000" w:themeColor="text1"/>
          <w:szCs w:val="24"/>
        </w:rPr>
        <w:t xml:space="preserve"> two independent and trained </w:t>
      </w:r>
      <w:r w:rsidR="00CB09AB" w:rsidRPr="008E6B11">
        <w:rPr>
          <w:color w:val="000000" w:themeColor="text1"/>
          <w:szCs w:val="24"/>
        </w:rPr>
        <w:t>rater</w:t>
      </w:r>
      <w:r w:rsidRPr="008E6B11">
        <w:rPr>
          <w:color w:val="000000" w:themeColor="text1"/>
          <w:szCs w:val="24"/>
        </w:rPr>
        <w:t xml:space="preserve">s. Only </w:t>
      </w:r>
      <w:r w:rsidR="009C772D" w:rsidRPr="008E6B11">
        <w:rPr>
          <w:color w:val="000000" w:themeColor="text1"/>
          <w:szCs w:val="24"/>
        </w:rPr>
        <w:t xml:space="preserve">DA </w:t>
      </w:r>
      <w:r w:rsidRPr="008E6B11">
        <w:rPr>
          <w:color w:val="000000" w:themeColor="text1"/>
        </w:rPr>
        <w:t xml:space="preserve">showed the opposite trend. </w:t>
      </w:r>
      <w:r w:rsidR="00AF1281" w:rsidRPr="008E6B11">
        <w:rPr>
          <w:color w:val="000000" w:themeColor="text1"/>
        </w:rPr>
        <w:t xml:space="preserve">These findings are consistent with previous </w:t>
      </w:r>
      <w:r w:rsidR="0025193B" w:rsidRPr="008E6B11">
        <w:rPr>
          <w:color w:val="000000" w:themeColor="text1"/>
        </w:rPr>
        <w:t>claims</w:t>
      </w:r>
      <w:r w:rsidR="00AF1281" w:rsidRPr="008E6B11">
        <w:rPr>
          <w:color w:val="000000" w:themeColor="text1"/>
        </w:rPr>
        <w:t xml:space="preserve"> that indirect 2D:4D is generally lower (and less accurate) than direct 2D:4D (</w:t>
      </w:r>
      <w:r w:rsidR="00D667F4" w:rsidRPr="008E6B11">
        <w:rPr>
          <w:color w:val="000000" w:themeColor="text1"/>
        </w:rPr>
        <w:t>Manning et al., 2005</w:t>
      </w:r>
      <w:r w:rsidR="00AF1281" w:rsidRPr="008E6B11">
        <w:rPr>
          <w:color w:val="000000" w:themeColor="text1"/>
        </w:rPr>
        <w:t>; Ribeiro et al., 2016)</w:t>
      </w:r>
      <w:r w:rsidR="0025193B" w:rsidRPr="008E6B11">
        <w:rPr>
          <w:color w:val="000000" w:themeColor="text1"/>
        </w:rPr>
        <w:t xml:space="preserve">. All subsequent discussion will take this </w:t>
      </w:r>
      <w:r w:rsidR="00FF1AA6" w:rsidRPr="008E6B11">
        <w:rPr>
          <w:color w:val="000000" w:themeColor="text1"/>
        </w:rPr>
        <w:t>bias</w:t>
      </w:r>
      <w:r w:rsidR="0025193B" w:rsidRPr="008E6B11">
        <w:rPr>
          <w:color w:val="000000" w:themeColor="text1"/>
        </w:rPr>
        <w:t xml:space="preserve"> into </w:t>
      </w:r>
      <w:r w:rsidR="009C772D" w:rsidRPr="008E6B11">
        <w:rPr>
          <w:color w:val="000000" w:themeColor="text1"/>
        </w:rPr>
        <w:t>account</w:t>
      </w:r>
      <w:r w:rsidR="0025193B" w:rsidRPr="008E6B11">
        <w:rPr>
          <w:color w:val="000000" w:themeColor="text1"/>
        </w:rPr>
        <w:t>.</w:t>
      </w:r>
    </w:p>
    <w:p w:rsidR="006A6D14" w:rsidRPr="008E6B11" w:rsidRDefault="00845C76" w:rsidP="006A6D14">
      <w:pPr>
        <w:pStyle w:val="BodyText"/>
        <w:spacing w:line="480" w:lineRule="auto"/>
        <w:rPr>
          <w:b/>
          <w:i/>
          <w:color w:val="000000" w:themeColor="text1"/>
          <w:szCs w:val="24"/>
        </w:rPr>
      </w:pPr>
      <w:r w:rsidRPr="008E6B11">
        <w:rPr>
          <w:b/>
          <w:i/>
          <w:color w:val="000000" w:themeColor="text1"/>
          <w:szCs w:val="24"/>
        </w:rPr>
        <w:t xml:space="preserve">4.1 Sex </w:t>
      </w:r>
      <w:r w:rsidR="00B7157C" w:rsidRPr="008E6B11">
        <w:rPr>
          <w:b/>
          <w:i/>
          <w:color w:val="000000" w:themeColor="text1"/>
          <w:szCs w:val="24"/>
        </w:rPr>
        <w:t>d</w:t>
      </w:r>
      <w:r w:rsidRPr="008E6B11">
        <w:rPr>
          <w:b/>
          <w:i/>
          <w:color w:val="000000" w:themeColor="text1"/>
          <w:szCs w:val="24"/>
        </w:rPr>
        <w:t>ifferences</w:t>
      </w:r>
    </w:p>
    <w:p w:rsidR="00683D30" w:rsidRPr="008E6B11" w:rsidRDefault="006A6D14" w:rsidP="00683D30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As expected, female</w:t>
      </w:r>
      <w:r w:rsidR="00683D30" w:rsidRPr="008E6B11">
        <w:rPr>
          <w:color w:val="000000" w:themeColor="text1"/>
          <w:szCs w:val="24"/>
        </w:rPr>
        <w:t>s</w:t>
      </w:r>
      <w:r w:rsidRPr="008E6B11">
        <w:rPr>
          <w:color w:val="000000" w:themeColor="text1"/>
          <w:szCs w:val="24"/>
        </w:rPr>
        <w:t xml:space="preserve"> presented (marginally) stronger ESP and LAD </w:t>
      </w:r>
      <w:r w:rsidR="00683D30" w:rsidRPr="008E6B11">
        <w:rPr>
          <w:color w:val="000000" w:themeColor="text1"/>
          <w:szCs w:val="24"/>
        </w:rPr>
        <w:t xml:space="preserve">beliefs </w:t>
      </w:r>
      <w:r w:rsidRPr="008E6B11">
        <w:rPr>
          <w:color w:val="000000" w:themeColor="text1"/>
          <w:szCs w:val="24"/>
        </w:rPr>
        <w:t xml:space="preserve">supporting previous claims of robust sex differences in these paranormal </w:t>
      </w:r>
      <w:r w:rsidR="004D7428" w:rsidRPr="008E6B11">
        <w:rPr>
          <w:color w:val="000000" w:themeColor="text1"/>
          <w:szCs w:val="24"/>
        </w:rPr>
        <w:t xml:space="preserve">belief types </w:t>
      </w:r>
      <w:r w:rsidRPr="008E6B11">
        <w:rPr>
          <w:color w:val="000000" w:themeColor="text1"/>
          <w:szCs w:val="24"/>
        </w:rPr>
        <w:t xml:space="preserve">(Irwin, 2009). </w:t>
      </w:r>
      <w:r w:rsidR="004D7428" w:rsidRPr="008E6B11">
        <w:rPr>
          <w:color w:val="000000" w:themeColor="text1"/>
          <w:szCs w:val="24"/>
        </w:rPr>
        <w:t>T</w:t>
      </w:r>
      <w:r w:rsidR="00683D30" w:rsidRPr="008E6B11">
        <w:rPr>
          <w:color w:val="000000" w:themeColor="text1"/>
          <w:szCs w:val="24"/>
        </w:rPr>
        <w:t>he lack of parallel sex differences for PK beliefs was surprising.</w:t>
      </w:r>
      <w:r w:rsidR="00762C32" w:rsidRPr="008E6B11">
        <w:rPr>
          <w:color w:val="000000" w:themeColor="text1"/>
          <w:szCs w:val="24"/>
        </w:rPr>
        <w:t xml:space="preserve"> </w:t>
      </w:r>
      <w:r w:rsidR="00683D30" w:rsidRPr="008E6B11">
        <w:rPr>
          <w:color w:val="000000" w:themeColor="text1"/>
        </w:rPr>
        <w:t xml:space="preserve">It is worth noting that </w:t>
      </w:r>
      <w:r w:rsidR="004D7428" w:rsidRPr="008E6B11">
        <w:rPr>
          <w:color w:val="000000" w:themeColor="text1"/>
        </w:rPr>
        <w:t xml:space="preserve">belief in PK is </w:t>
      </w:r>
      <w:r w:rsidR="00683D30" w:rsidRPr="008E6B11">
        <w:rPr>
          <w:color w:val="000000" w:themeColor="text1"/>
        </w:rPr>
        <w:t xml:space="preserve">generally less prevalent </w:t>
      </w:r>
      <w:r w:rsidR="004D7428" w:rsidRPr="008E6B11">
        <w:rPr>
          <w:color w:val="000000" w:themeColor="text1"/>
        </w:rPr>
        <w:t xml:space="preserve">than belief in either </w:t>
      </w:r>
      <w:r w:rsidR="00683D30" w:rsidRPr="008E6B11">
        <w:rPr>
          <w:color w:val="000000" w:themeColor="text1"/>
        </w:rPr>
        <w:t xml:space="preserve">ESP </w:t>
      </w:r>
      <w:r w:rsidR="004D7428" w:rsidRPr="008E6B11">
        <w:rPr>
          <w:color w:val="000000" w:themeColor="text1"/>
        </w:rPr>
        <w:t xml:space="preserve">or </w:t>
      </w:r>
      <w:r w:rsidR="00683D30" w:rsidRPr="008E6B11">
        <w:rPr>
          <w:color w:val="000000" w:themeColor="text1"/>
        </w:rPr>
        <w:t>LAD</w:t>
      </w:r>
      <w:r w:rsidR="00B523EC" w:rsidRPr="008E6B11">
        <w:rPr>
          <w:color w:val="000000" w:themeColor="text1"/>
        </w:rPr>
        <w:t>,</w:t>
      </w:r>
      <w:r w:rsidR="00683D30" w:rsidRPr="008E6B11">
        <w:rPr>
          <w:color w:val="000000" w:themeColor="text1"/>
        </w:rPr>
        <w:t xml:space="preserve"> in part because PK is arguably more controversial and easier to dismiss as a misinterpretation of some natural event (Irwin &amp; Watt, 2007)</w:t>
      </w:r>
      <w:r w:rsidR="00762C32" w:rsidRPr="008E6B11">
        <w:rPr>
          <w:color w:val="000000" w:themeColor="text1"/>
        </w:rPr>
        <w:t xml:space="preserve">. </w:t>
      </w:r>
      <w:r w:rsidR="00683D30" w:rsidRPr="008E6B11">
        <w:rPr>
          <w:color w:val="000000" w:themeColor="text1"/>
        </w:rPr>
        <w:t>In this sense, PK</w:t>
      </w:r>
      <w:r w:rsidR="004D7428" w:rsidRPr="008E6B11">
        <w:rPr>
          <w:color w:val="000000" w:themeColor="text1"/>
        </w:rPr>
        <w:t xml:space="preserve"> belief </w:t>
      </w:r>
      <w:r w:rsidR="00683D30" w:rsidRPr="008E6B11">
        <w:rPr>
          <w:color w:val="000000" w:themeColor="text1"/>
        </w:rPr>
        <w:t xml:space="preserve">may </w:t>
      </w:r>
      <w:r w:rsidR="003A1535" w:rsidRPr="008E6B11">
        <w:rPr>
          <w:color w:val="000000" w:themeColor="text1"/>
        </w:rPr>
        <w:t>be considered a</w:t>
      </w:r>
      <w:r w:rsidR="00683D30" w:rsidRPr="008E6B11">
        <w:rPr>
          <w:color w:val="000000" w:themeColor="text1"/>
        </w:rPr>
        <w:t xml:space="preserve"> more </w:t>
      </w:r>
      <w:r w:rsidR="00762C32" w:rsidRPr="008E6B11">
        <w:rPr>
          <w:color w:val="000000" w:themeColor="text1"/>
        </w:rPr>
        <w:t>“</w:t>
      </w:r>
      <w:r w:rsidR="00683D30" w:rsidRPr="008E6B11">
        <w:rPr>
          <w:color w:val="000000" w:themeColor="text1"/>
        </w:rPr>
        <w:t>extreme”</w:t>
      </w:r>
      <w:r w:rsidR="004D7428" w:rsidRPr="008E6B11">
        <w:rPr>
          <w:color w:val="000000" w:themeColor="text1"/>
        </w:rPr>
        <w:t xml:space="preserve"> </w:t>
      </w:r>
      <w:r w:rsidR="00683D30" w:rsidRPr="008E6B11">
        <w:rPr>
          <w:color w:val="000000" w:themeColor="text1"/>
        </w:rPr>
        <w:t xml:space="preserve">paranormal endorsement </w:t>
      </w:r>
      <w:r w:rsidR="00762C32" w:rsidRPr="008E6B11">
        <w:rPr>
          <w:color w:val="000000" w:themeColor="text1"/>
        </w:rPr>
        <w:t xml:space="preserve">with the current lack of sex differences perhaps reflecting this </w:t>
      </w:r>
      <w:r w:rsidR="003A1535" w:rsidRPr="008E6B11">
        <w:rPr>
          <w:color w:val="000000" w:themeColor="text1"/>
        </w:rPr>
        <w:t xml:space="preserve">apparent </w:t>
      </w:r>
      <w:r w:rsidR="00EB5063" w:rsidRPr="008E6B11">
        <w:rPr>
          <w:color w:val="000000" w:themeColor="text1"/>
        </w:rPr>
        <w:t>extremity.</w:t>
      </w:r>
      <w:r w:rsidR="006C24AC" w:rsidRPr="008E6B11">
        <w:rPr>
          <w:color w:val="000000" w:themeColor="text1"/>
        </w:rPr>
        <w:t xml:space="preserve"> </w:t>
      </w:r>
    </w:p>
    <w:p w:rsidR="00892A1B" w:rsidRPr="008E6B11" w:rsidRDefault="006A6D14" w:rsidP="0011446B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 xml:space="preserve">As </w:t>
      </w:r>
      <w:r w:rsidR="006939B5" w:rsidRPr="008E6B11">
        <w:rPr>
          <w:color w:val="000000" w:themeColor="text1"/>
          <w:szCs w:val="24"/>
        </w:rPr>
        <w:t>hypothesised</w:t>
      </w:r>
      <w:r w:rsidRPr="008E6B11">
        <w:rPr>
          <w:color w:val="000000" w:themeColor="text1"/>
          <w:szCs w:val="24"/>
        </w:rPr>
        <w:t>, females’ 2D and 4D lengths for both hands</w:t>
      </w:r>
      <w:r w:rsidR="00236F51" w:rsidRPr="008E6B11">
        <w:rPr>
          <w:color w:val="000000" w:themeColor="text1"/>
          <w:szCs w:val="24"/>
        </w:rPr>
        <w:t xml:space="preserve"> across both measurement sources</w:t>
      </w:r>
      <w:r w:rsidR="0083272C" w:rsidRPr="008E6B11">
        <w:rPr>
          <w:color w:val="000000" w:themeColor="text1"/>
          <w:szCs w:val="24"/>
        </w:rPr>
        <w:t xml:space="preserve"> - and hence their </w:t>
      </w:r>
      <w:r w:rsidR="00986B7A" w:rsidRPr="008E6B11">
        <w:rPr>
          <w:color w:val="000000" w:themeColor="text1"/>
          <w:szCs w:val="24"/>
        </w:rPr>
        <w:t xml:space="preserve">direct </w:t>
      </w:r>
      <w:r w:rsidR="00236F51" w:rsidRPr="008E6B11">
        <w:rPr>
          <w:color w:val="000000" w:themeColor="text1"/>
          <w:szCs w:val="24"/>
        </w:rPr>
        <w:t xml:space="preserve">self and </w:t>
      </w:r>
      <w:r w:rsidR="00CB09AB" w:rsidRPr="008E6B11">
        <w:rPr>
          <w:color w:val="000000" w:themeColor="text1"/>
          <w:szCs w:val="24"/>
        </w:rPr>
        <w:t>indirect rater</w:t>
      </w:r>
      <w:r w:rsidR="00236F51" w:rsidRPr="008E6B11">
        <w:rPr>
          <w:color w:val="000000" w:themeColor="text1"/>
          <w:szCs w:val="24"/>
        </w:rPr>
        <w:t>-based MDLs</w:t>
      </w:r>
      <w:r w:rsidR="003C2FA8" w:rsidRPr="008E6B11">
        <w:rPr>
          <w:color w:val="000000" w:themeColor="text1"/>
          <w:szCs w:val="24"/>
        </w:rPr>
        <w:t xml:space="preserve"> -</w:t>
      </w:r>
      <w:r w:rsidRPr="008E6B11">
        <w:rPr>
          <w:color w:val="000000" w:themeColor="text1"/>
          <w:szCs w:val="24"/>
        </w:rPr>
        <w:t xml:space="preserve"> were shorter than those of th</w:t>
      </w:r>
      <w:r w:rsidR="003C2FA8" w:rsidRPr="008E6B11">
        <w:rPr>
          <w:color w:val="000000" w:themeColor="text1"/>
          <w:szCs w:val="24"/>
        </w:rPr>
        <w:t>eir male counterparts</w:t>
      </w:r>
      <w:r w:rsidR="00892A1B" w:rsidRPr="008E6B11">
        <w:rPr>
          <w:color w:val="000000" w:themeColor="text1"/>
          <w:szCs w:val="24"/>
        </w:rPr>
        <w:t xml:space="preserve">. </w:t>
      </w:r>
      <w:r w:rsidR="002A2EB5" w:rsidRPr="008E6B11">
        <w:rPr>
          <w:color w:val="000000" w:themeColor="text1"/>
          <w:szCs w:val="24"/>
        </w:rPr>
        <w:t>Contrary to hypotheses</w:t>
      </w:r>
      <w:r w:rsidR="00892A1B" w:rsidRPr="008E6B11">
        <w:rPr>
          <w:color w:val="000000" w:themeColor="text1"/>
          <w:szCs w:val="24"/>
        </w:rPr>
        <w:t xml:space="preserve">, </w:t>
      </w:r>
      <w:r w:rsidR="00236F51" w:rsidRPr="008E6B11">
        <w:rPr>
          <w:color w:val="000000" w:themeColor="text1"/>
          <w:szCs w:val="24"/>
        </w:rPr>
        <w:t>MDLs</w:t>
      </w:r>
      <w:r w:rsidR="004B4515" w:rsidRPr="008E6B11">
        <w:rPr>
          <w:color w:val="000000" w:themeColor="text1"/>
          <w:szCs w:val="24"/>
        </w:rPr>
        <w:t xml:space="preserve"> </w:t>
      </w:r>
      <w:r w:rsidR="00892A1B" w:rsidRPr="008E6B11">
        <w:rPr>
          <w:color w:val="000000" w:themeColor="text1"/>
          <w:szCs w:val="24"/>
        </w:rPr>
        <w:t xml:space="preserve">failed to correlate with any paranormal belief type regardless of measurement source </w:t>
      </w:r>
      <w:r w:rsidR="00236F51" w:rsidRPr="008E6B11">
        <w:rPr>
          <w:color w:val="000000" w:themeColor="text1"/>
          <w:szCs w:val="24"/>
        </w:rPr>
        <w:t>or</w:t>
      </w:r>
      <w:r w:rsidR="00892A1B" w:rsidRPr="008E6B11">
        <w:rPr>
          <w:color w:val="000000" w:themeColor="text1"/>
          <w:szCs w:val="24"/>
        </w:rPr>
        <w:t xml:space="preserve"> participant sex. These findings are consistent with </w:t>
      </w:r>
      <w:r w:rsidR="00236F51" w:rsidRPr="008E6B11">
        <w:rPr>
          <w:color w:val="000000" w:themeColor="text1"/>
          <w:szCs w:val="24"/>
        </w:rPr>
        <w:t xml:space="preserve">those reported by </w:t>
      </w:r>
      <w:r w:rsidR="00892A1B" w:rsidRPr="008E6B11">
        <w:rPr>
          <w:color w:val="000000" w:themeColor="text1"/>
          <w:szCs w:val="24"/>
        </w:rPr>
        <w:t>Voracek (2009).</w:t>
      </w:r>
    </w:p>
    <w:p w:rsidR="005C2150" w:rsidRPr="008E6B11" w:rsidRDefault="002A2EB5" w:rsidP="00BB5CA8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 xml:space="preserve">Females also </w:t>
      </w:r>
      <w:r w:rsidR="00D53A22" w:rsidRPr="008E6B11">
        <w:rPr>
          <w:color w:val="000000" w:themeColor="text1"/>
          <w:szCs w:val="24"/>
        </w:rPr>
        <w:t xml:space="preserve">presented larger </w:t>
      </w:r>
      <w:r w:rsidRPr="008E6B11">
        <w:rPr>
          <w:color w:val="000000" w:themeColor="text1"/>
          <w:szCs w:val="24"/>
        </w:rPr>
        <w:t>(</w:t>
      </w:r>
      <w:r w:rsidR="00D53A22" w:rsidRPr="008E6B11">
        <w:rPr>
          <w:color w:val="000000" w:themeColor="text1"/>
          <w:szCs w:val="24"/>
        </w:rPr>
        <w:t>more feminized</w:t>
      </w:r>
      <w:r w:rsidRPr="008E6B11">
        <w:rPr>
          <w:color w:val="000000" w:themeColor="text1"/>
          <w:szCs w:val="24"/>
        </w:rPr>
        <w:t>)</w:t>
      </w:r>
      <w:r w:rsidR="00D53A22" w:rsidRPr="008E6B11">
        <w:rPr>
          <w:color w:val="000000" w:themeColor="text1"/>
          <w:szCs w:val="24"/>
        </w:rPr>
        <w:t xml:space="preserve"> </w:t>
      </w:r>
      <w:r w:rsidR="00EE67B5" w:rsidRPr="008E6B11">
        <w:rPr>
          <w:color w:val="000000" w:themeColor="text1"/>
          <w:szCs w:val="24"/>
        </w:rPr>
        <w:t xml:space="preserve">2D:4D </w:t>
      </w:r>
      <w:r w:rsidR="00D53A22" w:rsidRPr="008E6B11">
        <w:rPr>
          <w:color w:val="000000" w:themeColor="text1"/>
          <w:szCs w:val="24"/>
        </w:rPr>
        <w:t>than males</w:t>
      </w:r>
      <w:r w:rsidR="00B071C0" w:rsidRPr="008E6B11">
        <w:rPr>
          <w:color w:val="000000" w:themeColor="text1"/>
          <w:szCs w:val="24"/>
        </w:rPr>
        <w:t>. This was true of both hands</w:t>
      </w:r>
      <w:r w:rsidR="00D53A22" w:rsidRPr="008E6B11">
        <w:rPr>
          <w:color w:val="000000" w:themeColor="text1"/>
          <w:szCs w:val="24"/>
        </w:rPr>
        <w:t xml:space="preserve"> further highlight</w:t>
      </w:r>
      <w:r w:rsidR="00B071C0" w:rsidRPr="008E6B11">
        <w:rPr>
          <w:color w:val="000000" w:themeColor="text1"/>
          <w:szCs w:val="24"/>
        </w:rPr>
        <w:t>ing</w:t>
      </w:r>
      <w:r w:rsidR="00D53A22" w:rsidRPr="008E6B11">
        <w:rPr>
          <w:color w:val="000000" w:themeColor="text1"/>
          <w:szCs w:val="24"/>
        </w:rPr>
        <w:t xml:space="preserve"> the sexually </w:t>
      </w:r>
      <w:r w:rsidR="00D53A22" w:rsidRPr="008E6B11">
        <w:rPr>
          <w:color w:val="000000" w:themeColor="text1"/>
        </w:rPr>
        <w:t xml:space="preserve">dimorphic nature of </w:t>
      </w:r>
      <w:r w:rsidR="00236F51" w:rsidRPr="008E6B11">
        <w:rPr>
          <w:color w:val="000000" w:themeColor="text1"/>
          <w:szCs w:val="24"/>
        </w:rPr>
        <w:t>digit</w:t>
      </w:r>
      <w:r w:rsidR="00B071C0" w:rsidRPr="008E6B11">
        <w:rPr>
          <w:color w:val="000000" w:themeColor="text1"/>
          <w:szCs w:val="24"/>
        </w:rPr>
        <w:t xml:space="preserve"> ratios</w:t>
      </w:r>
      <w:r w:rsidR="00D53A22" w:rsidRPr="008E6B11">
        <w:rPr>
          <w:color w:val="000000" w:themeColor="text1"/>
          <w:szCs w:val="24"/>
        </w:rPr>
        <w:t xml:space="preserve"> (</w:t>
      </w:r>
      <w:r w:rsidR="00D53A22" w:rsidRPr="008E6B11">
        <w:rPr>
          <w:color w:val="000000" w:themeColor="text1"/>
        </w:rPr>
        <w:t>Manning, 2002, 2008)</w:t>
      </w:r>
      <w:r w:rsidR="00236F51" w:rsidRPr="008E6B11">
        <w:rPr>
          <w:color w:val="000000" w:themeColor="text1"/>
        </w:rPr>
        <w:t xml:space="preserve"> although here, only for those </w:t>
      </w:r>
      <w:r w:rsidR="00236F51" w:rsidRPr="008E6B11">
        <w:rPr>
          <w:color w:val="000000" w:themeColor="text1"/>
          <w:szCs w:val="24"/>
        </w:rPr>
        <w:t>generated</w:t>
      </w:r>
      <w:r w:rsidR="006A6D14" w:rsidRPr="008E6B11">
        <w:rPr>
          <w:color w:val="000000" w:themeColor="text1"/>
          <w:szCs w:val="24"/>
        </w:rPr>
        <w:t xml:space="preserve"> from </w:t>
      </w:r>
      <w:r w:rsidR="00CB09AB" w:rsidRPr="008E6B11">
        <w:rPr>
          <w:color w:val="000000" w:themeColor="text1"/>
          <w:szCs w:val="24"/>
        </w:rPr>
        <w:t>indirect rater</w:t>
      </w:r>
      <w:r w:rsidR="00B071C0" w:rsidRPr="008E6B11">
        <w:rPr>
          <w:color w:val="000000" w:themeColor="text1"/>
          <w:szCs w:val="24"/>
        </w:rPr>
        <w:t xml:space="preserve">-based </w:t>
      </w:r>
      <w:r w:rsidR="00236F51" w:rsidRPr="008E6B11">
        <w:rPr>
          <w:color w:val="000000" w:themeColor="text1"/>
          <w:szCs w:val="24"/>
        </w:rPr>
        <w:t>assessments</w:t>
      </w:r>
      <w:r w:rsidR="0011446B" w:rsidRPr="008E6B11">
        <w:rPr>
          <w:color w:val="000000" w:themeColor="text1"/>
          <w:szCs w:val="24"/>
        </w:rPr>
        <w:t xml:space="preserve">. </w:t>
      </w:r>
      <w:r w:rsidR="00236F51" w:rsidRPr="008E6B11">
        <w:rPr>
          <w:color w:val="000000" w:themeColor="text1"/>
          <w:szCs w:val="24"/>
        </w:rPr>
        <w:t xml:space="preserve">As such, they may be less accurate (cf. </w:t>
      </w:r>
      <w:r w:rsidR="00D667F4" w:rsidRPr="008E6B11">
        <w:rPr>
          <w:color w:val="000000" w:themeColor="text1"/>
          <w:szCs w:val="24"/>
        </w:rPr>
        <w:t>Manning et al., 2005</w:t>
      </w:r>
      <w:r w:rsidR="00236F51" w:rsidRPr="008E6B11">
        <w:rPr>
          <w:color w:val="000000" w:themeColor="text1"/>
          <w:szCs w:val="24"/>
        </w:rPr>
        <w:t xml:space="preserve">; </w:t>
      </w:r>
      <w:r w:rsidR="00D667F4" w:rsidRPr="008E6B11">
        <w:rPr>
          <w:color w:val="000000" w:themeColor="text1"/>
        </w:rPr>
        <w:t>Ribeiro</w:t>
      </w:r>
      <w:r w:rsidR="00D667F4" w:rsidRPr="008E6B11">
        <w:rPr>
          <w:color w:val="000000" w:themeColor="text1"/>
          <w:szCs w:val="24"/>
        </w:rPr>
        <w:t xml:space="preserve"> </w:t>
      </w:r>
      <w:r w:rsidR="00236F51" w:rsidRPr="008E6B11">
        <w:rPr>
          <w:color w:val="000000" w:themeColor="text1"/>
          <w:szCs w:val="24"/>
        </w:rPr>
        <w:t>et al., 2016)</w:t>
      </w:r>
    </w:p>
    <w:p w:rsidR="00EE67B5" w:rsidRPr="008E6B11" w:rsidRDefault="00211C71" w:rsidP="00BB5CA8">
      <w:pPr>
        <w:pStyle w:val="BodyText"/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Surprisingly </w:t>
      </w:r>
      <w:r w:rsidR="006A6D14" w:rsidRPr="008E6B11">
        <w:rPr>
          <w:color w:val="000000" w:themeColor="text1"/>
          <w:szCs w:val="24"/>
        </w:rPr>
        <w:t xml:space="preserve">females’ </w:t>
      </w:r>
      <w:r w:rsidR="00D14675" w:rsidRPr="008E6B11">
        <w:rPr>
          <w:color w:val="000000" w:themeColor="text1"/>
        </w:rPr>
        <w:t>DA</w:t>
      </w:r>
      <w:r w:rsidR="002A2EB5" w:rsidRPr="008E6B11">
        <w:rPr>
          <w:color w:val="000000" w:themeColor="text1"/>
        </w:rPr>
        <w:t xml:space="preserve"> scores </w:t>
      </w:r>
      <w:r w:rsidR="00BB5CA8" w:rsidRPr="008E6B11">
        <w:rPr>
          <w:color w:val="000000" w:themeColor="text1"/>
          <w:szCs w:val="24"/>
        </w:rPr>
        <w:t xml:space="preserve">did not vary significantly </w:t>
      </w:r>
      <w:r w:rsidR="006A6D14" w:rsidRPr="008E6B11">
        <w:rPr>
          <w:color w:val="000000" w:themeColor="text1"/>
          <w:szCs w:val="24"/>
        </w:rPr>
        <w:t>from those of males</w:t>
      </w:r>
      <w:r w:rsidR="002A2EB5" w:rsidRPr="008E6B11">
        <w:rPr>
          <w:color w:val="000000" w:themeColor="text1"/>
          <w:szCs w:val="24"/>
        </w:rPr>
        <w:t>,</w:t>
      </w:r>
      <w:r w:rsidR="00BB5CA8" w:rsidRPr="008E6B11">
        <w:rPr>
          <w:color w:val="000000" w:themeColor="text1"/>
          <w:szCs w:val="24"/>
        </w:rPr>
        <w:t xml:space="preserve"> with both </w:t>
      </w:r>
      <w:r w:rsidR="00594485" w:rsidRPr="008E6B11">
        <w:rPr>
          <w:color w:val="000000" w:themeColor="text1"/>
          <w:szCs w:val="24"/>
        </w:rPr>
        <w:t xml:space="preserve">sexes displaying </w:t>
      </w:r>
      <w:r w:rsidR="00BB5CA8" w:rsidRPr="008E6B11">
        <w:rPr>
          <w:color w:val="000000" w:themeColor="text1"/>
          <w:szCs w:val="24"/>
        </w:rPr>
        <w:t>comparatively little directional asymmetry</w:t>
      </w:r>
      <w:r w:rsidR="00594485" w:rsidRPr="008E6B11">
        <w:rPr>
          <w:color w:val="000000" w:themeColor="text1"/>
          <w:szCs w:val="24"/>
        </w:rPr>
        <w:t xml:space="preserve"> in digit ratios</w:t>
      </w:r>
      <w:r w:rsidR="00BB5CA8" w:rsidRPr="008E6B11">
        <w:rPr>
          <w:color w:val="000000" w:themeColor="text1"/>
          <w:szCs w:val="24"/>
        </w:rPr>
        <w:t xml:space="preserve">. </w:t>
      </w:r>
      <w:r w:rsidR="007D189C" w:rsidRPr="008E6B11">
        <w:rPr>
          <w:color w:val="000000" w:themeColor="text1"/>
          <w:szCs w:val="24"/>
        </w:rPr>
        <w:t>Whilst contrary to general trends (</w:t>
      </w:r>
      <w:r w:rsidR="007D189C" w:rsidRPr="008E6B11">
        <w:rPr>
          <w:color w:val="000000" w:themeColor="text1"/>
        </w:rPr>
        <w:t>Manning, 2002; 2008; Voracek et al., 2007</w:t>
      </w:r>
      <w:r w:rsidR="007D189C" w:rsidRPr="008E6B11">
        <w:rPr>
          <w:color w:val="000000" w:themeColor="text1"/>
          <w:szCs w:val="24"/>
        </w:rPr>
        <w:t xml:space="preserve">) this finding </w:t>
      </w:r>
      <w:r w:rsidR="007D189C" w:rsidRPr="008E6B11">
        <w:rPr>
          <w:i/>
          <w:color w:val="000000" w:themeColor="text1"/>
          <w:szCs w:val="24"/>
        </w:rPr>
        <w:t>is</w:t>
      </w:r>
      <w:r w:rsidR="007D189C" w:rsidRPr="008E6B11">
        <w:rPr>
          <w:color w:val="000000" w:themeColor="text1"/>
          <w:szCs w:val="24"/>
        </w:rPr>
        <w:t xml:space="preserve"> </w:t>
      </w:r>
      <w:r w:rsidR="006A6D14" w:rsidRPr="008E6B11">
        <w:rPr>
          <w:color w:val="000000" w:themeColor="text1"/>
          <w:szCs w:val="24"/>
        </w:rPr>
        <w:t>consistent with Voracek (2009)</w:t>
      </w:r>
      <w:r w:rsidR="00BB5CA8" w:rsidRPr="008E6B11">
        <w:rPr>
          <w:color w:val="000000" w:themeColor="text1"/>
          <w:szCs w:val="24"/>
        </w:rPr>
        <w:t xml:space="preserve">, the implication being that males and females experience </w:t>
      </w:r>
      <w:r w:rsidR="007D189C" w:rsidRPr="008E6B11">
        <w:rPr>
          <w:color w:val="000000" w:themeColor="text1"/>
        </w:rPr>
        <w:t xml:space="preserve">prenatal </w:t>
      </w:r>
      <w:r w:rsidR="00BB5CA8" w:rsidRPr="008E6B11">
        <w:rPr>
          <w:color w:val="000000" w:themeColor="text1"/>
        </w:rPr>
        <w:t xml:space="preserve">growth programmes that </w:t>
      </w:r>
      <w:r w:rsidR="007D189C" w:rsidRPr="008E6B11">
        <w:rPr>
          <w:color w:val="000000" w:themeColor="text1"/>
        </w:rPr>
        <w:t>are equally</w:t>
      </w:r>
      <w:r w:rsidR="00BB5CA8" w:rsidRPr="008E6B11">
        <w:rPr>
          <w:color w:val="000000" w:themeColor="text1"/>
        </w:rPr>
        <w:t xml:space="preserve"> </w:t>
      </w:r>
      <w:r w:rsidR="007D189C" w:rsidRPr="008E6B11">
        <w:rPr>
          <w:color w:val="000000" w:themeColor="text1"/>
        </w:rPr>
        <w:t>sensitive</w:t>
      </w:r>
      <w:r w:rsidR="00BB5CA8" w:rsidRPr="008E6B11">
        <w:rPr>
          <w:color w:val="000000" w:themeColor="text1"/>
        </w:rPr>
        <w:t xml:space="preserve"> to </w:t>
      </w:r>
      <w:r w:rsidR="007D189C" w:rsidRPr="008E6B11">
        <w:rPr>
          <w:color w:val="000000" w:themeColor="text1"/>
        </w:rPr>
        <w:t>in utero</w:t>
      </w:r>
      <w:r w:rsidR="00BB5CA8" w:rsidRPr="008E6B11">
        <w:rPr>
          <w:color w:val="000000" w:themeColor="text1"/>
        </w:rPr>
        <w:t xml:space="preserve"> androgen levels (cf. </w:t>
      </w:r>
      <w:r w:rsidR="007D189C" w:rsidRPr="008E6B11">
        <w:rPr>
          <w:color w:val="000000" w:themeColor="text1"/>
        </w:rPr>
        <w:t xml:space="preserve">Voracek et al., </w:t>
      </w:r>
      <w:r w:rsidR="00BB5CA8" w:rsidRPr="008E6B11">
        <w:rPr>
          <w:color w:val="000000" w:themeColor="text1"/>
        </w:rPr>
        <w:t>2008)</w:t>
      </w:r>
      <w:r w:rsidR="007D189C" w:rsidRPr="008E6B11">
        <w:rPr>
          <w:color w:val="000000" w:themeColor="text1"/>
        </w:rPr>
        <w:t xml:space="preserve">. </w:t>
      </w:r>
    </w:p>
    <w:p w:rsidR="00403411" w:rsidRPr="008E6B11" w:rsidRDefault="00EE67B5" w:rsidP="00BB5CA8">
      <w:pPr>
        <w:pStyle w:val="BodyText"/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>Finally</w:t>
      </w:r>
      <w:r w:rsidR="007D189C" w:rsidRPr="008E6B11">
        <w:rPr>
          <w:color w:val="000000" w:themeColor="text1"/>
        </w:rPr>
        <w:t xml:space="preserve">, the two sexes were equally prone to </w:t>
      </w:r>
      <w:r w:rsidR="00D14675" w:rsidRPr="008E6B11">
        <w:rPr>
          <w:color w:val="000000" w:themeColor="text1"/>
        </w:rPr>
        <w:t>FA</w:t>
      </w:r>
      <w:r w:rsidR="006105B8" w:rsidRPr="008E6B11">
        <w:rPr>
          <w:color w:val="000000" w:themeColor="text1"/>
          <w:szCs w:val="24"/>
        </w:rPr>
        <w:t xml:space="preserve"> </w:t>
      </w:r>
      <w:r w:rsidR="00D11A75" w:rsidRPr="008E6B11">
        <w:rPr>
          <w:color w:val="000000" w:themeColor="text1"/>
          <w:szCs w:val="24"/>
        </w:rPr>
        <w:t>imply</w:t>
      </w:r>
      <w:r w:rsidR="00594485" w:rsidRPr="008E6B11">
        <w:rPr>
          <w:color w:val="000000" w:themeColor="text1"/>
          <w:szCs w:val="24"/>
        </w:rPr>
        <w:t>ing</w:t>
      </w:r>
      <w:r w:rsidR="00D11A75" w:rsidRPr="008E6B11">
        <w:rPr>
          <w:color w:val="000000" w:themeColor="text1"/>
          <w:szCs w:val="24"/>
        </w:rPr>
        <w:t xml:space="preserve"> female</w:t>
      </w:r>
      <w:r w:rsidR="00D14675" w:rsidRPr="008E6B11">
        <w:rPr>
          <w:color w:val="000000" w:themeColor="text1"/>
          <w:szCs w:val="24"/>
        </w:rPr>
        <w:t>s’</w:t>
      </w:r>
      <w:r w:rsidR="00D11A75" w:rsidRPr="008E6B11">
        <w:rPr>
          <w:color w:val="000000" w:themeColor="text1"/>
          <w:szCs w:val="24"/>
        </w:rPr>
        <w:t xml:space="preserve"> biopsychological </w:t>
      </w:r>
      <w:r w:rsidR="00D11A75" w:rsidRPr="008E6B11">
        <w:rPr>
          <w:color w:val="000000" w:themeColor="text1"/>
        </w:rPr>
        <w:t xml:space="preserve">development is </w:t>
      </w:r>
      <w:r w:rsidR="00D11A75" w:rsidRPr="008E6B11">
        <w:rPr>
          <w:color w:val="000000" w:themeColor="text1"/>
          <w:szCs w:val="24"/>
        </w:rPr>
        <w:t xml:space="preserve">just as sensitive </w:t>
      </w:r>
      <w:r w:rsidR="00D11A75" w:rsidRPr="008E6B11">
        <w:rPr>
          <w:color w:val="000000" w:themeColor="text1"/>
        </w:rPr>
        <w:t>to the cumulative effects</w:t>
      </w:r>
      <w:r w:rsidR="00594485" w:rsidRPr="008E6B11">
        <w:rPr>
          <w:color w:val="000000" w:themeColor="text1"/>
        </w:rPr>
        <w:t xml:space="preserve"> of</w:t>
      </w:r>
      <w:r w:rsidR="00D11A75" w:rsidRPr="008E6B11">
        <w:rPr>
          <w:color w:val="000000" w:themeColor="text1"/>
        </w:rPr>
        <w:t xml:space="preserve"> genomic </w:t>
      </w:r>
      <w:r w:rsidR="00594485" w:rsidRPr="008E6B11">
        <w:rPr>
          <w:color w:val="000000" w:themeColor="text1"/>
        </w:rPr>
        <w:t>and</w:t>
      </w:r>
      <w:r w:rsidR="00D11A75" w:rsidRPr="008E6B11">
        <w:rPr>
          <w:color w:val="000000" w:themeColor="text1"/>
        </w:rPr>
        <w:t xml:space="preserve"> environmental factors as </w:t>
      </w:r>
      <w:r w:rsidR="00D14675" w:rsidRPr="008E6B11">
        <w:rPr>
          <w:color w:val="000000" w:themeColor="text1"/>
        </w:rPr>
        <w:t>is that of males</w:t>
      </w:r>
      <w:r w:rsidR="00403411" w:rsidRPr="008E6B11">
        <w:rPr>
          <w:color w:val="000000" w:themeColor="text1"/>
        </w:rPr>
        <w:t xml:space="preserve">. This </w:t>
      </w:r>
      <w:r w:rsidR="00D14675" w:rsidRPr="008E6B11">
        <w:rPr>
          <w:color w:val="000000" w:themeColor="text1"/>
        </w:rPr>
        <w:t>is consistent with</w:t>
      </w:r>
      <w:r w:rsidR="00403411" w:rsidRPr="008E6B11">
        <w:rPr>
          <w:color w:val="000000" w:themeColor="text1"/>
        </w:rPr>
        <w:t xml:space="preserve"> Voracek (2009).</w:t>
      </w:r>
    </w:p>
    <w:p w:rsidR="00EE67B5" w:rsidRPr="008E6B11" w:rsidRDefault="00845C76" w:rsidP="00EE67B5">
      <w:pPr>
        <w:pStyle w:val="BodyText"/>
        <w:spacing w:line="480" w:lineRule="auto"/>
        <w:rPr>
          <w:b/>
          <w:i/>
          <w:color w:val="000000" w:themeColor="text1"/>
        </w:rPr>
      </w:pPr>
      <w:r w:rsidRPr="008E6B11">
        <w:rPr>
          <w:b/>
          <w:i/>
          <w:color w:val="000000" w:themeColor="text1"/>
        </w:rPr>
        <w:t xml:space="preserve">4.2 </w:t>
      </w:r>
      <w:r w:rsidR="00A906BF" w:rsidRPr="008E6B11">
        <w:rPr>
          <w:b/>
          <w:i/>
          <w:color w:val="000000" w:themeColor="text1"/>
          <w:szCs w:val="24"/>
        </w:rPr>
        <w:t xml:space="preserve">Associations </w:t>
      </w:r>
      <w:r w:rsidR="00B7157C" w:rsidRPr="008E6B11">
        <w:rPr>
          <w:b/>
          <w:i/>
          <w:color w:val="000000" w:themeColor="text1"/>
          <w:szCs w:val="24"/>
        </w:rPr>
        <w:t>with paranormal belief: Trends for males vs. females</w:t>
      </w:r>
    </w:p>
    <w:p w:rsidR="00886DC6" w:rsidRPr="008E6B11" w:rsidRDefault="000D1A6D" w:rsidP="009A1B72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F</w:t>
      </w:r>
      <w:r w:rsidR="0037673A" w:rsidRPr="008E6B11">
        <w:rPr>
          <w:color w:val="000000" w:themeColor="text1"/>
          <w:szCs w:val="24"/>
        </w:rPr>
        <w:t>emales</w:t>
      </w:r>
      <w:r w:rsidR="003728D7" w:rsidRPr="008E6B11">
        <w:rPr>
          <w:color w:val="000000" w:themeColor="text1"/>
          <w:szCs w:val="24"/>
        </w:rPr>
        <w:t xml:space="preserve"> with higher (more feminized) self-rated 2D:4D maintained stronger beliefs in both ESP (both hands) and PK (left hand on</w:t>
      </w:r>
      <w:r w:rsidR="00CD745E" w:rsidRPr="008E6B11">
        <w:rPr>
          <w:color w:val="000000" w:themeColor="text1"/>
          <w:szCs w:val="24"/>
        </w:rPr>
        <w:t>ly) - but not LAD</w:t>
      </w:r>
      <w:r w:rsidR="006C24AC" w:rsidRPr="008E6B11">
        <w:rPr>
          <w:color w:val="000000" w:themeColor="text1"/>
          <w:szCs w:val="24"/>
        </w:rPr>
        <w:t xml:space="preserve"> </w:t>
      </w:r>
      <w:r w:rsidR="003728D7" w:rsidRPr="008E6B11">
        <w:rPr>
          <w:color w:val="000000" w:themeColor="text1"/>
          <w:szCs w:val="24"/>
        </w:rPr>
        <w:t xml:space="preserve">- than those with lower (more masculine) ratios. </w:t>
      </w:r>
      <w:r w:rsidR="00DB7877" w:rsidRPr="008E6B11">
        <w:rPr>
          <w:color w:val="000000" w:themeColor="text1"/>
          <w:szCs w:val="24"/>
        </w:rPr>
        <w:t>With self-rated ratios less prone to measurement bias (</w:t>
      </w:r>
      <w:r w:rsidR="00D667F4" w:rsidRPr="008E6B11">
        <w:rPr>
          <w:color w:val="000000" w:themeColor="text1"/>
          <w:szCs w:val="24"/>
        </w:rPr>
        <w:t>Manning et al., 2005</w:t>
      </w:r>
      <w:r w:rsidR="00DB7877" w:rsidRPr="008E6B11">
        <w:rPr>
          <w:color w:val="000000" w:themeColor="text1"/>
          <w:szCs w:val="24"/>
        </w:rPr>
        <w:t xml:space="preserve">; </w:t>
      </w:r>
      <w:r w:rsidR="00DB7877" w:rsidRPr="008E6B11">
        <w:rPr>
          <w:color w:val="000000" w:themeColor="text1"/>
        </w:rPr>
        <w:t>Ribeiro et al., 2016), t</w:t>
      </w:r>
      <w:r w:rsidR="0037673A" w:rsidRPr="008E6B11">
        <w:rPr>
          <w:color w:val="000000" w:themeColor="text1"/>
          <w:szCs w:val="24"/>
        </w:rPr>
        <w:t xml:space="preserve">his suggests </w:t>
      </w:r>
      <w:r w:rsidR="00AC1ABD" w:rsidRPr="008E6B11">
        <w:rPr>
          <w:color w:val="000000" w:themeColor="text1"/>
          <w:szCs w:val="24"/>
        </w:rPr>
        <w:t xml:space="preserve">that at least some of the variance in female’s heightened paranormality may be explained by genetic factors, namely sex differences in </w:t>
      </w:r>
      <w:r w:rsidR="00AC1ABD" w:rsidRPr="008E6B11">
        <w:rPr>
          <w:color w:val="000000" w:themeColor="text1"/>
        </w:rPr>
        <w:t>prenatal exposure to testosterone and</w:t>
      </w:r>
      <w:r w:rsidRPr="008E6B11">
        <w:rPr>
          <w:color w:val="000000" w:themeColor="text1"/>
        </w:rPr>
        <w:t>/or</w:t>
      </w:r>
      <w:r w:rsidR="00AC1ABD" w:rsidRPr="008E6B11">
        <w:rPr>
          <w:color w:val="000000" w:themeColor="text1"/>
        </w:rPr>
        <w:t xml:space="preserve"> oestrogen (</w:t>
      </w:r>
      <w:r w:rsidR="00DC5CE0" w:rsidRPr="008E6B11">
        <w:rPr>
          <w:color w:val="000000" w:themeColor="text1"/>
        </w:rPr>
        <w:t>Voracek, 2009</w:t>
      </w:r>
      <w:r w:rsidR="00AC1ABD" w:rsidRPr="008E6B11">
        <w:rPr>
          <w:color w:val="000000" w:themeColor="text1"/>
        </w:rPr>
        <w:t>)</w:t>
      </w:r>
      <w:r w:rsidR="009A1B72" w:rsidRPr="008E6B11">
        <w:rPr>
          <w:color w:val="000000" w:themeColor="text1"/>
          <w:szCs w:val="24"/>
        </w:rPr>
        <w:t xml:space="preserve">. </w:t>
      </w:r>
      <w:r w:rsidR="00DC5CE0" w:rsidRPr="008E6B11">
        <w:rPr>
          <w:color w:val="000000" w:themeColor="text1"/>
          <w:szCs w:val="24"/>
        </w:rPr>
        <w:t>But</w:t>
      </w:r>
      <w:r w:rsidR="009A1B72" w:rsidRPr="008E6B11">
        <w:rPr>
          <w:color w:val="000000" w:themeColor="text1"/>
          <w:szCs w:val="24"/>
        </w:rPr>
        <w:t>,</w:t>
      </w:r>
      <w:r w:rsidR="00DC5CE0" w:rsidRPr="008E6B11">
        <w:rPr>
          <w:color w:val="000000" w:themeColor="text1"/>
          <w:szCs w:val="24"/>
        </w:rPr>
        <w:t xml:space="preserve"> as with </w:t>
      </w:r>
      <w:r w:rsidR="00DC5CE0" w:rsidRPr="008E6B11">
        <w:rPr>
          <w:color w:val="000000" w:themeColor="text1"/>
        </w:rPr>
        <w:t>Voracek’s work, current association</w:t>
      </w:r>
      <w:r w:rsidRPr="008E6B11">
        <w:rPr>
          <w:color w:val="000000" w:themeColor="text1"/>
        </w:rPr>
        <w:t>s</w:t>
      </w:r>
      <w:r w:rsidR="00DC5CE0" w:rsidRPr="008E6B11">
        <w:rPr>
          <w:color w:val="000000" w:themeColor="text1"/>
        </w:rPr>
        <w:t xml:space="preserve"> </w:t>
      </w:r>
      <w:r w:rsidR="00886DC6" w:rsidRPr="008E6B11">
        <w:rPr>
          <w:color w:val="000000" w:themeColor="text1"/>
          <w:szCs w:val="24"/>
        </w:rPr>
        <w:t>were weak</w:t>
      </w:r>
      <w:r w:rsidR="00DC5CE0" w:rsidRPr="008E6B11">
        <w:rPr>
          <w:color w:val="000000" w:themeColor="text1"/>
          <w:szCs w:val="24"/>
        </w:rPr>
        <w:t xml:space="preserve"> </w:t>
      </w:r>
      <w:r w:rsidR="00886DC6" w:rsidRPr="008E6B11">
        <w:rPr>
          <w:color w:val="000000" w:themeColor="text1"/>
          <w:szCs w:val="24"/>
        </w:rPr>
        <w:t>explain</w:t>
      </w:r>
      <w:r w:rsidR="00DC5CE0" w:rsidRPr="008E6B11">
        <w:rPr>
          <w:color w:val="000000" w:themeColor="text1"/>
          <w:szCs w:val="24"/>
        </w:rPr>
        <w:t>ing</w:t>
      </w:r>
      <w:r w:rsidR="00886DC6" w:rsidRPr="008E6B11">
        <w:rPr>
          <w:color w:val="000000" w:themeColor="text1"/>
          <w:szCs w:val="24"/>
        </w:rPr>
        <w:t xml:space="preserve"> no more than 4% of belief variance</w:t>
      </w:r>
      <w:r w:rsidR="00DC5CE0" w:rsidRPr="008E6B11">
        <w:rPr>
          <w:color w:val="000000" w:themeColor="text1"/>
          <w:szCs w:val="24"/>
        </w:rPr>
        <w:t xml:space="preserve">, </w:t>
      </w:r>
      <w:r w:rsidR="00DC5CE0" w:rsidRPr="008E6B11">
        <w:rPr>
          <w:color w:val="000000" w:themeColor="text1"/>
        </w:rPr>
        <w:t>fu</w:t>
      </w:r>
      <w:r w:rsidRPr="008E6B11">
        <w:rPr>
          <w:color w:val="000000" w:themeColor="text1"/>
        </w:rPr>
        <w:t xml:space="preserve">rther highlighting the complex </w:t>
      </w:r>
      <w:r w:rsidR="00DC5CE0" w:rsidRPr="008E6B11">
        <w:rPr>
          <w:color w:val="000000" w:themeColor="text1"/>
        </w:rPr>
        <w:t>nature of adult paranormality (Irwin, 2009)</w:t>
      </w:r>
      <w:r w:rsidR="00DB7877" w:rsidRPr="008E6B11">
        <w:rPr>
          <w:color w:val="000000" w:themeColor="text1"/>
          <w:szCs w:val="24"/>
        </w:rPr>
        <w:t xml:space="preserve">. </w:t>
      </w:r>
      <w:r w:rsidRPr="008E6B11">
        <w:rPr>
          <w:color w:val="000000" w:themeColor="text1"/>
          <w:szCs w:val="24"/>
        </w:rPr>
        <w:t>Furthermore</w:t>
      </w:r>
      <w:r w:rsidR="00DB7877" w:rsidRPr="008E6B11">
        <w:rPr>
          <w:color w:val="000000" w:themeColor="text1"/>
          <w:szCs w:val="24"/>
        </w:rPr>
        <w:t xml:space="preserve">, </w:t>
      </w:r>
      <w:r w:rsidR="009A1B72" w:rsidRPr="008E6B11">
        <w:rPr>
          <w:color w:val="000000" w:themeColor="text1"/>
          <w:szCs w:val="24"/>
        </w:rPr>
        <w:t>parallel</w:t>
      </w:r>
      <w:r w:rsidR="0037673A" w:rsidRPr="008E6B11">
        <w:rPr>
          <w:color w:val="000000" w:themeColor="text1"/>
          <w:szCs w:val="24"/>
        </w:rPr>
        <w:t xml:space="preserve"> </w:t>
      </w:r>
      <w:r w:rsidR="003728D7" w:rsidRPr="008E6B11">
        <w:rPr>
          <w:color w:val="000000" w:themeColor="text1"/>
          <w:szCs w:val="24"/>
        </w:rPr>
        <w:t xml:space="preserve">trends </w:t>
      </w:r>
      <w:r w:rsidR="00DB7877" w:rsidRPr="008E6B11">
        <w:rPr>
          <w:color w:val="000000" w:themeColor="text1"/>
          <w:szCs w:val="24"/>
        </w:rPr>
        <w:t>did not</w:t>
      </w:r>
      <w:r w:rsidR="0037673A" w:rsidRPr="008E6B11">
        <w:rPr>
          <w:color w:val="000000" w:themeColor="text1"/>
          <w:szCs w:val="24"/>
        </w:rPr>
        <w:t xml:space="preserve"> </w:t>
      </w:r>
      <w:r w:rsidR="003728D7" w:rsidRPr="008E6B11">
        <w:rPr>
          <w:color w:val="000000" w:themeColor="text1"/>
          <w:szCs w:val="24"/>
        </w:rPr>
        <w:t>exist</w:t>
      </w:r>
      <w:r w:rsidR="0037673A" w:rsidRPr="008E6B11">
        <w:rPr>
          <w:color w:val="000000" w:themeColor="text1"/>
          <w:szCs w:val="24"/>
        </w:rPr>
        <w:t xml:space="preserve"> </w:t>
      </w:r>
      <w:r w:rsidR="00886DC6" w:rsidRPr="008E6B11">
        <w:rPr>
          <w:color w:val="000000" w:themeColor="text1"/>
          <w:szCs w:val="24"/>
        </w:rPr>
        <w:t xml:space="preserve">among </w:t>
      </w:r>
      <w:r w:rsidR="003728D7" w:rsidRPr="008E6B11">
        <w:rPr>
          <w:color w:val="000000" w:themeColor="text1"/>
          <w:szCs w:val="24"/>
        </w:rPr>
        <w:t>male</w:t>
      </w:r>
      <w:r w:rsidR="00DB7877" w:rsidRPr="008E6B11">
        <w:rPr>
          <w:color w:val="000000" w:themeColor="text1"/>
          <w:szCs w:val="24"/>
        </w:rPr>
        <w:t xml:space="preserve"> participants. As such, </w:t>
      </w:r>
      <w:r w:rsidR="009A1B72" w:rsidRPr="008E6B11">
        <w:rPr>
          <w:color w:val="000000" w:themeColor="text1"/>
          <w:szCs w:val="24"/>
        </w:rPr>
        <w:t>current</w:t>
      </w:r>
      <w:r w:rsidR="003728D7" w:rsidRPr="008E6B11">
        <w:rPr>
          <w:color w:val="000000" w:themeColor="text1"/>
          <w:szCs w:val="24"/>
        </w:rPr>
        <w:t xml:space="preserve"> </w:t>
      </w:r>
      <w:r w:rsidR="00886DC6" w:rsidRPr="008E6B11">
        <w:rPr>
          <w:color w:val="000000" w:themeColor="text1"/>
          <w:szCs w:val="24"/>
        </w:rPr>
        <w:t>findings</w:t>
      </w:r>
      <w:r w:rsidR="003728D7" w:rsidRPr="008E6B11">
        <w:rPr>
          <w:color w:val="000000" w:themeColor="text1"/>
          <w:szCs w:val="24"/>
        </w:rPr>
        <w:t xml:space="preserve"> </w:t>
      </w:r>
      <w:r w:rsidR="00DB7877" w:rsidRPr="008E6B11">
        <w:rPr>
          <w:color w:val="000000" w:themeColor="text1"/>
          <w:szCs w:val="24"/>
        </w:rPr>
        <w:t xml:space="preserve">are </w:t>
      </w:r>
      <w:r w:rsidR="009A1B72" w:rsidRPr="008E6B11">
        <w:rPr>
          <w:color w:val="000000" w:themeColor="text1"/>
          <w:szCs w:val="24"/>
        </w:rPr>
        <w:t xml:space="preserve">in </w:t>
      </w:r>
      <w:r w:rsidR="00566FC5" w:rsidRPr="008E6B11">
        <w:rPr>
          <w:color w:val="000000" w:themeColor="text1"/>
          <w:szCs w:val="24"/>
        </w:rPr>
        <w:t xml:space="preserve">direct </w:t>
      </w:r>
      <w:r w:rsidR="003728D7" w:rsidRPr="008E6B11">
        <w:rPr>
          <w:color w:val="000000" w:themeColor="text1"/>
          <w:szCs w:val="24"/>
        </w:rPr>
        <w:t xml:space="preserve">contrast </w:t>
      </w:r>
      <w:r w:rsidR="009A1B72" w:rsidRPr="008E6B11">
        <w:rPr>
          <w:color w:val="000000" w:themeColor="text1"/>
          <w:szCs w:val="24"/>
        </w:rPr>
        <w:t>to</w:t>
      </w:r>
      <w:r w:rsidR="003728D7" w:rsidRPr="008E6B11">
        <w:rPr>
          <w:color w:val="000000" w:themeColor="text1"/>
          <w:szCs w:val="24"/>
        </w:rPr>
        <w:t xml:space="preserve"> </w:t>
      </w:r>
      <w:r w:rsidR="00CD745E" w:rsidRPr="008E6B11">
        <w:rPr>
          <w:color w:val="000000" w:themeColor="text1"/>
          <w:szCs w:val="24"/>
        </w:rPr>
        <w:t xml:space="preserve">those of </w:t>
      </w:r>
      <w:r w:rsidR="003728D7" w:rsidRPr="008E6B11">
        <w:rPr>
          <w:color w:val="000000" w:themeColor="text1"/>
          <w:szCs w:val="24"/>
        </w:rPr>
        <w:t xml:space="preserve">Voracek (2009) </w:t>
      </w:r>
      <w:r w:rsidR="00CD745E" w:rsidRPr="008E6B11">
        <w:rPr>
          <w:color w:val="000000" w:themeColor="text1"/>
          <w:szCs w:val="24"/>
        </w:rPr>
        <w:t>who found</w:t>
      </w:r>
      <w:r w:rsidR="003728D7" w:rsidRPr="008E6B11">
        <w:rPr>
          <w:color w:val="000000" w:themeColor="text1"/>
          <w:szCs w:val="24"/>
        </w:rPr>
        <w:t xml:space="preserve"> more feminized 2D:4D was </w:t>
      </w:r>
      <w:r w:rsidR="002A2EB5" w:rsidRPr="008E6B11">
        <w:rPr>
          <w:color w:val="000000" w:themeColor="text1"/>
          <w:szCs w:val="24"/>
        </w:rPr>
        <w:t xml:space="preserve">only </w:t>
      </w:r>
      <w:r w:rsidR="003728D7" w:rsidRPr="008E6B11">
        <w:rPr>
          <w:color w:val="000000" w:themeColor="text1"/>
          <w:szCs w:val="24"/>
        </w:rPr>
        <w:t xml:space="preserve">associated with heightened (global) paranormal and superstitious beliefs </w:t>
      </w:r>
      <w:r w:rsidR="002A2EB5" w:rsidRPr="008E6B11">
        <w:rPr>
          <w:color w:val="000000" w:themeColor="text1"/>
          <w:szCs w:val="24"/>
        </w:rPr>
        <w:t xml:space="preserve">among </w:t>
      </w:r>
      <w:r w:rsidR="003728D7" w:rsidRPr="008E6B11">
        <w:rPr>
          <w:color w:val="000000" w:themeColor="text1"/>
          <w:szCs w:val="24"/>
        </w:rPr>
        <w:t xml:space="preserve">men. </w:t>
      </w:r>
      <w:r w:rsidRPr="008E6B11">
        <w:rPr>
          <w:color w:val="000000" w:themeColor="text1"/>
          <w:szCs w:val="24"/>
        </w:rPr>
        <w:t>Thus</w:t>
      </w:r>
      <w:r w:rsidR="00886DC6" w:rsidRPr="008E6B11">
        <w:rPr>
          <w:color w:val="000000" w:themeColor="text1"/>
          <w:szCs w:val="24"/>
        </w:rPr>
        <w:t>, w</w:t>
      </w:r>
      <w:r w:rsidR="003728D7" w:rsidRPr="008E6B11">
        <w:rPr>
          <w:color w:val="000000" w:themeColor="text1"/>
          <w:szCs w:val="24"/>
        </w:rPr>
        <w:t xml:space="preserve">hilst both studies support the idea that </w:t>
      </w:r>
      <w:r w:rsidR="00566FC5" w:rsidRPr="008E6B11">
        <w:rPr>
          <w:color w:val="000000" w:themeColor="text1"/>
          <w:szCs w:val="24"/>
        </w:rPr>
        <w:t xml:space="preserve">prenatal hormone exposure may influence </w:t>
      </w:r>
      <w:r w:rsidR="003728D7" w:rsidRPr="008E6B11">
        <w:rPr>
          <w:color w:val="000000" w:themeColor="text1"/>
          <w:szCs w:val="24"/>
        </w:rPr>
        <w:t>sex differences in adult paranormality</w:t>
      </w:r>
      <w:r w:rsidR="00566FC5" w:rsidRPr="008E6B11">
        <w:rPr>
          <w:color w:val="000000" w:themeColor="text1"/>
          <w:szCs w:val="24"/>
        </w:rPr>
        <w:t>,</w:t>
      </w:r>
      <w:r w:rsidR="003728D7" w:rsidRPr="008E6B11">
        <w:rPr>
          <w:color w:val="000000" w:themeColor="text1"/>
          <w:szCs w:val="24"/>
        </w:rPr>
        <w:t xml:space="preserve"> </w:t>
      </w:r>
      <w:r w:rsidR="007057F1" w:rsidRPr="008E6B11">
        <w:rPr>
          <w:color w:val="000000" w:themeColor="text1"/>
          <w:szCs w:val="24"/>
        </w:rPr>
        <w:t xml:space="preserve">there is considerable disagreement as to whether this is true for just men, </w:t>
      </w:r>
      <w:r w:rsidR="003728D7" w:rsidRPr="008E6B11">
        <w:rPr>
          <w:color w:val="000000" w:themeColor="text1"/>
          <w:szCs w:val="24"/>
        </w:rPr>
        <w:t>just women</w:t>
      </w:r>
      <w:r w:rsidR="00B523EC" w:rsidRPr="008E6B11">
        <w:rPr>
          <w:color w:val="000000" w:themeColor="text1"/>
          <w:szCs w:val="24"/>
        </w:rPr>
        <w:t>,</w:t>
      </w:r>
      <w:r w:rsidR="007057F1" w:rsidRPr="008E6B11">
        <w:rPr>
          <w:color w:val="000000" w:themeColor="text1"/>
          <w:szCs w:val="24"/>
        </w:rPr>
        <w:t xml:space="preserve"> or both</w:t>
      </w:r>
      <w:r w:rsidR="003728D7" w:rsidRPr="008E6B11">
        <w:rPr>
          <w:color w:val="000000" w:themeColor="text1"/>
          <w:szCs w:val="24"/>
        </w:rPr>
        <w:t>.</w:t>
      </w:r>
      <w:r w:rsidR="007057F1" w:rsidRPr="008E6B11">
        <w:rPr>
          <w:color w:val="000000" w:themeColor="text1"/>
          <w:szCs w:val="24"/>
        </w:rPr>
        <w:t xml:space="preserve"> </w:t>
      </w:r>
    </w:p>
    <w:p w:rsidR="003728D7" w:rsidRPr="008E6B11" w:rsidRDefault="007057F1" w:rsidP="009A1B72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>Current findings seem to add to the various inconsistenc</w:t>
      </w:r>
      <w:r w:rsidR="005C2150" w:rsidRPr="008E6B11">
        <w:rPr>
          <w:color w:val="000000" w:themeColor="text1"/>
          <w:szCs w:val="24"/>
        </w:rPr>
        <w:t>ies</w:t>
      </w:r>
      <w:r w:rsidRPr="008E6B11">
        <w:rPr>
          <w:color w:val="000000" w:themeColor="text1"/>
          <w:szCs w:val="24"/>
        </w:rPr>
        <w:t xml:space="preserve"> </w:t>
      </w:r>
      <w:r w:rsidR="00566FC5" w:rsidRPr="008E6B11">
        <w:rPr>
          <w:color w:val="000000" w:themeColor="text1"/>
          <w:szCs w:val="24"/>
        </w:rPr>
        <w:t>characteristic of</w:t>
      </w:r>
      <w:r w:rsidRPr="008E6B11">
        <w:rPr>
          <w:color w:val="000000" w:themeColor="text1"/>
          <w:szCs w:val="24"/>
        </w:rPr>
        <w:t xml:space="preserve"> 2D:4D research (Valla &amp; Ceci</w:t>
      </w:r>
      <w:r w:rsidR="00EE0D3F" w:rsidRPr="008E6B11">
        <w:rPr>
          <w:color w:val="000000" w:themeColor="text1"/>
          <w:szCs w:val="24"/>
        </w:rPr>
        <w:t>, 2011)</w:t>
      </w:r>
      <w:r w:rsidR="00566FC5" w:rsidRPr="008E6B11">
        <w:rPr>
          <w:color w:val="000000" w:themeColor="text1"/>
          <w:szCs w:val="24"/>
        </w:rPr>
        <w:t xml:space="preserve"> and f</w:t>
      </w:r>
      <w:r w:rsidR="003728D7" w:rsidRPr="008E6B11">
        <w:rPr>
          <w:color w:val="000000" w:themeColor="text1"/>
          <w:szCs w:val="24"/>
        </w:rPr>
        <w:t xml:space="preserve">urther </w:t>
      </w:r>
      <w:r w:rsidR="00EE0D3F" w:rsidRPr="008E6B11">
        <w:rPr>
          <w:color w:val="000000" w:themeColor="text1"/>
          <w:szCs w:val="24"/>
        </w:rPr>
        <w:t>studies are</w:t>
      </w:r>
      <w:r w:rsidR="003728D7" w:rsidRPr="008E6B11">
        <w:rPr>
          <w:color w:val="000000" w:themeColor="text1"/>
          <w:szCs w:val="24"/>
        </w:rPr>
        <w:t xml:space="preserve"> required to clarify this position. That said, the magnitude of correlation coefficients and thus the percentage of belief variance explained by 2D:4D ratios </w:t>
      </w:r>
      <w:r w:rsidR="00EE67B5" w:rsidRPr="008E6B11">
        <w:rPr>
          <w:color w:val="000000" w:themeColor="text1"/>
          <w:szCs w:val="24"/>
        </w:rPr>
        <w:t>are</w:t>
      </w:r>
      <w:r w:rsidR="003728D7" w:rsidRPr="008E6B11">
        <w:rPr>
          <w:color w:val="000000" w:themeColor="text1"/>
          <w:szCs w:val="24"/>
        </w:rPr>
        <w:t xml:space="preserve"> comparably small in both studies, with current findings suggesting they exist only with </w:t>
      </w:r>
      <w:r w:rsidR="00D313C4" w:rsidRPr="008E6B11">
        <w:rPr>
          <w:color w:val="000000" w:themeColor="text1"/>
          <w:szCs w:val="24"/>
        </w:rPr>
        <w:t>direct</w:t>
      </w:r>
      <w:r w:rsidR="00CB09AB" w:rsidRPr="008E6B11">
        <w:rPr>
          <w:color w:val="000000" w:themeColor="text1"/>
          <w:szCs w:val="24"/>
        </w:rPr>
        <w:t xml:space="preserve"> self-based measurements</w:t>
      </w:r>
      <w:r w:rsidR="003728D7" w:rsidRPr="008E6B11">
        <w:rPr>
          <w:color w:val="000000" w:themeColor="text1"/>
          <w:szCs w:val="24"/>
        </w:rPr>
        <w:t xml:space="preserve">. </w:t>
      </w:r>
    </w:p>
    <w:p w:rsidR="003178B2" w:rsidRPr="008E6B11" w:rsidRDefault="00397DF1" w:rsidP="003178B2">
      <w:pPr>
        <w:pStyle w:val="BodyText"/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  <w:szCs w:val="24"/>
        </w:rPr>
        <w:t xml:space="preserve">Contrary to hypotheses, </w:t>
      </w:r>
      <w:r w:rsidR="00FE08F2" w:rsidRPr="008E6B11">
        <w:rPr>
          <w:color w:val="000000" w:themeColor="text1"/>
          <w:szCs w:val="24"/>
        </w:rPr>
        <w:t>directional asymmetry in 2D:4D ratios (as measured by D</w:t>
      </w:r>
      <w:r w:rsidR="00FE08F2" w:rsidRPr="008E6B11">
        <w:rPr>
          <w:color w:val="000000" w:themeColor="text1"/>
          <w:szCs w:val="24"/>
          <w:vertAlign w:val="subscript"/>
        </w:rPr>
        <w:t xml:space="preserve">R-L </w:t>
      </w:r>
      <w:r w:rsidR="00FE08F2" w:rsidRPr="008E6B11">
        <w:rPr>
          <w:color w:val="000000" w:themeColor="text1"/>
          <w:szCs w:val="24"/>
        </w:rPr>
        <w:t xml:space="preserve">scores) </w:t>
      </w:r>
      <w:r w:rsidRPr="008E6B11">
        <w:rPr>
          <w:color w:val="000000" w:themeColor="text1"/>
          <w:szCs w:val="24"/>
        </w:rPr>
        <w:t xml:space="preserve">were unrelated to </w:t>
      </w:r>
      <w:r w:rsidR="00313278" w:rsidRPr="008E6B11">
        <w:rPr>
          <w:color w:val="000000" w:themeColor="text1"/>
          <w:szCs w:val="24"/>
        </w:rPr>
        <w:t xml:space="preserve">specific </w:t>
      </w:r>
      <w:r w:rsidRPr="008E6B11">
        <w:rPr>
          <w:color w:val="000000" w:themeColor="text1"/>
          <w:szCs w:val="24"/>
        </w:rPr>
        <w:t>beliefs in ES</w:t>
      </w:r>
      <w:r w:rsidR="00383FB7" w:rsidRPr="008E6B11">
        <w:rPr>
          <w:color w:val="000000" w:themeColor="text1"/>
          <w:szCs w:val="24"/>
        </w:rPr>
        <w:t>P</w:t>
      </w:r>
      <w:r w:rsidRPr="008E6B11">
        <w:rPr>
          <w:color w:val="000000" w:themeColor="text1"/>
          <w:szCs w:val="24"/>
        </w:rPr>
        <w:t>, PK</w:t>
      </w:r>
      <w:r w:rsidR="00566FC5" w:rsidRPr="008E6B11">
        <w:rPr>
          <w:color w:val="000000" w:themeColor="text1"/>
          <w:szCs w:val="24"/>
        </w:rPr>
        <w:t>,</w:t>
      </w:r>
      <w:r w:rsidRPr="008E6B11">
        <w:rPr>
          <w:color w:val="000000" w:themeColor="text1"/>
          <w:szCs w:val="24"/>
        </w:rPr>
        <w:t xml:space="preserve"> and LAD. With </w:t>
      </w:r>
      <w:r w:rsidR="00383FB7" w:rsidRPr="008E6B11">
        <w:rPr>
          <w:color w:val="000000" w:themeColor="text1"/>
          <w:szCs w:val="24"/>
        </w:rPr>
        <w:t>DA</w:t>
      </w:r>
      <w:r w:rsidRPr="008E6B11">
        <w:rPr>
          <w:color w:val="000000" w:themeColor="text1"/>
          <w:szCs w:val="24"/>
          <w:vertAlign w:val="subscript"/>
        </w:rPr>
        <w:t xml:space="preserve"> </w:t>
      </w:r>
      <w:r w:rsidRPr="008E6B11">
        <w:rPr>
          <w:color w:val="000000" w:themeColor="text1"/>
          <w:szCs w:val="24"/>
        </w:rPr>
        <w:t>being an alternative bio-marker of prenatal testosterone (</w:t>
      </w:r>
      <w:r w:rsidRPr="008E6B11">
        <w:rPr>
          <w:color w:val="000000" w:themeColor="text1"/>
        </w:rPr>
        <w:t>Voracek et al., 2008)</w:t>
      </w:r>
      <w:r w:rsidRPr="008E6B11">
        <w:rPr>
          <w:color w:val="000000" w:themeColor="text1"/>
          <w:szCs w:val="24"/>
        </w:rPr>
        <w:t xml:space="preserve">, the </w:t>
      </w:r>
      <w:r w:rsidR="00313278" w:rsidRPr="008E6B11">
        <w:rPr>
          <w:color w:val="000000" w:themeColor="text1"/>
          <w:szCs w:val="24"/>
        </w:rPr>
        <w:t>suggestion</w:t>
      </w:r>
      <w:r w:rsidRPr="008E6B11">
        <w:rPr>
          <w:color w:val="000000" w:themeColor="text1"/>
          <w:szCs w:val="24"/>
        </w:rPr>
        <w:t xml:space="preserve"> is that this particular male hormone has little influence in shaping adult paranormal</w:t>
      </w:r>
      <w:r w:rsidR="00313278" w:rsidRPr="008E6B11">
        <w:rPr>
          <w:color w:val="000000" w:themeColor="text1"/>
          <w:szCs w:val="24"/>
        </w:rPr>
        <w:t>ity</w:t>
      </w:r>
      <w:r w:rsidRPr="008E6B11">
        <w:rPr>
          <w:color w:val="000000" w:themeColor="text1"/>
          <w:szCs w:val="24"/>
        </w:rPr>
        <w:t>.</w:t>
      </w:r>
      <w:r w:rsidR="003178B2" w:rsidRPr="008E6B11">
        <w:rPr>
          <w:color w:val="000000" w:themeColor="text1"/>
          <w:szCs w:val="24"/>
        </w:rPr>
        <w:t xml:space="preserve"> </w:t>
      </w:r>
      <w:r w:rsidR="003178B2" w:rsidRPr="008E6B11">
        <w:rPr>
          <w:color w:val="000000" w:themeColor="text1"/>
        </w:rPr>
        <w:t>This too is consistent with Voracek (2009).</w:t>
      </w:r>
    </w:p>
    <w:p w:rsidR="00B91BEC" w:rsidRPr="008E6B11" w:rsidRDefault="009A52ED" w:rsidP="009A52ED">
      <w:pPr>
        <w:pStyle w:val="BodyText"/>
        <w:spacing w:line="480" w:lineRule="auto"/>
        <w:ind w:firstLine="284"/>
        <w:rPr>
          <w:color w:val="000000" w:themeColor="text1"/>
          <w:szCs w:val="24"/>
        </w:rPr>
      </w:pPr>
      <w:r w:rsidRPr="008E6B11">
        <w:rPr>
          <w:color w:val="000000" w:themeColor="text1"/>
          <w:szCs w:val="24"/>
        </w:rPr>
        <w:t xml:space="preserve">Likewise, MDL </w:t>
      </w:r>
      <w:r w:rsidR="00652BBC" w:rsidRPr="008E6B11">
        <w:rPr>
          <w:color w:val="000000" w:themeColor="text1"/>
          <w:szCs w:val="24"/>
        </w:rPr>
        <w:t xml:space="preserve">averaged across the four digit </w:t>
      </w:r>
      <w:r w:rsidR="00FC0BC8" w:rsidRPr="008E6B11">
        <w:rPr>
          <w:color w:val="000000" w:themeColor="text1"/>
          <w:szCs w:val="24"/>
        </w:rPr>
        <w:sym w:font="Symbol" w:char="F0B4"/>
      </w:r>
      <w:r w:rsidR="00652BBC" w:rsidRPr="008E6B11">
        <w:rPr>
          <w:color w:val="000000" w:themeColor="text1"/>
          <w:szCs w:val="24"/>
        </w:rPr>
        <w:t xml:space="preserve"> hand</w:t>
      </w:r>
      <w:r w:rsidR="00383FB7" w:rsidRPr="008E6B11">
        <w:rPr>
          <w:color w:val="000000" w:themeColor="text1"/>
          <w:szCs w:val="24"/>
        </w:rPr>
        <w:t xml:space="preserve"> </w:t>
      </w:r>
      <w:r w:rsidR="00652BBC" w:rsidRPr="008E6B11">
        <w:rPr>
          <w:color w:val="000000" w:themeColor="text1"/>
          <w:szCs w:val="24"/>
        </w:rPr>
        <w:t xml:space="preserve">combinations failed to correlate with any paranormal belief </w:t>
      </w:r>
      <w:r w:rsidR="00383FB7" w:rsidRPr="008E6B11">
        <w:rPr>
          <w:color w:val="000000" w:themeColor="text1"/>
          <w:szCs w:val="24"/>
        </w:rPr>
        <w:t xml:space="preserve">type </w:t>
      </w:r>
      <w:r w:rsidR="00652BBC" w:rsidRPr="008E6B11">
        <w:rPr>
          <w:color w:val="000000" w:themeColor="text1"/>
          <w:szCs w:val="24"/>
        </w:rPr>
        <w:t>regardless of measurement source and</w:t>
      </w:r>
      <w:r w:rsidR="00383FB7" w:rsidRPr="008E6B11">
        <w:rPr>
          <w:color w:val="000000" w:themeColor="text1"/>
          <w:szCs w:val="24"/>
        </w:rPr>
        <w:t>/or</w:t>
      </w:r>
      <w:r w:rsidR="00652BBC" w:rsidRPr="008E6B11">
        <w:rPr>
          <w:color w:val="000000" w:themeColor="text1"/>
          <w:szCs w:val="24"/>
        </w:rPr>
        <w:t xml:space="preserve"> participant sex. These non-significant findings support those of Voracek (2009) who found </w:t>
      </w:r>
      <w:r w:rsidR="008024D7" w:rsidRPr="008E6B11">
        <w:rPr>
          <w:color w:val="000000" w:themeColor="text1"/>
          <w:szCs w:val="24"/>
        </w:rPr>
        <w:t>MDL</w:t>
      </w:r>
      <w:r w:rsidR="00652BBC" w:rsidRPr="008E6B11">
        <w:rPr>
          <w:color w:val="000000" w:themeColor="text1"/>
          <w:szCs w:val="24"/>
        </w:rPr>
        <w:t xml:space="preserve"> was unrelated to </w:t>
      </w:r>
      <w:r w:rsidR="00652BBC" w:rsidRPr="008E6B11">
        <w:rPr>
          <w:i/>
          <w:color w:val="000000" w:themeColor="text1"/>
          <w:szCs w:val="24"/>
        </w:rPr>
        <w:t>global</w:t>
      </w:r>
      <w:r w:rsidR="00652BBC" w:rsidRPr="008E6B11">
        <w:rPr>
          <w:color w:val="000000" w:themeColor="text1"/>
          <w:szCs w:val="24"/>
        </w:rPr>
        <w:t xml:space="preserve"> paranormal beliefs. </w:t>
      </w:r>
      <w:r w:rsidR="008024D7" w:rsidRPr="008E6B11">
        <w:rPr>
          <w:color w:val="000000" w:themeColor="text1"/>
          <w:szCs w:val="24"/>
        </w:rPr>
        <w:t>And w</w:t>
      </w:r>
      <w:r w:rsidR="00652BBC" w:rsidRPr="008E6B11">
        <w:rPr>
          <w:color w:val="000000" w:themeColor="text1"/>
          <w:szCs w:val="24"/>
        </w:rPr>
        <w:t xml:space="preserve">hilst Voracek found women </w:t>
      </w:r>
      <w:r w:rsidR="00383FB7" w:rsidRPr="008E6B11">
        <w:rPr>
          <w:color w:val="000000" w:themeColor="text1"/>
          <w:szCs w:val="24"/>
        </w:rPr>
        <w:t xml:space="preserve">with a </w:t>
      </w:r>
      <w:r w:rsidR="00652BBC" w:rsidRPr="008E6B11">
        <w:rPr>
          <w:color w:val="000000" w:themeColor="text1"/>
          <w:szCs w:val="24"/>
        </w:rPr>
        <w:t xml:space="preserve">longer </w:t>
      </w:r>
      <w:r w:rsidR="00EE67B5" w:rsidRPr="008E6B11">
        <w:rPr>
          <w:color w:val="000000" w:themeColor="text1"/>
          <w:szCs w:val="24"/>
        </w:rPr>
        <w:t>MDL</w:t>
      </w:r>
      <w:r w:rsidR="00652BBC" w:rsidRPr="008E6B11">
        <w:rPr>
          <w:color w:val="000000" w:themeColor="text1"/>
          <w:szCs w:val="24"/>
        </w:rPr>
        <w:t xml:space="preserve"> had more pronounced superstitious beliefs - the implication being that pubertal-adolescent levels of androgen exposure shape adult superstitiousness but not adult paranormality - he </w:t>
      </w:r>
      <w:r w:rsidR="006A385E" w:rsidRPr="008E6B11">
        <w:rPr>
          <w:color w:val="000000" w:themeColor="text1"/>
          <w:szCs w:val="24"/>
        </w:rPr>
        <w:t>subsequently</w:t>
      </w:r>
      <w:r w:rsidR="00652BBC" w:rsidRPr="008E6B11">
        <w:rPr>
          <w:color w:val="000000" w:themeColor="text1"/>
          <w:szCs w:val="24"/>
        </w:rPr>
        <w:t xml:space="preserve"> acknowledged this </w:t>
      </w:r>
      <w:r w:rsidR="008854C8" w:rsidRPr="008E6B11">
        <w:rPr>
          <w:color w:val="000000" w:themeColor="text1"/>
          <w:szCs w:val="24"/>
        </w:rPr>
        <w:t xml:space="preserve">relationship </w:t>
      </w:r>
      <w:r w:rsidR="00652BBC" w:rsidRPr="008E6B11">
        <w:rPr>
          <w:color w:val="000000" w:themeColor="text1"/>
          <w:szCs w:val="24"/>
        </w:rPr>
        <w:t xml:space="preserve">was most likely </w:t>
      </w:r>
      <w:r w:rsidR="006A385E" w:rsidRPr="008E6B11">
        <w:rPr>
          <w:color w:val="000000" w:themeColor="text1"/>
          <w:szCs w:val="24"/>
        </w:rPr>
        <w:t>spurious (</w:t>
      </w:r>
      <w:r w:rsidR="00652BBC" w:rsidRPr="008E6B11">
        <w:rPr>
          <w:color w:val="000000" w:themeColor="text1"/>
          <w:szCs w:val="24"/>
        </w:rPr>
        <w:t xml:space="preserve">p. 108). Current </w:t>
      </w:r>
      <w:r w:rsidR="008854C8" w:rsidRPr="008E6B11">
        <w:rPr>
          <w:color w:val="000000" w:themeColor="text1"/>
          <w:szCs w:val="24"/>
        </w:rPr>
        <w:t>findings</w:t>
      </w:r>
      <w:r w:rsidR="006A385E" w:rsidRPr="008E6B11">
        <w:rPr>
          <w:color w:val="000000" w:themeColor="text1"/>
          <w:szCs w:val="24"/>
        </w:rPr>
        <w:t xml:space="preserve"> </w:t>
      </w:r>
      <w:r w:rsidR="00652BBC" w:rsidRPr="008E6B11">
        <w:rPr>
          <w:color w:val="000000" w:themeColor="text1"/>
          <w:szCs w:val="24"/>
        </w:rPr>
        <w:t xml:space="preserve">should be interpreted </w:t>
      </w:r>
      <w:r w:rsidR="006A385E" w:rsidRPr="008E6B11">
        <w:rPr>
          <w:color w:val="000000" w:themeColor="text1"/>
          <w:szCs w:val="24"/>
        </w:rPr>
        <w:t>the same way</w:t>
      </w:r>
      <w:r w:rsidR="00B91BEC" w:rsidRPr="008E6B11">
        <w:rPr>
          <w:color w:val="000000" w:themeColor="text1"/>
          <w:szCs w:val="24"/>
        </w:rPr>
        <w:t xml:space="preserve">. </w:t>
      </w:r>
    </w:p>
    <w:p w:rsidR="003A5DDA" w:rsidRPr="008E6B11" w:rsidRDefault="003A5DDA" w:rsidP="00B91BEC">
      <w:pPr>
        <w:pStyle w:val="BodyText"/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  <w:szCs w:val="24"/>
        </w:rPr>
        <w:t>Finally, FA scores were, for the most part, also unrelated to ESP, PK</w:t>
      </w:r>
      <w:r w:rsidR="00C839A5" w:rsidRPr="008E6B11">
        <w:rPr>
          <w:color w:val="000000" w:themeColor="text1"/>
          <w:szCs w:val="24"/>
        </w:rPr>
        <w:t>,</w:t>
      </w:r>
      <w:r w:rsidRPr="008E6B11">
        <w:rPr>
          <w:color w:val="000000" w:themeColor="text1"/>
          <w:szCs w:val="24"/>
        </w:rPr>
        <w:t xml:space="preserve"> and LAD beliefs </w:t>
      </w:r>
      <w:r w:rsidR="008854C8" w:rsidRPr="008E6B11">
        <w:rPr>
          <w:color w:val="000000" w:themeColor="text1"/>
          <w:szCs w:val="24"/>
        </w:rPr>
        <w:t xml:space="preserve">again </w:t>
      </w:r>
      <w:r w:rsidRPr="008E6B11">
        <w:rPr>
          <w:color w:val="000000" w:themeColor="text1"/>
          <w:szCs w:val="24"/>
        </w:rPr>
        <w:t xml:space="preserve">regardless of both measurement source and participants’ biological sex. These data are </w:t>
      </w:r>
      <w:r w:rsidR="00457624" w:rsidRPr="008E6B11">
        <w:rPr>
          <w:color w:val="000000" w:themeColor="text1"/>
          <w:szCs w:val="24"/>
        </w:rPr>
        <w:t xml:space="preserve">largely </w:t>
      </w:r>
      <w:r w:rsidRPr="008E6B11">
        <w:rPr>
          <w:color w:val="000000" w:themeColor="text1"/>
          <w:szCs w:val="24"/>
        </w:rPr>
        <w:t>consistent with those reported by Voracek (2009). The single except</w:t>
      </w:r>
      <w:r w:rsidR="00C839A5" w:rsidRPr="008E6B11">
        <w:rPr>
          <w:color w:val="000000" w:themeColor="text1"/>
          <w:szCs w:val="24"/>
        </w:rPr>
        <w:t>ion</w:t>
      </w:r>
      <w:r w:rsidRPr="008E6B11">
        <w:rPr>
          <w:color w:val="000000" w:themeColor="text1"/>
          <w:szCs w:val="24"/>
        </w:rPr>
        <w:t xml:space="preserve"> was </w:t>
      </w:r>
      <w:r w:rsidR="00B91BEC" w:rsidRPr="008E6B11">
        <w:rPr>
          <w:color w:val="000000" w:themeColor="text1"/>
          <w:szCs w:val="24"/>
        </w:rPr>
        <w:t xml:space="preserve">that </w:t>
      </w:r>
      <w:r w:rsidR="008854C8" w:rsidRPr="008E6B11">
        <w:rPr>
          <w:color w:val="000000" w:themeColor="text1"/>
          <w:szCs w:val="24"/>
        </w:rPr>
        <w:t xml:space="preserve">in the present study </w:t>
      </w:r>
      <w:r w:rsidRPr="008E6B11">
        <w:rPr>
          <w:color w:val="000000" w:themeColor="text1"/>
          <w:szCs w:val="24"/>
        </w:rPr>
        <w:t>females with higher self-rated FA were more predisposed to PK beliefs than those with lower self-rated FA</w:t>
      </w:r>
      <w:r w:rsidRPr="008E6B11">
        <w:rPr>
          <w:color w:val="000000" w:themeColor="text1"/>
        </w:rPr>
        <w:t xml:space="preserve">. </w:t>
      </w:r>
      <w:r w:rsidR="008854C8" w:rsidRPr="008E6B11">
        <w:rPr>
          <w:color w:val="000000" w:themeColor="text1"/>
        </w:rPr>
        <w:t xml:space="preserve">The implication here is that genome and environmental factors in human development somehow shape adult acceptance that </w:t>
      </w:r>
      <w:r w:rsidR="00650037" w:rsidRPr="008E6B11">
        <w:rPr>
          <w:color w:val="000000" w:themeColor="text1"/>
        </w:rPr>
        <w:t xml:space="preserve">physical </w:t>
      </w:r>
      <w:r w:rsidR="008854C8" w:rsidRPr="008E6B11">
        <w:rPr>
          <w:color w:val="000000" w:themeColor="text1"/>
        </w:rPr>
        <w:t xml:space="preserve">objects can be </w:t>
      </w:r>
      <w:r w:rsidR="00650037" w:rsidRPr="008E6B11">
        <w:rPr>
          <w:color w:val="000000" w:themeColor="text1"/>
        </w:rPr>
        <w:t>moved through</w:t>
      </w:r>
      <w:r w:rsidR="008854C8" w:rsidRPr="008E6B11">
        <w:rPr>
          <w:color w:val="000000" w:themeColor="text1"/>
        </w:rPr>
        <w:t xml:space="preserve"> “mind control” alone.</w:t>
      </w:r>
      <w:r w:rsidR="000B30F3" w:rsidRPr="008E6B11">
        <w:rPr>
          <w:color w:val="000000" w:themeColor="text1"/>
        </w:rPr>
        <w:t xml:space="preserve"> </w:t>
      </w:r>
      <w:r w:rsidR="00166751" w:rsidRPr="008E6B11">
        <w:rPr>
          <w:color w:val="000000" w:themeColor="text1"/>
        </w:rPr>
        <w:t>H</w:t>
      </w:r>
      <w:r w:rsidR="000B30F3" w:rsidRPr="008E6B11">
        <w:rPr>
          <w:color w:val="000000" w:themeColor="text1"/>
        </w:rPr>
        <w:t xml:space="preserve">owever, </w:t>
      </w:r>
      <w:r w:rsidRPr="008E6B11">
        <w:rPr>
          <w:color w:val="000000" w:themeColor="text1"/>
        </w:rPr>
        <w:t xml:space="preserve">the relatively </w:t>
      </w:r>
      <w:r w:rsidR="000B30F3" w:rsidRPr="008E6B11">
        <w:rPr>
          <w:color w:val="000000" w:themeColor="text1"/>
        </w:rPr>
        <w:t xml:space="preserve">small </w:t>
      </w:r>
      <w:r w:rsidR="00166751" w:rsidRPr="008E6B11">
        <w:rPr>
          <w:i/>
          <w:color w:val="000000" w:themeColor="text1"/>
        </w:rPr>
        <w:t>tau-b</w:t>
      </w:r>
      <w:r w:rsidR="000B30F3" w:rsidRPr="008E6B11">
        <w:rPr>
          <w:color w:val="000000" w:themeColor="text1"/>
        </w:rPr>
        <w:t xml:space="preserve"> and associated </w:t>
      </w:r>
      <w:r w:rsidR="00B91BEC" w:rsidRPr="008E6B11">
        <w:rPr>
          <w:i/>
          <w:color w:val="000000" w:themeColor="text1"/>
        </w:rPr>
        <w:t>eta</w:t>
      </w:r>
      <w:r w:rsidR="00B91BEC" w:rsidRPr="008E6B11">
        <w:rPr>
          <w:i/>
          <w:color w:val="000000" w:themeColor="text1"/>
          <w:vertAlign w:val="superscript"/>
        </w:rPr>
        <w:t>2</w:t>
      </w:r>
      <w:r w:rsidR="00B91BEC" w:rsidRPr="008E6B11">
        <w:rPr>
          <w:color w:val="000000" w:themeColor="text1"/>
        </w:rPr>
        <w:t xml:space="preserve"> </w:t>
      </w:r>
      <w:r w:rsidR="00166751" w:rsidRPr="008E6B11">
        <w:rPr>
          <w:color w:val="000000" w:themeColor="text1"/>
        </w:rPr>
        <w:t xml:space="preserve">figures, coupled with concerns over measurement biases (cf. Caswell &amp; Manning, 2009) and inflated alpha rates from multiple testing, means a more parsimonious interpretation is that </w:t>
      </w:r>
      <w:r w:rsidRPr="008E6B11">
        <w:rPr>
          <w:color w:val="000000" w:themeColor="text1"/>
        </w:rPr>
        <w:t xml:space="preserve">this too is a </w:t>
      </w:r>
      <w:r w:rsidR="000A2BE1" w:rsidRPr="008E6B11">
        <w:rPr>
          <w:color w:val="000000" w:themeColor="text1"/>
        </w:rPr>
        <w:t>statistical artefact</w:t>
      </w:r>
      <w:r w:rsidRPr="008E6B11">
        <w:rPr>
          <w:color w:val="000000" w:themeColor="text1"/>
        </w:rPr>
        <w:t xml:space="preserve">. </w:t>
      </w:r>
    </w:p>
    <w:p w:rsidR="006A6D14" w:rsidRPr="008E6B11" w:rsidRDefault="00B523EC" w:rsidP="006A6D14">
      <w:pPr>
        <w:spacing w:line="480" w:lineRule="auto"/>
        <w:rPr>
          <w:b/>
          <w:color w:val="000000" w:themeColor="text1"/>
        </w:rPr>
      </w:pPr>
      <w:r w:rsidRPr="008E6B11">
        <w:rPr>
          <w:b/>
          <w:i/>
          <w:color w:val="000000" w:themeColor="text1"/>
        </w:rPr>
        <w:t xml:space="preserve">4.3 </w:t>
      </w:r>
      <w:r w:rsidR="002545F8" w:rsidRPr="008E6B11">
        <w:rPr>
          <w:b/>
          <w:i/>
          <w:color w:val="000000" w:themeColor="text1"/>
        </w:rPr>
        <w:t>Methodological</w:t>
      </w:r>
      <w:r w:rsidR="006A6D14" w:rsidRPr="008E6B11">
        <w:rPr>
          <w:b/>
          <w:color w:val="000000" w:themeColor="text1"/>
        </w:rPr>
        <w:t xml:space="preserve"> </w:t>
      </w:r>
      <w:r w:rsidR="00D57D63" w:rsidRPr="008E6B11">
        <w:rPr>
          <w:b/>
          <w:i/>
          <w:color w:val="000000" w:themeColor="text1"/>
        </w:rPr>
        <w:t>limitations and future research</w:t>
      </w:r>
    </w:p>
    <w:p w:rsidR="00DC5CE0" w:rsidRPr="008E6B11" w:rsidRDefault="00DC5CE0" w:rsidP="006A6D14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The current study utilised both </w:t>
      </w:r>
      <w:r w:rsidR="007734AE" w:rsidRPr="008E6B11">
        <w:rPr>
          <w:color w:val="000000" w:themeColor="text1"/>
        </w:rPr>
        <w:t xml:space="preserve">direct </w:t>
      </w:r>
      <w:r w:rsidRPr="008E6B11">
        <w:rPr>
          <w:color w:val="000000" w:themeColor="text1"/>
        </w:rPr>
        <w:t xml:space="preserve">self and </w:t>
      </w:r>
      <w:r w:rsidR="00CB09AB" w:rsidRPr="008E6B11">
        <w:rPr>
          <w:color w:val="000000" w:themeColor="text1"/>
        </w:rPr>
        <w:t>indirect rater</w:t>
      </w:r>
      <w:r w:rsidR="007734AE" w:rsidRPr="008E6B11">
        <w:rPr>
          <w:color w:val="000000" w:themeColor="text1"/>
        </w:rPr>
        <w:t xml:space="preserve"> </w:t>
      </w:r>
      <w:r w:rsidR="0056283F" w:rsidRPr="008E6B11">
        <w:rPr>
          <w:color w:val="000000" w:themeColor="text1"/>
        </w:rPr>
        <w:t>based</w:t>
      </w:r>
      <w:r w:rsidRPr="008E6B11">
        <w:rPr>
          <w:color w:val="000000" w:themeColor="text1"/>
        </w:rPr>
        <w:t xml:space="preserve"> digit related measures and thus offers a direct comparison of differing measurement </w:t>
      </w:r>
      <w:r w:rsidR="007734AE" w:rsidRPr="008E6B11">
        <w:rPr>
          <w:color w:val="000000" w:themeColor="text1"/>
        </w:rPr>
        <w:t>techniques/</w:t>
      </w:r>
      <w:r w:rsidR="00CE5160" w:rsidRPr="008E6B11">
        <w:rPr>
          <w:color w:val="000000" w:themeColor="text1"/>
        </w:rPr>
        <w:t>sources</w:t>
      </w:r>
      <w:r w:rsidR="00166751" w:rsidRPr="008E6B11">
        <w:rPr>
          <w:color w:val="000000" w:themeColor="text1"/>
        </w:rPr>
        <w:t xml:space="preserve">. With </w:t>
      </w:r>
      <w:r w:rsidRPr="008E6B11">
        <w:rPr>
          <w:color w:val="000000" w:themeColor="text1"/>
        </w:rPr>
        <w:t>the former likely to be more accurate</w:t>
      </w:r>
      <w:r w:rsidR="00CE5160" w:rsidRPr="008E6B11">
        <w:rPr>
          <w:color w:val="000000" w:themeColor="text1"/>
        </w:rPr>
        <w:t xml:space="preserve"> </w:t>
      </w:r>
      <w:r w:rsidRPr="008E6B11">
        <w:rPr>
          <w:color w:val="000000" w:themeColor="text1"/>
        </w:rPr>
        <w:t>(</w:t>
      </w:r>
      <w:r w:rsidR="00D667F4" w:rsidRPr="008E6B11">
        <w:rPr>
          <w:color w:val="000000" w:themeColor="text1"/>
        </w:rPr>
        <w:t>Manning et al., 2005</w:t>
      </w:r>
      <w:r w:rsidR="00166751" w:rsidRPr="008E6B11">
        <w:rPr>
          <w:color w:val="000000" w:themeColor="text1"/>
        </w:rPr>
        <w:t>; Ribeiro et al., 2016) f</w:t>
      </w:r>
      <w:r w:rsidR="00380B76" w:rsidRPr="008E6B11">
        <w:rPr>
          <w:color w:val="000000" w:themeColor="text1"/>
        </w:rPr>
        <w:t xml:space="preserve">uture studies should </w:t>
      </w:r>
      <w:r w:rsidR="00CE5160" w:rsidRPr="008E6B11">
        <w:rPr>
          <w:color w:val="000000" w:themeColor="text1"/>
        </w:rPr>
        <w:t xml:space="preserve">employ </w:t>
      </w:r>
      <w:r w:rsidR="00380B76" w:rsidRPr="008E6B11">
        <w:rPr>
          <w:color w:val="000000" w:themeColor="text1"/>
        </w:rPr>
        <w:t>direct</w:t>
      </w:r>
      <w:r w:rsidR="00166751" w:rsidRPr="008E6B11">
        <w:rPr>
          <w:color w:val="000000" w:themeColor="text1"/>
        </w:rPr>
        <w:t>-</w:t>
      </w:r>
      <w:r w:rsidR="00CE5160" w:rsidRPr="008E6B11">
        <w:rPr>
          <w:color w:val="000000" w:themeColor="text1"/>
        </w:rPr>
        <w:t>from</w:t>
      </w:r>
      <w:r w:rsidR="00166751" w:rsidRPr="008E6B11">
        <w:rPr>
          <w:color w:val="000000" w:themeColor="text1"/>
        </w:rPr>
        <w:t>-</w:t>
      </w:r>
      <w:r w:rsidR="00CE5160" w:rsidRPr="008E6B11">
        <w:rPr>
          <w:color w:val="000000" w:themeColor="text1"/>
        </w:rPr>
        <w:t>hand</w:t>
      </w:r>
      <w:r w:rsidR="00166751" w:rsidRPr="008E6B11">
        <w:rPr>
          <w:color w:val="000000" w:themeColor="text1"/>
        </w:rPr>
        <w:t xml:space="preserve"> </w:t>
      </w:r>
      <w:r w:rsidR="00CE5160" w:rsidRPr="008E6B11">
        <w:rPr>
          <w:color w:val="000000" w:themeColor="text1"/>
        </w:rPr>
        <w:t xml:space="preserve">rather than </w:t>
      </w:r>
      <w:r w:rsidR="00380B76" w:rsidRPr="008E6B11">
        <w:rPr>
          <w:color w:val="000000" w:themeColor="text1"/>
        </w:rPr>
        <w:t>indirect</w:t>
      </w:r>
      <w:r w:rsidR="00166751" w:rsidRPr="008E6B11">
        <w:rPr>
          <w:color w:val="000000" w:themeColor="text1"/>
        </w:rPr>
        <w:t>-from-</w:t>
      </w:r>
      <w:r w:rsidR="00CE5160" w:rsidRPr="008E6B11">
        <w:rPr>
          <w:color w:val="000000" w:themeColor="text1"/>
        </w:rPr>
        <w:t xml:space="preserve">photocopy protocols. </w:t>
      </w:r>
      <w:r w:rsidR="00380B76" w:rsidRPr="008E6B11">
        <w:rPr>
          <w:color w:val="000000" w:themeColor="text1"/>
        </w:rPr>
        <w:t>S</w:t>
      </w:r>
      <w:r w:rsidR="007F13B2" w:rsidRPr="008E6B11">
        <w:rPr>
          <w:color w:val="000000" w:themeColor="text1"/>
        </w:rPr>
        <w:t>everal</w:t>
      </w:r>
      <w:r w:rsidR="006A6D14" w:rsidRPr="008E6B11">
        <w:rPr>
          <w:color w:val="000000" w:themeColor="text1"/>
        </w:rPr>
        <w:t xml:space="preserve"> </w:t>
      </w:r>
      <w:r w:rsidR="00380B76" w:rsidRPr="008E6B11">
        <w:rPr>
          <w:color w:val="000000" w:themeColor="text1"/>
        </w:rPr>
        <w:t xml:space="preserve">other </w:t>
      </w:r>
      <w:r w:rsidR="006A6D14" w:rsidRPr="008E6B11">
        <w:rPr>
          <w:color w:val="000000" w:themeColor="text1"/>
        </w:rPr>
        <w:t xml:space="preserve">methodological issues are worthy of </w:t>
      </w:r>
      <w:r w:rsidR="00CE5160" w:rsidRPr="008E6B11">
        <w:rPr>
          <w:color w:val="000000" w:themeColor="text1"/>
        </w:rPr>
        <w:t>mention</w:t>
      </w:r>
      <w:r w:rsidR="006A6D14" w:rsidRPr="008E6B11">
        <w:rPr>
          <w:color w:val="000000" w:themeColor="text1"/>
        </w:rPr>
        <w:t xml:space="preserve">. </w:t>
      </w:r>
    </w:p>
    <w:p w:rsidR="00EE4AED" w:rsidRPr="008E6B11" w:rsidRDefault="00166751" w:rsidP="003515CA">
      <w:pPr>
        <w:autoSpaceDE w:val="0"/>
        <w:autoSpaceDN w:val="0"/>
        <w:adjustRightInd w:val="0"/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>First</w:t>
      </w:r>
      <w:r w:rsidR="006A6D14" w:rsidRPr="008E6B11">
        <w:rPr>
          <w:color w:val="000000" w:themeColor="text1"/>
        </w:rPr>
        <w:t xml:space="preserve">, </w:t>
      </w:r>
      <w:r w:rsidR="001B658C" w:rsidRPr="008E6B11">
        <w:rPr>
          <w:color w:val="000000" w:themeColor="text1"/>
        </w:rPr>
        <w:t xml:space="preserve">one anonymous reviewer suggested the </w:t>
      </w:r>
      <w:r w:rsidR="00B474DC" w:rsidRPr="008E6B11">
        <w:rPr>
          <w:color w:val="000000" w:themeColor="text1"/>
        </w:rPr>
        <w:t xml:space="preserve">current </w:t>
      </w:r>
      <w:r w:rsidR="001B658C" w:rsidRPr="008E6B11">
        <w:rPr>
          <w:color w:val="000000" w:themeColor="text1"/>
        </w:rPr>
        <w:t>sample size (</w:t>
      </w:r>
      <w:r w:rsidR="001B658C" w:rsidRPr="008E6B11">
        <w:rPr>
          <w:i/>
          <w:color w:val="000000" w:themeColor="text1"/>
        </w:rPr>
        <w:t>N</w:t>
      </w:r>
      <w:r w:rsidR="00C568DE" w:rsidRPr="008E6B11">
        <w:rPr>
          <w:color w:val="000000" w:themeColor="text1"/>
        </w:rPr>
        <w:t xml:space="preserve"> = </w:t>
      </w:r>
      <w:r w:rsidR="001B658C" w:rsidRPr="008E6B11">
        <w:rPr>
          <w:color w:val="000000" w:themeColor="text1"/>
        </w:rPr>
        <w:t>275) was rather small compared to other digit ratio studies</w:t>
      </w:r>
      <w:r w:rsidR="007D6CF2" w:rsidRPr="008E6B11">
        <w:rPr>
          <w:color w:val="000000" w:themeColor="text1"/>
          <w:vertAlign w:val="superscript"/>
        </w:rPr>
        <w:t>3</w:t>
      </w:r>
      <w:r w:rsidRPr="008E6B11">
        <w:rPr>
          <w:color w:val="000000" w:themeColor="text1"/>
        </w:rPr>
        <w:t>.</w:t>
      </w:r>
      <w:r w:rsidR="004D01D6" w:rsidRPr="008E6B11">
        <w:rPr>
          <w:color w:val="000000" w:themeColor="text1"/>
        </w:rPr>
        <w:t xml:space="preserve"> </w:t>
      </w:r>
      <w:r w:rsidR="003515CA" w:rsidRPr="008E6B11">
        <w:rPr>
          <w:color w:val="000000" w:themeColor="text1"/>
        </w:rPr>
        <w:t>Subsequently the current stud</w:t>
      </w:r>
      <w:r w:rsidRPr="008E6B11">
        <w:rPr>
          <w:color w:val="000000" w:themeColor="text1"/>
        </w:rPr>
        <w:t xml:space="preserve">y’s statistical </w:t>
      </w:r>
      <w:r w:rsidR="003515CA" w:rsidRPr="008E6B11">
        <w:rPr>
          <w:color w:val="000000" w:themeColor="text1"/>
        </w:rPr>
        <w:t>“sensitivity” was tested</w:t>
      </w:r>
      <w:r w:rsidRPr="008E6B11">
        <w:rPr>
          <w:color w:val="000000" w:themeColor="text1"/>
        </w:rPr>
        <w:t xml:space="preserve"> via a retrospective power analysis</w:t>
      </w:r>
      <w:r w:rsidR="003515CA" w:rsidRPr="008E6B11">
        <w:rPr>
          <w:color w:val="000000" w:themeColor="text1"/>
        </w:rPr>
        <w:t xml:space="preserve">. With </w:t>
      </w:r>
      <w:r w:rsidR="003515CA" w:rsidRPr="008E6B11">
        <w:rPr>
          <w:i/>
          <w:color w:val="000000" w:themeColor="text1"/>
        </w:rPr>
        <w:t>N</w:t>
      </w:r>
      <w:r w:rsidR="00C568DE" w:rsidRPr="008E6B11">
        <w:rPr>
          <w:color w:val="000000" w:themeColor="text1"/>
        </w:rPr>
        <w:t xml:space="preserve"> = </w:t>
      </w:r>
      <w:r w:rsidR="003515CA" w:rsidRPr="008E6B11">
        <w:rPr>
          <w:color w:val="000000" w:themeColor="text1"/>
        </w:rPr>
        <w:t xml:space="preserve">275, alpha set at .05, </w:t>
      </w:r>
      <w:r w:rsidR="003515CA" w:rsidRPr="008E6B11">
        <w:rPr>
          <w:i/>
          <w:color w:val="000000" w:themeColor="text1"/>
        </w:rPr>
        <w:t>r</w:t>
      </w:r>
      <w:r w:rsidR="003515CA" w:rsidRPr="008E6B11">
        <w:rPr>
          <w:color w:val="000000" w:themeColor="text1"/>
        </w:rPr>
        <w:t xml:space="preserve"> ranging from .10 to .12 for two-tailed tests and effect sizes (</w:t>
      </w:r>
      <w:r w:rsidR="003515CA" w:rsidRPr="008E6B11">
        <w:rPr>
          <w:i/>
          <w:color w:val="000000" w:themeColor="text1"/>
        </w:rPr>
        <w:t>eta</w:t>
      </w:r>
      <w:r w:rsidR="003515CA" w:rsidRPr="008E6B11">
        <w:rPr>
          <w:i/>
          <w:color w:val="000000" w:themeColor="text1"/>
          <w:vertAlign w:val="superscript"/>
        </w:rPr>
        <w:t>2</w:t>
      </w:r>
      <w:r w:rsidR="003515CA" w:rsidRPr="008E6B11">
        <w:rPr>
          <w:color w:val="000000" w:themeColor="text1"/>
        </w:rPr>
        <w:t>) of .03 and .04</w:t>
      </w:r>
      <w:r w:rsidRPr="008E6B11">
        <w:rPr>
          <w:color w:val="000000" w:themeColor="text1"/>
        </w:rPr>
        <w:t xml:space="preserve"> entered into </w:t>
      </w:r>
      <w:r w:rsidR="001E5DE4" w:rsidRPr="008E6B11">
        <w:rPr>
          <w:i/>
          <w:color w:val="000000" w:themeColor="text1"/>
        </w:rPr>
        <w:t>G*Power</w:t>
      </w:r>
      <w:r w:rsidR="001E5DE4" w:rsidRPr="008E6B11">
        <w:rPr>
          <w:color w:val="000000" w:themeColor="text1"/>
        </w:rPr>
        <w:t xml:space="preserve"> </w:t>
      </w:r>
      <w:r w:rsidRPr="008E6B11">
        <w:rPr>
          <w:color w:val="000000" w:themeColor="text1"/>
        </w:rPr>
        <w:t xml:space="preserve">(Faul, 2008), analysis revealed </w:t>
      </w:r>
      <w:r w:rsidR="00EE4AED" w:rsidRPr="008E6B11">
        <w:rPr>
          <w:color w:val="000000" w:themeColor="text1"/>
        </w:rPr>
        <w:t>power (1-</w:t>
      </w:r>
      <w:r w:rsidR="00EE4AED" w:rsidRPr="008E6B11">
        <w:rPr>
          <w:rFonts w:ascii="Symbol" w:hAnsi="Symbol"/>
          <w:color w:val="000000" w:themeColor="text1"/>
        </w:rPr>
        <w:t></w:t>
      </w:r>
      <w:r w:rsidR="00EE4AED" w:rsidRPr="008E6B11">
        <w:rPr>
          <w:rFonts w:ascii="Symbol" w:hAnsi="Symbol"/>
          <w:color w:val="000000" w:themeColor="text1"/>
        </w:rPr>
        <w:t></w:t>
      </w:r>
      <w:r w:rsidR="00EE4AED" w:rsidRPr="008E6B11">
        <w:rPr>
          <w:color w:val="000000" w:themeColor="text1"/>
        </w:rPr>
        <w:t xml:space="preserve"> figures ranging from .9327 to .9988 indicating a very high </w:t>
      </w:r>
      <w:r w:rsidR="001E5DE4" w:rsidRPr="008E6B11">
        <w:rPr>
          <w:color w:val="000000" w:themeColor="text1"/>
        </w:rPr>
        <w:t xml:space="preserve">- over 93% - </w:t>
      </w:r>
      <w:r w:rsidR="00EE4AED" w:rsidRPr="008E6B11">
        <w:rPr>
          <w:color w:val="000000" w:themeColor="text1"/>
        </w:rPr>
        <w:t>chance of detecting genuine effects</w:t>
      </w:r>
      <w:r w:rsidR="001E5DE4" w:rsidRPr="008E6B11">
        <w:rPr>
          <w:color w:val="000000" w:themeColor="text1"/>
        </w:rPr>
        <w:t>. In short, Type II errors were unlikely</w:t>
      </w:r>
      <w:r w:rsidR="007B3F83" w:rsidRPr="008E6B11">
        <w:rPr>
          <w:color w:val="000000" w:themeColor="text1"/>
        </w:rPr>
        <w:t xml:space="preserve"> </w:t>
      </w:r>
      <w:r w:rsidR="003515CA" w:rsidRPr="008E6B11">
        <w:rPr>
          <w:color w:val="000000" w:themeColor="text1"/>
        </w:rPr>
        <w:t>(Field, 2013).</w:t>
      </w:r>
    </w:p>
    <w:p w:rsidR="00166751" w:rsidRPr="008E6B11" w:rsidRDefault="00166751" w:rsidP="00166751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Second, current findings are based on an undergraduate rather than general public sample so are less generalizable than those of Voracek (2009) whose (Austrian) participants came from a wide range of domestic, educational and occupational backgrounds. Present data are also restricted to predominately Caucasian participants with a Westernized socio-cultural background who may hold different paranormal beliefs than those from other </w:t>
      </w:r>
      <w:r w:rsidR="000035C2" w:rsidRPr="008E6B11">
        <w:rPr>
          <w:color w:val="000000" w:themeColor="text1"/>
        </w:rPr>
        <w:t>ethno-</w:t>
      </w:r>
      <w:r w:rsidRPr="008E6B11">
        <w:rPr>
          <w:color w:val="000000" w:themeColor="text1"/>
        </w:rPr>
        <w:t>cultur</w:t>
      </w:r>
      <w:r w:rsidR="000035C2" w:rsidRPr="008E6B11">
        <w:rPr>
          <w:color w:val="000000" w:themeColor="text1"/>
        </w:rPr>
        <w:t>al groups</w:t>
      </w:r>
      <w:r w:rsidRPr="008E6B11">
        <w:rPr>
          <w:color w:val="000000" w:themeColor="text1"/>
        </w:rPr>
        <w:t xml:space="preserve"> (</w:t>
      </w:r>
      <w:r w:rsidR="000035C2" w:rsidRPr="008E6B11">
        <w:rPr>
          <w:color w:val="000000" w:themeColor="text1"/>
        </w:rPr>
        <w:t xml:space="preserve">see </w:t>
      </w:r>
      <w:r w:rsidRPr="008E6B11">
        <w:rPr>
          <w:color w:val="000000" w:themeColor="text1"/>
        </w:rPr>
        <w:t xml:space="preserve">Irwin, 2009). </w:t>
      </w:r>
    </w:p>
    <w:p w:rsidR="004953F4" w:rsidRPr="008E6B11" w:rsidRDefault="004953F4" w:rsidP="004953F4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Third, current trends are limited to just three (core) parapsychological concepts, namely ESP, PK, and LAD. With women more likely to endorse witchcraft and astrology, and less likely to accept </w:t>
      </w:r>
      <w:r w:rsidR="007734AE" w:rsidRPr="008E6B11">
        <w:rPr>
          <w:color w:val="000000" w:themeColor="text1"/>
        </w:rPr>
        <w:t>extraterrestrial</w:t>
      </w:r>
      <w:r w:rsidRPr="008E6B11">
        <w:rPr>
          <w:color w:val="000000" w:themeColor="text1"/>
        </w:rPr>
        <w:t xml:space="preserve"> visitation and extraordinary life forms (Irwin, 2009), it seems pertinent to explore the relationship all digit-related measures have with these beliefs.</w:t>
      </w:r>
    </w:p>
    <w:p w:rsidR="005C2150" w:rsidRPr="008E6B11" w:rsidRDefault="004953F4" w:rsidP="004953F4">
      <w:pPr>
        <w:autoSpaceDE w:val="0"/>
        <w:autoSpaceDN w:val="0"/>
        <w:adjustRightInd w:val="0"/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Fourth, </w:t>
      </w:r>
      <w:r w:rsidR="006A6D14" w:rsidRPr="008E6B11">
        <w:rPr>
          <w:color w:val="000000" w:themeColor="text1"/>
        </w:rPr>
        <w:t xml:space="preserve">the present study </w:t>
      </w:r>
      <w:r w:rsidRPr="008E6B11">
        <w:rPr>
          <w:color w:val="000000" w:themeColor="text1"/>
        </w:rPr>
        <w:t>did</w:t>
      </w:r>
      <w:r w:rsidR="006A6D14" w:rsidRPr="008E6B11">
        <w:rPr>
          <w:color w:val="000000" w:themeColor="text1"/>
        </w:rPr>
        <w:t xml:space="preserve"> not include body </w:t>
      </w:r>
      <w:r w:rsidR="00FA348A" w:rsidRPr="008E6B11">
        <w:rPr>
          <w:color w:val="000000" w:themeColor="text1"/>
        </w:rPr>
        <w:t>dimensions</w:t>
      </w:r>
      <w:r w:rsidR="006A6D14" w:rsidRPr="008E6B11">
        <w:rPr>
          <w:color w:val="000000" w:themeColor="text1"/>
        </w:rPr>
        <w:t xml:space="preserve"> such as participants’ weight and length at birth or weight and height </w:t>
      </w:r>
      <w:r w:rsidR="00FA348A" w:rsidRPr="008E6B11">
        <w:rPr>
          <w:color w:val="000000" w:themeColor="text1"/>
        </w:rPr>
        <w:t>at the time of testing</w:t>
      </w:r>
      <w:r w:rsidR="006A6D14" w:rsidRPr="008E6B11">
        <w:rPr>
          <w:color w:val="000000" w:themeColor="text1"/>
        </w:rPr>
        <w:t xml:space="preserve">. This aspect of Voracek’s </w:t>
      </w:r>
      <w:r w:rsidRPr="008E6B11">
        <w:rPr>
          <w:color w:val="000000" w:themeColor="text1"/>
        </w:rPr>
        <w:t xml:space="preserve">(2009) </w:t>
      </w:r>
      <w:r w:rsidR="006A6D14" w:rsidRPr="008E6B11">
        <w:rPr>
          <w:color w:val="000000" w:themeColor="text1"/>
        </w:rPr>
        <w:t>work requires independent verification.</w:t>
      </w:r>
      <w:r w:rsidR="00A92A48" w:rsidRPr="008E6B11">
        <w:rPr>
          <w:color w:val="000000" w:themeColor="text1"/>
        </w:rPr>
        <w:t xml:space="preserve"> </w:t>
      </w:r>
    </w:p>
    <w:p w:rsidR="006A6D14" w:rsidRPr="008E6B11" w:rsidRDefault="006A6D14" w:rsidP="006A6D14">
      <w:pPr>
        <w:spacing w:line="480" w:lineRule="auto"/>
        <w:ind w:firstLine="284"/>
        <w:rPr>
          <w:color w:val="000000" w:themeColor="text1"/>
        </w:rPr>
      </w:pPr>
      <w:r w:rsidRPr="008E6B11">
        <w:rPr>
          <w:color w:val="000000" w:themeColor="text1"/>
        </w:rPr>
        <w:t xml:space="preserve">Finally, direct comparison between </w:t>
      </w:r>
      <w:r w:rsidR="00A92A48" w:rsidRPr="008E6B11">
        <w:rPr>
          <w:color w:val="000000" w:themeColor="text1"/>
        </w:rPr>
        <w:t xml:space="preserve">biological </w:t>
      </w:r>
      <w:r w:rsidR="001F3D84" w:rsidRPr="008E6B11">
        <w:rPr>
          <w:color w:val="000000" w:themeColor="text1"/>
        </w:rPr>
        <w:t xml:space="preserve">verses </w:t>
      </w:r>
      <w:r w:rsidRPr="008E6B11">
        <w:rPr>
          <w:color w:val="000000" w:themeColor="text1"/>
        </w:rPr>
        <w:t xml:space="preserve">socio-cultural </w:t>
      </w:r>
      <w:r w:rsidR="00791FF9" w:rsidRPr="008E6B11">
        <w:rPr>
          <w:color w:val="000000" w:themeColor="text1"/>
        </w:rPr>
        <w:t xml:space="preserve">and/or </w:t>
      </w:r>
      <w:r w:rsidRPr="008E6B11">
        <w:rPr>
          <w:color w:val="000000" w:themeColor="text1"/>
        </w:rPr>
        <w:t xml:space="preserve">cognitive factors underlying females’ </w:t>
      </w:r>
      <w:r w:rsidR="00791FF9" w:rsidRPr="008E6B11">
        <w:rPr>
          <w:color w:val="000000" w:themeColor="text1"/>
        </w:rPr>
        <w:t xml:space="preserve">heightened </w:t>
      </w:r>
      <w:r w:rsidRPr="008E6B11">
        <w:rPr>
          <w:color w:val="000000" w:themeColor="text1"/>
        </w:rPr>
        <w:t>paranormality seems warranted. For example, the extent to which 2D:4</w:t>
      </w:r>
      <w:r w:rsidR="005C1DFE" w:rsidRPr="008E6B11">
        <w:rPr>
          <w:color w:val="000000" w:themeColor="text1"/>
        </w:rPr>
        <w:t>D</w:t>
      </w:r>
      <w:r w:rsidR="00B523EC" w:rsidRPr="008E6B11">
        <w:rPr>
          <w:color w:val="000000" w:themeColor="text1"/>
        </w:rPr>
        <w:t xml:space="preserve"> and</w:t>
      </w:r>
      <w:r w:rsidR="00326D53" w:rsidRPr="008E6B11">
        <w:rPr>
          <w:color w:val="000000" w:themeColor="text1"/>
        </w:rPr>
        <w:t xml:space="preserve"> </w:t>
      </w:r>
      <w:r w:rsidR="005C1DFE" w:rsidRPr="008E6B11">
        <w:rPr>
          <w:color w:val="000000" w:themeColor="text1"/>
        </w:rPr>
        <w:t>a preference for intuitive thinking independently predict heightened</w:t>
      </w:r>
      <w:r w:rsidR="00B01B44" w:rsidRPr="008E6B11">
        <w:rPr>
          <w:color w:val="000000" w:themeColor="text1"/>
        </w:rPr>
        <w:t xml:space="preserve"> adult</w:t>
      </w:r>
      <w:r w:rsidR="005C1DFE" w:rsidRPr="008E6B11">
        <w:rPr>
          <w:color w:val="000000" w:themeColor="text1"/>
        </w:rPr>
        <w:t xml:space="preserve"> paranormal</w:t>
      </w:r>
      <w:r w:rsidR="00B01B44" w:rsidRPr="008E6B11">
        <w:rPr>
          <w:color w:val="000000" w:themeColor="text1"/>
        </w:rPr>
        <w:t>ity is worth investigating</w:t>
      </w:r>
      <w:r w:rsidR="00821D83" w:rsidRPr="008E6B11">
        <w:rPr>
          <w:color w:val="000000" w:themeColor="text1"/>
        </w:rPr>
        <w:t xml:space="preserve"> (cf. Aarnio &amp; Lindeman, 2005; Bosch-Domènech et al., 2014). </w:t>
      </w:r>
      <w:r w:rsidRPr="008E6B11">
        <w:rPr>
          <w:color w:val="000000" w:themeColor="text1"/>
        </w:rPr>
        <w:t xml:space="preserve">Other </w:t>
      </w:r>
      <w:r w:rsidR="009365A5" w:rsidRPr="008E6B11">
        <w:rPr>
          <w:color w:val="000000" w:themeColor="text1"/>
        </w:rPr>
        <w:t>factors</w:t>
      </w:r>
      <w:r w:rsidRPr="008E6B11">
        <w:rPr>
          <w:color w:val="000000" w:themeColor="text1"/>
        </w:rPr>
        <w:t xml:space="preserve"> such as </w:t>
      </w:r>
      <w:r w:rsidR="00B01B44" w:rsidRPr="008E6B11">
        <w:rPr>
          <w:color w:val="000000" w:themeColor="text1"/>
        </w:rPr>
        <w:t>(</w:t>
      </w:r>
      <w:r w:rsidRPr="008E6B11">
        <w:rPr>
          <w:color w:val="000000" w:themeColor="text1"/>
        </w:rPr>
        <w:t>scientific</w:t>
      </w:r>
      <w:r w:rsidR="00B01B44" w:rsidRPr="008E6B11">
        <w:rPr>
          <w:color w:val="000000" w:themeColor="text1"/>
        </w:rPr>
        <w:t>)</w:t>
      </w:r>
      <w:r w:rsidRPr="008E6B11">
        <w:rPr>
          <w:color w:val="000000" w:themeColor="text1"/>
        </w:rPr>
        <w:t xml:space="preserve"> education</w:t>
      </w:r>
      <w:r w:rsidR="00CD1D28" w:rsidRPr="008E6B11">
        <w:rPr>
          <w:color w:val="000000" w:themeColor="text1"/>
        </w:rPr>
        <w:t xml:space="preserve"> </w:t>
      </w:r>
      <w:r w:rsidR="009365A5" w:rsidRPr="008E6B11">
        <w:rPr>
          <w:color w:val="000000" w:themeColor="text1"/>
        </w:rPr>
        <w:t xml:space="preserve">might also be explored as potential moderators of these relationships </w:t>
      </w:r>
      <w:r w:rsidRPr="008E6B11">
        <w:rPr>
          <w:color w:val="000000" w:themeColor="text1"/>
        </w:rPr>
        <w:t>(</w:t>
      </w:r>
      <w:r w:rsidR="00821D83" w:rsidRPr="008E6B11">
        <w:rPr>
          <w:color w:val="000000" w:themeColor="text1"/>
        </w:rPr>
        <w:t>see Irwin, 2009</w:t>
      </w:r>
      <w:r w:rsidR="009365A5" w:rsidRPr="008E6B11">
        <w:rPr>
          <w:color w:val="000000" w:themeColor="text1"/>
        </w:rPr>
        <w:t>).</w:t>
      </w:r>
    </w:p>
    <w:p w:rsidR="001F3D84" w:rsidRPr="008E6B11" w:rsidRDefault="00B523EC" w:rsidP="001F3D84">
      <w:pPr>
        <w:spacing w:line="480" w:lineRule="auto"/>
        <w:rPr>
          <w:b/>
          <w:i/>
          <w:color w:val="000000" w:themeColor="text1"/>
        </w:rPr>
      </w:pPr>
      <w:r w:rsidRPr="008E6B11">
        <w:rPr>
          <w:b/>
          <w:i/>
          <w:color w:val="000000" w:themeColor="text1"/>
        </w:rPr>
        <w:t xml:space="preserve">4.4 </w:t>
      </w:r>
      <w:r w:rsidR="001F3D84" w:rsidRPr="008E6B11">
        <w:rPr>
          <w:b/>
          <w:i/>
          <w:color w:val="000000" w:themeColor="text1"/>
        </w:rPr>
        <w:t>Conclusion</w:t>
      </w:r>
    </w:p>
    <w:p w:rsidR="00A0024F" w:rsidRPr="008E6B11" w:rsidRDefault="00821D83" w:rsidP="002F29F5">
      <w:pPr>
        <w:pStyle w:val="ListParagraph"/>
        <w:spacing w:line="480" w:lineRule="auto"/>
        <w:ind w:left="0" w:firstLine="284"/>
        <w:rPr>
          <w:color w:val="000000" w:themeColor="text1"/>
        </w:rPr>
        <w:sectPr w:rsidR="00A0024F" w:rsidRPr="008E6B11" w:rsidSect="00FC6CFD">
          <w:footerReference w:type="default" r:id="rId11"/>
          <w:pgSz w:w="11906" w:h="16838" w:code="9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8E6B11">
        <w:rPr>
          <w:color w:val="000000" w:themeColor="text1"/>
        </w:rPr>
        <w:t xml:space="preserve">At first glance, current findings appear </w:t>
      </w:r>
      <w:r w:rsidR="00394A26" w:rsidRPr="008E6B11">
        <w:rPr>
          <w:color w:val="000000" w:themeColor="text1"/>
        </w:rPr>
        <w:t xml:space="preserve">to </w:t>
      </w:r>
      <w:r w:rsidR="008B6EE2" w:rsidRPr="008E6B11">
        <w:rPr>
          <w:color w:val="000000" w:themeColor="text1"/>
        </w:rPr>
        <w:t xml:space="preserve">suggest </w:t>
      </w:r>
      <w:r w:rsidR="006A6D14" w:rsidRPr="008E6B11">
        <w:rPr>
          <w:color w:val="000000" w:themeColor="text1"/>
        </w:rPr>
        <w:t xml:space="preserve">belief in </w:t>
      </w:r>
      <w:r w:rsidR="00CD1D28" w:rsidRPr="008E6B11">
        <w:rPr>
          <w:color w:val="000000" w:themeColor="text1"/>
        </w:rPr>
        <w:t xml:space="preserve">certain types of </w:t>
      </w:r>
      <w:r w:rsidR="008B6EE2" w:rsidRPr="008E6B11">
        <w:rPr>
          <w:color w:val="000000" w:themeColor="text1"/>
        </w:rPr>
        <w:t>paranormal phenomena, notably psychokinesis</w:t>
      </w:r>
      <w:r w:rsidRPr="008E6B11">
        <w:rPr>
          <w:color w:val="000000" w:themeColor="text1"/>
        </w:rPr>
        <w:t xml:space="preserve"> and to some extent extrasensory perception</w:t>
      </w:r>
      <w:r w:rsidR="008B6EE2" w:rsidRPr="008E6B11">
        <w:rPr>
          <w:color w:val="000000" w:themeColor="text1"/>
        </w:rPr>
        <w:t xml:space="preserve">, </w:t>
      </w:r>
      <w:r w:rsidR="006A6D14" w:rsidRPr="008E6B11">
        <w:rPr>
          <w:color w:val="000000" w:themeColor="text1"/>
        </w:rPr>
        <w:t>may</w:t>
      </w:r>
      <w:r w:rsidR="00394A26" w:rsidRPr="008E6B11">
        <w:rPr>
          <w:color w:val="000000" w:themeColor="text1"/>
        </w:rPr>
        <w:t xml:space="preserve"> be shaped by </w:t>
      </w:r>
      <w:r w:rsidRPr="008E6B11">
        <w:rPr>
          <w:color w:val="000000" w:themeColor="text1"/>
        </w:rPr>
        <w:t>higher exposure to</w:t>
      </w:r>
      <w:r w:rsidR="008B6EE2" w:rsidRPr="008E6B11">
        <w:rPr>
          <w:color w:val="000000" w:themeColor="text1"/>
        </w:rPr>
        <w:t xml:space="preserve"> </w:t>
      </w:r>
      <w:r w:rsidR="006A6D14" w:rsidRPr="008E6B11">
        <w:rPr>
          <w:color w:val="000000" w:themeColor="text1"/>
        </w:rPr>
        <w:t>testosterone and oestrogen</w:t>
      </w:r>
      <w:r w:rsidRPr="008E6B11">
        <w:rPr>
          <w:color w:val="000000" w:themeColor="text1"/>
        </w:rPr>
        <w:t xml:space="preserve"> </w:t>
      </w:r>
      <w:r w:rsidRPr="008E6B11">
        <w:rPr>
          <w:i/>
          <w:color w:val="000000" w:themeColor="text1"/>
        </w:rPr>
        <w:t>in utero</w:t>
      </w:r>
      <w:r w:rsidR="007734AE" w:rsidRPr="008E6B11">
        <w:rPr>
          <w:i/>
          <w:color w:val="000000" w:themeColor="text1"/>
        </w:rPr>
        <w:t xml:space="preserve"> </w:t>
      </w:r>
      <w:r w:rsidR="007734AE" w:rsidRPr="008E6B11">
        <w:rPr>
          <w:color w:val="000000" w:themeColor="text1"/>
        </w:rPr>
        <w:t>and thus</w:t>
      </w:r>
      <w:r w:rsidR="002F29F5" w:rsidRPr="008E6B11">
        <w:rPr>
          <w:color w:val="000000" w:themeColor="text1"/>
        </w:rPr>
        <w:t>,</w:t>
      </w:r>
      <w:r w:rsidR="007734AE" w:rsidRPr="008E6B11">
        <w:rPr>
          <w:color w:val="000000" w:themeColor="text1"/>
        </w:rPr>
        <w:t xml:space="preserve"> that genetic</w:t>
      </w:r>
      <w:r w:rsidR="00A0024F" w:rsidRPr="008E6B11">
        <w:rPr>
          <w:color w:val="000000" w:themeColor="text1"/>
        </w:rPr>
        <w:t xml:space="preserve"> factors play </w:t>
      </w:r>
      <w:r w:rsidR="002F29F5" w:rsidRPr="008E6B11">
        <w:rPr>
          <w:color w:val="000000" w:themeColor="text1"/>
        </w:rPr>
        <w:t>some role</w:t>
      </w:r>
      <w:r w:rsidR="00A0024F" w:rsidRPr="008E6B11">
        <w:rPr>
          <w:color w:val="000000" w:themeColor="text1"/>
        </w:rPr>
        <w:t xml:space="preserve"> in determining </w:t>
      </w:r>
      <w:r w:rsidR="002F29F5" w:rsidRPr="008E6B11">
        <w:rPr>
          <w:color w:val="000000" w:themeColor="text1"/>
        </w:rPr>
        <w:t>adult paranormality</w:t>
      </w:r>
      <w:r w:rsidR="007734AE" w:rsidRPr="008E6B11">
        <w:rPr>
          <w:color w:val="000000" w:themeColor="text1"/>
        </w:rPr>
        <w:t xml:space="preserve">. </w:t>
      </w:r>
      <w:r w:rsidRPr="008E6B11">
        <w:rPr>
          <w:color w:val="000000" w:themeColor="text1"/>
        </w:rPr>
        <w:t xml:space="preserve">But current belief </w:t>
      </w:r>
      <w:r w:rsidR="00FC0BC8" w:rsidRPr="008E6B11">
        <w:rPr>
          <w:color w:val="000000" w:themeColor="text1"/>
        </w:rPr>
        <w:sym w:font="Symbol" w:char="F0B4"/>
      </w:r>
      <w:r w:rsidRPr="008E6B11">
        <w:rPr>
          <w:color w:val="000000" w:themeColor="text1"/>
        </w:rPr>
        <w:t xml:space="preserve"> digit associations </w:t>
      </w:r>
      <w:r w:rsidR="00A0024F" w:rsidRPr="008E6B11">
        <w:rPr>
          <w:color w:val="000000" w:themeColor="text1"/>
        </w:rPr>
        <w:t xml:space="preserve">are </w:t>
      </w:r>
      <w:r w:rsidRPr="008E6B11">
        <w:rPr>
          <w:color w:val="000000" w:themeColor="text1"/>
        </w:rPr>
        <w:t xml:space="preserve">relatively weak, </w:t>
      </w:r>
      <w:r w:rsidR="007734AE" w:rsidRPr="008E6B11">
        <w:rPr>
          <w:color w:val="000000" w:themeColor="text1"/>
        </w:rPr>
        <w:t>emerg</w:t>
      </w:r>
      <w:r w:rsidR="00A0024F" w:rsidRPr="008E6B11">
        <w:rPr>
          <w:color w:val="000000" w:themeColor="text1"/>
        </w:rPr>
        <w:t>e</w:t>
      </w:r>
      <w:r w:rsidR="007734AE" w:rsidRPr="008E6B11">
        <w:rPr>
          <w:color w:val="000000" w:themeColor="text1"/>
        </w:rPr>
        <w:t xml:space="preserve"> only</w:t>
      </w:r>
      <w:r w:rsidRPr="008E6B11">
        <w:rPr>
          <w:color w:val="000000" w:themeColor="text1"/>
        </w:rPr>
        <w:t xml:space="preserve"> for </w:t>
      </w:r>
      <w:r w:rsidR="00CB09AB" w:rsidRPr="008E6B11">
        <w:rPr>
          <w:color w:val="000000" w:themeColor="text1"/>
        </w:rPr>
        <w:t>direct self-based</w:t>
      </w:r>
      <w:r w:rsidRPr="008E6B11">
        <w:rPr>
          <w:color w:val="000000" w:themeColor="text1"/>
        </w:rPr>
        <w:t xml:space="preserve"> measures</w:t>
      </w:r>
      <w:r w:rsidR="007734AE" w:rsidRPr="008E6B11">
        <w:rPr>
          <w:color w:val="000000" w:themeColor="text1"/>
        </w:rPr>
        <w:t xml:space="preserve"> </w:t>
      </w:r>
      <w:r w:rsidR="00A0024F" w:rsidRPr="008E6B11">
        <w:rPr>
          <w:color w:val="000000" w:themeColor="text1"/>
        </w:rPr>
        <w:t xml:space="preserve">and </w:t>
      </w:r>
      <w:r w:rsidR="007734AE" w:rsidRPr="008E6B11">
        <w:rPr>
          <w:color w:val="000000" w:themeColor="text1"/>
        </w:rPr>
        <w:t xml:space="preserve">are </w:t>
      </w:r>
      <w:r w:rsidR="00A0024F" w:rsidRPr="008E6B11">
        <w:rPr>
          <w:color w:val="000000" w:themeColor="text1"/>
        </w:rPr>
        <w:t>in the opposite direction</w:t>
      </w:r>
      <w:r w:rsidR="007734AE" w:rsidRPr="008E6B11">
        <w:rPr>
          <w:color w:val="000000" w:themeColor="text1"/>
        </w:rPr>
        <w:t xml:space="preserve"> to those reported by Voracek (2009).</w:t>
      </w:r>
      <w:r w:rsidR="00A0024F" w:rsidRPr="008E6B11">
        <w:rPr>
          <w:color w:val="000000" w:themeColor="text1"/>
        </w:rPr>
        <w:t xml:space="preserve"> </w:t>
      </w:r>
      <w:r w:rsidR="00E0041C" w:rsidRPr="008E6B11">
        <w:rPr>
          <w:color w:val="000000" w:themeColor="text1"/>
        </w:rPr>
        <w:t>Further</w:t>
      </w:r>
      <w:r w:rsidR="00A0024F" w:rsidRPr="008E6B11">
        <w:rPr>
          <w:color w:val="000000" w:themeColor="text1"/>
        </w:rPr>
        <w:t xml:space="preserve"> work </w:t>
      </w:r>
      <w:r w:rsidR="008A38F6" w:rsidRPr="008E6B11">
        <w:rPr>
          <w:color w:val="000000" w:themeColor="text1"/>
        </w:rPr>
        <w:t>incorporating</w:t>
      </w:r>
      <w:r w:rsidR="00A0024F" w:rsidRPr="008E6B11">
        <w:rPr>
          <w:color w:val="000000" w:themeColor="text1"/>
        </w:rPr>
        <w:t xml:space="preserve"> </w:t>
      </w:r>
      <w:r w:rsidR="008A38F6" w:rsidRPr="008E6B11">
        <w:rPr>
          <w:color w:val="000000" w:themeColor="text1"/>
        </w:rPr>
        <w:t xml:space="preserve">direct-from-hand </w:t>
      </w:r>
      <w:r w:rsidR="00A0024F" w:rsidRPr="008E6B11">
        <w:rPr>
          <w:color w:val="000000" w:themeColor="text1"/>
        </w:rPr>
        <w:t>measures of</w:t>
      </w:r>
      <w:r w:rsidR="008A38F6" w:rsidRPr="008E6B11">
        <w:rPr>
          <w:color w:val="000000" w:themeColor="text1"/>
        </w:rPr>
        <w:t xml:space="preserve"> finger length</w:t>
      </w:r>
      <w:r w:rsidR="00A0024F" w:rsidRPr="008E6B11">
        <w:rPr>
          <w:color w:val="000000" w:themeColor="text1"/>
        </w:rPr>
        <w:t xml:space="preserve"> is needed to </w:t>
      </w:r>
      <w:r w:rsidR="007734AE" w:rsidRPr="008E6B11">
        <w:rPr>
          <w:color w:val="000000" w:themeColor="text1"/>
        </w:rPr>
        <w:t xml:space="preserve">fully understand the veracity and </w:t>
      </w:r>
      <w:r w:rsidR="00031C43" w:rsidRPr="008E6B11">
        <w:rPr>
          <w:color w:val="000000" w:themeColor="text1"/>
        </w:rPr>
        <w:t xml:space="preserve">true </w:t>
      </w:r>
      <w:r w:rsidR="007734AE" w:rsidRPr="008E6B11">
        <w:rPr>
          <w:color w:val="000000" w:themeColor="text1"/>
        </w:rPr>
        <w:t xml:space="preserve">magnitude of </w:t>
      </w:r>
      <w:r w:rsidR="002F29F5" w:rsidRPr="008E6B11">
        <w:rPr>
          <w:color w:val="000000" w:themeColor="text1"/>
        </w:rPr>
        <w:t>the</w:t>
      </w:r>
      <w:r w:rsidR="008A38F6" w:rsidRPr="008E6B11">
        <w:rPr>
          <w:color w:val="000000" w:themeColor="text1"/>
        </w:rPr>
        <w:t xml:space="preserve">se </w:t>
      </w:r>
      <w:r w:rsidR="003C1712" w:rsidRPr="008E6B11">
        <w:rPr>
          <w:color w:val="000000" w:themeColor="text1"/>
        </w:rPr>
        <w:t>effects</w:t>
      </w:r>
      <w:r w:rsidR="002F29F5" w:rsidRPr="008E6B11">
        <w:rPr>
          <w:color w:val="000000" w:themeColor="text1"/>
        </w:rPr>
        <w:t>. It is hoped the present study will stimulate such research.</w:t>
      </w:r>
    </w:p>
    <w:p w:rsidR="00AD736A" w:rsidRPr="008E6B11" w:rsidRDefault="00FA55EF" w:rsidP="00AD736A">
      <w:pPr>
        <w:pStyle w:val="ListParagraph"/>
        <w:spacing w:line="480" w:lineRule="auto"/>
        <w:ind w:left="0"/>
        <w:rPr>
          <w:b/>
          <w:color w:val="000000" w:themeColor="text1"/>
        </w:rPr>
      </w:pPr>
      <w:r w:rsidRPr="008E6B11">
        <w:rPr>
          <w:b/>
          <w:color w:val="000000" w:themeColor="text1"/>
        </w:rPr>
        <w:t>Footn</w:t>
      </w:r>
      <w:r w:rsidR="00AD736A" w:rsidRPr="008E6B11">
        <w:rPr>
          <w:b/>
          <w:color w:val="000000" w:themeColor="text1"/>
        </w:rPr>
        <w:t>otes</w:t>
      </w:r>
    </w:p>
    <w:p w:rsidR="00AD736A" w:rsidRPr="008E6B11" w:rsidRDefault="001E5D8E" w:rsidP="007D6CF2">
      <w:pPr>
        <w:pStyle w:val="ListParagraph"/>
        <w:numPr>
          <w:ilvl w:val="0"/>
          <w:numId w:val="7"/>
        </w:numPr>
        <w:spacing w:line="480" w:lineRule="auto"/>
        <w:ind w:left="284" w:firstLine="0"/>
        <w:rPr>
          <w:color w:val="000000" w:themeColor="text1"/>
        </w:rPr>
      </w:pPr>
      <w:r w:rsidRPr="008E6B11">
        <w:rPr>
          <w:color w:val="000000" w:themeColor="text1"/>
        </w:rPr>
        <w:t xml:space="preserve">FA </w:t>
      </w:r>
      <w:r w:rsidR="00DD15BF" w:rsidRPr="008E6B11">
        <w:rPr>
          <w:color w:val="000000" w:themeColor="text1"/>
        </w:rPr>
        <w:t xml:space="preserve">is calculated </w:t>
      </w:r>
      <w:r w:rsidR="00FA55EF" w:rsidRPr="008E6B11">
        <w:rPr>
          <w:color w:val="000000" w:themeColor="text1"/>
        </w:rPr>
        <w:t>as</w:t>
      </w:r>
      <w:r w:rsidR="00DD15BF" w:rsidRPr="008E6B11">
        <w:rPr>
          <w:color w:val="000000" w:themeColor="text1"/>
        </w:rPr>
        <w:t xml:space="preserve"> </w:t>
      </w:r>
      <w:r w:rsidR="00AD736A" w:rsidRPr="008E6B11">
        <w:rPr>
          <w:color w:val="000000" w:themeColor="text1"/>
        </w:rPr>
        <w:t>{Rd |Rd</w:t>
      </w:r>
      <w:r w:rsidR="004C6434" w:rsidRPr="008E6B11">
        <w:rPr>
          <w:color w:val="000000" w:themeColor="text1"/>
        </w:rPr>
        <w:t xml:space="preserve"> </w:t>
      </w:r>
      <w:r w:rsidR="00AD736A" w:rsidRPr="008E6B11">
        <w:rPr>
          <w:color w:val="000000" w:themeColor="text1"/>
        </w:rPr>
        <w:t>–</w:t>
      </w:r>
      <w:r w:rsidR="004C6434" w:rsidRPr="008E6B11">
        <w:rPr>
          <w:color w:val="000000" w:themeColor="text1"/>
        </w:rPr>
        <w:t xml:space="preserve"> </w:t>
      </w:r>
      <w:r w:rsidR="00AD736A" w:rsidRPr="008E6B11">
        <w:rPr>
          <w:color w:val="000000" w:themeColor="text1"/>
        </w:rPr>
        <w:t>Ld|</w:t>
      </w:r>
      <w:r w:rsidR="004C6434" w:rsidRPr="008E6B11">
        <w:rPr>
          <w:color w:val="000000" w:themeColor="text1"/>
        </w:rPr>
        <w:t xml:space="preserve"> </w:t>
      </w:r>
      <w:r w:rsidR="00AD736A" w:rsidRPr="008E6B11">
        <w:rPr>
          <w:color w:val="000000" w:themeColor="text1"/>
        </w:rPr>
        <w:t>/</w:t>
      </w:r>
      <w:r w:rsidR="004C6434" w:rsidRPr="008E6B11">
        <w:rPr>
          <w:color w:val="000000" w:themeColor="text1"/>
        </w:rPr>
        <w:t xml:space="preserve"> </w:t>
      </w:r>
      <w:r w:rsidR="00AD736A" w:rsidRPr="008E6B11">
        <w:rPr>
          <w:color w:val="000000" w:themeColor="text1"/>
        </w:rPr>
        <w:t>[(</w:t>
      </w:r>
      <w:proofErr w:type="gramStart"/>
      <w:r w:rsidR="00AD736A" w:rsidRPr="008E6B11">
        <w:rPr>
          <w:color w:val="000000" w:themeColor="text1"/>
        </w:rPr>
        <w:t xml:space="preserve">Rd </w:t>
      </w:r>
      <w:r w:rsidR="004C6434" w:rsidRPr="008E6B11">
        <w:rPr>
          <w:color w:val="000000" w:themeColor="text1"/>
        </w:rPr>
        <w:t xml:space="preserve"> </w:t>
      </w:r>
      <w:r w:rsidR="00AD736A" w:rsidRPr="008E6B11">
        <w:rPr>
          <w:color w:val="000000" w:themeColor="text1"/>
        </w:rPr>
        <w:t>+</w:t>
      </w:r>
      <w:proofErr w:type="gramEnd"/>
      <w:r w:rsidR="004C6434" w:rsidRPr="008E6B11">
        <w:rPr>
          <w:color w:val="000000" w:themeColor="text1"/>
        </w:rPr>
        <w:t xml:space="preserve">  </w:t>
      </w:r>
      <w:r w:rsidR="00AD736A" w:rsidRPr="008E6B11">
        <w:rPr>
          <w:color w:val="000000" w:themeColor="text1"/>
        </w:rPr>
        <w:t>Ld)/2]}/2 where d</w:t>
      </w:r>
      <w:r w:rsidR="00C568DE" w:rsidRPr="008E6B11">
        <w:rPr>
          <w:color w:val="000000" w:themeColor="text1"/>
        </w:rPr>
        <w:t xml:space="preserve"> = </w:t>
      </w:r>
      <w:r w:rsidR="00AD736A" w:rsidRPr="008E6B11">
        <w:rPr>
          <w:color w:val="000000" w:themeColor="text1"/>
        </w:rPr>
        <w:t xml:space="preserve">2D and 4D, and </w:t>
      </w:r>
      <w:r w:rsidRPr="008E6B11">
        <w:rPr>
          <w:color w:val="000000" w:themeColor="text1"/>
        </w:rPr>
        <w:t xml:space="preserve">is </w:t>
      </w:r>
      <w:r w:rsidR="00AD736A" w:rsidRPr="008E6B11">
        <w:rPr>
          <w:color w:val="000000" w:themeColor="text1"/>
        </w:rPr>
        <w:t>expressed as a percentage of trait size (Voracek, 2009; p.107).</w:t>
      </w:r>
    </w:p>
    <w:p w:rsidR="007D6CF2" w:rsidRPr="008E6B11" w:rsidRDefault="007D6CF2" w:rsidP="007D6CF2">
      <w:pPr>
        <w:pStyle w:val="ListParagraph"/>
        <w:numPr>
          <w:ilvl w:val="0"/>
          <w:numId w:val="7"/>
        </w:numPr>
        <w:spacing w:line="480" w:lineRule="auto"/>
        <w:ind w:left="284" w:firstLine="0"/>
        <w:rPr>
          <w:color w:val="000000" w:themeColor="text1"/>
        </w:rPr>
      </w:pPr>
      <w:r w:rsidRPr="008E6B11">
        <w:rPr>
          <w:color w:val="000000" w:themeColor="text1"/>
        </w:rPr>
        <w:t>Second copies were taken if the base and/or tip of any finger was not clearly defined.</w:t>
      </w:r>
    </w:p>
    <w:p w:rsidR="007D6CF2" w:rsidRPr="008E6B11" w:rsidRDefault="007D6CF2" w:rsidP="007D6CF2">
      <w:pPr>
        <w:pStyle w:val="ListParagraph"/>
        <w:numPr>
          <w:ilvl w:val="0"/>
          <w:numId w:val="7"/>
        </w:numPr>
        <w:spacing w:line="480" w:lineRule="auto"/>
        <w:ind w:left="284" w:firstLine="0"/>
        <w:rPr>
          <w:color w:val="000000" w:themeColor="text1"/>
        </w:rPr>
      </w:pPr>
      <w:r w:rsidRPr="008E6B11">
        <w:rPr>
          <w:color w:val="000000" w:themeColor="text1"/>
        </w:rPr>
        <w:t>Voracek (2009) for instance, sampled 1118 individuals comprising 491 men plus 627 women.</w:t>
      </w:r>
    </w:p>
    <w:p w:rsidR="00AD736A" w:rsidRPr="008E6B11" w:rsidRDefault="00AD736A" w:rsidP="001E5D8E">
      <w:pPr>
        <w:spacing w:line="480" w:lineRule="auto"/>
        <w:rPr>
          <w:color w:val="000000" w:themeColor="text1"/>
        </w:rPr>
        <w:sectPr w:rsidR="00AD736A" w:rsidRPr="008E6B11" w:rsidSect="00FC6CFD">
          <w:pgSz w:w="11906" w:h="16838" w:code="9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F61FD5" w:rsidRPr="008E6B11" w:rsidRDefault="00FA1DAB">
      <w:pPr>
        <w:spacing w:line="480" w:lineRule="auto"/>
        <w:ind w:left="284" w:hanging="284"/>
        <w:rPr>
          <w:b/>
          <w:color w:val="000000" w:themeColor="text1"/>
        </w:rPr>
      </w:pPr>
      <w:r w:rsidRPr="008E6B11">
        <w:rPr>
          <w:b/>
          <w:color w:val="000000" w:themeColor="text1"/>
        </w:rPr>
        <w:t xml:space="preserve">5. </w:t>
      </w:r>
      <w:r w:rsidR="000609F7" w:rsidRPr="008E6B11">
        <w:rPr>
          <w:b/>
          <w:color w:val="000000" w:themeColor="text1"/>
        </w:rPr>
        <w:t>References</w:t>
      </w:r>
    </w:p>
    <w:p w:rsidR="000609F7" w:rsidRPr="008E6B11" w:rsidRDefault="000609F7" w:rsidP="000609F7">
      <w:pPr>
        <w:pStyle w:val="NormalWeb"/>
        <w:spacing w:before="0" w:beforeAutospacing="0" w:after="0" w:afterAutospacing="0"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 xml:space="preserve">Aarnio, K., &amp; Lindeman, M. (2005). Paranormal beliefs, education, and thinking styles. </w:t>
      </w:r>
      <w:r w:rsidRPr="008E6B11">
        <w:rPr>
          <w:i/>
          <w:iCs/>
          <w:color w:val="000000" w:themeColor="text1"/>
        </w:rPr>
        <w:t>Personality &amp; Individual Differences</w:t>
      </w:r>
      <w:r w:rsidRPr="008E6B11">
        <w:rPr>
          <w:color w:val="000000" w:themeColor="text1"/>
        </w:rPr>
        <w:t xml:space="preserve">, </w:t>
      </w:r>
      <w:r w:rsidRPr="008E6B11">
        <w:rPr>
          <w:b/>
          <w:iCs/>
          <w:color w:val="000000" w:themeColor="text1"/>
        </w:rPr>
        <w:t>39</w:t>
      </w:r>
      <w:r w:rsidRPr="008E6B11">
        <w:rPr>
          <w:color w:val="000000" w:themeColor="text1"/>
        </w:rPr>
        <w:t xml:space="preserve">(7), 1227-1236. </w:t>
      </w:r>
      <w:proofErr w:type="gramStart"/>
      <w:r w:rsidRPr="008E6B11">
        <w:rPr>
          <w:color w:val="000000" w:themeColor="text1"/>
        </w:rPr>
        <w:t>doi</w:t>
      </w:r>
      <w:proofErr w:type="gramEnd"/>
      <w:r w:rsidRPr="008E6B11">
        <w:rPr>
          <w:color w:val="000000" w:themeColor="text1"/>
        </w:rPr>
        <w:t xml:space="preserve">: 10.1016/j.paid.2005.04.009. </w:t>
      </w:r>
    </w:p>
    <w:p w:rsidR="000609F7" w:rsidRPr="008E6B11" w:rsidRDefault="000609F7" w:rsidP="000609F7">
      <w:pPr>
        <w:pStyle w:val="NormalWeb"/>
        <w:spacing w:before="0" w:beforeAutospacing="0" w:after="0" w:afterAutospacing="0"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>Bosch-Domènech, A.</w:t>
      </w:r>
      <w:r w:rsidR="00D57D63" w:rsidRPr="008E6B11">
        <w:rPr>
          <w:color w:val="000000" w:themeColor="text1"/>
        </w:rPr>
        <w:t xml:space="preserve">, Brañas-Garza, P., &amp; </w:t>
      </w:r>
      <w:proofErr w:type="spellStart"/>
      <w:r w:rsidR="00D57D63" w:rsidRPr="008E6B11">
        <w:rPr>
          <w:color w:val="000000" w:themeColor="text1"/>
        </w:rPr>
        <w:t>Espín</w:t>
      </w:r>
      <w:proofErr w:type="spellEnd"/>
      <w:r w:rsidR="00D57D63" w:rsidRPr="008E6B11">
        <w:rPr>
          <w:color w:val="000000" w:themeColor="text1"/>
        </w:rPr>
        <w:t>, A.</w:t>
      </w:r>
      <w:r w:rsidRPr="008E6B11">
        <w:rPr>
          <w:color w:val="000000" w:themeColor="text1"/>
        </w:rPr>
        <w:t xml:space="preserve">M. (2014). Can exposure to prenatal sex hormones (2D:4D) predict cognitive reflection? </w:t>
      </w:r>
      <w:r w:rsidRPr="008E6B11">
        <w:rPr>
          <w:i/>
          <w:iCs/>
          <w:color w:val="000000" w:themeColor="text1"/>
        </w:rPr>
        <w:t>Psychoneuroendocrinology</w:t>
      </w:r>
      <w:r w:rsidRPr="008E6B11">
        <w:rPr>
          <w:color w:val="000000" w:themeColor="text1"/>
        </w:rPr>
        <w:t xml:space="preserve">, </w:t>
      </w:r>
      <w:r w:rsidRPr="008E6B11">
        <w:rPr>
          <w:i/>
          <w:iCs/>
          <w:color w:val="000000" w:themeColor="text1"/>
        </w:rPr>
        <w:t>43</w:t>
      </w:r>
      <w:r w:rsidR="00626E2B" w:rsidRPr="008E6B11">
        <w:rPr>
          <w:i/>
          <w:iCs/>
          <w:color w:val="000000" w:themeColor="text1"/>
        </w:rPr>
        <w:t xml:space="preserve">, </w:t>
      </w:r>
      <w:r w:rsidRPr="008E6B11">
        <w:rPr>
          <w:color w:val="000000" w:themeColor="text1"/>
        </w:rPr>
        <w:t>1-10. doi:10.1016/j.psyneuen.2014.01.023.</w:t>
      </w:r>
    </w:p>
    <w:p w:rsidR="000609F7" w:rsidRPr="008E6B11" w:rsidRDefault="00D57D63" w:rsidP="000609F7">
      <w:pPr>
        <w:spacing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>Caswell, N. &amp; Manning, J.</w:t>
      </w:r>
      <w:r w:rsidR="000609F7" w:rsidRPr="008E6B11">
        <w:rPr>
          <w:color w:val="000000" w:themeColor="text1"/>
        </w:rPr>
        <w:t xml:space="preserve">T. (2009). A comparison of finger 2D:4D by self-report direct measurement and experimenter measurement from photocopy: Methodological issues. </w:t>
      </w:r>
      <w:r w:rsidR="000609F7" w:rsidRPr="008E6B11">
        <w:rPr>
          <w:i/>
          <w:color w:val="000000" w:themeColor="text1"/>
        </w:rPr>
        <w:t xml:space="preserve">Archives of Sexual Behavior, </w:t>
      </w:r>
      <w:r w:rsidR="000609F7" w:rsidRPr="008E6B11">
        <w:rPr>
          <w:b/>
          <w:color w:val="000000" w:themeColor="text1"/>
        </w:rPr>
        <w:t>38</w:t>
      </w:r>
      <w:r w:rsidR="000609F7" w:rsidRPr="008E6B11">
        <w:rPr>
          <w:color w:val="000000" w:themeColor="text1"/>
        </w:rPr>
        <w:t>(1)</w:t>
      </w:r>
      <w:r w:rsidR="000609F7" w:rsidRPr="008E6B11">
        <w:rPr>
          <w:i/>
          <w:color w:val="000000" w:themeColor="text1"/>
        </w:rPr>
        <w:t>,</w:t>
      </w:r>
      <w:r w:rsidR="000609F7" w:rsidRPr="008E6B11">
        <w:rPr>
          <w:color w:val="000000" w:themeColor="text1"/>
        </w:rPr>
        <w:t xml:space="preserve"> 143-148. </w:t>
      </w:r>
      <w:proofErr w:type="gramStart"/>
      <w:r w:rsidR="000609F7" w:rsidRPr="008E6B11">
        <w:rPr>
          <w:color w:val="000000" w:themeColor="text1"/>
        </w:rPr>
        <w:t>doi</w:t>
      </w:r>
      <w:proofErr w:type="gramEnd"/>
      <w:r w:rsidR="000609F7" w:rsidRPr="008E6B11">
        <w:rPr>
          <w:color w:val="000000" w:themeColor="text1"/>
        </w:rPr>
        <w:t xml:space="preserve">: 10.1007/s10508-007-9202-3. </w:t>
      </w:r>
    </w:p>
    <w:p w:rsidR="000609F7" w:rsidRPr="008E6B11" w:rsidRDefault="00D57D63" w:rsidP="000609F7">
      <w:pPr>
        <w:spacing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>Emmons, C.</w:t>
      </w:r>
      <w:r w:rsidR="000609F7" w:rsidRPr="008E6B11">
        <w:rPr>
          <w:color w:val="000000" w:themeColor="text1"/>
        </w:rPr>
        <w:t xml:space="preserve">F. &amp; Sobal, J. (1981). Paranormal beliefs: Testing the marginality hypothesis. </w:t>
      </w:r>
      <w:r w:rsidR="000609F7" w:rsidRPr="008E6B11">
        <w:rPr>
          <w:i/>
          <w:color w:val="000000" w:themeColor="text1"/>
        </w:rPr>
        <w:t xml:space="preserve">Sociological Focus, </w:t>
      </w:r>
      <w:r w:rsidR="000609F7" w:rsidRPr="008E6B11">
        <w:rPr>
          <w:b/>
          <w:color w:val="000000" w:themeColor="text1"/>
        </w:rPr>
        <w:t>14</w:t>
      </w:r>
      <w:r w:rsidR="000609F7" w:rsidRPr="008E6B11">
        <w:rPr>
          <w:color w:val="000000" w:themeColor="text1"/>
        </w:rPr>
        <w:t xml:space="preserve">(1), 49-56. </w:t>
      </w:r>
      <w:proofErr w:type="gramStart"/>
      <w:r w:rsidR="000609F7" w:rsidRPr="008E6B11">
        <w:rPr>
          <w:rStyle w:val="Strong"/>
          <w:b w:val="0"/>
          <w:color w:val="000000" w:themeColor="text1"/>
        </w:rPr>
        <w:t>doi</w:t>
      </w:r>
      <w:proofErr w:type="gramEnd"/>
      <w:r w:rsidR="000609F7" w:rsidRPr="008E6B11">
        <w:rPr>
          <w:rStyle w:val="Strong"/>
          <w:b w:val="0"/>
          <w:color w:val="000000" w:themeColor="text1"/>
        </w:rPr>
        <w:t>:</w:t>
      </w:r>
      <w:r w:rsidR="000609F7" w:rsidRPr="008E6B11">
        <w:rPr>
          <w:rStyle w:val="Strong"/>
          <w:color w:val="000000" w:themeColor="text1"/>
        </w:rPr>
        <w:t xml:space="preserve"> </w:t>
      </w:r>
      <w:r w:rsidR="000609F7" w:rsidRPr="008E6B11">
        <w:rPr>
          <w:color w:val="000000" w:themeColor="text1"/>
        </w:rPr>
        <w:t>10. 1080/00380237.1981.10570381.</w:t>
      </w:r>
    </w:p>
    <w:p w:rsidR="003515CA" w:rsidRPr="008E6B11" w:rsidRDefault="003515CA" w:rsidP="003515CA">
      <w:pPr>
        <w:autoSpaceDE w:val="0"/>
        <w:autoSpaceDN w:val="0"/>
        <w:adjustRightInd w:val="0"/>
        <w:spacing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 xml:space="preserve">Faul, F. (2008). </w:t>
      </w:r>
      <w:r w:rsidRPr="008E6B11">
        <w:rPr>
          <w:i/>
          <w:color w:val="000000" w:themeColor="text1"/>
        </w:rPr>
        <w:t>G*Power Version 3.0.10.</w:t>
      </w:r>
      <w:r w:rsidRPr="008E6B11">
        <w:rPr>
          <w:color w:val="000000" w:themeColor="text1"/>
        </w:rPr>
        <w:t xml:space="preserve"> University of Kiel, Germany. Available online via </w:t>
      </w:r>
      <w:hyperlink r:id="rId12" w:history="1">
        <w:r w:rsidRPr="008E6B11">
          <w:rPr>
            <w:rStyle w:val="Hyperlink"/>
            <w:color w:val="000000" w:themeColor="text1"/>
            <w:u w:val="none"/>
          </w:rPr>
          <w:t>http://download.cnet.com/G-Power/3000-2054_4-10647044.html</w:t>
        </w:r>
      </w:hyperlink>
      <w:r w:rsidRPr="008E6B11">
        <w:rPr>
          <w:color w:val="000000" w:themeColor="text1"/>
        </w:rPr>
        <w:t xml:space="preserve">. </w:t>
      </w:r>
      <w:r w:rsidR="0068226F" w:rsidRPr="008E6B11">
        <w:rPr>
          <w:color w:val="000000" w:themeColor="text1"/>
        </w:rPr>
        <w:t>(</w:t>
      </w:r>
      <w:r w:rsidRPr="008E6B11">
        <w:rPr>
          <w:color w:val="000000" w:themeColor="text1"/>
        </w:rPr>
        <w:t>Accessed 06 July 2016</w:t>
      </w:r>
      <w:r w:rsidR="0068226F" w:rsidRPr="008E6B11">
        <w:rPr>
          <w:color w:val="000000" w:themeColor="text1"/>
        </w:rPr>
        <w:t>)</w:t>
      </w:r>
      <w:r w:rsidRPr="008E6B11">
        <w:rPr>
          <w:color w:val="000000" w:themeColor="text1"/>
        </w:rPr>
        <w:t>.</w:t>
      </w:r>
    </w:p>
    <w:p w:rsidR="00232141" w:rsidRPr="008E6B11" w:rsidRDefault="00232141" w:rsidP="000609F7">
      <w:pPr>
        <w:pStyle w:val="NormalWeb"/>
        <w:spacing w:before="0" w:beforeAutospacing="0" w:after="0" w:afterAutospacing="0"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 xml:space="preserve">Field, A. (2013). </w:t>
      </w:r>
      <w:r w:rsidRPr="008E6B11">
        <w:rPr>
          <w:i/>
          <w:color w:val="000000" w:themeColor="text1"/>
        </w:rPr>
        <w:t xml:space="preserve">Discovering </w:t>
      </w:r>
      <w:r w:rsidR="009B5A9B" w:rsidRPr="008E6B11">
        <w:rPr>
          <w:i/>
          <w:color w:val="000000" w:themeColor="text1"/>
        </w:rPr>
        <w:t>s</w:t>
      </w:r>
      <w:r w:rsidRPr="008E6B11">
        <w:rPr>
          <w:i/>
          <w:color w:val="000000" w:themeColor="text1"/>
        </w:rPr>
        <w:t xml:space="preserve">tatistics </w:t>
      </w:r>
      <w:r w:rsidR="009B5A9B" w:rsidRPr="008E6B11">
        <w:rPr>
          <w:i/>
          <w:color w:val="000000" w:themeColor="text1"/>
        </w:rPr>
        <w:t>u</w:t>
      </w:r>
      <w:r w:rsidRPr="008E6B11">
        <w:rPr>
          <w:i/>
          <w:color w:val="000000" w:themeColor="text1"/>
        </w:rPr>
        <w:t xml:space="preserve">sing IBM SPSS </w:t>
      </w:r>
      <w:r w:rsidR="009B5A9B" w:rsidRPr="008E6B11">
        <w:rPr>
          <w:i/>
          <w:color w:val="000000" w:themeColor="text1"/>
        </w:rPr>
        <w:t>statistics</w:t>
      </w:r>
      <w:r w:rsidRPr="008E6B11">
        <w:rPr>
          <w:i/>
          <w:color w:val="000000" w:themeColor="text1"/>
        </w:rPr>
        <w:t xml:space="preserve"> (4th </w:t>
      </w:r>
      <w:proofErr w:type="gramStart"/>
      <w:r w:rsidRPr="008E6B11">
        <w:rPr>
          <w:i/>
          <w:color w:val="000000" w:themeColor="text1"/>
        </w:rPr>
        <w:t>ed</w:t>
      </w:r>
      <w:proofErr w:type="gramEnd"/>
      <w:r w:rsidR="0068226F" w:rsidRPr="008E6B11">
        <w:rPr>
          <w:i/>
          <w:color w:val="000000" w:themeColor="text1"/>
        </w:rPr>
        <w:t>.</w:t>
      </w:r>
      <w:r w:rsidRPr="008E6B11">
        <w:rPr>
          <w:i/>
          <w:color w:val="000000" w:themeColor="text1"/>
        </w:rPr>
        <w:t>).</w:t>
      </w:r>
      <w:r w:rsidRPr="008E6B11">
        <w:rPr>
          <w:color w:val="000000" w:themeColor="text1"/>
        </w:rPr>
        <w:t xml:space="preserve"> London: Sage</w:t>
      </w:r>
    </w:p>
    <w:p w:rsidR="000609F7" w:rsidRPr="008E6B11" w:rsidRDefault="00D57D63" w:rsidP="000609F7">
      <w:pPr>
        <w:pStyle w:val="NormalWeb"/>
        <w:spacing w:before="0" w:beforeAutospacing="0" w:after="0" w:afterAutospacing="0"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>Fritz, C.O., Morris, P.E., &amp; Richler, J.</w:t>
      </w:r>
      <w:r w:rsidR="000609F7" w:rsidRPr="008E6B11">
        <w:rPr>
          <w:color w:val="000000" w:themeColor="text1"/>
        </w:rPr>
        <w:t xml:space="preserve">J. (2012). Effect size estimates: Current use, calculations, and interpretation. </w:t>
      </w:r>
      <w:r w:rsidR="000609F7" w:rsidRPr="008E6B11">
        <w:rPr>
          <w:i/>
          <w:iCs/>
          <w:color w:val="000000" w:themeColor="text1"/>
        </w:rPr>
        <w:t>Journal of Experimental Psychology: General</w:t>
      </w:r>
      <w:r w:rsidR="000609F7" w:rsidRPr="008E6B11">
        <w:rPr>
          <w:color w:val="000000" w:themeColor="text1"/>
        </w:rPr>
        <w:t xml:space="preserve">, </w:t>
      </w:r>
      <w:r w:rsidR="000609F7" w:rsidRPr="008E6B11">
        <w:rPr>
          <w:b/>
          <w:iCs/>
          <w:color w:val="000000" w:themeColor="text1"/>
        </w:rPr>
        <w:t>141</w:t>
      </w:r>
      <w:r w:rsidR="000609F7" w:rsidRPr="008E6B11">
        <w:rPr>
          <w:color w:val="000000" w:themeColor="text1"/>
        </w:rPr>
        <w:t xml:space="preserve">(1), 2-18. </w:t>
      </w:r>
      <w:proofErr w:type="gramStart"/>
      <w:r w:rsidR="000609F7" w:rsidRPr="008E6B11">
        <w:rPr>
          <w:color w:val="000000" w:themeColor="text1"/>
        </w:rPr>
        <w:t>doi:</w:t>
      </w:r>
      <w:proofErr w:type="gramEnd"/>
      <w:r w:rsidR="000609F7" w:rsidRPr="008E6B11">
        <w:rPr>
          <w:color w:val="000000" w:themeColor="text1"/>
        </w:rPr>
        <w:t>10.1037/a0024338.</w:t>
      </w:r>
    </w:p>
    <w:p w:rsidR="000609F7" w:rsidRPr="008E6B11" w:rsidRDefault="00D57D63" w:rsidP="000609F7">
      <w:pPr>
        <w:spacing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 xml:space="preserve">Irwin, H.J. </w:t>
      </w:r>
      <w:r w:rsidR="000609F7" w:rsidRPr="008E6B11">
        <w:rPr>
          <w:color w:val="000000" w:themeColor="text1"/>
        </w:rPr>
        <w:t xml:space="preserve">(2009). </w:t>
      </w:r>
      <w:r w:rsidR="000609F7" w:rsidRPr="008E6B11">
        <w:rPr>
          <w:i/>
          <w:color w:val="000000" w:themeColor="text1"/>
        </w:rPr>
        <w:t xml:space="preserve">The psychology of paranormal belief: A researcher’s handbook. </w:t>
      </w:r>
      <w:r w:rsidR="000609F7" w:rsidRPr="008E6B11">
        <w:rPr>
          <w:color w:val="000000" w:themeColor="text1"/>
        </w:rPr>
        <w:t xml:space="preserve">Hatfield, Hertfordshire, UK: University of Hertfordshire Press. </w:t>
      </w:r>
    </w:p>
    <w:p w:rsidR="000609F7" w:rsidRPr="008E6B11" w:rsidRDefault="00D57D63" w:rsidP="000609F7">
      <w:pPr>
        <w:spacing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>Irwin, H.</w:t>
      </w:r>
      <w:r w:rsidR="000609F7" w:rsidRPr="008E6B11">
        <w:rPr>
          <w:color w:val="000000" w:themeColor="text1"/>
        </w:rPr>
        <w:t>J.</w:t>
      </w:r>
      <w:r w:rsidR="00626E2B" w:rsidRPr="008E6B11">
        <w:rPr>
          <w:color w:val="000000" w:themeColor="text1"/>
        </w:rPr>
        <w:t>,</w:t>
      </w:r>
      <w:r w:rsidR="000609F7" w:rsidRPr="008E6B11">
        <w:rPr>
          <w:color w:val="000000" w:themeColor="text1"/>
        </w:rPr>
        <w:t xml:space="preserve"> &amp; Watt, C. A. (2007). </w:t>
      </w:r>
      <w:r w:rsidR="000609F7" w:rsidRPr="008E6B11">
        <w:rPr>
          <w:i/>
          <w:color w:val="000000" w:themeColor="text1"/>
        </w:rPr>
        <w:t xml:space="preserve">An </w:t>
      </w:r>
      <w:r w:rsidR="00B523EC" w:rsidRPr="008E6B11">
        <w:rPr>
          <w:i/>
          <w:color w:val="000000" w:themeColor="text1"/>
        </w:rPr>
        <w:t>i</w:t>
      </w:r>
      <w:r w:rsidR="000609F7" w:rsidRPr="008E6B11">
        <w:rPr>
          <w:i/>
          <w:color w:val="000000" w:themeColor="text1"/>
        </w:rPr>
        <w:t>ntroduction to parapsychology</w:t>
      </w:r>
      <w:r w:rsidR="000609F7" w:rsidRPr="008E6B11">
        <w:rPr>
          <w:color w:val="000000" w:themeColor="text1"/>
        </w:rPr>
        <w:t xml:space="preserve"> (5</w:t>
      </w:r>
      <w:r w:rsidR="00E12A84" w:rsidRPr="008E6B11">
        <w:rPr>
          <w:color w:val="000000" w:themeColor="text1"/>
        </w:rPr>
        <w:t>th</w:t>
      </w:r>
      <w:r w:rsidR="000609F7" w:rsidRPr="008E6B11">
        <w:rPr>
          <w:color w:val="000000" w:themeColor="text1"/>
        </w:rPr>
        <w:t xml:space="preserve"> </w:t>
      </w:r>
      <w:proofErr w:type="gramStart"/>
      <w:r w:rsidR="000609F7" w:rsidRPr="008E6B11">
        <w:rPr>
          <w:color w:val="000000" w:themeColor="text1"/>
        </w:rPr>
        <w:t>ed</w:t>
      </w:r>
      <w:proofErr w:type="gramEnd"/>
      <w:r w:rsidR="000609F7" w:rsidRPr="008E6B11">
        <w:rPr>
          <w:color w:val="000000" w:themeColor="text1"/>
        </w:rPr>
        <w:t xml:space="preserve">.). Jefferson, NC, US: McFarland. </w:t>
      </w:r>
    </w:p>
    <w:p w:rsidR="000609F7" w:rsidRPr="008E6B11" w:rsidRDefault="00D57D63" w:rsidP="000609F7">
      <w:pPr>
        <w:spacing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>Manning, J.</w:t>
      </w:r>
      <w:r w:rsidR="000609F7" w:rsidRPr="008E6B11">
        <w:rPr>
          <w:color w:val="000000" w:themeColor="text1"/>
        </w:rPr>
        <w:t xml:space="preserve">T. (2002). </w:t>
      </w:r>
      <w:r w:rsidR="000609F7" w:rsidRPr="008E6B11">
        <w:rPr>
          <w:i/>
          <w:color w:val="000000" w:themeColor="text1"/>
        </w:rPr>
        <w:t>Digit ratio: A pointer to fertility, behaviour &amp; health</w:t>
      </w:r>
      <w:r w:rsidR="000609F7" w:rsidRPr="008E6B11">
        <w:rPr>
          <w:color w:val="000000" w:themeColor="text1"/>
        </w:rPr>
        <w:t xml:space="preserve">. New Brunswick, NJ, US: Rutgers University Press. </w:t>
      </w:r>
    </w:p>
    <w:p w:rsidR="000609F7" w:rsidRPr="008E6B11" w:rsidRDefault="00D57D63" w:rsidP="008B6D56">
      <w:pPr>
        <w:spacing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 xml:space="preserve">Manning, J.T. </w:t>
      </w:r>
      <w:r w:rsidR="000609F7" w:rsidRPr="008E6B11">
        <w:rPr>
          <w:color w:val="000000" w:themeColor="text1"/>
        </w:rPr>
        <w:t xml:space="preserve">(2008). </w:t>
      </w:r>
      <w:r w:rsidR="000609F7" w:rsidRPr="008E6B11">
        <w:rPr>
          <w:i/>
          <w:color w:val="000000" w:themeColor="text1"/>
        </w:rPr>
        <w:t>The finger ratio</w:t>
      </w:r>
      <w:r w:rsidR="000609F7" w:rsidRPr="008E6B11">
        <w:rPr>
          <w:color w:val="000000" w:themeColor="text1"/>
        </w:rPr>
        <w:t xml:space="preserve">. London, UK: Faber and Faber. </w:t>
      </w:r>
    </w:p>
    <w:p w:rsidR="008B6D56" w:rsidRPr="008E6B11" w:rsidRDefault="00D57D63" w:rsidP="008B6D56">
      <w:pPr>
        <w:pStyle w:val="NormalWeb"/>
        <w:spacing w:before="0" w:beforeAutospacing="0" w:after="0" w:afterAutospacing="0"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>Manning, J.</w:t>
      </w:r>
      <w:r w:rsidR="008B6D56" w:rsidRPr="008E6B11">
        <w:rPr>
          <w:color w:val="000000" w:themeColor="text1"/>
        </w:rPr>
        <w:t xml:space="preserve">T., Fink, B., Neave, N., &amp; Caswell, N. (2005). Photocopies </w:t>
      </w:r>
      <w:r w:rsidR="003049D5" w:rsidRPr="008E6B11">
        <w:rPr>
          <w:color w:val="000000" w:themeColor="text1"/>
        </w:rPr>
        <w:t xml:space="preserve">yield lower digit ratios </w:t>
      </w:r>
      <w:r w:rsidR="008B6D56" w:rsidRPr="008E6B11">
        <w:rPr>
          <w:color w:val="000000" w:themeColor="text1"/>
        </w:rPr>
        <w:t xml:space="preserve">(2D:4D) </w:t>
      </w:r>
      <w:r w:rsidR="003049D5" w:rsidRPr="008E6B11">
        <w:rPr>
          <w:color w:val="000000" w:themeColor="text1"/>
        </w:rPr>
        <w:t>than direct finger measurements</w:t>
      </w:r>
      <w:r w:rsidR="008B6D56" w:rsidRPr="008E6B11">
        <w:rPr>
          <w:color w:val="000000" w:themeColor="text1"/>
        </w:rPr>
        <w:t xml:space="preserve">. </w:t>
      </w:r>
      <w:r w:rsidR="008B6D56" w:rsidRPr="008E6B11">
        <w:rPr>
          <w:i/>
          <w:iCs/>
          <w:color w:val="000000" w:themeColor="text1"/>
        </w:rPr>
        <w:t>Archives of Sexual Behavior</w:t>
      </w:r>
      <w:r w:rsidR="008B6D56" w:rsidRPr="008E6B11">
        <w:rPr>
          <w:color w:val="000000" w:themeColor="text1"/>
        </w:rPr>
        <w:t xml:space="preserve">, </w:t>
      </w:r>
      <w:r w:rsidR="008B6D56" w:rsidRPr="008E6B11">
        <w:rPr>
          <w:b/>
          <w:iCs/>
          <w:color w:val="000000" w:themeColor="text1"/>
        </w:rPr>
        <w:t>34</w:t>
      </w:r>
      <w:r w:rsidR="008B6D56" w:rsidRPr="008E6B11">
        <w:rPr>
          <w:color w:val="000000" w:themeColor="text1"/>
        </w:rPr>
        <w:t xml:space="preserve">(3), 329-333. </w:t>
      </w:r>
      <w:proofErr w:type="gramStart"/>
      <w:r w:rsidR="008B6D56" w:rsidRPr="008E6B11">
        <w:rPr>
          <w:color w:val="000000" w:themeColor="text1"/>
        </w:rPr>
        <w:t>doi:</w:t>
      </w:r>
      <w:proofErr w:type="gramEnd"/>
      <w:r w:rsidR="008B6D56" w:rsidRPr="008E6B11">
        <w:rPr>
          <w:color w:val="000000" w:themeColor="text1"/>
        </w:rPr>
        <w:t>10.1007/s10508-005-3121-y</w:t>
      </w:r>
      <w:r w:rsidR="005E33B6" w:rsidRPr="008E6B11">
        <w:rPr>
          <w:color w:val="000000" w:themeColor="text1"/>
        </w:rPr>
        <w:t>.</w:t>
      </w:r>
    </w:p>
    <w:p w:rsidR="00D716E2" w:rsidRPr="008E6B11" w:rsidRDefault="00D716E2" w:rsidP="008B6D56">
      <w:pPr>
        <w:autoSpaceDE w:val="0"/>
        <w:autoSpaceDN w:val="0"/>
        <w:adjustRightInd w:val="0"/>
        <w:spacing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 xml:space="preserve">Ribeiro, E. Neave, N., Morais, R.N. &amp; Manning, J.T. (2016). Direct versus indirect measurement of digit ratio (2D:4D): A critical review of the literature and new data. </w:t>
      </w:r>
      <w:r w:rsidRPr="008E6B11">
        <w:rPr>
          <w:i/>
          <w:color w:val="000000" w:themeColor="text1"/>
        </w:rPr>
        <w:t>Evolutionary Psychology,</w:t>
      </w:r>
      <w:r w:rsidR="00C2511C" w:rsidRPr="008E6B11">
        <w:rPr>
          <w:i/>
          <w:color w:val="000000" w:themeColor="text1"/>
        </w:rPr>
        <w:t xml:space="preserve"> </w:t>
      </w:r>
      <w:r w:rsidR="00C2511C" w:rsidRPr="008E6B11">
        <w:rPr>
          <w:color w:val="000000" w:themeColor="text1"/>
        </w:rPr>
        <w:t>J</w:t>
      </w:r>
      <w:r w:rsidRPr="008E6B11">
        <w:rPr>
          <w:color w:val="000000" w:themeColor="text1"/>
        </w:rPr>
        <w:t>an-Mar 2016</w:t>
      </w:r>
      <w:r w:rsidR="00C2511C" w:rsidRPr="008E6B11">
        <w:rPr>
          <w:color w:val="000000" w:themeColor="text1"/>
        </w:rPr>
        <w:t>,</w:t>
      </w:r>
      <w:r w:rsidRPr="008E6B11">
        <w:rPr>
          <w:color w:val="000000" w:themeColor="text1"/>
        </w:rPr>
        <w:t xml:space="preserve"> 1–8. </w:t>
      </w:r>
      <w:proofErr w:type="gramStart"/>
      <w:r w:rsidRPr="008E6B11">
        <w:rPr>
          <w:color w:val="000000" w:themeColor="text1"/>
        </w:rPr>
        <w:t>doi</w:t>
      </w:r>
      <w:proofErr w:type="gramEnd"/>
      <w:r w:rsidRPr="008E6B11">
        <w:rPr>
          <w:color w:val="000000" w:themeColor="text1"/>
        </w:rPr>
        <w:t>: 10.1177/1474704916632536</w:t>
      </w:r>
      <w:r w:rsidR="005E33B6" w:rsidRPr="008E6B11">
        <w:rPr>
          <w:color w:val="000000" w:themeColor="text1"/>
        </w:rPr>
        <w:t>.</w:t>
      </w:r>
    </w:p>
    <w:p w:rsidR="000609F7" w:rsidRPr="008E6B11" w:rsidRDefault="00D57D63" w:rsidP="008B6D56">
      <w:pPr>
        <w:pStyle w:val="NormalWeb"/>
        <w:spacing w:before="0" w:beforeAutospacing="0" w:after="0" w:afterAutospacing="0"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>Simmonds-Moore, C.</w:t>
      </w:r>
      <w:r w:rsidR="000609F7" w:rsidRPr="008E6B11">
        <w:rPr>
          <w:color w:val="000000" w:themeColor="text1"/>
        </w:rPr>
        <w:t>A., &amp;</w:t>
      </w:r>
      <w:r w:rsidRPr="008E6B11">
        <w:rPr>
          <w:color w:val="000000" w:themeColor="text1"/>
        </w:rPr>
        <w:t xml:space="preserve"> Moore, S.</w:t>
      </w:r>
      <w:r w:rsidR="000609F7" w:rsidRPr="008E6B11">
        <w:rPr>
          <w:color w:val="000000" w:themeColor="text1"/>
        </w:rPr>
        <w:t xml:space="preserve">L. (2009). Exploring how gender role and boundary thinness relate to paranormal experiences, beliefs and performance on a forced-choice clairvoyance task. </w:t>
      </w:r>
      <w:r w:rsidR="000609F7" w:rsidRPr="008E6B11">
        <w:rPr>
          <w:i/>
          <w:iCs/>
          <w:color w:val="000000" w:themeColor="text1"/>
        </w:rPr>
        <w:t>Journal of the Society for Psychical Research</w:t>
      </w:r>
      <w:r w:rsidR="000609F7" w:rsidRPr="008E6B11">
        <w:rPr>
          <w:color w:val="000000" w:themeColor="text1"/>
        </w:rPr>
        <w:t xml:space="preserve">, </w:t>
      </w:r>
      <w:r w:rsidR="000609F7" w:rsidRPr="008E6B11">
        <w:rPr>
          <w:b/>
          <w:iCs/>
          <w:color w:val="000000" w:themeColor="text1"/>
        </w:rPr>
        <w:t>73</w:t>
      </w:r>
      <w:r w:rsidR="000609F7" w:rsidRPr="008E6B11">
        <w:rPr>
          <w:color w:val="000000" w:themeColor="text1"/>
        </w:rPr>
        <w:t xml:space="preserve">(896[3]), 129-149. </w:t>
      </w:r>
    </w:p>
    <w:p w:rsidR="000609F7" w:rsidRPr="008E6B11" w:rsidRDefault="00D57D63" w:rsidP="000609F7">
      <w:pPr>
        <w:spacing w:line="480" w:lineRule="auto"/>
        <w:ind w:left="284" w:hanging="284"/>
        <w:rPr>
          <w:color w:val="000000" w:themeColor="text1"/>
        </w:rPr>
      </w:pPr>
      <w:proofErr w:type="spellStart"/>
      <w:r w:rsidRPr="008E6B11">
        <w:rPr>
          <w:color w:val="000000" w:themeColor="text1"/>
        </w:rPr>
        <w:t>Thalbourne</w:t>
      </w:r>
      <w:proofErr w:type="spellEnd"/>
      <w:r w:rsidRPr="008E6B11">
        <w:rPr>
          <w:color w:val="000000" w:themeColor="text1"/>
        </w:rPr>
        <w:t>, M.</w:t>
      </w:r>
      <w:r w:rsidR="000609F7" w:rsidRPr="008E6B11">
        <w:rPr>
          <w:color w:val="000000" w:themeColor="text1"/>
        </w:rPr>
        <w:t xml:space="preserve">A. (2010). The Australian Sheep-Goat Scale: Development and empirical findings. </w:t>
      </w:r>
      <w:r w:rsidR="000609F7" w:rsidRPr="008E6B11">
        <w:rPr>
          <w:i/>
          <w:color w:val="000000" w:themeColor="text1"/>
        </w:rPr>
        <w:t xml:space="preserve">Australian Journal of Parapsychology, </w:t>
      </w:r>
      <w:r w:rsidR="000609F7" w:rsidRPr="008E6B11">
        <w:rPr>
          <w:b/>
          <w:color w:val="000000" w:themeColor="text1"/>
        </w:rPr>
        <w:t>10</w:t>
      </w:r>
      <w:r w:rsidR="000609F7" w:rsidRPr="008E6B11">
        <w:rPr>
          <w:i/>
          <w:color w:val="000000" w:themeColor="text1"/>
        </w:rPr>
        <w:t>(1),</w:t>
      </w:r>
      <w:r w:rsidR="000609F7" w:rsidRPr="008E6B11">
        <w:rPr>
          <w:color w:val="000000" w:themeColor="text1"/>
        </w:rPr>
        <w:t xml:space="preserve"> 5-39. </w:t>
      </w:r>
    </w:p>
    <w:p w:rsidR="000609F7" w:rsidRPr="008E6B11" w:rsidRDefault="00D57D63" w:rsidP="000609F7">
      <w:pPr>
        <w:spacing w:line="480" w:lineRule="auto"/>
        <w:ind w:left="284" w:hanging="284"/>
        <w:rPr>
          <w:color w:val="000000" w:themeColor="text1"/>
        </w:rPr>
      </w:pPr>
      <w:proofErr w:type="spellStart"/>
      <w:r w:rsidRPr="008E6B11">
        <w:rPr>
          <w:color w:val="000000" w:themeColor="text1"/>
        </w:rPr>
        <w:t>Thalbourne</w:t>
      </w:r>
      <w:proofErr w:type="spellEnd"/>
      <w:r w:rsidRPr="008E6B11">
        <w:rPr>
          <w:color w:val="000000" w:themeColor="text1"/>
        </w:rPr>
        <w:t xml:space="preserve">, M.A. &amp; </w:t>
      </w:r>
      <w:proofErr w:type="spellStart"/>
      <w:r w:rsidRPr="008E6B11">
        <w:rPr>
          <w:color w:val="000000" w:themeColor="text1"/>
        </w:rPr>
        <w:t>Delin</w:t>
      </w:r>
      <w:proofErr w:type="spellEnd"/>
      <w:r w:rsidRPr="008E6B11">
        <w:rPr>
          <w:color w:val="000000" w:themeColor="text1"/>
        </w:rPr>
        <w:t>. P.</w:t>
      </w:r>
      <w:r w:rsidR="000609F7" w:rsidRPr="008E6B11">
        <w:rPr>
          <w:color w:val="000000" w:themeColor="text1"/>
        </w:rPr>
        <w:t xml:space="preserve">S (1993). A new instrument for measuring the sheep-goat variable: Its psychometric properties and factor structure. </w:t>
      </w:r>
      <w:r w:rsidR="000609F7" w:rsidRPr="008E6B11">
        <w:rPr>
          <w:i/>
          <w:color w:val="000000" w:themeColor="text1"/>
        </w:rPr>
        <w:t xml:space="preserve">Journal of Society for Psychical Research, </w:t>
      </w:r>
      <w:r w:rsidR="000609F7" w:rsidRPr="008E6B11">
        <w:rPr>
          <w:b/>
          <w:color w:val="000000" w:themeColor="text1"/>
        </w:rPr>
        <w:t>59</w:t>
      </w:r>
      <w:r w:rsidR="000609F7" w:rsidRPr="008E6B11">
        <w:rPr>
          <w:color w:val="000000" w:themeColor="text1"/>
        </w:rPr>
        <w:t>(832)</w:t>
      </w:r>
      <w:r w:rsidR="000609F7" w:rsidRPr="008E6B11">
        <w:rPr>
          <w:i/>
          <w:color w:val="000000" w:themeColor="text1"/>
        </w:rPr>
        <w:t>,</w:t>
      </w:r>
      <w:r w:rsidR="000609F7" w:rsidRPr="008E6B11">
        <w:rPr>
          <w:color w:val="000000" w:themeColor="text1"/>
        </w:rPr>
        <w:t xml:space="preserve"> 172-186. </w:t>
      </w:r>
    </w:p>
    <w:p w:rsidR="000609F7" w:rsidRPr="008E6B11" w:rsidRDefault="00D57D63" w:rsidP="000609F7">
      <w:pPr>
        <w:pStyle w:val="NormalWeb"/>
        <w:spacing w:before="0" w:beforeAutospacing="0" w:after="0" w:afterAutospacing="0"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 xml:space="preserve">Valla, J.M., &amp; </w:t>
      </w:r>
      <w:proofErr w:type="spellStart"/>
      <w:r w:rsidRPr="008E6B11">
        <w:rPr>
          <w:color w:val="000000" w:themeColor="text1"/>
        </w:rPr>
        <w:t>Ceci</w:t>
      </w:r>
      <w:proofErr w:type="spellEnd"/>
      <w:r w:rsidRPr="008E6B11">
        <w:rPr>
          <w:color w:val="000000" w:themeColor="text1"/>
        </w:rPr>
        <w:t>, S.</w:t>
      </w:r>
      <w:r w:rsidR="000609F7" w:rsidRPr="008E6B11">
        <w:rPr>
          <w:color w:val="000000" w:themeColor="text1"/>
        </w:rPr>
        <w:t xml:space="preserve">J. (2011). Can sex differences in science be tied to the long reach of prenatal hormones? Brain organization theory, digit ratio (2D/4D), and sex differences in preferences and cognition. </w:t>
      </w:r>
      <w:r w:rsidR="000609F7" w:rsidRPr="008E6B11">
        <w:rPr>
          <w:i/>
          <w:iCs/>
          <w:color w:val="000000" w:themeColor="text1"/>
        </w:rPr>
        <w:t>Perspectives on Psychological Science</w:t>
      </w:r>
      <w:r w:rsidR="000609F7" w:rsidRPr="008E6B11">
        <w:rPr>
          <w:color w:val="000000" w:themeColor="text1"/>
        </w:rPr>
        <w:t xml:space="preserve">, </w:t>
      </w:r>
      <w:r w:rsidR="000609F7" w:rsidRPr="008E6B11">
        <w:rPr>
          <w:b/>
          <w:iCs/>
          <w:color w:val="000000" w:themeColor="text1"/>
        </w:rPr>
        <w:t>6</w:t>
      </w:r>
      <w:r w:rsidR="000609F7" w:rsidRPr="008E6B11">
        <w:rPr>
          <w:color w:val="000000" w:themeColor="text1"/>
        </w:rPr>
        <w:t xml:space="preserve">(2), 134-146. </w:t>
      </w:r>
      <w:proofErr w:type="gramStart"/>
      <w:r w:rsidR="000609F7" w:rsidRPr="008E6B11">
        <w:rPr>
          <w:color w:val="000000" w:themeColor="text1"/>
        </w:rPr>
        <w:t>doi:</w:t>
      </w:r>
      <w:proofErr w:type="gramEnd"/>
      <w:r w:rsidR="000609F7" w:rsidRPr="008E6B11">
        <w:rPr>
          <w:color w:val="000000" w:themeColor="text1"/>
        </w:rPr>
        <w:t>10.1177/1745691611400236.</w:t>
      </w:r>
    </w:p>
    <w:p w:rsidR="000609F7" w:rsidRPr="008E6B11" w:rsidRDefault="000609F7" w:rsidP="000609F7">
      <w:pPr>
        <w:pStyle w:val="NormalWeb"/>
        <w:spacing w:before="0" w:beforeAutospacing="0" w:after="0" w:afterAutospacing="0"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 xml:space="preserve">Voracek, M. (2009). Who wants to believe? Associations between digit ratio (2D:4D) and paranormal and superstitious beliefs. </w:t>
      </w:r>
      <w:r w:rsidRPr="008E6B11">
        <w:rPr>
          <w:i/>
          <w:iCs/>
          <w:color w:val="000000" w:themeColor="text1"/>
        </w:rPr>
        <w:t>Personality &amp; Individual Differences</w:t>
      </w:r>
      <w:r w:rsidRPr="008E6B11">
        <w:rPr>
          <w:color w:val="000000" w:themeColor="text1"/>
        </w:rPr>
        <w:t xml:space="preserve">, </w:t>
      </w:r>
      <w:r w:rsidRPr="008E6B11">
        <w:rPr>
          <w:b/>
          <w:iCs/>
          <w:color w:val="000000" w:themeColor="text1"/>
        </w:rPr>
        <w:t>47</w:t>
      </w:r>
      <w:r w:rsidRPr="008E6B11">
        <w:rPr>
          <w:color w:val="000000" w:themeColor="text1"/>
        </w:rPr>
        <w:t xml:space="preserve">(2), 105-109. </w:t>
      </w:r>
      <w:proofErr w:type="gramStart"/>
      <w:r w:rsidRPr="008E6B11">
        <w:rPr>
          <w:color w:val="000000" w:themeColor="text1"/>
        </w:rPr>
        <w:t>doi</w:t>
      </w:r>
      <w:proofErr w:type="gramEnd"/>
      <w:r w:rsidRPr="008E6B11">
        <w:rPr>
          <w:color w:val="000000" w:themeColor="text1"/>
        </w:rPr>
        <w:t>: 10.1016/j.paid.2009.01.051.</w:t>
      </w:r>
    </w:p>
    <w:p w:rsidR="000609F7" w:rsidRPr="008E6B11" w:rsidRDefault="000609F7" w:rsidP="000609F7">
      <w:pPr>
        <w:pStyle w:val="NormalWeb"/>
        <w:spacing w:before="0" w:beforeAutospacing="0" w:after="0" w:afterAutospacing="0"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 xml:space="preserve">Voracek, M., </w:t>
      </w:r>
      <w:r w:rsidR="00D57D63" w:rsidRPr="008E6B11">
        <w:rPr>
          <w:color w:val="000000" w:themeColor="text1"/>
        </w:rPr>
        <w:t xml:space="preserve">Manning, J.T. </w:t>
      </w:r>
      <w:r w:rsidRPr="008E6B11">
        <w:rPr>
          <w:color w:val="000000" w:themeColor="text1"/>
        </w:rPr>
        <w:t xml:space="preserve">&amp; Dressler, S.G. (2007). Repeatability and interobserver error in digit ratio (2D:4D) measurements made by experts. </w:t>
      </w:r>
      <w:r w:rsidRPr="008E6B11">
        <w:rPr>
          <w:i/>
          <w:color w:val="000000" w:themeColor="text1"/>
        </w:rPr>
        <w:t xml:space="preserve">American Journal of Human Biology, </w:t>
      </w:r>
      <w:r w:rsidRPr="008E6B11">
        <w:rPr>
          <w:b/>
          <w:color w:val="000000" w:themeColor="text1"/>
        </w:rPr>
        <w:t>19</w:t>
      </w:r>
      <w:r w:rsidRPr="008E6B11">
        <w:rPr>
          <w:color w:val="000000" w:themeColor="text1"/>
        </w:rPr>
        <w:t>(1</w:t>
      </w:r>
      <w:r w:rsidRPr="008E6B11">
        <w:rPr>
          <w:i/>
          <w:color w:val="000000" w:themeColor="text1"/>
        </w:rPr>
        <w:t>)</w:t>
      </w:r>
      <w:r w:rsidRPr="008E6B11">
        <w:rPr>
          <w:color w:val="000000" w:themeColor="text1"/>
        </w:rPr>
        <w:t xml:space="preserve">, 142-146. </w:t>
      </w:r>
      <w:proofErr w:type="gramStart"/>
      <w:r w:rsidRPr="008E6B11">
        <w:rPr>
          <w:color w:val="000000" w:themeColor="text1"/>
        </w:rPr>
        <w:t>doi</w:t>
      </w:r>
      <w:proofErr w:type="gramEnd"/>
      <w:r w:rsidRPr="008E6B11">
        <w:rPr>
          <w:color w:val="000000" w:themeColor="text1"/>
        </w:rPr>
        <w:t>: 10.1002/ajhb.20581.</w:t>
      </w:r>
    </w:p>
    <w:p w:rsidR="000609F7" w:rsidRPr="008E6B11" w:rsidRDefault="000609F7" w:rsidP="000609F7">
      <w:pPr>
        <w:pStyle w:val="NormalWeb"/>
        <w:spacing w:before="0" w:beforeAutospacing="0" w:after="0" w:afterAutospacing="0"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 xml:space="preserve">Voracek, M., </w:t>
      </w:r>
      <w:r w:rsidR="00D57D63" w:rsidRPr="008E6B11">
        <w:rPr>
          <w:color w:val="000000" w:themeColor="text1"/>
        </w:rPr>
        <w:t>Offenmüller, D., &amp; Dressler, S.</w:t>
      </w:r>
      <w:r w:rsidRPr="008E6B11">
        <w:rPr>
          <w:color w:val="000000" w:themeColor="text1"/>
        </w:rPr>
        <w:t xml:space="preserve">G. (2008). Sex differences in directional asymmetry </w:t>
      </w:r>
      <w:r w:rsidR="00DD15BF" w:rsidRPr="008E6B11">
        <w:rPr>
          <w:color w:val="000000" w:themeColor="text1"/>
        </w:rPr>
        <w:t xml:space="preserve">of digit length and </w:t>
      </w:r>
      <w:r w:rsidRPr="008E6B11">
        <w:rPr>
          <w:color w:val="000000" w:themeColor="text1"/>
        </w:rPr>
        <w:t xml:space="preserve">its effects on sex differences in digit ratio (2D:4D). </w:t>
      </w:r>
      <w:r w:rsidRPr="008E6B11">
        <w:rPr>
          <w:i/>
          <w:iCs/>
          <w:color w:val="000000" w:themeColor="text1"/>
        </w:rPr>
        <w:t>Perceptual &amp; Motor Skills</w:t>
      </w:r>
      <w:r w:rsidRPr="008E6B11">
        <w:rPr>
          <w:color w:val="000000" w:themeColor="text1"/>
        </w:rPr>
        <w:t xml:space="preserve">, </w:t>
      </w:r>
      <w:r w:rsidRPr="008E6B11">
        <w:rPr>
          <w:b/>
          <w:iCs/>
          <w:color w:val="000000" w:themeColor="text1"/>
        </w:rPr>
        <w:t>107</w:t>
      </w:r>
      <w:r w:rsidRPr="008E6B11">
        <w:rPr>
          <w:color w:val="000000" w:themeColor="text1"/>
        </w:rPr>
        <w:t>(2), 576-586. doi:10.2466/PMS.107.6.576-586.</w:t>
      </w:r>
    </w:p>
    <w:p w:rsidR="006F134A" w:rsidRDefault="000609F7" w:rsidP="00BC01A2">
      <w:pPr>
        <w:pStyle w:val="NormalWeb"/>
        <w:spacing w:before="0" w:beforeAutospacing="0" w:after="0" w:afterAutospacing="0" w:line="480" w:lineRule="auto"/>
        <w:ind w:left="284" w:hanging="284"/>
        <w:rPr>
          <w:color w:val="000000" w:themeColor="text1"/>
        </w:rPr>
      </w:pPr>
      <w:r w:rsidRPr="008E6B11">
        <w:rPr>
          <w:color w:val="000000" w:themeColor="text1"/>
        </w:rPr>
        <w:t xml:space="preserve">Walker, D.A., (2003). JMASM9: Converting Kendall’s Tau for correlational or meta-analytic analyses. </w:t>
      </w:r>
      <w:r w:rsidRPr="008E6B11">
        <w:rPr>
          <w:i/>
          <w:color w:val="000000" w:themeColor="text1"/>
        </w:rPr>
        <w:t>Journal of Modern Applied Statistical Methods</w:t>
      </w:r>
      <w:r w:rsidRPr="008E6B11">
        <w:rPr>
          <w:color w:val="000000" w:themeColor="text1"/>
        </w:rPr>
        <w:t xml:space="preserve">, </w:t>
      </w:r>
      <w:r w:rsidRPr="008E6B11">
        <w:rPr>
          <w:b/>
          <w:color w:val="000000" w:themeColor="text1"/>
        </w:rPr>
        <w:t>2</w:t>
      </w:r>
      <w:r w:rsidRPr="008E6B11">
        <w:rPr>
          <w:color w:val="000000" w:themeColor="text1"/>
        </w:rPr>
        <w:t xml:space="preserve">(2), 525-530. </w:t>
      </w:r>
    </w:p>
    <w:p w:rsidR="006F134A" w:rsidRDefault="006F134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F134A" w:rsidRPr="00A05642" w:rsidRDefault="006F134A" w:rsidP="006F134A">
      <w:pPr>
        <w:spacing w:after="60" w:line="360" w:lineRule="auto"/>
        <w:rPr>
          <w:b/>
          <w:iCs/>
          <w:color w:val="000000"/>
        </w:rPr>
      </w:pPr>
      <w:r w:rsidRPr="00A05642">
        <w:rPr>
          <w:b/>
          <w:iCs/>
          <w:color w:val="000000"/>
        </w:rPr>
        <w:t>Table 1: Internal reliability, skew, normality and descriptive data for paranormal belief types across participant sex</w:t>
      </w:r>
    </w:p>
    <w:tbl>
      <w:tblPr>
        <w:tblW w:w="495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988"/>
        <w:gridCol w:w="221"/>
        <w:gridCol w:w="254"/>
        <w:gridCol w:w="216"/>
        <w:gridCol w:w="535"/>
        <w:gridCol w:w="221"/>
        <w:gridCol w:w="350"/>
        <w:gridCol w:w="216"/>
        <w:gridCol w:w="507"/>
        <w:gridCol w:w="472"/>
        <w:gridCol w:w="221"/>
        <w:gridCol w:w="515"/>
        <w:gridCol w:w="629"/>
        <w:gridCol w:w="221"/>
        <w:gridCol w:w="515"/>
        <w:gridCol w:w="629"/>
        <w:gridCol w:w="221"/>
        <w:gridCol w:w="348"/>
        <w:gridCol w:w="383"/>
        <w:gridCol w:w="509"/>
        <w:gridCol w:w="221"/>
      </w:tblGrid>
      <w:tr w:rsidR="006F134A" w:rsidRPr="00A05642" w:rsidTr="00710E70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iCs/>
                <w:color w:val="000000"/>
                <w:sz w:val="20"/>
                <w:szCs w:val="20"/>
              </w:rPr>
              <w:t>Belief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5642">
              <w:rPr>
                <w:iCs/>
                <w:color w:val="000000"/>
                <w:sz w:val="20"/>
                <w:szCs w:val="20"/>
              </w:rPr>
              <w:t>Reliability</w:t>
            </w:r>
            <w:r w:rsidRPr="00A05642">
              <w:rPr>
                <w:i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Skew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5642">
              <w:rPr>
                <w:iCs/>
                <w:color w:val="000000"/>
                <w:sz w:val="20"/>
                <w:szCs w:val="20"/>
              </w:rPr>
              <w:t>Normality</w:t>
            </w:r>
            <w:r w:rsidRPr="00A05642">
              <w:rPr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Sig.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i/>
                <w:color w:val="000000"/>
                <w:sz w:val="20"/>
                <w:szCs w:val="20"/>
              </w:rPr>
              <w:t>Eta</w:t>
            </w:r>
            <w:r w:rsidRPr="00A05642">
              <w:rPr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rFonts w:ascii="Symbol" w:hAnsi="Symbol"/>
                <w:color w:val="000000"/>
                <w:sz w:val="20"/>
                <w:szCs w:val="20"/>
              </w:rPr>
            </w:pPr>
            <w:r w:rsidRPr="00A05642">
              <w:rPr>
                <w:rFonts w:ascii="Symbol" w:hAnsi="Symbol"/>
                <w:color w:val="000000"/>
                <w:sz w:val="20"/>
                <w:szCs w:val="20"/>
              </w:rPr>
              <w:t>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A05642">
              <w:rPr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</w:t>
            </w:r>
            <w:r w:rsidRPr="00A05642">
              <w:rPr>
                <w:i/>
                <w:color w:val="000000"/>
                <w:sz w:val="20"/>
                <w:szCs w:val="20"/>
              </w:rPr>
              <w:t>SD</w:t>
            </w:r>
            <w:r w:rsidRPr="00A056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A05642">
              <w:rPr>
                <w:i/>
                <w:color w:val="000000"/>
                <w:sz w:val="20"/>
                <w:szCs w:val="20"/>
              </w:rPr>
              <w:t>Z</w:t>
            </w:r>
            <w:r w:rsidRPr="00A05642">
              <w:rPr>
                <w:i/>
                <w:color w:val="000000"/>
                <w:sz w:val="20"/>
                <w:szCs w:val="20"/>
                <w:vertAlign w:val="subscript"/>
              </w:rPr>
              <w:t>K-S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A05642">
              <w:rPr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A05642">
              <w:rPr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</w:t>
            </w:r>
            <w:r w:rsidRPr="00A05642">
              <w:rPr>
                <w:i/>
                <w:color w:val="000000"/>
                <w:sz w:val="20"/>
                <w:szCs w:val="20"/>
              </w:rPr>
              <w:t>SD</w:t>
            </w:r>
            <w:r w:rsidRPr="00A056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A05642">
              <w:rPr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</w:t>
            </w:r>
            <w:r w:rsidRPr="00A05642">
              <w:rPr>
                <w:i/>
                <w:color w:val="000000"/>
                <w:sz w:val="20"/>
                <w:szCs w:val="20"/>
              </w:rPr>
              <w:t>SD</w:t>
            </w:r>
            <w:r w:rsidRPr="00A056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Effects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ESP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.89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(.15)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.062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i/>
                <w:color w:val="000000"/>
                <w:sz w:val="18"/>
                <w:szCs w:val="18"/>
              </w:rPr>
            </w:pPr>
            <w:r w:rsidRPr="00A05642">
              <w:rPr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3.14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(1.17)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3.48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(1.18)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</w:rPr>
            </w:pPr>
            <w:r w:rsidRPr="00A0564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PK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.85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.62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(.15)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.17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(1.11)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(1.13)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</w:rPr>
            </w:pPr>
            <w:r w:rsidRPr="00A0564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LAD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.73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-.27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(.15)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3.92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(1.62)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4.43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(1.69)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</w:rPr>
            </w:pPr>
            <w:r w:rsidRPr="00A05642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134A" w:rsidRPr="00A05642" w:rsidTr="00710E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16"/>
                <w:szCs w:val="16"/>
              </w:rPr>
              <w:t xml:space="preserve">Key: </w:t>
            </w:r>
            <w:r w:rsidRPr="00A05642">
              <w:rPr>
                <w:i/>
                <w:color w:val="000000"/>
                <w:sz w:val="16"/>
                <w:szCs w:val="16"/>
              </w:rPr>
              <w:t>Extrasensory Perception</w:t>
            </w:r>
            <w:r w:rsidRPr="00A05642">
              <w:rPr>
                <w:color w:val="000000"/>
                <w:sz w:val="16"/>
                <w:szCs w:val="16"/>
              </w:rPr>
              <w:t xml:space="preserve"> (ESP); </w:t>
            </w:r>
            <w:r w:rsidRPr="00A05642">
              <w:rPr>
                <w:i/>
                <w:color w:val="000000"/>
                <w:sz w:val="16"/>
                <w:szCs w:val="16"/>
              </w:rPr>
              <w:t>Psychokinesis</w:t>
            </w:r>
            <w:r w:rsidRPr="00A05642">
              <w:rPr>
                <w:color w:val="000000"/>
                <w:sz w:val="16"/>
                <w:szCs w:val="16"/>
              </w:rPr>
              <w:t xml:space="preserve"> (PK) and </w:t>
            </w:r>
            <w:r w:rsidRPr="00A05642">
              <w:rPr>
                <w:i/>
                <w:color w:val="000000"/>
                <w:sz w:val="16"/>
                <w:szCs w:val="16"/>
              </w:rPr>
              <w:t>Life After Death</w:t>
            </w:r>
            <w:r w:rsidRPr="00A05642">
              <w:rPr>
                <w:color w:val="000000"/>
                <w:sz w:val="16"/>
                <w:szCs w:val="16"/>
              </w:rPr>
              <w:t xml:space="preserve"> (LAD) beliefs. </w:t>
            </w:r>
            <w:proofErr w:type="spellStart"/>
            <w:proofErr w:type="gramStart"/>
            <w:r w:rsidRPr="00A05642">
              <w:rPr>
                <w:color w:val="000000"/>
                <w:sz w:val="16"/>
                <w:szCs w:val="16"/>
                <w:vertAlign w:val="superscript"/>
              </w:rPr>
              <w:t>a</w:t>
            </w:r>
            <w:r w:rsidRPr="00A05642">
              <w:rPr>
                <w:color w:val="000000"/>
                <w:sz w:val="16"/>
                <w:szCs w:val="16"/>
              </w:rPr>
              <w:t>Final</w:t>
            </w:r>
            <w:proofErr w:type="spellEnd"/>
            <w:proofErr w:type="gramEnd"/>
            <w:r w:rsidRPr="00A05642">
              <w:rPr>
                <w:color w:val="000000"/>
                <w:sz w:val="16"/>
                <w:szCs w:val="16"/>
              </w:rPr>
              <w:t xml:space="preserve"> Cronbach’s alpha (</w:t>
            </w:r>
            <w:r w:rsidRPr="00A05642">
              <w:rPr>
                <w:rFonts w:ascii="Symbol" w:hAnsi="Symbol"/>
                <w:color w:val="000000"/>
                <w:sz w:val="16"/>
                <w:szCs w:val="16"/>
              </w:rPr>
              <w:t></w:t>
            </w:r>
            <w:r w:rsidRPr="00A05642">
              <w:rPr>
                <w:color w:val="000000"/>
                <w:sz w:val="16"/>
                <w:szCs w:val="16"/>
              </w:rPr>
              <w:t xml:space="preserve">) coefficients.  </w:t>
            </w:r>
            <w:proofErr w:type="spellStart"/>
            <w:proofErr w:type="gramStart"/>
            <w:r w:rsidRPr="00A05642">
              <w:rPr>
                <w:color w:val="000000"/>
                <w:sz w:val="16"/>
                <w:szCs w:val="16"/>
                <w:vertAlign w:val="superscript"/>
              </w:rPr>
              <w:t>b</w:t>
            </w:r>
            <w:r w:rsidRPr="00A05642">
              <w:rPr>
                <w:color w:val="000000"/>
                <w:sz w:val="16"/>
                <w:szCs w:val="16"/>
              </w:rPr>
              <w:t>Kolgomorov</w:t>
            </w:r>
            <w:proofErr w:type="spellEnd"/>
            <w:r w:rsidRPr="00A05642">
              <w:rPr>
                <w:color w:val="000000"/>
                <w:sz w:val="16"/>
                <w:szCs w:val="16"/>
              </w:rPr>
              <w:t>-Smirnov</w:t>
            </w:r>
            <w:proofErr w:type="gramEnd"/>
            <w:r w:rsidRPr="00A05642">
              <w:rPr>
                <w:color w:val="000000"/>
                <w:sz w:val="16"/>
                <w:szCs w:val="16"/>
              </w:rPr>
              <w:t xml:space="preserve"> (K-S) test where </w:t>
            </w:r>
            <w:proofErr w:type="spellStart"/>
            <w:r w:rsidRPr="00A05642">
              <w:rPr>
                <w:i/>
                <w:color w:val="000000"/>
                <w:sz w:val="16"/>
                <w:szCs w:val="16"/>
              </w:rPr>
              <w:t>df</w:t>
            </w:r>
            <w:proofErr w:type="spellEnd"/>
            <w:r w:rsidRPr="00A05642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= </w:t>
            </w:r>
            <w:r w:rsidRPr="00A05642">
              <w:rPr>
                <w:color w:val="000000"/>
                <w:sz w:val="16"/>
                <w:szCs w:val="16"/>
              </w:rPr>
              <w:t xml:space="preserve"> 273. Sig. non-normality and Respondent Sex effects (S) at the *</w:t>
            </w:r>
            <w:r w:rsidRPr="00A05642">
              <w:rPr>
                <w:i/>
                <w:color w:val="000000"/>
                <w:sz w:val="16"/>
                <w:szCs w:val="16"/>
              </w:rPr>
              <w:t xml:space="preserve">p </w:t>
            </w:r>
            <w:r w:rsidRPr="00A05642">
              <w:rPr>
                <w:color w:val="000000"/>
                <w:sz w:val="16"/>
                <w:szCs w:val="16"/>
              </w:rPr>
              <w:t xml:space="preserve">&lt;.05 level; </w:t>
            </w:r>
            <w:r w:rsidRPr="00A05642">
              <w:rPr>
                <w:i/>
                <w:color w:val="000000"/>
                <w:sz w:val="16"/>
                <w:szCs w:val="16"/>
              </w:rPr>
              <w:t xml:space="preserve">a </w:t>
            </w:r>
            <w:r>
              <w:rPr>
                <w:color w:val="000000"/>
                <w:sz w:val="16"/>
                <w:szCs w:val="16"/>
              </w:rPr>
              <w:t xml:space="preserve"> = </w:t>
            </w:r>
            <w:r w:rsidRPr="00A05642">
              <w:rPr>
                <w:color w:val="000000"/>
                <w:sz w:val="16"/>
                <w:szCs w:val="16"/>
              </w:rPr>
              <w:t xml:space="preserve"> approaches significance (two-tailed; </w:t>
            </w:r>
            <w:proofErr w:type="spellStart"/>
            <w:r w:rsidRPr="00A05642">
              <w:rPr>
                <w:i/>
                <w:color w:val="000000"/>
                <w:sz w:val="16"/>
                <w:szCs w:val="16"/>
              </w:rPr>
              <w:t>n</w:t>
            </w:r>
            <w:r w:rsidRPr="00A05642">
              <w:rPr>
                <w:color w:val="000000"/>
                <w:sz w:val="16"/>
                <w:szCs w:val="16"/>
                <w:vertAlign w:val="subscript"/>
              </w:rPr>
              <w:t>males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= </w:t>
            </w:r>
            <w:r w:rsidRPr="00A05642">
              <w:rPr>
                <w:color w:val="000000"/>
                <w:sz w:val="16"/>
                <w:szCs w:val="16"/>
              </w:rPr>
              <w:t xml:space="preserve"> 62 to 63; </w:t>
            </w:r>
            <w:proofErr w:type="spellStart"/>
            <w:r w:rsidRPr="00A05642">
              <w:rPr>
                <w:i/>
                <w:color w:val="000000"/>
                <w:sz w:val="16"/>
                <w:szCs w:val="16"/>
              </w:rPr>
              <w:t>n</w:t>
            </w:r>
            <w:r w:rsidRPr="00A05642">
              <w:rPr>
                <w:color w:val="000000"/>
                <w:sz w:val="16"/>
                <w:szCs w:val="16"/>
                <w:vertAlign w:val="subscript"/>
              </w:rPr>
              <w:t>females</w:t>
            </w:r>
            <w:proofErr w:type="spellEnd"/>
            <w:r w:rsidRPr="00A05642">
              <w:rPr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= </w:t>
            </w:r>
            <w:r w:rsidRPr="00A05642">
              <w:rPr>
                <w:color w:val="000000"/>
                <w:sz w:val="16"/>
                <w:szCs w:val="16"/>
              </w:rPr>
              <w:t xml:space="preserve"> 210 to 212; </w:t>
            </w:r>
            <w:proofErr w:type="spellStart"/>
            <w:r w:rsidRPr="00A05642">
              <w:rPr>
                <w:i/>
                <w:color w:val="000000"/>
                <w:sz w:val="16"/>
                <w:szCs w:val="16"/>
              </w:rPr>
              <w:t>n</w:t>
            </w:r>
            <w:r w:rsidRPr="00A05642">
              <w:rPr>
                <w:color w:val="000000"/>
                <w:sz w:val="16"/>
                <w:szCs w:val="16"/>
                <w:vertAlign w:val="subscript"/>
              </w:rPr>
              <w:t>all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= </w:t>
            </w:r>
            <w:r w:rsidRPr="00A05642">
              <w:rPr>
                <w:color w:val="000000"/>
                <w:sz w:val="16"/>
                <w:szCs w:val="16"/>
              </w:rPr>
              <w:t>273 to 275)</w:t>
            </w:r>
          </w:p>
        </w:tc>
      </w:tr>
    </w:tbl>
    <w:p w:rsidR="006F134A" w:rsidRPr="00A05642" w:rsidRDefault="006F134A" w:rsidP="006F134A">
      <w:pPr>
        <w:spacing w:after="60" w:line="360" w:lineRule="auto"/>
        <w:rPr>
          <w:b/>
          <w:iCs/>
          <w:color w:val="000000"/>
        </w:rPr>
      </w:pPr>
    </w:p>
    <w:p w:rsidR="006F134A" w:rsidRPr="00A05642" w:rsidRDefault="006F134A" w:rsidP="006F134A">
      <w:pPr>
        <w:spacing w:after="60" w:line="360" w:lineRule="auto"/>
        <w:rPr>
          <w:b/>
          <w:iCs/>
          <w:color w:val="000000"/>
        </w:rPr>
      </w:pPr>
    </w:p>
    <w:p w:rsidR="006F134A" w:rsidRPr="00A05642" w:rsidRDefault="006F134A" w:rsidP="006F134A">
      <w:pPr>
        <w:spacing w:after="60"/>
        <w:rPr>
          <w:i/>
          <w:iCs/>
          <w:color w:val="000000"/>
        </w:rPr>
      </w:pPr>
    </w:p>
    <w:p w:rsidR="006F134A" w:rsidRPr="00A05642" w:rsidRDefault="006F134A" w:rsidP="006F134A">
      <w:pPr>
        <w:spacing w:after="60" w:line="360" w:lineRule="auto"/>
        <w:rPr>
          <w:b/>
          <w:iCs/>
          <w:color w:val="000000"/>
        </w:rPr>
      </w:pPr>
    </w:p>
    <w:p w:rsidR="006F134A" w:rsidRPr="00A05642" w:rsidRDefault="006F134A" w:rsidP="006F134A">
      <w:pPr>
        <w:spacing w:after="60" w:line="360" w:lineRule="auto"/>
        <w:rPr>
          <w:b/>
          <w:iCs/>
          <w:color w:val="000000"/>
        </w:rPr>
        <w:sectPr w:rsidR="006F134A" w:rsidRPr="00A05642" w:rsidSect="00A107B1">
          <w:footerReference w:type="defaul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6F134A" w:rsidRPr="00A05642" w:rsidRDefault="006F134A" w:rsidP="006F134A">
      <w:pPr>
        <w:spacing w:after="60" w:line="360" w:lineRule="auto"/>
        <w:rPr>
          <w:b/>
          <w:iCs/>
          <w:color w:val="000000"/>
        </w:rPr>
      </w:pPr>
      <w:r w:rsidRPr="00A05642">
        <w:rPr>
          <w:b/>
          <w:iCs/>
          <w:color w:val="000000"/>
        </w:rPr>
        <w:t xml:space="preserve">Table 2: </w:t>
      </w:r>
      <w:proofErr w:type="spellStart"/>
      <w:r w:rsidRPr="00A05642">
        <w:rPr>
          <w:b/>
          <w:iCs/>
          <w:color w:val="000000"/>
        </w:rPr>
        <w:t>Descriptives</w:t>
      </w:r>
      <w:proofErr w:type="spellEnd"/>
      <w:r w:rsidRPr="00A05642">
        <w:rPr>
          <w:b/>
          <w:iCs/>
          <w:color w:val="000000"/>
        </w:rPr>
        <w:t xml:space="preserve"> and effects for digit-related measures across participant sex</w:t>
      </w:r>
    </w:p>
    <w:tbl>
      <w:tblPr>
        <w:tblW w:w="495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62"/>
        <w:gridCol w:w="390"/>
        <w:gridCol w:w="1006"/>
        <w:gridCol w:w="271"/>
        <w:gridCol w:w="558"/>
        <w:gridCol w:w="1537"/>
        <w:gridCol w:w="1374"/>
        <w:gridCol w:w="953"/>
        <w:gridCol w:w="953"/>
        <w:gridCol w:w="279"/>
        <w:gridCol w:w="953"/>
        <w:gridCol w:w="953"/>
        <w:gridCol w:w="282"/>
        <w:gridCol w:w="456"/>
        <w:gridCol w:w="509"/>
        <w:gridCol w:w="771"/>
        <w:gridCol w:w="232"/>
      </w:tblGrid>
      <w:tr w:rsidR="006F134A" w:rsidRPr="00A05642" w:rsidTr="00710E70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iCs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i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Hand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Digit(s)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i/>
                <w:color w:val="000000"/>
                <w:sz w:val="18"/>
                <w:szCs w:val="18"/>
              </w:rPr>
              <w:t>Eta</w:t>
            </w:r>
            <w:r w:rsidRPr="00A05642">
              <w:rPr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05642">
              <w:rPr>
                <w:i/>
                <w:color w:val="000000"/>
                <w:sz w:val="18"/>
                <w:szCs w:val="18"/>
              </w:rPr>
              <w:t>M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</w:t>
            </w:r>
            <w:r w:rsidRPr="00A05642">
              <w:rPr>
                <w:i/>
                <w:color w:val="000000"/>
                <w:sz w:val="18"/>
                <w:szCs w:val="18"/>
              </w:rPr>
              <w:t>SD</w:t>
            </w:r>
            <w:r w:rsidRPr="00A056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05642">
              <w:rPr>
                <w:i/>
                <w:color w:val="000000"/>
                <w:sz w:val="18"/>
                <w:szCs w:val="18"/>
              </w:rPr>
              <w:t>M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</w:t>
            </w:r>
            <w:r w:rsidRPr="00A05642">
              <w:rPr>
                <w:i/>
                <w:color w:val="000000"/>
                <w:sz w:val="18"/>
                <w:szCs w:val="18"/>
              </w:rPr>
              <w:t>SD</w:t>
            </w:r>
            <w:r w:rsidRPr="00A056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Effects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MDL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Direct self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all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74.85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(7.84)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69.92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(6.80)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 xml:space="preserve">Indirect </w:t>
            </w:r>
            <w:proofErr w:type="spellStart"/>
            <w:r w:rsidRPr="00A05642">
              <w:rPr>
                <w:color w:val="000000"/>
                <w:sz w:val="18"/>
                <w:szCs w:val="18"/>
              </w:rPr>
              <w:t>rater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all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74.66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(4.54)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69.62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(4.24)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2D:4D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Direct self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Left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2D:4D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.98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.07)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.98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.07)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2D:4D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.98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.07)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.99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.06)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 xml:space="preserve">Indirect </w:t>
            </w:r>
            <w:proofErr w:type="spellStart"/>
            <w:r w:rsidRPr="00A05642">
              <w:rPr>
                <w:color w:val="000000"/>
                <w:sz w:val="18"/>
                <w:szCs w:val="18"/>
              </w:rPr>
              <w:t>rater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Left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2D:4D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.95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.03)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.96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.04)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2D:4D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.97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.03)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.98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.03)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DA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Direct self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R-L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.05)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.06)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 xml:space="preserve">Indirect </w:t>
            </w:r>
            <w:proofErr w:type="spellStart"/>
            <w:r w:rsidRPr="00A05642">
              <w:rPr>
                <w:color w:val="000000"/>
                <w:sz w:val="18"/>
                <w:szCs w:val="18"/>
              </w:rPr>
              <w:t>rater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R-L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.03)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  .03)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FA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Direct self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i/>
                <w:color w:val="000000"/>
                <w:sz w:val="18"/>
                <w:szCs w:val="18"/>
              </w:rPr>
              <w:t xml:space="preserve">f </w:t>
            </w:r>
            <w:r w:rsidRPr="00A05642">
              <w:rPr>
                <w:color w:val="000000"/>
                <w:sz w:val="18"/>
                <w:szCs w:val="18"/>
              </w:rPr>
              <w:t>(D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R</w:t>
            </w:r>
            <w:r w:rsidRPr="00A05642">
              <w:rPr>
                <w:color w:val="000000"/>
                <w:sz w:val="18"/>
                <w:szCs w:val="18"/>
              </w:rPr>
              <w:t>,D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L</w:t>
            </w:r>
            <w:r w:rsidRPr="00A056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(2.25)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2.22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(1.97)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 xml:space="preserve">Indirect </w:t>
            </w:r>
            <w:proofErr w:type="spellStart"/>
            <w:r w:rsidRPr="00A05642">
              <w:rPr>
                <w:color w:val="000000"/>
                <w:sz w:val="18"/>
                <w:szCs w:val="18"/>
              </w:rPr>
              <w:t>rater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i/>
                <w:color w:val="000000"/>
                <w:sz w:val="18"/>
                <w:szCs w:val="18"/>
              </w:rPr>
              <w:t xml:space="preserve">f </w:t>
            </w:r>
            <w:r w:rsidRPr="00A05642">
              <w:rPr>
                <w:color w:val="000000"/>
                <w:sz w:val="18"/>
                <w:szCs w:val="18"/>
              </w:rPr>
              <w:t>(D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R</w:t>
            </w:r>
            <w:r w:rsidRPr="00A05642">
              <w:rPr>
                <w:color w:val="000000"/>
                <w:sz w:val="18"/>
                <w:szCs w:val="18"/>
              </w:rPr>
              <w:t>,D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L</w:t>
            </w:r>
            <w:r w:rsidRPr="00A056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1.95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(1.13)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2.02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(1.15)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134A" w:rsidRPr="00A05642" w:rsidTr="00710E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16"/>
                <w:szCs w:val="16"/>
              </w:rPr>
              <w:t xml:space="preserve">Key: </w:t>
            </w:r>
            <w:r w:rsidRPr="00A05642">
              <w:rPr>
                <w:i/>
                <w:color w:val="000000"/>
                <w:sz w:val="16"/>
                <w:szCs w:val="16"/>
              </w:rPr>
              <w:t>Mean Digit Length</w:t>
            </w:r>
            <w:r w:rsidRPr="00A05642">
              <w:rPr>
                <w:color w:val="000000"/>
                <w:sz w:val="16"/>
                <w:szCs w:val="16"/>
              </w:rPr>
              <w:t xml:space="preserve"> (MDL); </w:t>
            </w:r>
            <w:r w:rsidRPr="00A05642">
              <w:rPr>
                <w:i/>
                <w:color w:val="000000"/>
                <w:sz w:val="16"/>
                <w:szCs w:val="16"/>
              </w:rPr>
              <w:t>Second-to-Fourth Digit Ratio</w:t>
            </w:r>
            <w:r w:rsidRPr="00A05642">
              <w:rPr>
                <w:color w:val="000000"/>
                <w:sz w:val="16"/>
                <w:szCs w:val="16"/>
              </w:rPr>
              <w:t xml:space="preserve"> (2D:4D); </w:t>
            </w:r>
            <w:r w:rsidRPr="00A05642">
              <w:rPr>
                <w:i/>
                <w:color w:val="000000"/>
                <w:sz w:val="16"/>
                <w:szCs w:val="16"/>
              </w:rPr>
              <w:t>Differential Asymmetry</w:t>
            </w:r>
            <w:r w:rsidRPr="00A05642">
              <w:rPr>
                <w:color w:val="000000"/>
                <w:sz w:val="16"/>
                <w:szCs w:val="16"/>
              </w:rPr>
              <w:t xml:space="preserve"> (DA); </w:t>
            </w:r>
            <w:r w:rsidRPr="00A05642">
              <w:rPr>
                <w:i/>
                <w:color w:val="000000"/>
                <w:sz w:val="16"/>
                <w:szCs w:val="16"/>
              </w:rPr>
              <w:t>Functional Asymmetry</w:t>
            </w:r>
            <w:r w:rsidRPr="00A05642">
              <w:rPr>
                <w:color w:val="000000"/>
                <w:sz w:val="16"/>
                <w:szCs w:val="16"/>
              </w:rPr>
              <w:t xml:space="preserve"> (FA). Respondent Sex effects (S) at the *</w:t>
            </w:r>
            <w:r w:rsidRPr="00A05642">
              <w:rPr>
                <w:i/>
                <w:color w:val="000000"/>
                <w:sz w:val="16"/>
                <w:szCs w:val="16"/>
              </w:rPr>
              <w:t xml:space="preserve">p </w:t>
            </w:r>
            <w:r w:rsidRPr="00A05642">
              <w:rPr>
                <w:color w:val="000000"/>
                <w:sz w:val="16"/>
                <w:szCs w:val="16"/>
              </w:rPr>
              <w:t>&lt;.05, **</w:t>
            </w:r>
            <w:r w:rsidRPr="00A05642">
              <w:rPr>
                <w:i/>
                <w:color w:val="000000"/>
                <w:sz w:val="16"/>
                <w:szCs w:val="16"/>
              </w:rPr>
              <w:t>p</w:t>
            </w:r>
            <w:r w:rsidRPr="00A05642">
              <w:rPr>
                <w:color w:val="000000"/>
                <w:sz w:val="16"/>
                <w:szCs w:val="16"/>
              </w:rPr>
              <w:t>&lt;.01 and ***</w:t>
            </w:r>
            <w:r w:rsidRPr="00A05642">
              <w:rPr>
                <w:i/>
                <w:color w:val="000000"/>
                <w:sz w:val="16"/>
                <w:szCs w:val="16"/>
              </w:rPr>
              <w:t>p</w:t>
            </w:r>
            <w:r w:rsidRPr="00A05642">
              <w:rPr>
                <w:color w:val="000000"/>
                <w:sz w:val="16"/>
                <w:szCs w:val="16"/>
              </w:rPr>
              <w:t xml:space="preserve">&lt;.001 </w:t>
            </w:r>
            <w:proofErr w:type="gramStart"/>
            <w:r w:rsidRPr="00A05642">
              <w:rPr>
                <w:color w:val="000000"/>
                <w:sz w:val="16"/>
                <w:szCs w:val="16"/>
              </w:rPr>
              <w:t>levels  (</w:t>
            </w:r>
            <w:proofErr w:type="gramEnd"/>
            <w:r w:rsidRPr="00A05642">
              <w:rPr>
                <w:color w:val="000000"/>
                <w:sz w:val="16"/>
                <w:szCs w:val="16"/>
              </w:rPr>
              <w:t xml:space="preserve">two-tailed; </w:t>
            </w:r>
            <w:proofErr w:type="spellStart"/>
            <w:r w:rsidRPr="00A05642">
              <w:rPr>
                <w:i/>
                <w:color w:val="000000"/>
                <w:sz w:val="16"/>
                <w:szCs w:val="16"/>
              </w:rPr>
              <w:t>n</w:t>
            </w:r>
            <w:r w:rsidRPr="00A05642">
              <w:rPr>
                <w:color w:val="000000"/>
                <w:sz w:val="16"/>
                <w:szCs w:val="16"/>
                <w:vertAlign w:val="subscript"/>
              </w:rPr>
              <w:t>males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= </w:t>
            </w:r>
            <w:r w:rsidRPr="00A05642">
              <w:rPr>
                <w:color w:val="000000"/>
                <w:sz w:val="16"/>
                <w:szCs w:val="16"/>
              </w:rPr>
              <w:t xml:space="preserve"> 62 to 63; </w:t>
            </w:r>
            <w:proofErr w:type="spellStart"/>
            <w:r w:rsidRPr="00A05642">
              <w:rPr>
                <w:i/>
                <w:color w:val="000000"/>
                <w:sz w:val="16"/>
                <w:szCs w:val="16"/>
              </w:rPr>
              <w:t>n</w:t>
            </w:r>
            <w:r w:rsidRPr="00A05642">
              <w:rPr>
                <w:color w:val="000000"/>
                <w:sz w:val="16"/>
                <w:szCs w:val="16"/>
                <w:vertAlign w:val="subscript"/>
              </w:rPr>
              <w:t>females</w:t>
            </w:r>
            <w:proofErr w:type="spellEnd"/>
            <w:r w:rsidRPr="00A05642">
              <w:rPr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= </w:t>
            </w:r>
            <w:r w:rsidRPr="00A05642">
              <w:rPr>
                <w:color w:val="000000"/>
                <w:sz w:val="16"/>
                <w:szCs w:val="16"/>
              </w:rPr>
              <w:t xml:space="preserve"> 210 to 212; </w:t>
            </w:r>
            <w:proofErr w:type="spellStart"/>
            <w:r w:rsidRPr="00A05642">
              <w:rPr>
                <w:i/>
                <w:color w:val="000000"/>
                <w:sz w:val="16"/>
                <w:szCs w:val="16"/>
              </w:rPr>
              <w:t>n</w:t>
            </w:r>
            <w:r w:rsidRPr="00A05642">
              <w:rPr>
                <w:color w:val="000000"/>
                <w:sz w:val="16"/>
                <w:szCs w:val="16"/>
                <w:vertAlign w:val="subscript"/>
              </w:rPr>
              <w:t>all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= </w:t>
            </w:r>
            <w:r w:rsidRPr="00A05642">
              <w:rPr>
                <w:color w:val="000000"/>
                <w:sz w:val="16"/>
                <w:szCs w:val="16"/>
              </w:rPr>
              <w:t>273 to 275).</w:t>
            </w:r>
          </w:p>
        </w:tc>
      </w:tr>
    </w:tbl>
    <w:p w:rsidR="006F134A" w:rsidRPr="00A05642" w:rsidRDefault="006F134A" w:rsidP="006F134A">
      <w:pPr>
        <w:spacing w:after="60" w:line="276" w:lineRule="auto"/>
        <w:rPr>
          <w:b/>
          <w:iCs/>
          <w:color w:val="000000"/>
        </w:rPr>
        <w:sectPr w:rsidR="006F134A" w:rsidRPr="00A05642" w:rsidSect="00EC3C4B">
          <w:pgSz w:w="16838" w:h="11906" w:orient="landscape" w:code="9"/>
          <w:pgMar w:top="851" w:right="1440" w:bottom="567" w:left="1440" w:header="709" w:footer="709" w:gutter="0"/>
          <w:cols w:space="708"/>
          <w:docGrid w:linePitch="360"/>
        </w:sectPr>
      </w:pPr>
    </w:p>
    <w:p w:rsidR="006F134A" w:rsidRPr="00A05642" w:rsidRDefault="006F134A" w:rsidP="006F134A">
      <w:pPr>
        <w:spacing w:after="60" w:line="276" w:lineRule="auto"/>
        <w:rPr>
          <w:b/>
          <w:color w:val="000000"/>
        </w:rPr>
      </w:pPr>
      <w:r w:rsidRPr="00A05642">
        <w:rPr>
          <w:b/>
          <w:iCs/>
          <w:color w:val="000000"/>
        </w:rPr>
        <w:t xml:space="preserve">Table 3: </w:t>
      </w:r>
      <w:r w:rsidRPr="00A05642">
        <w:rPr>
          <w:b/>
          <w:color w:val="000000"/>
        </w:rPr>
        <w:t>Correlations (</w:t>
      </w:r>
      <w:r>
        <w:rPr>
          <w:b/>
          <w:i/>
          <w:color w:val="000000"/>
        </w:rPr>
        <w:t>t</w:t>
      </w:r>
      <w:r w:rsidRPr="00A05642">
        <w:rPr>
          <w:b/>
          <w:i/>
          <w:color w:val="000000"/>
        </w:rPr>
        <w:t>au-b</w:t>
      </w:r>
      <w:r w:rsidRPr="00A05642">
        <w:rPr>
          <w:b/>
          <w:color w:val="000000"/>
        </w:rPr>
        <w:t xml:space="preserve">) between </w:t>
      </w:r>
      <w:r w:rsidRPr="00A05642">
        <w:rPr>
          <w:b/>
          <w:iCs/>
          <w:color w:val="000000"/>
        </w:rPr>
        <w:t>digit-related measures</w:t>
      </w:r>
      <w:r w:rsidRPr="00A05642">
        <w:rPr>
          <w:b/>
          <w:color w:val="000000"/>
        </w:rPr>
        <w:t xml:space="preserve"> and paranormal belief types by measurement source, hand, </w:t>
      </w:r>
      <w:proofErr w:type="gramStart"/>
      <w:r w:rsidRPr="00A05642">
        <w:rPr>
          <w:b/>
          <w:color w:val="000000"/>
        </w:rPr>
        <w:t>digit</w:t>
      </w:r>
      <w:proofErr w:type="gramEnd"/>
      <w:r w:rsidRPr="00A05642">
        <w:rPr>
          <w:b/>
          <w:color w:val="000000"/>
        </w:rPr>
        <w:t xml:space="preserve"> type &amp; </w:t>
      </w:r>
      <w:r w:rsidRPr="00A05642">
        <w:rPr>
          <w:b/>
          <w:iCs/>
          <w:color w:val="000000"/>
        </w:rPr>
        <w:t xml:space="preserve">participant </w:t>
      </w:r>
      <w:r w:rsidRPr="00A05642">
        <w:rPr>
          <w:b/>
          <w:color w:val="000000"/>
        </w:rPr>
        <w:t>sex</w:t>
      </w: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10"/>
        <w:gridCol w:w="222"/>
        <w:gridCol w:w="617"/>
        <w:gridCol w:w="222"/>
        <w:gridCol w:w="222"/>
        <w:gridCol w:w="898"/>
        <w:gridCol w:w="377"/>
        <w:gridCol w:w="441"/>
        <w:gridCol w:w="285"/>
        <w:gridCol w:w="441"/>
        <w:gridCol w:w="288"/>
        <w:gridCol w:w="441"/>
        <w:gridCol w:w="286"/>
        <w:gridCol w:w="222"/>
        <w:gridCol w:w="441"/>
        <w:gridCol w:w="306"/>
        <w:gridCol w:w="441"/>
        <w:gridCol w:w="306"/>
        <w:gridCol w:w="441"/>
        <w:gridCol w:w="261"/>
        <w:gridCol w:w="13"/>
        <w:gridCol w:w="209"/>
      </w:tblGrid>
      <w:tr w:rsidR="006F134A" w:rsidRPr="00A05642" w:rsidTr="00710E70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iCs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i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Hand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Digit(s)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ESP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PK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LAD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ESP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PK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LAD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MDL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Direct self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all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 xml:space="preserve">Indirect </w:t>
            </w:r>
            <w:proofErr w:type="spellStart"/>
            <w:r w:rsidRPr="00A05642">
              <w:rPr>
                <w:color w:val="000000"/>
                <w:sz w:val="18"/>
                <w:szCs w:val="18"/>
              </w:rPr>
              <w:t>rater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all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2D:4D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Direct self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Left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2D:4D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2D:4D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642">
              <w:rPr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 xml:space="preserve">Indirect </w:t>
            </w:r>
            <w:proofErr w:type="spellStart"/>
            <w:r w:rsidRPr="00A05642">
              <w:rPr>
                <w:color w:val="000000"/>
                <w:sz w:val="18"/>
                <w:szCs w:val="18"/>
              </w:rPr>
              <w:t>rater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Left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2D:4D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2D:4D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DA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Direct self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R-L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 xml:space="preserve">Indirect </w:t>
            </w:r>
            <w:proofErr w:type="spellStart"/>
            <w:r w:rsidRPr="00A05642">
              <w:rPr>
                <w:color w:val="000000"/>
                <w:sz w:val="18"/>
                <w:szCs w:val="18"/>
              </w:rPr>
              <w:t>rater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R-L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FA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Direct self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i/>
                <w:color w:val="000000"/>
                <w:sz w:val="18"/>
                <w:szCs w:val="18"/>
              </w:rPr>
              <w:t xml:space="preserve">f </w:t>
            </w:r>
            <w:r w:rsidRPr="00A05642">
              <w:rPr>
                <w:color w:val="000000"/>
                <w:sz w:val="18"/>
                <w:szCs w:val="18"/>
              </w:rPr>
              <w:t>(D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R</w:t>
            </w:r>
            <w:r w:rsidRPr="00A05642">
              <w:rPr>
                <w:color w:val="000000"/>
                <w:sz w:val="18"/>
                <w:szCs w:val="18"/>
              </w:rPr>
              <w:t>,D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L</w:t>
            </w:r>
            <w:r w:rsidRPr="00A056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-.11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-.15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 xml:space="preserve">Indirect </w:t>
            </w:r>
            <w:proofErr w:type="spellStart"/>
            <w:r w:rsidRPr="00A05642">
              <w:rPr>
                <w:color w:val="000000"/>
                <w:sz w:val="18"/>
                <w:szCs w:val="18"/>
              </w:rPr>
              <w:t>rater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Both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i/>
                <w:color w:val="000000"/>
                <w:sz w:val="18"/>
                <w:szCs w:val="18"/>
              </w:rPr>
              <w:t xml:space="preserve">f </w:t>
            </w:r>
            <w:r w:rsidRPr="00A05642">
              <w:rPr>
                <w:color w:val="000000"/>
                <w:sz w:val="18"/>
                <w:szCs w:val="18"/>
              </w:rPr>
              <w:t>(D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R</w:t>
            </w:r>
            <w:r w:rsidRPr="00A05642">
              <w:rPr>
                <w:color w:val="000000"/>
                <w:sz w:val="18"/>
                <w:szCs w:val="18"/>
              </w:rPr>
              <w:t>,D</w:t>
            </w:r>
            <w:r w:rsidRPr="00A05642">
              <w:rPr>
                <w:color w:val="000000"/>
                <w:sz w:val="18"/>
                <w:szCs w:val="18"/>
                <w:vertAlign w:val="subscript"/>
              </w:rPr>
              <w:t>L</w:t>
            </w:r>
            <w:r w:rsidRPr="00A0564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-.01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.02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  <w:r w:rsidRPr="00A05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34A" w:rsidRPr="00A05642" w:rsidRDefault="006F134A" w:rsidP="00710E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134A" w:rsidRPr="00A05642" w:rsidTr="00710E70">
        <w:trPr>
          <w:trHeight w:val="2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rPr>
                <w:color w:val="000000"/>
                <w:sz w:val="20"/>
                <w:szCs w:val="20"/>
              </w:rPr>
            </w:pPr>
            <w:r w:rsidRPr="00A05642">
              <w:rPr>
                <w:color w:val="000000"/>
                <w:sz w:val="16"/>
                <w:szCs w:val="16"/>
              </w:rPr>
              <w:t xml:space="preserve">Key: </w:t>
            </w:r>
            <w:r w:rsidRPr="00A05642">
              <w:rPr>
                <w:i/>
                <w:color w:val="000000"/>
                <w:sz w:val="16"/>
                <w:szCs w:val="16"/>
              </w:rPr>
              <w:t>Mean Digit Length</w:t>
            </w:r>
            <w:r w:rsidRPr="00A05642">
              <w:rPr>
                <w:color w:val="000000"/>
                <w:sz w:val="16"/>
                <w:szCs w:val="16"/>
              </w:rPr>
              <w:t xml:space="preserve"> (MDL); </w:t>
            </w:r>
            <w:r w:rsidRPr="00A05642">
              <w:rPr>
                <w:i/>
                <w:color w:val="000000"/>
                <w:sz w:val="16"/>
                <w:szCs w:val="16"/>
              </w:rPr>
              <w:t>Second-to-Fourth Digit Ratio</w:t>
            </w:r>
            <w:r w:rsidRPr="00A05642">
              <w:rPr>
                <w:color w:val="000000"/>
                <w:sz w:val="16"/>
                <w:szCs w:val="16"/>
              </w:rPr>
              <w:t xml:space="preserve"> (2D:4D); </w:t>
            </w:r>
            <w:r w:rsidRPr="00A05642">
              <w:rPr>
                <w:i/>
                <w:color w:val="000000"/>
                <w:sz w:val="16"/>
                <w:szCs w:val="16"/>
              </w:rPr>
              <w:t>Differential Asymmetry</w:t>
            </w:r>
            <w:r w:rsidRPr="00A05642">
              <w:rPr>
                <w:color w:val="000000"/>
                <w:sz w:val="16"/>
                <w:szCs w:val="16"/>
              </w:rPr>
              <w:t xml:space="preserve"> (DA); </w:t>
            </w:r>
            <w:r w:rsidRPr="00A05642">
              <w:rPr>
                <w:i/>
                <w:color w:val="000000"/>
                <w:sz w:val="16"/>
                <w:szCs w:val="16"/>
              </w:rPr>
              <w:t>Functional Asymmetry</w:t>
            </w:r>
            <w:r w:rsidRPr="00A05642">
              <w:rPr>
                <w:color w:val="000000"/>
                <w:sz w:val="16"/>
                <w:szCs w:val="16"/>
              </w:rPr>
              <w:t xml:space="preserve"> (FA). Sig. at the *</w:t>
            </w:r>
            <w:r w:rsidRPr="00A05642">
              <w:rPr>
                <w:i/>
                <w:color w:val="000000"/>
                <w:sz w:val="16"/>
                <w:szCs w:val="16"/>
              </w:rPr>
              <w:t xml:space="preserve">p </w:t>
            </w:r>
            <w:r w:rsidRPr="00A05642">
              <w:rPr>
                <w:color w:val="000000"/>
                <w:sz w:val="16"/>
                <w:szCs w:val="16"/>
              </w:rPr>
              <w:t xml:space="preserve">&lt;.05 level; </w:t>
            </w:r>
            <w:proofErr w:type="gramStart"/>
            <w:r w:rsidRPr="00A05642">
              <w:rPr>
                <w:i/>
                <w:color w:val="000000"/>
                <w:sz w:val="16"/>
                <w:szCs w:val="16"/>
              </w:rPr>
              <w:t xml:space="preserve">a </w:t>
            </w:r>
            <w:r>
              <w:rPr>
                <w:color w:val="000000"/>
                <w:sz w:val="16"/>
                <w:szCs w:val="16"/>
              </w:rPr>
              <w:t xml:space="preserve"> =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A05642">
              <w:rPr>
                <w:color w:val="000000"/>
                <w:sz w:val="16"/>
                <w:szCs w:val="16"/>
              </w:rPr>
              <w:t xml:space="preserve"> approaches significance (two-tailed; </w:t>
            </w:r>
            <w:proofErr w:type="spellStart"/>
            <w:r w:rsidRPr="00A05642">
              <w:rPr>
                <w:i/>
                <w:color w:val="000000"/>
                <w:sz w:val="16"/>
                <w:szCs w:val="16"/>
              </w:rPr>
              <w:t>n</w:t>
            </w:r>
            <w:r w:rsidRPr="00A05642">
              <w:rPr>
                <w:color w:val="000000"/>
                <w:sz w:val="16"/>
                <w:szCs w:val="16"/>
                <w:vertAlign w:val="subscript"/>
              </w:rPr>
              <w:t>males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= </w:t>
            </w:r>
            <w:r w:rsidRPr="00A05642">
              <w:rPr>
                <w:color w:val="000000"/>
                <w:sz w:val="16"/>
                <w:szCs w:val="16"/>
              </w:rPr>
              <w:t xml:space="preserve"> 62 to 63; </w:t>
            </w:r>
            <w:proofErr w:type="spellStart"/>
            <w:r w:rsidRPr="00A05642">
              <w:rPr>
                <w:i/>
                <w:color w:val="000000"/>
                <w:sz w:val="16"/>
                <w:szCs w:val="16"/>
              </w:rPr>
              <w:t>n</w:t>
            </w:r>
            <w:r w:rsidRPr="00A05642">
              <w:rPr>
                <w:color w:val="000000"/>
                <w:sz w:val="16"/>
                <w:szCs w:val="16"/>
                <w:vertAlign w:val="subscript"/>
              </w:rPr>
              <w:t>females</w:t>
            </w:r>
            <w:proofErr w:type="spellEnd"/>
            <w:r w:rsidRPr="00A05642">
              <w:rPr>
                <w:color w:val="000000"/>
                <w:sz w:val="16"/>
                <w:szCs w:val="16"/>
                <w:vertAlign w:val="sub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= </w:t>
            </w:r>
            <w:r w:rsidRPr="00A05642">
              <w:rPr>
                <w:color w:val="000000"/>
                <w:sz w:val="16"/>
                <w:szCs w:val="16"/>
              </w:rPr>
              <w:t xml:space="preserve"> 210 to 212).</w:t>
            </w:r>
          </w:p>
        </w:tc>
      </w:tr>
      <w:tr w:rsidR="006F134A" w:rsidRPr="00A05642" w:rsidTr="00710E70">
        <w:trPr>
          <w:gridAfter w:val="1"/>
          <w:wAfter w:w="80" w:type="pct"/>
          <w:trHeight w:val="20"/>
        </w:trPr>
        <w:tc>
          <w:tcPr>
            <w:tcW w:w="492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34A" w:rsidRPr="00A05642" w:rsidRDefault="006F134A" w:rsidP="00710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523EC" w:rsidRPr="008E6B11" w:rsidRDefault="00B523EC" w:rsidP="00261C6A">
      <w:pPr>
        <w:pStyle w:val="NormalWeb"/>
        <w:spacing w:before="0" w:beforeAutospacing="0" w:after="0" w:afterAutospacing="0" w:line="480" w:lineRule="auto"/>
        <w:rPr>
          <w:color w:val="000000" w:themeColor="text1"/>
        </w:rPr>
      </w:pPr>
      <w:bookmarkStart w:id="0" w:name="_GoBack"/>
      <w:bookmarkEnd w:id="0"/>
    </w:p>
    <w:sectPr w:rsidR="00B523EC" w:rsidRPr="008E6B11" w:rsidSect="00B523EC">
      <w:pgSz w:w="11906" w:h="16838" w:code="9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07" w:rsidRDefault="009D0A07">
      <w:r>
        <w:separator/>
      </w:r>
    </w:p>
  </w:endnote>
  <w:endnote w:type="continuationSeparator" w:id="0">
    <w:p w:rsidR="009D0A07" w:rsidRDefault="009D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35032"/>
      <w:docPartObj>
        <w:docPartGallery w:val="Page Numbers (Bottom of Page)"/>
        <w:docPartUnique/>
      </w:docPartObj>
    </w:sdtPr>
    <w:sdtEndPr/>
    <w:sdtContent>
      <w:p w:rsidR="00582436" w:rsidRDefault="00261C6A" w:rsidP="00F859B2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5798"/>
      <w:docPartObj>
        <w:docPartGallery w:val="Page Numbers (Bottom of Page)"/>
        <w:docPartUnique/>
      </w:docPartObj>
    </w:sdtPr>
    <w:sdtEndPr/>
    <w:sdtContent>
      <w:p w:rsidR="00582436" w:rsidRDefault="00261C6A" w:rsidP="00C078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5800"/>
      <w:docPartObj>
        <w:docPartGallery w:val="Page Numbers (Bottom of Page)"/>
        <w:docPartUnique/>
      </w:docPartObj>
    </w:sdtPr>
    <w:sdtEndPr/>
    <w:sdtContent>
      <w:p w:rsidR="00582436" w:rsidRDefault="00261C6A" w:rsidP="00C078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2376"/>
      <w:docPartObj>
        <w:docPartGallery w:val="Page Numbers (Bottom of Page)"/>
        <w:docPartUnique/>
      </w:docPartObj>
    </w:sdtPr>
    <w:sdtContent>
      <w:p w:rsidR="006F134A" w:rsidRDefault="006F134A" w:rsidP="008C7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C6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07" w:rsidRDefault="009D0A07">
      <w:r>
        <w:separator/>
      </w:r>
    </w:p>
  </w:footnote>
  <w:footnote w:type="continuationSeparator" w:id="0">
    <w:p w:rsidR="009D0A07" w:rsidRDefault="009D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36" w:rsidRPr="00F859B2" w:rsidRDefault="00582436" w:rsidP="007E4AE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Running Head: PARANORMAL </w:t>
    </w:r>
    <w:r w:rsidRPr="00F859B2">
      <w:rPr>
        <w:sz w:val="20"/>
        <w:szCs w:val="20"/>
      </w:rPr>
      <w:t xml:space="preserve">BELIEF </w:t>
    </w:r>
    <w:r>
      <w:rPr>
        <w:sz w:val="20"/>
        <w:szCs w:val="20"/>
      </w:rPr>
      <w:t xml:space="preserve">TYPES </w:t>
    </w:r>
    <w:r w:rsidRPr="00F859B2">
      <w:rPr>
        <w:sz w:val="20"/>
        <w:szCs w:val="20"/>
      </w:rPr>
      <w:t>&amp; DIGIT RATIO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671F"/>
    <w:multiLevelType w:val="hybridMultilevel"/>
    <w:tmpl w:val="C036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8DB"/>
    <w:multiLevelType w:val="hybridMultilevel"/>
    <w:tmpl w:val="EFBCB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75C0"/>
    <w:multiLevelType w:val="hybridMultilevel"/>
    <w:tmpl w:val="9710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F316B"/>
    <w:multiLevelType w:val="hybridMultilevel"/>
    <w:tmpl w:val="2886F964"/>
    <w:lvl w:ilvl="0" w:tplc="A8509E0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53593D"/>
    <w:multiLevelType w:val="hybridMultilevel"/>
    <w:tmpl w:val="A516DD48"/>
    <w:lvl w:ilvl="0" w:tplc="8FB24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0146"/>
    <w:multiLevelType w:val="hybridMultilevel"/>
    <w:tmpl w:val="A802D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13D20"/>
    <w:multiLevelType w:val="hybridMultilevel"/>
    <w:tmpl w:val="30BC1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7E1F"/>
    <w:multiLevelType w:val="hybridMultilevel"/>
    <w:tmpl w:val="0354E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80"/>
    <w:rsid w:val="00000213"/>
    <w:rsid w:val="000002B6"/>
    <w:rsid w:val="0000090B"/>
    <w:rsid w:val="000015E4"/>
    <w:rsid w:val="000035C2"/>
    <w:rsid w:val="00003E30"/>
    <w:rsid w:val="0000429E"/>
    <w:rsid w:val="00004B9A"/>
    <w:rsid w:val="00004BFB"/>
    <w:rsid w:val="00005964"/>
    <w:rsid w:val="00006792"/>
    <w:rsid w:val="000126CC"/>
    <w:rsid w:val="000130B1"/>
    <w:rsid w:val="000145A4"/>
    <w:rsid w:val="00014728"/>
    <w:rsid w:val="00015049"/>
    <w:rsid w:val="0001526A"/>
    <w:rsid w:val="000161C1"/>
    <w:rsid w:val="000216CF"/>
    <w:rsid w:val="000225DF"/>
    <w:rsid w:val="000227C2"/>
    <w:rsid w:val="000244E8"/>
    <w:rsid w:val="00025684"/>
    <w:rsid w:val="000259ED"/>
    <w:rsid w:val="00025F64"/>
    <w:rsid w:val="00026C51"/>
    <w:rsid w:val="00027944"/>
    <w:rsid w:val="000300A0"/>
    <w:rsid w:val="000302A3"/>
    <w:rsid w:val="0003166C"/>
    <w:rsid w:val="00031C43"/>
    <w:rsid w:val="0003224B"/>
    <w:rsid w:val="0003242C"/>
    <w:rsid w:val="0003250D"/>
    <w:rsid w:val="00033848"/>
    <w:rsid w:val="000338DB"/>
    <w:rsid w:val="000344DE"/>
    <w:rsid w:val="00035310"/>
    <w:rsid w:val="00037F74"/>
    <w:rsid w:val="00040A48"/>
    <w:rsid w:val="000425CC"/>
    <w:rsid w:val="0004334F"/>
    <w:rsid w:val="00044821"/>
    <w:rsid w:val="000507C8"/>
    <w:rsid w:val="00051ACF"/>
    <w:rsid w:val="0005349A"/>
    <w:rsid w:val="00054164"/>
    <w:rsid w:val="00054368"/>
    <w:rsid w:val="00055744"/>
    <w:rsid w:val="00056EAE"/>
    <w:rsid w:val="00057949"/>
    <w:rsid w:val="00057B4A"/>
    <w:rsid w:val="000609F7"/>
    <w:rsid w:val="0006212C"/>
    <w:rsid w:val="00062AAB"/>
    <w:rsid w:val="00062B2D"/>
    <w:rsid w:val="00066189"/>
    <w:rsid w:val="00066711"/>
    <w:rsid w:val="00066D76"/>
    <w:rsid w:val="000701A7"/>
    <w:rsid w:val="000724F7"/>
    <w:rsid w:val="000728DA"/>
    <w:rsid w:val="00076583"/>
    <w:rsid w:val="00076B0D"/>
    <w:rsid w:val="000773C1"/>
    <w:rsid w:val="000779D1"/>
    <w:rsid w:val="00077D77"/>
    <w:rsid w:val="000808B3"/>
    <w:rsid w:val="00081AF3"/>
    <w:rsid w:val="000822B3"/>
    <w:rsid w:val="000830DE"/>
    <w:rsid w:val="0008363D"/>
    <w:rsid w:val="00085C19"/>
    <w:rsid w:val="00090076"/>
    <w:rsid w:val="000904CD"/>
    <w:rsid w:val="00090A76"/>
    <w:rsid w:val="000931DA"/>
    <w:rsid w:val="00093BB6"/>
    <w:rsid w:val="00094402"/>
    <w:rsid w:val="000949EB"/>
    <w:rsid w:val="00095B4C"/>
    <w:rsid w:val="00096266"/>
    <w:rsid w:val="000971B8"/>
    <w:rsid w:val="00097F01"/>
    <w:rsid w:val="000A05B7"/>
    <w:rsid w:val="000A2BE1"/>
    <w:rsid w:val="000A4FEF"/>
    <w:rsid w:val="000A6089"/>
    <w:rsid w:val="000A65D3"/>
    <w:rsid w:val="000B30F3"/>
    <w:rsid w:val="000B329D"/>
    <w:rsid w:val="000B4D7B"/>
    <w:rsid w:val="000B5CA9"/>
    <w:rsid w:val="000C04CF"/>
    <w:rsid w:val="000C2881"/>
    <w:rsid w:val="000C48B5"/>
    <w:rsid w:val="000C69EA"/>
    <w:rsid w:val="000D0778"/>
    <w:rsid w:val="000D1103"/>
    <w:rsid w:val="000D113C"/>
    <w:rsid w:val="000D1A6D"/>
    <w:rsid w:val="000D239F"/>
    <w:rsid w:val="000D2FD1"/>
    <w:rsid w:val="000D32F8"/>
    <w:rsid w:val="000D374B"/>
    <w:rsid w:val="000D3FD4"/>
    <w:rsid w:val="000D41C3"/>
    <w:rsid w:val="000D4301"/>
    <w:rsid w:val="000D4C48"/>
    <w:rsid w:val="000D641F"/>
    <w:rsid w:val="000D6E13"/>
    <w:rsid w:val="000E309B"/>
    <w:rsid w:val="000E30E5"/>
    <w:rsid w:val="000E47A2"/>
    <w:rsid w:val="000E5941"/>
    <w:rsid w:val="000E613F"/>
    <w:rsid w:val="000E7178"/>
    <w:rsid w:val="000E72CA"/>
    <w:rsid w:val="000E72EE"/>
    <w:rsid w:val="000F1F4B"/>
    <w:rsid w:val="000F25E9"/>
    <w:rsid w:val="000F2E99"/>
    <w:rsid w:val="000F47AF"/>
    <w:rsid w:val="000F5EAE"/>
    <w:rsid w:val="000F5ED6"/>
    <w:rsid w:val="000F6C2C"/>
    <w:rsid w:val="001000E3"/>
    <w:rsid w:val="00101943"/>
    <w:rsid w:val="00102E80"/>
    <w:rsid w:val="00103559"/>
    <w:rsid w:val="00104B38"/>
    <w:rsid w:val="00104C5D"/>
    <w:rsid w:val="00105F76"/>
    <w:rsid w:val="00106CD3"/>
    <w:rsid w:val="00114423"/>
    <w:rsid w:val="0011446B"/>
    <w:rsid w:val="00116816"/>
    <w:rsid w:val="00116CE1"/>
    <w:rsid w:val="00120A6A"/>
    <w:rsid w:val="00121587"/>
    <w:rsid w:val="0013075B"/>
    <w:rsid w:val="00130A9E"/>
    <w:rsid w:val="00131846"/>
    <w:rsid w:val="001330D2"/>
    <w:rsid w:val="00133A34"/>
    <w:rsid w:val="00136E86"/>
    <w:rsid w:val="00140BA8"/>
    <w:rsid w:val="0014124D"/>
    <w:rsid w:val="00141CDC"/>
    <w:rsid w:val="00142982"/>
    <w:rsid w:val="00142F1C"/>
    <w:rsid w:val="00143BAD"/>
    <w:rsid w:val="001455F7"/>
    <w:rsid w:val="00145627"/>
    <w:rsid w:val="00145A5B"/>
    <w:rsid w:val="00145D72"/>
    <w:rsid w:val="001462D3"/>
    <w:rsid w:val="00146D51"/>
    <w:rsid w:val="00147931"/>
    <w:rsid w:val="001519D5"/>
    <w:rsid w:val="00151CFC"/>
    <w:rsid w:val="00152DDF"/>
    <w:rsid w:val="0015415D"/>
    <w:rsid w:val="0015472B"/>
    <w:rsid w:val="00155533"/>
    <w:rsid w:val="00155BE9"/>
    <w:rsid w:val="00161EC5"/>
    <w:rsid w:val="00162010"/>
    <w:rsid w:val="001636C1"/>
    <w:rsid w:val="00163D20"/>
    <w:rsid w:val="00165860"/>
    <w:rsid w:val="00165B82"/>
    <w:rsid w:val="0016638A"/>
    <w:rsid w:val="00166751"/>
    <w:rsid w:val="001678FA"/>
    <w:rsid w:val="0017321C"/>
    <w:rsid w:val="00174709"/>
    <w:rsid w:val="0018058E"/>
    <w:rsid w:val="00180CDA"/>
    <w:rsid w:val="00180D05"/>
    <w:rsid w:val="00180EE2"/>
    <w:rsid w:val="00180FA3"/>
    <w:rsid w:val="001811B8"/>
    <w:rsid w:val="0018351C"/>
    <w:rsid w:val="00183B9D"/>
    <w:rsid w:val="001859FA"/>
    <w:rsid w:val="00187554"/>
    <w:rsid w:val="00187E3B"/>
    <w:rsid w:val="00191941"/>
    <w:rsid w:val="00193845"/>
    <w:rsid w:val="00195C2C"/>
    <w:rsid w:val="0019758B"/>
    <w:rsid w:val="00197605"/>
    <w:rsid w:val="001A1547"/>
    <w:rsid w:val="001A16A1"/>
    <w:rsid w:val="001A2314"/>
    <w:rsid w:val="001A3365"/>
    <w:rsid w:val="001A4CD2"/>
    <w:rsid w:val="001A5455"/>
    <w:rsid w:val="001A56DC"/>
    <w:rsid w:val="001A57F2"/>
    <w:rsid w:val="001B02D2"/>
    <w:rsid w:val="001B201C"/>
    <w:rsid w:val="001B2CE7"/>
    <w:rsid w:val="001B3F89"/>
    <w:rsid w:val="001B4687"/>
    <w:rsid w:val="001B496B"/>
    <w:rsid w:val="001B5F33"/>
    <w:rsid w:val="001B6127"/>
    <w:rsid w:val="001B62B1"/>
    <w:rsid w:val="001B658C"/>
    <w:rsid w:val="001B6ABA"/>
    <w:rsid w:val="001B7A9E"/>
    <w:rsid w:val="001C0800"/>
    <w:rsid w:val="001C228C"/>
    <w:rsid w:val="001C27D9"/>
    <w:rsid w:val="001C3908"/>
    <w:rsid w:val="001C42B4"/>
    <w:rsid w:val="001C44C4"/>
    <w:rsid w:val="001C4BD1"/>
    <w:rsid w:val="001C759A"/>
    <w:rsid w:val="001D1983"/>
    <w:rsid w:val="001D1D25"/>
    <w:rsid w:val="001D442A"/>
    <w:rsid w:val="001D4EB6"/>
    <w:rsid w:val="001D5996"/>
    <w:rsid w:val="001E0D07"/>
    <w:rsid w:val="001E1EFF"/>
    <w:rsid w:val="001E3126"/>
    <w:rsid w:val="001E3CD0"/>
    <w:rsid w:val="001E5D8E"/>
    <w:rsid w:val="001E5DE4"/>
    <w:rsid w:val="001E6637"/>
    <w:rsid w:val="001E77A2"/>
    <w:rsid w:val="001E7BB9"/>
    <w:rsid w:val="001F17E5"/>
    <w:rsid w:val="001F190E"/>
    <w:rsid w:val="001F1AA6"/>
    <w:rsid w:val="001F20C7"/>
    <w:rsid w:val="001F2C67"/>
    <w:rsid w:val="001F3A9A"/>
    <w:rsid w:val="001F3AA8"/>
    <w:rsid w:val="001F3D84"/>
    <w:rsid w:val="001F4A6B"/>
    <w:rsid w:val="001F68BD"/>
    <w:rsid w:val="001F7873"/>
    <w:rsid w:val="00200C55"/>
    <w:rsid w:val="00201035"/>
    <w:rsid w:val="00203C05"/>
    <w:rsid w:val="00203CFD"/>
    <w:rsid w:val="00204AA8"/>
    <w:rsid w:val="00211C71"/>
    <w:rsid w:val="002128C3"/>
    <w:rsid w:val="002129F7"/>
    <w:rsid w:val="00215F0D"/>
    <w:rsid w:val="002175C1"/>
    <w:rsid w:val="00220834"/>
    <w:rsid w:val="00221E10"/>
    <w:rsid w:val="00222182"/>
    <w:rsid w:val="002242B9"/>
    <w:rsid w:val="002252F3"/>
    <w:rsid w:val="00232141"/>
    <w:rsid w:val="0023262F"/>
    <w:rsid w:val="00235DCC"/>
    <w:rsid w:val="00236F2E"/>
    <w:rsid w:val="00236F51"/>
    <w:rsid w:val="00241771"/>
    <w:rsid w:val="00244056"/>
    <w:rsid w:val="0025193B"/>
    <w:rsid w:val="00254013"/>
    <w:rsid w:val="002545F8"/>
    <w:rsid w:val="00254680"/>
    <w:rsid w:val="00256A0B"/>
    <w:rsid w:val="00261C6A"/>
    <w:rsid w:val="0026227F"/>
    <w:rsid w:val="0026228D"/>
    <w:rsid w:val="0026229B"/>
    <w:rsid w:val="00263F7D"/>
    <w:rsid w:val="00267481"/>
    <w:rsid w:val="00271FCD"/>
    <w:rsid w:val="00273933"/>
    <w:rsid w:val="00274662"/>
    <w:rsid w:val="002772AD"/>
    <w:rsid w:val="00277D95"/>
    <w:rsid w:val="00286914"/>
    <w:rsid w:val="0029180A"/>
    <w:rsid w:val="00292B08"/>
    <w:rsid w:val="00292D9B"/>
    <w:rsid w:val="00292F20"/>
    <w:rsid w:val="002932DC"/>
    <w:rsid w:val="002959A4"/>
    <w:rsid w:val="00296D3A"/>
    <w:rsid w:val="00297270"/>
    <w:rsid w:val="00297D8D"/>
    <w:rsid w:val="002A18EC"/>
    <w:rsid w:val="002A1F73"/>
    <w:rsid w:val="002A2809"/>
    <w:rsid w:val="002A2EB5"/>
    <w:rsid w:val="002A5325"/>
    <w:rsid w:val="002A5EC3"/>
    <w:rsid w:val="002A5F06"/>
    <w:rsid w:val="002A6776"/>
    <w:rsid w:val="002A7EEC"/>
    <w:rsid w:val="002B2700"/>
    <w:rsid w:val="002B2797"/>
    <w:rsid w:val="002B3D9C"/>
    <w:rsid w:val="002B6C08"/>
    <w:rsid w:val="002B794D"/>
    <w:rsid w:val="002B7AA8"/>
    <w:rsid w:val="002C02E6"/>
    <w:rsid w:val="002C2B8B"/>
    <w:rsid w:val="002C32A3"/>
    <w:rsid w:val="002C68D1"/>
    <w:rsid w:val="002C6AA5"/>
    <w:rsid w:val="002D05C7"/>
    <w:rsid w:val="002D1540"/>
    <w:rsid w:val="002D1E65"/>
    <w:rsid w:val="002D280B"/>
    <w:rsid w:val="002D3073"/>
    <w:rsid w:val="002D36E1"/>
    <w:rsid w:val="002D3D44"/>
    <w:rsid w:val="002D3F68"/>
    <w:rsid w:val="002D4648"/>
    <w:rsid w:val="002D6B90"/>
    <w:rsid w:val="002E1244"/>
    <w:rsid w:val="002E152F"/>
    <w:rsid w:val="002E338B"/>
    <w:rsid w:val="002E3C1C"/>
    <w:rsid w:val="002E4542"/>
    <w:rsid w:val="002E5832"/>
    <w:rsid w:val="002E62BD"/>
    <w:rsid w:val="002E62FA"/>
    <w:rsid w:val="002E6801"/>
    <w:rsid w:val="002E7864"/>
    <w:rsid w:val="002E7FB3"/>
    <w:rsid w:val="002F0836"/>
    <w:rsid w:val="002F0929"/>
    <w:rsid w:val="002F1A33"/>
    <w:rsid w:val="002F24F0"/>
    <w:rsid w:val="002F29F5"/>
    <w:rsid w:val="002F2CE6"/>
    <w:rsid w:val="002F3D60"/>
    <w:rsid w:val="002F6AB3"/>
    <w:rsid w:val="002F7D33"/>
    <w:rsid w:val="003049D5"/>
    <w:rsid w:val="00306839"/>
    <w:rsid w:val="00306C51"/>
    <w:rsid w:val="00310FBC"/>
    <w:rsid w:val="00312AAC"/>
    <w:rsid w:val="00312D95"/>
    <w:rsid w:val="00313278"/>
    <w:rsid w:val="0031462F"/>
    <w:rsid w:val="00315E6A"/>
    <w:rsid w:val="003178B2"/>
    <w:rsid w:val="00320E5C"/>
    <w:rsid w:val="0032136F"/>
    <w:rsid w:val="0032141A"/>
    <w:rsid w:val="00321A84"/>
    <w:rsid w:val="003222A8"/>
    <w:rsid w:val="00326D53"/>
    <w:rsid w:val="003276F9"/>
    <w:rsid w:val="00327EF3"/>
    <w:rsid w:val="00330735"/>
    <w:rsid w:val="00331660"/>
    <w:rsid w:val="00332913"/>
    <w:rsid w:val="003340A5"/>
    <w:rsid w:val="00334A82"/>
    <w:rsid w:val="0033504F"/>
    <w:rsid w:val="00335373"/>
    <w:rsid w:val="003355DE"/>
    <w:rsid w:val="00335A51"/>
    <w:rsid w:val="0033692C"/>
    <w:rsid w:val="00337BC6"/>
    <w:rsid w:val="0034071E"/>
    <w:rsid w:val="00341210"/>
    <w:rsid w:val="003425A4"/>
    <w:rsid w:val="00343649"/>
    <w:rsid w:val="00343A1A"/>
    <w:rsid w:val="00344653"/>
    <w:rsid w:val="00344D95"/>
    <w:rsid w:val="00345228"/>
    <w:rsid w:val="0034569D"/>
    <w:rsid w:val="00346067"/>
    <w:rsid w:val="003465A5"/>
    <w:rsid w:val="00347EAC"/>
    <w:rsid w:val="003504AB"/>
    <w:rsid w:val="003509B0"/>
    <w:rsid w:val="00350BB8"/>
    <w:rsid w:val="003515CA"/>
    <w:rsid w:val="00351B69"/>
    <w:rsid w:val="00352DFF"/>
    <w:rsid w:val="003538C2"/>
    <w:rsid w:val="00353D07"/>
    <w:rsid w:val="00353DDE"/>
    <w:rsid w:val="00356BC2"/>
    <w:rsid w:val="00364182"/>
    <w:rsid w:val="00364F75"/>
    <w:rsid w:val="00365169"/>
    <w:rsid w:val="003674BF"/>
    <w:rsid w:val="003679A1"/>
    <w:rsid w:val="00367DE9"/>
    <w:rsid w:val="00372062"/>
    <w:rsid w:val="003728D7"/>
    <w:rsid w:val="0037673A"/>
    <w:rsid w:val="003767E8"/>
    <w:rsid w:val="00380B76"/>
    <w:rsid w:val="00381EED"/>
    <w:rsid w:val="00382B85"/>
    <w:rsid w:val="00383FB7"/>
    <w:rsid w:val="0038709A"/>
    <w:rsid w:val="0039206C"/>
    <w:rsid w:val="003927C4"/>
    <w:rsid w:val="00392DE4"/>
    <w:rsid w:val="00393A90"/>
    <w:rsid w:val="003941EF"/>
    <w:rsid w:val="00394A26"/>
    <w:rsid w:val="00395742"/>
    <w:rsid w:val="003958A3"/>
    <w:rsid w:val="00395ADE"/>
    <w:rsid w:val="00395C27"/>
    <w:rsid w:val="003961C8"/>
    <w:rsid w:val="003972D9"/>
    <w:rsid w:val="00397DF1"/>
    <w:rsid w:val="003A0938"/>
    <w:rsid w:val="003A0D95"/>
    <w:rsid w:val="003A1535"/>
    <w:rsid w:val="003A3BA2"/>
    <w:rsid w:val="003A3F6B"/>
    <w:rsid w:val="003A5DDA"/>
    <w:rsid w:val="003A5E8C"/>
    <w:rsid w:val="003A6D04"/>
    <w:rsid w:val="003A7100"/>
    <w:rsid w:val="003A752C"/>
    <w:rsid w:val="003A7AED"/>
    <w:rsid w:val="003B058C"/>
    <w:rsid w:val="003B08A3"/>
    <w:rsid w:val="003B1B8D"/>
    <w:rsid w:val="003B1FB5"/>
    <w:rsid w:val="003B23A0"/>
    <w:rsid w:val="003B23BD"/>
    <w:rsid w:val="003B2A09"/>
    <w:rsid w:val="003B3A7D"/>
    <w:rsid w:val="003B470A"/>
    <w:rsid w:val="003B471A"/>
    <w:rsid w:val="003B499A"/>
    <w:rsid w:val="003B73A0"/>
    <w:rsid w:val="003B78D5"/>
    <w:rsid w:val="003C1712"/>
    <w:rsid w:val="003C2FA8"/>
    <w:rsid w:val="003C305B"/>
    <w:rsid w:val="003C3D23"/>
    <w:rsid w:val="003C4459"/>
    <w:rsid w:val="003C4D49"/>
    <w:rsid w:val="003C5542"/>
    <w:rsid w:val="003C69DB"/>
    <w:rsid w:val="003C76E9"/>
    <w:rsid w:val="003D1208"/>
    <w:rsid w:val="003D189F"/>
    <w:rsid w:val="003D271A"/>
    <w:rsid w:val="003D27D0"/>
    <w:rsid w:val="003D33D7"/>
    <w:rsid w:val="003D33D8"/>
    <w:rsid w:val="003D3CF6"/>
    <w:rsid w:val="003D7E1D"/>
    <w:rsid w:val="003E03CF"/>
    <w:rsid w:val="003E1FA3"/>
    <w:rsid w:val="003E2C05"/>
    <w:rsid w:val="003E2DC7"/>
    <w:rsid w:val="003E5232"/>
    <w:rsid w:val="003E5AB9"/>
    <w:rsid w:val="003E604A"/>
    <w:rsid w:val="003E7C2B"/>
    <w:rsid w:val="003F0C69"/>
    <w:rsid w:val="003F30FB"/>
    <w:rsid w:val="003F3FDF"/>
    <w:rsid w:val="003F4A54"/>
    <w:rsid w:val="00400075"/>
    <w:rsid w:val="00400997"/>
    <w:rsid w:val="004018D4"/>
    <w:rsid w:val="00401954"/>
    <w:rsid w:val="00402534"/>
    <w:rsid w:val="00402922"/>
    <w:rsid w:val="00403411"/>
    <w:rsid w:val="00403698"/>
    <w:rsid w:val="00403E73"/>
    <w:rsid w:val="0040509B"/>
    <w:rsid w:val="00407453"/>
    <w:rsid w:val="00412A10"/>
    <w:rsid w:val="00412B07"/>
    <w:rsid w:val="00414202"/>
    <w:rsid w:val="00414315"/>
    <w:rsid w:val="00416D88"/>
    <w:rsid w:val="00417014"/>
    <w:rsid w:val="00417312"/>
    <w:rsid w:val="0041743C"/>
    <w:rsid w:val="004242AE"/>
    <w:rsid w:val="00424E7D"/>
    <w:rsid w:val="004252D7"/>
    <w:rsid w:val="004254FA"/>
    <w:rsid w:val="004258EB"/>
    <w:rsid w:val="00425E0E"/>
    <w:rsid w:val="00426BD6"/>
    <w:rsid w:val="00426D2E"/>
    <w:rsid w:val="00430D90"/>
    <w:rsid w:val="00431ACB"/>
    <w:rsid w:val="00431BB6"/>
    <w:rsid w:val="00433870"/>
    <w:rsid w:val="004338E7"/>
    <w:rsid w:val="00435FBB"/>
    <w:rsid w:val="00437740"/>
    <w:rsid w:val="00441B16"/>
    <w:rsid w:val="00442AD9"/>
    <w:rsid w:val="00442CF8"/>
    <w:rsid w:val="004430BA"/>
    <w:rsid w:val="004436FB"/>
    <w:rsid w:val="00443A05"/>
    <w:rsid w:val="00444608"/>
    <w:rsid w:val="004446A5"/>
    <w:rsid w:val="004448B6"/>
    <w:rsid w:val="004455B9"/>
    <w:rsid w:val="00445A9D"/>
    <w:rsid w:val="0045017F"/>
    <w:rsid w:val="004513A3"/>
    <w:rsid w:val="0045304E"/>
    <w:rsid w:val="00453CD6"/>
    <w:rsid w:val="00454382"/>
    <w:rsid w:val="0045535C"/>
    <w:rsid w:val="00456806"/>
    <w:rsid w:val="00457135"/>
    <w:rsid w:val="00457624"/>
    <w:rsid w:val="00461A7C"/>
    <w:rsid w:val="004627AE"/>
    <w:rsid w:val="004635C4"/>
    <w:rsid w:val="004640F9"/>
    <w:rsid w:val="00471B62"/>
    <w:rsid w:val="00474C85"/>
    <w:rsid w:val="00475153"/>
    <w:rsid w:val="00475A12"/>
    <w:rsid w:val="004766A0"/>
    <w:rsid w:val="00482454"/>
    <w:rsid w:val="00482659"/>
    <w:rsid w:val="00483755"/>
    <w:rsid w:val="00484542"/>
    <w:rsid w:val="00484862"/>
    <w:rsid w:val="00484BE9"/>
    <w:rsid w:val="00485186"/>
    <w:rsid w:val="00485B01"/>
    <w:rsid w:val="004871FA"/>
    <w:rsid w:val="00487B1A"/>
    <w:rsid w:val="004901A7"/>
    <w:rsid w:val="004939BE"/>
    <w:rsid w:val="004943C4"/>
    <w:rsid w:val="00494766"/>
    <w:rsid w:val="004950D7"/>
    <w:rsid w:val="004953F4"/>
    <w:rsid w:val="00496254"/>
    <w:rsid w:val="004968A0"/>
    <w:rsid w:val="004970AB"/>
    <w:rsid w:val="00497555"/>
    <w:rsid w:val="00497EAF"/>
    <w:rsid w:val="004A0100"/>
    <w:rsid w:val="004A03B5"/>
    <w:rsid w:val="004A1278"/>
    <w:rsid w:val="004A6989"/>
    <w:rsid w:val="004B0718"/>
    <w:rsid w:val="004B2DC7"/>
    <w:rsid w:val="004B4515"/>
    <w:rsid w:val="004C0C1A"/>
    <w:rsid w:val="004C0E28"/>
    <w:rsid w:val="004C3F2A"/>
    <w:rsid w:val="004C4D6A"/>
    <w:rsid w:val="004C57C7"/>
    <w:rsid w:val="004C6434"/>
    <w:rsid w:val="004D01D6"/>
    <w:rsid w:val="004D23FA"/>
    <w:rsid w:val="004D2874"/>
    <w:rsid w:val="004D33FC"/>
    <w:rsid w:val="004D53EE"/>
    <w:rsid w:val="004D662E"/>
    <w:rsid w:val="004D7428"/>
    <w:rsid w:val="004E2C64"/>
    <w:rsid w:val="004E327B"/>
    <w:rsid w:val="004E5F4C"/>
    <w:rsid w:val="004E779A"/>
    <w:rsid w:val="004E7C98"/>
    <w:rsid w:val="004F08B9"/>
    <w:rsid w:val="004F0C47"/>
    <w:rsid w:val="004F2C49"/>
    <w:rsid w:val="004F3823"/>
    <w:rsid w:val="004F3B1A"/>
    <w:rsid w:val="004F5AED"/>
    <w:rsid w:val="004F6162"/>
    <w:rsid w:val="004F6283"/>
    <w:rsid w:val="00500551"/>
    <w:rsid w:val="00502195"/>
    <w:rsid w:val="005027CD"/>
    <w:rsid w:val="005030E3"/>
    <w:rsid w:val="00503A9A"/>
    <w:rsid w:val="005046B8"/>
    <w:rsid w:val="00504A22"/>
    <w:rsid w:val="00505410"/>
    <w:rsid w:val="005108D2"/>
    <w:rsid w:val="00513750"/>
    <w:rsid w:val="005148EF"/>
    <w:rsid w:val="00514F58"/>
    <w:rsid w:val="00520403"/>
    <w:rsid w:val="00521015"/>
    <w:rsid w:val="00521AAB"/>
    <w:rsid w:val="00522322"/>
    <w:rsid w:val="00527894"/>
    <w:rsid w:val="00530A37"/>
    <w:rsid w:val="005334B4"/>
    <w:rsid w:val="00533BE7"/>
    <w:rsid w:val="00533E9F"/>
    <w:rsid w:val="0053559C"/>
    <w:rsid w:val="00535B2B"/>
    <w:rsid w:val="00535C64"/>
    <w:rsid w:val="00535FA0"/>
    <w:rsid w:val="00536731"/>
    <w:rsid w:val="005372CE"/>
    <w:rsid w:val="00543220"/>
    <w:rsid w:val="005437E9"/>
    <w:rsid w:val="00543D2D"/>
    <w:rsid w:val="00544294"/>
    <w:rsid w:val="00544F59"/>
    <w:rsid w:val="00545337"/>
    <w:rsid w:val="0054537C"/>
    <w:rsid w:val="00545550"/>
    <w:rsid w:val="005455DC"/>
    <w:rsid w:val="0054627D"/>
    <w:rsid w:val="005468B3"/>
    <w:rsid w:val="00546A94"/>
    <w:rsid w:val="00546ABE"/>
    <w:rsid w:val="0055006D"/>
    <w:rsid w:val="00550CC1"/>
    <w:rsid w:val="005513AD"/>
    <w:rsid w:val="00552062"/>
    <w:rsid w:val="005525A8"/>
    <w:rsid w:val="005530DC"/>
    <w:rsid w:val="00555CDB"/>
    <w:rsid w:val="00555EC1"/>
    <w:rsid w:val="00556185"/>
    <w:rsid w:val="005577B8"/>
    <w:rsid w:val="005611CA"/>
    <w:rsid w:val="0056283F"/>
    <w:rsid w:val="00565405"/>
    <w:rsid w:val="00566FC5"/>
    <w:rsid w:val="005674E5"/>
    <w:rsid w:val="005717DF"/>
    <w:rsid w:val="00571B6B"/>
    <w:rsid w:val="00572BCE"/>
    <w:rsid w:val="00572CE4"/>
    <w:rsid w:val="005737AB"/>
    <w:rsid w:val="005739EF"/>
    <w:rsid w:val="00574B39"/>
    <w:rsid w:val="0057576F"/>
    <w:rsid w:val="005757A5"/>
    <w:rsid w:val="00576E91"/>
    <w:rsid w:val="00577691"/>
    <w:rsid w:val="00582060"/>
    <w:rsid w:val="005820D9"/>
    <w:rsid w:val="00582436"/>
    <w:rsid w:val="005829C6"/>
    <w:rsid w:val="00583A14"/>
    <w:rsid w:val="0058582B"/>
    <w:rsid w:val="00586B21"/>
    <w:rsid w:val="005877A1"/>
    <w:rsid w:val="005909C8"/>
    <w:rsid w:val="00590FF8"/>
    <w:rsid w:val="00592897"/>
    <w:rsid w:val="00592DE6"/>
    <w:rsid w:val="00594485"/>
    <w:rsid w:val="0059554F"/>
    <w:rsid w:val="00596065"/>
    <w:rsid w:val="005979E5"/>
    <w:rsid w:val="00597F93"/>
    <w:rsid w:val="005A0CDB"/>
    <w:rsid w:val="005A10EF"/>
    <w:rsid w:val="005A2017"/>
    <w:rsid w:val="005A20A7"/>
    <w:rsid w:val="005A231A"/>
    <w:rsid w:val="005A2FDA"/>
    <w:rsid w:val="005A37FB"/>
    <w:rsid w:val="005A53FE"/>
    <w:rsid w:val="005A629B"/>
    <w:rsid w:val="005A6521"/>
    <w:rsid w:val="005A735F"/>
    <w:rsid w:val="005B179F"/>
    <w:rsid w:val="005B23AC"/>
    <w:rsid w:val="005B27DA"/>
    <w:rsid w:val="005B2F6E"/>
    <w:rsid w:val="005B4290"/>
    <w:rsid w:val="005B4513"/>
    <w:rsid w:val="005B6A8C"/>
    <w:rsid w:val="005C1DFE"/>
    <w:rsid w:val="005C2150"/>
    <w:rsid w:val="005C256A"/>
    <w:rsid w:val="005C2E3E"/>
    <w:rsid w:val="005C4375"/>
    <w:rsid w:val="005C444C"/>
    <w:rsid w:val="005C6EFC"/>
    <w:rsid w:val="005D027C"/>
    <w:rsid w:val="005D1627"/>
    <w:rsid w:val="005D291F"/>
    <w:rsid w:val="005D400A"/>
    <w:rsid w:val="005D522A"/>
    <w:rsid w:val="005D5E18"/>
    <w:rsid w:val="005D6780"/>
    <w:rsid w:val="005E0894"/>
    <w:rsid w:val="005E0B14"/>
    <w:rsid w:val="005E1569"/>
    <w:rsid w:val="005E1E95"/>
    <w:rsid w:val="005E33B6"/>
    <w:rsid w:val="005E41CB"/>
    <w:rsid w:val="005E599A"/>
    <w:rsid w:val="005F2957"/>
    <w:rsid w:val="005F337D"/>
    <w:rsid w:val="005F5144"/>
    <w:rsid w:val="005F6CF0"/>
    <w:rsid w:val="005F7EA5"/>
    <w:rsid w:val="006019A0"/>
    <w:rsid w:val="006021A7"/>
    <w:rsid w:val="00602215"/>
    <w:rsid w:val="00603A01"/>
    <w:rsid w:val="006040EB"/>
    <w:rsid w:val="00604904"/>
    <w:rsid w:val="0060503B"/>
    <w:rsid w:val="00606829"/>
    <w:rsid w:val="00607A7B"/>
    <w:rsid w:val="006105B8"/>
    <w:rsid w:val="006115C5"/>
    <w:rsid w:val="00611AF9"/>
    <w:rsid w:val="00611DA7"/>
    <w:rsid w:val="00612524"/>
    <w:rsid w:val="006145B4"/>
    <w:rsid w:val="00614EA4"/>
    <w:rsid w:val="00616C30"/>
    <w:rsid w:val="00617A99"/>
    <w:rsid w:val="006200D8"/>
    <w:rsid w:val="00620115"/>
    <w:rsid w:val="00621E98"/>
    <w:rsid w:val="00622233"/>
    <w:rsid w:val="006228B6"/>
    <w:rsid w:val="006237F3"/>
    <w:rsid w:val="00623C40"/>
    <w:rsid w:val="006261F9"/>
    <w:rsid w:val="00626E2B"/>
    <w:rsid w:val="00627316"/>
    <w:rsid w:val="00627A69"/>
    <w:rsid w:val="006300BB"/>
    <w:rsid w:val="00630A9E"/>
    <w:rsid w:val="00630E58"/>
    <w:rsid w:val="006310D7"/>
    <w:rsid w:val="006314DD"/>
    <w:rsid w:val="00631C6F"/>
    <w:rsid w:val="0063300E"/>
    <w:rsid w:val="00633E0F"/>
    <w:rsid w:val="006351D4"/>
    <w:rsid w:val="0063596A"/>
    <w:rsid w:val="00637BAF"/>
    <w:rsid w:val="00640971"/>
    <w:rsid w:val="006411F4"/>
    <w:rsid w:val="00642283"/>
    <w:rsid w:val="00644B8C"/>
    <w:rsid w:val="00646082"/>
    <w:rsid w:val="00646D77"/>
    <w:rsid w:val="00650037"/>
    <w:rsid w:val="0065026E"/>
    <w:rsid w:val="00650FB4"/>
    <w:rsid w:val="00652BBC"/>
    <w:rsid w:val="00653533"/>
    <w:rsid w:val="006536EF"/>
    <w:rsid w:val="00653BF6"/>
    <w:rsid w:val="006563A6"/>
    <w:rsid w:val="00660C9A"/>
    <w:rsid w:val="006624BD"/>
    <w:rsid w:val="006638FB"/>
    <w:rsid w:val="006664A4"/>
    <w:rsid w:val="00667D41"/>
    <w:rsid w:val="006711BF"/>
    <w:rsid w:val="0067141A"/>
    <w:rsid w:val="00671607"/>
    <w:rsid w:val="00671720"/>
    <w:rsid w:val="00673D43"/>
    <w:rsid w:val="00674448"/>
    <w:rsid w:val="00675BD0"/>
    <w:rsid w:val="006800DC"/>
    <w:rsid w:val="006809A8"/>
    <w:rsid w:val="0068226F"/>
    <w:rsid w:val="006826DD"/>
    <w:rsid w:val="006834F8"/>
    <w:rsid w:val="00683D30"/>
    <w:rsid w:val="0068400C"/>
    <w:rsid w:val="006904AD"/>
    <w:rsid w:val="00692765"/>
    <w:rsid w:val="00692C6E"/>
    <w:rsid w:val="006939B5"/>
    <w:rsid w:val="00693ECB"/>
    <w:rsid w:val="006950DF"/>
    <w:rsid w:val="00696C6D"/>
    <w:rsid w:val="0069726C"/>
    <w:rsid w:val="006A1790"/>
    <w:rsid w:val="006A2BA7"/>
    <w:rsid w:val="006A3489"/>
    <w:rsid w:val="006A385E"/>
    <w:rsid w:val="006A6321"/>
    <w:rsid w:val="006A6BF7"/>
    <w:rsid w:val="006A6D14"/>
    <w:rsid w:val="006B2FDE"/>
    <w:rsid w:val="006B4469"/>
    <w:rsid w:val="006B6225"/>
    <w:rsid w:val="006B7B65"/>
    <w:rsid w:val="006C24AC"/>
    <w:rsid w:val="006C3AFB"/>
    <w:rsid w:val="006C49E8"/>
    <w:rsid w:val="006C6B52"/>
    <w:rsid w:val="006D044D"/>
    <w:rsid w:val="006D0FB7"/>
    <w:rsid w:val="006D1483"/>
    <w:rsid w:val="006D3095"/>
    <w:rsid w:val="006D6645"/>
    <w:rsid w:val="006E1E72"/>
    <w:rsid w:val="006E2EA7"/>
    <w:rsid w:val="006F0568"/>
    <w:rsid w:val="006F134A"/>
    <w:rsid w:val="006F24A3"/>
    <w:rsid w:val="006F2AC2"/>
    <w:rsid w:val="006F2B36"/>
    <w:rsid w:val="006F3A55"/>
    <w:rsid w:val="006F3DEF"/>
    <w:rsid w:val="006F4D9C"/>
    <w:rsid w:val="006F642B"/>
    <w:rsid w:val="006F6BB6"/>
    <w:rsid w:val="006F76A5"/>
    <w:rsid w:val="00700B5A"/>
    <w:rsid w:val="00701F3D"/>
    <w:rsid w:val="00701FF8"/>
    <w:rsid w:val="00704482"/>
    <w:rsid w:val="007057F1"/>
    <w:rsid w:val="00705926"/>
    <w:rsid w:val="0070760D"/>
    <w:rsid w:val="00710077"/>
    <w:rsid w:val="00710C7C"/>
    <w:rsid w:val="0071256D"/>
    <w:rsid w:val="0071367A"/>
    <w:rsid w:val="007138A8"/>
    <w:rsid w:val="0071391D"/>
    <w:rsid w:val="00713A30"/>
    <w:rsid w:val="00713CB2"/>
    <w:rsid w:val="00713D27"/>
    <w:rsid w:val="007146FD"/>
    <w:rsid w:val="007150B1"/>
    <w:rsid w:val="00715F88"/>
    <w:rsid w:val="007162F8"/>
    <w:rsid w:val="0071773D"/>
    <w:rsid w:val="0072041D"/>
    <w:rsid w:val="00720981"/>
    <w:rsid w:val="007210F6"/>
    <w:rsid w:val="00721E87"/>
    <w:rsid w:val="00721FDF"/>
    <w:rsid w:val="00722562"/>
    <w:rsid w:val="00722933"/>
    <w:rsid w:val="00722D9D"/>
    <w:rsid w:val="00723562"/>
    <w:rsid w:val="00723B66"/>
    <w:rsid w:val="00723E57"/>
    <w:rsid w:val="007253CF"/>
    <w:rsid w:val="00726ABA"/>
    <w:rsid w:val="00730C4A"/>
    <w:rsid w:val="0073469F"/>
    <w:rsid w:val="007358EB"/>
    <w:rsid w:val="00740886"/>
    <w:rsid w:val="007410DD"/>
    <w:rsid w:val="0074189A"/>
    <w:rsid w:val="0074233E"/>
    <w:rsid w:val="0074498A"/>
    <w:rsid w:val="0074534D"/>
    <w:rsid w:val="0074684D"/>
    <w:rsid w:val="00753239"/>
    <w:rsid w:val="007536ED"/>
    <w:rsid w:val="007539CC"/>
    <w:rsid w:val="00753CB9"/>
    <w:rsid w:val="007543D8"/>
    <w:rsid w:val="00754608"/>
    <w:rsid w:val="0075672F"/>
    <w:rsid w:val="00757407"/>
    <w:rsid w:val="0075752C"/>
    <w:rsid w:val="00761EF0"/>
    <w:rsid w:val="00762C32"/>
    <w:rsid w:val="00763DD7"/>
    <w:rsid w:val="0076417A"/>
    <w:rsid w:val="00764335"/>
    <w:rsid w:val="00765DB5"/>
    <w:rsid w:val="00770E81"/>
    <w:rsid w:val="007714C1"/>
    <w:rsid w:val="00771FC0"/>
    <w:rsid w:val="00772089"/>
    <w:rsid w:val="007724EB"/>
    <w:rsid w:val="007734AE"/>
    <w:rsid w:val="00773C36"/>
    <w:rsid w:val="00773E0B"/>
    <w:rsid w:val="00775F1A"/>
    <w:rsid w:val="0077691D"/>
    <w:rsid w:val="0077798B"/>
    <w:rsid w:val="0077799F"/>
    <w:rsid w:val="00777F0C"/>
    <w:rsid w:val="007828E1"/>
    <w:rsid w:val="0078394A"/>
    <w:rsid w:val="0078522E"/>
    <w:rsid w:val="007864C0"/>
    <w:rsid w:val="00791369"/>
    <w:rsid w:val="00791FF9"/>
    <w:rsid w:val="007921B0"/>
    <w:rsid w:val="00792883"/>
    <w:rsid w:val="007933FC"/>
    <w:rsid w:val="00793ADF"/>
    <w:rsid w:val="00793FDC"/>
    <w:rsid w:val="007A0721"/>
    <w:rsid w:val="007A1114"/>
    <w:rsid w:val="007A19C5"/>
    <w:rsid w:val="007A2297"/>
    <w:rsid w:val="007A30FD"/>
    <w:rsid w:val="007A31D1"/>
    <w:rsid w:val="007A4D63"/>
    <w:rsid w:val="007A5A68"/>
    <w:rsid w:val="007A5FB9"/>
    <w:rsid w:val="007A69D6"/>
    <w:rsid w:val="007B0953"/>
    <w:rsid w:val="007B0D36"/>
    <w:rsid w:val="007B144D"/>
    <w:rsid w:val="007B3642"/>
    <w:rsid w:val="007B384F"/>
    <w:rsid w:val="007B3C22"/>
    <w:rsid w:val="007B3F83"/>
    <w:rsid w:val="007B41BB"/>
    <w:rsid w:val="007B5084"/>
    <w:rsid w:val="007B550D"/>
    <w:rsid w:val="007B649E"/>
    <w:rsid w:val="007B662A"/>
    <w:rsid w:val="007B6729"/>
    <w:rsid w:val="007B674E"/>
    <w:rsid w:val="007B7CBF"/>
    <w:rsid w:val="007C0679"/>
    <w:rsid w:val="007C1161"/>
    <w:rsid w:val="007C201E"/>
    <w:rsid w:val="007C2AE0"/>
    <w:rsid w:val="007C3AF1"/>
    <w:rsid w:val="007C6A85"/>
    <w:rsid w:val="007C6B16"/>
    <w:rsid w:val="007C7E17"/>
    <w:rsid w:val="007D0975"/>
    <w:rsid w:val="007D189C"/>
    <w:rsid w:val="007D2452"/>
    <w:rsid w:val="007D3458"/>
    <w:rsid w:val="007D3A45"/>
    <w:rsid w:val="007D6114"/>
    <w:rsid w:val="007D638B"/>
    <w:rsid w:val="007D6CF2"/>
    <w:rsid w:val="007D7952"/>
    <w:rsid w:val="007D7AA5"/>
    <w:rsid w:val="007D7DD0"/>
    <w:rsid w:val="007E05B6"/>
    <w:rsid w:val="007E0CD5"/>
    <w:rsid w:val="007E1440"/>
    <w:rsid w:val="007E14A2"/>
    <w:rsid w:val="007E25DC"/>
    <w:rsid w:val="007E3486"/>
    <w:rsid w:val="007E4AE9"/>
    <w:rsid w:val="007E50FC"/>
    <w:rsid w:val="007E62D6"/>
    <w:rsid w:val="007F13B2"/>
    <w:rsid w:val="007F2A69"/>
    <w:rsid w:val="007F4B7E"/>
    <w:rsid w:val="007F5451"/>
    <w:rsid w:val="007F5DFC"/>
    <w:rsid w:val="007F61C9"/>
    <w:rsid w:val="007F62B0"/>
    <w:rsid w:val="00800CA7"/>
    <w:rsid w:val="0080209F"/>
    <w:rsid w:val="008024D7"/>
    <w:rsid w:val="008025D2"/>
    <w:rsid w:val="00802E29"/>
    <w:rsid w:val="00804D54"/>
    <w:rsid w:val="00806156"/>
    <w:rsid w:val="00807D97"/>
    <w:rsid w:val="00807DCF"/>
    <w:rsid w:val="00807FF6"/>
    <w:rsid w:val="00812CC0"/>
    <w:rsid w:val="00813784"/>
    <w:rsid w:val="00814A63"/>
    <w:rsid w:val="00814E6E"/>
    <w:rsid w:val="008157F1"/>
    <w:rsid w:val="00815A86"/>
    <w:rsid w:val="00817546"/>
    <w:rsid w:val="00820818"/>
    <w:rsid w:val="00821D83"/>
    <w:rsid w:val="00822059"/>
    <w:rsid w:val="00823F5F"/>
    <w:rsid w:val="00825341"/>
    <w:rsid w:val="0082541F"/>
    <w:rsid w:val="0082618A"/>
    <w:rsid w:val="00827A01"/>
    <w:rsid w:val="00827AA3"/>
    <w:rsid w:val="00830BB6"/>
    <w:rsid w:val="00830BD0"/>
    <w:rsid w:val="00832083"/>
    <w:rsid w:val="0083272C"/>
    <w:rsid w:val="00834DD2"/>
    <w:rsid w:val="00837ABC"/>
    <w:rsid w:val="0084050E"/>
    <w:rsid w:val="00840835"/>
    <w:rsid w:val="00840B1D"/>
    <w:rsid w:val="00845C76"/>
    <w:rsid w:val="0084653A"/>
    <w:rsid w:val="008479B9"/>
    <w:rsid w:val="0085250F"/>
    <w:rsid w:val="00853A21"/>
    <w:rsid w:val="0085473C"/>
    <w:rsid w:val="008549F0"/>
    <w:rsid w:val="00854CC6"/>
    <w:rsid w:val="008557C1"/>
    <w:rsid w:val="00856535"/>
    <w:rsid w:val="00856946"/>
    <w:rsid w:val="008607A0"/>
    <w:rsid w:val="00860EEC"/>
    <w:rsid w:val="0086280E"/>
    <w:rsid w:val="00863EA6"/>
    <w:rsid w:val="00865189"/>
    <w:rsid w:val="00865217"/>
    <w:rsid w:val="008660D4"/>
    <w:rsid w:val="00866379"/>
    <w:rsid w:val="0086780C"/>
    <w:rsid w:val="00870E53"/>
    <w:rsid w:val="0087257C"/>
    <w:rsid w:val="008725C3"/>
    <w:rsid w:val="0087352E"/>
    <w:rsid w:val="008748B0"/>
    <w:rsid w:val="00874975"/>
    <w:rsid w:val="00876280"/>
    <w:rsid w:val="008772C6"/>
    <w:rsid w:val="008818D9"/>
    <w:rsid w:val="00881C60"/>
    <w:rsid w:val="008820EE"/>
    <w:rsid w:val="008832C2"/>
    <w:rsid w:val="00884F36"/>
    <w:rsid w:val="008854C8"/>
    <w:rsid w:val="00886DC6"/>
    <w:rsid w:val="00887691"/>
    <w:rsid w:val="00890535"/>
    <w:rsid w:val="00890EC6"/>
    <w:rsid w:val="00892A1B"/>
    <w:rsid w:val="00896DA1"/>
    <w:rsid w:val="00896EBC"/>
    <w:rsid w:val="008970A8"/>
    <w:rsid w:val="00897108"/>
    <w:rsid w:val="00897E86"/>
    <w:rsid w:val="008A01B0"/>
    <w:rsid w:val="008A1CEE"/>
    <w:rsid w:val="008A26A2"/>
    <w:rsid w:val="008A3277"/>
    <w:rsid w:val="008A38A9"/>
    <w:rsid w:val="008A38F6"/>
    <w:rsid w:val="008A5C1A"/>
    <w:rsid w:val="008A737B"/>
    <w:rsid w:val="008B11FB"/>
    <w:rsid w:val="008B26BB"/>
    <w:rsid w:val="008B5D4F"/>
    <w:rsid w:val="008B5EA0"/>
    <w:rsid w:val="008B6D56"/>
    <w:rsid w:val="008B6EE2"/>
    <w:rsid w:val="008C0054"/>
    <w:rsid w:val="008C08C9"/>
    <w:rsid w:val="008C0B32"/>
    <w:rsid w:val="008C12A1"/>
    <w:rsid w:val="008C14F7"/>
    <w:rsid w:val="008C1B1D"/>
    <w:rsid w:val="008C2384"/>
    <w:rsid w:val="008C2C13"/>
    <w:rsid w:val="008C317C"/>
    <w:rsid w:val="008C33D2"/>
    <w:rsid w:val="008C4321"/>
    <w:rsid w:val="008C543A"/>
    <w:rsid w:val="008C55EE"/>
    <w:rsid w:val="008C70F9"/>
    <w:rsid w:val="008C7124"/>
    <w:rsid w:val="008D24D7"/>
    <w:rsid w:val="008D426D"/>
    <w:rsid w:val="008D4409"/>
    <w:rsid w:val="008D4791"/>
    <w:rsid w:val="008D500F"/>
    <w:rsid w:val="008D5813"/>
    <w:rsid w:val="008D6723"/>
    <w:rsid w:val="008D7312"/>
    <w:rsid w:val="008E0993"/>
    <w:rsid w:val="008E1A3A"/>
    <w:rsid w:val="008E31F0"/>
    <w:rsid w:val="008E3AD3"/>
    <w:rsid w:val="008E4EB1"/>
    <w:rsid w:val="008E69A3"/>
    <w:rsid w:val="008E6B11"/>
    <w:rsid w:val="008E6B56"/>
    <w:rsid w:val="008E7ADA"/>
    <w:rsid w:val="008E7EA4"/>
    <w:rsid w:val="008F058C"/>
    <w:rsid w:val="008F0E63"/>
    <w:rsid w:val="008F1504"/>
    <w:rsid w:val="008F15E1"/>
    <w:rsid w:val="008F2B3D"/>
    <w:rsid w:val="008F4A81"/>
    <w:rsid w:val="008F63B7"/>
    <w:rsid w:val="008F6C73"/>
    <w:rsid w:val="008F7562"/>
    <w:rsid w:val="008F798A"/>
    <w:rsid w:val="00902BED"/>
    <w:rsid w:val="00903082"/>
    <w:rsid w:val="00904635"/>
    <w:rsid w:val="009052A8"/>
    <w:rsid w:val="00905987"/>
    <w:rsid w:val="00905F6E"/>
    <w:rsid w:val="00906FCD"/>
    <w:rsid w:val="00907143"/>
    <w:rsid w:val="00907A07"/>
    <w:rsid w:val="00907A80"/>
    <w:rsid w:val="0091046A"/>
    <w:rsid w:val="00911626"/>
    <w:rsid w:val="009119EE"/>
    <w:rsid w:val="00912991"/>
    <w:rsid w:val="00913162"/>
    <w:rsid w:val="0091337F"/>
    <w:rsid w:val="00914E60"/>
    <w:rsid w:val="00915B25"/>
    <w:rsid w:val="00915B41"/>
    <w:rsid w:val="009164A1"/>
    <w:rsid w:val="00916A09"/>
    <w:rsid w:val="00920073"/>
    <w:rsid w:val="009202BA"/>
    <w:rsid w:val="0092142A"/>
    <w:rsid w:val="009245C0"/>
    <w:rsid w:val="009253B0"/>
    <w:rsid w:val="009254E4"/>
    <w:rsid w:val="00925E1B"/>
    <w:rsid w:val="0092656B"/>
    <w:rsid w:val="00926E87"/>
    <w:rsid w:val="009277E3"/>
    <w:rsid w:val="00927A84"/>
    <w:rsid w:val="00930CDF"/>
    <w:rsid w:val="00931112"/>
    <w:rsid w:val="009317D1"/>
    <w:rsid w:val="009325EC"/>
    <w:rsid w:val="00933C54"/>
    <w:rsid w:val="009357DA"/>
    <w:rsid w:val="009361F0"/>
    <w:rsid w:val="009365A5"/>
    <w:rsid w:val="00937BC7"/>
    <w:rsid w:val="009401A4"/>
    <w:rsid w:val="00940CA1"/>
    <w:rsid w:val="00942886"/>
    <w:rsid w:val="00943866"/>
    <w:rsid w:val="0094387E"/>
    <w:rsid w:val="009455D7"/>
    <w:rsid w:val="009465E8"/>
    <w:rsid w:val="00950861"/>
    <w:rsid w:val="009521D8"/>
    <w:rsid w:val="009546A2"/>
    <w:rsid w:val="00954A0C"/>
    <w:rsid w:val="00954DC2"/>
    <w:rsid w:val="00955676"/>
    <w:rsid w:val="00957120"/>
    <w:rsid w:val="009575E2"/>
    <w:rsid w:val="00961682"/>
    <w:rsid w:val="00961C98"/>
    <w:rsid w:val="00962024"/>
    <w:rsid w:val="00962B93"/>
    <w:rsid w:val="00964247"/>
    <w:rsid w:val="00964F52"/>
    <w:rsid w:val="00970C47"/>
    <w:rsid w:val="00971897"/>
    <w:rsid w:val="00971F38"/>
    <w:rsid w:val="0097508E"/>
    <w:rsid w:val="00976111"/>
    <w:rsid w:val="009761F5"/>
    <w:rsid w:val="009765EB"/>
    <w:rsid w:val="009775D1"/>
    <w:rsid w:val="009814CD"/>
    <w:rsid w:val="00981758"/>
    <w:rsid w:val="0098315D"/>
    <w:rsid w:val="00983881"/>
    <w:rsid w:val="00983FB4"/>
    <w:rsid w:val="00985F15"/>
    <w:rsid w:val="00986B7A"/>
    <w:rsid w:val="00992D9D"/>
    <w:rsid w:val="00996952"/>
    <w:rsid w:val="009971CF"/>
    <w:rsid w:val="00997BFF"/>
    <w:rsid w:val="00997FC6"/>
    <w:rsid w:val="009A0343"/>
    <w:rsid w:val="009A1B72"/>
    <w:rsid w:val="009A1DCD"/>
    <w:rsid w:val="009A27C1"/>
    <w:rsid w:val="009A41CA"/>
    <w:rsid w:val="009A52ED"/>
    <w:rsid w:val="009A5660"/>
    <w:rsid w:val="009A5CBA"/>
    <w:rsid w:val="009A6875"/>
    <w:rsid w:val="009A6CC6"/>
    <w:rsid w:val="009A7948"/>
    <w:rsid w:val="009B0569"/>
    <w:rsid w:val="009B0637"/>
    <w:rsid w:val="009B259E"/>
    <w:rsid w:val="009B4403"/>
    <w:rsid w:val="009B4C3F"/>
    <w:rsid w:val="009B4CB1"/>
    <w:rsid w:val="009B4ED6"/>
    <w:rsid w:val="009B5996"/>
    <w:rsid w:val="009B5A9B"/>
    <w:rsid w:val="009B61A2"/>
    <w:rsid w:val="009B64F3"/>
    <w:rsid w:val="009B75A5"/>
    <w:rsid w:val="009B7963"/>
    <w:rsid w:val="009B7F48"/>
    <w:rsid w:val="009C08EE"/>
    <w:rsid w:val="009C121F"/>
    <w:rsid w:val="009C1DC1"/>
    <w:rsid w:val="009C52BE"/>
    <w:rsid w:val="009C6F17"/>
    <w:rsid w:val="009C76EC"/>
    <w:rsid w:val="009C772D"/>
    <w:rsid w:val="009D0975"/>
    <w:rsid w:val="009D0A07"/>
    <w:rsid w:val="009D0CC4"/>
    <w:rsid w:val="009D2D15"/>
    <w:rsid w:val="009D563C"/>
    <w:rsid w:val="009D7682"/>
    <w:rsid w:val="009D7B0E"/>
    <w:rsid w:val="009E13D4"/>
    <w:rsid w:val="009E1422"/>
    <w:rsid w:val="009E3087"/>
    <w:rsid w:val="009E3580"/>
    <w:rsid w:val="009E465A"/>
    <w:rsid w:val="009E61CF"/>
    <w:rsid w:val="009E6287"/>
    <w:rsid w:val="009E76A1"/>
    <w:rsid w:val="009F4261"/>
    <w:rsid w:val="009F465E"/>
    <w:rsid w:val="009F6CD7"/>
    <w:rsid w:val="009F7D2E"/>
    <w:rsid w:val="00A0024F"/>
    <w:rsid w:val="00A007FE"/>
    <w:rsid w:val="00A026C9"/>
    <w:rsid w:val="00A03192"/>
    <w:rsid w:val="00A05200"/>
    <w:rsid w:val="00A05DA6"/>
    <w:rsid w:val="00A0711F"/>
    <w:rsid w:val="00A07703"/>
    <w:rsid w:val="00A107B1"/>
    <w:rsid w:val="00A10F44"/>
    <w:rsid w:val="00A11381"/>
    <w:rsid w:val="00A119C2"/>
    <w:rsid w:val="00A126C3"/>
    <w:rsid w:val="00A21DF8"/>
    <w:rsid w:val="00A23C63"/>
    <w:rsid w:val="00A23C97"/>
    <w:rsid w:val="00A24199"/>
    <w:rsid w:val="00A25D11"/>
    <w:rsid w:val="00A27A4B"/>
    <w:rsid w:val="00A30041"/>
    <w:rsid w:val="00A3213A"/>
    <w:rsid w:val="00A32181"/>
    <w:rsid w:val="00A32213"/>
    <w:rsid w:val="00A354E5"/>
    <w:rsid w:val="00A37CA2"/>
    <w:rsid w:val="00A40689"/>
    <w:rsid w:val="00A40D28"/>
    <w:rsid w:val="00A416C1"/>
    <w:rsid w:val="00A417E8"/>
    <w:rsid w:val="00A4455C"/>
    <w:rsid w:val="00A448DF"/>
    <w:rsid w:val="00A45737"/>
    <w:rsid w:val="00A502CA"/>
    <w:rsid w:val="00A50E66"/>
    <w:rsid w:val="00A5123A"/>
    <w:rsid w:val="00A516AD"/>
    <w:rsid w:val="00A5335D"/>
    <w:rsid w:val="00A54E4D"/>
    <w:rsid w:val="00A56A02"/>
    <w:rsid w:val="00A570BB"/>
    <w:rsid w:val="00A57AB5"/>
    <w:rsid w:val="00A610AE"/>
    <w:rsid w:val="00A62385"/>
    <w:rsid w:val="00A62EA4"/>
    <w:rsid w:val="00A65969"/>
    <w:rsid w:val="00A70284"/>
    <w:rsid w:val="00A70D9C"/>
    <w:rsid w:val="00A7180E"/>
    <w:rsid w:val="00A7236A"/>
    <w:rsid w:val="00A738A6"/>
    <w:rsid w:val="00A75898"/>
    <w:rsid w:val="00A761D4"/>
    <w:rsid w:val="00A820BD"/>
    <w:rsid w:val="00A83A31"/>
    <w:rsid w:val="00A843B5"/>
    <w:rsid w:val="00A850AE"/>
    <w:rsid w:val="00A85EFF"/>
    <w:rsid w:val="00A8625B"/>
    <w:rsid w:val="00A876A0"/>
    <w:rsid w:val="00A9031E"/>
    <w:rsid w:val="00A906BF"/>
    <w:rsid w:val="00A92A48"/>
    <w:rsid w:val="00A92BD6"/>
    <w:rsid w:val="00A92F94"/>
    <w:rsid w:val="00A94C30"/>
    <w:rsid w:val="00A94D6D"/>
    <w:rsid w:val="00A95835"/>
    <w:rsid w:val="00A95EC4"/>
    <w:rsid w:val="00AA065A"/>
    <w:rsid w:val="00AA1358"/>
    <w:rsid w:val="00AA226F"/>
    <w:rsid w:val="00AA408B"/>
    <w:rsid w:val="00AA68BF"/>
    <w:rsid w:val="00AB0870"/>
    <w:rsid w:val="00AB0B3D"/>
    <w:rsid w:val="00AB4BBD"/>
    <w:rsid w:val="00AB544A"/>
    <w:rsid w:val="00AB5CB2"/>
    <w:rsid w:val="00AB788B"/>
    <w:rsid w:val="00AC1ABD"/>
    <w:rsid w:val="00AC34E4"/>
    <w:rsid w:val="00AC3571"/>
    <w:rsid w:val="00AC4163"/>
    <w:rsid w:val="00AC53E1"/>
    <w:rsid w:val="00AC64DF"/>
    <w:rsid w:val="00AC747F"/>
    <w:rsid w:val="00AD0DB8"/>
    <w:rsid w:val="00AD1A33"/>
    <w:rsid w:val="00AD1F0D"/>
    <w:rsid w:val="00AD257B"/>
    <w:rsid w:val="00AD37F1"/>
    <w:rsid w:val="00AD3DC8"/>
    <w:rsid w:val="00AD56D7"/>
    <w:rsid w:val="00AD6204"/>
    <w:rsid w:val="00AD6B09"/>
    <w:rsid w:val="00AD725E"/>
    <w:rsid w:val="00AD736A"/>
    <w:rsid w:val="00AD7D6A"/>
    <w:rsid w:val="00AE043A"/>
    <w:rsid w:val="00AE0D97"/>
    <w:rsid w:val="00AE15DD"/>
    <w:rsid w:val="00AE1DED"/>
    <w:rsid w:val="00AE27EC"/>
    <w:rsid w:val="00AE28F1"/>
    <w:rsid w:val="00AE2909"/>
    <w:rsid w:val="00AE2EB9"/>
    <w:rsid w:val="00AE6078"/>
    <w:rsid w:val="00AE71DE"/>
    <w:rsid w:val="00AF06B8"/>
    <w:rsid w:val="00AF0DF4"/>
    <w:rsid w:val="00AF1281"/>
    <w:rsid w:val="00AF23EA"/>
    <w:rsid w:val="00AF3ED1"/>
    <w:rsid w:val="00AF42DA"/>
    <w:rsid w:val="00AF5119"/>
    <w:rsid w:val="00AF5930"/>
    <w:rsid w:val="00AF79D9"/>
    <w:rsid w:val="00B01B44"/>
    <w:rsid w:val="00B01BDF"/>
    <w:rsid w:val="00B01E28"/>
    <w:rsid w:val="00B05288"/>
    <w:rsid w:val="00B069DE"/>
    <w:rsid w:val="00B06A5D"/>
    <w:rsid w:val="00B071C0"/>
    <w:rsid w:val="00B1095A"/>
    <w:rsid w:val="00B1180F"/>
    <w:rsid w:val="00B13E00"/>
    <w:rsid w:val="00B14F7A"/>
    <w:rsid w:val="00B157CD"/>
    <w:rsid w:val="00B171C6"/>
    <w:rsid w:val="00B21ADB"/>
    <w:rsid w:val="00B21B4F"/>
    <w:rsid w:val="00B220EC"/>
    <w:rsid w:val="00B25622"/>
    <w:rsid w:val="00B2708F"/>
    <w:rsid w:val="00B27B72"/>
    <w:rsid w:val="00B30DCD"/>
    <w:rsid w:val="00B312F1"/>
    <w:rsid w:val="00B3192B"/>
    <w:rsid w:val="00B32221"/>
    <w:rsid w:val="00B326C4"/>
    <w:rsid w:val="00B3298B"/>
    <w:rsid w:val="00B3337D"/>
    <w:rsid w:val="00B34D4C"/>
    <w:rsid w:val="00B356CC"/>
    <w:rsid w:val="00B378F4"/>
    <w:rsid w:val="00B41EE9"/>
    <w:rsid w:val="00B44277"/>
    <w:rsid w:val="00B44A64"/>
    <w:rsid w:val="00B4552D"/>
    <w:rsid w:val="00B45695"/>
    <w:rsid w:val="00B474DC"/>
    <w:rsid w:val="00B47FAE"/>
    <w:rsid w:val="00B520D8"/>
    <w:rsid w:val="00B523EC"/>
    <w:rsid w:val="00B531B0"/>
    <w:rsid w:val="00B56787"/>
    <w:rsid w:val="00B568C2"/>
    <w:rsid w:val="00B56BDA"/>
    <w:rsid w:val="00B63BCA"/>
    <w:rsid w:val="00B63FA7"/>
    <w:rsid w:val="00B64EDC"/>
    <w:rsid w:val="00B65932"/>
    <w:rsid w:val="00B702A0"/>
    <w:rsid w:val="00B70633"/>
    <w:rsid w:val="00B7157C"/>
    <w:rsid w:val="00B71B55"/>
    <w:rsid w:val="00B72CC6"/>
    <w:rsid w:val="00B73115"/>
    <w:rsid w:val="00B73865"/>
    <w:rsid w:val="00B75AB9"/>
    <w:rsid w:val="00B835E6"/>
    <w:rsid w:val="00B8529F"/>
    <w:rsid w:val="00B8617B"/>
    <w:rsid w:val="00B87BD9"/>
    <w:rsid w:val="00B91BEC"/>
    <w:rsid w:val="00B9375F"/>
    <w:rsid w:val="00B94F0F"/>
    <w:rsid w:val="00B95202"/>
    <w:rsid w:val="00B97BAD"/>
    <w:rsid w:val="00BA1B9D"/>
    <w:rsid w:val="00BA3698"/>
    <w:rsid w:val="00BA5120"/>
    <w:rsid w:val="00BA56E6"/>
    <w:rsid w:val="00BB004D"/>
    <w:rsid w:val="00BB1218"/>
    <w:rsid w:val="00BB1913"/>
    <w:rsid w:val="00BB19A6"/>
    <w:rsid w:val="00BB4EF2"/>
    <w:rsid w:val="00BB5CA8"/>
    <w:rsid w:val="00BB698F"/>
    <w:rsid w:val="00BB74D1"/>
    <w:rsid w:val="00BC01A2"/>
    <w:rsid w:val="00BC2B3F"/>
    <w:rsid w:val="00BC37C5"/>
    <w:rsid w:val="00BC39E3"/>
    <w:rsid w:val="00BC439C"/>
    <w:rsid w:val="00BC48CD"/>
    <w:rsid w:val="00BC4B7F"/>
    <w:rsid w:val="00BC4BF8"/>
    <w:rsid w:val="00BC5632"/>
    <w:rsid w:val="00BD07F0"/>
    <w:rsid w:val="00BD0D4B"/>
    <w:rsid w:val="00BD0F9B"/>
    <w:rsid w:val="00BD4994"/>
    <w:rsid w:val="00BD68AB"/>
    <w:rsid w:val="00BE0964"/>
    <w:rsid w:val="00BE1C49"/>
    <w:rsid w:val="00BE2557"/>
    <w:rsid w:val="00BE350A"/>
    <w:rsid w:val="00BE5AC4"/>
    <w:rsid w:val="00BE6FA1"/>
    <w:rsid w:val="00BE7D31"/>
    <w:rsid w:val="00BF0481"/>
    <w:rsid w:val="00BF201D"/>
    <w:rsid w:val="00BF3C8E"/>
    <w:rsid w:val="00BF4107"/>
    <w:rsid w:val="00BF4D53"/>
    <w:rsid w:val="00BF5A01"/>
    <w:rsid w:val="00BF78C0"/>
    <w:rsid w:val="00C0120B"/>
    <w:rsid w:val="00C01539"/>
    <w:rsid w:val="00C01A93"/>
    <w:rsid w:val="00C02161"/>
    <w:rsid w:val="00C0396C"/>
    <w:rsid w:val="00C03E01"/>
    <w:rsid w:val="00C04A91"/>
    <w:rsid w:val="00C06608"/>
    <w:rsid w:val="00C06CF9"/>
    <w:rsid w:val="00C07846"/>
    <w:rsid w:val="00C1076C"/>
    <w:rsid w:val="00C115F8"/>
    <w:rsid w:val="00C13149"/>
    <w:rsid w:val="00C13FC3"/>
    <w:rsid w:val="00C13FD3"/>
    <w:rsid w:val="00C15A0D"/>
    <w:rsid w:val="00C1631B"/>
    <w:rsid w:val="00C1662E"/>
    <w:rsid w:val="00C167CF"/>
    <w:rsid w:val="00C16BF9"/>
    <w:rsid w:val="00C21B14"/>
    <w:rsid w:val="00C21B60"/>
    <w:rsid w:val="00C221A6"/>
    <w:rsid w:val="00C223D2"/>
    <w:rsid w:val="00C2259C"/>
    <w:rsid w:val="00C2511C"/>
    <w:rsid w:val="00C261C5"/>
    <w:rsid w:val="00C2665B"/>
    <w:rsid w:val="00C2727E"/>
    <w:rsid w:val="00C27731"/>
    <w:rsid w:val="00C301BB"/>
    <w:rsid w:val="00C30EFF"/>
    <w:rsid w:val="00C30FEE"/>
    <w:rsid w:val="00C311FF"/>
    <w:rsid w:val="00C312A0"/>
    <w:rsid w:val="00C322AB"/>
    <w:rsid w:val="00C32411"/>
    <w:rsid w:val="00C35975"/>
    <w:rsid w:val="00C36B34"/>
    <w:rsid w:val="00C4019C"/>
    <w:rsid w:val="00C410A4"/>
    <w:rsid w:val="00C41C8D"/>
    <w:rsid w:val="00C41FC7"/>
    <w:rsid w:val="00C4220D"/>
    <w:rsid w:val="00C427D8"/>
    <w:rsid w:val="00C42E4A"/>
    <w:rsid w:val="00C449BE"/>
    <w:rsid w:val="00C4552F"/>
    <w:rsid w:val="00C50F5F"/>
    <w:rsid w:val="00C52CFA"/>
    <w:rsid w:val="00C54CAC"/>
    <w:rsid w:val="00C54D12"/>
    <w:rsid w:val="00C568DE"/>
    <w:rsid w:val="00C5739E"/>
    <w:rsid w:val="00C61226"/>
    <w:rsid w:val="00C61505"/>
    <w:rsid w:val="00C625CB"/>
    <w:rsid w:val="00C64C2C"/>
    <w:rsid w:val="00C650C8"/>
    <w:rsid w:val="00C65958"/>
    <w:rsid w:val="00C70309"/>
    <w:rsid w:val="00C7034A"/>
    <w:rsid w:val="00C70CF4"/>
    <w:rsid w:val="00C72035"/>
    <w:rsid w:val="00C7272B"/>
    <w:rsid w:val="00C731E2"/>
    <w:rsid w:val="00C76FD7"/>
    <w:rsid w:val="00C7732D"/>
    <w:rsid w:val="00C80905"/>
    <w:rsid w:val="00C80EB6"/>
    <w:rsid w:val="00C8130C"/>
    <w:rsid w:val="00C813B0"/>
    <w:rsid w:val="00C81A83"/>
    <w:rsid w:val="00C83369"/>
    <w:rsid w:val="00C8373A"/>
    <w:rsid w:val="00C839A5"/>
    <w:rsid w:val="00C87224"/>
    <w:rsid w:val="00C916F7"/>
    <w:rsid w:val="00C92A22"/>
    <w:rsid w:val="00C9525B"/>
    <w:rsid w:val="00C96640"/>
    <w:rsid w:val="00C97802"/>
    <w:rsid w:val="00C97BBE"/>
    <w:rsid w:val="00CA38D9"/>
    <w:rsid w:val="00CA5037"/>
    <w:rsid w:val="00CA54F9"/>
    <w:rsid w:val="00CA5849"/>
    <w:rsid w:val="00CA64C6"/>
    <w:rsid w:val="00CA67C8"/>
    <w:rsid w:val="00CA799E"/>
    <w:rsid w:val="00CA7DE1"/>
    <w:rsid w:val="00CB09AB"/>
    <w:rsid w:val="00CB218B"/>
    <w:rsid w:val="00CB4633"/>
    <w:rsid w:val="00CB4776"/>
    <w:rsid w:val="00CB638E"/>
    <w:rsid w:val="00CB7407"/>
    <w:rsid w:val="00CC2145"/>
    <w:rsid w:val="00CC37B6"/>
    <w:rsid w:val="00CC58E8"/>
    <w:rsid w:val="00CC613C"/>
    <w:rsid w:val="00CC6411"/>
    <w:rsid w:val="00CC6AFA"/>
    <w:rsid w:val="00CC6D5D"/>
    <w:rsid w:val="00CD0E38"/>
    <w:rsid w:val="00CD1D28"/>
    <w:rsid w:val="00CD3599"/>
    <w:rsid w:val="00CD3F0C"/>
    <w:rsid w:val="00CD4156"/>
    <w:rsid w:val="00CD5F3A"/>
    <w:rsid w:val="00CD6039"/>
    <w:rsid w:val="00CD66D0"/>
    <w:rsid w:val="00CD6ADB"/>
    <w:rsid w:val="00CD7276"/>
    <w:rsid w:val="00CD73B3"/>
    <w:rsid w:val="00CD745E"/>
    <w:rsid w:val="00CD75E2"/>
    <w:rsid w:val="00CD7D93"/>
    <w:rsid w:val="00CE2E0D"/>
    <w:rsid w:val="00CE3093"/>
    <w:rsid w:val="00CE35EB"/>
    <w:rsid w:val="00CE38F6"/>
    <w:rsid w:val="00CE5160"/>
    <w:rsid w:val="00CE69E3"/>
    <w:rsid w:val="00CE6DCD"/>
    <w:rsid w:val="00CE7EE8"/>
    <w:rsid w:val="00CF022E"/>
    <w:rsid w:val="00CF17FF"/>
    <w:rsid w:val="00CF2839"/>
    <w:rsid w:val="00CF4C1B"/>
    <w:rsid w:val="00CF6596"/>
    <w:rsid w:val="00D01E68"/>
    <w:rsid w:val="00D02F87"/>
    <w:rsid w:val="00D038AF"/>
    <w:rsid w:val="00D04297"/>
    <w:rsid w:val="00D07E69"/>
    <w:rsid w:val="00D103E1"/>
    <w:rsid w:val="00D10AD6"/>
    <w:rsid w:val="00D11A75"/>
    <w:rsid w:val="00D11AAF"/>
    <w:rsid w:val="00D12793"/>
    <w:rsid w:val="00D1290F"/>
    <w:rsid w:val="00D131F8"/>
    <w:rsid w:val="00D133FA"/>
    <w:rsid w:val="00D14675"/>
    <w:rsid w:val="00D1585D"/>
    <w:rsid w:val="00D160E0"/>
    <w:rsid w:val="00D1711D"/>
    <w:rsid w:val="00D17337"/>
    <w:rsid w:val="00D17E21"/>
    <w:rsid w:val="00D17EE7"/>
    <w:rsid w:val="00D2077C"/>
    <w:rsid w:val="00D20D12"/>
    <w:rsid w:val="00D21C64"/>
    <w:rsid w:val="00D2267F"/>
    <w:rsid w:val="00D23A02"/>
    <w:rsid w:val="00D241AD"/>
    <w:rsid w:val="00D2480E"/>
    <w:rsid w:val="00D249D3"/>
    <w:rsid w:val="00D24C6E"/>
    <w:rsid w:val="00D25AE8"/>
    <w:rsid w:val="00D275A3"/>
    <w:rsid w:val="00D3075B"/>
    <w:rsid w:val="00D30808"/>
    <w:rsid w:val="00D30C73"/>
    <w:rsid w:val="00D313C4"/>
    <w:rsid w:val="00D33007"/>
    <w:rsid w:val="00D34369"/>
    <w:rsid w:val="00D3596B"/>
    <w:rsid w:val="00D35BC9"/>
    <w:rsid w:val="00D36131"/>
    <w:rsid w:val="00D367B6"/>
    <w:rsid w:val="00D4045B"/>
    <w:rsid w:val="00D407E7"/>
    <w:rsid w:val="00D43A4F"/>
    <w:rsid w:val="00D44152"/>
    <w:rsid w:val="00D443BC"/>
    <w:rsid w:val="00D44C3E"/>
    <w:rsid w:val="00D452D2"/>
    <w:rsid w:val="00D5000E"/>
    <w:rsid w:val="00D50377"/>
    <w:rsid w:val="00D531D0"/>
    <w:rsid w:val="00D538E8"/>
    <w:rsid w:val="00D53A22"/>
    <w:rsid w:val="00D53DFB"/>
    <w:rsid w:val="00D577D2"/>
    <w:rsid w:val="00D57D63"/>
    <w:rsid w:val="00D60171"/>
    <w:rsid w:val="00D60565"/>
    <w:rsid w:val="00D61915"/>
    <w:rsid w:val="00D62210"/>
    <w:rsid w:val="00D6284A"/>
    <w:rsid w:val="00D63737"/>
    <w:rsid w:val="00D63CE5"/>
    <w:rsid w:val="00D64460"/>
    <w:rsid w:val="00D667F4"/>
    <w:rsid w:val="00D67D95"/>
    <w:rsid w:val="00D716E2"/>
    <w:rsid w:val="00D72674"/>
    <w:rsid w:val="00D747D2"/>
    <w:rsid w:val="00D74DCC"/>
    <w:rsid w:val="00D774BF"/>
    <w:rsid w:val="00D77C6E"/>
    <w:rsid w:val="00D80C6E"/>
    <w:rsid w:val="00D81BE7"/>
    <w:rsid w:val="00D81EC2"/>
    <w:rsid w:val="00D821A8"/>
    <w:rsid w:val="00D82D44"/>
    <w:rsid w:val="00D83B5D"/>
    <w:rsid w:val="00D85CEF"/>
    <w:rsid w:val="00D901AA"/>
    <w:rsid w:val="00D9302F"/>
    <w:rsid w:val="00D936BD"/>
    <w:rsid w:val="00D956B2"/>
    <w:rsid w:val="00D973FA"/>
    <w:rsid w:val="00D975D2"/>
    <w:rsid w:val="00D97E89"/>
    <w:rsid w:val="00DA026F"/>
    <w:rsid w:val="00DA08D1"/>
    <w:rsid w:val="00DA138E"/>
    <w:rsid w:val="00DA1575"/>
    <w:rsid w:val="00DA361D"/>
    <w:rsid w:val="00DA4873"/>
    <w:rsid w:val="00DA4D55"/>
    <w:rsid w:val="00DA72C3"/>
    <w:rsid w:val="00DA7334"/>
    <w:rsid w:val="00DA7CB3"/>
    <w:rsid w:val="00DA7E68"/>
    <w:rsid w:val="00DB0001"/>
    <w:rsid w:val="00DB31DA"/>
    <w:rsid w:val="00DB5E1E"/>
    <w:rsid w:val="00DB7309"/>
    <w:rsid w:val="00DB7877"/>
    <w:rsid w:val="00DC0283"/>
    <w:rsid w:val="00DC1D7F"/>
    <w:rsid w:val="00DC26A9"/>
    <w:rsid w:val="00DC2D0B"/>
    <w:rsid w:val="00DC36DC"/>
    <w:rsid w:val="00DC5CE0"/>
    <w:rsid w:val="00DC69E7"/>
    <w:rsid w:val="00DD0333"/>
    <w:rsid w:val="00DD0CCC"/>
    <w:rsid w:val="00DD1027"/>
    <w:rsid w:val="00DD15BF"/>
    <w:rsid w:val="00DD3079"/>
    <w:rsid w:val="00DD3946"/>
    <w:rsid w:val="00DD5D09"/>
    <w:rsid w:val="00DD64C2"/>
    <w:rsid w:val="00DD6893"/>
    <w:rsid w:val="00DD75CE"/>
    <w:rsid w:val="00DE2AB4"/>
    <w:rsid w:val="00DE2B27"/>
    <w:rsid w:val="00DE45E4"/>
    <w:rsid w:val="00DE7EA6"/>
    <w:rsid w:val="00DF2620"/>
    <w:rsid w:val="00DF3E80"/>
    <w:rsid w:val="00DF41D6"/>
    <w:rsid w:val="00DF488C"/>
    <w:rsid w:val="00DF6CE1"/>
    <w:rsid w:val="00DF6DF9"/>
    <w:rsid w:val="00E0041C"/>
    <w:rsid w:val="00E040EA"/>
    <w:rsid w:val="00E0707B"/>
    <w:rsid w:val="00E077FF"/>
    <w:rsid w:val="00E1278F"/>
    <w:rsid w:val="00E12892"/>
    <w:rsid w:val="00E12A84"/>
    <w:rsid w:val="00E14576"/>
    <w:rsid w:val="00E15F56"/>
    <w:rsid w:val="00E201A6"/>
    <w:rsid w:val="00E20BE5"/>
    <w:rsid w:val="00E21616"/>
    <w:rsid w:val="00E21EEA"/>
    <w:rsid w:val="00E22400"/>
    <w:rsid w:val="00E234BC"/>
    <w:rsid w:val="00E248E9"/>
    <w:rsid w:val="00E24C20"/>
    <w:rsid w:val="00E25036"/>
    <w:rsid w:val="00E26179"/>
    <w:rsid w:val="00E2662C"/>
    <w:rsid w:val="00E303ED"/>
    <w:rsid w:val="00E31DFC"/>
    <w:rsid w:val="00E33BC3"/>
    <w:rsid w:val="00E35B50"/>
    <w:rsid w:val="00E36609"/>
    <w:rsid w:val="00E4078F"/>
    <w:rsid w:val="00E411B2"/>
    <w:rsid w:val="00E41A51"/>
    <w:rsid w:val="00E41EB1"/>
    <w:rsid w:val="00E423D9"/>
    <w:rsid w:val="00E42E0A"/>
    <w:rsid w:val="00E445B0"/>
    <w:rsid w:val="00E463FA"/>
    <w:rsid w:val="00E4663C"/>
    <w:rsid w:val="00E47311"/>
    <w:rsid w:val="00E47610"/>
    <w:rsid w:val="00E53BBC"/>
    <w:rsid w:val="00E53CF6"/>
    <w:rsid w:val="00E55FFF"/>
    <w:rsid w:val="00E57F04"/>
    <w:rsid w:val="00E61284"/>
    <w:rsid w:val="00E61387"/>
    <w:rsid w:val="00E6477F"/>
    <w:rsid w:val="00E64914"/>
    <w:rsid w:val="00E64DC5"/>
    <w:rsid w:val="00E668B6"/>
    <w:rsid w:val="00E6699F"/>
    <w:rsid w:val="00E70661"/>
    <w:rsid w:val="00E7084C"/>
    <w:rsid w:val="00E72450"/>
    <w:rsid w:val="00E736DD"/>
    <w:rsid w:val="00E7537F"/>
    <w:rsid w:val="00E75C6C"/>
    <w:rsid w:val="00E777D7"/>
    <w:rsid w:val="00E81F0F"/>
    <w:rsid w:val="00E81FC8"/>
    <w:rsid w:val="00E821E7"/>
    <w:rsid w:val="00E846D9"/>
    <w:rsid w:val="00E87363"/>
    <w:rsid w:val="00E91229"/>
    <w:rsid w:val="00E9220A"/>
    <w:rsid w:val="00E92376"/>
    <w:rsid w:val="00E93F5D"/>
    <w:rsid w:val="00E94B0D"/>
    <w:rsid w:val="00E95E7F"/>
    <w:rsid w:val="00E961D4"/>
    <w:rsid w:val="00EA1051"/>
    <w:rsid w:val="00EA1F26"/>
    <w:rsid w:val="00EA3E74"/>
    <w:rsid w:val="00EA407A"/>
    <w:rsid w:val="00EA4262"/>
    <w:rsid w:val="00EA56CF"/>
    <w:rsid w:val="00EA6549"/>
    <w:rsid w:val="00EB1C68"/>
    <w:rsid w:val="00EB2902"/>
    <w:rsid w:val="00EB3E54"/>
    <w:rsid w:val="00EB4BD9"/>
    <w:rsid w:val="00EB5063"/>
    <w:rsid w:val="00EB6218"/>
    <w:rsid w:val="00EB77D8"/>
    <w:rsid w:val="00EB784C"/>
    <w:rsid w:val="00EC1140"/>
    <w:rsid w:val="00EC1714"/>
    <w:rsid w:val="00EC26C5"/>
    <w:rsid w:val="00EC3AE1"/>
    <w:rsid w:val="00EC3D39"/>
    <w:rsid w:val="00EC6A69"/>
    <w:rsid w:val="00ED0B2C"/>
    <w:rsid w:val="00ED11BF"/>
    <w:rsid w:val="00ED3614"/>
    <w:rsid w:val="00ED3D75"/>
    <w:rsid w:val="00ED4B6C"/>
    <w:rsid w:val="00ED5A70"/>
    <w:rsid w:val="00ED6B48"/>
    <w:rsid w:val="00ED76DD"/>
    <w:rsid w:val="00EE0D3F"/>
    <w:rsid w:val="00EE36BF"/>
    <w:rsid w:val="00EE4774"/>
    <w:rsid w:val="00EE4AED"/>
    <w:rsid w:val="00EE5202"/>
    <w:rsid w:val="00EE67B5"/>
    <w:rsid w:val="00EE7A09"/>
    <w:rsid w:val="00EF04AA"/>
    <w:rsid w:val="00EF3E66"/>
    <w:rsid w:val="00EF3E89"/>
    <w:rsid w:val="00EF44A9"/>
    <w:rsid w:val="00F00A5D"/>
    <w:rsid w:val="00F0240E"/>
    <w:rsid w:val="00F02495"/>
    <w:rsid w:val="00F02F8A"/>
    <w:rsid w:val="00F06026"/>
    <w:rsid w:val="00F061D6"/>
    <w:rsid w:val="00F072DD"/>
    <w:rsid w:val="00F07FCC"/>
    <w:rsid w:val="00F10C96"/>
    <w:rsid w:val="00F13602"/>
    <w:rsid w:val="00F147F8"/>
    <w:rsid w:val="00F14FF7"/>
    <w:rsid w:val="00F1724A"/>
    <w:rsid w:val="00F174B2"/>
    <w:rsid w:val="00F17CA1"/>
    <w:rsid w:val="00F219F4"/>
    <w:rsid w:val="00F227AF"/>
    <w:rsid w:val="00F23115"/>
    <w:rsid w:val="00F241BA"/>
    <w:rsid w:val="00F24309"/>
    <w:rsid w:val="00F2527D"/>
    <w:rsid w:val="00F25D3A"/>
    <w:rsid w:val="00F27FC3"/>
    <w:rsid w:val="00F3035E"/>
    <w:rsid w:val="00F30CBC"/>
    <w:rsid w:val="00F32817"/>
    <w:rsid w:val="00F33884"/>
    <w:rsid w:val="00F34D88"/>
    <w:rsid w:val="00F34D93"/>
    <w:rsid w:val="00F35043"/>
    <w:rsid w:val="00F354D6"/>
    <w:rsid w:val="00F358F7"/>
    <w:rsid w:val="00F36077"/>
    <w:rsid w:val="00F3717D"/>
    <w:rsid w:val="00F37468"/>
    <w:rsid w:val="00F4070D"/>
    <w:rsid w:val="00F40C23"/>
    <w:rsid w:val="00F42A88"/>
    <w:rsid w:val="00F42C93"/>
    <w:rsid w:val="00F436CC"/>
    <w:rsid w:val="00F439EC"/>
    <w:rsid w:val="00F43E48"/>
    <w:rsid w:val="00F44B84"/>
    <w:rsid w:val="00F44E78"/>
    <w:rsid w:val="00F451CF"/>
    <w:rsid w:val="00F46205"/>
    <w:rsid w:val="00F473C6"/>
    <w:rsid w:val="00F506A4"/>
    <w:rsid w:val="00F52CB1"/>
    <w:rsid w:val="00F53C36"/>
    <w:rsid w:val="00F545CC"/>
    <w:rsid w:val="00F56893"/>
    <w:rsid w:val="00F60F6D"/>
    <w:rsid w:val="00F60F74"/>
    <w:rsid w:val="00F61FD5"/>
    <w:rsid w:val="00F639BD"/>
    <w:rsid w:val="00F6548F"/>
    <w:rsid w:val="00F65EA3"/>
    <w:rsid w:val="00F65FE7"/>
    <w:rsid w:val="00F72D70"/>
    <w:rsid w:val="00F74D56"/>
    <w:rsid w:val="00F81728"/>
    <w:rsid w:val="00F832B8"/>
    <w:rsid w:val="00F83BD6"/>
    <w:rsid w:val="00F83C89"/>
    <w:rsid w:val="00F859B2"/>
    <w:rsid w:val="00F8661E"/>
    <w:rsid w:val="00F9059B"/>
    <w:rsid w:val="00F90757"/>
    <w:rsid w:val="00F913F2"/>
    <w:rsid w:val="00F91C6B"/>
    <w:rsid w:val="00F91DD7"/>
    <w:rsid w:val="00F91E6D"/>
    <w:rsid w:val="00F928C6"/>
    <w:rsid w:val="00F9320D"/>
    <w:rsid w:val="00F93451"/>
    <w:rsid w:val="00F93BCD"/>
    <w:rsid w:val="00F94C79"/>
    <w:rsid w:val="00F9604B"/>
    <w:rsid w:val="00F96171"/>
    <w:rsid w:val="00F96B1C"/>
    <w:rsid w:val="00FA0F2C"/>
    <w:rsid w:val="00FA1DAB"/>
    <w:rsid w:val="00FA1FC7"/>
    <w:rsid w:val="00FA348A"/>
    <w:rsid w:val="00FA3CE3"/>
    <w:rsid w:val="00FA55EF"/>
    <w:rsid w:val="00FA6804"/>
    <w:rsid w:val="00FA7366"/>
    <w:rsid w:val="00FA7912"/>
    <w:rsid w:val="00FA7E01"/>
    <w:rsid w:val="00FB2707"/>
    <w:rsid w:val="00FB7AD5"/>
    <w:rsid w:val="00FC0BC8"/>
    <w:rsid w:val="00FC3BEA"/>
    <w:rsid w:val="00FC3C68"/>
    <w:rsid w:val="00FC4007"/>
    <w:rsid w:val="00FC5AC5"/>
    <w:rsid w:val="00FC5F5F"/>
    <w:rsid w:val="00FC6250"/>
    <w:rsid w:val="00FC6776"/>
    <w:rsid w:val="00FC6B4E"/>
    <w:rsid w:val="00FC6CFD"/>
    <w:rsid w:val="00FC730E"/>
    <w:rsid w:val="00FC7C14"/>
    <w:rsid w:val="00FC7E8D"/>
    <w:rsid w:val="00FD0984"/>
    <w:rsid w:val="00FD15B2"/>
    <w:rsid w:val="00FD5626"/>
    <w:rsid w:val="00FE08F2"/>
    <w:rsid w:val="00FE1447"/>
    <w:rsid w:val="00FE144A"/>
    <w:rsid w:val="00FE18F6"/>
    <w:rsid w:val="00FE3FAC"/>
    <w:rsid w:val="00FE53EE"/>
    <w:rsid w:val="00FE595F"/>
    <w:rsid w:val="00FE7AF0"/>
    <w:rsid w:val="00FF1AA6"/>
    <w:rsid w:val="00FF1E3B"/>
    <w:rsid w:val="00FF1F90"/>
    <w:rsid w:val="00FF25E5"/>
    <w:rsid w:val="00FF4B2E"/>
    <w:rsid w:val="00FF51CE"/>
    <w:rsid w:val="00FF5E97"/>
    <w:rsid w:val="00FF6860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303C096C-DC3F-4EE6-BDDD-2972747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280"/>
    <w:pPr>
      <w:spacing w:line="360" w:lineRule="auto"/>
    </w:pPr>
    <w:rPr>
      <w:szCs w:val="20"/>
      <w:lang w:eastAsia="en-US"/>
    </w:rPr>
  </w:style>
  <w:style w:type="character" w:styleId="Hyperlink">
    <w:name w:val="Hyperlink"/>
    <w:basedOn w:val="DefaultParagraphFont"/>
    <w:rsid w:val="00876280"/>
    <w:rPr>
      <w:color w:val="0000FF"/>
      <w:u w:val="single"/>
    </w:rPr>
  </w:style>
  <w:style w:type="paragraph" w:styleId="Header">
    <w:name w:val="header"/>
    <w:basedOn w:val="Normal"/>
    <w:link w:val="HeaderChar"/>
    <w:rsid w:val="008A73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737B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E201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01A6"/>
  </w:style>
  <w:style w:type="paragraph" w:styleId="CommentSubject">
    <w:name w:val="annotation subject"/>
    <w:basedOn w:val="CommentText"/>
    <w:next w:val="CommentText"/>
    <w:link w:val="CommentSubjectChar"/>
    <w:rsid w:val="00E20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01A6"/>
    <w:rPr>
      <w:b/>
      <w:bCs/>
    </w:rPr>
  </w:style>
  <w:style w:type="paragraph" w:styleId="BalloonText">
    <w:name w:val="Balloon Text"/>
    <w:basedOn w:val="Normal"/>
    <w:link w:val="BalloonTextChar"/>
    <w:rsid w:val="00E20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1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5C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5CB2"/>
  </w:style>
  <w:style w:type="character" w:styleId="FootnoteReference">
    <w:name w:val="footnote reference"/>
    <w:basedOn w:val="DefaultParagraphFont"/>
    <w:uiPriority w:val="99"/>
    <w:rsid w:val="00AB5CB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04A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A408B"/>
    <w:pPr>
      <w:ind w:left="720"/>
      <w:contextualSpacing/>
    </w:pPr>
  </w:style>
  <w:style w:type="character" w:customStyle="1" w:styleId="tgc">
    <w:name w:val="_tgc"/>
    <w:basedOn w:val="DefaultParagraphFont"/>
    <w:rsid w:val="00D64460"/>
  </w:style>
  <w:style w:type="paragraph" w:styleId="NormalWeb">
    <w:name w:val="Normal (Web)"/>
    <w:basedOn w:val="Normal"/>
    <w:uiPriority w:val="99"/>
    <w:unhideWhenUsed/>
    <w:rsid w:val="00ED11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300A0"/>
    <w:rPr>
      <w:b/>
      <w:bCs/>
    </w:rPr>
  </w:style>
  <w:style w:type="character" w:customStyle="1" w:styleId="medium-normal">
    <w:name w:val="medium-normal"/>
    <w:basedOn w:val="DefaultParagraphFont"/>
    <w:rsid w:val="006A2BA7"/>
  </w:style>
  <w:style w:type="table" w:styleId="TableGrid">
    <w:name w:val="Table Grid"/>
    <w:basedOn w:val="TableNormal"/>
    <w:rsid w:val="00C7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C69DB"/>
    <w:rPr>
      <w:sz w:val="24"/>
      <w:szCs w:val="24"/>
    </w:rPr>
  </w:style>
  <w:style w:type="character" w:customStyle="1" w:styleId="ref-result-item">
    <w:name w:val="ref-result-item"/>
    <w:basedOn w:val="DefaultParagraphFont"/>
    <w:rsid w:val="000609F7"/>
  </w:style>
  <w:style w:type="character" w:styleId="LineNumber">
    <w:name w:val="line number"/>
    <w:basedOn w:val="DefaultParagraphFont"/>
    <w:semiHidden/>
    <w:unhideWhenUsed/>
    <w:rsid w:val="00FC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wnload.cnet.com/G-Power/3000-2054_4-1064704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1DA3-9B31-4253-AEFC-FFA17AF2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5653</Words>
  <Characters>32882</Characters>
  <Application>Microsoft Office Word</Application>
  <DocSecurity>0</DocSecurity>
  <Lines>274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belief in the paranormal evolutionary</vt:lpstr>
    </vt:vector>
  </TitlesOfParts>
  <Company>University of Central Lancashire</Company>
  <LinksUpToDate>false</LinksUpToDate>
  <CharactersWithSpaces>38459</CharactersWithSpaces>
  <SharedDoc>false</SharedDoc>
  <HLinks>
    <vt:vector size="6" baseType="variant">
      <vt:variant>
        <vt:i4>3670103</vt:i4>
      </vt:variant>
      <vt:variant>
        <vt:i4>0</vt:i4>
      </vt:variant>
      <vt:variant>
        <vt:i4>0</vt:i4>
      </vt:variant>
      <vt:variant>
        <vt:i4>5</vt:i4>
      </vt:variant>
      <vt:variant>
        <vt:lpwstr>mailto:progers@uclan.ac.uk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belief in the paranormal evolutionary</dc:title>
  <dc:creator>PRogers</dc:creator>
  <cp:lastModifiedBy>Gayle Brewer</cp:lastModifiedBy>
  <cp:revision>7</cp:revision>
  <cp:lastPrinted>2016-02-09T12:57:00Z</cp:lastPrinted>
  <dcterms:created xsi:type="dcterms:W3CDTF">2016-09-05T07:05:00Z</dcterms:created>
  <dcterms:modified xsi:type="dcterms:W3CDTF">2016-09-05T07:10:00Z</dcterms:modified>
</cp:coreProperties>
</file>