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369F" w14:textId="43CB75D9" w:rsidR="0061710F" w:rsidRPr="0068488B" w:rsidRDefault="0061710F" w:rsidP="00372EE3">
      <w:pPr>
        <w:outlineLvl w:val="0"/>
      </w:pPr>
      <w:r w:rsidRPr="0068488B">
        <w:rPr>
          <w:b/>
        </w:rPr>
        <w:t>Abstract</w:t>
      </w:r>
    </w:p>
    <w:p w14:paraId="114933A0" w14:textId="5EE99CE9" w:rsidR="0061710F" w:rsidRPr="0068488B" w:rsidRDefault="00C95032">
      <w:r>
        <w:t>Health g</w:t>
      </w:r>
      <w:r w:rsidR="00D12DFD" w:rsidRPr="0068488B">
        <w:t>eographers have been long concerned with understanding how the accessibility of individuals to certain environmental fea</w:t>
      </w:r>
      <w:r w:rsidR="00DF4C8A" w:rsidRPr="0068488B">
        <w:t>tures may influence</w:t>
      </w:r>
      <w:r w:rsidR="00D12DFD" w:rsidRPr="0068488B">
        <w:t xml:space="preserve"> health and wellbeing. </w:t>
      </w:r>
      <w:r w:rsidR="00606B43" w:rsidRPr="0068488B">
        <w:t xml:space="preserve">Such insights are increasingly being adopted by policy makers for designing healthy neighbourhoods. </w:t>
      </w:r>
      <w:r w:rsidR="00DF4C8A" w:rsidRPr="0068488B">
        <w:t>T</w:t>
      </w:r>
      <w:r w:rsidR="006237D1" w:rsidRPr="0068488B">
        <w:t>o support and inform decision making</w:t>
      </w:r>
      <w:r w:rsidR="00DF4C8A" w:rsidRPr="0068488B">
        <w:t>,</w:t>
      </w:r>
      <w:r w:rsidR="006237D1" w:rsidRPr="0068488B">
        <w:t xml:space="preserve"> there is a need for small area national level data. This </w:t>
      </w:r>
      <w:r w:rsidR="00DE228C" w:rsidRPr="0068488B">
        <w:t xml:space="preserve">paper details the creation of a suite of </w:t>
      </w:r>
      <w:r w:rsidR="006237D1" w:rsidRPr="0068488B">
        <w:t xml:space="preserve">open access </w:t>
      </w:r>
      <w:r w:rsidR="00DE228C" w:rsidRPr="0068488B">
        <w:t>health indicators</w:t>
      </w:r>
      <w:r w:rsidR="00DF4C8A" w:rsidRPr="0068488B">
        <w:t>,</w:t>
      </w:r>
      <w:r w:rsidR="00DE228C" w:rsidRPr="0068488B">
        <w:t xml:space="preserve"> </w:t>
      </w:r>
      <w:r w:rsidR="006237D1" w:rsidRPr="0068488B">
        <w:t xml:space="preserve">including a novel multidimensional index </w:t>
      </w:r>
      <w:r w:rsidR="00A42CB8" w:rsidRPr="0068488B">
        <w:t xml:space="preserve">summarising </w:t>
      </w:r>
      <w:r w:rsidR="00372EE3">
        <w:t xml:space="preserve">14 </w:t>
      </w:r>
      <w:r w:rsidR="00A42CB8" w:rsidRPr="0068488B">
        <w:t xml:space="preserve">health-related features of neighbourhoods </w:t>
      </w:r>
      <w:r w:rsidR="006237D1" w:rsidRPr="0068488B">
        <w:t>for Great Britain.</w:t>
      </w:r>
      <w:r w:rsidR="00DE228C" w:rsidRPr="0068488B">
        <w:t xml:space="preserve"> </w:t>
      </w:r>
      <w:r w:rsidR="00372EE3">
        <w:t xml:space="preserve">We find </w:t>
      </w:r>
      <w:r w:rsidR="00F5060D">
        <w:t>no</w:t>
      </w:r>
      <w:r w:rsidR="005C3F57">
        <w:t xml:space="preserve"> association of our overall index with physical health measures, but a significant association to mental wellbeing.</w:t>
      </w:r>
    </w:p>
    <w:p w14:paraId="5212A106" w14:textId="77777777" w:rsidR="00FE5C01" w:rsidRPr="0068488B" w:rsidRDefault="00FE5C01"/>
    <w:p w14:paraId="1B500907" w14:textId="6876FF19" w:rsidR="008B194E" w:rsidRPr="0068488B" w:rsidRDefault="008B194E" w:rsidP="00372EE3">
      <w:pPr>
        <w:outlineLvl w:val="0"/>
      </w:pPr>
      <w:r w:rsidRPr="0068488B">
        <w:rPr>
          <w:b/>
        </w:rPr>
        <w:t>Keywords</w:t>
      </w:r>
    </w:p>
    <w:p w14:paraId="38254CB5" w14:textId="7A438B5D" w:rsidR="008B194E" w:rsidRDefault="008B194E" w:rsidP="00372EE3">
      <w:pPr>
        <w:outlineLvl w:val="0"/>
      </w:pPr>
      <w:r w:rsidRPr="0068488B">
        <w:t xml:space="preserve">Health; Environment; Neighbourhood; </w:t>
      </w:r>
      <w:r w:rsidR="00413816">
        <w:t xml:space="preserve">Open </w:t>
      </w:r>
      <w:r w:rsidRPr="0068488B">
        <w:t>Data; Great Britain.</w:t>
      </w:r>
    </w:p>
    <w:p w14:paraId="771E7F0A" w14:textId="77777777" w:rsidR="00F568FC" w:rsidRDefault="00F568FC"/>
    <w:p w14:paraId="1440F6FD" w14:textId="77777777" w:rsidR="008B194E" w:rsidRPr="0068488B" w:rsidRDefault="008B194E"/>
    <w:p w14:paraId="43D21C91" w14:textId="77777777" w:rsidR="00AA076E" w:rsidRDefault="00AA076E">
      <w:pPr>
        <w:rPr>
          <w:b/>
        </w:rPr>
        <w:sectPr w:rsidR="00AA076E" w:rsidSect="002E267B">
          <w:footerReference w:type="even" r:id="rId8"/>
          <w:footerReference w:type="default" r:id="rId9"/>
          <w:pgSz w:w="11900" w:h="16840"/>
          <w:pgMar w:top="1440" w:right="1440" w:bottom="1440" w:left="1440" w:header="720" w:footer="720" w:gutter="0"/>
          <w:cols w:space="720"/>
          <w:docGrid w:linePitch="360"/>
        </w:sectPr>
      </w:pPr>
    </w:p>
    <w:p w14:paraId="05BD55B5" w14:textId="6FB3124E" w:rsidR="00D801FA" w:rsidRPr="0068488B" w:rsidRDefault="00EF105F" w:rsidP="00372EE3">
      <w:pPr>
        <w:outlineLvl w:val="0"/>
        <w:rPr>
          <w:b/>
        </w:rPr>
      </w:pPr>
      <w:r w:rsidRPr="0068488B">
        <w:rPr>
          <w:b/>
        </w:rPr>
        <w:lastRenderedPageBreak/>
        <w:t xml:space="preserve">1.0 </w:t>
      </w:r>
      <w:r w:rsidR="00D801FA" w:rsidRPr="0068488B">
        <w:rPr>
          <w:b/>
        </w:rPr>
        <w:t>Introduction</w:t>
      </w:r>
    </w:p>
    <w:p w14:paraId="4B8DC251" w14:textId="77777777" w:rsidR="00D801FA" w:rsidRPr="0068488B" w:rsidRDefault="00D801FA"/>
    <w:p w14:paraId="512CAE35" w14:textId="72192266" w:rsidR="00901B64" w:rsidRPr="0068488B" w:rsidRDefault="002B2760" w:rsidP="002B2760">
      <w:pPr>
        <w:pStyle w:val="ListParagraph"/>
        <w:numPr>
          <w:ilvl w:val="1"/>
          <w:numId w:val="3"/>
        </w:numPr>
        <w:rPr>
          <w:rFonts w:ascii="Times New Roman" w:hAnsi="Times New Roman" w:cs="Times New Roman"/>
          <w:i/>
        </w:rPr>
      </w:pPr>
      <w:r w:rsidRPr="0068488B">
        <w:rPr>
          <w:rFonts w:ascii="Times New Roman" w:hAnsi="Times New Roman" w:cs="Times New Roman"/>
          <w:i/>
        </w:rPr>
        <w:t>Access</w:t>
      </w:r>
      <w:r w:rsidR="005E6FF6" w:rsidRPr="0068488B">
        <w:rPr>
          <w:rFonts w:ascii="Times New Roman" w:hAnsi="Times New Roman" w:cs="Times New Roman"/>
          <w:i/>
        </w:rPr>
        <w:t>ibility</w:t>
      </w:r>
      <w:r w:rsidRPr="0068488B">
        <w:rPr>
          <w:rFonts w:ascii="Times New Roman" w:hAnsi="Times New Roman" w:cs="Times New Roman"/>
          <w:i/>
        </w:rPr>
        <w:t xml:space="preserve"> and the g</w:t>
      </w:r>
      <w:r w:rsidR="008E67BD" w:rsidRPr="0068488B">
        <w:rPr>
          <w:rFonts w:ascii="Times New Roman" w:hAnsi="Times New Roman" w:cs="Times New Roman"/>
          <w:i/>
        </w:rPr>
        <w:t>eographical determinants of health</w:t>
      </w:r>
    </w:p>
    <w:p w14:paraId="4A44FB00" w14:textId="77777777" w:rsidR="002B2760" w:rsidRPr="0068488B" w:rsidRDefault="002B2760" w:rsidP="002B2760"/>
    <w:p w14:paraId="29A3F249" w14:textId="1C29F317" w:rsidR="00FF3E3C" w:rsidRPr="0068488B" w:rsidRDefault="002727B2" w:rsidP="002B2760">
      <w:r w:rsidRPr="0068488B">
        <w:t xml:space="preserve">Geographical accessibility </w:t>
      </w:r>
      <w:r w:rsidR="00C172E9" w:rsidRPr="0068488B">
        <w:t>most commonly relates</w:t>
      </w:r>
      <w:r w:rsidRPr="0068488B">
        <w:t xml:space="preserve"> to </w:t>
      </w:r>
      <w:r w:rsidR="0097791C" w:rsidRPr="0068488B">
        <w:t xml:space="preserve">the </w:t>
      </w:r>
      <w:r w:rsidR="00016FF7" w:rsidRPr="0068488B">
        <w:t>“</w:t>
      </w:r>
      <w:r w:rsidR="0097791C" w:rsidRPr="0068488B">
        <w:t>distance</w:t>
      </w:r>
      <w:r w:rsidR="00016FF7" w:rsidRPr="0068488B">
        <w:t>”</w:t>
      </w:r>
      <w:r w:rsidR="0097791C" w:rsidRPr="0068488B">
        <w:t xml:space="preserve"> of </w:t>
      </w:r>
      <w:r w:rsidR="00C40B1E" w:rsidRPr="0068488B">
        <w:t>an object (or individual</w:t>
      </w:r>
      <w:r w:rsidR="0097791C" w:rsidRPr="0068488B">
        <w:t>) to a feature of interest</w:t>
      </w:r>
      <w:r w:rsidR="00C40B1E" w:rsidRPr="0068488B">
        <w:t xml:space="preserve"> (although see </w:t>
      </w:r>
      <w:r w:rsidR="00C40B1E" w:rsidRPr="0068488B">
        <w:fldChar w:fldCharType="begin" w:fldLock="1"/>
      </w:r>
      <w:r w:rsidR="00954BAB">
        <w:instrText>ADDIN CSL_CITATION { "citationItems" : [ { "id" : "ITEM-1", "itemData" : { "author" : [ { "dropping-particle" : "", "family" : "Brennan", "given" : "Jane", "non-dropping-particle" : "", "parse-names" : false, "suffix" : "" }, { "dropping-particle" : "", "family" : "Martin", "given" : "Eric", "non-dropping-particle" : "", "parse-names" : false, "suffix" : "" } ], "container-title" : "International Journal of Human-Computer Studies", "id" : "ITEM-1", "issue" : "1", "issued" : { "date-parts" : [ [ "2012" ] ] }, "page" : "88-106", "title" : "Spatial proximity is more than just a distance measure", "type" : "article-journal", "volume" : "70" }, "uris" : [ "http://www.mendeley.com/documents/?uuid=167314d2-c4a7-43c6-954e-91f6b7b63aea" ] } ], "mendeley" : { "formattedCitation" : "(Brennan and Martin, 2012)", "manualFormatting" : "Brennan and Martin, 2012)", "plainTextFormattedCitation" : "(Brennan and Martin, 2012)", "previouslyFormattedCitation" : "(Brennan and Martin, 2012)" }, "properties" : {  }, "schema" : "https://github.com/citation-style-language/schema/raw/master/csl-citation.json" }</w:instrText>
      </w:r>
      <w:r w:rsidR="00C40B1E" w:rsidRPr="0068488B">
        <w:fldChar w:fldCharType="separate"/>
      </w:r>
      <w:r w:rsidR="00BC7107" w:rsidRPr="0068488B">
        <w:rPr>
          <w:noProof/>
        </w:rPr>
        <w:t>Brennan and Martin, 2012)</w:t>
      </w:r>
      <w:r w:rsidR="00C40B1E" w:rsidRPr="0068488B">
        <w:fldChar w:fldCharType="end"/>
      </w:r>
      <w:r w:rsidR="00412FAE" w:rsidRPr="0068488B">
        <w:t>. It is one of the</w:t>
      </w:r>
      <w:r w:rsidR="00FF3E3C" w:rsidRPr="0068488B">
        <w:t xml:space="preserve"> core underpinning concept</w:t>
      </w:r>
      <w:r w:rsidR="00E2607C" w:rsidRPr="0068488B">
        <w:t>s</w:t>
      </w:r>
      <w:r w:rsidR="00FF3E3C" w:rsidRPr="0068488B">
        <w:t xml:space="preserve"> of health geography </w:t>
      </w:r>
      <w:r w:rsidR="00412FAE" w:rsidRPr="0068488B">
        <w:t xml:space="preserve">since </w:t>
      </w:r>
      <w:r w:rsidR="00EB3B33" w:rsidRPr="0068488B">
        <w:t>it makes the spatial explicit. In t</w:t>
      </w:r>
      <w:r w:rsidR="00412FAE" w:rsidRPr="0068488B">
        <w:t xml:space="preserve">he pursuit </w:t>
      </w:r>
      <w:r w:rsidR="00EC4968" w:rsidRPr="0068488B">
        <w:t>of understanding about</w:t>
      </w:r>
      <w:r w:rsidR="00412FAE" w:rsidRPr="0068488B">
        <w:t xml:space="preserve"> </w:t>
      </w:r>
      <w:r w:rsidR="00412FAE" w:rsidRPr="0068488B">
        <w:rPr>
          <w:i/>
        </w:rPr>
        <w:t>how</w:t>
      </w:r>
      <w:r w:rsidR="00412FAE" w:rsidRPr="0068488B">
        <w:t xml:space="preserve"> and </w:t>
      </w:r>
      <w:r w:rsidR="00412FAE" w:rsidRPr="0068488B">
        <w:rPr>
          <w:i/>
        </w:rPr>
        <w:t>why</w:t>
      </w:r>
      <w:r w:rsidR="00412FAE" w:rsidRPr="0068488B">
        <w:t xml:space="preserve"> geographical determinants of health operate</w:t>
      </w:r>
      <w:r w:rsidR="0097791C" w:rsidRPr="0068488B">
        <w:t xml:space="preserve">, </w:t>
      </w:r>
      <w:r w:rsidR="00564F28" w:rsidRPr="0068488B">
        <w:t>it can be important</w:t>
      </w:r>
      <w:r w:rsidR="0097791C" w:rsidRPr="0068488B">
        <w:t xml:space="preserve"> to demonstrate how living close to a feature or having greater exposure to it will influence the risk of disease and ill health.</w:t>
      </w:r>
    </w:p>
    <w:p w14:paraId="71EA777C" w14:textId="77777777" w:rsidR="00610307" w:rsidRPr="0068488B" w:rsidRDefault="00610307" w:rsidP="002B2760"/>
    <w:p w14:paraId="61D0B95E" w14:textId="55E3FCE2" w:rsidR="006A3B64" w:rsidRPr="0068488B" w:rsidRDefault="00990512" w:rsidP="002B2760">
      <w:r w:rsidRPr="0068488B">
        <w:t>The role of access</w:t>
      </w:r>
      <w:r w:rsidR="00610307" w:rsidRPr="0068488B">
        <w:t xml:space="preserve"> to </w:t>
      </w:r>
      <w:r w:rsidR="00EC4968" w:rsidRPr="0068488B">
        <w:t>and</w:t>
      </w:r>
      <w:r w:rsidRPr="0068488B">
        <w:t xml:space="preserve"> utilisation of </w:t>
      </w:r>
      <w:r w:rsidR="00EC4968" w:rsidRPr="0068488B">
        <w:t xml:space="preserve">health </w:t>
      </w:r>
      <w:r w:rsidRPr="0068488B">
        <w:t>services forms on</w:t>
      </w:r>
      <w:r w:rsidR="00DA48A8" w:rsidRPr="0068488B">
        <w:t>e of</w:t>
      </w:r>
      <w:r w:rsidRPr="0068488B">
        <w:t xml:space="preserve"> </w:t>
      </w:r>
      <w:r w:rsidR="00DA48A8" w:rsidRPr="0068488B">
        <w:t xml:space="preserve">the classical studies into the geographical determinants of health. </w:t>
      </w:r>
      <w:r w:rsidR="006A3B64" w:rsidRPr="0068488B">
        <w:t>Studies have sought to understand whether living far from a health service may discourage individuals from using them</w:t>
      </w:r>
      <w:r w:rsidR="00E543EE" w:rsidRPr="0068488B">
        <w:t xml:space="preserve"> </w:t>
      </w:r>
      <w:r w:rsidR="00A87143" w:rsidRPr="0068488B">
        <w:fldChar w:fldCharType="begin" w:fldLock="1"/>
      </w:r>
      <w:r w:rsidR="00A87143" w:rsidRPr="0068488B">
        <w:instrText>ADDIN CSL_CITATION { "citationItems" : [ { "id" : "ITEM-1", "itemData" : { "author" : [ { "dropping-particle" : "", "family" : "Lovett", "given" : "Andrew", "non-dropping-particle" : "", "parse-names" : false, "suffix" : "" }, { "dropping-particle" : "", "family" : "Haynes", "given" : "Robin", "non-dropping-particle" : "", "parse-names" : false, "suffix" : "" }, { "dropping-particle" : "", "family" : "Sunnenberg", "given" : "Gisela", "non-dropping-particle" : "", "parse-names" : false, "suffix" : "" }, { "dropping-particle" : "", "family" : "Gale", "given" : "Susan", "non-dropping-particle" : "", "parse-names" : false, "suffix" : "" } ], "container-title" : "Social Science &amp; Medicine", "id" : "ITEM-1", "issue" : "1", "issued" : { "date-parts" : [ [ "2002" ] ] }, "page" : "97-111", "title" : "Car travel time and accessibility by bus to general practitioner services: a study using patient registers and GIS", "type" : "article-journal", "volume" : "55" }, "uris" : [ "http://www.mendeley.com/documents/?uuid=94ff7ef3-85be-48e9-9e58-a11c639f890c" ] }, { "id" : "ITEM-2", "itemData" : { "author" : [ { "dropping-particle" : "", "family" : "Haynes", "given" : "Robin", "non-dropping-particle" : "", "parse-names" : false, "suffix" : "" }, { "dropping-particle" : "", "family" : "Lovett", "given" : "Andrew", "non-dropping-particle" : "", "parse-names" : false, "suffix" : "" }, { "dropping-particle" : "", "family" : "Sunnenberg", "given" : "Gisela", "non-dropping-particle" : "", "parse-names" : false, "suffix" : "" } ], "container-title" : "Environment and Planning A", "id" : "ITEM-2", "issue" : "10", "issued" : { "date-parts" : [ [ "2003" ] ] }, "page" : "1733-1750", "title" : "Potential Accessibility, Travel Time, and Consumer Choice: Geographical Variations in General Medical Practice Registrations in Eastern England", "type" : "article-journal", "volume" : "35" }, "uris" : [ "http://www.mendeley.com/documents/?uuid=fbc6d6cc-b437-412c-9c22-36ff2d0a9b49" ] }, { "id" : "ITEM-3", "itemData" : { "author" : [ { "dropping-particle" : "", "family" : "Jordan", "given" : "Hannah", "non-dropping-particle" : "", "parse-names" : false, "suffix" : "" }, { "dropping-particle" : "", "family" : "Roderick", "given" : "Paul", "non-dropping-particle" : "", "parse-names" : false, "suffix" : "" }, { "dropping-particle" : "", "family" : "Martin", "given" : "David", "non-dropping-particle" : "", "parse-names" : false, "suffix" : "" }, { "dropping-particle" : "", "family" : "Barnett", "given" : "Sarah", "non-dropping-particle" : "", "parse-names" : false, "suffix" : "" } ], "container-title" : "International Journal of Health Geography", "id" : "ITEM-3", "issued" : { "date-parts" : [ [ "2004" ] ] }, "page" : "21", "title" : "Distance, rurality and the need for care: access to health services in South West England", "type" : "article-journal", "volume" : "3" }, "uris" : [ "http://www.mendeley.com/documents/?uuid=7b4e79bd-809f-470a-a024-42281bf32649" ] }, { "id" : "ITEM-4", "itemData" : { "author" : [ { "dropping-particle" : "", "family" : "Macintyre", "given" : "Sally", "non-dropping-particle" : "", "parse-names" : false, "suffix" : "" }, { "dropping-particle" : "", "family" : "Macdonald", "given" : "Laura", "non-dropping-particle" : "", "parse-names" : false, "suffix" : "" }, { "dropping-particle" : "", "family" : "Ellaway", "given" : "Anne", "non-dropping-particle" : "", "parse-names" : false, "suffix" : "" } ], "container-title" : "Social Science &amp; Medicine", "id" : "ITEM-4", "issue" : "6", "issued" : { "date-parts" : [ [ "2008" ] ] }, "page" : "900-914", "title" : "Do poorer people have poorer access to local resources and facilities? The distribution of local resources by area deprivation in Glasgow, Scotland", "type" : "article-journal", "volume" : "67" }, "uris" : [ "http://www.mendeley.com/documents/?uuid=2d82e41b-ef77-443b-bf19-c114de75c45e" ] }, { "id" : "ITEM-5", "itemData" : { "author" : [ { "dropping-particle" : "", "family" : "Jones", "given" : "Andy", "non-dropping-particle" : "", "parse-names" : false, "suffix" : "" }, { "dropping-particle" : "", "family" : "Haynes", "given" : "Robin", "non-dropping-particle" : "", "parse-names" : false, "suffix" : "" }, { "dropping-particle" : "", "family" : "Sauerzapf", "given" : "V", "non-dropping-particle" : "", "parse-names" : false, "suffix" : "" }, { "dropping-particle" : "", "family" : "Crawford", "given" : "S", "non-dropping-particle" : "", "parse-names" : false, "suffix" : "" }, { "dropping-particle" : "", "family" : "Forman", "given" : "D", "non-dropping-particle" : "", "parse-names" : false, "suffix" : "" } ], "container-title" : "Journal of Public Health", "id" : "ITEM-5", "issue" : "4", "issued" : { "date-parts" : [ [ "2010" ] ] }, "page" : "532-537", "title" : "Geographical access to healthcare in Northern England and post-mortem diagnosis of cancer", "type" : "article-journal", "volume" : "32" }, "uris" : [ "http://www.mendeley.com/documents/?uuid=432440df-48fd-4a02-be21-99a053613b4a" ] } ], "mendeley" : { "formattedCitation" : "(Lovett &lt;i&gt;et al.&lt;/i&gt;, 2002; Haynes, Lovett and Sunnenberg, 2003; Jordan &lt;i&gt;et al.&lt;/i&gt;, 2004; Macintyre, Macdonald and Ellaway, 2008; Jones &lt;i&gt;et al.&lt;/i&gt;, 2010)", "plainTextFormattedCitation" : "(Lovett et al., 2002; Haynes, Lovett and Sunnenberg, 2003; Jordan et al., 2004; Macintyre, Macdonald and Ellaway, 2008; Jones et al., 2010)", "previouslyFormattedCitation" : "(Lovett &lt;i&gt;et al.&lt;/i&gt;, 2002; Haynes, Lovett and Sunnenberg, 2003; Jordan &lt;i&gt;et al.&lt;/i&gt;, 2004; Macintyre, Macdonald and Ellaway, 2008; Jones &lt;i&gt;et al.&lt;/i&gt;, 2010)" }, "properties" : {  }, "schema" : "https://github.com/citation-style-language/schema/raw/master/csl-citation.json" }</w:instrText>
      </w:r>
      <w:r w:rsidR="00A87143" w:rsidRPr="0068488B">
        <w:fldChar w:fldCharType="separate"/>
      </w:r>
      <w:r w:rsidR="00A87143" w:rsidRPr="0068488B">
        <w:rPr>
          <w:noProof/>
        </w:rPr>
        <w:t xml:space="preserve">(Lovett </w:t>
      </w:r>
      <w:r w:rsidR="00A87143" w:rsidRPr="0068488B">
        <w:rPr>
          <w:i/>
          <w:noProof/>
        </w:rPr>
        <w:t>et al.</w:t>
      </w:r>
      <w:r w:rsidR="00A87143" w:rsidRPr="0068488B">
        <w:rPr>
          <w:noProof/>
        </w:rPr>
        <w:t xml:space="preserve">, 2002; Haynes, Lovett and Sunnenberg, 2003; Jordan </w:t>
      </w:r>
      <w:r w:rsidR="00A87143" w:rsidRPr="0068488B">
        <w:rPr>
          <w:i/>
          <w:noProof/>
        </w:rPr>
        <w:t>et al.</w:t>
      </w:r>
      <w:r w:rsidR="00A87143" w:rsidRPr="0068488B">
        <w:rPr>
          <w:noProof/>
        </w:rPr>
        <w:t xml:space="preserve">, 2004; Macintyre, Macdonald and Ellaway, 2008; Jones </w:t>
      </w:r>
      <w:r w:rsidR="00A87143" w:rsidRPr="0068488B">
        <w:rPr>
          <w:i/>
          <w:noProof/>
        </w:rPr>
        <w:t>et al.</w:t>
      </w:r>
      <w:r w:rsidR="00A87143" w:rsidRPr="0068488B">
        <w:rPr>
          <w:noProof/>
        </w:rPr>
        <w:t>, 2010)</w:t>
      </w:r>
      <w:r w:rsidR="00A87143" w:rsidRPr="0068488B">
        <w:fldChar w:fldCharType="end"/>
      </w:r>
      <w:r w:rsidR="00A87143" w:rsidRPr="0068488B">
        <w:t>.</w:t>
      </w:r>
      <w:r w:rsidR="006A3B64" w:rsidRPr="0068488B">
        <w:t xml:space="preserve"> </w:t>
      </w:r>
      <w:r w:rsidR="00A84313" w:rsidRPr="0068488B">
        <w:t>Understanding which populations have access to dif</w:t>
      </w:r>
      <w:r w:rsidR="00C95032">
        <w:t>ferent types of health care has</w:t>
      </w:r>
      <w:r w:rsidR="00A84313" w:rsidRPr="0068488B">
        <w:t xml:space="preserve"> led to researchers</w:t>
      </w:r>
      <w:r w:rsidR="00B517D1" w:rsidRPr="0068488B">
        <w:t xml:space="preserve"> consider</w:t>
      </w:r>
      <w:r w:rsidR="00A84313" w:rsidRPr="0068488B">
        <w:t>ing</w:t>
      </w:r>
      <w:r w:rsidR="00B517D1" w:rsidRPr="0068488B">
        <w:t xml:space="preserve"> whether access is equitable. </w:t>
      </w:r>
      <w:r w:rsidR="00A87143" w:rsidRPr="0068488B">
        <w:fldChar w:fldCharType="begin" w:fldLock="1"/>
      </w:r>
      <w:r w:rsidR="00A87143" w:rsidRPr="0068488B">
        <w:instrText>ADDIN CSL_CITATION { "citationItems" : [ { "id" : "ITEM-1", "itemData" : { "author" : [ { "dropping-particle" : "", "family" : "Tudor Hart", "given" : "Julian", "non-dropping-particle" : "", "parse-names" : false, "suffix" : "" } ], "container-title" : "The Lancet", "id" : "ITEM-1", "issue" : "7696", "issued" : { "date-parts" : [ [ "1971" ] ] }, "page" : "405-412", "title" : "The inverse care law", "type" : "article-journal", "volume" : "297" }, "uris" : [ "http://www.mendeley.com/documents/?uuid=6db8dc7e-8002-4fef-b7dd-1e799cd037af" ] } ], "mendeley" : { "formattedCitation" : "(Tudor Hart, 1971)", "manualFormatting" : "Tudor Hart (1971)", "plainTextFormattedCitation" : "(Tudor Hart, 1971)", "previouslyFormattedCitation" : "(Tudor Hart, 1971)" }, "properties" : {  }, "schema" : "https://github.com/citation-style-language/schema/raw/master/csl-citation.json" }</w:instrText>
      </w:r>
      <w:r w:rsidR="00A87143" w:rsidRPr="0068488B">
        <w:fldChar w:fldCharType="separate"/>
      </w:r>
      <w:r w:rsidR="00A87143" w:rsidRPr="0068488B">
        <w:rPr>
          <w:noProof/>
        </w:rPr>
        <w:t>Tudor Hart (1971)</w:t>
      </w:r>
      <w:r w:rsidR="00A87143" w:rsidRPr="0068488B">
        <w:fldChar w:fldCharType="end"/>
      </w:r>
      <w:r w:rsidR="00A87143" w:rsidRPr="0068488B">
        <w:t xml:space="preserve"> </w:t>
      </w:r>
      <w:r w:rsidR="00B517D1" w:rsidRPr="0068488B">
        <w:t xml:space="preserve">proposed the ‘Inverse Care Law’, whereby health services are hypothesised to be located in areas with less need for them, </w:t>
      </w:r>
      <w:r w:rsidR="00913292" w:rsidRPr="0068488B">
        <w:t xml:space="preserve">with considerable evidence to support </w:t>
      </w:r>
      <w:r w:rsidR="007F07F4" w:rsidRPr="0068488B">
        <w:t>the inequitable distribution of services</w:t>
      </w:r>
      <w:r w:rsidR="00A87143" w:rsidRPr="0068488B">
        <w:t xml:space="preserve"> </w:t>
      </w:r>
      <w:r w:rsidR="00A87143" w:rsidRPr="0068488B">
        <w:fldChar w:fldCharType="begin" w:fldLock="1"/>
      </w:r>
      <w:r w:rsidR="0023024D" w:rsidRPr="0068488B">
        <w:instrText>ADDIN CSL_CITATION { "citationItems" : [ { "id" : "ITEM-1", "itemData" : { "author" : [ { "dropping-particle" : "", "family" : "Furler", "given" : "J S", "non-dropping-particle" : "", "parse-names" : false, "suffix" : "" }, { "dropping-particle" : "", "family" : "Harris", "given" : "E", "non-dropping-particle" : "", "parse-names" : false, "suffix" : "" }, { "dropping-particle" : "", "family" : "Chondros", "given" : "P", "non-dropping-particle" : "", "parse-names" : false, "suffix" : "" }, { "dropping-particle" : "", "family" : "Powell Davies", "given" : "P G", "non-dropping-particle" : "", "parse-names" : false, "suffix" : "" }, { "dropping-particle" : "", "family" : "Harris", "given" : "M F", "non-dropping-particle" : "", "parse-names" : false, "suffix" : "" }, { "dropping-particle" : "", "family" : "Young", "given" : "D Y", "non-dropping-particle" : "", "parse-names" : false, "suffix" : "" } ], "container-title" : "Medical Journal of Australia", "id" : "ITEM-1", "issue" : "2", "issued" : { "date-parts" : [ [ "2002" ] ] }, "page" : "80-83", "title" : "The inverse care law revisited: impact of disadvantaged location on accessing longer GP consultation times", "type" : "article-journal", "volume" : "177" }, "uris" : [ "http://www.mendeley.com/documents/?uuid=a6a5e508-3212-4da8-b951-86faaf379e1e" ] }, { "id" : "ITEM-2", "itemData" : { "author" : [ { "dropping-particle" : "", "family" : "Shaw", "given" : "Mary", "non-dropping-particle" : "", "parse-names" : false, "suffix" : "" }, { "dropping-particle" : "", "family" : "Dorling", "given" : "Danny", "non-dropping-particle" : "", "parse-names" : false, "suffix" : "" } ], "container-title" : "British Journal of General Practice", "id" : "ITEM-2", "issue" : "509", "issued" : { "date-parts" : [ [ "2004" ] ] }, "page" : "899-903", "title" : "Who cares in England and Wales? The Positive Care Law: cross-sectional study", "type" : "article-journal", "volume" : "54" }, "uris" : [ "http://www.mendeley.com/documents/?uuid=63da641a-2e75-443f-95c8-0061ac206013" ] }, { "id" : "ITEM-3", "itemData" : { "author" : [ { "dropping-particle" : "", "family" : "Mercer", "given" : "Stewart", "non-dropping-particle" : "", "parse-names" : false, "suffix" : "" }, { "dropping-particle" : "", "family" : "Watt", "given" : "Graham", "non-dropping-particle" : "", "parse-names" : false, "suffix" : "" } ], "container-title" : "Annals of Family Medicine", "id" : "ITEM-3", "issue" : "6", "issued" : { "date-parts" : [ [ "2007" ] ] }, "page" : "503-510", "title" : "The Inverse Care Law: Clinical Primary Care Encounters in Deprived and Affluent Areas of Scotland", "type" : "article-journal", "volume" : "5" }, "uris" : [ "http://www.mendeley.com/documents/?uuid=16966e3b-34dd-4b5d-8a75-6eeb55c538cf" ] } ], "mendeley" : { "formattedCitation" : "(Furler &lt;i&gt;et al.&lt;/i&gt;, 2002; Shaw and Dorling, 2004; Mercer and Watt, 2007)", "plainTextFormattedCitation" : "(Furler et al., 2002; Shaw and Dorling, 2004; Mercer and Watt, 2007)", "previouslyFormattedCitation" : "(Furler &lt;i&gt;et al.&lt;/i&gt;, 2002; Shaw and Dorling, 2004; Mercer and Watt, 2007)" }, "properties" : {  }, "schema" : "https://github.com/citation-style-language/schema/raw/master/csl-citation.json" }</w:instrText>
      </w:r>
      <w:r w:rsidR="00A87143" w:rsidRPr="0068488B">
        <w:fldChar w:fldCharType="separate"/>
      </w:r>
      <w:r w:rsidR="0023024D" w:rsidRPr="0068488B">
        <w:rPr>
          <w:noProof/>
        </w:rPr>
        <w:t xml:space="preserve">(Furler </w:t>
      </w:r>
      <w:r w:rsidR="0023024D" w:rsidRPr="0068488B">
        <w:rPr>
          <w:i/>
          <w:noProof/>
        </w:rPr>
        <w:t>et al.</w:t>
      </w:r>
      <w:r w:rsidR="0023024D" w:rsidRPr="0068488B">
        <w:rPr>
          <w:noProof/>
        </w:rPr>
        <w:t>, 2002; Shaw and Dorling, 2004; Mercer and Watt, 2007)</w:t>
      </w:r>
      <w:r w:rsidR="00A87143" w:rsidRPr="0068488B">
        <w:fldChar w:fldCharType="end"/>
      </w:r>
      <w:r w:rsidR="00A87143" w:rsidRPr="0068488B">
        <w:t>.</w:t>
      </w:r>
      <w:r w:rsidR="006A3B64" w:rsidRPr="0068488B">
        <w:t xml:space="preserve"> </w:t>
      </w:r>
      <w:r w:rsidR="006B51D2" w:rsidRPr="0068488B">
        <w:t>The implications of promoting universal and equitable access to health care remains prominent among policy discussions</w:t>
      </w:r>
      <w:r w:rsidR="00A87143" w:rsidRPr="0068488B">
        <w:t xml:space="preserve"> </w:t>
      </w:r>
      <w:r w:rsidR="00A87143" w:rsidRPr="0068488B">
        <w:fldChar w:fldCharType="begin" w:fldLock="1"/>
      </w:r>
      <w:r w:rsidR="0023024D" w:rsidRPr="0068488B">
        <w:instrText>ADDIN CSL_CITATION { "citationItems" : [ { "id" : "ITEM-1", "itemData" : { "author" : [ { "dropping-particle" : "", "family" : "Ware", "given" : "Jonathan", "non-dropping-particle" : "", "parse-names" : false, "suffix" : "" }, { "dropping-particle" : "", "family" : "Mawby", "given" : "Rachel", "non-dropping-particle" : "", "parse-names" : false, "suffix" : "" } ], "id" : "ITEM-1", "issued" : { "date-parts" : [ [ "2015" ] ] }, "title" : "Patient access to general practice: ideas and challenges from the front line", "type" : "webpage" }, "uris" : [ "http://www.mendeley.com/documents/?uuid=c41ac241-1267-453a-b48c-fbb7eb6e91dc" ] }, { "id" : "ITEM-2", "itemData" : { "author" : [ { "dropping-particle" : "", "family" : "NHS England", "given" : "", "non-dropping-particle" : "", "parse-names" : false, "suffix" : "" } ], "id" : "ITEM-2", "issued" : { "date-parts" : [ [ "2017" ] ] }, "title" : "Improving access to general practice", "type" : "webpage" }, "uris" : [ "http://www.mendeley.com/documents/?uuid=e5201d2f-5363-44de-b778-fd369960f41b" ] } ], "mendeley" : { "formattedCitation" : "(Ware and Mawby, 2015; NHS England, 2017)", "plainTextFormattedCitation" : "(Ware and Mawby, 2015; NHS England, 2017)", "previouslyFormattedCitation" : "(Ware and Mawby, 2015; NHS England, 2017)" }, "properties" : {  }, "schema" : "https://github.com/citation-style-language/schema/raw/master/csl-citation.json" }</w:instrText>
      </w:r>
      <w:r w:rsidR="00A87143" w:rsidRPr="0068488B">
        <w:fldChar w:fldCharType="separate"/>
      </w:r>
      <w:r w:rsidR="008909B3" w:rsidRPr="0068488B">
        <w:rPr>
          <w:noProof/>
        </w:rPr>
        <w:t>(Ware and Mawby, 2015; NHS England, 2017)</w:t>
      </w:r>
      <w:r w:rsidR="00A87143" w:rsidRPr="0068488B">
        <w:fldChar w:fldCharType="end"/>
      </w:r>
      <w:r w:rsidR="00A87143" w:rsidRPr="0068488B">
        <w:t>.</w:t>
      </w:r>
    </w:p>
    <w:p w14:paraId="21284CF9" w14:textId="77777777" w:rsidR="00990512" w:rsidRPr="0068488B" w:rsidRDefault="00990512" w:rsidP="002B2760"/>
    <w:p w14:paraId="04C9B6D4" w14:textId="6BAE82B5" w:rsidR="002F692B" w:rsidRPr="0068488B" w:rsidRDefault="00E87258" w:rsidP="002B2760">
      <w:r w:rsidRPr="0068488B">
        <w:t xml:space="preserve">Within the wider </w:t>
      </w:r>
      <w:r w:rsidR="0070132E" w:rsidRPr="0068488B">
        <w:t>ac</w:t>
      </w:r>
      <w:r w:rsidR="00FB4199" w:rsidRPr="0068488B">
        <w:t xml:space="preserve">cessibility </w:t>
      </w:r>
      <w:r w:rsidR="00BF46E5" w:rsidRPr="0068488B">
        <w:t xml:space="preserve">and health geography </w:t>
      </w:r>
      <w:r w:rsidR="00AC2D98" w:rsidRPr="0068488B">
        <w:t>literature</w:t>
      </w:r>
      <w:r w:rsidRPr="0068488B">
        <w:t>, there</w:t>
      </w:r>
      <w:r w:rsidR="00AC2D98" w:rsidRPr="0068488B">
        <w:t xml:space="preserve"> </w:t>
      </w:r>
      <w:r w:rsidR="0070132E" w:rsidRPr="0068488B">
        <w:t xml:space="preserve">has also </w:t>
      </w:r>
      <w:r w:rsidRPr="0068488B">
        <w:t xml:space="preserve">been </w:t>
      </w:r>
      <w:r w:rsidR="00E02E78" w:rsidRPr="0068488B">
        <w:t xml:space="preserve">consideration </w:t>
      </w:r>
      <w:r w:rsidRPr="0068488B">
        <w:t xml:space="preserve">of </w:t>
      </w:r>
      <w:r w:rsidR="0070132E" w:rsidRPr="0068488B">
        <w:t xml:space="preserve">broader geographical determinants </w:t>
      </w:r>
      <w:r w:rsidRPr="0068488B">
        <w:t xml:space="preserve">of </w:t>
      </w:r>
      <w:r w:rsidR="0070132E" w:rsidRPr="0068488B">
        <w:t xml:space="preserve">health </w:t>
      </w:r>
      <w:r w:rsidRPr="0068488B">
        <w:t xml:space="preserve">beyond </w:t>
      </w:r>
      <w:r w:rsidR="0070132E" w:rsidRPr="0068488B">
        <w:t>service</w:t>
      </w:r>
      <w:r w:rsidRPr="0068488B">
        <w:t xml:space="preserve"> provision and use</w:t>
      </w:r>
      <w:r w:rsidR="0070132E" w:rsidRPr="0068488B">
        <w:t>. The locatio</w:t>
      </w:r>
      <w:r w:rsidR="0079059F" w:rsidRPr="0068488B">
        <w:t xml:space="preserve">n of </w:t>
      </w:r>
      <w:r w:rsidRPr="0068488B">
        <w:t xml:space="preserve">different </w:t>
      </w:r>
      <w:r w:rsidR="00640524" w:rsidRPr="0068488B">
        <w:t>types</w:t>
      </w:r>
      <w:r w:rsidRPr="0068488B">
        <w:t xml:space="preserve"> of </w:t>
      </w:r>
      <w:r w:rsidR="0079059F" w:rsidRPr="0068488B">
        <w:t>retail outlets has formed one</w:t>
      </w:r>
      <w:r w:rsidR="0070132E" w:rsidRPr="0068488B">
        <w:t xml:space="preserve"> </w:t>
      </w:r>
      <w:r w:rsidR="0079059F" w:rsidRPr="0068488B">
        <w:t>area of interest across health geography</w:t>
      </w:r>
      <w:r w:rsidRPr="0068488B">
        <w:t xml:space="preserve">, motivated by the rationale that </w:t>
      </w:r>
      <w:r w:rsidR="00640524" w:rsidRPr="0068488B">
        <w:t>the</w:t>
      </w:r>
      <w:r w:rsidR="00217B9D" w:rsidRPr="0068488B">
        <w:t xml:space="preserve"> </w:t>
      </w:r>
      <w:r w:rsidR="00065218" w:rsidRPr="0068488B">
        <w:t>sources of services</w:t>
      </w:r>
      <w:r w:rsidR="00640524" w:rsidRPr="0068488B">
        <w:t xml:space="preserve"> and </w:t>
      </w:r>
      <w:r w:rsidR="00065218" w:rsidRPr="0068488B">
        <w:t>goods</w:t>
      </w:r>
      <w:r w:rsidR="00217B9D" w:rsidRPr="0068488B">
        <w:t xml:space="preserve"> we have access to may shape our behaviours</w:t>
      </w:r>
      <w:r w:rsidRPr="0068488B">
        <w:t xml:space="preserve">. For example, </w:t>
      </w:r>
      <w:r w:rsidR="00217B9D" w:rsidRPr="0068488B">
        <w:t xml:space="preserve">research </w:t>
      </w:r>
      <w:r w:rsidRPr="0068488B">
        <w:t xml:space="preserve">has </w:t>
      </w:r>
      <w:r w:rsidRPr="00C437DF">
        <w:t xml:space="preserve">demonstrated </w:t>
      </w:r>
      <w:r w:rsidR="00217B9D" w:rsidRPr="00C437DF">
        <w:t xml:space="preserve">that </w:t>
      </w:r>
      <w:r w:rsidR="00640524" w:rsidRPr="00C437DF">
        <w:t xml:space="preserve">individuals who have a greater number of fast food outlets within their vicinity </w:t>
      </w:r>
      <w:r w:rsidRPr="00C437DF">
        <w:t xml:space="preserve">can be </w:t>
      </w:r>
      <w:r w:rsidR="00217B9D" w:rsidRPr="00C437DF">
        <w:t xml:space="preserve">associated with risk of obesity </w:t>
      </w:r>
      <w:r w:rsidR="00D52D45" w:rsidRPr="00C437DF">
        <w:fldChar w:fldCharType="begin" w:fldLock="1"/>
      </w:r>
      <w:r w:rsidR="002E6351">
        <w:instrText>ADDIN CSL_CITATION { "citationItems" : [ { "id" : "ITEM-1", "itemData" : { "author" : [ { "dropping-particle" : "", "family" : "Fraser", "given" : "Lorna", "non-dropping-particle" : "", "parse-names" : false, "suffix" : "" }, { "dropping-particle" : "", "family" : "Edwards", "given" : "Kimberley", "non-dropping-particle" : "", "parse-names" : false, "suffix" : "" } ], "container-title" : "Health &amp; Place", "id" : "ITEM-1", "issue" : "6", "issued" : { "date-parts" : [ [ "2010" ] ] }, "page" : "1124-1128", "title" : "The association between the geography of fast food outlets and childhood obesity rates in Leeds, UK", "type" : "article-journal", "volume" : "16" }, "uris" : [ "http://www.mendeley.com/documents/?uuid=5856721f-3f3b-4274-a50f-b4c48b90b2bc" ] }, { "id" : "ITEM-2", "itemData" : { "author" : [ { "dropping-particle" : "", "family" : "Hobbs", "given" : "Matthew", "non-dropping-particle" : "", "parse-names" : false, "suffix" : "" }, { "dropping-particle" : "", "family" : "Griffiths", "given" : "Claire", "non-dropping-particle" : "", "parse-names" : false, "suffix" : "" }, { "dropping-particle" : "", "family" : "Green", "given" : "Mark A", "non-dropping-particle" : "", "parse-names" : false, "suffix" : "" }, { "dropping-particle" : "", "family" : "Jordan", "given" : "Hannah", "non-dropping-particle" : "", "parse-names" : false, "suffix" : "" }, { "dropping-particle" : "", "family" : "Saunders", "given" : "Joanna", "non-dropping-particle" : "", "parse-names" : false, "suffix" : "" }, { "dropping-particle" : "", "family" : "McKenna", "given" : "Jim", "non-dropping-particle" : "", "parse-names" : false, "suffix" : "" } ], "container-title" : "Preventive Medicine", "id" : "ITEM-2", "issued" : { "date-parts" : [ [ "2017" ] ] }, "title" : "Neighbourhood typologies and associations with body mass index and obesity: A cross-sectional study", "type" : "article-journal" }, "uris" : [ "http://www.mendeley.com/documents/?uuid=ad8d226e-30cd-4504-b335-87f68fc8d2fd" ] } ], "mendeley" : { "formattedCitation" : "(Fraser and Edwards, 2010; Hobbs &lt;i&gt;et al.&lt;/i&gt;, 2017)", "manualFormatting" : "(Fraser and Edwards, 2010; Author et al., 2017)", "plainTextFormattedCitation" : "(Fraser and Edwards, 2010; Hobbs et al., 2017)", "previouslyFormattedCitation" : "(Fraser and Edwards, 2010; Hobbs &lt;i&gt;et al.&lt;/i&gt;, 2017)" }, "properties" : {  }, "schema" : "https://github.com/citation-style-language/schema/raw/master/csl-citation.json" }</w:instrText>
      </w:r>
      <w:r w:rsidR="00D52D45" w:rsidRPr="00C437DF">
        <w:fldChar w:fldCharType="separate"/>
      </w:r>
      <w:r w:rsidR="00D52D45" w:rsidRPr="00C437DF">
        <w:rPr>
          <w:noProof/>
        </w:rPr>
        <w:t xml:space="preserve">(Fraser and Edwards, 2010; </w:t>
      </w:r>
      <w:r w:rsidR="00273EFE">
        <w:rPr>
          <w:noProof/>
        </w:rPr>
        <w:t>Author</w:t>
      </w:r>
      <w:r w:rsidR="00D52D45" w:rsidRPr="00C437DF">
        <w:rPr>
          <w:noProof/>
        </w:rPr>
        <w:t xml:space="preserve"> </w:t>
      </w:r>
      <w:r w:rsidR="00D52D45" w:rsidRPr="00C437DF">
        <w:rPr>
          <w:i/>
          <w:noProof/>
        </w:rPr>
        <w:t>et al.</w:t>
      </w:r>
      <w:r w:rsidR="00D52D45" w:rsidRPr="00C437DF">
        <w:rPr>
          <w:noProof/>
        </w:rPr>
        <w:t>, 2017)</w:t>
      </w:r>
      <w:r w:rsidR="00D52D45" w:rsidRPr="00C437DF">
        <w:fldChar w:fldCharType="end"/>
      </w:r>
      <w:r w:rsidR="00E02E78" w:rsidRPr="00C437DF">
        <w:t xml:space="preserve">; the </w:t>
      </w:r>
      <w:r w:rsidR="0079059F" w:rsidRPr="00C437DF">
        <w:t xml:space="preserve">density of on- and off-trade alcohol-related outlets have been shown to be associated </w:t>
      </w:r>
      <w:r w:rsidR="00E02E78" w:rsidRPr="00C437DF">
        <w:t xml:space="preserve">with </w:t>
      </w:r>
      <w:r w:rsidR="00217B9D" w:rsidRPr="00C437DF">
        <w:t xml:space="preserve">acute and chronic </w:t>
      </w:r>
      <w:r w:rsidR="002F3400" w:rsidRPr="00C437DF">
        <w:t>alcohol-related harms</w:t>
      </w:r>
      <w:r w:rsidR="0023024D" w:rsidRPr="00C437DF">
        <w:t xml:space="preserve"> </w:t>
      </w:r>
      <w:r w:rsidR="0023024D" w:rsidRPr="00C437DF">
        <w:fldChar w:fldCharType="begin" w:fldLock="1"/>
      </w:r>
      <w:r w:rsidR="0023024D" w:rsidRPr="00C437DF">
        <w:instrText>ADDIN CSL_CITATION { "citationItems" : [ { "id" : "ITEM-1", "itemData" : { "author" : [ { "dropping-particle" : "", "family" : "Shrek", "given" : "Adam", "non-dropping-particle" : "", "parse-names" : false, "suffix" : "" }, { "dropping-particle" : "", "family" : "Stockwell", "given" : "Tim", "non-dropping-particle" : "", "parse-names" : false, "suffix" : "" }, { "dropping-particle" : "", "family" : "Chikritzhs", "given" : "Tanya", "non-dropping-particle" : "", "parse-names" : false, "suffix" : "" }, { "dropping-particle" : "", "family" : "Andreasson", "given" : "Sven", "non-dropping-particle" : "", "parse-names" : false, "suffix" : "" }, { "dropping-particle" : "", "family" : "Angus", "given" : "Colin", "non-dropping-particle" : "", "parse-names" : false, "suffix" : "" }, { "dropping-particle" : "", "family" : "Gripenberg", "given" : "Johanna", "non-dropping-particle" : "", "parse-names" : false, "suffix" : "" }, { "dropping-particle" : "", "family" : "Holder", "given" : "Harold", "non-dropping-particle" : "", "parse-names" : false, "suffix" : "" }, { "dropping-particle" : "", "family" : "Holmes", "given" : "John", "non-dropping-particle" : "", "parse-names" : false, "suffix" : "" }, { "dropping-particle" : "", "family" : "Makela", "given" : "Pia", "non-dropping-particle" : "", "parse-names" : false, "suffix" : "" }, { "dropping-particle" : "", "family" : "Mills", "given" : "Megan", "non-dropping-particle" : "", "parse-names" : false, "suffix" : "" }, { "dropping-particle" : "", "family" : "Norstrom", "given" : "Thor", "non-dropping-particle" : "", "parse-names" : false, "suffix" : "" }, { "dropping-particle" : "", "family" : "Ramstedt", "given" : "Mats", "non-dropping-particle" : "", "parse-names" : false, "suffix" : "" }, { "dropping-particle" : "", "family" : "Woods", "given" : "Jonathan", "non-dropping-particle" : "", "parse-names" : false, "suffix" : "" } ], "container-title" : "Journal of Studies on Alcohol and Drugs", "id" : "ITEM-1", "issue" : "1", "issued" : { "date-parts" : [ [ "2018" ] ] }, "page" : "58-67", "title" : "Alcohol Consumption and the Physical Availability of Take-Away Alcohol: Systematic Reviews and Meta-Analyses of the Days and Hours of Sale and Outlet Density", "type" : "article-journal", "volume" : "79" }, "uris" : [ "http://www.mendeley.com/documents/?uuid=9925980a-861d-4622-9400-61ab76657e29" ] } ], "mendeley" : { "formattedCitation" : "(Shrek &lt;i&gt;et al.&lt;/i&gt;, 2018)", "plainTextFormattedCitation" : "(Shrek et al., 2018)", "previouslyFormattedCitation" : "(Shrek &lt;i&gt;et al.&lt;/i&gt;, 2018)" }, "properties" : {  }, "schema" : "https://github.com/citation-style-language/schema/raw/master/csl-citation.json" }</w:instrText>
      </w:r>
      <w:r w:rsidR="0023024D" w:rsidRPr="00C437DF">
        <w:fldChar w:fldCharType="separate"/>
      </w:r>
      <w:r w:rsidR="0023024D" w:rsidRPr="00C437DF">
        <w:rPr>
          <w:noProof/>
        </w:rPr>
        <w:t xml:space="preserve">(Shrek </w:t>
      </w:r>
      <w:r w:rsidR="0023024D" w:rsidRPr="00C437DF">
        <w:rPr>
          <w:i/>
          <w:noProof/>
        </w:rPr>
        <w:t>et al.</w:t>
      </w:r>
      <w:r w:rsidR="0023024D" w:rsidRPr="00C437DF">
        <w:rPr>
          <w:noProof/>
        </w:rPr>
        <w:t>, 2018)</w:t>
      </w:r>
      <w:r w:rsidR="0023024D" w:rsidRPr="00C437DF">
        <w:fldChar w:fldCharType="end"/>
      </w:r>
      <w:r w:rsidR="00E02E78" w:rsidRPr="00C437DF">
        <w:t>; and o</w:t>
      </w:r>
      <w:r w:rsidR="00217B9D" w:rsidRPr="00C437DF">
        <w:t>ther studies have demonstrated similar a</w:t>
      </w:r>
      <w:r w:rsidR="007E3F8B" w:rsidRPr="00C437DF">
        <w:t xml:space="preserve">ssociations </w:t>
      </w:r>
      <w:r w:rsidR="00E02E78" w:rsidRPr="00C437DF">
        <w:t xml:space="preserve">related to </w:t>
      </w:r>
      <w:r w:rsidR="007E3F8B" w:rsidRPr="00C437DF">
        <w:t>tobacco outlets and risk of smoking</w:t>
      </w:r>
      <w:r w:rsidR="0023024D" w:rsidRPr="00C437DF">
        <w:t xml:space="preserve"> </w:t>
      </w:r>
      <w:r w:rsidR="0023024D" w:rsidRPr="00C437DF">
        <w:fldChar w:fldCharType="begin" w:fldLock="1"/>
      </w:r>
      <w:r w:rsidR="00C4375F" w:rsidRPr="00C437DF">
        <w:instrText>ADDIN CSL_CITATION { "citationItems" : [ { "id" : "ITEM-1", "itemData" : { "author" : [ { "dropping-particle" : "", "family" : "Shortt", "given" : "Niamh", "non-dropping-particle" : "", "parse-names" : false, "suffix" : "" }, { "dropping-particle" : "", "family" : "Tisch", "given" : "C", "non-dropping-particle" : "", "parse-names" : false, "suffix" : "" }, { "dropping-particle" : "", "family" : "Pearce", "given" : "Jamie", "non-dropping-particle" : "", "parse-names" : false, "suffix" : "" }, { "dropping-particle" : "", "family" : "Richardson", "given" : "Elizabeth", "non-dropping-particle" : "", "parse-names" : false, "suffix" : "" }, { "dropping-particle" : "", "family" : "Mitchell", "given" : "Richard", "non-dropping-particle" : "", "parse-names" : false, "suffix" : "" } ], "container-title" : "Tobacco Control", "id" : "ITEM-1", "issued" : { "date-parts" : [ [ "2016" ] ] }, "page" : "75-82", "title" : "The density of tobacco retailers in home and school environments and relationship with adolescent smoking behaviours in Scotland", "type" : "article-journal", "volume" : "25" }, "uris" : [ "http://www.mendeley.com/documents/?uuid=354371c4-7065-4bf9-bce3-952601396c54" ] } ], "mendeley" : { "formattedCitation" : "(Shortt &lt;i&gt;et al.&lt;/i&gt;, 2016)", "plainTextFormattedCitation" : "(Shortt et al., 2016)", "previouslyFormattedCitation" : "(Shortt &lt;i&gt;et al.&lt;/i&gt;, 2016)" }, "properties" : {  }, "schema" : "https://github.com/citation-style-language/schema/raw/master/csl-citation.json" }</w:instrText>
      </w:r>
      <w:r w:rsidR="0023024D" w:rsidRPr="00C437DF">
        <w:fldChar w:fldCharType="separate"/>
      </w:r>
      <w:r w:rsidR="00BC7107" w:rsidRPr="00C437DF">
        <w:rPr>
          <w:noProof/>
        </w:rPr>
        <w:t xml:space="preserve">(Shortt </w:t>
      </w:r>
      <w:r w:rsidR="00BC7107" w:rsidRPr="00C437DF">
        <w:rPr>
          <w:i/>
          <w:noProof/>
        </w:rPr>
        <w:t>et al.</w:t>
      </w:r>
      <w:r w:rsidR="00BC7107" w:rsidRPr="00C437DF">
        <w:rPr>
          <w:noProof/>
        </w:rPr>
        <w:t>, 2016)</w:t>
      </w:r>
      <w:r w:rsidR="0023024D" w:rsidRPr="00C437DF">
        <w:fldChar w:fldCharType="end"/>
      </w:r>
      <w:r w:rsidR="00E02E78" w:rsidRPr="00C437DF">
        <w:t xml:space="preserve">. Other work has explored how proximity </w:t>
      </w:r>
      <w:r w:rsidR="003D4A0F" w:rsidRPr="00C437DF">
        <w:t>to</w:t>
      </w:r>
      <w:r w:rsidR="00E02E78" w:rsidRPr="00C437DF">
        <w:t xml:space="preserve"> </w:t>
      </w:r>
      <w:r w:rsidR="007E3F8B" w:rsidRPr="00C437DF">
        <w:t xml:space="preserve">gambling outlets </w:t>
      </w:r>
      <w:r w:rsidR="00BC7107" w:rsidRPr="00C437DF">
        <w:t>may a</w:t>
      </w:r>
      <w:r w:rsidR="00E02E78" w:rsidRPr="00C437DF">
        <w:t>f</w:t>
      </w:r>
      <w:r w:rsidR="003D4A0F" w:rsidRPr="00C437DF">
        <w:t>fect</w:t>
      </w:r>
      <w:r w:rsidR="00E02E78" w:rsidRPr="00C437DF">
        <w:t xml:space="preserve"> the </w:t>
      </w:r>
      <w:r w:rsidR="007E3F8B" w:rsidRPr="00C437DF">
        <w:t xml:space="preserve">risk of problem gambling behaviours (which is independently associated with poorer mental wellbeing) </w:t>
      </w:r>
      <w:r w:rsidR="0023024D" w:rsidRPr="00C437DF">
        <w:fldChar w:fldCharType="begin" w:fldLock="1"/>
      </w:r>
      <w:r w:rsidR="0023024D" w:rsidRPr="00C437DF">
        <w:instrText>ADDIN CSL_CITATION { "citationItems" : [ { "id" : "ITEM-1", "itemData" : { "author" : [ { "dropping-particle" : "", "family" : "Pearce", "given" : "Jamie", "non-dropping-particle" : "", "parse-names" : false, "suffix" : "" }, { "dropping-particle" : "", "family" : "Mason", "given" : "K", "non-dropping-particle" : "", "parse-names" : false, "suffix" : "" }, { "dropping-particle" : "", "family" : "Hiscock", "given" : "R", "non-dropping-particle" : "", "parse-names" : false, "suffix" : "" }, { "dropping-particle" : "", "family" : "Day", "given" : "P", "non-dropping-particle" : "", "parse-names" : false, "suffix" : "" } ], "container-title" : "Journal of Epidemiology &amp; Community Health", "id" : "ITEM-1", "issue" : "10", "issued" : { "date-parts" : [ [ "2008" ] ] }, "title" : "A national study of neighbourhood access to gambling opportunities and individual gambling behaviour", "type" : "article-journal", "volume" : "62" }, "uris" : [ "http://www.mendeley.com/documents/?uuid=b2fb4236-2f2e-4f10-962a-044f923bef2b" ] } ], "mendeley" : { "formattedCitation" : "(Pearce &lt;i&gt;et al.&lt;/i&gt;, 2008)", "plainTextFormattedCitation" : "(Pearce et al., 2008)", "previouslyFormattedCitation" : "(Pearce &lt;i&gt;et al.&lt;/i&gt;, 2008)" }, "properties" : {  }, "schema" : "https://github.com/citation-style-language/schema/raw/master/csl-citation.json" }</w:instrText>
      </w:r>
      <w:r w:rsidR="0023024D" w:rsidRPr="00C437DF">
        <w:fldChar w:fldCharType="separate"/>
      </w:r>
      <w:r w:rsidR="0023024D" w:rsidRPr="00C437DF">
        <w:rPr>
          <w:noProof/>
        </w:rPr>
        <w:t xml:space="preserve">(Pearce </w:t>
      </w:r>
      <w:r w:rsidR="0023024D" w:rsidRPr="00C437DF">
        <w:rPr>
          <w:i/>
          <w:noProof/>
        </w:rPr>
        <w:t>et al.</w:t>
      </w:r>
      <w:r w:rsidR="0023024D" w:rsidRPr="00C437DF">
        <w:rPr>
          <w:noProof/>
        </w:rPr>
        <w:t>, 2008)</w:t>
      </w:r>
      <w:r w:rsidR="0023024D" w:rsidRPr="00C437DF">
        <w:fldChar w:fldCharType="end"/>
      </w:r>
      <w:r w:rsidR="0023024D" w:rsidRPr="00C437DF">
        <w:t>.</w:t>
      </w:r>
      <w:r w:rsidR="007E3F8B" w:rsidRPr="00C437DF">
        <w:t xml:space="preserve"> </w:t>
      </w:r>
      <w:r w:rsidR="00574517" w:rsidRPr="00C437DF">
        <w:t>The considerable evide</w:t>
      </w:r>
      <w:r w:rsidR="00574517" w:rsidRPr="0068488B">
        <w:t>nce in favour of the health damaging aspects of retail outlet location has seen interest in restricting the</w:t>
      </w:r>
      <w:r w:rsidR="0079059F" w:rsidRPr="0068488B">
        <w:t xml:space="preserve">ir location </w:t>
      </w:r>
      <w:r w:rsidR="003F402A" w:rsidRPr="0068488B">
        <w:t xml:space="preserve">through planning </w:t>
      </w:r>
      <w:r w:rsidR="0079059F" w:rsidRPr="0068488B">
        <w:t>restrictions among policy makers</w:t>
      </w:r>
      <w:r w:rsidR="008D31CD" w:rsidRPr="0068488B">
        <w:t xml:space="preserve"> </w:t>
      </w:r>
      <w:r w:rsidR="00AC69EB" w:rsidRPr="0068488B">
        <w:fldChar w:fldCharType="begin" w:fldLock="1"/>
      </w:r>
      <w:r w:rsidR="00C4375F" w:rsidRPr="0068488B">
        <w:instrText>ADDIN CSL_CITATION { "citationItems" : [ { "id" : "ITEM-1", "itemData" : { "author" : [ { "dropping-particle" : "", "family" : "Public Health England", "given" : "", "non-dropping-particle" : "", "parse-names" : false, "suffix" : "" } ], "id" : "ITEM-1", "issued" : { "date-parts" : [ [ "2017" ] ] }, "title" : "Health matters: obesity and the food environment", "type" : "webpage" }, "uris" : [ "http://www.mendeley.com/documents/?uuid=e6f73bbf-88ab-4dd7-a16d-444947861887" ] } ], "mendeley" : { "formattedCitation" : "(Public Health England, 2017a)", "plainTextFormattedCitation" : "(Public Health England, 2017a)", "previouslyFormattedCitation" : "(Public Health England, 2017a)" }, "properties" : {  }, "schema" : "https://github.com/citation-style-language/schema/raw/master/csl-citation.json" }</w:instrText>
      </w:r>
      <w:r w:rsidR="00AC69EB" w:rsidRPr="0068488B">
        <w:fldChar w:fldCharType="separate"/>
      </w:r>
      <w:r w:rsidR="00C4375F" w:rsidRPr="0068488B">
        <w:rPr>
          <w:noProof/>
        </w:rPr>
        <w:t>(Public Health England, 2017a)</w:t>
      </w:r>
      <w:r w:rsidR="00AC69EB" w:rsidRPr="0068488B">
        <w:fldChar w:fldCharType="end"/>
      </w:r>
      <w:r w:rsidR="00AC69EB" w:rsidRPr="0068488B">
        <w:t>.</w:t>
      </w:r>
    </w:p>
    <w:p w14:paraId="658E05E4" w14:textId="77777777" w:rsidR="0097791C" w:rsidRPr="0068488B" w:rsidRDefault="0097791C" w:rsidP="002B2760"/>
    <w:p w14:paraId="21825C42" w14:textId="6755418A" w:rsidR="00F33057" w:rsidRPr="0068488B" w:rsidRDefault="00D12C94" w:rsidP="002B2760">
      <w:r w:rsidRPr="0068488B">
        <w:t>I</w:t>
      </w:r>
      <w:r w:rsidR="00D4375B" w:rsidRPr="0068488B">
        <w:t>t is also</w:t>
      </w:r>
      <w:r w:rsidR="001A33E1" w:rsidRPr="0068488B">
        <w:t xml:space="preserve"> important </w:t>
      </w:r>
      <w:r w:rsidR="00CB4BCE" w:rsidRPr="0068488B">
        <w:t xml:space="preserve">to </w:t>
      </w:r>
      <w:r w:rsidR="001A33E1" w:rsidRPr="0068488B">
        <w:t xml:space="preserve">consider </w:t>
      </w:r>
      <w:r w:rsidR="008F30B3" w:rsidRPr="0068488B">
        <w:t>context as extending beyond the built environment, and t</w:t>
      </w:r>
      <w:r w:rsidR="009301FD" w:rsidRPr="0068488B">
        <w:t xml:space="preserve">here has been </w:t>
      </w:r>
      <w:r w:rsidR="001212FB" w:rsidRPr="0068488B">
        <w:t>considerable</w:t>
      </w:r>
      <w:r w:rsidR="009301FD" w:rsidRPr="0068488B">
        <w:t xml:space="preserve"> investigation into </w:t>
      </w:r>
      <w:r w:rsidR="001212FB" w:rsidRPr="0068488B">
        <w:t>how the natural environment may</w:t>
      </w:r>
      <w:r w:rsidR="009301FD" w:rsidRPr="0068488B">
        <w:t xml:space="preserve"> impact health</w:t>
      </w:r>
      <w:r w:rsidR="00FA21A8" w:rsidRPr="0068488B">
        <w:t xml:space="preserve">. </w:t>
      </w:r>
      <w:r w:rsidR="00B04503" w:rsidRPr="0068488B">
        <w:t>Air pollution has been extensively demonstrated to be associated with poorer respiratory health</w:t>
      </w:r>
      <w:r w:rsidR="0023024D" w:rsidRPr="0068488B">
        <w:t xml:space="preserve"> </w:t>
      </w:r>
      <w:r w:rsidR="0023024D" w:rsidRPr="0068488B">
        <w:fldChar w:fldCharType="begin" w:fldLock="1"/>
      </w:r>
      <w:r w:rsidR="0057204B" w:rsidRPr="0068488B">
        <w:instrText>ADDIN CSL_CITATION { "citationItems" : [ { "id" : "ITEM-1", "itemData" : { "author" : [ { "dropping-particle" : "", "family" : "Wheeler", "given" : "Benedict", "non-dropping-particle" : "", "parse-names" : false, "suffix" : "" }, { "dropping-particle" : "", "family" : "Ben-Shlomo", "given" : "Yoav", "non-dropping-particle" : "", "parse-names" : false, "suffix" : "" } ], "container-title" : "Journal of Epidemiology &amp; Community Health", "id" : "ITEM-1", "issue" : "11", "issued" : { "date-parts" : [ [ "2005" ] ] }, "title" : "Environmental equity, air quality, socioeconomic status, and respiratory health: a linkage analysis of routine data from the Health Survey for England", "type" : "article-journal", "volume" : "59" }, "uris" : [ "http://www.mendeley.com/documents/?uuid=20f9dd86-76b8-4338-a18c-1d0c6a3f1cbb" ] }, { "id" : "ITEM-2", "itemData" : { "author" : [ { "dropping-particle" : "", "family" : "Shah", "given" : "Anoop", "non-dropping-particle" : "", "parse-names" : false, "suffix" : "" }, { "dropping-particle" : "", "family" : "Ken Lee", "given" : "Kuan", "non-dropping-particle" : "", "parse-names" : false, "suffix" : "" }, { "dropping-particle" : "", "family" : "McAllister", "given" : "David", "non-dropping-particle" : "", "parse-names" : false, "suffix" : "" }, { "dropping-particle" : "", "family" : "Hunter", "given" : "Amanda", "non-dropping-particle" : "", "parse-names" : false, "suffix" : "" }, { "dropping-particle" : "", "family" : "Nair", "given" : "Harish", "non-dropping-particle" : "", "parse-names" : false, "suffix" : "" }, { "dropping-particle" : "", "family" : "Whiteley", "given" : "William", "non-dropping-particle" : "", "parse-names" : false, "suffix" : "" }, { "dropping-particle" : "", "family" : "Langrish", "given" : "Jeremy", "non-dropping-particle" : "", "parse-names" : false, "suffix" : "" }, { "dropping-particle" : "", "family" : "Newby", "given" : "David", "non-dropping-particle" : "", "parse-names" : false, "suffix" : "" }, { "dropping-particle" : "", "family" : "Mills", "given" : "Nicholas", "non-dropping-particle" : "", "parse-names" : false, "suffix" : "" } ], "container-title" : "BMJ", "id" : "ITEM-2", "issued" : { "date-parts" : [ [ "2015" ] ] }, "page" : "h1295", "title" : "Short term exposure to air pollution and stroke: systematic review and meta-analysis", "type" : "article-journal", "volume" : "350" }, "uris" : [ "http://www.mendeley.com/documents/?uuid=506b8760-d436-4d55-88dd-921f8bb379c3" ] } ], "mendeley" : { "formattedCitation" : "(Wheeler and Ben-Shlomo, 2005; Shah &lt;i&gt;et al.&lt;/i&gt;, 2015)", "plainTextFormattedCitation" : "(Wheeler and Ben-Shlomo, 2005; Shah et al., 2015)", "previouslyFormattedCitation" : "(Wheeler and Ben-Shlomo, 2005; Shah &lt;i&gt;et al.&lt;/i&gt;, 2015)" }, "properties" : {  }, "schema" : "https://github.com/citation-style-language/schema/raw/master/csl-citation.json" }</w:instrText>
      </w:r>
      <w:r w:rsidR="0023024D" w:rsidRPr="0068488B">
        <w:fldChar w:fldCharType="separate"/>
      </w:r>
      <w:r w:rsidR="0057204B" w:rsidRPr="0068488B">
        <w:rPr>
          <w:noProof/>
        </w:rPr>
        <w:t xml:space="preserve">(Wheeler and Ben-Shlomo, 2005; Shah </w:t>
      </w:r>
      <w:r w:rsidR="0057204B" w:rsidRPr="0068488B">
        <w:rPr>
          <w:i/>
          <w:noProof/>
        </w:rPr>
        <w:t>et al.</w:t>
      </w:r>
      <w:r w:rsidR="0057204B" w:rsidRPr="0068488B">
        <w:rPr>
          <w:noProof/>
        </w:rPr>
        <w:t>, 2015)</w:t>
      </w:r>
      <w:r w:rsidR="0023024D" w:rsidRPr="0068488B">
        <w:fldChar w:fldCharType="end"/>
      </w:r>
      <w:r w:rsidR="0057204B" w:rsidRPr="0068488B">
        <w:t>,</w:t>
      </w:r>
      <w:r w:rsidR="00B04503" w:rsidRPr="0068488B">
        <w:t xml:space="preserve"> </w:t>
      </w:r>
      <w:r w:rsidR="0057204B" w:rsidRPr="0068488B">
        <w:t>a</w:t>
      </w:r>
      <w:r w:rsidR="00B04503" w:rsidRPr="0068488B">
        <w:t>nd has been a longstanding policy issue</w:t>
      </w:r>
      <w:r w:rsidR="004E5CD7" w:rsidRPr="0068488B">
        <w:t xml:space="preserve"> </w:t>
      </w:r>
      <w:r w:rsidR="009063FD" w:rsidRPr="0068488B">
        <w:fldChar w:fldCharType="begin" w:fldLock="1"/>
      </w:r>
      <w:r w:rsidR="000E4829" w:rsidRPr="0068488B">
        <w:instrText>ADDIN CSL_CITATION { "citationItems" : [ { "id" : "ITEM-1", "itemData" : { "URL" : "https://www.gov.uk/government/publications/2010-to-2015-government-policy-environmental-quality/2010-to-2015-government-policy-environmental-quality", "author" : [ { "dropping-particle" : "", "family" : "DEFRA", "given" : "", "non-dropping-particle" : "", "parse-names" : false, "suffix" : "" } ], "id" : "ITEM-1", "issued" : { "date-parts" : [ [ "2015" ] ] }, "title" : "2010 to 2015 government policy: environmental quality", "type" : "webpage" }, "uris" : [ "http://www.mendeley.com/documents/?uuid=50a57cbe-9532-41e7-876f-9e1e1211b725" ] }, { "id" : "ITEM-2", "itemData" : { "author" : [ { "dropping-particle" : "", "family" : "Royal College of Physicians", "given" : "", "non-dropping-particle" : "", "parse-names" : false, "suffix" : "" } ], "id" : "ITEM-2", "issued" : { "date-parts" : [ [ "2016" ] ] }, "title" : "Every breath we take: the lifelong impact of air pollution", "type" : "webpage" }, "uris" : [ "http://www.mendeley.com/documents/?uuid=c3526f6f-d9b0-4726-b8fc-f5ba451ab5f1" ] }, { "id" : "ITEM-3", "itemData" : { "URL" : "https://www.nice.org.uk/guidance/ng70", "author" : [ { "dropping-particle" : "", "family" : "NICE", "given" : "", "non-dropping-particle" : "", "parse-names" : false, "suffix" : "" } ], "id" : "ITEM-3", "issued" : { "date-parts" : [ [ "2017" ] ] }, "title" : "Air pollution: outdoor air quality and health. NICE guideline [NG70].", "type" : "webpage" }, "uris" : [ "http://www.mendeley.com/documents/?uuid=5286daa7-76df-48a7-a08b-a163ad627b48" ] } ], "mendeley" : { "formattedCitation" : "(DEFRA, 2015; Royal College of Physicians, 2016; NICE, 2017)", "plainTextFormattedCitation" : "(DEFRA, 2015; Royal College of Physicians, 2016; NICE, 2017)", "previouslyFormattedCitation" : "(DEFRA, 2015; Royal College of Physicians, 2016; NICE, 2017)" }, "properties" : {  }, "schema" : "https://github.com/citation-style-language/schema/raw/master/csl-citation.json" }</w:instrText>
      </w:r>
      <w:r w:rsidR="009063FD" w:rsidRPr="0068488B">
        <w:fldChar w:fldCharType="separate"/>
      </w:r>
      <w:r w:rsidR="000E4829" w:rsidRPr="0068488B">
        <w:rPr>
          <w:noProof/>
        </w:rPr>
        <w:t>(DEFRA, 2015; Royal College of Physicians, 2016; NICE, 2017)</w:t>
      </w:r>
      <w:r w:rsidR="009063FD" w:rsidRPr="0068488B">
        <w:fldChar w:fldCharType="end"/>
      </w:r>
      <w:r w:rsidR="009063FD" w:rsidRPr="0068488B">
        <w:t>.</w:t>
      </w:r>
      <w:r w:rsidR="001D2751" w:rsidRPr="0068488B">
        <w:t xml:space="preserve"> </w:t>
      </w:r>
      <w:r w:rsidR="008F30B3" w:rsidRPr="0068488B">
        <w:t xml:space="preserve">Conversely, accessibility </w:t>
      </w:r>
      <w:r w:rsidR="001A33E1" w:rsidRPr="0068488B">
        <w:t>to green space (i.e. natural vegetation including parks, grasslands or woodlands)</w:t>
      </w:r>
      <w:r w:rsidR="001D2751" w:rsidRPr="0068488B">
        <w:t xml:space="preserve"> has also been shown to be positively associated with physical health and mental wellbeing</w:t>
      </w:r>
      <w:r w:rsidR="00A96330" w:rsidRPr="0068488B">
        <w:t xml:space="preserve"> </w:t>
      </w:r>
      <w:r w:rsidR="00A96330" w:rsidRPr="0068488B">
        <w:fldChar w:fldCharType="begin" w:fldLock="1"/>
      </w:r>
      <w:r w:rsidR="00A96330" w:rsidRPr="0068488B">
        <w:instrText>ADDIN CSL_CITATION { "citationItems" : [ { "id" : "ITEM-1", "itemData" : { "author" : [ { "dropping-particle" : "", "family" : "Mitchell", "given" : "Richard", "non-dropping-particle" : "", "parse-names" : false, "suffix" : "" }, { "dropping-particle" : "", "family" : "Popham", "given" : "Frank", "non-dropping-particle" : "", "parse-names" : false, "suffix" : "" } ], "container-title" : "The Lancet", "id" : "ITEM-1", "issue" : "9650", "issued" : { "date-parts" : [ [ "2008" ] ] }, "page" : "1655-1660", "title" : "Effect of exposure to natural environment on health inequalities: an observational population study", "type" : "article-journal", "volume" : "372" }, "uris" : [ "http://www.mendeley.com/documents/?uuid=d793f723-bafa-4a74-896a-e4f75e64bed6" ] }, { "id" : "ITEM-2", "itemData" : { "author" : [ { "dropping-particle" : "", "family" : "Cherrie", "given" : "Mark", "non-dropping-particle" : "", "parse-names" : false, "suffix" : "" }, { "dropping-particle" : "", "family" : "Shortt", "given" : "Niamh", "non-dropping-particle" : "", "parse-names" : false, "suffix" : "" }, { "dropping-particle" : "", "family" : "Mitchell", "given" : "Richard", "non-dropping-particle" : "", "parse-names" : false, "suffix" : "" }, { "dropping-particle" : "", "family" : "Taylor", "given" : "A", "non-dropping-particle" : "", "parse-names" : false, "suffix" : "" }, { "dropping-particle" : "", "family" : "Redmond", "given" : "P", "non-dropping-particle" : "", "parse-names" : false, "suffix" : "" }, { "dropping-particle" : "", "family" : "Thompson", "given" : "C", "non-dropping-particle" : "", "parse-names" : false, "suffix" : "" }, { "dropping-particle" : "", "family" : "Starr", "given" : "J", "non-dropping-particle" : "", "parse-names" : false, "suffix" : "" }, { "dropping-particle" : "", "family" : "Deary", "given" : "I", "non-dropping-particle" : "", "parse-names" : false, "suffix" : "" }, { "dropping-particle" : "", "family" : "Pearce", "given" : "Jamie", "non-dropping-particle" : "", "parse-names" : false, "suffix" : "" } ], "container-title" : "Social Science &amp; Medicine", "id" : "ITEM-2", "issued" : { "date-parts" : [ [ "2018" ] ] }, "page" : "56-65", "title" : "Green space and cognitive ageing: A retrospective life course analysis in the Lothian Birth Cohort 1936", "type" : "article-journal", "volume" : "196" }, "uris" : [ "http://www.mendeley.com/documents/?uuid=fb5fda0a-f65e-47d2-8430-0005cb4e75d7" ] } ], "mendeley" : { "formattedCitation" : "(Mitchell and Popham, 2008; Cherrie &lt;i&gt;et al.&lt;/i&gt;, 2018)", "plainTextFormattedCitation" : "(Mitchell and Popham, 2008; Cherrie et al., 2018)", "previouslyFormattedCitation" : "(Mitchell and Popham, 2008; Cherrie &lt;i&gt;et al.&lt;/i&gt;, 2018)" }, "properties" : {  }, "schema" : "https://github.com/citation-style-language/schema/raw/master/csl-citation.json" }</w:instrText>
      </w:r>
      <w:r w:rsidR="00A96330" w:rsidRPr="0068488B">
        <w:fldChar w:fldCharType="separate"/>
      </w:r>
      <w:r w:rsidR="00A96330" w:rsidRPr="0068488B">
        <w:rPr>
          <w:noProof/>
        </w:rPr>
        <w:t xml:space="preserve">(Mitchell and Popham, 2008; Cherrie </w:t>
      </w:r>
      <w:r w:rsidR="00A96330" w:rsidRPr="0068488B">
        <w:rPr>
          <w:i/>
          <w:noProof/>
        </w:rPr>
        <w:t>et al.</w:t>
      </w:r>
      <w:r w:rsidR="00A96330" w:rsidRPr="0068488B">
        <w:rPr>
          <w:noProof/>
        </w:rPr>
        <w:t>, 2018)</w:t>
      </w:r>
      <w:r w:rsidR="00A96330" w:rsidRPr="0068488B">
        <w:fldChar w:fldCharType="end"/>
      </w:r>
      <w:r w:rsidR="00A96330" w:rsidRPr="0068488B">
        <w:t>.</w:t>
      </w:r>
      <w:r w:rsidR="001D2751" w:rsidRPr="0068488B">
        <w:t xml:space="preserve"> </w:t>
      </w:r>
      <w:r w:rsidR="00F03C8D" w:rsidRPr="0068488B">
        <w:t>Although these issues are</w:t>
      </w:r>
      <w:r w:rsidR="00F33057" w:rsidRPr="0068488B">
        <w:t xml:space="preserve"> not traditional </w:t>
      </w:r>
      <w:r w:rsidR="00F03C8D" w:rsidRPr="0068488B">
        <w:t>components of ‘</w:t>
      </w:r>
      <w:r w:rsidR="00F33057" w:rsidRPr="0068488B">
        <w:t>access</w:t>
      </w:r>
      <w:r w:rsidR="00F03C8D" w:rsidRPr="0068488B">
        <w:t>’</w:t>
      </w:r>
      <w:r w:rsidR="00F33057" w:rsidRPr="0068488B">
        <w:t xml:space="preserve">, </w:t>
      </w:r>
      <w:r w:rsidR="00CA7CFC" w:rsidRPr="0068488B">
        <w:t xml:space="preserve">we argue that </w:t>
      </w:r>
      <w:r w:rsidR="00F03C8D" w:rsidRPr="0068488B">
        <w:t xml:space="preserve">the nature of their </w:t>
      </w:r>
      <w:r w:rsidR="00F33057" w:rsidRPr="0068488B">
        <w:t>exposure has an inherently spatial extent</w:t>
      </w:r>
      <w:r w:rsidR="00CA7CFC" w:rsidRPr="0068488B">
        <w:t>,</w:t>
      </w:r>
      <w:r w:rsidR="00F33057" w:rsidRPr="0068488B">
        <w:t xml:space="preserve"> </w:t>
      </w:r>
      <w:r w:rsidR="00CA7CFC" w:rsidRPr="0068488B">
        <w:t xml:space="preserve">and as such </w:t>
      </w:r>
      <w:r w:rsidR="000C218E" w:rsidRPr="0068488B">
        <w:t>can</w:t>
      </w:r>
      <w:r w:rsidR="00CA7CFC" w:rsidRPr="0068488B">
        <w:t xml:space="preserve"> be conceptualised </w:t>
      </w:r>
      <w:r w:rsidR="00F33057" w:rsidRPr="0068488B">
        <w:t>alongside access</w:t>
      </w:r>
      <w:r w:rsidR="00CA7CFC" w:rsidRPr="0068488B">
        <w:t xml:space="preserve"> </w:t>
      </w:r>
      <w:r w:rsidR="00065218" w:rsidRPr="0068488B">
        <w:t>(</w:t>
      </w:r>
      <w:r w:rsidR="00CA7CFC" w:rsidRPr="0068488B">
        <w:t xml:space="preserve">as we </w:t>
      </w:r>
      <w:r w:rsidR="000C218E" w:rsidRPr="0068488B">
        <w:t xml:space="preserve">introduce in </w:t>
      </w:r>
      <w:r w:rsidR="00065218" w:rsidRPr="0068488B">
        <w:t>S</w:t>
      </w:r>
      <w:r w:rsidR="000C218E" w:rsidRPr="0068488B">
        <w:t>ection</w:t>
      </w:r>
      <w:r w:rsidR="003B4179" w:rsidRPr="0068488B">
        <w:t xml:space="preserve"> 2.1.1</w:t>
      </w:r>
      <w:r w:rsidR="00065218" w:rsidRPr="0068488B">
        <w:t>)</w:t>
      </w:r>
      <w:r w:rsidR="00F33057" w:rsidRPr="0068488B">
        <w:t xml:space="preserve">. </w:t>
      </w:r>
    </w:p>
    <w:p w14:paraId="7F0A6618" w14:textId="77777777" w:rsidR="00FA21A8" w:rsidRPr="0068488B" w:rsidRDefault="00FA21A8" w:rsidP="002B2760"/>
    <w:p w14:paraId="316FD935" w14:textId="295CD41F" w:rsidR="002B2760" w:rsidRPr="0068488B" w:rsidRDefault="002B2760" w:rsidP="002B2760">
      <w:pPr>
        <w:pStyle w:val="ListParagraph"/>
        <w:numPr>
          <w:ilvl w:val="1"/>
          <w:numId w:val="3"/>
        </w:numPr>
        <w:rPr>
          <w:rFonts w:ascii="Times New Roman" w:hAnsi="Times New Roman" w:cs="Times New Roman"/>
          <w:i/>
        </w:rPr>
      </w:pPr>
      <w:r w:rsidRPr="0068488B">
        <w:rPr>
          <w:rFonts w:ascii="Times New Roman" w:hAnsi="Times New Roman" w:cs="Times New Roman"/>
          <w:i/>
        </w:rPr>
        <w:lastRenderedPageBreak/>
        <w:t xml:space="preserve">Measuring </w:t>
      </w:r>
      <w:r w:rsidR="00E26B21" w:rsidRPr="0068488B">
        <w:rPr>
          <w:rFonts w:ascii="Times New Roman" w:hAnsi="Times New Roman" w:cs="Times New Roman"/>
          <w:i/>
        </w:rPr>
        <w:t>accessibility to health-related features of environments</w:t>
      </w:r>
    </w:p>
    <w:p w14:paraId="04B508F4" w14:textId="77777777" w:rsidR="002B2760" w:rsidRPr="0068488B" w:rsidRDefault="002B2760" w:rsidP="002B2760"/>
    <w:p w14:paraId="5256A7EE" w14:textId="010E67DA" w:rsidR="00EE5444" w:rsidRPr="0068488B" w:rsidRDefault="00EE5444" w:rsidP="00EE5444">
      <w:r w:rsidRPr="0068488B">
        <w:t xml:space="preserve">The importance </w:t>
      </w:r>
      <w:r w:rsidR="00A26F5F" w:rsidRPr="0068488B">
        <w:t>of the role that</w:t>
      </w:r>
      <w:r w:rsidRPr="0068488B">
        <w:t xml:space="preserve"> geographical determinants play on health </w:t>
      </w:r>
      <w:r w:rsidR="008C306F" w:rsidRPr="0068488B">
        <w:t xml:space="preserve">and wellbeing </w:t>
      </w:r>
      <w:r w:rsidR="00A26F5F" w:rsidRPr="0068488B">
        <w:t xml:space="preserve">are being given greater priority by </w:t>
      </w:r>
      <w:r w:rsidRPr="0068488B">
        <w:t xml:space="preserve">policy makers </w:t>
      </w:r>
      <w:r w:rsidR="00A26F5F" w:rsidRPr="0068488B">
        <w:t xml:space="preserve">when </w:t>
      </w:r>
      <w:r w:rsidRPr="0068488B">
        <w:t>designing intervention</w:t>
      </w:r>
      <w:r w:rsidR="0069011E" w:rsidRPr="0068488B">
        <w:t xml:space="preserve"> strategies</w:t>
      </w:r>
      <w:r w:rsidR="00C4375F" w:rsidRPr="0068488B">
        <w:t xml:space="preserve"> </w:t>
      </w:r>
      <w:r w:rsidR="00C4375F" w:rsidRPr="0068488B">
        <w:fldChar w:fldCharType="begin" w:fldLock="1"/>
      </w:r>
      <w:r w:rsidR="00C4375F" w:rsidRPr="0068488B">
        <w:instrText>ADDIN CSL_CITATION { "citationItems" : [ { "id" : "ITEM-1", "itemData" : { "URL" : "https://assets.publishing.service.gov.uk/government/uploads/system/uploads/attachment_data/file/625568/Spatial_planning_for_health_an_evidence_resource.pdf", "author" : [ { "dropping-particle" : "", "family" : "Public Health England", "given" : "", "non-dropping-particle" : "", "parse-names" : false, "suffix" : "" } ], "id" : "ITEM-1", "issued" : { "date-parts" : [ [ "2017" ] ] }, "title" : "Spatial Planning for Health: An evidence resource for planning and designing healthier places", "type" : "webpage" }, "uris" : [ "http://www.mendeley.com/documents/?uuid=cd043af1-10fc-4864-9370-efad7a1d0170" ] } ], "mendeley" : { "formattedCitation" : "(Public Health England, 2017b)", "plainTextFormattedCitation" : "(Public Health England, 2017b)", "previouslyFormattedCitation" : "(Public Health England, 2017b)" }, "properties" : {  }, "schema" : "https://github.com/citation-style-language/schema/raw/master/csl-citation.json" }</w:instrText>
      </w:r>
      <w:r w:rsidR="00C4375F" w:rsidRPr="0068488B">
        <w:fldChar w:fldCharType="separate"/>
      </w:r>
      <w:r w:rsidR="00C4375F" w:rsidRPr="0068488B">
        <w:rPr>
          <w:noProof/>
        </w:rPr>
        <w:t>(Public Health England, 2017b)</w:t>
      </w:r>
      <w:r w:rsidR="00C4375F" w:rsidRPr="0068488B">
        <w:fldChar w:fldCharType="end"/>
      </w:r>
      <w:r w:rsidRPr="0068488B">
        <w:t xml:space="preserve">. It is therefore </w:t>
      </w:r>
      <w:r w:rsidR="008C306F" w:rsidRPr="0068488B">
        <w:t xml:space="preserve">a policy </w:t>
      </w:r>
      <w:r w:rsidRPr="0068488B">
        <w:t xml:space="preserve">imperative to have access to </w:t>
      </w:r>
      <w:r w:rsidR="002D6A6E" w:rsidRPr="0068488B">
        <w:t xml:space="preserve">open </w:t>
      </w:r>
      <w:r w:rsidRPr="0068488B">
        <w:t xml:space="preserve">data </w:t>
      </w:r>
      <w:r w:rsidR="008C306F" w:rsidRPr="0068488B">
        <w:t xml:space="preserve">and tools that can be used to measure </w:t>
      </w:r>
      <w:r w:rsidRPr="0068488B">
        <w:t>aspects of the environment</w:t>
      </w:r>
      <w:r w:rsidR="008C306F" w:rsidRPr="0068488B">
        <w:t>, and</w:t>
      </w:r>
      <w:r w:rsidRPr="0068488B">
        <w:t xml:space="preserve"> </w:t>
      </w:r>
      <w:r w:rsidR="00A066B3" w:rsidRPr="0068488B">
        <w:t xml:space="preserve">that can </w:t>
      </w:r>
      <w:r w:rsidR="001D6D98" w:rsidRPr="0068488B">
        <w:t xml:space="preserve">help </w:t>
      </w:r>
      <w:r w:rsidR="002D6A6E" w:rsidRPr="0068488B">
        <w:t xml:space="preserve">support such </w:t>
      </w:r>
      <w:r w:rsidR="00E26B21" w:rsidRPr="0068488B">
        <w:t>decision-making</w:t>
      </w:r>
      <w:r w:rsidR="002D6A6E" w:rsidRPr="0068488B">
        <w:t xml:space="preserve"> processes</w:t>
      </w:r>
      <w:r w:rsidR="00C4375F" w:rsidRPr="0068488B">
        <w:t>;</w:t>
      </w:r>
      <w:r w:rsidR="001D6D98" w:rsidRPr="0068488B">
        <w:t xml:space="preserve"> as well as for researchers wanting to </w:t>
      </w:r>
      <w:r w:rsidR="00FE7840" w:rsidRPr="0068488B">
        <w:t xml:space="preserve">evaluate the influence of </w:t>
      </w:r>
      <w:r w:rsidR="00A066B3" w:rsidRPr="0068488B">
        <w:t xml:space="preserve">these contexts within their domain </w:t>
      </w:r>
      <w:r w:rsidR="00253F0B" w:rsidRPr="0068488B">
        <w:t xml:space="preserve">of </w:t>
      </w:r>
      <w:r w:rsidR="00A066B3" w:rsidRPr="0068488B">
        <w:t>application</w:t>
      </w:r>
      <w:r w:rsidR="002D6A6E" w:rsidRPr="0068488B">
        <w:t>.</w:t>
      </w:r>
    </w:p>
    <w:p w14:paraId="6175403B" w14:textId="77777777" w:rsidR="00EE5444" w:rsidRPr="0068488B" w:rsidRDefault="00EE5444" w:rsidP="00EE5444"/>
    <w:p w14:paraId="045F04A0" w14:textId="141F7C8E" w:rsidR="00EE5444" w:rsidRPr="0068488B" w:rsidRDefault="00FE7840" w:rsidP="00EE5444">
      <w:r w:rsidRPr="0068488B">
        <w:t xml:space="preserve">Although there are </w:t>
      </w:r>
      <w:r w:rsidR="005840BC" w:rsidRPr="0068488B">
        <w:t xml:space="preserve">increasing </w:t>
      </w:r>
      <w:r w:rsidR="003219E1" w:rsidRPr="0068488B">
        <w:t xml:space="preserve">quantities of data </w:t>
      </w:r>
      <w:r w:rsidRPr="0068488B">
        <w:t>that exist and can be used</w:t>
      </w:r>
      <w:r w:rsidR="00CB4BCE" w:rsidRPr="0068488B">
        <w:t xml:space="preserve"> to</w:t>
      </w:r>
      <w:r w:rsidR="003219E1" w:rsidRPr="0068488B">
        <w:t xml:space="preserve"> measure </w:t>
      </w:r>
      <w:r w:rsidR="008D6BBC" w:rsidRPr="0068488B">
        <w:t>a</w:t>
      </w:r>
      <w:r w:rsidR="003219E1" w:rsidRPr="0068488B">
        <w:t xml:space="preserve"> variety of environmental features, there are b</w:t>
      </w:r>
      <w:r w:rsidR="00EE5444" w:rsidRPr="0068488B">
        <w:t>arriers</w:t>
      </w:r>
      <w:r w:rsidR="005840BC" w:rsidRPr="0068488B">
        <w:t xml:space="preserve"> which limit their potential </w:t>
      </w:r>
      <w:r w:rsidR="003219E1" w:rsidRPr="0068488B">
        <w:t>usage. Data may be costly</w:t>
      </w:r>
      <w:r w:rsidR="00C4375F" w:rsidRPr="0068488B">
        <w:t>,</w:t>
      </w:r>
      <w:r w:rsidR="0038771D" w:rsidRPr="0068488B">
        <w:t xml:space="preserve"> and</w:t>
      </w:r>
      <w:r w:rsidR="003219E1" w:rsidRPr="0068488B">
        <w:t xml:space="preserve"> </w:t>
      </w:r>
      <w:r w:rsidR="005840BC" w:rsidRPr="0068488B">
        <w:t xml:space="preserve">perhaps </w:t>
      </w:r>
      <w:r w:rsidR="003219E1" w:rsidRPr="0068488B">
        <w:t xml:space="preserve">held by </w:t>
      </w:r>
      <w:r w:rsidR="005840BC" w:rsidRPr="0068488B">
        <w:t xml:space="preserve">commercial </w:t>
      </w:r>
      <w:r w:rsidR="003219E1" w:rsidRPr="0068488B">
        <w:t xml:space="preserve">organisations, </w:t>
      </w:r>
      <w:r w:rsidR="005840BC" w:rsidRPr="0068488B">
        <w:t xml:space="preserve">thus limiting </w:t>
      </w:r>
      <w:r w:rsidR="00377168" w:rsidRPr="0068488B">
        <w:t>access for</w:t>
      </w:r>
      <w:r w:rsidR="003219E1" w:rsidRPr="0068488B">
        <w:t xml:space="preserve"> individuals without suitable funding. Processing </w:t>
      </w:r>
      <w:r w:rsidR="005840BC" w:rsidRPr="0068488B">
        <w:t xml:space="preserve">of contextual </w:t>
      </w:r>
      <w:r w:rsidR="003219E1" w:rsidRPr="0068488B">
        <w:t xml:space="preserve">data </w:t>
      </w:r>
      <w:r w:rsidR="005840BC" w:rsidRPr="0068488B">
        <w:t xml:space="preserve">will </w:t>
      </w:r>
      <w:r w:rsidR="003219E1" w:rsidRPr="0068488B">
        <w:t xml:space="preserve">often require </w:t>
      </w:r>
      <w:r w:rsidR="00377168" w:rsidRPr="0068488B">
        <w:t>heavy data manipulation skills that users may not have</w:t>
      </w:r>
      <w:r w:rsidR="005840BC" w:rsidRPr="0068488B">
        <w:t>, and can be further complicated when the d</w:t>
      </w:r>
      <w:r w:rsidR="0038771D" w:rsidRPr="0068488B">
        <w:t>ata have additional geographic</w:t>
      </w:r>
      <w:r w:rsidR="005840BC" w:rsidRPr="0068488B">
        <w:t xml:space="preserve"> characteristics</w:t>
      </w:r>
      <w:r w:rsidR="00377168" w:rsidRPr="0068488B">
        <w:t xml:space="preserve">. Data sources may </w:t>
      </w:r>
      <w:r w:rsidR="005840BC" w:rsidRPr="0068488B">
        <w:t>have known or unknown bias</w:t>
      </w:r>
      <w:r w:rsidR="0029376F" w:rsidRPr="0068488B">
        <w:t>,</w:t>
      </w:r>
      <w:r w:rsidR="005840BC" w:rsidRPr="0068488B">
        <w:t xml:space="preserve"> and may </w:t>
      </w:r>
      <w:r w:rsidR="00377168" w:rsidRPr="0068488B">
        <w:t>not be complete at the national level</w:t>
      </w:r>
      <w:r w:rsidR="0029376F" w:rsidRPr="0068488B">
        <w:t>. F</w:t>
      </w:r>
      <w:r w:rsidR="005840BC" w:rsidRPr="0068488B">
        <w:t>or example, they may</w:t>
      </w:r>
      <w:r w:rsidR="00377168" w:rsidRPr="0068488B">
        <w:t xml:space="preserve"> be stored by local governments </w:t>
      </w:r>
      <w:r w:rsidR="0029376F" w:rsidRPr="0068488B">
        <w:t>with no mechanism for sharing data between institutions to create a single collective resource</w:t>
      </w:r>
      <w:r w:rsidR="00377168" w:rsidRPr="0068488B">
        <w:t xml:space="preserve">. </w:t>
      </w:r>
      <w:r w:rsidR="005840BC" w:rsidRPr="0068488B">
        <w:t xml:space="preserve">Given such constraints, it is perhaps unsurprising that in many </w:t>
      </w:r>
      <w:r w:rsidR="00377168" w:rsidRPr="0068488B">
        <w:t xml:space="preserve">studies that have explored the role of geographic context </w:t>
      </w:r>
      <w:r w:rsidR="0038771D" w:rsidRPr="0068488B">
        <w:t xml:space="preserve">on health or wellbeing, these have tended to focus on </w:t>
      </w:r>
      <w:r w:rsidR="005840BC" w:rsidRPr="0068488B">
        <w:t>relatively</w:t>
      </w:r>
      <w:r w:rsidR="00377168" w:rsidRPr="0068488B">
        <w:t xml:space="preserve"> small regions</w:t>
      </w:r>
      <w:r w:rsidR="002E6351">
        <w:t xml:space="preserve"> </w:t>
      </w:r>
      <w:r w:rsidR="002E6351">
        <w:fldChar w:fldCharType="begin" w:fldLock="1"/>
      </w:r>
      <w:r w:rsidR="002E6351">
        <w:instrText>ADDIN CSL_CITATION { "citationItems" : [ { "id" : "ITEM-1", "itemData" : { "author" : [ { "dropping-particle" : "", "family" : "Lovett", "given" : "Andrew", "non-dropping-particle" : "", "parse-names" : false, "suffix" : "" }, { "dropping-particle" : "", "family" : "Haynes", "given" : "Robin", "non-dropping-particle" : "", "parse-names" : false, "suffix" : "" }, { "dropping-particle" : "", "family" : "Sunnenberg", "given" : "Gisela", "non-dropping-particle" : "", "parse-names" : false, "suffix" : "" }, { "dropping-particle" : "", "family" : "Gale", "given" : "Susan", "non-dropping-particle" : "", "parse-names" : false, "suffix" : "" } ], "container-title" : "Social Science &amp; Medicine", "id" : "ITEM-1", "issue" : "1", "issued" : { "date-parts" : [ [ "2002" ] ] }, "page" : "97-111", "title" : "Car travel time and accessibility by bus to general practitioner services: a study using patient registers and GIS", "type" : "article-journal", "volume" : "55" }, "uris" : [ "http://www.mendeley.com/documents/?uuid=94ff7ef3-85be-48e9-9e58-a11c639f890c" ] }, { "id" : "ITEM-2", "itemData" : { "author" : [ { "dropping-particle" : "", "family" : "Macintyre", "given" : "Sally", "non-dropping-particle" : "", "parse-names" : false, "suffix" : "" }, { "dropping-particle" : "", "family" : "Macdonald", "given" : "Laura", "non-dropping-particle" : "", "parse-names" : false, "suffix" : "" }, { "dropping-particle" : "", "family" : "Ellaway", "given" : "Anne", "non-dropping-particle" : "", "parse-names" : false, "suffix" : "" } ], "container-title" : "Social Science &amp; Medicine", "id" : "ITEM-2", "issue" : "6", "issued" : { "date-parts" : [ [ "2008" ] ] }, "page" : "900-914", "title" : "Do poorer people have poorer access to local resources and facilities? The distribution of local resources by area deprivation in Glasgow, Scotland", "type" : "article-journal", "volume" : "67" }, "uris" : [ "http://www.mendeley.com/documents/?uuid=2d82e41b-ef77-443b-bf19-c114de75c45e" ] }, { "id" : "ITEM-3", "itemData" : { "author" : [ { "dropping-particle" : "", "family" : "Fraser", "given" : "Lorna", "non-dropping-particle" : "", "parse-names" : false, "suffix" : "" }, { "dropping-particle" : "", "family" : "Edwards", "given" : "Kimberley", "non-dropping-particle" : "", "parse-names" : false, "suffix" : "" } ], "container-title" : "Health &amp; Place", "id" : "ITEM-3", "issue" : "6", "issued" : { "date-parts" : [ [ "2010" ] ] }, "page" : "1124-1128", "title" : "The association between the geography of fast food outlets and childhood obesity rates in Leeds, UK", "type" : "article-journal", "volume" : "16" }, "uris" : [ "http://www.mendeley.com/documents/?uuid=5856721f-3f3b-4274-a50f-b4c48b90b2bc" ] } ], "mendeley" : { "formattedCitation" : "(Lovett &lt;i&gt;et al.&lt;/i&gt;, 2002; Macintyre, Macdonald and Ellaway, 2008; Fraser and Edwards, 2010)", "manualFormatting" : "(e.g. Lovett et al., 2002; Macintyre, Macdonald and Ellaway, 2008; Fraser and Edwards, 2010)", "plainTextFormattedCitation" : "(Lovett et al., 2002; Macintyre, Macdonald and Ellaway, 2008; Fraser and Edwards, 2010)", "previouslyFormattedCitation" : "(Lovett &lt;i&gt;et al.&lt;/i&gt;, 2002; Macintyre, Macdonald and Ellaway, 2008; Fraser and Edwards, 2010)" }, "properties" : {  }, "schema" : "https://github.com/citation-style-language/schema/raw/master/csl-citation.json" }</w:instrText>
      </w:r>
      <w:r w:rsidR="002E6351">
        <w:fldChar w:fldCharType="separate"/>
      </w:r>
      <w:r w:rsidR="002E6351" w:rsidRPr="002E6351">
        <w:rPr>
          <w:noProof/>
        </w:rPr>
        <w:t>(</w:t>
      </w:r>
      <w:r w:rsidR="002E6351">
        <w:rPr>
          <w:noProof/>
        </w:rPr>
        <w:t xml:space="preserve">e.g. </w:t>
      </w:r>
      <w:r w:rsidR="002E6351" w:rsidRPr="002E6351">
        <w:rPr>
          <w:noProof/>
        </w:rPr>
        <w:t xml:space="preserve">Lovett </w:t>
      </w:r>
      <w:r w:rsidR="002E6351" w:rsidRPr="002E6351">
        <w:rPr>
          <w:i/>
          <w:noProof/>
        </w:rPr>
        <w:t>et al.</w:t>
      </w:r>
      <w:r w:rsidR="002E6351" w:rsidRPr="002E6351">
        <w:rPr>
          <w:noProof/>
        </w:rPr>
        <w:t>, 2002; Macintyre, Macdonald and Ellaway, 2008; Fraser and Edwards, 2010)</w:t>
      </w:r>
      <w:r w:rsidR="002E6351">
        <w:fldChar w:fldCharType="end"/>
      </w:r>
      <w:r w:rsidR="00573628" w:rsidRPr="0068488B">
        <w:t>. A</w:t>
      </w:r>
      <w:r w:rsidR="005840BC" w:rsidRPr="0068488B">
        <w:t>lthough</w:t>
      </w:r>
      <w:r w:rsidR="00573628" w:rsidRPr="0068488B">
        <w:t xml:space="preserve"> these studies</w:t>
      </w:r>
      <w:r w:rsidR="005840BC" w:rsidRPr="0068488B">
        <w:t xml:space="preserve"> provid</w:t>
      </w:r>
      <w:r w:rsidR="00573628" w:rsidRPr="0068488B">
        <w:t>e</w:t>
      </w:r>
      <w:r w:rsidR="005840BC" w:rsidRPr="0068488B">
        <w:t xml:space="preserve"> great insight into these localities,</w:t>
      </w:r>
      <w:r w:rsidR="00377168" w:rsidRPr="0068488B">
        <w:t xml:space="preserve"> </w:t>
      </w:r>
      <w:r w:rsidR="00573628" w:rsidRPr="0068488B">
        <w:t xml:space="preserve">they </w:t>
      </w:r>
      <w:r w:rsidR="00377168" w:rsidRPr="0068488B">
        <w:t xml:space="preserve">may </w:t>
      </w:r>
      <w:r w:rsidR="005840BC" w:rsidRPr="0068488B">
        <w:t xml:space="preserve">not </w:t>
      </w:r>
      <w:r w:rsidR="00377168" w:rsidRPr="0068488B">
        <w:t xml:space="preserve">be representative </w:t>
      </w:r>
      <w:r w:rsidR="005840BC" w:rsidRPr="0068488B">
        <w:t>at the</w:t>
      </w:r>
      <w:r w:rsidR="00377168" w:rsidRPr="0068488B">
        <w:t xml:space="preserve"> national level</w:t>
      </w:r>
      <w:r w:rsidR="00573628" w:rsidRPr="0068488B">
        <w:t xml:space="preserve"> at which many policy decisions are made at</w:t>
      </w:r>
      <w:r w:rsidR="00377168" w:rsidRPr="0068488B">
        <w:t>.</w:t>
      </w:r>
      <w:r w:rsidR="00A63FBF" w:rsidRPr="0068488B">
        <w:t xml:space="preserve"> Creating open source metrics of accessibility </w:t>
      </w:r>
      <w:r w:rsidR="0038771D" w:rsidRPr="0068488B">
        <w:t xml:space="preserve">that are nationally extensive </w:t>
      </w:r>
      <w:r w:rsidR="0037396C" w:rsidRPr="0068488B">
        <w:t xml:space="preserve">we argue </w:t>
      </w:r>
      <w:r w:rsidR="0038771D" w:rsidRPr="0068488B">
        <w:t xml:space="preserve">can </w:t>
      </w:r>
      <w:r w:rsidR="00A63FBF" w:rsidRPr="0068488B">
        <w:t>therefore address these barriers.</w:t>
      </w:r>
    </w:p>
    <w:p w14:paraId="776768C7" w14:textId="77777777" w:rsidR="00A63FBF" w:rsidRPr="0068488B" w:rsidRDefault="00A63FBF" w:rsidP="00EE5444"/>
    <w:p w14:paraId="63032E46" w14:textId="77777777" w:rsidR="00AB5B42" w:rsidRPr="0068488B" w:rsidRDefault="00A63FBF" w:rsidP="00EE5444">
      <w:r w:rsidRPr="0068488B">
        <w:t xml:space="preserve">One </w:t>
      </w:r>
      <w:r w:rsidR="0037396C" w:rsidRPr="0068488B">
        <w:t>further</w:t>
      </w:r>
      <w:r w:rsidR="005A37EA" w:rsidRPr="0068488B">
        <w:t xml:space="preserve"> </w:t>
      </w:r>
      <w:r w:rsidRPr="0068488B">
        <w:t xml:space="preserve">limitation of developing </w:t>
      </w:r>
      <w:r w:rsidR="00FD70E9" w:rsidRPr="0068488B">
        <w:t xml:space="preserve">univariate </w:t>
      </w:r>
      <w:r w:rsidRPr="0068488B">
        <w:t xml:space="preserve">measures of accessibility </w:t>
      </w:r>
      <w:r w:rsidR="0037396C" w:rsidRPr="0068488B">
        <w:t>are</w:t>
      </w:r>
      <w:r w:rsidR="00FD70E9" w:rsidRPr="0068488B">
        <w:t xml:space="preserve"> </w:t>
      </w:r>
      <w:r w:rsidRPr="0068488B">
        <w:t xml:space="preserve">that </w:t>
      </w:r>
      <w:r w:rsidR="00573628" w:rsidRPr="0068488B">
        <w:t>they</w:t>
      </w:r>
      <w:r w:rsidR="00FD70E9" w:rsidRPr="0068488B">
        <w:t xml:space="preserve"> </w:t>
      </w:r>
      <w:r w:rsidR="0037396C" w:rsidRPr="0068488B">
        <w:t xml:space="preserve">imply </w:t>
      </w:r>
      <w:r w:rsidR="00D05189" w:rsidRPr="0068488B">
        <w:t xml:space="preserve">that </w:t>
      </w:r>
      <w:r w:rsidR="00FD70E9" w:rsidRPr="0068488B">
        <w:t xml:space="preserve">different </w:t>
      </w:r>
      <w:r w:rsidR="00D05189" w:rsidRPr="0068488B">
        <w:t xml:space="preserve">components </w:t>
      </w:r>
      <w:r w:rsidRPr="0068488B">
        <w:t xml:space="preserve">of </w:t>
      </w:r>
      <w:r w:rsidR="00FD70E9" w:rsidRPr="0068488B">
        <w:t>context</w:t>
      </w:r>
      <w:r w:rsidRPr="0068488B">
        <w:t xml:space="preserve"> </w:t>
      </w:r>
      <w:r w:rsidR="00D05189" w:rsidRPr="0068488B">
        <w:t xml:space="preserve">are </w:t>
      </w:r>
      <w:r w:rsidRPr="0068488B">
        <w:t>considered in isolation</w:t>
      </w:r>
      <w:r w:rsidR="00E402A8" w:rsidRPr="0068488B">
        <w:t xml:space="preserve"> </w:t>
      </w:r>
      <w:r w:rsidR="00E402A8" w:rsidRPr="0068488B">
        <w:fldChar w:fldCharType="begin" w:fldLock="1"/>
      </w:r>
      <w:r w:rsidR="00E402A8" w:rsidRPr="0068488B">
        <w:instrText>ADDIN CSL_CITATION { "citationItems" : [ { "id" : "ITEM-1", "itemData" : { "author" : [ { "dropping-particle" : "", "family" : "Cummins", "given" : "Steve", "non-dropping-particle" : "", "parse-names" : false, "suffix" : "" }, { "dropping-particle" : "", "family" : "Curtis", "given" : "Sarah", "non-dropping-particle" : "", "parse-names" : false, "suffix" : "" }, { "dropping-particle" : "", "family" : "Diez-Roux", "given" : "Ana", "non-dropping-particle" : "", "parse-names" : false, "suffix" : "" }, { "dropping-particle" : "", "family" : "Macintyre", "given" : "Sally", "non-dropping-particle" : "", "parse-names" : false, "suffix" : "" } ], "container-title" : "Social Science &amp; Medicine", "id" : "ITEM-1", "issue" : "9", "issued" : { "date-parts" : [ [ "2007" ] ] }, "page" : "1825-1838", "title" : "Understanding and representing \u2018place\u2019 in health research: A relational approach", "type" : "article-journal", "volume" : "65" }, "uris" : [ "http://www.mendeley.com/documents/?uuid=dbf96c38-5722-47d0-b3a0-752437822ac3" ] } ], "mendeley" : { "formattedCitation" : "(Cummins &lt;i&gt;et al.&lt;/i&gt;, 2007)", "plainTextFormattedCitation" : "(Cummins et al., 2007)", "previouslyFormattedCitation" : "(Cummins &lt;i&gt;et al.&lt;/i&gt;, 2007)" }, "properties" : {  }, "schema" : "https://github.com/citation-style-language/schema/raw/master/csl-citation.json" }</w:instrText>
      </w:r>
      <w:r w:rsidR="00E402A8" w:rsidRPr="0068488B">
        <w:fldChar w:fldCharType="separate"/>
      </w:r>
      <w:r w:rsidR="00E402A8" w:rsidRPr="0068488B">
        <w:rPr>
          <w:noProof/>
        </w:rPr>
        <w:t xml:space="preserve">(Cummins </w:t>
      </w:r>
      <w:r w:rsidR="00E402A8" w:rsidRPr="0068488B">
        <w:rPr>
          <w:i/>
          <w:noProof/>
        </w:rPr>
        <w:t>et al.</w:t>
      </w:r>
      <w:r w:rsidR="00E402A8" w:rsidRPr="0068488B">
        <w:rPr>
          <w:noProof/>
        </w:rPr>
        <w:t>, 2007)</w:t>
      </w:r>
      <w:r w:rsidR="00E402A8" w:rsidRPr="0068488B">
        <w:fldChar w:fldCharType="end"/>
      </w:r>
      <w:r w:rsidRPr="0068488B">
        <w:t>.</w:t>
      </w:r>
      <w:r w:rsidR="00D05189" w:rsidRPr="0068488B">
        <w:t xml:space="preserve"> However, there is a lengthy history of how context within urban and social research </w:t>
      </w:r>
      <w:r w:rsidR="0037396C" w:rsidRPr="0068488B">
        <w:t>can be</w:t>
      </w:r>
      <w:r w:rsidR="00D05189" w:rsidRPr="0068488B">
        <w:t xml:space="preserve"> </w:t>
      </w:r>
      <w:r w:rsidR="005A37EA" w:rsidRPr="0068488B">
        <w:t>more effectively</w:t>
      </w:r>
      <w:r w:rsidR="00D05189" w:rsidRPr="0068488B">
        <w:t xml:space="preserve"> represented as a complex </w:t>
      </w:r>
      <w:r w:rsidR="00573628" w:rsidRPr="0068488B">
        <w:t xml:space="preserve">series </w:t>
      </w:r>
      <w:r w:rsidR="00D05189" w:rsidRPr="0068488B">
        <w:t xml:space="preserve">of different </w:t>
      </w:r>
      <w:r w:rsidR="00C84C7F" w:rsidRPr="0068488B">
        <w:t xml:space="preserve">interacting </w:t>
      </w:r>
      <w:r w:rsidR="00D05189" w:rsidRPr="0068488B">
        <w:t>influences</w:t>
      </w:r>
      <w:r w:rsidR="005A37EA" w:rsidRPr="0068488B">
        <w:t xml:space="preserve">; and that these </w:t>
      </w:r>
      <w:r w:rsidR="0037396C" w:rsidRPr="0068488B">
        <w:t xml:space="preserve">contexts lead to particular </w:t>
      </w:r>
      <w:r w:rsidR="005A37EA" w:rsidRPr="0068488B">
        <w:t>“n</w:t>
      </w:r>
      <w:r w:rsidRPr="0068488B">
        <w:t>eighbourhood</w:t>
      </w:r>
      <w:r w:rsidR="005A37EA" w:rsidRPr="0068488B">
        <w:t xml:space="preserve">” effects </w:t>
      </w:r>
      <w:r w:rsidR="0037396C" w:rsidRPr="0068488B">
        <w:t xml:space="preserve">that may </w:t>
      </w:r>
      <w:r w:rsidR="004E30E7" w:rsidRPr="0068488B">
        <w:t xml:space="preserve">substantially </w:t>
      </w:r>
      <w:r w:rsidR="0037396C" w:rsidRPr="0068488B">
        <w:t xml:space="preserve">influence outcomes of measured </w:t>
      </w:r>
      <w:r w:rsidR="00586B41" w:rsidRPr="0068488B">
        <w:t xml:space="preserve">social </w:t>
      </w:r>
      <w:r w:rsidR="0037396C" w:rsidRPr="0068488B">
        <w:t>phenomena</w:t>
      </w:r>
      <w:r w:rsidR="00A87DFE" w:rsidRPr="0068488B">
        <w:t xml:space="preserve"> </w:t>
      </w:r>
      <w:r w:rsidR="00A87DFE" w:rsidRPr="0068488B">
        <w:fldChar w:fldCharType="begin" w:fldLock="1"/>
      </w:r>
      <w:r w:rsidR="00331189" w:rsidRPr="0068488B">
        <w:instrText>ADDIN CSL_CITATION { "citationItems" : [ { "id" : "ITEM-1", "itemData" : { "author" : [ { "dropping-particle" : "", "family" : "Diez-Roux", "given" : "Ana", "non-dropping-particle" : "", "parse-names" : false, "suffix" : "" } ], "container-title" : "American Journal of Public Health", "id" : "ITEM-1", "issue" : "11", "issued" : { "date-parts" : [ [ "2001" ] ] }, "page" : "1783-1789", "title" : "Investigating Neighborhood and Area Effects on Health", "type" : "article-journal", "volume" : "91" }, "uris" : [ "http://www.mendeley.com/documents/?uuid=dc5ef28e-283e-4ed7-8a39-c4ad6347ea31" ] }, { "id" : "ITEM-2", "itemData" : { "author" : [ { "dropping-particle" : "", "family" : "Gatrell", "given" : "A C", "non-dropping-particle" : "", "parse-names" : false, "suffix" : "" } ], "container-title" : "Social Science &amp; Medicine", "id" : "ITEM-2", "issued" : { "date-parts" : [ [ "2005" ] ] }, "page" : "2661-2671", "title" : "Complexity theory and geographies of health:a critical assessment", "type" : "article-journal", "volume" : "60" }, "uris" : [ "http://www.mendeley.com/documents/?uuid=99691517-6b42-4546-b1b9-b0f3c582dd38" ] }, { "id" : "ITEM-3", "itemData" : { "author" : [ { "dropping-particle" : "", "family" : "Cummins", "given" : "Steve", "non-dropping-particle" : "", "parse-names" : false, "suffix" : "" }, { "dropping-particle" : "", "family" : "Curtis", "given" : "Sarah", "non-dropping-particle" : "", "parse-names" : false, "suffix" : "" }, { "dropping-particle" : "", "family" : "Diez-Roux", "given" : "Ana", "non-dropping-particle" : "", "parse-names" : false, "suffix" : "" }, { "dropping-particle" : "", "family" : "Macintyre", "given" : "Sally", "non-dropping-particle" : "", "parse-names" : false, "suffix" : "" } ], "container-title" : "Social Science &amp; Medicine", "id" : "ITEM-3", "issue" : "9", "issued" : { "date-parts" : [ [ "2007" ] ] }, "page" : "1825-1838", "title" : "Understanding and representing \u2018place\u2019 in health research: A relational approach", "type" : "article-journal", "volume" : "65" }, "uris" : [ "http://www.mendeley.com/documents/?uuid=dbf96c38-5722-47d0-b3a0-752437822ac3" ] }, { "id" : "ITEM-4", "itemData" : { "author" : [ { "dropping-particle" : "", "family" : "Sampson", "given" : "Robert J", "non-dropping-particle" : "", "parse-names" : false, "suffix" : "" } ], "id" : "ITEM-4", "issued" : { "date-parts" : [ [ "2012" ] ] }, "publisher" : "University of Chicago Press", "publisher-place" : "London", "title" : "Great American City: Chicago and the enduring neighbourhood effect", "type" : "book" }, "uris" : [ "http://www.mendeley.com/documents/?uuid=585594c6-083b-4564-8d39-acf97db739f9" ] } ], "mendeley" : { "formattedCitation" : "(Diez-Roux, 2001; Gatrell, 2005; Cummins &lt;i&gt;et al.&lt;/i&gt;, 2007; Sampson, 2012)", "plainTextFormattedCitation" : "(Diez-Roux, 2001; Gatrell, 2005; Cummins et al., 2007; Sampson, 2012)", "previouslyFormattedCitation" : "(Diez-Roux, 2001; Gatrell, 2005; Cummins &lt;i&gt;et al.&lt;/i&gt;, 2007; Sampson, 2012)" }, "properties" : {  }, "schema" : "https://github.com/citation-style-language/schema/raw/master/csl-citation.json" }</w:instrText>
      </w:r>
      <w:r w:rsidR="00A87DFE" w:rsidRPr="0068488B">
        <w:fldChar w:fldCharType="separate"/>
      </w:r>
      <w:r w:rsidR="005D2459" w:rsidRPr="0068488B">
        <w:rPr>
          <w:noProof/>
        </w:rPr>
        <w:t xml:space="preserve">(Diez-Roux, 2001; Gatrell, 2005; Cummins </w:t>
      </w:r>
      <w:r w:rsidR="005D2459" w:rsidRPr="0068488B">
        <w:rPr>
          <w:i/>
          <w:noProof/>
        </w:rPr>
        <w:t>et al.</w:t>
      </w:r>
      <w:r w:rsidR="005D2459" w:rsidRPr="0068488B">
        <w:rPr>
          <w:noProof/>
        </w:rPr>
        <w:t>, 2007; Sampson, 2012)</w:t>
      </w:r>
      <w:r w:rsidR="00A87DFE" w:rsidRPr="0068488B">
        <w:fldChar w:fldCharType="end"/>
      </w:r>
      <w:r w:rsidR="004E30E7" w:rsidRPr="0068488B">
        <w:t xml:space="preserve">. </w:t>
      </w:r>
      <w:r w:rsidRPr="0068488B">
        <w:t xml:space="preserve">There is </w:t>
      </w:r>
      <w:r w:rsidR="00632E42" w:rsidRPr="0068488B">
        <w:t xml:space="preserve">therefore a </w:t>
      </w:r>
      <w:r w:rsidRPr="0068488B">
        <w:t>need to develop multidimensional measures of the health-related features of neighbourhoods to help describe the inherent multiplicity of features.</w:t>
      </w:r>
    </w:p>
    <w:p w14:paraId="57014769" w14:textId="77777777" w:rsidR="00AB5B42" w:rsidRPr="0068488B" w:rsidRDefault="00AB5B42" w:rsidP="00EE5444"/>
    <w:p w14:paraId="3DB62639" w14:textId="772C1C47" w:rsidR="00A63FBF" w:rsidRPr="0068488B" w:rsidRDefault="00632E42" w:rsidP="00EE5444">
      <w:r w:rsidRPr="0068488B">
        <w:t>Such c</w:t>
      </w:r>
      <w:r w:rsidR="00A63FBF" w:rsidRPr="0068488B">
        <w:t xml:space="preserve">omposite indicators are commonly created </w:t>
      </w:r>
      <w:r w:rsidRPr="0068488B">
        <w:t xml:space="preserve">within </w:t>
      </w:r>
      <w:r w:rsidR="00A63FBF" w:rsidRPr="0068488B">
        <w:t>other policy-related fields</w:t>
      </w:r>
      <w:r w:rsidR="00084630" w:rsidRPr="0068488B">
        <w:t>, but perhaps most commonly in the study of d</w:t>
      </w:r>
      <w:r w:rsidR="00A20E5B" w:rsidRPr="0068488B">
        <w:t xml:space="preserve">eprivation </w:t>
      </w:r>
      <w:r w:rsidR="00084630" w:rsidRPr="0068488B">
        <w:t xml:space="preserve">which is considered as </w:t>
      </w:r>
      <w:r w:rsidR="00150F63" w:rsidRPr="0068488B">
        <w:t>inherently complex</w:t>
      </w:r>
      <w:r w:rsidR="00084630" w:rsidRPr="0068488B">
        <w:t xml:space="preserve">, and comprised of </w:t>
      </w:r>
      <w:r w:rsidR="00150F63" w:rsidRPr="0068488B">
        <w:t xml:space="preserve">multiple features </w:t>
      </w:r>
      <w:r w:rsidR="00084630" w:rsidRPr="0068488B">
        <w:t xml:space="preserve">of </w:t>
      </w:r>
      <w:r w:rsidR="00150F63" w:rsidRPr="0068488B">
        <w:t>an individual’s socioeconomic context</w:t>
      </w:r>
      <w:r w:rsidR="001178B5" w:rsidRPr="0068488B">
        <w:t xml:space="preserve"> </w:t>
      </w:r>
      <w:r w:rsidR="001178B5" w:rsidRPr="0068488B">
        <w:fldChar w:fldCharType="begin" w:fldLock="1"/>
      </w:r>
      <w:r w:rsidR="001178B5" w:rsidRPr="0068488B">
        <w:instrText>ADDIN CSL_CITATION { "citationItems" : [ { "id" : "ITEM-1", "itemData" : { "author" : [ { "dropping-particle" : "", "family" : "Townsend", "given" : "Peter", "non-dropping-particle" : "", "parse-names" : false, "suffix" : "" } ], "container-title" : "Journal of Social Policy", "id" : "ITEM-1", "issue" : "2", "issued" : { "date-parts" : [ [ "1987" ] ] }, "page" : "125-146", "title" : "Deprivation", "type" : "article-journal", "volume" : "16" }, "uris" : [ "http://www.mendeley.com/documents/?uuid=1ee38bb8-db33-4544-975e-f7f377b90f70" ] } ], "mendeley" : { "formattedCitation" : "(Townsend, 1987)", "plainTextFormattedCitation" : "(Townsend, 1987)", "previouslyFormattedCitation" : "(Townsend, 1987)" }, "properties" : {  }, "schema" : "https://github.com/citation-style-language/schema/raw/master/csl-citation.json" }</w:instrText>
      </w:r>
      <w:r w:rsidR="001178B5" w:rsidRPr="0068488B">
        <w:fldChar w:fldCharType="separate"/>
      </w:r>
      <w:r w:rsidR="001178B5" w:rsidRPr="0068488B">
        <w:rPr>
          <w:noProof/>
        </w:rPr>
        <w:t>(Townsend, 1987)</w:t>
      </w:r>
      <w:r w:rsidR="001178B5" w:rsidRPr="0068488B">
        <w:fldChar w:fldCharType="end"/>
      </w:r>
      <w:r w:rsidR="001178B5" w:rsidRPr="0068488B">
        <w:t>.</w:t>
      </w:r>
      <w:r w:rsidR="00A20E5B" w:rsidRPr="0068488B">
        <w:t xml:space="preserve"> </w:t>
      </w:r>
      <w:r w:rsidR="00A63FBF" w:rsidRPr="0068488B">
        <w:t xml:space="preserve">The UK’s Index of Multiple Deprivation </w:t>
      </w:r>
      <w:r w:rsidR="00B03020" w:rsidRPr="0068488B">
        <w:t xml:space="preserve">(IMD) </w:t>
      </w:r>
      <w:r w:rsidR="00150F63" w:rsidRPr="0068488B">
        <w:t>represents one attempt to capture these competing dimensions of deprivation and includes data on education, occupation, income, housing, health, crime and access to services</w:t>
      </w:r>
      <w:r w:rsidR="000D07F2" w:rsidRPr="0068488B">
        <w:t xml:space="preserve"> </w:t>
      </w:r>
      <w:r w:rsidR="000D07F2" w:rsidRPr="0068488B">
        <w:fldChar w:fldCharType="begin" w:fldLock="1"/>
      </w:r>
      <w:r w:rsidR="00C40B1E" w:rsidRPr="0068488B">
        <w:instrText>ADDIN CSL_CITATION { "citationItems" : [ { "id" : "ITEM-1", "itemData" : { "author" : [ { "dropping-particle" : "", "family" : "Noble", "given" : "Michael", "non-dropping-particle" : "", "parse-names" : false, "suffix" : "" }, { "dropping-particle" : "", "family" : "Wright", "given" : "Gemma", "non-dropping-particle" : "", "parse-names" : false, "suffix" : "" }, { "dropping-particle" : "", "family" : "Smith", "given" : "George", "non-dropping-particle" : "", "parse-names" : false, "suffix" : "" }, { "dropping-particle" : "", "family" : "Dibben", "given" : "Chris", "non-dropping-particle" : "", "parse-names" : false, "suffix" : "" } ], "container-title" : "Environment and Planning A", "id" : "ITEM-1", "issue" : "1", "issued" : { "date-parts" : [ [ "2006" ] ] }, "page" : "169-185", "title" : "Measuring Multiple Deprivation at the Small-Area Level", "type" : "article-journal", "volume" : "38" }, "uris" : [ "http://www.mendeley.com/documents/?uuid=883f3633-5f65-4587-a07e-76aa08211119" ] }, { "id" : "ITEM-2", "itemData" : { "URL" : "https://www.gov.uk/government/publications/english-indices-of-deprivation-2015-technical-report", "accessed" : { "date-parts" : [ [ "2016", "12", "10" ] ] }, "author" : [ { "dropping-particle" : "", "family" : "Smith", "given" : "T", "non-dropping-particle" : "", "parse-names" : false, "suffix" : "" }, { "dropping-particle" : "", "family" : "Noble", "given" : "M", "non-dropping-particle" : "", "parse-names" : false, "suffix" : "" }, { "dropping-particle" : "", "family" : "Noble", "given" : "S", "non-dropping-particle" : "", "parse-names" : false, "suffix" : "" }, { "dropping-particle" : "", "family" : "Wright", "given" : "G", "non-dropping-particle" : "", "parse-names" : false, "suffix" : "" }, { "dropping-particle" : "", "family" : "McLennan", "given" : "D", "non-dropping-particle" : "", "parse-names" : false, "suffix" : "" }, { "dropping-particle" : "", "family" : "Plunkett", "given" : "E", "non-dropping-particle" : "", "parse-names" : false, "suffix" : "" } ], "id" : "ITEM-2", "issued" : { "date-parts" : [ [ "2015" ] ] }, "title" : "The English Indices of Deprivation 2015", "type" : "webpage" }, "uris" : [ "http://www.mendeley.com/documents/?uuid=4832b26f-15cd-4538-89f1-65a2d1a69946" ] } ], "mendeley" : { "formattedCitation" : "(Noble &lt;i&gt;et al.&lt;/i&gt;, 2006; Smith &lt;i&gt;et al.&lt;/i&gt;, 2015)", "plainTextFormattedCitation" : "(Noble et al., 2006; Smith et al., 2015)", "previouslyFormattedCitation" : "(Noble &lt;i&gt;et al.&lt;/i&gt;, 2006; Smith &lt;i&gt;et al.&lt;/i&gt;, 2015)" }, "properties" : {  }, "schema" : "https://github.com/citation-style-language/schema/raw/master/csl-citation.json" }</w:instrText>
      </w:r>
      <w:r w:rsidR="000D07F2" w:rsidRPr="0068488B">
        <w:fldChar w:fldCharType="separate"/>
      </w:r>
      <w:r w:rsidR="000D07F2" w:rsidRPr="0068488B">
        <w:rPr>
          <w:noProof/>
        </w:rPr>
        <w:t xml:space="preserve">(Noble </w:t>
      </w:r>
      <w:r w:rsidR="000D07F2" w:rsidRPr="0068488B">
        <w:rPr>
          <w:i/>
          <w:noProof/>
        </w:rPr>
        <w:t>et al.</w:t>
      </w:r>
      <w:r w:rsidR="000D07F2" w:rsidRPr="0068488B">
        <w:rPr>
          <w:noProof/>
        </w:rPr>
        <w:t xml:space="preserve">, 2006; Smith </w:t>
      </w:r>
      <w:r w:rsidR="000D07F2" w:rsidRPr="0068488B">
        <w:rPr>
          <w:i/>
          <w:noProof/>
        </w:rPr>
        <w:t>et al.</w:t>
      </w:r>
      <w:r w:rsidR="000D07F2" w:rsidRPr="0068488B">
        <w:rPr>
          <w:noProof/>
        </w:rPr>
        <w:t>, 2015)</w:t>
      </w:r>
      <w:r w:rsidR="000D07F2" w:rsidRPr="0068488B">
        <w:fldChar w:fldCharType="end"/>
      </w:r>
      <w:r w:rsidR="001178B5" w:rsidRPr="0068488B">
        <w:t>.</w:t>
      </w:r>
      <w:r w:rsidR="00A90CA9" w:rsidRPr="0068488B">
        <w:t xml:space="preserve"> </w:t>
      </w:r>
      <w:r w:rsidR="003F6EBD" w:rsidRPr="0068488B">
        <w:t>T</w:t>
      </w:r>
      <w:r w:rsidR="00A90CA9" w:rsidRPr="0068488B">
        <w:t xml:space="preserve">he power and relevance of the measure can be demonstrated through </w:t>
      </w:r>
      <w:r w:rsidR="004F4DF1" w:rsidRPr="0068488B">
        <w:t>a plethora of</w:t>
      </w:r>
      <w:r w:rsidR="00B03020" w:rsidRPr="0068488B">
        <w:t xml:space="preserve"> studies </w:t>
      </w:r>
      <w:r w:rsidR="002E6351">
        <w:t>showing</w:t>
      </w:r>
      <w:r w:rsidR="00B03020" w:rsidRPr="0068488B">
        <w:t xml:space="preserve"> </w:t>
      </w:r>
      <w:r w:rsidR="00916508" w:rsidRPr="0068488B">
        <w:t>its</w:t>
      </w:r>
      <w:r w:rsidR="00B03020" w:rsidRPr="0068488B">
        <w:t xml:space="preserve"> associat</w:t>
      </w:r>
      <w:r w:rsidR="002E6351">
        <w:t>ion</w:t>
      </w:r>
      <w:r w:rsidR="00B03020" w:rsidRPr="0068488B">
        <w:t xml:space="preserve"> with a multitude of health outcomes </w:t>
      </w:r>
      <w:r w:rsidR="00942A6E" w:rsidRPr="0068488B">
        <w:fldChar w:fldCharType="begin" w:fldLock="1"/>
      </w:r>
      <w:r w:rsidR="00954BAB">
        <w:instrText>ADDIN CSL_CITATION { "citationItems" : [ { "id" : "ITEM-1", "itemData" : { "author" : [ { "dropping-particle" : "", "family" : "Mitchell", "given" : "Richard", "non-dropping-particle" : "", "parse-names" : false, "suffix" : "" }, { "dropping-particle" : "", "family" : "Popham", "given" : "Frank", "non-dropping-particle" : "", "parse-names" : false, "suffix" : "" } ], "container-title" : "The Lancet", "id" : "ITEM-1", "issue" : "9650", "issued" : { "date-parts" : [ [ "2008" ] ] }, "page" : "1655-1660", "title" : "Effect of exposure to natural environment on health inequalities: an observational population study", "type" : "article-journal", "volume" : "372" }, "uris" : [ "http://www.mendeley.com/documents/?uuid=d793f723-bafa-4a74-896a-e4f75e64bed6" ] }, { "id" : "ITEM-2", "itemData" : { "DOI" : "10.1016/S0140-6736(15)00195-6", "ISBN" : "1474-547X (Electronic)\\r0140-6736 (Linking)", "ISSN" : "1474547X", "PMID" : "26382241", "abstract" : "Background In the Global Burden of Disease Study 2013 (GBD 2013), knowledge about health and its determinants has been integrated into a comparable framework to inform health policy. Outputs of this analysis are relevant to current policy questions in England and elsewhere, particularly on health inequalities. We use GBD 2013 data on mortality and causes of death, and disease and injury incidence and prevalence to analyse the burden of disease and injury in England as a whole, in English regions, and within each English region by deprivation quintile. We also assess disease and injury burden in England attributable to potentially preventable risk factors. England and the English regions are compared with the remaining constituent countries of the UK and with comparable countries in the European Union (EU) and beyond. Methods We extracted data from the GBD 2013 to compare mortality, causes of death, years of life lost (YLLs), years lived with a disability (YLDs), and disability-adjusted life-years (DALYs) in England, the UK, and 18 other countries (the first 15 EU members [apart from the UK] and Australia, Canada, Norway, and the USA [EU15+]). We extended elements of the analysis to English regions, and subregional areas defined by deprivation quintile (deprivation areas). We used data split by the nine English regions (corresponding to the European boundaries of the Nomenclature for Territorial Statistics level 1 [NUTS 1] regions), and by quintile groups within each English region according to deprivation, thereby making 45 regional deprivation areas. Deprivation quintiles were defined by area of residence ranked at national level by Index of Multiple Deprivation score, 2010. Burden due to various risk factors is described for England using new GBD methodology to estimate independent and overlapping attributable risk for five tiers of behavioural, metabolic, and environmental risk factors. We present results for 306 causes and 2337 sequelae, and 79 risks or risk clusters. Findings Between 1990 and 2013, life expectancy from birth in England increased by 5\u00b74 years (95% uncertainty interval 5\u00b70-5\u00b78) from 75\u00b79 years (75\u00b79-76\u00b70) to 81\u00b73 years (80\u00b79-81\u00b77); gains were greater for men than for women. Rates of age-standardised YLLs reduced by 41\u00b71% (38\u00b73-43\u00b76), whereas DALYs were reduced by 23\u00b78% (20\u00b79-27\u00b71), and YLDs by 1\u00b74% (0\u00b71-2\u00b78). For these measures, England ranked better than the UK and the EU15+ means. Between 1990 and 2013, the range in life expectancy\u2026", "author" : [ { "dropping-particle" : "", "family" : "Newton", "given" : "John N.", "non-dropping-particle" : "", "parse-names" : false, "suffix" : "" }, { "dropping-particle" : "", "family" : "Briggs", "given" : "Adam D M", "non-dropping-particle" : "", "parse-names" : false, "suffix" : "" }, { "dropping-particle" : "", "family" : "Murray", "given" : "Christopher J L", "non-dropping-particle" : "", "parse-names" : false, "suffix" : "" }, { "dropping-particle" : "", "family" : "Dicker", "given" : "Daniel", "non-dropping-particle" : "", "parse-names" : false, "suffix" : "" }, { "dropping-particle" : "", "family" : "Foreman", "given" : "Kyle J.", "non-dropping-particle" : "", "parse-names" : false, "suffix" : "" }, { "dropping-particle" : "", "family" : "Wang", "given" : "Haidong", "non-dropping-particle" : "", "parse-names" : false, "suffix" : "" }, { "dropping-particle" : "", "family" : "Naghavi", "given" : "Mohsen", "non-dropping-particle" : "", "parse-names" : false, "suffix" : "" }, { "dropping-particle" : "", "family" : "Forouzanfar", "given" : "Mohammad H.", "non-dropping-particle" : "", "parse-names" : false, "suffix" : "" }, { "dropping-particle" : "", "family" : "Ohno", "given" : "Summer Lockett", "non-dropping-particle" : "", "parse-names" : false, "suffix" : "" }, { "dropping-particle" : "", "family" : "Barber", "given" : "Ryan M.", "non-dropping-particle" : "", "parse-names" : false, "suffix" : "" }, { "dropping-particle" : "", "family" : "Vos", "given" : "Theo", "non-dropping-particle" : "", "parse-names" : false, "suffix" : "" }, { "dropping-particle" : "", "family" : "Stanaway", "given" : "Jeffrey D.", "non-dropping-particle" : "", "parse-names" : false, "suffix" : "" }, { "dropping-particle" : "", "family" : "Schmidt", "given" : "J\u00fcrgen C.", "non-dropping-particle" : "", "parse-names" : false, "suffix" : "" }, { "dropping-particle" : "", "family" : "Hughes", "given" : "Andrew J.", "non-dropping-particle" : "", "parse-names" : false, "suffix" : "" }, { "dropping-particle" : "", "family" : "Fay", "given" : "Derek F J", "non-dropping-particle" : "", "parse-names" : false, "suffix" : "" }, { "dropping-particle" : "", "family" : "Ecob", "given" : "Russell", "non-dropping-particle" : "", "parse-names" : false, "suffix" : "" }, { "dropping-particle" : "", "family" : "Gresser", "given" : "Charis", "non-dropping-particle" : "", "parse-names" : false, "suffix" : "" }, { "dropping-particle" : "", "family" : "McKee", "given" : "Martin", "non-dropping-particle" : "", "parse-names" : false, "suffix" : "" }, { "dropping-particle" : "", "family" : "Rutter", "given" : "Harry", "non-dropping-particle" : "", "parse-names" : false, "suffix" : "" }, { "dropping-particle" : "", "family" : "Abubakar", "given" : "Ibrahim", "non-dropping-particle" : "", "parse-names" : false, "suffix" : "" }, { "dropping-particle" : "", "family" : "Ali", "given" : "Raghib", "non-dropping-particle" : "", "parse-names" : false, "suffix" : "" }, { "dropping-particle" : "", "family" : "Anderson", "given" : "H. Ross", "non-dropping-particle" : "", "parse-names" : false, "suffix" : "" }, { "dropping-particle" : "", "family" : "Banerjee", "given" : "Amitava", "non-dropping-particle" : "", "parse-names" : false, "suffix" : "" }, { "dropping-particle" : "", "family" : "Bennett", "given" : "Derrick A.", "non-dropping-particle" : "", "parse-names" : false, "suffix" : "" }, { "dropping-particle" : "", "family" : "Bernab\u00e9", "given" : "Eduardo", "non-dropping-particle" : "", "parse-names" : false, "suffix" : "" }, { "dropping-particle" : "", "family" : "Bhui", "given" : "Kamaldeep S.", "non-dropping-particle" : "", "parse-names" : false, "suffix" : "" }, { "dropping-particle" : "", "family" : "Biryukov", "given" : "Stanley M.", "non-dropping-particle" : "", "parse-names" : false, "suffix" : "" }, { "dropping-particle" : "", "family" : "Bourne", "given" : "Rupert R.", "non-dropping-particle" : "", "parse-names" : false, "suffix" : "" }, { "dropping-particle" : "", "family" : "Brayne", "given" : "Carol E G", "non-dropping-particle" : "", "parse-names" : false, "suffix" : "" }, { "dropping-particle" : "", "family" : "Bruce", "given" : "Nigel G.", "non-dropping-particle" : "", "parse-names" : false, "suffix" : "" }, { "dropping-particle" : "", "family" : "Brugha", "given" : "Traolach S.", "non-dropping-particle" : "", "parse-names" : false, "suffix" : "" }, { "dropping-particle" : "", "family" : "Burch", "given" : "Michael", "non-dropping-particle" : "", "parse-names" : false, "suffix" : "" }, { "dropping-particle" : "", "family" : "Capewell", "given" : "Simon", "non-dropping-particle" : "", "parse-names" : false, "suffix" : "" }, { "dropping-particle" : "", "family" : "Casey", "given" : "Daniel", "non-dropping-particle" : "", "parse-names" : false, "suffix" : "" }, { "dropping-particle" : "", "family" : "Chowdhury", "given" : "Rajiv", "non-dropping-particle" : "", "parse-names" : false, "suffix" : "" }, { "dropping-particle" : "", "family" : "Coates", "given" : "Matthew M.", "non-dropping-particle" : "", "parse-names" : false, "suffix" : "" }, { "dropping-particle" : "", "family" : "Cooper", "given" : "Cyrus", "non-dropping-particle" : "", "parse-names" : false, "suffix" : "" }, { "dropping-particle" : "", "family" : "Critchley", "given" : "Julia A.", "non-dropping-particle" : "", "parse-names" : false, "suffix" : "" }, { "dropping-particle" : "", "family" : "Dargan", "given" : "Paul I.", "non-dropping-particle" : "", "parse-names" : false, "suffix" : "" }, { "dropping-particle" : "", "family" : "Dherani", "given" : "Mukesh K.", "non-dropping-particle" : "", "parse-names" : false, "suffix" : "" }, { "dropping-particle" : "", "family" : "Elliott", "given" : "Paul", "non-dropping-particle" : "", "parse-names" : false, "suffix" : "" }, { "dropping-particle" : "", "family" : "Ezzati", "given" : "Majid", "non-dropping-particle" : "", "parse-names" : false, "suffix" : "" }, { "dropping-particle" : "", "family" : "Fenton", "given" : "Kevin A.", "non-dropping-particle" : "", "parse-names" : false, "suffix" : "" }, { "dropping-particle" : "", "family" : "Fraser", "given" : "Maya S.", "non-dropping-particle" : "", "parse-names" : false, "suffix" : "" }, { "dropping-particle" : "", "family" : "F\u00fcrst", "given" : "Thomas", "non-dropping-particle" : "", "parse-names" : false, "suffix" : "" }, { "dropping-particle" : "", "family" : "Greaves", "given" : "Felix", "non-dropping-particle" : "", "parse-names" : false, "suffix" : "" }, { "dropping-particle" : "", "family" : "Green", "given" : "Mark A.", "non-dropping-particle" : "", "parse-names" : false, "suffix" : "" }, { "dropping-particle" : "", "family" : "Gunnell", "given" : "David J.", "non-dropping-particle" : "", "parse-names" : false, "suffix" : "" }, { "dropping-particle" : "", "family" : "Hannigan", "given" : "Bernadette M.", "non-dropping-particle" : "", "parse-names" : false, "suffix" : "" }, { "dropping-particle" : "", "family" : "Hay", "given" : "Roderick J.", "non-dropping-particle" : "", "parse-names" : false, "suffix" : "" }, { "dropping-particle" : "", "family" : "Hay", "given" : "Simon I.", "non-dropping-particle" : "", "parse-names" : false, "suffix" : "" }, { "dropping-particle" : "", "family" : "Hemingway", "given" : "Harry", "non-dropping-particle" : "", "parse-names" : false, "suffix" : "" }, { "dropping-particle" : "", "family" : "Larson", "given" : "Heidi J.", "non-dropping-particle" : "", "parse-names" : false, "suffix" : "" }, { "dropping-particle" : "", "family" : "Looker", "given" : "Katharine J.", "non-dropping-particle" : "", "parse-names" : false, "suffix" : "" }, { "dropping-particle" : "", "family" : "Lunevicius", "given" : "Raimundas", "non-dropping-particle" : "", "parse-names" : false, "suffix" : "" }, { "dropping-particle" : "", "family" : "Lyons", "given" : "Ronan A.", "non-dropping-particle" : "", "parse-names" : false, "suffix" : "" }, { "dropping-particle" : "", "family" : "Marcenes", "given" : "Wagner", "non-dropping-particle" : "", "parse-names" : false, "suffix" : "" }, { "dropping-particle" : "", "family" : "Mason-Jones", "given" : "Amanda J.", "non-dropping-particle" : "", "parse-names" : false, "suffix" : "" }, { "dropping-particle" : "", "family" : "Matthews", "given" : "Fiona E.", "non-dropping-particle" : "", "parse-names" : false, "suffix" : "" }, { "dropping-particle" : "", "family" : "Moller", "given" : "Henrik", "non-dropping-particle" : "", "parse-names" : false, "suffix" : "" }, { "dropping-particle" : "", "family" : "Murdoch", "given" : "Michele E.", "non-dropping-particle" : "", "parse-names" : false, "suffix" : "" }, { "dropping-particle" : "", "family" : "Newton", "given" : "Charles R.", "non-dropping-particle" : "", "parse-names" : false, "suffix" : "" }, { "dropping-particle" : "", "family" : "Pearce", "given" : "Neil", "non-dropping-particle" : "", "parse-names" : false, "suffix" : "" }, { "dropping-particle" : "", "family" : "Piel", "given" : "Fr\u00e9d\u00e9ric B.", "non-dropping-particle" : "", "parse-names" : false, "suffix" : "" }, { "dropping-particle" : "", "family" : "Pope", "given" : "Daniel", "non-dropping-particle" : "", "parse-names" : false, "suffix" : "" }, { "dropping-particle" : "", "family" : "Rahimi", "given" : "Kazem", "non-dropping-particle" : "", "parse-names" : false, "suffix" : "" }, { "dropping-particle" : "", "family" : "Rodriguez", "given" : "Alina", "non-dropping-particle" : "", "parse-names" : false, "suffix" : "" }, { "dropping-particle" : "", "family" : "Scarborough", "given" : "Peter", "non-dropping-particle" : "", "parse-names" : false, "suffix" : "" }, { "dropping-particle" : "", "family" : "Schumacher", "given" : "Austin E.", "non-dropping-particle" : "", "parse-names" : false, "suffix" : "" }, { "dropping-particle" : "", "family" : "Shiue", "given" : "Ivy", "non-dropping-particle" : "", "parse-names" : false, "suffix" : "" }, { "dropping-particle" : "", "family" : "Smeeth", "given" : "Liam", "non-dropping-particle" : "", "parse-names" : false, "suffix" : "" }, { "dropping-particle" : "", "family" : "Tedstone", "given" : "Alison", "non-dropping-particle" : "", "parse-names" : false, "suffix" : "" }, { "dropping-particle" : "", "family" : "Valabhji", "given" : "Jonathan", "non-dropping-particle" : "", "parse-names" : false, "suffix" : "" }, { "dropping-particle" : "", "family" : "Williams", "given" : "Hywel C.", "non-dropping-particle" : "", "parse-names" : false, "suffix" : "" }, { "dropping-particle" : "", "family" : "Wolfe", "given" : "Charles D A", "non-dropping-particle" : "", "parse-names" : false, "suffix" : "" }, { "dropping-particle" : "", "family" : "Woolf", "given" : "Anthony D.", "non-dropping-particle" : "", "parse-names" : false, "suffix" : "" }, { "dropping-particle" : "", "family" : "Davis", "given" : "Adrian C J", "non-dropping-particle" : "", "parse-names" : false, "suffix" : "" } ], "container-title" : "The Lancet", "id" : "ITEM-2", "issued" : { "date-parts" : [ [ "2015" ] ] }, "page" : "2257-2274", "title" : "Changes in health in England, with analysis by English regions and areas of deprivation, 1990-2013: A systematic analysis for the Global Burden of Disease Study 2013", "type" : "article-journal", "volume" : "386" }, "uris" : [ "http://www.mendeley.com/documents/?uuid=bf0c9c8f-b59f-476b-a7bf-1b50e67ec654" ] } ], "mendeley" : { "formattedCitation" : "(Mitchell and Popham, 2008; Newton &lt;i&gt;et al.&lt;/i&gt;, 2015)", "plainTextFormattedCitation" : "(Mitchell and Popham, 2008; Newton et al., 2015)", "previouslyFormattedCitation" : "(Mitchell and Popham, 2008; Newton &lt;i&gt;et al.&lt;/i&gt;, 2015)" }, "properties" : {  }, "schema" : "https://github.com/citation-style-language/schema/raw/master/csl-citation.json" }</w:instrText>
      </w:r>
      <w:r w:rsidR="00942A6E" w:rsidRPr="0068488B">
        <w:fldChar w:fldCharType="separate"/>
      </w:r>
      <w:r w:rsidR="00954BAB" w:rsidRPr="00954BAB">
        <w:rPr>
          <w:noProof/>
        </w:rPr>
        <w:t xml:space="preserve">(Mitchell and Popham, 2008; Newton </w:t>
      </w:r>
      <w:r w:rsidR="00954BAB" w:rsidRPr="00954BAB">
        <w:rPr>
          <w:i/>
          <w:noProof/>
        </w:rPr>
        <w:t>et al.</w:t>
      </w:r>
      <w:r w:rsidR="00954BAB" w:rsidRPr="00954BAB">
        <w:rPr>
          <w:noProof/>
        </w:rPr>
        <w:t>, 2015)</w:t>
      </w:r>
      <w:r w:rsidR="00942A6E" w:rsidRPr="0068488B">
        <w:fldChar w:fldCharType="end"/>
      </w:r>
      <w:r w:rsidR="00942A6E" w:rsidRPr="0068488B">
        <w:t>,</w:t>
      </w:r>
      <w:r w:rsidR="00B03020" w:rsidRPr="0068488B">
        <w:t xml:space="preserve"> and </w:t>
      </w:r>
      <w:r w:rsidR="00A90CA9" w:rsidRPr="0068488B">
        <w:t xml:space="preserve">its wide policy appeal </w:t>
      </w:r>
      <w:r w:rsidR="00B03020" w:rsidRPr="0068488B">
        <w:t>fo</w:t>
      </w:r>
      <w:r w:rsidR="004453EE" w:rsidRPr="0068488B">
        <w:t xml:space="preserve">r identifying deprivation </w:t>
      </w:r>
      <w:r w:rsidR="004453EE" w:rsidRPr="0068488B">
        <w:fldChar w:fldCharType="begin" w:fldLock="1"/>
      </w:r>
      <w:r w:rsidR="00C40B1E" w:rsidRPr="0068488B">
        <w:instrText>ADDIN CSL_CITATION { "citationItems" : [ { "id" : "ITEM-1", "itemData" : { "URL" : "https://www.gov.uk/government/publications/english-indices-of-deprivation-2015-technical-report", "accessed" : { "date-parts" : [ [ "2016", "12", "10" ] ] }, "author" : [ { "dropping-particle" : "", "family" : "Smith", "given" : "T", "non-dropping-particle" : "", "parse-names" : false, "suffix" : "" }, { "dropping-particle" : "", "family" : "Noble", "given" : "M", "non-dropping-particle" : "", "parse-names" : false, "suffix" : "" }, { "dropping-particle" : "", "family" : "Noble", "given" : "S", "non-dropping-particle" : "", "parse-names" : false, "suffix" : "" }, { "dropping-particle" : "", "family" : "Wright", "given" : "G", "non-dropping-particle" : "", "parse-names" : false, "suffix" : "" }, { "dropping-particle" : "", "family" : "McLennan", "given" : "D", "non-dropping-particle" : "", "parse-names" : false, "suffix" : "" }, { "dropping-particle" : "", "family" : "Plunkett", "given" : "E", "non-dropping-particle" : "", "parse-names" : false, "suffix" : "" } ], "id" : "ITEM-1", "issued" : { "date-parts" : [ [ "2015" ] ] }, "title" : "The English Indices of Deprivation 2015", "type" : "webpage" }, "uris" : [ "http://www.mendeley.com/documents/?uuid=4832b26f-15cd-4538-89f1-65a2d1a69946" ] } ], "mendeley" : { "formattedCitation" : "(Smith &lt;i&gt;et al.&lt;/i&gt;, 2015)", "plainTextFormattedCitation" : "(Smith et al., 2015)", "previouslyFormattedCitation" : "(Smith &lt;i&gt;et al.&lt;/i&gt;, 2015)" }, "properties" : {  }, "schema" : "https://github.com/citation-style-language/schema/raw/master/csl-citation.json" }</w:instrText>
      </w:r>
      <w:r w:rsidR="004453EE" w:rsidRPr="0068488B">
        <w:fldChar w:fldCharType="separate"/>
      </w:r>
      <w:r w:rsidR="004453EE" w:rsidRPr="0068488B">
        <w:rPr>
          <w:noProof/>
        </w:rPr>
        <w:t xml:space="preserve">(Smith </w:t>
      </w:r>
      <w:r w:rsidR="004453EE" w:rsidRPr="0068488B">
        <w:rPr>
          <w:i/>
          <w:noProof/>
        </w:rPr>
        <w:t>et al.</w:t>
      </w:r>
      <w:r w:rsidR="004453EE" w:rsidRPr="0068488B">
        <w:rPr>
          <w:noProof/>
        </w:rPr>
        <w:t>, 2015)</w:t>
      </w:r>
      <w:r w:rsidR="004453EE" w:rsidRPr="0068488B">
        <w:fldChar w:fldCharType="end"/>
      </w:r>
      <w:r w:rsidR="00B03020" w:rsidRPr="0068488B">
        <w:t>.</w:t>
      </w:r>
      <w:r w:rsidR="00A90CA9" w:rsidRPr="0068488B">
        <w:t xml:space="preserve"> </w:t>
      </w:r>
    </w:p>
    <w:p w14:paraId="38053A96" w14:textId="77777777" w:rsidR="00EE5444" w:rsidRPr="0068488B" w:rsidRDefault="00EE5444" w:rsidP="002B2760"/>
    <w:p w14:paraId="1994AAC1" w14:textId="7B8CA22F" w:rsidR="00A63FBF" w:rsidRPr="0068488B" w:rsidRDefault="00A90CA9" w:rsidP="00A63FBF">
      <w:r w:rsidRPr="0068488B">
        <w:t>There are few examples that have applied such an approach to health-related features of environments</w:t>
      </w:r>
      <w:r w:rsidR="001E7C18" w:rsidRPr="0068488B">
        <w:t>,</w:t>
      </w:r>
      <w:r w:rsidRPr="0068488B">
        <w:t xml:space="preserve"> despite the pathways and resulting harms associated with the geographical determinants of health being multidimensional in nature. </w:t>
      </w:r>
      <w:r w:rsidR="00774CA2" w:rsidRPr="0068488B">
        <w:fldChar w:fldCharType="begin" w:fldLock="1"/>
      </w:r>
      <w:r w:rsidR="00E31F73" w:rsidRPr="0068488B">
        <w:instrText>ADDIN CSL_CITATION { "citationItems" : [ { "id" : "ITEM-1", "itemData" : { "author" : [ { "dropping-particle" : "", "family" : "Richardson", "given" : "Elizabeth", "non-dropping-particle" : "", "parse-names" : false, "suffix" : "" }, { "dropping-particle" : "", "family" : "Mitchell", "given" : "Richard", "non-dropping-particle" : "", "parse-names" : false, "suffix" : "" }, { "dropping-particle" : "", "family" : "Shortt", "given" : "Niamh", "non-dropping-particle" : "", "parse-names" : false, "suffix" : "" }, { "dropping-particle" : "", "family" : "Pearce", "given" : "Jamie", "non-dropping-particle" : "", "parse-names" : false, "suffix" : "" }, { "dropping-particle" : "", "family" : "Dawson", "given" : "Terence", "non-dropping-particle" : "", "parse-names" : false, "suffix" : "" } ], "container-title" : "Environment and Planning A", "id" : "ITEM-1", "issued" : { "date-parts" : [ [ "2010" ] ] }, "page" : "1650-1668", "title" : "Developing summary measures of health-related multiple physical environmental deprivation for epidemiological research", "type" : "article-journal", "volume" : "42" }, "uris" : [ "http://www.mendeley.com/documents/?uuid=365c9b16-a7d9-41b1-ba0b-ebde58033ad6" ] } ], "mendeley" : { "formattedCitation" : "(Richardson &lt;i&gt;et al.&lt;/i&gt;, 2010)", "manualFormatting" : "Richardson et al. (2010)", "plainTextFormattedCitation" : "(Richardson et al., 2010)", "previouslyFormattedCitation" : "(Richardson &lt;i&gt;et al.&lt;/i&gt;, 2010)" }, "properties" : {  }, "schema" : "https://github.com/citation-style-language/schema/raw/master/csl-citation.json" }</w:instrText>
      </w:r>
      <w:r w:rsidR="00774CA2" w:rsidRPr="0068488B">
        <w:fldChar w:fldCharType="separate"/>
      </w:r>
      <w:r w:rsidR="00774CA2" w:rsidRPr="0068488B">
        <w:rPr>
          <w:noProof/>
        </w:rPr>
        <w:t xml:space="preserve">Richardson </w:t>
      </w:r>
      <w:r w:rsidR="00774CA2" w:rsidRPr="0068488B">
        <w:rPr>
          <w:i/>
          <w:noProof/>
        </w:rPr>
        <w:t>et al.</w:t>
      </w:r>
      <w:r w:rsidR="00774CA2" w:rsidRPr="0068488B">
        <w:rPr>
          <w:noProof/>
        </w:rPr>
        <w:t xml:space="preserve"> </w:t>
      </w:r>
      <w:r w:rsidR="00C536EC" w:rsidRPr="0068488B">
        <w:rPr>
          <w:noProof/>
        </w:rPr>
        <w:t>(</w:t>
      </w:r>
      <w:r w:rsidR="00774CA2" w:rsidRPr="0068488B">
        <w:rPr>
          <w:noProof/>
        </w:rPr>
        <w:t>2010)</w:t>
      </w:r>
      <w:r w:rsidR="00774CA2" w:rsidRPr="0068488B">
        <w:fldChar w:fldCharType="end"/>
      </w:r>
      <w:r w:rsidR="00774CA2" w:rsidRPr="0068488B">
        <w:t xml:space="preserve"> p</w:t>
      </w:r>
      <w:r w:rsidR="001E7C18" w:rsidRPr="0068488B">
        <w:t xml:space="preserve">rovide an exemplar index of the physical environment that included data on </w:t>
      </w:r>
      <w:r w:rsidR="004453EE" w:rsidRPr="0068488B">
        <w:t xml:space="preserve">air quality, climate, green </w:t>
      </w:r>
      <w:r w:rsidR="004453EE" w:rsidRPr="0068488B">
        <w:lastRenderedPageBreak/>
        <w:t xml:space="preserve">space, radiation </w:t>
      </w:r>
      <w:proofErr w:type="spellStart"/>
      <w:r w:rsidR="004453EE" w:rsidRPr="0068488B">
        <w:t>etc</w:t>
      </w:r>
      <w:proofErr w:type="spellEnd"/>
      <w:r w:rsidR="001E7C18" w:rsidRPr="0068488B">
        <w:t xml:space="preserve">, and was demonstrated to be predictive of mortality rates </w:t>
      </w:r>
      <w:r w:rsidR="00774CA2" w:rsidRPr="0068488B">
        <w:fldChar w:fldCharType="begin" w:fldLock="1"/>
      </w:r>
      <w:r w:rsidR="00774CA2" w:rsidRPr="0068488B">
        <w:instrText>ADDIN CSL_CITATION { "citationItems" : [ { "id" : "ITEM-1", "itemData" : { "author" : [ { "dropping-particle" : "", "family" : "Pearce", "given" : "Jamie", "non-dropping-particle" : "", "parse-names" : false, "suffix" : "" }, { "dropping-particle" : "", "family" : "Richardson", "given" : "Elizabeth", "non-dropping-particle" : "", "parse-names" : false, "suffix" : "" }, { "dropping-particle" : "", "family" : "Mitchell", "given" : "Richard", "non-dropping-particle" : "", "parse-names" : false, "suffix" : "" }, { "dropping-particle" : "", "family" : "Shortt", "given" : "Niamh", "non-dropping-particle" : "", "parse-names" : false, "suffix" : "" } ], "container-title" : "Transactions of the Institute of British Geographers", "id" : "ITEM-1", "issue" : "4", "issued" : { "date-parts" : [ [ "2010" ] ] }, "page" : "522-539", "title" : "Environmental justice and health: the implications of the socio\u2010spatial distribution of multiple environmental deprivation for health inequalities in the United Kingdom", "type" : "article-journal", "volume" : "35" }, "uris" : [ "http://www.mendeley.com/documents/?uuid=69a0522b-f834-4929-9a94-3067d2bf1053" ] } ], "mendeley" : { "formattedCitation" : "(Pearce &lt;i&gt;et al.&lt;/i&gt;, 2010)", "plainTextFormattedCitation" : "(Pearce et al., 2010)", "previouslyFormattedCitation" : "(Pearce &lt;i&gt;et al.&lt;/i&gt;, 2010)" }, "properties" : {  }, "schema" : "https://github.com/citation-style-language/schema/raw/master/csl-citation.json" }</w:instrText>
      </w:r>
      <w:r w:rsidR="00774CA2" w:rsidRPr="0068488B">
        <w:fldChar w:fldCharType="separate"/>
      </w:r>
      <w:r w:rsidR="00774CA2" w:rsidRPr="0068488B">
        <w:rPr>
          <w:noProof/>
        </w:rPr>
        <w:t xml:space="preserve">(Pearce </w:t>
      </w:r>
      <w:r w:rsidR="00774CA2" w:rsidRPr="0068488B">
        <w:rPr>
          <w:i/>
          <w:noProof/>
        </w:rPr>
        <w:t>et al.</w:t>
      </w:r>
      <w:r w:rsidR="00774CA2" w:rsidRPr="0068488B">
        <w:rPr>
          <w:noProof/>
        </w:rPr>
        <w:t>, 2010)</w:t>
      </w:r>
      <w:r w:rsidR="00774CA2" w:rsidRPr="0068488B">
        <w:fldChar w:fldCharType="end"/>
      </w:r>
      <w:r w:rsidR="00774CA2" w:rsidRPr="0068488B">
        <w:t>.</w:t>
      </w:r>
      <w:r w:rsidRPr="0068488B">
        <w:t xml:space="preserve"> </w:t>
      </w:r>
      <w:r w:rsidR="00A6522E" w:rsidRPr="0068488B">
        <w:fldChar w:fldCharType="begin" w:fldLock="1"/>
      </w:r>
      <w:r w:rsidR="002E6351">
        <w:instrText>ADDIN CSL_CITATION { "citationItems" : [ { "id" : "ITEM-1", "itemData" : { "author" : [ { "dropping-particle" : "", "family" : "Green", "given" : "Mark A", "non-dropping-particle" : "", "parse-names" : false, "suffix" : "" }, { "dropping-particle" : "", "family" : "Vickers", "given" : "Daniel", "non-dropping-particle" : "", "parse-names" : false, "suffix" : "" }, { "dropping-particle" : "", "family" : "Dorling", "given" : "Danny", "non-dropping-particle" : "", "parse-names" : false, "suffix" : "" } ], "container-title" : "Health &amp; Place", "id" : "ITEM-1", "issued" : { "date-parts" : [ [ "2014" ] ] }, "page" : "196-204", "title" : "A neighbourhood level mortality classification of England and Wales, 2006-2009", "type" : "article-journal", "volume" : "30" }, "uris" : [ "http://www.mendeley.com/documents/?uuid=43b4dba1-58e4-4e23-8826-997ea72e3c07" ] } ], "mendeley" : { "formattedCitation" : "(Green, Vickers and Dorling, 2014)", "manualFormatting" : "Author et al. (2014)", "plainTextFormattedCitation" : "(Green, Vickers and Dorling, 2014)", "previouslyFormattedCitation" : "(Green, Vickers and Dorling, 2014)" }, "properties" : {  }, "schema" : "https://github.com/citation-style-language/schema/raw/master/csl-citation.json" }</w:instrText>
      </w:r>
      <w:r w:rsidR="00A6522E" w:rsidRPr="0068488B">
        <w:fldChar w:fldCharType="separate"/>
      </w:r>
      <w:r w:rsidR="00273EFE">
        <w:rPr>
          <w:noProof/>
        </w:rPr>
        <w:t>Author</w:t>
      </w:r>
      <w:r w:rsidR="00A6522E" w:rsidRPr="0068488B">
        <w:rPr>
          <w:noProof/>
        </w:rPr>
        <w:t xml:space="preserve"> et al. (2014)</w:t>
      </w:r>
      <w:r w:rsidR="00A6522E" w:rsidRPr="0068488B">
        <w:fldChar w:fldCharType="end"/>
      </w:r>
      <w:r w:rsidRPr="0068488B">
        <w:t xml:space="preserve"> explored the multidimensionality of mortality rates for Great Britain finding </w:t>
      </w:r>
      <w:r w:rsidR="001E7C18" w:rsidRPr="0068488B">
        <w:t>that diseases clustered in different areas suggesting that simple measures of mortality rates fail to capture the variation in experiences across cause of death</w:t>
      </w:r>
      <w:r w:rsidRPr="0068488B">
        <w:t xml:space="preserve">. </w:t>
      </w:r>
      <w:r w:rsidR="00A6522E" w:rsidRPr="0068488B">
        <w:fldChar w:fldCharType="begin" w:fldLock="1"/>
      </w:r>
      <w:r w:rsidR="002E6351">
        <w:instrText>ADDIN CSL_CITATION { "citationItems" : [ { "id" : "ITEM-1", "itemData" : { "author" : [ { "dropping-particle" : "", "family" : "Hobbs", "given" : "Matthew", "non-dropping-particle" : "", "parse-names" : false, "suffix" : "" }, { "dropping-particle" : "", "family" : "Griffiths", "given" : "Claire", "non-dropping-particle" : "", "parse-names" : false, "suffix" : "" }, { "dropping-particle" : "", "family" : "Green", "given" : "Mark A", "non-dropping-particle" : "", "parse-names" : false, "suffix" : "" }, { "dropping-particle" : "", "family" : "Jordan", "given" : "Hannah", "non-dropping-particle" : "", "parse-names" : false, "suffix" : "" }, { "dropping-particle" : "", "family" : "Saunders", "given" : "Joanna", "non-dropping-particle" : "", "parse-names" : false, "suffix" : "" }, { "dropping-particle" : "", "family" : "McKenna", "given" : "Jim", "non-dropping-particle" : "", "parse-names" : false, "suffix" : "" } ], "container-title" : "Preventive Medicine", "id" : "ITEM-1", "issued" : { "date-parts" : [ [ "2017" ] ] }, "title" : "Neighbourhood typologies and associations with body mass index and obesity: A cross-sectional study", "type" : "article-journal" }, "uris" : [ "http://www.mendeley.com/documents/?uuid=ad8d226e-30cd-4504-b335-87f68fc8d2fd" ] } ], "mendeley" : { "formattedCitation" : "(Hobbs &lt;i&gt;et al.&lt;/i&gt;, 2017)", "manualFormatting" : "Author et al. (2017)", "plainTextFormattedCitation" : "(Hobbs et al., 2017)", "previouslyFormattedCitation" : "(Hobbs &lt;i&gt;et al.&lt;/i&gt;, 2017)" }, "properties" : {  }, "schema" : "https://github.com/citation-style-language/schema/raw/master/csl-citation.json" }</w:instrText>
      </w:r>
      <w:r w:rsidR="00A6522E" w:rsidRPr="0068488B">
        <w:fldChar w:fldCharType="separate"/>
      </w:r>
      <w:r w:rsidR="00273EFE">
        <w:rPr>
          <w:noProof/>
        </w:rPr>
        <w:t>Author</w:t>
      </w:r>
      <w:r w:rsidR="00A6522E" w:rsidRPr="0068488B">
        <w:rPr>
          <w:noProof/>
        </w:rPr>
        <w:t xml:space="preserve"> </w:t>
      </w:r>
      <w:r w:rsidR="00A6522E" w:rsidRPr="0068488B">
        <w:rPr>
          <w:i/>
          <w:noProof/>
        </w:rPr>
        <w:t>et al.</w:t>
      </w:r>
      <w:r w:rsidR="00A6522E" w:rsidRPr="0068488B">
        <w:rPr>
          <w:noProof/>
        </w:rPr>
        <w:t xml:space="preserve"> (2017)</w:t>
      </w:r>
      <w:r w:rsidR="00A6522E" w:rsidRPr="0068488B">
        <w:fldChar w:fldCharType="end"/>
      </w:r>
      <w:r w:rsidRPr="0068488B">
        <w:t xml:space="preserve"> applied a similar approach focusing on features of the obesogenic environment only, demonstrating </w:t>
      </w:r>
      <w:r w:rsidR="001E7C18" w:rsidRPr="0068488B">
        <w:t>that the interactions between the food and physical activity environments produce differing</w:t>
      </w:r>
      <w:r w:rsidRPr="0068488B">
        <w:t xml:space="preserve"> harms relating to risk of obesity. </w:t>
      </w:r>
    </w:p>
    <w:p w14:paraId="3BA55FBD" w14:textId="77777777" w:rsidR="00EE5444" w:rsidRPr="0068488B" w:rsidRDefault="00EE5444" w:rsidP="002B2760"/>
    <w:p w14:paraId="48C9DFFD" w14:textId="0CBC523A" w:rsidR="002C1F3F" w:rsidRPr="0068488B" w:rsidRDefault="00CC1393" w:rsidP="002B2760">
      <w:r w:rsidRPr="0068488B">
        <w:t xml:space="preserve">Developing </w:t>
      </w:r>
      <w:r w:rsidR="004F2C39" w:rsidRPr="0068488B">
        <w:t xml:space="preserve">open </w:t>
      </w:r>
      <w:r w:rsidRPr="0068488B">
        <w:t>metrics of access may benefit policy officials in two ways: (1) in being able to identify areas to intervene at, (2) help identify pathways that interventions can be designed to address.</w:t>
      </w:r>
      <w:r w:rsidR="005D1188" w:rsidRPr="0068488B">
        <w:t xml:space="preserve"> Composite measures </w:t>
      </w:r>
      <w:r w:rsidR="004B7862" w:rsidRPr="0068488B">
        <w:t>can enable the possibility to</w:t>
      </w:r>
      <w:r w:rsidR="005D1188" w:rsidRPr="0068488B">
        <w:t xml:space="preserve"> </w:t>
      </w:r>
      <w:r w:rsidR="001E2D28" w:rsidRPr="0068488B">
        <w:t xml:space="preserve">identify </w:t>
      </w:r>
      <w:r w:rsidR="001E2D28" w:rsidRPr="0068488B">
        <w:rPr>
          <w:i/>
        </w:rPr>
        <w:t>if</w:t>
      </w:r>
      <w:r w:rsidR="00411204" w:rsidRPr="0068488B">
        <w:t xml:space="preserve"> geography may matter leading to further investigation of </w:t>
      </w:r>
      <w:r w:rsidR="00411204" w:rsidRPr="0068488B">
        <w:rPr>
          <w:i/>
        </w:rPr>
        <w:t>why</w:t>
      </w:r>
      <w:r w:rsidR="00411204" w:rsidRPr="0068488B">
        <w:t>.</w:t>
      </w:r>
      <w:r w:rsidR="00B03020" w:rsidRPr="0068488B">
        <w:t xml:space="preserve"> They are also useful descriptive tools that, like the IMD, may help </w:t>
      </w:r>
      <w:r w:rsidR="00A20E5B" w:rsidRPr="0068488B">
        <w:t>feed into the comparison and targeting of areas.</w:t>
      </w:r>
      <w:r w:rsidR="00B03020" w:rsidRPr="0068488B">
        <w:t xml:space="preserve"> </w:t>
      </w:r>
    </w:p>
    <w:p w14:paraId="0C0B2EE3" w14:textId="77777777" w:rsidR="002B2760" w:rsidRPr="0068488B" w:rsidRDefault="002B2760" w:rsidP="002B2760"/>
    <w:p w14:paraId="62677C4B" w14:textId="1A09A000" w:rsidR="002B2760" w:rsidRPr="0068488B" w:rsidRDefault="002B2760" w:rsidP="002B2760">
      <w:r w:rsidRPr="0068488B">
        <w:t xml:space="preserve">1.3 </w:t>
      </w:r>
      <w:r w:rsidRPr="0068488B">
        <w:rPr>
          <w:i/>
        </w:rPr>
        <w:t>Aim</w:t>
      </w:r>
    </w:p>
    <w:p w14:paraId="3A240A16" w14:textId="77777777" w:rsidR="00901B64" w:rsidRPr="0068488B" w:rsidRDefault="00901B64"/>
    <w:p w14:paraId="1F659F5A" w14:textId="2C290771" w:rsidR="00536B10" w:rsidRPr="0068488B" w:rsidRDefault="00536B10">
      <w:r w:rsidRPr="0068488B">
        <w:t xml:space="preserve">The aim of the study is to develop an open-access multi-dimensional index of the accessibility to health-related features of the environment for small areas across Great Britain (2016). </w:t>
      </w:r>
      <w:r w:rsidR="00AF0307" w:rsidRPr="0068488B">
        <w:t xml:space="preserve">We will </w:t>
      </w:r>
      <w:r w:rsidR="00B6482B" w:rsidRPr="0068488B">
        <w:t>outline the development of the index, Access to Healthy Assets and Hazards</w:t>
      </w:r>
      <w:r w:rsidR="00F03C8D" w:rsidRPr="0068488B">
        <w:t xml:space="preserve"> (AHAH)</w:t>
      </w:r>
      <w:r w:rsidR="00B6482B" w:rsidRPr="0068488B">
        <w:t xml:space="preserve">, as well as </w:t>
      </w:r>
      <w:r w:rsidR="00E314C3" w:rsidRPr="0068488B">
        <w:t>examine</w:t>
      </w:r>
      <w:r w:rsidR="00B6482B" w:rsidRPr="0068488B">
        <w:t xml:space="preserve"> what the index reveals and whether it is associated with health and wellbeing at both the area- and individual-level.</w:t>
      </w:r>
    </w:p>
    <w:p w14:paraId="189EF379" w14:textId="77777777" w:rsidR="00536B10" w:rsidRPr="0068488B" w:rsidRDefault="00536B10"/>
    <w:p w14:paraId="186474CB" w14:textId="77777777" w:rsidR="00D801FA" w:rsidRPr="0068488B" w:rsidRDefault="00EF105F" w:rsidP="00372EE3">
      <w:pPr>
        <w:outlineLvl w:val="0"/>
        <w:rPr>
          <w:b/>
        </w:rPr>
      </w:pPr>
      <w:r w:rsidRPr="0068488B">
        <w:rPr>
          <w:b/>
        </w:rPr>
        <w:t xml:space="preserve">2.0 </w:t>
      </w:r>
      <w:r w:rsidR="00D801FA" w:rsidRPr="0068488B">
        <w:rPr>
          <w:b/>
        </w:rPr>
        <w:t>Methodology</w:t>
      </w:r>
    </w:p>
    <w:p w14:paraId="60E161A4" w14:textId="77777777" w:rsidR="00D801FA" w:rsidRPr="0068488B" w:rsidRDefault="00D801FA"/>
    <w:p w14:paraId="416BBEDF" w14:textId="192C0980" w:rsidR="00D801FA" w:rsidRPr="0068488B" w:rsidRDefault="00EF105F" w:rsidP="00372EE3">
      <w:pPr>
        <w:outlineLvl w:val="0"/>
        <w:rPr>
          <w:i/>
        </w:rPr>
      </w:pPr>
      <w:r w:rsidRPr="0068488B">
        <w:rPr>
          <w:i/>
        </w:rPr>
        <w:t xml:space="preserve">2.1 </w:t>
      </w:r>
      <w:r w:rsidR="00D801FA" w:rsidRPr="0068488B">
        <w:rPr>
          <w:i/>
        </w:rPr>
        <w:t>Creating the index</w:t>
      </w:r>
      <w:r w:rsidR="00EB3DE3" w:rsidRPr="0068488B">
        <w:rPr>
          <w:i/>
        </w:rPr>
        <w:t xml:space="preserve"> ‘Access to Healthy Assets and Hazards’</w:t>
      </w:r>
      <w:r w:rsidR="00F03C8D" w:rsidRPr="0068488B">
        <w:rPr>
          <w:i/>
        </w:rPr>
        <w:t xml:space="preserve"> (AHAH)</w:t>
      </w:r>
    </w:p>
    <w:p w14:paraId="5D86593C" w14:textId="77777777" w:rsidR="00EF105F" w:rsidRPr="0068488B" w:rsidRDefault="00EF105F">
      <w:pPr>
        <w:rPr>
          <w:i/>
        </w:rPr>
      </w:pPr>
    </w:p>
    <w:p w14:paraId="061A460A" w14:textId="6421B13D" w:rsidR="00EF105F" w:rsidRPr="0068488B" w:rsidRDefault="00EF105F" w:rsidP="00372EE3">
      <w:pPr>
        <w:outlineLvl w:val="0"/>
        <w:rPr>
          <w:i/>
        </w:rPr>
      </w:pPr>
      <w:r w:rsidRPr="0068488B">
        <w:rPr>
          <w:i/>
        </w:rPr>
        <w:t>2.1.1 Data</w:t>
      </w:r>
      <w:r w:rsidR="00B70DD4" w:rsidRPr="0068488B">
        <w:rPr>
          <w:i/>
        </w:rPr>
        <w:t xml:space="preserve"> and indicators</w:t>
      </w:r>
    </w:p>
    <w:p w14:paraId="38FDAF0C" w14:textId="77777777" w:rsidR="00EF105F" w:rsidRPr="0068488B" w:rsidRDefault="00EF105F"/>
    <w:p w14:paraId="40C1E64A" w14:textId="3929C736" w:rsidR="0019791B" w:rsidRPr="0068488B" w:rsidRDefault="0066370E">
      <w:r w:rsidRPr="0068488B">
        <w:t xml:space="preserve">The </w:t>
      </w:r>
      <w:r w:rsidR="00AD35EA">
        <w:t xml:space="preserve">inclusion of variables was informed based on a </w:t>
      </w:r>
      <w:r w:rsidR="00D27802">
        <w:t>scoping exercise</w:t>
      </w:r>
      <w:r w:rsidR="00AD35EA">
        <w:t xml:space="preserve"> </w:t>
      </w:r>
      <w:r w:rsidR="002A04AB">
        <w:t xml:space="preserve">to identify environment features that </w:t>
      </w:r>
      <w:r w:rsidR="00D35D79">
        <w:t xml:space="preserve">had been shown to be </w:t>
      </w:r>
      <w:r w:rsidR="00E45E37">
        <w:t xml:space="preserve">associated </w:t>
      </w:r>
      <w:r w:rsidR="00327A8C">
        <w:t>to health and/or wellbeing</w:t>
      </w:r>
      <w:r w:rsidR="00D27802">
        <w:t xml:space="preserve"> within the literature</w:t>
      </w:r>
      <w:r w:rsidR="00491403">
        <w:t>, and with a clear direction of association</w:t>
      </w:r>
      <w:r w:rsidR="00933283" w:rsidRPr="0068488B">
        <w:t xml:space="preserve">. </w:t>
      </w:r>
      <w:r w:rsidR="0019791B" w:rsidRPr="0068488B">
        <w:t xml:space="preserve">We identified </w:t>
      </w:r>
      <w:r w:rsidR="00B05AFF" w:rsidRPr="0068488B">
        <w:t xml:space="preserve">nationally extensive </w:t>
      </w:r>
      <w:r w:rsidR="0019791B" w:rsidRPr="0068488B">
        <w:t xml:space="preserve">data </w:t>
      </w:r>
      <w:r w:rsidR="00B05AFF" w:rsidRPr="0068488B">
        <w:t xml:space="preserve">that could be compiled into </w:t>
      </w:r>
      <w:r w:rsidR="0019791B" w:rsidRPr="0068488B">
        <w:t>measure</w:t>
      </w:r>
      <w:r w:rsidR="00B05AFF" w:rsidRPr="0068488B">
        <w:t>s</w:t>
      </w:r>
      <w:r w:rsidR="0019791B" w:rsidRPr="0068488B">
        <w:t xml:space="preserve"> </w:t>
      </w:r>
      <w:r w:rsidR="00D23790" w:rsidRPr="0068488B">
        <w:t>related to</w:t>
      </w:r>
      <w:r w:rsidR="0019791B" w:rsidRPr="0068488B">
        <w:t xml:space="preserve"> </w:t>
      </w:r>
      <w:r w:rsidR="00426CA5">
        <w:t>our</w:t>
      </w:r>
      <w:r w:rsidR="00D27802">
        <w:t xml:space="preserve"> framework of </w:t>
      </w:r>
      <w:r w:rsidR="0019791B" w:rsidRPr="0068488B">
        <w:t>three domains of accessibility</w:t>
      </w:r>
      <w:r w:rsidR="00D23790" w:rsidRPr="0068488B">
        <w:t>:</w:t>
      </w:r>
      <w:r w:rsidR="0019791B" w:rsidRPr="0068488B">
        <w:t xml:space="preserve"> health services, retail outlets, and environmental quality. </w:t>
      </w:r>
    </w:p>
    <w:p w14:paraId="163EF6A5" w14:textId="77777777" w:rsidR="0019791B" w:rsidRPr="0068488B" w:rsidRDefault="0019791B"/>
    <w:p w14:paraId="559D7090" w14:textId="15BE1F98" w:rsidR="00256C42" w:rsidRPr="0068488B" w:rsidRDefault="00671EC5">
      <w:r w:rsidRPr="0068488B">
        <w:t xml:space="preserve">Data on retail </w:t>
      </w:r>
      <w:r w:rsidR="0019791B" w:rsidRPr="0068488B">
        <w:t>outlets</w:t>
      </w:r>
      <w:r w:rsidRPr="0068488B">
        <w:t xml:space="preserve"> were acquired from </w:t>
      </w:r>
      <w:r w:rsidR="00DA624C" w:rsidRPr="0068488B">
        <w:t>the ‘Local Data Company’ (LDC)</w:t>
      </w:r>
      <w:r w:rsidR="00EF0FDA" w:rsidRPr="0068488B">
        <w:t xml:space="preserve"> who provide a rolling and nationally extensive survey of </w:t>
      </w:r>
      <w:r w:rsidR="0019791B" w:rsidRPr="0068488B">
        <w:t xml:space="preserve">retail outlets for Great Britain in 2016. </w:t>
      </w:r>
      <w:r w:rsidR="00AD2B2B" w:rsidRPr="0068488B">
        <w:t xml:space="preserve">The data are collected via a combination of </w:t>
      </w:r>
      <w:r w:rsidR="00256C42" w:rsidRPr="0068488B">
        <w:t>administrative databases and continuous field work to validate and update outlets</w:t>
      </w:r>
      <w:r w:rsidR="00AD2B2B" w:rsidRPr="0068488B">
        <w:t xml:space="preserve">. </w:t>
      </w:r>
      <w:r w:rsidR="00EF0FDA" w:rsidRPr="0068488B">
        <w:t xml:space="preserve">They </w:t>
      </w:r>
      <w:r w:rsidR="0019791B" w:rsidRPr="0068488B">
        <w:t xml:space="preserve">included the location of an outlet (full address) and a classification of </w:t>
      </w:r>
      <w:r w:rsidR="00256C42" w:rsidRPr="0068488B">
        <w:t xml:space="preserve">the outlet </w:t>
      </w:r>
      <w:r w:rsidR="00EF0FDA" w:rsidRPr="0068488B">
        <w:t>type</w:t>
      </w:r>
      <w:r w:rsidR="00256C42" w:rsidRPr="0068488B">
        <w:t>. Using the data, we identified all (</w:t>
      </w:r>
      <w:proofErr w:type="spellStart"/>
      <w:r w:rsidR="00256C42" w:rsidRPr="0068488B">
        <w:t>i</w:t>
      </w:r>
      <w:proofErr w:type="spellEnd"/>
      <w:r w:rsidR="00256C42" w:rsidRPr="0068488B">
        <w:t>) fast food outlets, (ii) pubs, bars and nightclubs, (iii) off-licenses, (iv) tobacconists, (v) gambling outlets. For all postcodes in Great Britain, we calculated the road network distance</w:t>
      </w:r>
      <w:r w:rsidR="001B63F7" w:rsidRPr="0068488B">
        <w:t xml:space="preserve"> (km) </w:t>
      </w:r>
      <w:r w:rsidR="00256C42" w:rsidRPr="0068488B">
        <w:t xml:space="preserve">to the nearest of each service using </w:t>
      </w:r>
      <w:r w:rsidR="00CB2C53" w:rsidRPr="0068488B">
        <w:t>the open</w:t>
      </w:r>
      <w:r w:rsidR="0064110C" w:rsidRPr="0068488B">
        <w:t xml:space="preserve"> </w:t>
      </w:r>
      <w:r w:rsidR="00CB2C53" w:rsidRPr="0068488B">
        <w:t xml:space="preserve">source software </w:t>
      </w:r>
      <w:r w:rsidR="00256C42" w:rsidRPr="0068488B">
        <w:t>‘</w:t>
      </w:r>
      <w:proofErr w:type="spellStart"/>
      <w:r w:rsidR="00256C42" w:rsidRPr="0068488B">
        <w:t>Routino</w:t>
      </w:r>
      <w:proofErr w:type="spellEnd"/>
      <w:r w:rsidR="00256C42" w:rsidRPr="0068488B">
        <w:t xml:space="preserve">’ </w:t>
      </w:r>
      <w:r w:rsidR="00CB2C53" w:rsidRPr="0068488B">
        <w:t>(</w:t>
      </w:r>
      <w:hyperlink r:id="rId10" w:history="1">
        <w:r w:rsidR="00C437DF" w:rsidRPr="00BA2BBA">
          <w:rPr>
            <w:rStyle w:val="Hyperlink"/>
          </w:rPr>
          <w:t>www.routino.org</w:t>
        </w:r>
      </w:hyperlink>
      <w:r w:rsidR="00CB2C53" w:rsidRPr="0068488B">
        <w:t>)</w:t>
      </w:r>
      <w:r w:rsidR="00821FD0">
        <w:t>,</w:t>
      </w:r>
      <w:r w:rsidR="00CB2C53" w:rsidRPr="0068488B">
        <w:t xml:space="preserve"> wh</w:t>
      </w:r>
      <w:r w:rsidR="00862FB6" w:rsidRPr="0068488B">
        <w:t>ich integrates with an extract of</w:t>
      </w:r>
      <w:r w:rsidR="00CB2C53" w:rsidRPr="0068488B">
        <w:t xml:space="preserve"> </w:t>
      </w:r>
      <w:r w:rsidR="00256C42" w:rsidRPr="0068488B">
        <w:t>‘</w:t>
      </w:r>
      <w:proofErr w:type="spellStart"/>
      <w:r w:rsidR="00256C42" w:rsidRPr="0068488B">
        <w:t>OpenStreetMap</w:t>
      </w:r>
      <w:proofErr w:type="spellEnd"/>
      <w:r w:rsidR="00256C42" w:rsidRPr="0068488B">
        <w:t xml:space="preserve">’ </w:t>
      </w:r>
      <w:r w:rsidR="00862FB6" w:rsidRPr="0068488B">
        <w:t xml:space="preserve">that details the </w:t>
      </w:r>
      <w:r w:rsidR="00256C42" w:rsidRPr="0068488B">
        <w:t xml:space="preserve">road network. </w:t>
      </w:r>
    </w:p>
    <w:p w14:paraId="17D6889A" w14:textId="77777777" w:rsidR="00256C42" w:rsidRPr="0068488B" w:rsidRDefault="00256C42"/>
    <w:p w14:paraId="7C9A6D71" w14:textId="213A64CC" w:rsidR="00ED3BD6" w:rsidRPr="0068488B" w:rsidRDefault="00256C42">
      <w:r w:rsidRPr="0068488B">
        <w:t xml:space="preserve">Data on the location of health services </w:t>
      </w:r>
      <w:r w:rsidR="00733F29" w:rsidRPr="0068488B">
        <w:t xml:space="preserve">in 2016 </w:t>
      </w:r>
      <w:r w:rsidRPr="0068488B">
        <w:t xml:space="preserve">were acquired from multiple sources. </w:t>
      </w:r>
      <w:r w:rsidR="00733F29" w:rsidRPr="0068488B">
        <w:t>Fo</w:t>
      </w:r>
      <w:r w:rsidR="009110BA" w:rsidRPr="0068488B">
        <w:t>r England and Wales</w:t>
      </w:r>
      <w:r w:rsidR="00733F29" w:rsidRPr="0068488B">
        <w:t xml:space="preserve">, </w:t>
      </w:r>
      <w:r w:rsidR="009110BA" w:rsidRPr="0068488B">
        <w:t xml:space="preserve">the location of GP practices, hospitals with an accident and emergency </w:t>
      </w:r>
      <w:r w:rsidR="008C6AEA" w:rsidRPr="0068488B">
        <w:t>(A&amp;E) department, pharmacies and dentists were supplied by NHS Digital</w:t>
      </w:r>
      <w:r w:rsidR="009110BA" w:rsidRPr="0068488B">
        <w:t>. The equivalent data for Scotland were acquired from the Information Services Division (ISD) in NHS Scotland.</w:t>
      </w:r>
      <w:r w:rsidR="008C6AEA" w:rsidRPr="0068488B">
        <w:t xml:space="preserve"> </w:t>
      </w:r>
      <w:r w:rsidR="00B70DD4" w:rsidRPr="0068488B">
        <w:t xml:space="preserve">We also included </w:t>
      </w:r>
      <w:r w:rsidR="008C6AEA" w:rsidRPr="0068488B">
        <w:t>data on the location of</w:t>
      </w:r>
      <w:r w:rsidR="00B70DD4" w:rsidRPr="0068488B">
        <w:t xml:space="preserve"> </w:t>
      </w:r>
      <w:r w:rsidR="00ED1A97" w:rsidRPr="0068488B">
        <w:t xml:space="preserve">private </w:t>
      </w:r>
      <w:r w:rsidR="00B70DD4" w:rsidRPr="0068488B">
        <w:t>leisure service</w:t>
      </w:r>
      <w:r w:rsidR="008C6AEA" w:rsidRPr="0068488B">
        <w:t>s</w:t>
      </w:r>
      <w:r w:rsidR="00B70DD4" w:rsidRPr="0068488B">
        <w:t xml:space="preserve"> (e.g. gym, sports hall) among these indicators. </w:t>
      </w:r>
      <w:r w:rsidR="009D1619" w:rsidRPr="0068488B">
        <w:t xml:space="preserve">While not a traditional health service, it is a retail outlet that </w:t>
      </w:r>
      <w:r w:rsidR="009D1619" w:rsidRPr="0068488B">
        <w:lastRenderedPageBreak/>
        <w:t>offers health promotion facilities.</w:t>
      </w:r>
      <w:r w:rsidR="009110BA" w:rsidRPr="0068488B">
        <w:t xml:space="preserve"> </w:t>
      </w:r>
      <w:r w:rsidR="002E6351">
        <w:t>We calculated the road network distance of a postcode to the nearest of each service.</w:t>
      </w:r>
    </w:p>
    <w:p w14:paraId="4B6575F8" w14:textId="77777777" w:rsidR="00ED3BD6" w:rsidRPr="0068488B" w:rsidRDefault="00ED3BD6"/>
    <w:p w14:paraId="78312782" w14:textId="7A255ACC" w:rsidR="00ED3BD6" w:rsidRPr="0068488B" w:rsidRDefault="00B70DD4">
      <w:r w:rsidRPr="0068488B">
        <w:t xml:space="preserve">The final domain, environmental quality, included data from two sources. The location of green space was identified from </w:t>
      </w:r>
      <w:r w:rsidR="00F97B53" w:rsidRPr="0068488B">
        <w:t>‘</w:t>
      </w:r>
      <w:proofErr w:type="spellStart"/>
      <w:r w:rsidRPr="0068488B">
        <w:t>OpenStreetMap</w:t>
      </w:r>
      <w:proofErr w:type="spellEnd"/>
      <w:r w:rsidR="00F97B53" w:rsidRPr="0068488B">
        <w:t>’</w:t>
      </w:r>
      <w:r w:rsidR="00AB5B42" w:rsidRPr="0068488B">
        <w:t xml:space="preserve"> (2017)</w:t>
      </w:r>
      <w:r w:rsidR="00F97B53" w:rsidRPr="0068488B">
        <w:t>. W</w:t>
      </w:r>
      <w:r w:rsidR="00B81774" w:rsidRPr="0068488B">
        <w:t xml:space="preserve">e </w:t>
      </w:r>
      <w:r w:rsidR="003E1690" w:rsidRPr="0068488B">
        <w:t xml:space="preserve">extracted the location of all ‘accessible’ green space (i.e. </w:t>
      </w:r>
      <w:r w:rsidR="00B81774" w:rsidRPr="0068488B">
        <w:t xml:space="preserve">that </w:t>
      </w:r>
      <w:r w:rsidR="003E1690" w:rsidRPr="0068488B">
        <w:t xml:space="preserve">is open to the public) </w:t>
      </w:r>
      <w:r w:rsidR="00B81774" w:rsidRPr="0068488B">
        <w:t>by utilising the</w:t>
      </w:r>
      <w:r w:rsidR="003E1690" w:rsidRPr="0068488B">
        <w:t xml:space="preserve"> following </w:t>
      </w:r>
      <w:r w:rsidR="00B81774" w:rsidRPr="0068488B">
        <w:t>“</w:t>
      </w:r>
      <w:r w:rsidR="003E1690" w:rsidRPr="0068488B">
        <w:t>tags</w:t>
      </w:r>
      <w:r w:rsidR="00B81774" w:rsidRPr="0068488B">
        <w:t>”</w:t>
      </w:r>
      <w:r w:rsidR="003E1690" w:rsidRPr="0068488B">
        <w:t>: cemetery, common, dog park, scrub, fell, forest, garden, greenfield, golf course, grass, grassland, heath, meadow, nature reserve, orchard, park, pitch, recreation ground, village green, vineyard and wood. We then defined the amount of green space within a 900m</w:t>
      </w:r>
      <w:r w:rsidR="003E1690" w:rsidRPr="0068488B">
        <w:rPr>
          <w:vertAlign w:val="superscript"/>
        </w:rPr>
        <w:t>2</w:t>
      </w:r>
      <w:r w:rsidR="003E1690" w:rsidRPr="0068488B">
        <w:t xml:space="preserve"> buffer of a postcode</w:t>
      </w:r>
      <w:r w:rsidR="00BC57A0" w:rsidRPr="0068488B">
        <w:t>. The buffer size was based on the recommendation by the European Environment Agency as the maximum distance individuals should be located from green space</w:t>
      </w:r>
      <w:r w:rsidR="0084144A" w:rsidRPr="0068488B">
        <w:t xml:space="preserve"> </w:t>
      </w:r>
      <w:r w:rsidR="0084144A" w:rsidRPr="0068488B">
        <w:fldChar w:fldCharType="begin" w:fldLock="1"/>
      </w:r>
      <w:r w:rsidR="0084144A" w:rsidRPr="0068488B">
        <w:instrText>ADDIN CSL_CITATION { "citationItems" : [ { "id" : "ITEM-1", "itemData" : { "author" : [ { "dropping-particle" : "", "family" : "Stanners", "given" : "D", "non-dropping-particle" : "", "parse-names" : false, "suffix" : "" }, { "dropping-particle" : "", "family" : "Bourdeau", "given" : "P", "non-dropping-particle" : "", "parse-names" : false, "suffix" : "" } ], "container-title" : "Europe\u2019s Environment: The Dobr\u0131s Assessment", "editor" : [ { "dropping-particle" : "", "family" : "Stanners", "given" : "D", "non-dropping-particle" : "", "parse-names" : false, "suffix" : "" }, { "dropping-particle" : "", "family" : "Bourdeau", "given" : "P", "non-dropping-particle" : "", "parse-names" : false, "suffix" : "" } ], "id" : "ITEM-1", "issued" : { "date-parts" : [ [ "1995" ] ] }, "publisher" : "European Environment Agency", "publisher-place" : "Copenhagen", "title" : "The urban environment", "type" : "chapter" }, "uris" : [ "http://www.mendeley.com/documents/?uuid=5adca67c-9ac1-42d0-abda-132980f1344a" ] } ], "mendeley" : { "formattedCitation" : "(Stanners and Bourdeau, 1995)", "plainTextFormattedCitation" : "(Stanners and Bourdeau, 1995)", "previouslyFormattedCitation" : "(Stanners and Bourdeau, 1995)" }, "properties" : {  }, "schema" : "https://github.com/citation-style-language/schema/raw/master/csl-citation.json" }</w:instrText>
      </w:r>
      <w:r w:rsidR="0084144A" w:rsidRPr="0068488B">
        <w:fldChar w:fldCharType="separate"/>
      </w:r>
      <w:r w:rsidR="0084144A" w:rsidRPr="0068488B">
        <w:rPr>
          <w:noProof/>
        </w:rPr>
        <w:t>(Stanners and Bourdeau, 1995)</w:t>
      </w:r>
      <w:r w:rsidR="0084144A" w:rsidRPr="0068488B">
        <w:fldChar w:fldCharType="end"/>
      </w:r>
      <w:r w:rsidR="00BC57A0" w:rsidRPr="0068488B">
        <w:t xml:space="preserve">. </w:t>
      </w:r>
    </w:p>
    <w:p w14:paraId="06080452" w14:textId="77777777" w:rsidR="00ED3BD6" w:rsidRPr="0068488B" w:rsidRDefault="00ED3BD6"/>
    <w:p w14:paraId="2C15D196" w14:textId="7E1C4451" w:rsidR="00166B96" w:rsidRPr="0068488B" w:rsidRDefault="00E37A3C">
      <w:r w:rsidRPr="0068488B">
        <w:t xml:space="preserve">Measures of air </w:t>
      </w:r>
      <w:r w:rsidR="00B70DD4" w:rsidRPr="0068488B">
        <w:t xml:space="preserve">quality were calculated using </w:t>
      </w:r>
      <w:r w:rsidR="00AB5B42" w:rsidRPr="0068488B">
        <w:t xml:space="preserve">2016 </w:t>
      </w:r>
      <w:r w:rsidR="00B70DD4" w:rsidRPr="0068488B">
        <w:t xml:space="preserve">modelled estimates </w:t>
      </w:r>
      <w:r w:rsidRPr="0068488B">
        <w:t xml:space="preserve">extracted from data </w:t>
      </w:r>
      <w:r w:rsidR="00B70DD4" w:rsidRPr="0068488B">
        <w:t xml:space="preserve">provided by DEFRA </w:t>
      </w:r>
      <w:r w:rsidR="0084144A" w:rsidRPr="0068488B">
        <w:fldChar w:fldCharType="begin" w:fldLock="1"/>
      </w:r>
      <w:r w:rsidR="007D0A42" w:rsidRPr="0068488B">
        <w:instrText>ADDIN CSL_CITATION { "citationItems" : [ { "id" : "ITEM-1", "itemData" : { "URL" : "https://uk-air.defra.gov.uk/assets/documents/reports/cat09/1611011538_AQ0650_2014_MAAQ_technical_report.pdf", "author" : [ { "dropping-particle" : "", "family" : "Brookes", "given" : "D", "non-dropping-particle" : "", "parse-names" : false, "suffix" : "" }, { "dropping-particle" : "", "family" : "Stedman", "given" : "J", "non-dropping-particle" : "", "parse-names" : false, "suffix" : "" }, { "dropping-particle" : "", "family" : "Kent", "given" : "A", "non-dropping-particle" : "", "parse-names" : false, "suffix" : "" }, { "dropping-particle" : "", "family" : "Morris", "given" : "R", "non-dropping-particle" : "", "parse-names" : false, "suffix" : "" }, { "dropping-particle" : "", "family" : "Cooke", "given" : "S", "non-dropping-particle" : "", "parse-names" : false, "suffix" : "" }, { "dropping-particle" : "", "family" : "Lingard", "given" : "J", "non-dropping-particle" : "", "parse-names" : false, "suffix" : "" }, { "dropping-particle" : "", "family" : "Rose", "given" : "R", "non-dropping-particle" : "", "parse-names" : false, "suffix" : "" }, { "dropping-particle" : "", "family" : "Vincent", "given" : "K", "non-dropping-particle" : "", "parse-names" : false, "suffix" : "" }, { "dropping-particle" : "", "family" : "Bush", "given" : "T", "non-dropping-particle" : "", "parse-names" : false, "suffix" : "" }, { "dropping-particle" : "", "family" : "Abbott", "given" : "J", "non-dropping-particle" : "", "parse-names" : false, "suffix" : "" } ], "id" : "ITEM-1", "issued" : { "date-parts" : [ [ "2016" ] ] }, "title" : "Technical report on UK supplementary assessment under the Air Quality Directive (2008/50/EC), the Air Quality Framework Directive (96/62/EC) and Fourth Daughter Directive (2004/107/EC) for 2014.", "type" : "webpage" }, "uris" : [ "http://www.mendeley.com/documents/?uuid=9afd0379-e24f-4c8c-a504-5a89bb8336ed" ] } ], "mendeley" : { "formattedCitation" : "(Brookes &lt;i&gt;et al.&lt;/i&gt;, 2016)", "plainTextFormattedCitation" : "(Brookes et al., 2016)", "previouslyFormattedCitation" : "(Brookes &lt;i&gt;et al.&lt;/i&gt;, 2016)" }, "properties" : {  }, "schema" : "https://github.com/citation-style-language/schema/raw/master/csl-citation.json" }</w:instrText>
      </w:r>
      <w:r w:rsidR="0084144A" w:rsidRPr="0068488B">
        <w:fldChar w:fldCharType="separate"/>
      </w:r>
      <w:r w:rsidR="007D0A42" w:rsidRPr="0068488B">
        <w:rPr>
          <w:noProof/>
        </w:rPr>
        <w:t xml:space="preserve">(Brookes </w:t>
      </w:r>
      <w:r w:rsidR="007D0A42" w:rsidRPr="0068488B">
        <w:rPr>
          <w:i/>
          <w:noProof/>
        </w:rPr>
        <w:t>et al.</w:t>
      </w:r>
      <w:r w:rsidR="007D0A42" w:rsidRPr="0068488B">
        <w:rPr>
          <w:noProof/>
        </w:rPr>
        <w:t>, 2016)</w:t>
      </w:r>
      <w:r w:rsidR="0084144A" w:rsidRPr="0068488B">
        <w:fldChar w:fldCharType="end"/>
      </w:r>
      <w:r w:rsidR="00B70DD4" w:rsidRPr="0068488B">
        <w:t xml:space="preserve">, </w:t>
      </w:r>
      <w:r w:rsidRPr="0068488B">
        <w:t>which are created as an extrapolation from</w:t>
      </w:r>
      <w:r w:rsidR="00B70DD4" w:rsidRPr="0068488B">
        <w:t xml:space="preserve"> a combination of</w:t>
      </w:r>
      <w:r w:rsidR="00D8221E" w:rsidRPr="0068488B">
        <w:t xml:space="preserve"> 1500 </w:t>
      </w:r>
      <w:r w:rsidR="00B70DD4" w:rsidRPr="0068488B">
        <w:t xml:space="preserve">monitoring sites and </w:t>
      </w:r>
      <w:r w:rsidRPr="0068488B">
        <w:t>drawing upon</w:t>
      </w:r>
      <w:r w:rsidR="00B70DD4" w:rsidRPr="0068488B">
        <w:t xml:space="preserve"> the location of industry, houses and </w:t>
      </w:r>
      <w:r w:rsidRPr="0068488B">
        <w:t xml:space="preserve">the </w:t>
      </w:r>
      <w:r w:rsidR="00B70DD4" w:rsidRPr="0068488B">
        <w:t>road network. Annual estimates of a variety of pollutants are estimated at a 1x1km</w:t>
      </w:r>
      <w:r w:rsidR="00B70DD4" w:rsidRPr="0068488B">
        <w:rPr>
          <w:vertAlign w:val="superscript"/>
        </w:rPr>
        <w:t>2</w:t>
      </w:r>
      <w:r w:rsidR="00B70DD4" w:rsidRPr="0068488B">
        <w:t xml:space="preserve"> gridded resolution for Great Britain. We inc</w:t>
      </w:r>
      <w:r w:rsidR="005F12E2" w:rsidRPr="0068488B">
        <w:t>luded data on Sulphur Dioxide (SO</w:t>
      </w:r>
      <w:r w:rsidR="005F12E2" w:rsidRPr="0068488B">
        <w:rPr>
          <w:vertAlign w:val="subscript"/>
        </w:rPr>
        <w:t>2</w:t>
      </w:r>
      <w:r w:rsidR="005F12E2" w:rsidRPr="0068488B">
        <w:t>), Nitr</w:t>
      </w:r>
      <w:r w:rsidR="00607F0F" w:rsidRPr="0068488B">
        <w:t>o</w:t>
      </w:r>
      <w:r w:rsidR="005F12E2" w:rsidRPr="0068488B">
        <w:t>gen Dioxide (NO</w:t>
      </w:r>
      <w:r w:rsidR="005F12E2" w:rsidRPr="0068488B">
        <w:rPr>
          <w:vertAlign w:val="subscript"/>
        </w:rPr>
        <w:t>2</w:t>
      </w:r>
      <w:r w:rsidR="005F12E2" w:rsidRPr="0068488B">
        <w:t>) and Particulate Matter</w:t>
      </w:r>
      <w:r w:rsidR="00ED3BD6" w:rsidRPr="0068488B">
        <w:t xml:space="preserve"> &lt;10μm (PM</w:t>
      </w:r>
      <w:r w:rsidR="00ED3BD6" w:rsidRPr="0068488B">
        <w:rPr>
          <w:vertAlign w:val="subscript"/>
        </w:rPr>
        <w:t>10</w:t>
      </w:r>
      <w:r w:rsidR="00ED3BD6" w:rsidRPr="0068488B">
        <w:t>)</w:t>
      </w:r>
      <w:r w:rsidR="00C959E3" w:rsidRPr="0068488B">
        <w:t>.</w:t>
      </w:r>
      <w:r w:rsidR="005F12E2" w:rsidRPr="0068488B">
        <w:t xml:space="preserve"> </w:t>
      </w:r>
      <w:r w:rsidR="00166B96" w:rsidRPr="0068488B">
        <w:t>Other pollutants were not included due to their collinearity</w:t>
      </w:r>
      <w:r w:rsidRPr="0068488B">
        <w:t>,</w:t>
      </w:r>
      <w:r w:rsidR="00166B96" w:rsidRPr="0068488B">
        <w:t xml:space="preserve"> and as such they added little to our measure.</w:t>
      </w:r>
      <w:r w:rsidR="00ED3BD6" w:rsidRPr="0068488B">
        <w:t xml:space="preserve"> </w:t>
      </w:r>
    </w:p>
    <w:p w14:paraId="37102775" w14:textId="77777777" w:rsidR="00AB5B42" w:rsidRPr="0068488B" w:rsidRDefault="00AB5B42"/>
    <w:p w14:paraId="01C6730C" w14:textId="426416C2" w:rsidR="00AB5B42" w:rsidRPr="0068488B" w:rsidRDefault="00AB5B42">
      <w:r w:rsidRPr="0068488B">
        <w:t>For all indicators, we aggregated the data (by taking the mean value) to small geographical areas to broaden the applicability</w:t>
      </w:r>
      <w:r w:rsidR="0084144A" w:rsidRPr="0068488B">
        <w:t xml:space="preserve"> of each indicator</w:t>
      </w:r>
      <w:r w:rsidRPr="0068488B">
        <w:t>. For public dissemination</w:t>
      </w:r>
      <w:r w:rsidR="0084144A" w:rsidRPr="0068488B">
        <w:t>,</w:t>
      </w:r>
      <w:r w:rsidRPr="0068488B">
        <w:t xml:space="preserve"> we selected Lower Super Output Areas (LSOAs) since they are the smallest zones (mean population 1500) routinely used by policy makers, and enable the created inputs and index to be compared to a range of other indicators. LSOAs are</w:t>
      </w:r>
      <w:r w:rsidR="0084144A" w:rsidRPr="0068488B">
        <w:t>,</w:t>
      </w:r>
      <w:r w:rsidRPr="0068488B">
        <w:t xml:space="preserve"> however</w:t>
      </w:r>
      <w:r w:rsidR="0084144A" w:rsidRPr="0068488B">
        <w:t>,</w:t>
      </w:r>
      <w:r w:rsidRPr="0068488B">
        <w:t xml:space="preserve"> only available for England and </w:t>
      </w:r>
      <w:r w:rsidR="00F978A3">
        <w:t xml:space="preserve">Wales; </w:t>
      </w:r>
      <w:r w:rsidRPr="0068488B">
        <w:t>we opted to use Data Zones (DZs) for Scotland which are equivalent zones, albeit smaller (population range 500-1000).</w:t>
      </w:r>
      <w:r w:rsidR="00965EBB">
        <w:t xml:space="preserve"> For both </w:t>
      </w:r>
      <w:r w:rsidR="00E27ECF">
        <w:t>geographies</w:t>
      </w:r>
      <w:r w:rsidR="00965EBB">
        <w:t>, we used their 2011 versions.</w:t>
      </w:r>
    </w:p>
    <w:p w14:paraId="13BF7E20" w14:textId="77777777" w:rsidR="00EB3DE3" w:rsidRPr="0068488B" w:rsidRDefault="00EB3DE3">
      <w:pPr>
        <w:rPr>
          <w:i/>
        </w:rPr>
      </w:pPr>
    </w:p>
    <w:p w14:paraId="773128C9" w14:textId="30A279A6" w:rsidR="00EF105F" w:rsidRPr="0068488B" w:rsidRDefault="00EF105F" w:rsidP="00372EE3">
      <w:pPr>
        <w:outlineLvl w:val="0"/>
        <w:rPr>
          <w:i/>
        </w:rPr>
      </w:pPr>
      <w:r w:rsidRPr="0068488B">
        <w:rPr>
          <w:i/>
        </w:rPr>
        <w:t xml:space="preserve">2.1.2 </w:t>
      </w:r>
      <w:r w:rsidR="00B70DD4" w:rsidRPr="0068488B">
        <w:rPr>
          <w:i/>
        </w:rPr>
        <w:t>Creating AHAH</w:t>
      </w:r>
    </w:p>
    <w:p w14:paraId="33F6A786" w14:textId="77777777" w:rsidR="00D801FA" w:rsidRPr="0068488B" w:rsidRDefault="00D801FA"/>
    <w:p w14:paraId="3E709258" w14:textId="0C25487B" w:rsidR="00CD12CF" w:rsidRPr="0068488B" w:rsidRDefault="00FD1F9D">
      <w:r w:rsidRPr="0068488B">
        <w:t xml:space="preserve">Given wide stakeholder familiarity and adoption of the IMD, </w:t>
      </w:r>
      <w:r w:rsidR="00CA012B" w:rsidRPr="0068488B">
        <w:t xml:space="preserve">we </w:t>
      </w:r>
      <w:r w:rsidR="00CD12CF" w:rsidRPr="0068488B">
        <w:t xml:space="preserve">adapted </w:t>
      </w:r>
      <w:r w:rsidRPr="0068488B">
        <w:t xml:space="preserve">this </w:t>
      </w:r>
      <w:r w:rsidR="00CD12CF" w:rsidRPr="0068488B">
        <w:t xml:space="preserve">approach </w:t>
      </w:r>
      <w:r w:rsidRPr="0068488B">
        <w:t xml:space="preserve">to </w:t>
      </w:r>
      <w:r w:rsidR="00957FC7" w:rsidRPr="0068488B">
        <w:t xml:space="preserve">create </w:t>
      </w:r>
      <w:r w:rsidRPr="0068488B">
        <w:t xml:space="preserve">the AHAH index </w:t>
      </w:r>
      <w:r w:rsidR="009D463A" w:rsidRPr="0068488B">
        <w:fldChar w:fldCharType="begin" w:fldLock="1"/>
      </w:r>
      <w:r w:rsidR="00C40B1E" w:rsidRPr="0068488B">
        <w:instrText>ADDIN CSL_CITATION { "citationItems" : [ { "id" : "ITEM-1", "itemData" : { "URL" : "https://www.gov.uk/government/publications/english-indices-of-deprivation-2015-technical-report", "accessed" : { "date-parts" : [ [ "2016", "12", "10" ] ] }, "author" : [ { "dropping-particle" : "", "family" : "Smith", "given" : "T", "non-dropping-particle" : "", "parse-names" : false, "suffix" : "" }, { "dropping-particle" : "", "family" : "Noble", "given" : "M", "non-dropping-particle" : "", "parse-names" : false, "suffix" : "" }, { "dropping-particle" : "", "family" : "Noble", "given" : "S", "non-dropping-particle" : "", "parse-names" : false, "suffix" : "" }, { "dropping-particle" : "", "family" : "Wright", "given" : "G", "non-dropping-particle" : "", "parse-names" : false, "suffix" : "" }, { "dropping-particle" : "", "family" : "McLennan", "given" : "D", "non-dropping-particle" : "", "parse-names" : false, "suffix" : "" }, { "dropping-particle" : "", "family" : "Plunkett", "given" : "E", "non-dropping-particle" : "", "parse-names" : false, "suffix" : "" } ], "id" : "ITEM-1", "issued" : { "date-parts" : [ [ "2015" ] ] }, "title" : "The English Indices of Deprivation 2015", "type" : "webpage" }, "uris" : [ "http://www.mendeley.com/documents/?uuid=4832b26f-15cd-4538-89f1-65a2d1a69946" ] } ], "mendeley" : { "formattedCitation" : "(Smith &lt;i&gt;et al.&lt;/i&gt;, 2015)", "plainTextFormattedCitation" : "(Smith et al., 2015)", "previouslyFormattedCitation" : "(Smith &lt;i&gt;et al.&lt;/i&gt;, 2015)" }, "properties" : {  }, "schema" : "https://github.com/citation-style-language/schema/raw/master/csl-citation.json" }</w:instrText>
      </w:r>
      <w:r w:rsidR="009D463A" w:rsidRPr="0068488B">
        <w:fldChar w:fldCharType="separate"/>
      </w:r>
      <w:r w:rsidR="009D463A" w:rsidRPr="0068488B">
        <w:rPr>
          <w:noProof/>
        </w:rPr>
        <w:t xml:space="preserve">(Smith </w:t>
      </w:r>
      <w:r w:rsidR="009D463A" w:rsidRPr="0068488B">
        <w:rPr>
          <w:i/>
          <w:noProof/>
        </w:rPr>
        <w:t>et al.</w:t>
      </w:r>
      <w:r w:rsidR="009D463A" w:rsidRPr="0068488B">
        <w:rPr>
          <w:noProof/>
        </w:rPr>
        <w:t>, 2015)</w:t>
      </w:r>
      <w:r w:rsidR="009D463A" w:rsidRPr="0068488B">
        <w:fldChar w:fldCharType="end"/>
      </w:r>
      <w:r w:rsidR="00CD12CF" w:rsidRPr="0068488B">
        <w:t>.</w:t>
      </w:r>
      <w:r w:rsidR="00CC77BD" w:rsidRPr="0068488B">
        <w:t xml:space="preserve"> Each indicator was standardised </w:t>
      </w:r>
      <w:r w:rsidR="00812AA0" w:rsidRPr="0068488B">
        <w:t xml:space="preserve">due to differences in their distributions and units </w:t>
      </w:r>
      <w:r w:rsidR="00CC77BD" w:rsidRPr="0068488B">
        <w:t xml:space="preserve">through ranking </w:t>
      </w:r>
      <w:r w:rsidRPr="0068488B">
        <w:t xml:space="preserve">of </w:t>
      </w:r>
      <w:r w:rsidR="00CC77BD" w:rsidRPr="0068488B">
        <w:t xml:space="preserve">LSOAs from </w:t>
      </w:r>
      <w:r w:rsidR="00D818D1">
        <w:t>most to least ‘healthiest’ (based on hypothesised directions</w:t>
      </w:r>
      <w:r w:rsidR="000F6796">
        <w:t xml:space="preserve"> – see Table B1 in Appendix B)</w:t>
      </w:r>
      <w:r w:rsidR="00CC77BD" w:rsidRPr="0068488B">
        <w:t xml:space="preserve">. </w:t>
      </w:r>
      <w:r w:rsidR="00957FC7" w:rsidRPr="0068488B">
        <w:t>In sum, e</w:t>
      </w:r>
      <w:r w:rsidR="00CC77BD" w:rsidRPr="0068488B">
        <w:t xml:space="preserve">ach of the indicators in the retail domain and the air quality measures were defined as health-negating, and all of the health services indicators and green space measure </w:t>
      </w:r>
      <w:r w:rsidR="00A237F8" w:rsidRPr="0068488B">
        <w:t xml:space="preserve">were </w:t>
      </w:r>
      <w:r w:rsidR="00CC77BD" w:rsidRPr="0068488B">
        <w:t xml:space="preserve">health promoting. </w:t>
      </w:r>
      <w:r w:rsidR="005F6CEA" w:rsidRPr="0068488B">
        <w:t xml:space="preserve">Each standardised variable was transformed </w:t>
      </w:r>
      <w:r w:rsidR="00614285" w:rsidRPr="0068488B">
        <w:t xml:space="preserve">using the </w:t>
      </w:r>
      <w:proofErr w:type="spellStart"/>
      <w:r w:rsidR="008D2C66" w:rsidRPr="0068488B">
        <w:t>Rankit</w:t>
      </w:r>
      <w:proofErr w:type="spellEnd"/>
      <w:r w:rsidR="008D2C66" w:rsidRPr="0068488B">
        <w:t xml:space="preserve"> method which approximates </w:t>
      </w:r>
      <w:r w:rsidR="005C30CA" w:rsidRPr="0068488B">
        <w:t xml:space="preserve">a </w:t>
      </w:r>
      <w:r w:rsidR="005F6CEA" w:rsidRPr="0068488B">
        <w:t>standard normal distribution</w:t>
      </w:r>
      <w:r w:rsidR="00812AA0" w:rsidRPr="0068488B">
        <w:t xml:space="preserve"> </w:t>
      </w:r>
      <w:r w:rsidR="00812AA0" w:rsidRPr="0068488B">
        <w:fldChar w:fldCharType="begin" w:fldLock="1"/>
      </w:r>
      <w:r w:rsidR="00812AA0" w:rsidRPr="0068488B">
        <w:instrText>ADDIN CSL_CITATION { "citationItems" : [ { "id" : "ITEM-1", "itemData" : { "author" : [ { "dropping-particle" : "", "family" : "Dunn-Rankin", "given" : "P", "non-dropping-particle" : "", "parse-names" : false, "suffix" : "" } ], "id" : "ITEM-1", "issued" : { "date-parts" : [ [ "1983" ] ] }, "publisher" : "Lawrence Erlbaum Associates.", "publisher-place" : "Hillsdale", "title" : "Scaling methods", "type" : "book" }, "uris" : [ "http://www.mendeley.com/documents/?uuid=3ec7dc84-ec30-4c01-9d2e-09cf3c92ce67" ] } ], "mendeley" : { "formattedCitation" : "(Dunn-Rankin, 1983)", "plainTextFormattedCitation" : "(Dunn-Rankin, 1983)", "previouslyFormattedCitation" : "(Dunn-Rankin, 1983)" }, "properties" : {  }, "schema" : "https://github.com/citation-style-language/schema/raw/master/csl-citation.json" }</w:instrText>
      </w:r>
      <w:r w:rsidR="00812AA0" w:rsidRPr="0068488B">
        <w:fldChar w:fldCharType="separate"/>
      </w:r>
      <w:r w:rsidR="00812AA0" w:rsidRPr="0068488B">
        <w:rPr>
          <w:noProof/>
        </w:rPr>
        <w:t>(Dunn-Rankin, 1983)</w:t>
      </w:r>
      <w:r w:rsidR="00812AA0" w:rsidRPr="0068488B">
        <w:fldChar w:fldCharType="end"/>
      </w:r>
      <w:r w:rsidR="005F6CEA" w:rsidRPr="0068488B">
        <w:t xml:space="preserve">. </w:t>
      </w:r>
      <w:r w:rsidR="003C05D4" w:rsidRPr="0068488B">
        <w:t xml:space="preserve">We then combined the indicators </w:t>
      </w:r>
      <w:r w:rsidR="00735A90" w:rsidRPr="0068488B">
        <w:t xml:space="preserve">within each domain together </w:t>
      </w:r>
      <w:r w:rsidR="003C05D4" w:rsidRPr="0068488B">
        <w:t>to create a d</w:t>
      </w:r>
      <w:r w:rsidR="00735A90" w:rsidRPr="0068488B">
        <w:t>omain score. Indicators were equally weighted</w:t>
      </w:r>
      <w:r w:rsidR="00BB543E" w:rsidRPr="0068488B">
        <w:t xml:space="preserve"> </w:t>
      </w:r>
      <w:r w:rsidR="00D818D1">
        <w:t xml:space="preserve">within domain </w:t>
      </w:r>
      <w:r w:rsidR="00FF7C4D" w:rsidRPr="0068488B">
        <w:t xml:space="preserve">since there was no clear </w:t>
      </w:r>
      <w:r w:rsidR="00E1058E" w:rsidRPr="0068488B">
        <w:t xml:space="preserve">theoretical </w:t>
      </w:r>
      <w:r w:rsidR="00FF7C4D" w:rsidRPr="0068488B">
        <w:t xml:space="preserve">justification for </w:t>
      </w:r>
      <w:r w:rsidR="007B7D7A">
        <w:t>specific</w:t>
      </w:r>
      <w:r w:rsidR="007B7D7A" w:rsidRPr="0068488B">
        <w:t xml:space="preserve"> </w:t>
      </w:r>
      <w:r w:rsidR="00FF7C4D" w:rsidRPr="0068488B">
        <w:t>weighting</w:t>
      </w:r>
      <w:r w:rsidR="00E1058E" w:rsidRPr="0068488B">
        <w:t>s per indicator</w:t>
      </w:r>
      <w:r w:rsidR="003C05D4" w:rsidRPr="0068488B">
        <w:t>.</w:t>
      </w:r>
    </w:p>
    <w:p w14:paraId="0166D6FD" w14:textId="77777777" w:rsidR="00735A90" w:rsidRPr="0068488B" w:rsidRDefault="00735A90"/>
    <w:p w14:paraId="61C7F95A" w14:textId="1B76EB9E" w:rsidR="00735A90" w:rsidRPr="0068488B" w:rsidRDefault="0050525F" w:rsidP="00735A90">
      <w:r w:rsidRPr="0068488B">
        <w:t xml:space="preserve">The domain scores were then standardised </w:t>
      </w:r>
      <w:r w:rsidR="001D2156" w:rsidRPr="0068488B">
        <w:t xml:space="preserve">to give them a similar distribution </w:t>
      </w:r>
      <w:r w:rsidRPr="0068488B">
        <w:t xml:space="preserve">through ranking them from </w:t>
      </w:r>
      <w:r w:rsidR="00FA140E">
        <w:t>most to least ‘healthiest’ (based on hypothesised directions)</w:t>
      </w:r>
      <w:r w:rsidRPr="0068488B">
        <w:t>. We then applied an e</w:t>
      </w:r>
      <w:r w:rsidR="00735A90" w:rsidRPr="0068488B">
        <w:t>xponential transformation of the ranked domain scores</w:t>
      </w:r>
      <w:r w:rsidRPr="0068488B">
        <w:t xml:space="preserve">. This was </w:t>
      </w:r>
      <w:r w:rsidR="000537FA" w:rsidRPr="0068488B">
        <w:t xml:space="preserve">deemed necessary </w:t>
      </w:r>
      <w:r w:rsidRPr="0068488B">
        <w:t xml:space="preserve">to minimise </w:t>
      </w:r>
      <w:r w:rsidR="00735A90" w:rsidRPr="0068488B">
        <w:t>‘cancellation effects’</w:t>
      </w:r>
      <w:r w:rsidRPr="0068488B">
        <w:t xml:space="preserve">, </w:t>
      </w:r>
      <w:r w:rsidR="00026C9D" w:rsidRPr="0068488B">
        <w:t>so that</w:t>
      </w:r>
      <w:r w:rsidRPr="0068488B">
        <w:t xml:space="preserve"> a high value on one domain was not cancelled out by low values on another</w:t>
      </w:r>
      <w:r w:rsidR="00AD512A" w:rsidRPr="0068488B">
        <w:t>, and follows similar procedures to those implemented within the IMD</w:t>
      </w:r>
      <w:r w:rsidR="009D463A" w:rsidRPr="0068488B">
        <w:t xml:space="preserve"> </w:t>
      </w:r>
      <w:r w:rsidR="009D463A" w:rsidRPr="0068488B">
        <w:fldChar w:fldCharType="begin" w:fldLock="1"/>
      </w:r>
      <w:r w:rsidR="00C40B1E" w:rsidRPr="0068488B">
        <w:instrText>ADDIN CSL_CITATION { "citationItems" : [ { "id" : "ITEM-1", "itemData" : { "URL" : "https://www.gov.uk/government/publications/english-indices-of-deprivation-2015-technical-report", "accessed" : { "date-parts" : [ [ "2016", "12", "10" ] ] }, "author" : [ { "dropping-particle" : "", "family" : "Smith", "given" : "T", "non-dropping-particle" : "", "parse-names" : false, "suffix" : "" }, { "dropping-particle" : "", "family" : "Noble", "given" : "M", "non-dropping-particle" : "", "parse-names" : false, "suffix" : "" }, { "dropping-particle" : "", "family" : "Noble", "given" : "S", "non-dropping-particle" : "", "parse-names" : false, "suffix" : "" }, { "dropping-particle" : "", "family" : "Wright", "given" : "G", "non-dropping-particle" : "", "parse-names" : false, "suffix" : "" }, { "dropping-particle" : "", "family" : "McLennan", "given" : "D", "non-dropping-particle" : "", "parse-names" : false, "suffix" : "" }, { "dropping-particle" : "", "family" : "Plunkett", "given" : "E", "non-dropping-particle" : "", "parse-names" : false, "suffix" : "" } ], "id" : "ITEM-1", "issued" : { "date-parts" : [ [ "2015" ] ] }, "title" : "The English Indices of Deprivation 2015", "type" : "webpage" }, "uris" : [ "http://www.mendeley.com/documents/?uuid=4832b26f-15cd-4538-89f1-65a2d1a69946" ] } ], "mendeley" : { "formattedCitation" : "(Smith &lt;i&gt;et al.&lt;/i&gt;, 2015)", "plainTextFormattedCitation" : "(Smith et al., 2015)", "previouslyFormattedCitation" : "(Smith &lt;i&gt;et al.&lt;/i&gt;, 2015)" }, "properties" : {  }, "schema" : "https://github.com/citation-style-language/schema/raw/master/csl-citation.json" }</w:instrText>
      </w:r>
      <w:r w:rsidR="009D463A" w:rsidRPr="0068488B">
        <w:fldChar w:fldCharType="separate"/>
      </w:r>
      <w:r w:rsidR="009D463A" w:rsidRPr="0068488B">
        <w:rPr>
          <w:noProof/>
        </w:rPr>
        <w:t xml:space="preserve">(Smith </w:t>
      </w:r>
      <w:r w:rsidR="009D463A" w:rsidRPr="0068488B">
        <w:rPr>
          <w:i/>
          <w:noProof/>
        </w:rPr>
        <w:t>et al.</w:t>
      </w:r>
      <w:r w:rsidR="009D463A" w:rsidRPr="0068488B">
        <w:rPr>
          <w:noProof/>
        </w:rPr>
        <w:t>, 2015)</w:t>
      </w:r>
      <w:r w:rsidR="009D463A" w:rsidRPr="0068488B">
        <w:fldChar w:fldCharType="end"/>
      </w:r>
      <w:r w:rsidR="00735A90" w:rsidRPr="0068488B">
        <w:t xml:space="preserve">. </w:t>
      </w:r>
      <w:r w:rsidR="000D7BC3">
        <w:t>T</w:t>
      </w:r>
      <w:r w:rsidR="00FF676B" w:rsidRPr="0068488B">
        <w:t xml:space="preserve">he </w:t>
      </w:r>
      <w:r w:rsidR="00735A90" w:rsidRPr="0068488B">
        <w:t xml:space="preserve">exponential transformation </w:t>
      </w:r>
      <w:r w:rsidR="005F0CA1" w:rsidRPr="0068488B">
        <w:t>places greater</w:t>
      </w:r>
      <w:r w:rsidR="00735A90" w:rsidRPr="0068488B">
        <w:t xml:space="preserve"> emphasis on </w:t>
      </w:r>
      <w:r w:rsidR="005F0CA1" w:rsidRPr="0068488B">
        <w:t>high values representing negative environments (i.e. health damaging)</w:t>
      </w:r>
      <w:r w:rsidR="00FF676B" w:rsidRPr="0068488B">
        <w:t>, which w</w:t>
      </w:r>
      <w:r w:rsidR="005F0CA1" w:rsidRPr="0068488B">
        <w:t xml:space="preserve">e </w:t>
      </w:r>
      <w:r w:rsidR="00FF676B" w:rsidRPr="0068488B">
        <w:t xml:space="preserve">deemed as helpful for </w:t>
      </w:r>
      <w:r w:rsidR="00FF676B" w:rsidRPr="0068488B">
        <w:lastRenderedPageBreak/>
        <w:t>stakeholder applications,</w:t>
      </w:r>
      <w:r w:rsidR="005F0CA1" w:rsidRPr="0068488B">
        <w:t xml:space="preserve"> since </w:t>
      </w:r>
      <w:r w:rsidR="00026C9D" w:rsidRPr="0068488B">
        <w:t>they</w:t>
      </w:r>
      <w:r w:rsidR="00FF676B" w:rsidRPr="0068488B">
        <w:t xml:space="preserve"> will more </w:t>
      </w:r>
      <w:r w:rsidR="005F0CA1" w:rsidRPr="0068488B">
        <w:t xml:space="preserve">often focus on </w:t>
      </w:r>
      <w:r w:rsidR="00FF676B" w:rsidRPr="0068488B">
        <w:t>the identification of “un</w:t>
      </w:r>
      <w:r w:rsidR="005F0CA1" w:rsidRPr="0068488B">
        <w:t>healthy</w:t>
      </w:r>
      <w:r w:rsidR="00FF676B" w:rsidRPr="0068488B">
        <w:t>”</w:t>
      </w:r>
      <w:r w:rsidR="005F0CA1" w:rsidRPr="0068488B">
        <w:t xml:space="preserve"> areas. </w:t>
      </w:r>
      <w:r w:rsidR="00735A90" w:rsidRPr="0068488B">
        <w:t xml:space="preserve">The transformed score </w:t>
      </w:r>
      <w:r w:rsidR="00FD2BAA" w:rsidRPr="0068488B">
        <w:t>‘</w:t>
      </w:r>
      <w:r w:rsidR="00735A90" w:rsidRPr="0068488B">
        <w:rPr>
          <w:i/>
        </w:rPr>
        <w:t>X</w:t>
      </w:r>
      <w:r w:rsidR="00FD2BAA" w:rsidRPr="0068488B">
        <w:rPr>
          <w:i/>
        </w:rPr>
        <w:t>’</w:t>
      </w:r>
      <w:r w:rsidR="00735A90" w:rsidRPr="0068488B">
        <w:t xml:space="preserve"> is </w:t>
      </w:r>
      <w:r w:rsidR="00FD2BAA" w:rsidRPr="0068488B">
        <w:t>calculated using</w:t>
      </w:r>
      <w:r w:rsidR="00735A90" w:rsidRPr="0068488B">
        <w:t>:</w:t>
      </w:r>
    </w:p>
    <w:p w14:paraId="4FB5DC9E" w14:textId="77777777" w:rsidR="00735A90" w:rsidRPr="0068488B" w:rsidRDefault="00735A90" w:rsidP="00735A90"/>
    <w:p w14:paraId="0EDD7AF5" w14:textId="77777777" w:rsidR="00735A90" w:rsidRPr="0068488B" w:rsidRDefault="00735A90" w:rsidP="00735A90">
      <m:oMathPara>
        <m:oMathParaPr>
          <m:jc m:val="center"/>
        </m:oMathParaPr>
        <m:oMath>
          <m:r>
            <w:rPr>
              <w:rFonts w:ascii="Cambria Math" w:hAnsi="Cambria Math"/>
            </w:rPr>
            <m:t xml:space="preserve">X=-23 </m:t>
          </m:r>
          <m:r>
            <m:rPr>
              <m:sty m:val="p"/>
            </m:rPr>
            <w:rPr>
              <w:rFonts w:ascii="Cambria Math" w:hAnsi="Cambria Math"/>
            </w:rPr>
            <m:t>ln⁡</m:t>
          </m:r>
          <m:r>
            <w:rPr>
              <w:rFonts w:ascii="Cambria Math" w:hAnsi="Cambria Math"/>
            </w:rPr>
            <m:t>(1-R(1-</m:t>
          </m:r>
          <m:sSup>
            <m:sSupPr>
              <m:ctrlPr>
                <w:rPr>
                  <w:rFonts w:ascii="Cambria Math" w:hAnsi="Cambria Math"/>
                  <w:i/>
                </w:rPr>
              </m:ctrlPr>
            </m:sSupPr>
            <m:e>
              <m:r>
                <w:rPr>
                  <w:rFonts w:ascii="Cambria Math" w:hAnsi="Cambria Math"/>
                </w:rPr>
                <m:t>exp</m:t>
              </m:r>
            </m:e>
            <m:sup>
              <m:r>
                <w:rPr>
                  <w:rFonts w:ascii="Cambria Math" w:hAnsi="Cambria Math"/>
                </w:rPr>
                <m:t>-100/23</m:t>
              </m:r>
            </m:sup>
          </m:sSup>
          <m:r>
            <w:rPr>
              <w:rFonts w:ascii="Cambria Math" w:hAnsi="Cambria Math"/>
            </w:rPr>
            <m:t>))</m:t>
          </m:r>
        </m:oMath>
      </m:oMathPara>
    </w:p>
    <w:p w14:paraId="61C2CF82" w14:textId="77777777" w:rsidR="00735A90" w:rsidRPr="0068488B" w:rsidRDefault="00735A90" w:rsidP="00735A90"/>
    <w:p w14:paraId="14D04D51" w14:textId="3B11E916" w:rsidR="00DE4D65" w:rsidRDefault="00735A90" w:rsidP="00735A90">
      <w:r w:rsidRPr="0068488B">
        <w:rPr>
          <w:i/>
        </w:rPr>
        <w:t xml:space="preserve">‘ln’ </w:t>
      </w:r>
      <w:r w:rsidR="00FD2BAA" w:rsidRPr="0068488B">
        <w:t>is</w:t>
      </w:r>
      <w:r w:rsidR="0004740A" w:rsidRPr="0068488B">
        <w:t xml:space="preserve"> </w:t>
      </w:r>
      <w:r w:rsidR="00FD2BAA" w:rsidRPr="0068488B">
        <w:t>the natural logarithm;</w:t>
      </w:r>
      <w:r w:rsidR="000D7BC3">
        <w:t xml:space="preserve"> </w:t>
      </w:r>
      <w:r w:rsidRPr="0068488B">
        <w:rPr>
          <w:i/>
        </w:rPr>
        <w:t>‘</w:t>
      </w:r>
      <w:proofErr w:type="spellStart"/>
      <w:r w:rsidRPr="0068488B">
        <w:rPr>
          <w:i/>
        </w:rPr>
        <w:t>exp</w:t>
      </w:r>
      <w:proofErr w:type="spellEnd"/>
      <w:r w:rsidRPr="0068488B">
        <w:rPr>
          <w:i/>
        </w:rPr>
        <w:t>’</w:t>
      </w:r>
      <w:r w:rsidRPr="0068488B">
        <w:t xml:space="preserve"> </w:t>
      </w:r>
      <w:r w:rsidR="00FD2BAA" w:rsidRPr="0068488B">
        <w:t xml:space="preserve">is </w:t>
      </w:r>
      <w:r w:rsidRPr="0068488B">
        <w:t>the exponential transformation</w:t>
      </w:r>
      <w:r w:rsidR="00FD2BAA" w:rsidRPr="0068488B">
        <w:t>;</w:t>
      </w:r>
      <w:r w:rsidR="0004740A" w:rsidRPr="0068488B">
        <w:t xml:space="preserve"> </w:t>
      </w:r>
      <w:r w:rsidR="00FD2BAA" w:rsidRPr="0068488B">
        <w:t xml:space="preserve">‘R’ is the rank value; </w:t>
      </w:r>
      <w:r w:rsidR="0004740A" w:rsidRPr="0068488B">
        <w:t>‘23’ the</w:t>
      </w:r>
      <w:r w:rsidR="00FD2BAA" w:rsidRPr="0068488B">
        <w:t xml:space="preserve"> scaling constant </w:t>
      </w:r>
      <w:r w:rsidR="00432453" w:rsidRPr="0068488B">
        <w:t>to</w:t>
      </w:r>
      <w:r w:rsidR="00026C9D" w:rsidRPr="0068488B">
        <w:t xml:space="preserve"> </w:t>
      </w:r>
      <w:r w:rsidR="001C0AD7" w:rsidRPr="0068488B">
        <w:t>mi</w:t>
      </w:r>
      <w:r w:rsidR="00432453" w:rsidRPr="0068488B">
        <w:t>nimise</w:t>
      </w:r>
      <w:r w:rsidR="001C0AD7" w:rsidRPr="0068488B">
        <w:t xml:space="preserve"> cancellation effects </w:t>
      </w:r>
      <w:r w:rsidR="00432453" w:rsidRPr="0068488B">
        <w:t>(</w:t>
      </w:r>
      <w:r w:rsidR="00935C6D" w:rsidRPr="0068488B">
        <w:t>the value produces 10% cancellation so that an area that was ranked as the most ‘unhealthiest’ area on one domain, but the least on another domain</w:t>
      </w:r>
      <w:r w:rsidR="00F30378">
        <w:t>,</w:t>
      </w:r>
      <w:r w:rsidR="00935C6D" w:rsidRPr="0068488B">
        <w:t xml:space="preserve"> would appear within the top 10% unhealthiest areas overall)</w:t>
      </w:r>
      <w:r w:rsidRPr="0068488B">
        <w:t>.</w:t>
      </w:r>
    </w:p>
    <w:p w14:paraId="3076ED5C" w14:textId="77777777" w:rsidR="00992CC1" w:rsidRDefault="00992CC1" w:rsidP="00735A90"/>
    <w:p w14:paraId="5FE36721" w14:textId="2E3937F7" w:rsidR="00992CC1" w:rsidRDefault="00D97F56" w:rsidP="00735A90">
      <w:r>
        <w:t xml:space="preserve">For interpretation of the </w:t>
      </w:r>
      <w:r w:rsidR="005D3EEE">
        <w:t xml:space="preserve">AHAH </w:t>
      </w:r>
      <w:r>
        <w:t xml:space="preserve">index, larger scores represent areas that have </w:t>
      </w:r>
      <w:r w:rsidR="001267EC">
        <w:t xml:space="preserve">poorer health-related environments through the combination of our domain scores (and </w:t>
      </w:r>
      <w:r w:rsidR="001267EC">
        <w:rPr>
          <w:i/>
        </w:rPr>
        <w:t>vice versa</w:t>
      </w:r>
      <w:r w:rsidR="001267EC">
        <w:t>). Similar interpretations can be observed for each of our domain scores. For the retail environment, larger values represent areas closer on average to the suite of services we measure (i.e. poorer health-related environments). The same is true for the health services domain</w:t>
      </w:r>
      <w:r w:rsidR="005D3EEE">
        <w:t>,</w:t>
      </w:r>
      <w:r w:rsidR="001267EC">
        <w:t xml:space="preserve"> however in this instance larger values represent areas further away on average from services (i.e. we hypothesis living further away is bad for health). Finally, larger scores in the physical environment domain represent areas with poorer air quality or lack of access of green space on average. </w:t>
      </w:r>
    </w:p>
    <w:p w14:paraId="506F12D3" w14:textId="77777777" w:rsidR="000076AC" w:rsidRDefault="000076AC" w:rsidP="00735A90"/>
    <w:p w14:paraId="50320424" w14:textId="69FA29F2" w:rsidR="000076AC" w:rsidRPr="001267EC" w:rsidRDefault="000076AC" w:rsidP="00735A90">
      <w:r>
        <w:t>A sensitivity analysis of the overall index is included in Appendix C.</w:t>
      </w:r>
    </w:p>
    <w:p w14:paraId="7FAB0EB6" w14:textId="77777777" w:rsidR="00CD12CF" w:rsidRPr="0068488B" w:rsidRDefault="00CD12CF"/>
    <w:p w14:paraId="188586F0" w14:textId="6760FF8F" w:rsidR="00D801FA" w:rsidRPr="0068488B" w:rsidRDefault="00EF105F" w:rsidP="00372EE3">
      <w:pPr>
        <w:outlineLvl w:val="0"/>
        <w:rPr>
          <w:i/>
        </w:rPr>
      </w:pPr>
      <w:r w:rsidRPr="0068488B">
        <w:rPr>
          <w:i/>
        </w:rPr>
        <w:t xml:space="preserve">2.2 </w:t>
      </w:r>
      <w:r w:rsidR="0084144A" w:rsidRPr="0068488B">
        <w:rPr>
          <w:i/>
        </w:rPr>
        <w:t>Exploring</w:t>
      </w:r>
      <w:r w:rsidR="00D801FA" w:rsidRPr="0068488B">
        <w:rPr>
          <w:i/>
        </w:rPr>
        <w:t xml:space="preserve"> </w:t>
      </w:r>
      <w:r w:rsidR="00DE6526" w:rsidRPr="0068488B">
        <w:rPr>
          <w:i/>
        </w:rPr>
        <w:t>AHAH</w:t>
      </w:r>
    </w:p>
    <w:p w14:paraId="5596750F" w14:textId="77777777" w:rsidR="00D801FA" w:rsidRPr="0068488B" w:rsidRDefault="00D801FA"/>
    <w:p w14:paraId="0815B26B" w14:textId="2B706F37" w:rsidR="00C3247A" w:rsidRPr="0068488B" w:rsidRDefault="00B9403C">
      <w:r>
        <w:t xml:space="preserve">We present an investigation of </w:t>
      </w:r>
      <w:r w:rsidR="00B216AD">
        <w:t xml:space="preserve">the AHAH index to </w:t>
      </w:r>
      <w:r w:rsidR="00B216AD" w:rsidRPr="0068488B">
        <w:t>contextualise what the index is measuring</w:t>
      </w:r>
      <w:r w:rsidR="00B216AD">
        <w:t xml:space="preserve">. We utilise a multi-scale analysis to examine two aspects: (1) We first use ecological data to explore how the </w:t>
      </w:r>
      <w:r w:rsidR="00B216AD" w:rsidRPr="0068488B">
        <w:t xml:space="preserve">social, health and demographic </w:t>
      </w:r>
      <w:r w:rsidR="00B216AD">
        <w:t xml:space="preserve">characteristics of areas is associated to AHAH. </w:t>
      </w:r>
      <w:r w:rsidR="00DE51A5">
        <w:t xml:space="preserve">This is important to understand what ‘high’ or ‘low’ values of AHAH correspond to beyond the input measures. </w:t>
      </w:r>
      <w:r w:rsidR="00B216AD">
        <w:t xml:space="preserve">(2) We test whether AHAH has any utility for predicting individual-level health and wellbeing. </w:t>
      </w:r>
      <w:r w:rsidR="00DE51A5">
        <w:t>The analysis will examine whether AHAH is useful for understanding differences in health and wellbeing throughout our population, beyond simple describing area-level patterns.</w:t>
      </w:r>
      <w:r w:rsidR="00C76FBC">
        <w:t xml:space="preserve"> It also helps to</w:t>
      </w:r>
      <w:r w:rsidR="00C76FBC" w:rsidRPr="0068488B">
        <w:t xml:space="preserve"> minimise issues of ecological fallacy from the </w:t>
      </w:r>
      <w:r w:rsidR="00C76FBC">
        <w:t xml:space="preserve">ecological </w:t>
      </w:r>
      <w:r w:rsidR="00C76FBC" w:rsidRPr="0068488B">
        <w:t>analyses.</w:t>
      </w:r>
    </w:p>
    <w:p w14:paraId="436A70E9" w14:textId="4A876022" w:rsidR="00C3247A" w:rsidRPr="0068488B" w:rsidRDefault="00C3247A"/>
    <w:p w14:paraId="657A83C4" w14:textId="67B2F970" w:rsidR="00C3247A" w:rsidRPr="0068488B" w:rsidRDefault="00C3247A" w:rsidP="00372EE3">
      <w:pPr>
        <w:outlineLvl w:val="0"/>
        <w:rPr>
          <w:i/>
        </w:rPr>
      </w:pPr>
      <w:r w:rsidRPr="0068488B">
        <w:rPr>
          <w:i/>
        </w:rPr>
        <w:t xml:space="preserve">2.2.1 Ecological </w:t>
      </w:r>
      <w:r w:rsidR="00B216AD">
        <w:rPr>
          <w:i/>
        </w:rPr>
        <w:t>analyses</w:t>
      </w:r>
    </w:p>
    <w:p w14:paraId="281DF057" w14:textId="77777777" w:rsidR="00C3247A" w:rsidRPr="0068488B" w:rsidRDefault="00C3247A"/>
    <w:p w14:paraId="1F99EFEE" w14:textId="43F761C2" w:rsidR="00055253" w:rsidRPr="0068488B" w:rsidRDefault="003B4704" w:rsidP="00747D46">
      <w:r w:rsidRPr="0068488B">
        <w:t>F</w:t>
      </w:r>
      <w:r w:rsidR="00E45500" w:rsidRPr="0068488B">
        <w:t>our</w:t>
      </w:r>
      <w:r w:rsidR="00EF105F" w:rsidRPr="0068488B">
        <w:t xml:space="preserve"> measures</w:t>
      </w:r>
      <w:r w:rsidRPr="0068488B">
        <w:t xml:space="preserve"> </w:t>
      </w:r>
      <w:r w:rsidR="004E545A" w:rsidRPr="0068488B">
        <w:t xml:space="preserve">(stratified by constituent country of Great Britain) </w:t>
      </w:r>
      <w:r w:rsidRPr="0068488B">
        <w:t>were used</w:t>
      </w:r>
      <w:r w:rsidR="00EF105F" w:rsidRPr="0068488B">
        <w:t>:</w:t>
      </w:r>
    </w:p>
    <w:p w14:paraId="6F964B62" w14:textId="77777777" w:rsidR="00EF105F" w:rsidRPr="0068488B" w:rsidRDefault="00EF105F"/>
    <w:p w14:paraId="73D6EB34" w14:textId="789B37C2" w:rsidR="00EF105F" w:rsidRPr="0068488B" w:rsidRDefault="00EF105F" w:rsidP="00EF105F">
      <w:pPr>
        <w:pStyle w:val="ListParagraph"/>
        <w:numPr>
          <w:ilvl w:val="0"/>
          <w:numId w:val="1"/>
        </w:numPr>
        <w:rPr>
          <w:rFonts w:ascii="Times New Roman" w:hAnsi="Times New Roman" w:cs="Times New Roman"/>
        </w:rPr>
      </w:pPr>
      <w:r w:rsidRPr="0068488B">
        <w:rPr>
          <w:rFonts w:ascii="Times New Roman" w:hAnsi="Times New Roman" w:cs="Times New Roman"/>
          <w:i/>
        </w:rPr>
        <w:t>Population density (2011 Census)</w:t>
      </w:r>
      <w:r w:rsidR="00C3247A" w:rsidRPr="0068488B">
        <w:rPr>
          <w:rFonts w:ascii="Times New Roman" w:hAnsi="Times New Roman" w:cs="Times New Roman"/>
        </w:rPr>
        <w:t xml:space="preserve">. The measure will examine if our indicators are associated </w:t>
      </w:r>
      <w:r w:rsidR="00C16C9F" w:rsidRPr="0068488B">
        <w:rPr>
          <w:rFonts w:ascii="Times New Roman" w:hAnsi="Times New Roman" w:cs="Times New Roman"/>
        </w:rPr>
        <w:t xml:space="preserve">with </w:t>
      </w:r>
      <w:r w:rsidR="00C3247A" w:rsidRPr="0068488B">
        <w:rPr>
          <w:rFonts w:ascii="Times New Roman" w:hAnsi="Times New Roman" w:cs="Times New Roman"/>
        </w:rPr>
        <w:t>urban or rural areas</w:t>
      </w:r>
      <w:r w:rsidR="001E7C18" w:rsidRPr="0068488B">
        <w:rPr>
          <w:rFonts w:ascii="Times New Roman" w:hAnsi="Times New Roman" w:cs="Times New Roman"/>
        </w:rPr>
        <w:t xml:space="preserve"> (i.e. urban areas have higher population density)</w:t>
      </w:r>
      <w:r w:rsidR="00C3247A" w:rsidRPr="0068488B">
        <w:rPr>
          <w:rFonts w:ascii="Times New Roman" w:hAnsi="Times New Roman" w:cs="Times New Roman"/>
        </w:rPr>
        <w:t>. The measure is the number of individuals per hectare.</w:t>
      </w:r>
    </w:p>
    <w:p w14:paraId="170A2CCB" w14:textId="7A4A30F6" w:rsidR="00EF105F" w:rsidRPr="0068488B" w:rsidRDefault="00EF105F" w:rsidP="00EF105F">
      <w:pPr>
        <w:pStyle w:val="ListParagraph"/>
        <w:numPr>
          <w:ilvl w:val="0"/>
          <w:numId w:val="1"/>
        </w:numPr>
        <w:rPr>
          <w:rFonts w:ascii="Times New Roman" w:hAnsi="Times New Roman" w:cs="Times New Roman"/>
        </w:rPr>
      </w:pPr>
      <w:r w:rsidRPr="0068488B">
        <w:rPr>
          <w:rFonts w:ascii="Times New Roman" w:hAnsi="Times New Roman" w:cs="Times New Roman"/>
          <w:i/>
        </w:rPr>
        <w:t>The percentage of individuals with a Limiting Long-Term Illness (2011 Census)</w:t>
      </w:r>
      <w:r w:rsidR="00C3247A" w:rsidRPr="0068488B">
        <w:rPr>
          <w:rFonts w:ascii="Times New Roman" w:hAnsi="Times New Roman" w:cs="Times New Roman"/>
        </w:rPr>
        <w:t>. The measure will assess if the indicators are associated with health patterns.</w:t>
      </w:r>
      <w:r w:rsidR="00C237E1" w:rsidRPr="0068488B">
        <w:rPr>
          <w:rFonts w:ascii="Times New Roman" w:hAnsi="Times New Roman" w:cs="Times New Roman"/>
        </w:rPr>
        <w:t xml:space="preserve"> Limiting long-Term Illness is a commonly used measure of chronic health</w:t>
      </w:r>
      <w:r w:rsidR="00C536EC" w:rsidRPr="0068488B">
        <w:rPr>
          <w:rFonts w:ascii="Times New Roman" w:hAnsi="Times New Roman" w:cs="Times New Roman"/>
        </w:rPr>
        <w:t xml:space="preserve"> </w:t>
      </w:r>
      <w:r w:rsidR="00C536EC" w:rsidRPr="0068488B">
        <w:rPr>
          <w:rFonts w:ascii="Times New Roman" w:hAnsi="Times New Roman" w:cs="Times New Roman"/>
        </w:rPr>
        <w:fldChar w:fldCharType="begin" w:fldLock="1"/>
      </w:r>
      <w:r w:rsidR="00C536EC" w:rsidRPr="0068488B">
        <w:rPr>
          <w:rFonts w:ascii="Times New Roman" w:hAnsi="Times New Roman" w:cs="Times New Roman"/>
        </w:rPr>
        <w:instrText>ADDIN CSL_CITATION { "citationItems" : [ { "id" : "ITEM-1", "itemData" : { "author" : [ { "dropping-particle" : "", "family" : "Manor", "given" : "O", "non-dropping-particle" : "", "parse-names" : false, "suffix" : "" }, { "dropping-particle" : "", "family" : "Matthews", "given" : "S", "non-dropping-particle" : "", "parse-names" : false, "suffix" : "" }, { "dropping-particle" : "", "family" : "Power", "given" : "C", "non-dropping-particle" : "", "parse-names" : false, "suffix" : "" } ], "container-title" : "International Journal of Epidemiology", "id" : "ITEM-1", "issue" : "3", "issued" : { "date-parts" : [ [ "2001" ] ] }, "page" : "600-607", "title" : "Self-rated health and limiting longstanding illness: inter-relationships with morbidity in early adulthood", "type" : "article-journal", "volume" : "30" }, "uris" : [ "http://www.mendeley.com/documents/?uuid=15156d75-7467-4bd7-8217-be9b86c7568b" ] } ], "mendeley" : { "formattedCitation" : "(Manor, Matthews and Power, 2001)", "plainTextFormattedCitation" : "(Manor, Matthews and Power, 2001)", "previouslyFormattedCitation" : "(Manor, Matthews and Power, 2001)" }, "properties" : {  }, "schema" : "https://github.com/citation-style-language/schema/raw/master/csl-citation.json" }</w:instrText>
      </w:r>
      <w:r w:rsidR="00C536EC" w:rsidRPr="0068488B">
        <w:rPr>
          <w:rFonts w:ascii="Times New Roman" w:hAnsi="Times New Roman" w:cs="Times New Roman"/>
        </w:rPr>
        <w:fldChar w:fldCharType="separate"/>
      </w:r>
      <w:r w:rsidR="00C536EC" w:rsidRPr="0068488B">
        <w:rPr>
          <w:rFonts w:ascii="Times New Roman" w:hAnsi="Times New Roman" w:cs="Times New Roman"/>
          <w:noProof/>
        </w:rPr>
        <w:t>(Manor, Matthews and Power, 2001)</w:t>
      </w:r>
      <w:r w:rsidR="00C536EC" w:rsidRPr="0068488B">
        <w:rPr>
          <w:rFonts w:ascii="Times New Roman" w:hAnsi="Times New Roman" w:cs="Times New Roman"/>
        </w:rPr>
        <w:fldChar w:fldCharType="end"/>
      </w:r>
      <w:r w:rsidR="00C237E1" w:rsidRPr="0068488B">
        <w:rPr>
          <w:rFonts w:ascii="Times New Roman" w:hAnsi="Times New Roman" w:cs="Times New Roman"/>
        </w:rPr>
        <w:t>.</w:t>
      </w:r>
      <w:r w:rsidR="00CD05C9" w:rsidRPr="0068488B">
        <w:rPr>
          <w:rFonts w:ascii="Times New Roman" w:hAnsi="Times New Roman" w:cs="Times New Roman"/>
        </w:rPr>
        <w:t xml:space="preserve"> </w:t>
      </w:r>
      <w:r w:rsidR="00C237E1" w:rsidRPr="0068488B">
        <w:rPr>
          <w:rFonts w:ascii="Times New Roman" w:hAnsi="Times New Roman" w:cs="Times New Roman"/>
        </w:rPr>
        <w:t xml:space="preserve">We combined data on individuals reporting that their health limited their daily activities a lot and those where it only limited a little. </w:t>
      </w:r>
    </w:p>
    <w:p w14:paraId="118FBAC0" w14:textId="43A489C6" w:rsidR="00E45500" w:rsidRPr="0068488B" w:rsidRDefault="00E45500" w:rsidP="00EF105F">
      <w:pPr>
        <w:pStyle w:val="ListParagraph"/>
        <w:numPr>
          <w:ilvl w:val="0"/>
          <w:numId w:val="1"/>
        </w:numPr>
        <w:rPr>
          <w:rFonts w:ascii="Times New Roman" w:hAnsi="Times New Roman" w:cs="Times New Roman"/>
        </w:rPr>
      </w:pPr>
      <w:r w:rsidRPr="0068488B">
        <w:rPr>
          <w:rFonts w:ascii="Times New Roman" w:hAnsi="Times New Roman" w:cs="Times New Roman"/>
          <w:i/>
        </w:rPr>
        <w:t>The percentage of individuals repo</w:t>
      </w:r>
      <w:r w:rsidR="00EC1B0C" w:rsidRPr="0068488B">
        <w:rPr>
          <w:rFonts w:ascii="Times New Roman" w:hAnsi="Times New Roman" w:cs="Times New Roman"/>
          <w:i/>
        </w:rPr>
        <w:t>rting that their health is poor</w:t>
      </w:r>
      <w:r w:rsidRPr="0068488B">
        <w:rPr>
          <w:rFonts w:ascii="Times New Roman" w:hAnsi="Times New Roman" w:cs="Times New Roman"/>
          <w:i/>
        </w:rPr>
        <w:t xml:space="preserve"> (2011 Census)</w:t>
      </w:r>
      <w:r w:rsidRPr="0068488B">
        <w:rPr>
          <w:rFonts w:ascii="Times New Roman" w:hAnsi="Times New Roman" w:cs="Times New Roman"/>
        </w:rPr>
        <w:t xml:space="preserve">. </w:t>
      </w:r>
      <w:r w:rsidR="001E7C18" w:rsidRPr="0068488B">
        <w:rPr>
          <w:rFonts w:ascii="Times New Roman" w:hAnsi="Times New Roman" w:cs="Times New Roman"/>
        </w:rPr>
        <w:t>A second health-related variable</w:t>
      </w:r>
      <w:r w:rsidR="00EC1B0C" w:rsidRPr="0068488B">
        <w:rPr>
          <w:rFonts w:ascii="Times New Roman" w:hAnsi="Times New Roman" w:cs="Times New Roman"/>
        </w:rPr>
        <w:t xml:space="preserve"> was selected since it </w:t>
      </w:r>
      <w:r w:rsidR="00172228">
        <w:rPr>
          <w:rFonts w:ascii="Times New Roman" w:hAnsi="Times New Roman" w:cs="Times New Roman"/>
        </w:rPr>
        <w:t xml:space="preserve">is </w:t>
      </w:r>
      <w:r w:rsidR="00EC1B0C" w:rsidRPr="0068488B">
        <w:rPr>
          <w:rFonts w:ascii="Times New Roman" w:hAnsi="Times New Roman" w:cs="Times New Roman"/>
        </w:rPr>
        <w:t xml:space="preserve">also a commonly used measure of health status. Individuals are asked </w:t>
      </w:r>
      <w:r w:rsidR="00172228">
        <w:rPr>
          <w:rFonts w:ascii="Times New Roman" w:hAnsi="Times New Roman" w:cs="Times New Roman"/>
        </w:rPr>
        <w:t>to rate</w:t>
      </w:r>
      <w:r w:rsidR="00EC1B0C" w:rsidRPr="0068488B">
        <w:rPr>
          <w:rFonts w:ascii="Times New Roman" w:hAnsi="Times New Roman" w:cs="Times New Roman"/>
        </w:rPr>
        <w:t xml:space="preserve"> their own health using a </w:t>
      </w:r>
      <w:proofErr w:type="spellStart"/>
      <w:r w:rsidR="00EC1B0C" w:rsidRPr="0068488B">
        <w:rPr>
          <w:rFonts w:ascii="Times New Roman" w:hAnsi="Times New Roman" w:cs="Times New Roman"/>
        </w:rPr>
        <w:t>likert</w:t>
      </w:r>
      <w:proofErr w:type="spellEnd"/>
      <w:r w:rsidR="00EC1B0C" w:rsidRPr="0068488B">
        <w:rPr>
          <w:rFonts w:ascii="Times New Roman" w:hAnsi="Times New Roman" w:cs="Times New Roman"/>
        </w:rPr>
        <w:t xml:space="preserve"> scale, and we combined data on individuals who rated their health as fair, bad or very bad </w:t>
      </w:r>
      <w:r w:rsidR="00EC1B0C" w:rsidRPr="0068488B">
        <w:rPr>
          <w:rFonts w:ascii="Times New Roman" w:hAnsi="Times New Roman" w:cs="Times New Roman"/>
        </w:rPr>
        <w:lastRenderedPageBreak/>
        <w:t>together</w:t>
      </w:r>
      <w:r w:rsidR="001E7C18" w:rsidRPr="0068488B">
        <w:rPr>
          <w:rFonts w:ascii="Times New Roman" w:hAnsi="Times New Roman" w:cs="Times New Roman"/>
        </w:rPr>
        <w:t>.</w:t>
      </w:r>
      <w:r w:rsidR="00C237E1" w:rsidRPr="0068488B">
        <w:rPr>
          <w:rFonts w:ascii="Times New Roman" w:hAnsi="Times New Roman" w:cs="Times New Roman"/>
        </w:rPr>
        <w:t xml:space="preserve"> The variable is commonly used throughout the literature as a measure of physical health status and is associated with actual health status </w:t>
      </w:r>
      <w:r w:rsidR="00C536EC" w:rsidRPr="0068488B">
        <w:rPr>
          <w:rFonts w:ascii="Times New Roman" w:hAnsi="Times New Roman" w:cs="Times New Roman"/>
        </w:rPr>
        <w:fldChar w:fldCharType="begin" w:fldLock="1"/>
      </w:r>
      <w:r w:rsidR="00C536EC" w:rsidRPr="0068488B">
        <w:rPr>
          <w:rFonts w:ascii="Times New Roman" w:hAnsi="Times New Roman" w:cs="Times New Roman"/>
        </w:rPr>
        <w:instrText>ADDIN CSL_CITATION { "citationItems" : [ { "id" : "ITEM-1", "itemData" : { "author" : [ { "dropping-particle" : "", "family" : "Manor", "given" : "O", "non-dropping-particle" : "", "parse-names" : false, "suffix" : "" }, { "dropping-particle" : "", "family" : "Matthews", "given" : "S", "non-dropping-particle" : "", "parse-names" : false, "suffix" : "" }, { "dropping-particle" : "", "family" : "Power", "given" : "C", "non-dropping-particle" : "", "parse-names" : false, "suffix" : "" } ], "container-title" : "International Journal of Epidemiology", "id" : "ITEM-1", "issue" : "3", "issued" : { "date-parts" : [ [ "2001" ] ] }, "page" : "600-607", "title" : "Self-rated health and limiting longstanding illness: inter-relationships with morbidity in early adulthood", "type" : "article-journal", "volume" : "30" }, "uris" : [ "http://www.mendeley.com/documents/?uuid=15156d75-7467-4bd7-8217-be9b86c7568b" ] }, { "id" : "ITEM-2", "itemData" : { "author" : [ { "dropping-particle" : "", "family" : "Jylha", "given" : "M", "non-dropping-particle" : "", "parse-names" : false, "suffix" : "" } ], "container-title" : "Social Science &amp; Medicine", "id" : "ITEM-2", "issued" : { "date-parts" : [ [ "2009" ] ] }, "page" : "307-316", "title" : "What is self-rated health and why does it predict mortality? Towards a unified conceptual model", "type" : "article-journal", "volume" : "69" }, "uris" : [ "http://www.mendeley.com/documents/?uuid=ac9c17c2-8076-495a-8efe-7b14200e6694" ] } ], "mendeley" : { "formattedCitation" : "(Manor, Matthews and Power, 2001; Jylha, 2009)", "plainTextFormattedCitation" : "(Manor, Matthews and Power, 2001; Jylha, 2009)", "previouslyFormattedCitation" : "(Manor, Matthews and Power, 2001; Jylha, 2009)" }, "properties" : {  }, "schema" : "https://github.com/citation-style-language/schema/raw/master/csl-citation.json" }</w:instrText>
      </w:r>
      <w:r w:rsidR="00C536EC" w:rsidRPr="0068488B">
        <w:rPr>
          <w:rFonts w:ascii="Times New Roman" w:hAnsi="Times New Roman" w:cs="Times New Roman"/>
        </w:rPr>
        <w:fldChar w:fldCharType="separate"/>
      </w:r>
      <w:r w:rsidR="00C536EC" w:rsidRPr="0068488B">
        <w:rPr>
          <w:rFonts w:ascii="Times New Roman" w:hAnsi="Times New Roman" w:cs="Times New Roman"/>
          <w:noProof/>
        </w:rPr>
        <w:t>(Manor, Matthews and Power, 2001; Jylha, 2009)</w:t>
      </w:r>
      <w:r w:rsidR="00C536EC" w:rsidRPr="0068488B">
        <w:rPr>
          <w:rFonts w:ascii="Times New Roman" w:hAnsi="Times New Roman" w:cs="Times New Roman"/>
        </w:rPr>
        <w:fldChar w:fldCharType="end"/>
      </w:r>
      <w:r w:rsidR="00C536EC" w:rsidRPr="0068488B">
        <w:rPr>
          <w:rFonts w:ascii="Times New Roman" w:hAnsi="Times New Roman" w:cs="Times New Roman"/>
        </w:rPr>
        <w:t>.</w:t>
      </w:r>
    </w:p>
    <w:p w14:paraId="7C6527CE" w14:textId="0FFB551C" w:rsidR="00EF105F" w:rsidRPr="0068488B" w:rsidRDefault="00EF105F" w:rsidP="00EF105F">
      <w:pPr>
        <w:pStyle w:val="ListParagraph"/>
        <w:numPr>
          <w:ilvl w:val="0"/>
          <w:numId w:val="1"/>
        </w:numPr>
        <w:rPr>
          <w:rFonts w:ascii="Times New Roman" w:hAnsi="Times New Roman" w:cs="Times New Roman"/>
        </w:rPr>
      </w:pPr>
      <w:r w:rsidRPr="0068488B">
        <w:rPr>
          <w:rFonts w:ascii="Times New Roman" w:hAnsi="Times New Roman" w:cs="Times New Roman"/>
          <w:i/>
        </w:rPr>
        <w:t>The Index of Multiple Deprivation</w:t>
      </w:r>
      <w:r w:rsidR="00C3247A" w:rsidRPr="0068488B">
        <w:rPr>
          <w:rFonts w:ascii="Times New Roman" w:hAnsi="Times New Roman" w:cs="Times New Roman"/>
          <w:i/>
        </w:rPr>
        <w:t xml:space="preserve"> (IMD)</w:t>
      </w:r>
      <w:r w:rsidRPr="0068488B">
        <w:rPr>
          <w:rFonts w:ascii="Times New Roman" w:hAnsi="Times New Roman" w:cs="Times New Roman"/>
        </w:rPr>
        <w:t>.</w:t>
      </w:r>
      <w:r w:rsidR="00C3247A" w:rsidRPr="0068488B">
        <w:rPr>
          <w:rFonts w:ascii="Times New Roman" w:hAnsi="Times New Roman" w:cs="Times New Roman"/>
        </w:rPr>
        <w:t xml:space="preserve"> Neighbourhood deprivation has been previously demonstrated to be associated to health outcomes </w:t>
      </w:r>
      <w:r w:rsidR="0070518B" w:rsidRPr="0068488B">
        <w:rPr>
          <w:rFonts w:ascii="Times New Roman" w:hAnsi="Times New Roman" w:cs="Times New Roman"/>
        </w:rPr>
        <w:t>a</w:t>
      </w:r>
      <w:r w:rsidR="00C3247A" w:rsidRPr="0068488B">
        <w:rPr>
          <w:rFonts w:ascii="Times New Roman" w:hAnsi="Times New Roman" w:cs="Times New Roman"/>
        </w:rPr>
        <w:t>nd health-relat</w:t>
      </w:r>
      <w:r w:rsidR="0070518B" w:rsidRPr="0068488B">
        <w:rPr>
          <w:rFonts w:ascii="Times New Roman" w:hAnsi="Times New Roman" w:cs="Times New Roman"/>
        </w:rPr>
        <w:t>ed features</w:t>
      </w:r>
      <w:r w:rsidR="00935C6D" w:rsidRPr="0068488B">
        <w:rPr>
          <w:rFonts w:ascii="Times New Roman" w:hAnsi="Times New Roman" w:cs="Times New Roman"/>
        </w:rPr>
        <w:t xml:space="preserve"> </w:t>
      </w:r>
      <w:r w:rsidR="0070518B" w:rsidRPr="0068488B">
        <w:rPr>
          <w:rFonts w:ascii="Times New Roman" w:hAnsi="Times New Roman" w:cs="Times New Roman"/>
        </w:rPr>
        <w:fldChar w:fldCharType="begin" w:fldLock="1"/>
      </w:r>
      <w:r w:rsidR="00954BAB">
        <w:rPr>
          <w:rFonts w:ascii="Times New Roman" w:hAnsi="Times New Roman" w:cs="Times New Roman"/>
        </w:rPr>
        <w:instrText>ADDIN CSL_CITATION { "citationItems" : [ { "id" : "ITEM-1", "itemData" : { "author" : [ { "dropping-particle" : "", "family" : "Mitchell", "given" : "Richard", "non-dropping-particle" : "", "parse-names" : false, "suffix" : "" }, { "dropping-particle" : "", "family" : "Popham", "given" : "Frank", "non-dropping-particle" : "", "parse-names" : false, "suffix" : "" } ], "container-title" : "The Lancet", "id" : "ITEM-1", "issue" : "9650", "issued" : { "date-parts" : [ [ "2008" ] ] }, "page" : "1655-1660", "title" : "Effect of exposure to natural environment on health inequalities: an observational population study", "type" : "article-journal", "volume" : "372" }, "uris" : [ "http://www.mendeley.com/documents/?uuid=d793f723-bafa-4a74-896a-e4f75e64bed6" ] }, { "id" : "ITEM-2", "itemData" : { "DOI" : "10.1016/S0140-6736(15)00195-6", "ISBN" : "1474-547X (Electronic)\\r0140-6736 (Linking)", "ISSN" : "1474547X", "PMID" : "26382241", "abstract" : "Background In the Global Burden of Disease Study 2013 (GBD 2013), knowledge about health and its determinants has been integrated into a comparable framework to inform health policy. Outputs of this analysis are relevant to current policy questions in England and elsewhere, particularly on health inequalities. We use GBD 2013 data on mortality and causes of death, and disease and injury incidence and prevalence to analyse the burden of disease and injury in England as a whole, in English regions, and within each English region by deprivation quintile. We also assess disease and injury burden in England attributable to potentially preventable risk factors. England and the English regions are compared with the remaining constituent countries of the UK and with comparable countries in the European Union (EU) and beyond. Methods We extracted data from the GBD 2013 to compare mortality, causes of death, years of life lost (YLLs), years lived with a disability (YLDs), and disability-adjusted life-years (DALYs) in England, the UK, and 18 other countries (the first 15 EU members [apart from the UK] and Australia, Canada, Norway, and the USA [EU15+]). We extended elements of the analysis to English regions, and subregional areas defined by deprivation quintile (deprivation areas). We used data split by the nine English regions (corresponding to the European boundaries of the Nomenclature for Territorial Statistics level 1 [NUTS 1] regions), and by quintile groups within each English region according to deprivation, thereby making 45 regional deprivation areas. Deprivation quintiles were defined by area of residence ranked at national level by Index of Multiple Deprivation score, 2010. Burden due to various risk factors is described for England using new GBD methodology to estimate independent and overlapping attributable risk for five tiers of behavioural, metabolic, and environmental risk factors. We present results for 306 causes and 2337 sequelae, and 79 risks or risk clusters. Findings Between 1990 and 2013, life expectancy from birth in England increased by 5\u00b74 years (95% uncertainty interval 5\u00b70-5\u00b78) from 75\u00b79 years (75\u00b79-76\u00b70) to 81\u00b73 years (80\u00b79-81\u00b77); gains were greater for men than for women. Rates of age-standardised YLLs reduced by 41\u00b71% (38\u00b73-43\u00b76), whereas DALYs were reduced by 23\u00b78% (20\u00b79-27\u00b71), and YLDs by 1\u00b74% (0\u00b71-2\u00b78). For these measures, England ranked better than the UK and the EU15+ means. Between 1990 and 2013, the range in life expectancy\u2026", "author" : [ { "dropping-particle" : "", "family" : "Newton", "given" : "John N.", "non-dropping-particle" : "", "parse-names" : false, "suffix" : "" }, { "dropping-particle" : "", "family" : "Briggs", "given" : "Adam D M", "non-dropping-particle" : "", "parse-names" : false, "suffix" : "" }, { "dropping-particle" : "", "family" : "Murray", "given" : "Christopher J L", "non-dropping-particle" : "", "parse-names" : false, "suffix" : "" }, { "dropping-particle" : "", "family" : "Dicker", "given" : "Daniel", "non-dropping-particle" : "", "parse-names" : false, "suffix" : "" }, { "dropping-particle" : "", "family" : "Foreman", "given" : "Kyle J.", "non-dropping-particle" : "", "parse-names" : false, "suffix" : "" }, { "dropping-particle" : "", "family" : "Wang", "given" : "Haidong", "non-dropping-particle" : "", "parse-names" : false, "suffix" : "" }, { "dropping-particle" : "", "family" : "Naghavi", "given" : "Mohsen", "non-dropping-particle" : "", "parse-names" : false, "suffix" : "" }, { "dropping-particle" : "", "family" : "Forouzanfar", "given" : "Mohammad H.", "non-dropping-particle" : "", "parse-names" : false, "suffix" : "" }, { "dropping-particle" : "", "family" : "Ohno", "given" : "Summer Lockett", "non-dropping-particle" : "", "parse-names" : false, "suffix" : "" }, { "dropping-particle" : "", "family" : "Barber", "given" : "Ryan M.", "non-dropping-particle" : "", "parse-names" : false, "suffix" : "" }, { "dropping-particle" : "", "family" : "Vos", "given" : "Theo", "non-dropping-particle" : "", "parse-names" : false, "suffix" : "" }, { "dropping-particle" : "", "family" : "Stanaway", "given" : "Jeffrey D.", "non-dropping-particle" : "", "parse-names" : false, "suffix" : "" }, { "dropping-particle" : "", "family" : "Schmidt", "given" : "J\u00fcrgen C.", "non-dropping-particle" : "", "parse-names" : false, "suffix" : "" }, { "dropping-particle" : "", "family" : "Hughes", "given" : "Andrew J.", "non-dropping-particle" : "", "parse-names" : false, "suffix" : "" }, { "dropping-particle" : "", "family" : "Fay", "given" : "Derek F J", "non-dropping-particle" : "", "parse-names" : false, "suffix" : "" }, { "dropping-particle" : "", "family" : "Ecob", "given" : "Russell", "non-dropping-particle" : "", "parse-names" : false, "suffix" : "" }, { "dropping-particle" : "", "family" : "Gresser", "given" : "Charis", "non-dropping-particle" : "", "parse-names" : false, "suffix" : "" }, { "dropping-particle" : "", "family" : "McKee", "given" : "Martin", "non-dropping-particle" : "", "parse-names" : false, "suffix" : "" }, { "dropping-particle" : "", "family" : "Rutter", "given" : "Harry", "non-dropping-particle" : "", "parse-names" : false, "suffix" : "" }, { "dropping-particle" : "", "family" : "Abubakar", "given" : "Ibrahim", "non-dropping-particle" : "", "parse-names" : false, "suffix" : "" }, { "dropping-particle" : "", "family" : "Ali", "given" : "Raghib", "non-dropping-particle" : "", "parse-names" : false, "suffix" : "" }, { "dropping-particle" : "", "family" : "Anderson", "given" : "H. Ross", "non-dropping-particle" : "", "parse-names" : false, "suffix" : "" }, { "dropping-particle" : "", "family" : "Banerjee", "given" : "Amitava", "non-dropping-particle" : "", "parse-names" : false, "suffix" : "" }, { "dropping-particle" : "", "family" : "Bennett", "given" : "Derrick A.", "non-dropping-particle" : "", "parse-names" : false, "suffix" : "" }, { "dropping-particle" : "", "family" : "Bernab\u00e9", "given" : "Eduardo", "non-dropping-particle" : "", "parse-names" : false, "suffix" : "" }, { "dropping-particle" : "", "family" : "Bhui", "given" : "Kamaldeep S.", "non-dropping-particle" : "", "parse-names" : false, "suffix" : "" }, { "dropping-particle" : "", "family" : "Biryukov", "given" : "Stanley M.", "non-dropping-particle" : "", "parse-names" : false, "suffix" : "" }, { "dropping-particle" : "", "family" : "Bourne", "given" : "Rupert R.", "non-dropping-particle" : "", "parse-names" : false, "suffix" : "" }, { "dropping-particle" : "", "family" : "Brayne", "given" : "Carol E G", "non-dropping-particle" : "", "parse-names" : false, "suffix" : "" }, { "dropping-particle" : "", "family" : "Bruce", "given" : "Nigel G.", "non-dropping-particle" : "", "parse-names" : false, "suffix" : "" }, { "dropping-particle" : "", "family" : "Brugha", "given" : "Traolach S.", "non-dropping-particle" : "", "parse-names" : false, "suffix" : "" }, { "dropping-particle" : "", "family" : "Burch", "given" : "Michael", "non-dropping-particle" : "", "parse-names" : false, "suffix" : "" }, { "dropping-particle" : "", "family" : "Capewell", "given" : "Simon", "non-dropping-particle" : "", "parse-names" : false, "suffix" : "" }, { "dropping-particle" : "", "family" : "Casey", "given" : "Daniel", "non-dropping-particle" : "", "parse-names" : false, "suffix" : "" }, { "dropping-particle" : "", "family" : "Chowdhury", "given" : "Rajiv", "non-dropping-particle" : "", "parse-names" : false, "suffix" : "" }, { "dropping-particle" : "", "family" : "Coates", "given" : "Matthew M.", "non-dropping-particle" : "", "parse-names" : false, "suffix" : "" }, { "dropping-particle" : "", "family" : "Cooper", "given" : "Cyrus", "non-dropping-particle" : "", "parse-names" : false, "suffix" : "" }, { "dropping-particle" : "", "family" : "Critchley", "given" : "Julia A.", "non-dropping-particle" : "", "parse-names" : false, "suffix" : "" }, { "dropping-particle" : "", "family" : "Dargan", "given" : "Paul I.", "non-dropping-particle" : "", "parse-names" : false, "suffix" : "" }, { "dropping-particle" : "", "family" : "Dherani", "given" : "Mukesh K.", "non-dropping-particle" : "", "parse-names" : false, "suffix" : "" }, { "dropping-particle" : "", "family" : "Elliott", "given" : "Paul", "non-dropping-particle" : "", "parse-names" : false, "suffix" : "" }, { "dropping-particle" : "", "family" : "Ezzati", "given" : "Majid", "non-dropping-particle" : "", "parse-names" : false, "suffix" : "" }, { "dropping-particle" : "", "family" : "Fenton", "given" : "Kevin A.", "non-dropping-particle" : "", "parse-names" : false, "suffix" : "" }, { "dropping-particle" : "", "family" : "Fraser", "given" : "Maya S.", "non-dropping-particle" : "", "parse-names" : false, "suffix" : "" }, { "dropping-particle" : "", "family" : "F\u00fcrst", "given" : "Thomas", "non-dropping-particle" : "", "parse-names" : false, "suffix" : "" }, { "dropping-particle" : "", "family" : "Greaves", "given" : "Felix", "non-dropping-particle" : "", "parse-names" : false, "suffix" : "" }, { "dropping-particle" : "", "family" : "Green", "given" : "Mark A.", "non-dropping-particle" : "", "parse-names" : false, "suffix" : "" }, { "dropping-particle" : "", "family" : "Gunnell", "given" : "David J.", "non-dropping-particle" : "", "parse-names" : false, "suffix" : "" }, { "dropping-particle" : "", "family" : "Hannigan", "given" : "Bernadette M.", "non-dropping-particle" : "", "parse-names" : false, "suffix" : "" }, { "dropping-particle" : "", "family" : "Hay", "given" : "Roderick J.", "non-dropping-particle" : "", "parse-names" : false, "suffix" : "" }, { "dropping-particle" : "", "family" : "Hay", "given" : "Simon I.", "non-dropping-particle" : "", "parse-names" : false, "suffix" : "" }, { "dropping-particle" : "", "family" : "Hemingway", "given" : "Harry", "non-dropping-particle" : "", "parse-names" : false, "suffix" : "" }, { "dropping-particle" : "", "family" : "Larson", "given" : "Heidi J.", "non-dropping-particle" : "", "parse-names" : false, "suffix" : "" }, { "dropping-particle" : "", "family" : "Looker", "given" : "Katharine J.", "non-dropping-particle" : "", "parse-names" : false, "suffix" : "" }, { "dropping-particle" : "", "family" : "Lunevicius", "given" : "Raimundas", "non-dropping-particle" : "", "parse-names" : false, "suffix" : "" }, { "dropping-particle" : "", "family" : "Lyons", "given" : "Ronan A.", "non-dropping-particle" : "", "parse-names" : false, "suffix" : "" }, { "dropping-particle" : "", "family" : "Marcenes", "given" : "Wagner", "non-dropping-particle" : "", "parse-names" : false, "suffix" : "" }, { "dropping-particle" : "", "family" : "Mason-Jones", "given" : "Amanda J.", "non-dropping-particle" : "", "parse-names" : false, "suffix" : "" }, { "dropping-particle" : "", "family" : "Matthews", "given" : "Fiona E.", "non-dropping-particle" : "", "parse-names" : false, "suffix" : "" }, { "dropping-particle" : "", "family" : "Moller", "given" : "Henrik", "non-dropping-particle" : "", "parse-names" : false, "suffix" : "" }, { "dropping-particle" : "", "family" : "Murdoch", "given" : "Michele E.", "non-dropping-particle" : "", "parse-names" : false, "suffix" : "" }, { "dropping-particle" : "", "family" : "Newton", "given" : "Charles R.", "non-dropping-particle" : "", "parse-names" : false, "suffix" : "" }, { "dropping-particle" : "", "family" : "Pearce", "given" : "Neil", "non-dropping-particle" : "", "parse-names" : false, "suffix" : "" }, { "dropping-particle" : "", "family" : "Piel", "given" : "Fr\u00e9d\u00e9ric B.", "non-dropping-particle" : "", "parse-names" : false, "suffix" : "" }, { "dropping-particle" : "", "family" : "Pope", "given" : "Daniel", "non-dropping-particle" : "", "parse-names" : false, "suffix" : "" }, { "dropping-particle" : "", "family" : "Rahimi", "given" : "Kazem", "non-dropping-particle" : "", "parse-names" : false, "suffix" : "" }, { "dropping-particle" : "", "family" : "Rodriguez", "given" : "Alina", "non-dropping-particle" : "", "parse-names" : false, "suffix" : "" }, { "dropping-particle" : "", "family" : "Scarborough", "given" : "Peter", "non-dropping-particle" : "", "parse-names" : false, "suffix" : "" }, { "dropping-particle" : "", "family" : "Schumacher", "given" : "Austin E.", "non-dropping-particle" : "", "parse-names" : false, "suffix" : "" }, { "dropping-particle" : "", "family" : "Shiue", "given" : "Ivy", "non-dropping-particle" : "", "parse-names" : false, "suffix" : "" }, { "dropping-particle" : "", "family" : "Smeeth", "given" : "Liam", "non-dropping-particle" : "", "parse-names" : false, "suffix" : "" }, { "dropping-particle" : "", "family" : "Tedstone", "given" : "Alison", "non-dropping-particle" : "", "parse-names" : false, "suffix" : "" }, { "dropping-particle" : "", "family" : "Valabhji", "given" : "Jonathan", "non-dropping-particle" : "", "parse-names" : false, "suffix" : "" }, { "dropping-particle" : "", "family" : "Williams", "given" : "Hywel C.", "non-dropping-particle" : "", "parse-names" : false, "suffix" : "" }, { "dropping-particle" : "", "family" : "Wolfe", "given" : "Charles D A", "non-dropping-particle" : "", "parse-names" : false, "suffix" : "" }, { "dropping-particle" : "", "family" : "Woolf", "given" : "Anthony D.", "non-dropping-particle" : "", "parse-names" : false, "suffix" : "" }, { "dropping-particle" : "", "family" : "Davis", "given" : "Adrian C J", "non-dropping-particle" : "", "parse-names" : false, "suffix" : "" } ], "container-title" : "The Lancet", "id" : "ITEM-2", "issued" : { "date-parts" : [ [ "2015" ] ] }, "page" : "2257-2274", "title" : "Changes in health in England, with analysis by English regions and areas of deprivation, 1990-2013: A systematic analysis for the Global Burden of Disease Study 2013", "type" : "article-journal", "volume" : "386" }, "uris" : [ "http://www.mendeley.com/documents/?uuid=bf0c9c8f-b59f-476b-a7bf-1b50e67ec654" ] } ], "mendeley" : { "formattedCitation" : "(Mitchell and Popham, 2008; Newton &lt;i&gt;et al.&lt;/i&gt;, 2015)", "plainTextFormattedCitation" : "(Mitchell and Popham, 2008; Newton et al., 2015)", "previouslyFormattedCitation" : "(Mitchell and Popham, 2008; Newton &lt;i&gt;et al.&lt;/i&gt;, 2015)" }, "properties" : {  }, "schema" : "https://github.com/citation-style-language/schema/raw/master/csl-citation.json" }</w:instrText>
      </w:r>
      <w:r w:rsidR="0070518B" w:rsidRPr="0068488B">
        <w:rPr>
          <w:rFonts w:ascii="Times New Roman" w:hAnsi="Times New Roman" w:cs="Times New Roman"/>
        </w:rPr>
        <w:fldChar w:fldCharType="separate"/>
      </w:r>
      <w:r w:rsidR="00954BAB" w:rsidRPr="00954BAB">
        <w:rPr>
          <w:rFonts w:ascii="Times New Roman" w:hAnsi="Times New Roman" w:cs="Times New Roman"/>
          <w:noProof/>
        </w:rPr>
        <w:t xml:space="preserve">(Mitchell and Popham, 2008; Newton </w:t>
      </w:r>
      <w:r w:rsidR="00954BAB" w:rsidRPr="00954BAB">
        <w:rPr>
          <w:rFonts w:ascii="Times New Roman" w:hAnsi="Times New Roman" w:cs="Times New Roman"/>
          <w:i/>
          <w:noProof/>
        </w:rPr>
        <w:t>et al.</w:t>
      </w:r>
      <w:r w:rsidR="00954BAB" w:rsidRPr="00954BAB">
        <w:rPr>
          <w:rFonts w:ascii="Times New Roman" w:hAnsi="Times New Roman" w:cs="Times New Roman"/>
          <w:noProof/>
        </w:rPr>
        <w:t>, 2015)</w:t>
      </w:r>
      <w:r w:rsidR="0070518B" w:rsidRPr="0068488B">
        <w:rPr>
          <w:rFonts w:ascii="Times New Roman" w:hAnsi="Times New Roman" w:cs="Times New Roman"/>
        </w:rPr>
        <w:fldChar w:fldCharType="end"/>
      </w:r>
      <w:r w:rsidR="001E7C18" w:rsidRPr="0068488B">
        <w:rPr>
          <w:rFonts w:ascii="Times New Roman" w:hAnsi="Times New Roman" w:cs="Times New Roman"/>
        </w:rPr>
        <w:t xml:space="preserve">. </w:t>
      </w:r>
      <w:r w:rsidR="00EC1B0C" w:rsidRPr="0068488B">
        <w:rPr>
          <w:rFonts w:ascii="Times New Roman" w:hAnsi="Times New Roman" w:cs="Times New Roman"/>
        </w:rPr>
        <w:t>We used IMD since it offers a multidimensional measure of deprivation</w:t>
      </w:r>
      <w:r w:rsidR="00C85A9B" w:rsidRPr="0068488B">
        <w:rPr>
          <w:rFonts w:ascii="Times New Roman" w:hAnsi="Times New Roman" w:cs="Times New Roman"/>
        </w:rPr>
        <w:t xml:space="preserve">, which incorporates data on a wide range of factors associated with deprivation that other indicators fail to account for </w:t>
      </w:r>
      <w:r w:rsidR="001C30B6" w:rsidRPr="0068488B">
        <w:rPr>
          <w:rFonts w:ascii="Times New Roman" w:hAnsi="Times New Roman" w:cs="Times New Roman"/>
        </w:rPr>
        <w:fldChar w:fldCharType="begin" w:fldLock="1"/>
      </w:r>
      <w:r w:rsidR="001C30B6" w:rsidRPr="0068488B">
        <w:rPr>
          <w:rFonts w:ascii="Times New Roman" w:hAnsi="Times New Roman" w:cs="Times New Roman"/>
        </w:rPr>
        <w:instrText>ADDIN CSL_CITATION { "citationItems" : [ { "id" : "ITEM-1", "itemData" : { "author" : [ { "dropping-particle" : "", "family" : "Noble", "given" : "Michael", "non-dropping-particle" : "", "parse-names" : false, "suffix" : "" }, { "dropping-particle" : "", "family" : "Wright", "given" : "Gemma", "non-dropping-particle" : "", "parse-names" : false, "suffix" : "" }, { "dropping-particle" : "", "family" : "Smith", "given" : "George", "non-dropping-particle" : "", "parse-names" : false, "suffix" : "" }, { "dropping-particle" : "", "family" : "Dibben", "given" : "Chris", "non-dropping-particle" : "", "parse-names" : false, "suffix" : "" } ], "container-title" : "Environment and Planning A", "id" : "ITEM-1", "issue" : "1", "issued" : { "date-parts" : [ [ "2006" ] ] }, "page" : "169-185", "title" : "Measuring Multiple Deprivation at the Small-Area Level", "type" : "article-journal", "volume" : "38" }, "uris" : [ "http://www.mendeley.com/documents/?uuid=883f3633-5f65-4587-a07e-76aa08211119" ] } ], "mendeley" : { "formattedCitation" : "(Noble &lt;i&gt;et al.&lt;/i&gt;, 2006)", "plainTextFormattedCitation" : "(Noble et al., 2006)", "previouslyFormattedCitation" : "(Noble &lt;i&gt;et al.&lt;/i&gt;, 2006)" }, "properties" : {  }, "schema" : "https://github.com/citation-style-language/schema/raw/master/csl-citation.json" }</w:instrText>
      </w:r>
      <w:r w:rsidR="001C30B6" w:rsidRPr="0068488B">
        <w:rPr>
          <w:rFonts w:ascii="Times New Roman" w:hAnsi="Times New Roman" w:cs="Times New Roman"/>
        </w:rPr>
        <w:fldChar w:fldCharType="separate"/>
      </w:r>
      <w:r w:rsidR="001C30B6" w:rsidRPr="0068488B">
        <w:rPr>
          <w:rFonts w:ascii="Times New Roman" w:hAnsi="Times New Roman" w:cs="Times New Roman"/>
          <w:noProof/>
        </w:rPr>
        <w:t xml:space="preserve">(Noble </w:t>
      </w:r>
      <w:r w:rsidR="001C30B6" w:rsidRPr="0068488B">
        <w:rPr>
          <w:rFonts w:ascii="Times New Roman" w:hAnsi="Times New Roman" w:cs="Times New Roman"/>
          <w:i/>
          <w:noProof/>
        </w:rPr>
        <w:t>et al.</w:t>
      </w:r>
      <w:r w:rsidR="001C30B6" w:rsidRPr="0068488B">
        <w:rPr>
          <w:rFonts w:ascii="Times New Roman" w:hAnsi="Times New Roman" w:cs="Times New Roman"/>
          <w:noProof/>
        </w:rPr>
        <w:t>, 2006)</w:t>
      </w:r>
      <w:r w:rsidR="001C30B6" w:rsidRPr="0068488B">
        <w:rPr>
          <w:rFonts w:ascii="Times New Roman" w:hAnsi="Times New Roman" w:cs="Times New Roman"/>
        </w:rPr>
        <w:fldChar w:fldCharType="end"/>
      </w:r>
      <w:r w:rsidR="00C85A9B" w:rsidRPr="0068488B">
        <w:rPr>
          <w:rFonts w:ascii="Times New Roman" w:hAnsi="Times New Roman" w:cs="Times New Roman"/>
        </w:rPr>
        <w:t xml:space="preserve">. </w:t>
      </w:r>
      <w:r w:rsidR="001E7C18" w:rsidRPr="0068488B">
        <w:rPr>
          <w:rFonts w:ascii="Times New Roman" w:hAnsi="Times New Roman" w:cs="Times New Roman"/>
        </w:rPr>
        <w:t xml:space="preserve">We examine the association to the rank of areas by IMD (a rank of 1 represents the most deprived area). </w:t>
      </w:r>
      <w:r w:rsidR="002D29A5">
        <w:rPr>
          <w:rFonts w:ascii="Times New Roman" w:hAnsi="Times New Roman" w:cs="Times New Roman"/>
        </w:rPr>
        <w:t xml:space="preserve">One of the IMD domains is ‘accessibility to services’ and while the overlap with our measure is minimal, we also include an additional comparison to the income domain to exclude any co-association that may influence the results. </w:t>
      </w:r>
      <w:r w:rsidR="003B4704" w:rsidRPr="0068488B">
        <w:rPr>
          <w:rFonts w:ascii="Times New Roman" w:hAnsi="Times New Roman" w:cs="Times New Roman"/>
        </w:rPr>
        <w:t>We used the most recent version of the index for each country: England - 2015, Scotland - 201</w:t>
      </w:r>
      <w:r w:rsidR="007D2288">
        <w:rPr>
          <w:rFonts w:ascii="Times New Roman" w:hAnsi="Times New Roman" w:cs="Times New Roman"/>
        </w:rPr>
        <w:t>6</w:t>
      </w:r>
      <w:r w:rsidR="003B4704" w:rsidRPr="0068488B">
        <w:rPr>
          <w:rFonts w:ascii="Times New Roman" w:hAnsi="Times New Roman" w:cs="Times New Roman"/>
        </w:rPr>
        <w:t>, and Wales - 201</w:t>
      </w:r>
      <w:r w:rsidR="007D2288">
        <w:rPr>
          <w:rFonts w:ascii="Times New Roman" w:hAnsi="Times New Roman" w:cs="Times New Roman"/>
        </w:rPr>
        <w:t>4</w:t>
      </w:r>
      <w:r w:rsidR="003B4704" w:rsidRPr="0068488B">
        <w:rPr>
          <w:rFonts w:ascii="Times New Roman" w:hAnsi="Times New Roman" w:cs="Times New Roman"/>
        </w:rPr>
        <w:t>.</w:t>
      </w:r>
    </w:p>
    <w:p w14:paraId="4FB515A7" w14:textId="77777777" w:rsidR="00EF105F" w:rsidRPr="0068488B" w:rsidRDefault="00EF105F" w:rsidP="00EF105F"/>
    <w:p w14:paraId="710C7F68" w14:textId="0E319A79" w:rsidR="00EF105F" w:rsidRPr="0068488B" w:rsidRDefault="003B4704" w:rsidP="00EF105F">
      <w:r w:rsidRPr="0068488B">
        <w:t>While these measures are temporally dislocated from AHAH, they are the most recent</w:t>
      </w:r>
      <w:r w:rsidR="00C76FBC">
        <w:t xml:space="preserve"> ecological data available for each</w:t>
      </w:r>
      <w:r w:rsidRPr="0068488B">
        <w:t xml:space="preserve">. </w:t>
      </w:r>
      <w:r w:rsidR="00EF105F" w:rsidRPr="0068488B">
        <w:t>We used Pearson’s Correlation to examine the association of each of these measures to our overall index, and each domain score.</w:t>
      </w:r>
      <w:r w:rsidR="001E7C18" w:rsidRPr="0068488B">
        <w:t xml:space="preserve"> </w:t>
      </w:r>
    </w:p>
    <w:p w14:paraId="0780AD86" w14:textId="77777777" w:rsidR="00055253" w:rsidRPr="0068488B" w:rsidRDefault="00055253"/>
    <w:p w14:paraId="6E8DA127" w14:textId="4329741E" w:rsidR="00C3247A" w:rsidRPr="0068488B" w:rsidRDefault="00C3247A" w:rsidP="00372EE3">
      <w:pPr>
        <w:outlineLvl w:val="0"/>
        <w:rPr>
          <w:i/>
        </w:rPr>
      </w:pPr>
      <w:r w:rsidRPr="0068488B">
        <w:rPr>
          <w:i/>
        </w:rPr>
        <w:t xml:space="preserve">2.2.2 Individual-level </w:t>
      </w:r>
      <w:r w:rsidR="00B216AD">
        <w:rPr>
          <w:i/>
        </w:rPr>
        <w:t>analyses</w:t>
      </w:r>
    </w:p>
    <w:p w14:paraId="4A6C4D34" w14:textId="77777777" w:rsidR="00C3247A" w:rsidRPr="0068488B" w:rsidRDefault="00C3247A"/>
    <w:p w14:paraId="37DA9D6E" w14:textId="24754398" w:rsidR="00C3247A" w:rsidRPr="0068488B" w:rsidRDefault="00C3247A" w:rsidP="00C3247A">
      <w:r w:rsidRPr="0068488B">
        <w:t xml:space="preserve">Data from the survey ‘Understanding Society’ was used. </w:t>
      </w:r>
      <w:r w:rsidR="00D801FA" w:rsidRPr="0068488B">
        <w:t>Understanding Society</w:t>
      </w:r>
      <w:r w:rsidRPr="0068488B">
        <w:t xml:space="preserve"> is an annual longitudinal survey that collects data on around 40,000 individuals across multiple variables including health</w:t>
      </w:r>
      <w:r w:rsidR="00D801FA" w:rsidRPr="0068488B">
        <w:t xml:space="preserve">. We used the most recent wave of data available for 2015, which introduces </w:t>
      </w:r>
      <w:r w:rsidRPr="0068488B">
        <w:t>temporal mismatch to our index but could not be avoided.</w:t>
      </w:r>
      <w:r w:rsidR="00D801FA" w:rsidRPr="0068488B">
        <w:t xml:space="preserve"> </w:t>
      </w:r>
      <w:r w:rsidRPr="0068488B">
        <w:t xml:space="preserve">LSOA </w:t>
      </w:r>
      <w:r w:rsidR="00FA140E">
        <w:t xml:space="preserve">and Data Zone </w:t>
      </w:r>
      <w:r w:rsidRPr="0068488B">
        <w:t>codes were applied for</w:t>
      </w:r>
      <w:r w:rsidR="00126692">
        <w:t>,</w:t>
      </w:r>
      <w:r w:rsidRPr="0068488B">
        <w:t xml:space="preserve"> and a special license was granted for their usage.</w:t>
      </w:r>
    </w:p>
    <w:p w14:paraId="344AA6D6" w14:textId="77777777" w:rsidR="00F03C8D" w:rsidRPr="0068488B" w:rsidRDefault="00F03C8D"/>
    <w:p w14:paraId="58D6611F" w14:textId="26DAA4D5" w:rsidR="00DC1075" w:rsidRPr="0068488B" w:rsidRDefault="00C3247A" w:rsidP="00372EE3">
      <w:pPr>
        <w:outlineLvl w:val="0"/>
      </w:pPr>
      <w:r w:rsidRPr="0068488B">
        <w:t xml:space="preserve">We used </w:t>
      </w:r>
      <w:r w:rsidR="00F03C8D" w:rsidRPr="0068488B">
        <w:t>five</w:t>
      </w:r>
      <w:r w:rsidR="00DC1075" w:rsidRPr="0068488B">
        <w:t xml:space="preserve"> outcome variables</w:t>
      </w:r>
    </w:p>
    <w:p w14:paraId="3358CC23" w14:textId="77777777" w:rsidR="00DC1075" w:rsidRPr="0068488B" w:rsidRDefault="00DC1075"/>
    <w:p w14:paraId="709C2770" w14:textId="2A6316D8" w:rsidR="00DC1075" w:rsidRPr="0068488B" w:rsidRDefault="00DC1075" w:rsidP="00DC1075">
      <w:pPr>
        <w:pStyle w:val="ListParagraph"/>
        <w:numPr>
          <w:ilvl w:val="0"/>
          <w:numId w:val="2"/>
        </w:numPr>
        <w:rPr>
          <w:rFonts w:ascii="Times New Roman" w:hAnsi="Times New Roman" w:cs="Times New Roman"/>
        </w:rPr>
      </w:pPr>
      <w:r w:rsidRPr="0068488B">
        <w:rPr>
          <w:rFonts w:ascii="Times New Roman" w:hAnsi="Times New Roman" w:cs="Times New Roman"/>
          <w:i/>
        </w:rPr>
        <w:t>Whether an individual had a limiting long-term illness</w:t>
      </w:r>
      <w:r w:rsidR="00C237E1" w:rsidRPr="0068488B">
        <w:rPr>
          <w:rFonts w:ascii="Times New Roman" w:hAnsi="Times New Roman" w:cs="Times New Roman"/>
          <w:i/>
        </w:rPr>
        <w:t xml:space="preserve"> </w:t>
      </w:r>
      <w:r w:rsidR="00C61167">
        <w:rPr>
          <w:rFonts w:ascii="Times New Roman" w:hAnsi="Times New Roman" w:cs="Times New Roman"/>
          <w:i/>
        </w:rPr>
        <w:t xml:space="preserve">(LLTI) </w:t>
      </w:r>
      <w:r w:rsidR="00C237E1" w:rsidRPr="0068488B">
        <w:rPr>
          <w:rFonts w:ascii="Times New Roman" w:hAnsi="Times New Roman" w:cs="Times New Roman"/>
          <w:i/>
        </w:rPr>
        <w:t>or not (binary)</w:t>
      </w:r>
      <w:r w:rsidRPr="0068488B">
        <w:rPr>
          <w:rFonts w:ascii="Times New Roman" w:hAnsi="Times New Roman" w:cs="Times New Roman"/>
        </w:rPr>
        <w:t>. The variable was selected to match the ecological health outcome measure.</w:t>
      </w:r>
      <w:r w:rsidR="00C61167">
        <w:rPr>
          <w:rFonts w:ascii="Times New Roman" w:hAnsi="Times New Roman" w:cs="Times New Roman"/>
        </w:rPr>
        <w:t xml:space="preserve"> </w:t>
      </w:r>
      <w:r w:rsidR="0039418F">
        <w:rPr>
          <w:rFonts w:ascii="Times New Roman" w:hAnsi="Times New Roman" w:cs="Times New Roman"/>
        </w:rPr>
        <w:t>A value of 1 was assigned to individuals with a LLTI, and a value of 0 for those without.</w:t>
      </w:r>
    </w:p>
    <w:p w14:paraId="31A1F3E4" w14:textId="37FCC36D" w:rsidR="00D801FA" w:rsidRPr="0068488B" w:rsidRDefault="00DC1075" w:rsidP="00DC1075">
      <w:pPr>
        <w:pStyle w:val="ListParagraph"/>
        <w:numPr>
          <w:ilvl w:val="0"/>
          <w:numId w:val="2"/>
        </w:numPr>
        <w:rPr>
          <w:rFonts w:ascii="Times New Roman" w:hAnsi="Times New Roman" w:cs="Times New Roman"/>
        </w:rPr>
      </w:pPr>
      <w:r w:rsidRPr="0068488B">
        <w:rPr>
          <w:rFonts w:ascii="Times New Roman" w:hAnsi="Times New Roman" w:cs="Times New Roman"/>
          <w:i/>
        </w:rPr>
        <w:t>Self-rated health status</w:t>
      </w:r>
      <w:r w:rsidR="00C85A9B" w:rsidRPr="0068488B">
        <w:rPr>
          <w:rFonts w:ascii="Times New Roman" w:hAnsi="Times New Roman" w:cs="Times New Roman"/>
          <w:i/>
        </w:rPr>
        <w:t xml:space="preserve"> (binary)</w:t>
      </w:r>
      <w:r w:rsidRPr="0068488B">
        <w:rPr>
          <w:rFonts w:ascii="Times New Roman" w:hAnsi="Times New Roman" w:cs="Times New Roman"/>
        </w:rPr>
        <w:t>. The variable was categorised as whether the individual reported their health to be poor (average, poor or very poor</w:t>
      </w:r>
      <w:r w:rsidR="0039418F">
        <w:rPr>
          <w:rFonts w:ascii="Times New Roman" w:hAnsi="Times New Roman" w:cs="Times New Roman"/>
        </w:rPr>
        <w:t xml:space="preserve"> - 1</w:t>
      </w:r>
      <w:r w:rsidRPr="0068488B">
        <w:rPr>
          <w:rFonts w:ascii="Times New Roman" w:hAnsi="Times New Roman" w:cs="Times New Roman"/>
        </w:rPr>
        <w:t>) or not (good or very good</w:t>
      </w:r>
      <w:r w:rsidR="0039418F">
        <w:rPr>
          <w:rFonts w:ascii="Times New Roman" w:hAnsi="Times New Roman" w:cs="Times New Roman"/>
        </w:rPr>
        <w:t xml:space="preserve"> – 0)</w:t>
      </w:r>
      <w:r w:rsidR="0039418F" w:rsidRPr="0068488B">
        <w:rPr>
          <w:rFonts w:ascii="Times New Roman" w:hAnsi="Times New Roman" w:cs="Times New Roman"/>
        </w:rPr>
        <w:t xml:space="preserve"> </w:t>
      </w:r>
      <w:r w:rsidR="00C85A9B" w:rsidRPr="0068488B">
        <w:rPr>
          <w:rFonts w:ascii="Times New Roman" w:hAnsi="Times New Roman" w:cs="Times New Roman"/>
        </w:rPr>
        <w:t>to match</w:t>
      </w:r>
      <w:r w:rsidR="001E7C18" w:rsidRPr="0068488B">
        <w:rPr>
          <w:rFonts w:ascii="Times New Roman" w:hAnsi="Times New Roman" w:cs="Times New Roman"/>
        </w:rPr>
        <w:t xml:space="preserve"> the</w:t>
      </w:r>
      <w:r w:rsidR="00C85A9B" w:rsidRPr="0068488B">
        <w:rPr>
          <w:rFonts w:ascii="Times New Roman" w:hAnsi="Times New Roman" w:cs="Times New Roman"/>
        </w:rPr>
        <w:t xml:space="preserve"> equivalent</w:t>
      </w:r>
      <w:r w:rsidR="001E7C18" w:rsidRPr="0068488B">
        <w:rPr>
          <w:rFonts w:ascii="Times New Roman" w:hAnsi="Times New Roman" w:cs="Times New Roman"/>
        </w:rPr>
        <w:t xml:space="preserve"> ecological measure.</w:t>
      </w:r>
    </w:p>
    <w:p w14:paraId="30A11CC2" w14:textId="4875DF74" w:rsidR="00F03C8D" w:rsidRPr="0068488B" w:rsidRDefault="00374452" w:rsidP="00DC1075">
      <w:pPr>
        <w:pStyle w:val="ListParagraph"/>
        <w:numPr>
          <w:ilvl w:val="0"/>
          <w:numId w:val="2"/>
        </w:numPr>
        <w:rPr>
          <w:rFonts w:ascii="Times New Roman" w:hAnsi="Times New Roman" w:cs="Times New Roman"/>
        </w:rPr>
      </w:pPr>
      <w:r w:rsidRPr="0068488B">
        <w:rPr>
          <w:rFonts w:ascii="Times New Roman" w:hAnsi="Times New Roman" w:cs="Times New Roman"/>
          <w:i/>
        </w:rPr>
        <w:t>12-item Short Form Health Survey (SF12)</w:t>
      </w:r>
      <w:r w:rsidRPr="0068488B">
        <w:rPr>
          <w:rFonts w:ascii="Times New Roman" w:hAnsi="Times New Roman" w:cs="Times New Roman"/>
        </w:rPr>
        <w:t xml:space="preserve"> </w:t>
      </w:r>
      <w:r w:rsidR="00F03C8D" w:rsidRPr="0068488B">
        <w:rPr>
          <w:rFonts w:ascii="Times New Roman" w:hAnsi="Times New Roman" w:cs="Times New Roman"/>
          <w:i/>
        </w:rPr>
        <w:t>Physical Health score</w:t>
      </w:r>
      <w:r w:rsidR="003E41E0" w:rsidRPr="0068488B">
        <w:rPr>
          <w:rFonts w:ascii="Times New Roman" w:hAnsi="Times New Roman" w:cs="Times New Roman"/>
          <w:i/>
        </w:rPr>
        <w:t xml:space="preserve"> (continuous)</w:t>
      </w:r>
      <w:r w:rsidR="00F03C8D" w:rsidRPr="0068488B">
        <w:rPr>
          <w:rFonts w:ascii="Times New Roman" w:hAnsi="Times New Roman" w:cs="Times New Roman"/>
        </w:rPr>
        <w:t>.</w:t>
      </w:r>
      <w:r w:rsidRPr="0068488B">
        <w:rPr>
          <w:rFonts w:ascii="Times New Roman" w:hAnsi="Times New Roman" w:cs="Times New Roman"/>
        </w:rPr>
        <w:t xml:space="preserve"> A measure of self-rated general health based on the SF12 survey</w:t>
      </w:r>
      <w:r w:rsidR="001E1FFA" w:rsidRPr="0068488B">
        <w:rPr>
          <w:rFonts w:ascii="Times New Roman" w:hAnsi="Times New Roman" w:cs="Times New Roman"/>
        </w:rPr>
        <w:t xml:space="preserve"> </w:t>
      </w:r>
      <w:r w:rsidR="001E1FFA" w:rsidRPr="0068488B">
        <w:rPr>
          <w:rFonts w:ascii="Times New Roman" w:hAnsi="Times New Roman" w:cs="Times New Roman"/>
        </w:rPr>
        <w:fldChar w:fldCharType="begin" w:fldLock="1"/>
      </w:r>
      <w:r w:rsidR="001E1FFA" w:rsidRPr="0068488B">
        <w:rPr>
          <w:rFonts w:ascii="Times New Roman" w:hAnsi="Times New Roman" w:cs="Times New Roman"/>
        </w:rPr>
        <w:instrText>ADDIN CSL_CITATION { "citationItems" : [ { "id" : "ITEM-1", "itemData" : { "author" : [ { "dropping-particle" : "", "family" : "Ware", "given" : "J E", "non-dropping-particle" : "", "parse-names" : false, "suffix" : "" }, { "dropping-particle" : "", "family" : "Kosinski", "given" : "M", "non-dropping-particle" : "", "parse-names" : false, "suffix" : "" }, { "dropping-particle" : "", "family" : "Turner-Bowker", "given" : "D M", "non-dropping-particle" : "", "parse-names" : false, "suffix" : "" }, { "dropping-particle" : "", "family" : "Gandek", "given" : "B", "non-dropping-particle" : "", "parse-names" : false, "suffix" : "" } ], "id" : "ITEM-1", "issued" : { "date-parts" : [ [ "2001" ] ] }, "publisher" : "Quality Metric Incorporated", "publisher-place" : "Lincoln, RI", "title" : "How to score version 2 of the SF-12 health survey (with a supplement documenting version 1)", "type" : "book" }, "uris" : [ "http://www.mendeley.com/documents/?uuid=5d9656bf-597a-455c-9564-157cbd33fbf9" ] } ], "mendeley" : { "formattedCitation" : "(Ware &lt;i&gt;et al.&lt;/i&gt;, 2001)", "plainTextFormattedCitation" : "(Ware et al., 2001)", "previouslyFormattedCitation" : "(Ware &lt;i&gt;et al.&lt;/i&gt;, 2001)" }, "properties" : {  }, "schema" : "https://github.com/citation-style-language/schema/raw/master/csl-citation.json" }</w:instrText>
      </w:r>
      <w:r w:rsidR="001E1FFA" w:rsidRPr="0068488B">
        <w:rPr>
          <w:rFonts w:ascii="Times New Roman" w:hAnsi="Times New Roman" w:cs="Times New Roman"/>
        </w:rPr>
        <w:fldChar w:fldCharType="separate"/>
      </w:r>
      <w:r w:rsidR="001E1FFA" w:rsidRPr="0068488B">
        <w:rPr>
          <w:rFonts w:ascii="Times New Roman" w:hAnsi="Times New Roman" w:cs="Times New Roman"/>
          <w:noProof/>
        </w:rPr>
        <w:t xml:space="preserve">(Ware </w:t>
      </w:r>
      <w:r w:rsidR="001E1FFA" w:rsidRPr="0068488B">
        <w:rPr>
          <w:rFonts w:ascii="Times New Roman" w:hAnsi="Times New Roman" w:cs="Times New Roman"/>
          <w:i/>
          <w:noProof/>
        </w:rPr>
        <w:t>et al.</w:t>
      </w:r>
      <w:r w:rsidR="001E1FFA" w:rsidRPr="0068488B">
        <w:rPr>
          <w:rFonts w:ascii="Times New Roman" w:hAnsi="Times New Roman" w:cs="Times New Roman"/>
          <w:noProof/>
        </w:rPr>
        <w:t>, 2001)</w:t>
      </w:r>
      <w:r w:rsidR="001E1FFA" w:rsidRPr="0068488B">
        <w:rPr>
          <w:rFonts w:ascii="Times New Roman" w:hAnsi="Times New Roman" w:cs="Times New Roman"/>
        </w:rPr>
        <w:fldChar w:fldCharType="end"/>
      </w:r>
      <w:r w:rsidR="001E1FFA" w:rsidRPr="0068488B">
        <w:rPr>
          <w:rFonts w:ascii="Times New Roman" w:hAnsi="Times New Roman" w:cs="Times New Roman"/>
        </w:rPr>
        <w:t>.</w:t>
      </w:r>
      <w:r w:rsidRPr="0068488B">
        <w:rPr>
          <w:rFonts w:ascii="Times New Roman" w:hAnsi="Times New Roman" w:cs="Times New Roman"/>
        </w:rPr>
        <w:t xml:space="preserve"> </w:t>
      </w:r>
      <w:r w:rsidR="001E1FFA" w:rsidRPr="0068488B">
        <w:rPr>
          <w:rFonts w:ascii="Times New Roman" w:hAnsi="Times New Roman" w:cs="Times New Roman"/>
        </w:rPr>
        <w:t>Individuals</w:t>
      </w:r>
      <w:r w:rsidR="00C85A9B" w:rsidRPr="0068488B">
        <w:rPr>
          <w:rFonts w:ascii="Times New Roman" w:hAnsi="Times New Roman" w:cs="Times New Roman"/>
        </w:rPr>
        <w:t xml:space="preserve"> are asked multiple questions related to their </w:t>
      </w:r>
      <w:r w:rsidRPr="0068488B">
        <w:rPr>
          <w:rFonts w:ascii="Times New Roman" w:hAnsi="Times New Roman" w:cs="Times New Roman"/>
        </w:rPr>
        <w:t xml:space="preserve">physical </w:t>
      </w:r>
      <w:r w:rsidR="009D71FA" w:rsidRPr="0068488B">
        <w:rPr>
          <w:rFonts w:ascii="Times New Roman" w:hAnsi="Times New Roman" w:cs="Times New Roman"/>
        </w:rPr>
        <w:t>functioning</w:t>
      </w:r>
      <w:r w:rsidR="00C85A9B" w:rsidRPr="0068488B">
        <w:rPr>
          <w:rFonts w:ascii="Times New Roman" w:hAnsi="Times New Roman" w:cs="Times New Roman"/>
        </w:rPr>
        <w:t xml:space="preserve"> and dependent upon their responses a score is computed</w:t>
      </w:r>
      <w:r w:rsidRPr="0068488B">
        <w:rPr>
          <w:rFonts w:ascii="Times New Roman" w:hAnsi="Times New Roman" w:cs="Times New Roman"/>
        </w:rPr>
        <w:t>.</w:t>
      </w:r>
      <w:r w:rsidR="00846711" w:rsidRPr="0068488B">
        <w:rPr>
          <w:rFonts w:ascii="Times New Roman" w:hAnsi="Times New Roman" w:cs="Times New Roman"/>
        </w:rPr>
        <w:t xml:space="preserve"> Larger values represent better physical health.</w:t>
      </w:r>
    </w:p>
    <w:p w14:paraId="2CF25566" w14:textId="382F27FF" w:rsidR="00F03C8D" w:rsidRPr="0068488B" w:rsidRDefault="00F03C8D" w:rsidP="00DC1075">
      <w:pPr>
        <w:pStyle w:val="ListParagraph"/>
        <w:numPr>
          <w:ilvl w:val="0"/>
          <w:numId w:val="2"/>
        </w:numPr>
        <w:rPr>
          <w:rFonts w:ascii="Times New Roman" w:hAnsi="Times New Roman" w:cs="Times New Roman"/>
        </w:rPr>
      </w:pPr>
      <w:r w:rsidRPr="0068488B">
        <w:rPr>
          <w:rFonts w:ascii="Times New Roman" w:hAnsi="Times New Roman" w:cs="Times New Roman"/>
          <w:i/>
        </w:rPr>
        <w:t>SF12 Mental Wellbeing score</w:t>
      </w:r>
      <w:r w:rsidR="003E41E0" w:rsidRPr="0068488B">
        <w:rPr>
          <w:rFonts w:ascii="Times New Roman" w:hAnsi="Times New Roman" w:cs="Times New Roman"/>
          <w:i/>
        </w:rPr>
        <w:t xml:space="preserve"> (continuous)</w:t>
      </w:r>
      <w:r w:rsidRPr="0068488B">
        <w:rPr>
          <w:rFonts w:ascii="Times New Roman" w:hAnsi="Times New Roman" w:cs="Times New Roman"/>
        </w:rPr>
        <w:t>.</w:t>
      </w:r>
      <w:r w:rsidR="00374452" w:rsidRPr="0068488B">
        <w:rPr>
          <w:rFonts w:ascii="Times New Roman" w:hAnsi="Times New Roman" w:cs="Times New Roman"/>
        </w:rPr>
        <w:t xml:space="preserve"> A score of mental wellbeing calculated from the SF12 survey</w:t>
      </w:r>
      <w:r w:rsidR="003D1518" w:rsidRPr="0068488B">
        <w:rPr>
          <w:rFonts w:ascii="Times New Roman" w:hAnsi="Times New Roman" w:cs="Times New Roman"/>
        </w:rPr>
        <w:t xml:space="preserve"> </w:t>
      </w:r>
      <w:r w:rsidR="003D1518" w:rsidRPr="0068488B">
        <w:rPr>
          <w:rFonts w:ascii="Times New Roman" w:hAnsi="Times New Roman" w:cs="Times New Roman"/>
        </w:rPr>
        <w:fldChar w:fldCharType="begin" w:fldLock="1"/>
      </w:r>
      <w:r w:rsidR="003D1518" w:rsidRPr="0068488B">
        <w:rPr>
          <w:rFonts w:ascii="Times New Roman" w:hAnsi="Times New Roman" w:cs="Times New Roman"/>
        </w:rPr>
        <w:instrText>ADDIN CSL_CITATION { "citationItems" : [ { "id" : "ITEM-1", "itemData" : { "author" : [ { "dropping-particle" : "", "family" : "Ware", "given" : "J E", "non-dropping-particle" : "", "parse-names" : false, "suffix" : "" }, { "dropping-particle" : "", "family" : "Kosinski", "given" : "M", "non-dropping-particle" : "", "parse-names" : false, "suffix" : "" }, { "dropping-particle" : "", "family" : "Turner-Bowker", "given" : "D M", "non-dropping-particle" : "", "parse-names" : false, "suffix" : "" }, { "dropping-particle" : "", "family" : "Gandek", "given" : "B", "non-dropping-particle" : "", "parse-names" : false, "suffix" : "" } ], "id" : "ITEM-1", "issued" : { "date-parts" : [ [ "2001" ] ] }, "publisher" : "Quality Metric Incorporated", "publisher-place" : "Lincoln, RI", "title" : "How to score version 2 of the SF-12 health survey (with a supplement documenting version 1)", "type" : "book" }, "uris" : [ "http://www.mendeley.com/documents/?uuid=5d9656bf-597a-455c-9564-157cbd33fbf9" ] } ], "mendeley" : { "formattedCitation" : "(Ware &lt;i&gt;et al.&lt;/i&gt;, 2001)", "plainTextFormattedCitation" : "(Ware et al., 2001)", "previouslyFormattedCitation" : "(Ware &lt;i&gt;et al.&lt;/i&gt;, 2001)" }, "properties" : {  }, "schema" : "https://github.com/citation-style-language/schema/raw/master/csl-citation.json" }</w:instrText>
      </w:r>
      <w:r w:rsidR="003D1518" w:rsidRPr="0068488B">
        <w:rPr>
          <w:rFonts w:ascii="Times New Roman" w:hAnsi="Times New Roman" w:cs="Times New Roman"/>
        </w:rPr>
        <w:fldChar w:fldCharType="separate"/>
      </w:r>
      <w:r w:rsidR="003D1518" w:rsidRPr="0068488B">
        <w:rPr>
          <w:rFonts w:ascii="Times New Roman" w:hAnsi="Times New Roman" w:cs="Times New Roman"/>
          <w:noProof/>
        </w:rPr>
        <w:t xml:space="preserve">(Ware </w:t>
      </w:r>
      <w:r w:rsidR="003D1518" w:rsidRPr="0068488B">
        <w:rPr>
          <w:rFonts w:ascii="Times New Roman" w:hAnsi="Times New Roman" w:cs="Times New Roman"/>
          <w:i/>
          <w:noProof/>
        </w:rPr>
        <w:t>et al.</w:t>
      </w:r>
      <w:r w:rsidR="003D1518" w:rsidRPr="0068488B">
        <w:rPr>
          <w:rFonts w:ascii="Times New Roman" w:hAnsi="Times New Roman" w:cs="Times New Roman"/>
          <w:noProof/>
        </w:rPr>
        <w:t>, 2001)</w:t>
      </w:r>
      <w:r w:rsidR="003D1518" w:rsidRPr="0068488B">
        <w:rPr>
          <w:rFonts w:ascii="Times New Roman" w:hAnsi="Times New Roman" w:cs="Times New Roman"/>
        </w:rPr>
        <w:fldChar w:fldCharType="end"/>
      </w:r>
      <w:r w:rsidR="00374452" w:rsidRPr="0068488B">
        <w:rPr>
          <w:rFonts w:ascii="Times New Roman" w:hAnsi="Times New Roman" w:cs="Times New Roman"/>
        </w:rPr>
        <w:t>.</w:t>
      </w:r>
      <w:r w:rsidR="003D1518" w:rsidRPr="0068488B">
        <w:rPr>
          <w:rFonts w:ascii="Times New Roman" w:hAnsi="Times New Roman" w:cs="Times New Roman"/>
        </w:rPr>
        <w:t xml:space="preserve"> </w:t>
      </w:r>
      <w:r w:rsidR="00CF6C9F">
        <w:rPr>
          <w:rFonts w:ascii="Times New Roman" w:hAnsi="Times New Roman" w:cs="Times New Roman"/>
        </w:rPr>
        <w:t>It includes questions about engagement with social activities</w:t>
      </w:r>
      <w:r w:rsidR="00ED59EA">
        <w:rPr>
          <w:rFonts w:ascii="Times New Roman" w:hAnsi="Times New Roman" w:cs="Times New Roman"/>
        </w:rPr>
        <w:t>, happiness and emotional issues</w:t>
      </w:r>
      <w:r w:rsidR="00CF6C9F">
        <w:rPr>
          <w:rFonts w:ascii="Times New Roman" w:hAnsi="Times New Roman" w:cs="Times New Roman"/>
        </w:rPr>
        <w:t xml:space="preserve">. </w:t>
      </w:r>
      <w:r w:rsidR="003D1518" w:rsidRPr="0068488B">
        <w:rPr>
          <w:rFonts w:ascii="Times New Roman" w:hAnsi="Times New Roman" w:cs="Times New Roman"/>
        </w:rPr>
        <w:t xml:space="preserve">The score is calculated based on different questions asked in the survey not used in the above measure. Larger values represent </w:t>
      </w:r>
      <w:r w:rsidR="00DA796A" w:rsidRPr="0068488B">
        <w:rPr>
          <w:rFonts w:ascii="Times New Roman" w:hAnsi="Times New Roman" w:cs="Times New Roman"/>
        </w:rPr>
        <w:t>better</w:t>
      </w:r>
      <w:r w:rsidR="003D1518" w:rsidRPr="0068488B">
        <w:rPr>
          <w:rFonts w:ascii="Times New Roman" w:hAnsi="Times New Roman" w:cs="Times New Roman"/>
        </w:rPr>
        <w:t xml:space="preserve"> </w:t>
      </w:r>
      <w:r w:rsidR="00DA796A" w:rsidRPr="0068488B">
        <w:rPr>
          <w:rFonts w:ascii="Times New Roman" w:hAnsi="Times New Roman" w:cs="Times New Roman"/>
        </w:rPr>
        <w:t>mental</w:t>
      </w:r>
      <w:r w:rsidR="003D1518" w:rsidRPr="0068488B">
        <w:rPr>
          <w:rFonts w:ascii="Times New Roman" w:hAnsi="Times New Roman" w:cs="Times New Roman"/>
        </w:rPr>
        <w:t xml:space="preserve"> health.</w:t>
      </w:r>
    </w:p>
    <w:p w14:paraId="3CBBD96B" w14:textId="3C68F665" w:rsidR="00F03C8D" w:rsidRPr="0068488B" w:rsidRDefault="00F03C8D" w:rsidP="00DC1075">
      <w:pPr>
        <w:pStyle w:val="ListParagraph"/>
        <w:numPr>
          <w:ilvl w:val="0"/>
          <w:numId w:val="2"/>
        </w:numPr>
        <w:rPr>
          <w:rFonts w:ascii="Times New Roman" w:hAnsi="Times New Roman" w:cs="Times New Roman"/>
        </w:rPr>
      </w:pPr>
      <w:r w:rsidRPr="0068488B">
        <w:rPr>
          <w:rFonts w:ascii="Times New Roman" w:hAnsi="Times New Roman" w:cs="Times New Roman"/>
          <w:i/>
        </w:rPr>
        <w:t>General Health Questionnaire score</w:t>
      </w:r>
      <w:r w:rsidR="001B4342">
        <w:rPr>
          <w:rFonts w:ascii="Times New Roman" w:hAnsi="Times New Roman" w:cs="Times New Roman"/>
          <w:i/>
        </w:rPr>
        <w:t xml:space="preserve"> (GHQ)</w:t>
      </w:r>
      <w:r w:rsidR="003E41E0" w:rsidRPr="0068488B">
        <w:rPr>
          <w:rFonts w:ascii="Times New Roman" w:hAnsi="Times New Roman" w:cs="Times New Roman"/>
          <w:i/>
        </w:rPr>
        <w:t xml:space="preserve"> (continuous)</w:t>
      </w:r>
      <w:r w:rsidR="00211F1A" w:rsidRPr="0068488B">
        <w:rPr>
          <w:rFonts w:ascii="Times New Roman" w:hAnsi="Times New Roman" w:cs="Times New Roman"/>
          <w:i/>
        </w:rPr>
        <w:t xml:space="preserve">. </w:t>
      </w:r>
      <w:r w:rsidR="00C57ECB" w:rsidRPr="0068488B">
        <w:rPr>
          <w:rFonts w:ascii="Times New Roman" w:hAnsi="Times New Roman" w:cs="Times New Roman"/>
        </w:rPr>
        <w:t xml:space="preserve">A measure of psychological distress </w:t>
      </w:r>
      <w:r w:rsidR="003E41E0" w:rsidRPr="0068488B">
        <w:rPr>
          <w:rFonts w:ascii="Times New Roman" w:hAnsi="Times New Roman" w:cs="Times New Roman"/>
        </w:rPr>
        <w:t xml:space="preserve">(i.e. mental wellbeing) </w:t>
      </w:r>
      <w:r w:rsidR="00C57ECB" w:rsidRPr="0068488B">
        <w:rPr>
          <w:rFonts w:ascii="Times New Roman" w:hAnsi="Times New Roman" w:cs="Times New Roman"/>
        </w:rPr>
        <w:t>compiled from 12 questions</w:t>
      </w:r>
      <w:r w:rsidR="00A51C23" w:rsidRPr="0068488B">
        <w:rPr>
          <w:rFonts w:ascii="Times New Roman" w:hAnsi="Times New Roman" w:cs="Times New Roman"/>
        </w:rPr>
        <w:t xml:space="preserve"> </w:t>
      </w:r>
      <w:r w:rsidR="00E961F7" w:rsidRPr="0068488B">
        <w:rPr>
          <w:rFonts w:ascii="Times New Roman" w:hAnsi="Times New Roman" w:cs="Times New Roman"/>
        </w:rPr>
        <w:fldChar w:fldCharType="begin" w:fldLock="1"/>
      </w:r>
      <w:r w:rsidR="00E961F7" w:rsidRPr="0068488B">
        <w:rPr>
          <w:rFonts w:ascii="Times New Roman" w:hAnsi="Times New Roman" w:cs="Times New Roman"/>
        </w:rPr>
        <w:instrText>ADDIN CSL_CITATION { "citationItems" : [ { "id" : "ITEM-1", "itemData" : { "author" : [ { "dropping-particle" : "", "family" : "Goldberg", "given" : "D P", "non-dropping-particle" : "", "parse-names" : false, "suffix" : "" }, { "dropping-particle" : "", "family" : "Williams", "given" : "P", "non-dropping-particle" : "", "parse-names" : false, "suffix" : "" } ], "id" : "ITEM-1", "issued" : { "date-parts" : [ [ "1988" ] ] }, "publisher" : "NFER-Nelson", "publisher-place" : "Windsor", "title" : "A user\u2019s guide to the General Health Questionnaire", "type" : "book" }, "uris" : [ "http://www.mendeley.com/documents/?uuid=e1d1e996-32be-4652-aba7-0381f47e3c9e" ] }, { "id" : "ITEM-2", "itemData" : { "author" : [ { "dropping-particle" : "", "family" : "Goldberg", "given" : "D P", "non-dropping-particle" : "", "parse-names" : false, "suffix" : "" }, { "dropping-particle" : "", "family" : "Gater", "given" : "R", "non-dropping-particle" : "", "parse-names" : false, "suffix" : "" }, { "dropping-particle" : "", "family" : "Satorius", "given" : "N", "non-dropping-particle" : "", "parse-names" : false, "suffix" : "" }, { "dropping-particle" : "", "family" : "Ustun", "given" : "T", "non-dropping-particle" : "", "parse-names" : false, "suffix" : "" }, { "dropping-particle" : "", "family" : "Piccinelli", "given" : "M", "non-dropping-particle" : "", "parse-names" : false, "suffix" : "" }, { "dropping-particle" : "", "family" : "Gureje", "given" : "O", "non-dropping-particle" : "", "parse-names" : false, "suffix" : "" } ], "container-title" : "Psychological Medicine", "id" : "ITEM-2", "issue" : "1", "issued" : { "date-parts" : [ [ "1997" ] ] }, "page" : "191-197", "title" : "The validity of two versions of the GHQ in the WHO study of mental illness in general health care", "type" : "article-journal", "volume" : "27" }, "uris" : [ "http://www.mendeley.com/documents/?uuid=2ecc67ee-0620-4901-b89c-d222f4f09d86" ] } ], "mendeley" : { "formattedCitation" : "(Goldberg and Williams, 1988; Goldberg &lt;i&gt;et al.&lt;/i&gt;, 1997)", "plainTextFormattedCitation" : "(Goldberg and Williams, 1988; Goldberg et al., 1997)", "previouslyFormattedCitation" : "(Goldberg and Williams, 1988; Goldberg &lt;i&gt;et al.&lt;/i&gt;, 1997)" }, "properties" : {  }, "schema" : "https://github.com/citation-style-language/schema/raw/master/csl-citation.json" }</w:instrText>
      </w:r>
      <w:r w:rsidR="00E961F7" w:rsidRPr="0068488B">
        <w:rPr>
          <w:rFonts w:ascii="Times New Roman" w:hAnsi="Times New Roman" w:cs="Times New Roman"/>
        </w:rPr>
        <w:fldChar w:fldCharType="separate"/>
      </w:r>
      <w:r w:rsidR="00E961F7" w:rsidRPr="0068488B">
        <w:rPr>
          <w:rFonts w:ascii="Times New Roman" w:hAnsi="Times New Roman" w:cs="Times New Roman"/>
          <w:noProof/>
        </w:rPr>
        <w:t xml:space="preserve">(Goldberg and Williams, 1988; Goldberg </w:t>
      </w:r>
      <w:r w:rsidR="00E961F7" w:rsidRPr="0068488B">
        <w:rPr>
          <w:rFonts w:ascii="Times New Roman" w:hAnsi="Times New Roman" w:cs="Times New Roman"/>
          <w:i/>
          <w:noProof/>
        </w:rPr>
        <w:t>et al.</w:t>
      </w:r>
      <w:r w:rsidR="00E961F7" w:rsidRPr="0068488B">
        <w:rPr>
          <w:rFonts w:ascii="Times New Roman" w:hAnsi="Times New Roman" w:cs="Times New Roman"/>
          <w:noProof/>
        </w:rPr>
        <w:t>, 1997)</w:t>
      </w:r>
      <w:r w:rsidR="00E961F7" w:rsidRPr="0068488B">
        <w:rPr>
          <w:rFonts w:ascii="Times New Roman" w:hAnsi="Times New Roman" w:cs="Times New Roman"/>
        </w:rPr>
        <w:fldChar w:fldCharType="end"/>
      </w:r>
      <w:r w:rsidR="00E961F7" w:rsidRPr="0068488B">
        <w:rPr>
          <w:rFonts w:ascii="Times New Roman" w:hAnsi="Times New Roman" w:cs="Times New Roman"/>
        </w:rPr>
        <w:t>.</w:t>
      </w:r>
      <w:r w:rsidR="00C57ECB" w:rsidRPr="0068488B">
        <w:rPr>
          <w:rFonts w:ascii="Times New Roman" w:hAnsi="Times New Roman" w:cs="Times New Roman"/>
        </w:rPr>
        <w:t xml:space="preserve"> </w:t>
      </w:r>
      <w:r w:rsidR="00211F1A" w:rsidRPr="0068488B">
        <w:rPr>
          <w:rFonts w:ascii="Times New Roman" w:hAnsi="Times New Roman" w:cs="Times New Roman"/>
        </w:rPr>
        <w:t>Since there are two methods for calculating an individual’s score (</w:t>
      </w:r>
      <w:proofErr w:type="spellStart"/>
      <w:r w:rsidR="00211F1A" w:rsidRPr="0068488B">
        <w:rPr>
          <w:rFonts w:ascii="Times New Roman" w:hAnsi="Times New Roman" w:cs="Times New Roman"/>
        </w:rPr>
        <w:t>likert</w:t>
      </w:r>
      <w:proofErr w:type="spellEnd"/>
      <w:r w:rsidR="00211F1A" w:rsidRPr="0068488B">
        <w:rPr>
          <w:rFonts w:ascii="Times New Roman" w:hAnsi="Times New Roman" w:cs="Times New Roman"/>
        </w:rPr>
        <w:t xml:space="preserve"> or </w:t>
      </w:r>
      <w:proofErr w:type="spellStart"/>
      <w:r w:rsidR="00211F1A" w:rsidRPr="0068488B">
        <w:rPr>
          <w:rFonts w:ascii="Times New Roman" w:hAnsi="Times New Roman" w:cs="Times New Roman"/>
        </w:rPr>
        <w:t>caseness</w:t>
      </w:r>
      <w:proofErr w:type="spellEnd"/>
      <w:r w:rsidR="00211F1A" w:rsidRPr="0068488B">
        <w:rPr>
          <w:rFonts w:ascii="Times New Roman" w:hAnsi="Times New Roman" w:cs="Times New Roman"/>
        </w:rPr>
        <w:t xml:space="preserve">), we have opted to include both </w:t>
      </w:r>
      <w:r w:rsidR="00211F1A" w:rsidRPr="0068488B">
        <w:rPr>
          <w:rFonts w:ascii="Times New Roman" w:hAnsi="Times New Roman" w:cs="Times New Roman"/>
        </w:rPr>
        <w:lastRenderedPageBreak/>
        <w:t>measures to maintain a fair analysis.</w:t>
      </w:r>
      <w:r w:rsidR="00211F1A" w:rsidRPr="0068488B">
        <w:rPr>
          <w:rFonts w:ascii="Times New Roman" w:hAnsi="Times New Roman" w:cs="Times New Roman"/>
          <w:i/>
        </w:rPr>
        <w:t xml:space="preserve"> </w:t>
      </w:r>
      <w:r w:rsidR="0039418F">
        <w:rPr>
          <w:rFonts w:ascii="Times New Roman" w:hAnsi="Times New Roman" w:cs="Times New Roman"/>
        </w:rPr>
        <w:t>Larger values represent individuals that are more distressed and have poorer wellbeing.</w:t>
      </w:r>
    </w:p>
    <w:p w14:paraId="2D164394" w14:textId="77777777" w:rsidR="00DC1075" w:rsidRPr="0068488B" w:rsidRDefault="00DC1075" w:rsidP="00DC1075"/>
    <w:p w14:paraId="4A2B3EC3" w14:textId="076604BF" w:rsidR="00DC1075" w:rsidRPr="0068488B" w:rsidRDefault="00DC1075" w:rsidP="00DC1075">
      <w:r w:rsidRPr="0068488B">
        <w:t>We adjusted our models by controlling for personal characteristics of individuals including age, sex and ethnicity. These characteristics have been previously demonstrated to be associated with health status</w:t>
      </w:r>
      <w:r w:rsidR="00423876" w:rsidRPr="0068488B">
        <w:t>.</w:t>
      </w:r>
      <w:r w:rsidRPr="0068488B">
        <w:t xml:space="preserve"> We also controlled socioeconomic status through </w:t>
      </w:r>
      <w:r w:rsidR="00211F1A" w:rsidRPr="0068488B">
        <w:t xml:space="preserve">total monthly gross </w:t>
      </w:r>
      <w:r w:rsidRPr="0068488B">
        <w:t>income</w:t>
      </w:r>
      <w:r w:rsidR="00211F1A" w:rsidRPr="0068488B">
        <w:t xml:space="preserve"> to measure an individual’s material resources</w:t>
      </w:r>
      <w:r w:rsidR="00EB3B51" w:rsidRPr="0068488B">
        <w:t xml:space="preserve"> </w:t>
      </w:r>
      <w:r w:rsidR="00423876" w:rsidRPr="0068488B">
        <w:fldChar w:fldCharType="begin" w:fldLock="1"/>
      </w:r>
      <w:r w:rsidR="00423876" w:rsidRPr="0068488B">
        <w:instrText>ADDIN CSL_CITATION { "citationItems" : [ { "id" : "ITEM-1", "itemData" : { "DOI" : "10.1146/annurev.soc.012809.102529.Socioeconomic", "ISBN" : "0360-0572 (Print)\\r0360-0572 (Linking)", "ISSN" : "0360-0572", "PMID" : "21909182", "abstract" : "The inverse relationships between socioeconomic status (SES) and unhealthy behaviors such as tobacco use, physical inactivity, and poor nutrition have been well demonstrated empirically but encompass diverse underlying causal mechanisms. These mechanisms have special theoretical importance because disparities in health behaviors, unlike disparities in many other components of health, involve something more than the ability to use income to purchase good health. Based on a review of broad literatures in sociology, economics, and public health, we classify explanations of higher smoking, lower exercise, poorer diet, and excess weight among low-SES persons into nine broad groups that specify related but conceptually distinct mechanisms. The lack of clear support for any one explanation suggests that the literature on SES disparities in health and health behaviors can do more to design studies that better test for the importance of the varied mechanisms.", "author" : [ { "dropping-particle" : "", "family" : "Pampel", "given" : "Fred C", "non-dropping-particle" : "", "parse-names" : false, "suffix" : "" }, { "dropping-particle" : "", "family" : "Krueger", "given" : "PM", "non-dropping-particle" : "", "parse-names" : false, "suffix" : "" }, { "dropping-particle" : "", "family" : "Denney", "given" : "JT", "non-dropping-particle" : "", "parse-names" : false, "suffix" : "" } ], "container-title" : "Annual Review of Sociology", "id" : "ITEM-1", "issued" : { "date-parts" : [ [ "2010" ] ] }, "page" : "349-370", "title" : "Socioeconomic disparities in health behaviors", "type" : "article-journal", "volume" : "36" }, "uris" : [ "http://www.mendeley.com/documents/?uuid=0ddc764f-1ccc-4189-887b-ff9ce2d86cf7" ] } ], "mendeley" : { "formattedCitation" : "(Pampel, Krueger and Denney, 2010)", "plainTextFormattedCitation" : "(Pampel, Krueger and Denney, 2010)", "previouslyFormattedCitation" : "(Pampel, Krueger and Denney, 2010)" }, "properties" : {  }, "schema" : "https://github.com/citation-style-language/schema/raw/master/csl-citation.json" }</w:instrText>
      </w:r>
      <w:r w:rsidR="00423876" w:rsidRPr="0068488B">
        <w:fldChar w:fldCharType="separate"/>
      </w:r>
      <w:r w:rsidR="00423876" w:rsidRPr="0068488B">
        <w:rPr>
          <w:noProof/>
        </w:rPr>
        <w:t>(Pampel, Krueger and Denney, 2010)</w:t>
      </w:r>
      <w:r w:rsidR="00423876" w:rsidRPr="0068488B">
        <w:fldChar w:fldCharType="end"/>
      </w:r>
      <w:r w:rsidRPr="0068488B">
        <w:t>.</w:t>
      </w:r>
    </w:p>
    <w:p w14:paraId="781388F1" w14:textId="77777777" w:rsidR="00DC1075" w:rsidRPr="0068488B" w:rsidRDefault="00DC1075" w:rsidP="00DC1075"/>
    <w:p w14:paraId="6E9EC59B" w14:textId="5B43A838" w:rsidR="00AA076E" w:rsidRDefault="00DC1075">
      <w:r w:rsidRPr="0068488B">
        <w:t xml:space="preserve">Analyses were undertaken using regression models. </w:t>
      </w:r>
      <w:r w:rsidR="00B92F58">
        <w:t xml:space="preserve">We explored the potential of using multi-level models, but with few observations per area (mean 2.4) </w:t>
      </w:r>
      <w:r w:rsidR="002F5529">
        <w:t>it is difficult to identify area effects since there is little variability between areas</w:t>
      </w:r>
      <w:r w:rsidR="00ED59EA">
        <w:t xml:space="preserve"> </w:t>
      </w:r>
      <w:r w:rsidR="00ED59EA" w:rsidRPr="00EB698C">
        <w:t xml:space="preserve">(i.e. differentiating between random </w:t>
      </w:r>
      <w:proofErr w:type="gramStart"/>
      <w:r w:rsidR="00ED59EA" w:rsidRPr="00EB698C">
        <w:t>error</w:t>
      </w:r>
      <w:proofErr w:type="gramEnd"/>
      <w:r w:rsidR="00ED59EA" w:rsidRPr="00EB698C">
        <w:t>)</w:t>
      </w:r>
      <w:r w:rsidR="00DB0F09" w:rsidRPr="00ED59EA">
        <w:t>.</w:t>
      </w:r>
      <w:r w:rsidR="00DB0F09">
        <w:t xml:space="preserve"> F</w:t>
      </w:r>
      <w:r w:rsidR="005E0470">
        <w:t xml:space="preserve">itting such a model produced </w:t>
      </w:r>
      <w:r w:rsidR="00B92F58">
        <w:t xml:space="preserve">similar results. </w:t>
      </w:r>
      <w:r w:rsidR="00C67DDF" w:rsidRPr="0068488B">
        <w:t xml:space="preserve">A logistic regression model was used for the first two outcome variables, and </w:t>
      </w:r>
      <w:r w:rsidR="00B92F58">
        <w:t>linear</w:t>
      </w:r>
      <w:r w:rsidR="00C67DDF" w:rsidRPr="0068488B">
        <w:t xml:space="preserve"> regression was used for the wellbeing measure</w:t>
      </w:r>
      <w:r w:rsidR="00B92F58">
        <w:t>s</w:t>
      </w:r>
      <w:r w:rsidR="00C67DDF" w:rsidRPr="0068488B">
        <w:t xml:space="preserve">. </w:t>
      </w:r>
      <w:r w:rsidR="00B92F58">
        <w:t xml:space="preserve">We fit two types of models; one with just the overall AHAH score, and another including each domain score. </w:t>
      </w:r>
      <w:r w:rsidRPr="0068488B">
        <w:t>Missing data were assumed missing at random and dropped from analyses.</w:t>
      </w:r>
      <w:r w:rsidR="00B92F58">
        <w:t xml:space="preserve"> Sample weights were used for all models.</w:t>
      </w:r>
    </w:p>
    <w:p w14:paraId="5C0FD0D4" w14:textId="77777777" w:rsidR="00AA076E" w:rsidRPr="0068488B" w:rsidRDefault="00AA076E"/>
    <w:p w14:paraId="48A75C6B" w14:textId="77777777" w:rsidR="00D801FA" w:rsidRPr="0068488B" w:rsidRDefault="00EF105F" w:rsidP="00372EE3">
      <w:pPr>
        <w:outlineLvl w:val="0"/>
        <w:rPr>
          <w:b/>
        </w:rPr>
      </w:pPr>
      <w:r w:rsidRPr="0068488B">
        <w:rPr>
          <w:b/>
        </w:rPr>
        <w:t xml:space="preserve">3.0 </w:t>
      </w:r>
      <w:r w:rsidR="00D801FA" w:rsidRPr="0068488B">
        <w:rPr>
          <w:b/>
        </w:rPr>
        <w:t>Results</w:t>
      </w:r>
    </w:p>
    <w:p w14:paraId="57914B6A" w14:textId="77777777" w:rsidR="00D801FA" w:rsidRPr="0068488B" w:rsidRDefault="00D801FA"/>
    <w:p w14:paraId="7C06F37A" w14:textId="77777777" w:rsidR="00EF105F" w:rsidRPr="0068488B" w:rsidRDefault="00EF105F">
      <w:pPr>
        <w:rPr>
          <w:i/>
        </w:rPr>
      </w:pPr>
      <w:r w:rsidRPr="0068488B">
        <w:rPr>
          <w:i/>
        </w:rPr>
        <w:t>3.1 Understanding access to healthy assets and hazards in Great Britain</w:t>
      </w:r>
    </w:p>
    <w:p w14:paraId="31B78496" w14:textId="77777777" w:rsidR="00EF105F" w:rsidRPr="0068488B" w:rsidRDefault="00EF105F"/>
    <w:p w14:paraId="25B1FCC6" w14:textId="2698B86B" w:rsidR="00B407FA" w:rsidRPr="00FE34EF" w:rsidRDefault="00C4140A">
      <w:r w:rsidRPr="0068488B">
        <w:t xml:space="preserve">Table 1 present summary characteristics of each input variable. On average, a postcode is located nearest to a </w:t>
      </w:r>
      <w:r w:rsidR="00B3645F" w:rsidRPr="0068488B">
        <w:t>pharmacy</w:t>
      </w:r>
      <w:r w:rsidRPr="0068488B">
        <w:t xml:space="preserve"> in compa</w:t>
      </w:r>
      <w:r w:rsidR="001F658C" w:rsidRPr="0068488B">
        <w:t>rison to all the other services or outlets measured. Average distance to a GP practice or dentist were also good, both located closer on average than any retail outlet</w:t>
      </w:r>
      <w:r w:rsidR="00B3645F" w:rsidRPr="0068488B">
        <w:t xml:space="preserve">. </w:t>
      </w:r>
      <w:r w:rsidR="001F658C" w:rsidRPr="0068488B">
        <w:t>Pubs, bars and nightclubs were the most accessible retail outlet, although fast food outlets and gambling outlets were also highly accessible. While off-license and tobacconists were located further away on average in comparison to the other outlets, this does not necessarily mean that access to them is poor</w:t>
      </w:r>
      <w:r w:rsidR="007F37AE">
        <w:t>,</w:t>
      </w:r>
      <w:r w:rsidR="001F658C" w:rsidRPr="0068488B">
        <w:t xml:space="preserve"> since alcohol and tobacco can be purchased in other outlets as well (e.g. supermarkets). Hospitals with A&amp;E were located the furthest away, reflecting their smaller </w:t>
      </w:r>
      <w:r w:rsidR="007F37AE">
        <w:t>prevalence across Great Britain</w:t>
      </w:r>
      <w:r w:rsidR="001F658C" w:rsidRPr="0068488B">
        <w:t>.</w:t>
      </w:r>
      <w:r w:rsidR="005D5E85">
        <w:t xml:space="preserve"> </w:t>
      </w:r>
      <w:r w:rsidR="00066B8E">
        <w:t xml:space="preserve">The median annual pollution levels are each below UK </w:t>
      </w:r>
      <w:r w:rsidR="006F43D4">
        <w:t xml:space="preserve">regulations </w:t>
      </w:r>
      <w:r w:rsidR="00FE34EF">
        <w:t xml:space="preserve">and to contextualise their values a busy road network would have an annual mean greater than 30 </w:t>
      </w:r>
      <w:r w:rsidR="00FE34EF" w:rsidRPr="00FE34EF">
        <w:t>µg m</w:t>
      </w:r>
      <w:r w:rsidR="00FE34EF" w:rsidRPr="004E5661">
        <w:rPr>
          <w:vertAlign w:val="superscript"/>
        </w:rPr>
        <w:t>-3</w:t>
      </w:r>
      <w:r w:rsidR="00FE34EF">
        <w:rPr>
          <w:vertAlign w:val="superscript"/>
        </w:rPr>
        <w:t xml:space="preserve"> </w:t>
      </w:r>
      <w:r w:rsidR="006F43D4" w:rsidRPr="004E5661">
        <w:t xml:space="preserve">for </w:t>
      </w:r>
      <w:r w:rsidR="00FE34EF" w:rsidRPr="004E5661">
        <w:t>PM</w:t>
      </w:r>
      <w:r w:rsidR="00FE34EF" w:rsidRPr="004E5661">
        <w:rPr>
          <w:vertAlign w:val="subscript"/>
        </w:rPr>
        <w:t>10</w:t>
      </w:r>
      <w:r w:rsidR="00FE34EF">
        <w:rPr>
          <w:vertAlign w:val="subscript"/>
        </w:rPr>
        <w:t>,</w:t>
      </w:r>
      <w:r w:rsidR="00FE34EF" w:rsidRPr="004E5661">
        <w:t xml:space="preserve"> </w:t>
      </w:r>
      <w:r w:rsidR="006F43D4">
        <w:t>or NO</w:t>
      </w:r>
      <w:r w:rsidR="006F43D4">
        <w:rPr>
          <w:vertAlign w:val="subscript"/>
        </w:rPr>
        <w:t>2</w:t>
      </w:r>
      <w:r w:rsidR="004E5661" w:rsidRPr="004E5661">
        <w:t xml:space="preserve"> </w:t>
      </w:r>
      <w:r w:rsidR="004E5661">
        <w:t>(vehicle emissions are not major contributors to SO</w:t>
      </w:r>
      <w:r w:rsidR="004E5661">
        <w:rPr>
          <w:vertAlign w:val="subscript"/>
        </w:rPr>
        <w:t xml:space="preserve">2 </w:t>
      </w:r>
      <w:r w:rsidR="004E5661">
        <w:t xml:space="preserve">emissions, however values greater than 5 </w:t>
      </w:r>
      <w:r w:rsidR="004E5661" w:rsidRPr="00FE34EF">
        <w:t>µg m</w:t>
      </w:r>
      <w:r w:rsidR="004E5661" w:rsidRPr="001A7E8C">
        <w:rPr>
          <w:vertAlign w:val="superscript"/>
        </w:rPr>
        <w:t>-3</w:t>
      </w:r>
      <w:r w:rsidR="004E5661">
        <w:rPr>
          <w:vertAlign w:val="superscript"/>
        </w:rPr>
        <w:t xml:space="preserve"> </w:t>
      </w:r>
      <w:r w:rsidR="004E5661">
        <w:t>would be seen in industrial sites)</w:t>
      </w:r>
      <w:r w:rsidR="006F43D4" w:rsidRPr="004E5661">
        <w:t>.</w:t>
      </w:r>
      <w:r w:rsidR="006F43D4">
        <w:t xml:space="preserve"> </w:t>
      </w:r>
    </w:p>
    <w:p w14:paraId="301A51B0" w14:textId="77777777" w:rsidR="00B407FA" w:rsidRPr="0068488B" w:rsidRDefault="00B407FA">
      <w:pPr>
        <w:rPr>
          <w:i/>
        </w:rPr>
      </w:pPr>
    </w:p>
    <w:p w14:paraId="7CBC9CBC" w14:textId="0E87AF55" w:rsidR="00B407FA" w:rsidRPr="0068488B" w:rsidRDefault="00B407FA" w:rsidP="00372EE3">
      <w:pPr>
        <w:outlineLvl w:val="0"/>
        <w:rPr>
          <w:b/>
        </w:rPr>
      </w:pPr>
      <w:r w:rsidRPr="0068488B">
        <w:rPr>
          <w:b/>
        </w:rPr>
        <w:t xml:space="preserve">Table 1: </w:t>
      </w:r>
      <w:r w:rsidR="00315C21">
        <w:rPr>
          <w:b/>
        </w:rPr>
        <w:t>Summary</w:t>
      </w:r>
      <w:r w:rsidR="00315C21" w:rsidRPr="0068488B">
        <w:rPr>
          <w:b/>
        </w:rPr>
        <w:t xml:space="preserve"> </w:t>
      </w:r>
      <w:r w:rsidRPr="0068488B">
        <w:rPr>
          <w:b/>
        </w:rPr>
        <w:t>characteristics for each input variable</w:t>
      </w:r>
      <w:r w:rsidR="00C4140A" w:rsidRPr="0068488B">
        <w:rPr>
          <w:b/>
        </w:rPr>
        <w:t xml:space="preserve"> per </w:t>
      </w:r>
      <w:r w:rsidR="000B325E">
        <w:rPr>
          <w:b/>
        </w:rPr>
        <w:t>area</w:t>
      </w:r>
      <w:r w:rsidRPr="0068488B">
        <w:rPr>
          <w:b/>
        </w:rPr>
        <w:t>.</w:t>
      </w:r>
    </w:p>
    <w:tbl>
      <w:tblPr>
        <w:tblStyle w:val="TableGrid"/>
        <w:tblpPr w:leftFromText="180" w:rightFromText="180" w:vertAnchor="text" w:tblpY="1"/>
        <w:tblOverlap w:val="never"/>
        <w:tblW w:w="8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9"/>
        <w:gridCol w:w="4136"/>
        <w:gridCol w:w="1196"/>
        <w:gridCol w:w="1196"/>
      </w:tblGrid>
      <w:tr w:rsidR="007F1599" w:rsidRPr="0068488B" w14:paraId="28EC71A1" w14:textId="1A2B5689" w:rsidTr="004E5661">
        <w:trPr>
          <w:trHeight w:val="309"/>
        </w:trPr>
        <w:tc>
          <w:tcPr>
            <w:tcW w:w="1799" w:type="dxa"/>
            <w:tcBorders>
              <w:top w:val="single" w:sz="4" w:space="0" w:color="auto"/>
              <w:bottom w:val="single" w:sz="4" w:space="0" w:color="auto"/>
            </w:tcBorders>
            <w:shd w:val="clear" w:color="auto" w:fill="auto"/>
            <w:vAlign w:val="center"/>
          </w:tcPr>
          <w:p w14:paraId="472B952F" w14:textId="1FAC9AD8" w:rsidR="007F1599" w:rsidRPr="0068488B" w:rsidRDefault="007F1599" w:rsidP="0097363C">
            <w:pPr>
              <w:jc w:val="center"/>
              <w:rPr>
                <w:b/>
                <w:sz w:val="18"/>
                <w:szCs w:val="18"/>
              </w:rPr>
            </w:pPr>
            <w:r w:rsidRPr="0068488B">
              <w:rPr>
                <w:b/>
                <w:sz w:val="18"/>
                <w:szCs w:val="18"/>
              </w:rPr>
              <w:t>Domain</w:t>
            </w:r>
          </w:p>
        </w:tc>
        <w:tc>
          <w:tcPr>
            <w:tcW w:w="4136" w:type="dxa"/>
            <w:tcBorders>
              <w:top w:val="single" w:sz="4" w:space="0" w:color="auto"/>
              <w:bottom w:val="single" w:sz="4" w:space="0" w:color="auto"/>
            </w:tcBorders>
            <w:shd w:val="clear" w:color="auto" w:fill="auto"/>
            <w:vAlign w:val="center"/>
          </w:tcPr>
          <w:p w14:paraId="7EBB7B5B" w14:textId="0A85B98A" w:rsidR="007F1599" w:rsidRPr="0068488B" w:rsidRDefault="007F1599" w:rsidP="0097363C">
            <w:pPr>
              <w:jc w:val="center"/>
              <w:rPr>
                <w:b/>
                <w:sz w:val="18"/>
                <w:szCs w:val="18"/>
              </w:rPr>
            </w:pPr>
            <w:r w:rsidRPr="0068488B">
              <w:rPr>
                <w:b/>
                <w:sz w:val="18"/>
                <w:szCs w:val="18"/>
              </w:rPr>
              <w:t>Indicator</w:t>
            </w:r>
          </w:p>
        </w:tc>
        <w:tc>
          <w:tcPr>
            <w:tcW w:w="1196" w:type="dxa"/>
            <w:tcBorders>
              <w:top w:val="single" w:sz="4" w:space="0" w:color="auto"/>
              <w:bottom w:val="single" w:sz="4" w:space="0" w:color="auto"/>
            </w:tcBorders>
            <w:shd w:val="clear" w:color="auto" w:fill="auto"/>
            <w:vAlign w:val="center"/>
          </w:tcPr>
          <w:p w14:paraId="51F7ACA5" w14:textId="065E0B9A" w:rsidR="007F1599" w:rsidRPr="0068488B" w:rsidRDefault="007F1599" w:rsidP="0097363C">
            <w:pPr>
              <w:jc w:val="center"/>
              <w:rPr>
                <w:b/>
                <w:sz w:val="18"/>
                <w:szCs w:val="18"/>
              </w:rPr>
            </w:pPr>
            <w:r>
              <w:rPr>
                <w:b/>
                <w:sz w:val="18"/>
                <w:szCs w:val="18"/>
              </w:rPr>
              <w:t>Median</w:t>
            </w:r>
            <w:r w:rsidRPr="0068488B">
              <w:rPr>
                <w:b/>
                <w:sz w:val="18"/>
                <w:szCs w:val="18"/>
              </w:rPr>
              <w:t xml:space="preserve"> value</w:t>
            </w:r>
          </w:p>
        </w:tc>
        <w:tc>
          <w:tcPr>
            <w:tcW w:w="1196" w:type="dxa"/>
            <w:tcBorders>
              <w:top w:val="single" w:sz="4" w:space="0" w:color="auto"/>
              <w:bottom w:val="single" w:sz="4" w:space="0" w:color="auto"/>
            </w:tcBorders>
          </w:tcPr>
          <w:p w14:paraId="0BA397AB" w14:textId="0515ED51" w:rsidR="007F1599" w:rsidRPr="0068488B" w:rsidDel="00315C21" w:rsidRDefault="007F1599" w:rsidP="0097363C">
            <w:pPr>
              <w:jc w:val="center"/>
              <w:rPr>
                <w:b/>
                <w:sz w:val="18"/>
                <w:szCs w:val="18"/>
              </w:rPr>
            </w:pPr>
            <w:r>
              <w:rPr>
                <w:b/>
                <w:sz w:val="18"/>
                <w:szCs w:val="18"/>
              </w:rPr>
              <w:t>Interquartile range</w:t>
            </w:r>
          </w:p>
        </w:tc>
      </w:tr>
      <w:tr w:rsidR="007F1599" w:rsidRPr="0068488B" w14:paraId="1C0F62C9" w14:textId="1DFE430E" w:rsidTr="004E5661">
        <w:trPr>
          <w:trHeight w:val="136"/>
        </w:trPr>
        <w:tc>
          <w:tcPr>
            <w:tcW w:w="1799" w:type="dxa"/>
            <w:vMerge w:val="restart"/>
            <w:tcBorders>
              <w:top w:val="single" w:sz="4" w:space="0" w:color="auto"/>
            </w:tcBorders>
            <w:shd w:val="clear" w:color="auto" w:fill="auto"/>
            <w:vAlign w:val="center"/>
          </w:tcPr>
          <w:p w14:paraId="20691D70" w14:textId="5D194003" w:rsidR="007F1599" w:rsidRPr="0068488B" w:rsidRDefault="007F1599" w:rsidP="00195CF6">
            <w:pPr>
              <w:jc w:val="center"/>
              <w:rPr>
                <w:sz w:val="18"/>
                <w:szCs w:val="18"/>
              </w:rPr>
            </w:pPr>
            <w:r w:rsidRPr="0068488B">
              <w:rPr>
                <w:sz w:val="18"/>
                <w:szCs w:val="18"/>
              </w:rPr>
              <w:t>Retail Environment</w:t>
            </w:r>
          </w:p>
        </w:tc>
        <w:tc>
          <w:tcPr>
            <w:tcW w:w="4136" w:type="dxa"/>
            <w:tcBorders>
              <w:top w:val="single" w:sz="4" w:space="0" w:color="auto"/>
            </w:tcBorders>
            <w:shd w:val="clear" w:color="auto" w:fill="auto"/>
          </w:tcPr>
          <w:p w14:paraId="44A52BAF" w14:textId="6E0712CC" w:rsidR="007F1599" w:rsidRPr="0068488B" w:rsidRDefault="007F1599" w:rsidP="00195CF6">
            <w:pPr>
              <w:rPr>
                <w:sz w:val="18"/>
                <w:szCs w:val="18"/>
              </w:rPr>
            </w:pPr>
            <w:r w:rsidRPr="0068488B">
              <w:rPr>
                <w:sz w:val="18"/>
                <w:szCs w:val="18"/>
              </w:rPr>
              <w:t>Accessibility to Fast food outlets (km)</w:t>
            </w:r>
          </w:p>
        </w:tc>
        <w:tc>
          <w:tcPr>
            <w:tcW w:w="1196" w:type="dxa"/>
            <w:tcBorders>
              <w:top w:val="single" w:sz="4" w:space="0" w:color="auto"/>
            </w:tcBorders>
            <w:shd w:val="clear" w:color="auto" w:fill="auto"/>
          </w:tcPr>
          <w:p w14:paraId="0F89C466" w14:textId="77777777" w:rsidR="007F1599" w:rsidRPr="0068488B" w:rsidRDefault="007F1599" w:rsidP="00195CF6">
            <w:pPr>
              <w:jc w:val="center"/>
              <w:rPr>
                <w:sz w:val="18"/>
                <w:szCs w:val="18"/>
              </w:rPr>
            </w:pPr>
            <w:r w:rsidRPr="0068488B">
              <w:rPr>
                <w:sz w:val="18"/>
                <w:szCs w:val="18"/>
              </w:rPr>
              <w:t>1.30</w:t>
            </w:r>
          </w:p>
        </w:tc>
        <w:tc>
          <w:tcPr>
            <w:tcW w:w="1196" w:type="dxa"/>
            <w:tcBorders>
              <w:top w:val="single" w:sz="4" w:space="0" w:color="auto"/>
            </w:tcBorders>
          </w:tcPr>
          <w:p w14:paraId="3E5F31F3" w14:textId="15E1F0B4" w:rsidR="007F1599" w:rsidRPr="0068488B" w:rsidRDefault="00E35EC9" w:rsidP="00195CF6">
            <w:pPr>
              <w:jc w:val="center"/>
              <w:rPr>
                <w:sz w:val="18"/>
                <w:szCs w:val="18"/>
              </w:rPr>
            </w:pPr>
            <w:r>
              <w:rPr>
                <w:sz w:val="18"/>
                <w:szCs w:val="18"/>
              </w:rPr>
              <w:t>0.66-2.61</w:t>
            </w:r>
          </w:p>
        </w:tc>
      </w:tr>
      <w:tr w:rsidR="007F1599" w:rsidRPr="0068488B" w14:paraId="69C00A77" w14:textId="650C0427" w:rsidTr="004E5661">
        <w:trPr>
          <w:trHeight w:val="136"/>
        </w:trPr>
        <w:tc>
          <w:tcPr>
            <w:tcW w:w="1799" w:type="dxa"/>
            <w:vMerge/>
            <w:shd w:val="clear" w:color="auto" w:fill="auto"/>
            <w:vAlign w:val="center"/>
          </w:tcPr>
          <w:p w14:paraId="0818CBCB" w14:textId="77777777" w:rsidR="007F1599" w:rsidRPr="0068488B" w:rsidRDefault="007F1599" w:rsidP="00195CF6">
            <w:pPr>
              <w:jc w:val="center"/>
              <w:rPr>
                <w:sz w:val="18"/>
                <w:szCs w:val="18"/>
              </w:rPr>
            </w:pPr>
          </w:p>
        </w:tc>
        <w:tc>
          <w:tcPr>
            <w:tcW w:w="4136" w:type="dxa"/>
            <w:shd w:val="clear" w:color="auto" w:fill="auto"/>
          </w:tcPr>
          <w:p w14:paraId="55791F1E" w14:textId="7B9B18F1" w:rsidR="007F1599" w:rsidRPr="0068488B" w:rsidRDefault="007F1599" w:rsidP="00195CF6">
            <w:pPr>
              <w:rPr>
                <w:sz w:val="18"/>
                <w:szCs w:val="18"/>
              </w:rPr>
            </w:pPr>
            <w:r w:rsidRPr="0068488B">
              <w:rPr>
                <w:sz w:val="18"/>
                <w:szCs w:val="18"/>
              </w:rPr>
              <w:t>Accessibility to Gambling outlets (km)</w:t>
            </w:r>
          </w:p>
        </w:tc>
        <w:tc>
          <w:tcPr>
            <w:tcW w:w="1196" w:type="dxa"/>
            <w:shd w:val="clear" w:color="auto" w:fill="auto"/>
          </w:tcPr>
          <w:p w14:paraId="22ABB777" w14:textId="77777777" w:rsidR="007F1599" w:rsidRPr="0068488B" w:rsidRDefault="007F1599" w:rsidP="00195CF6">
            <w:pPr>
              <w:jc w:val="center"/>
              <w:rPr>
                <w:sz w:val="18"/>
                <w:szCs w:val="18"/>
              </w:rPr>
            </w:pPr>
            <w:r w:rsidRPr="0068488B">
              <w:rPr>
                <w:sz w:val="18"/>
                <w:szCs w:val="18"/>
              </w:rPr>
              <w:t>1.21</w:t>
            </w:r>
          </w:p>
        </w:tc>
        <w:tc>
          <w:tcPr>
            <w:tcW w:w="1196" w:type="dxa"/>
          </w:tcPr>
          <w:p w14:paraId="190833F2" w14:textId="27556641" w:rsidR="007F1599" w:rsidRPr="0068488B" w:rsidRDefault="00E35EC9" w:rsidP="00195CF6">
            <w:pPr>
              <w:jc w:val="center"/>
              <w:rPr>
                <w:sz w:val="18"/>
                <w:szCs w:val="18"/>
              </w:rPr>
            </w:pPr>
            <w:r>
              <w:rPr>
                <w:sz w:val="18"/>
                <w:szCs w:val="18"/>
              </w:rPr>
              <w:t>0.70-2.39</w:t>
            </w:r>
          </w:p>
        </w:tc>
      </w:tr>
      <w:tr w:rsidR="007F1599" w:rsidRPr="0068488B" w14:paraId="2BD7F965" w14:textId="6ABD9457" w:rsidTr="004E5661">
        <w:trPr>
          <w:trHeight w:val="136"/>
        </w:trPr>
        <w:tc>
          <w:tcPr>
            <w:tcW w:w="1799" w:type="dxa"/>
            <w:vMerge/>
            <w:shd w:val="clear" w:color="auto" w:fill="auto"/>
            <w:vAlign w:val="center"/>
          </w:tcPr>
          <w:p w14:paraId="7C939AB0" w14:textId="77777777" w:rsidR="007F1599" w:rsidRPr="0068488B" w:rsidRDefault="007F1599" w:rsidP="00195CF6">
            <w:pPr>
              <w:jc w:val="center"/>
              <w:rPr>
                <w:sz w:val="18"/>
                <w:szCs w:val="18"/>
              </w:rPr>
            </w:pPr>
          </w:p>
        </w:tc>
        <w:tc>
          <w:tcPr>
            <w:tcW w:w="4136" w:type="dxa"/>
            <w:shd w:val="clear" w:color="auto" w:fill="auto"/>
          </w:tcPr>
          <w:p w14:paraId="4944A69B" w14:textId="587EBDA8" w:rsidR="007F1599" w:rsidRPr="0068488B" w:rsidRDefault="007F1599" w:rsidP="00195CF6">
            <w:pPr>
              <w:rPr>
                <w:sz w:val="18"/>
                <w:szCs w:val="18"/>
              </w:rPr>
            </w:pPr>
            <w:r w:rsidRPr="0068488B">
              <w:rPr>
                <w:sz w:val="18"/>
                <w:szCs w:val="18"/>
              </w:rPr>
              <w:t>Accessibility to Off-licenses (km)</w:t>
            </w:r>
          </w:p>
        </w:tc>
        <w:tc>
          <w:tcPr>
            <w:tcW w:w="1196" w:type="dxa"/>
            <w:shd w:val="clear" w:color="auto" w:fill="auto"/>
          </w:tcPr>
          <w:p w14:paraId="69B8690A" w14:textId="77777777" w:rsidR="007F1599" w:rsidRPr="0068488B" w:rsidRDefault="007F1599" w:rsidP="00195CF6">
            <w:pPr>
              <w:jc w:val="center"/>
              <w:rPr>
                <w:sz w:val="18"/>
                <w:szCs w:val="18"/>
              </w:rPr>
            </w:pPr>
            <w:r w:rsidRPr="0068488B">
              <w:rPr>
                <w:sz w:val="18"/>
                <w:szCs w:val="18"/>
              </w:rPr>
              <w:t>2.58</w:t>
            </w:r>
          </w:p>
        </w:tc>
        <w:tc>
          <w:tcPr>
            <w:tcW w:w="1196" w:type="dxa"/>
          </w:tcPr>
          <w:p w14:paraId="05F0CE1D" w14:textId="71055319" w:rsidR="007F1599" w:rsidRPr="0068488B" w:rsidRDefault="00E35EC9" w:rsidP="00195CF6">
            <w:pPr>
              <w:jc w:val="center"/>
              <w:rPr>
                <w:sz w:val="18"/>
                <w:szCs w:val="18"/>
              </w:rPr>
            </w:pPr>
            <w:r>
              <w:rPr>
                <w:sz w:val="18"/>
                <w:szCs w:val="18"/>
              </w:rPr>
              <w:t>1.26-6.13</w:t>
            </w:r>
          </w:p>
        </w:tc>
      </w:tr>
      <w:tr w:rsidR="007F1599" w:rsidRPr="0068488B" w14:paraId="6E3F6219" w14:textId="021FCF5C" w:rsidTr="004E5661">
        <w:trPr>
          <w:trHeight w:val="136"/>
        </w:trPr>
        <w:tc>
          <w:tcPr>
            <w:tcW w:w="1799" w:type="dxa"/>
            <w:vMerge/>
            <w:shd w:val="clear" w:color="auto" w:fill="auto"/>
            <w:vAlign w:val="center"/>
          </w:tcPr>
          <w:p w14:paraId="004434AC" w14:textId="77777777" w:rsidR="007F1599" w:rsidRPr="0068488B" w:rsidRDefault="007F1599" w:rsidP="00195CF6">
            <w:pPr>
              <w:jc w:val="center"/>
              <w:rPr>
                <w:sz w:val="18"/>
                <w:szCs w:val="18"/>
              </w:rPr>
            </w:pPr>
          </w:p>
        </w:tc>
        <w:tc>
          <w:tcPr>
            <w:tcW w:w="4136" w:type="dxa"/>
            <w:shd w:val="clear" w:color="auto" w:fill="auto"/>
          </w:tcPr>
          <w:p w14:paraId="41E78268" w14:textId="10A0F921" w:rsidR="007F1599" w:rsidRPr="0068488B" w:rsidRDefault="007F1599" w:rsidP="00195CF6">
            <w:pPr>
              <w:rPr>
                <w:sz w:val="18"/>
                <w:szCs w:val="18"/>
              </w:rPr>
            </w:pPr>
            <w:r w:rsidRPr="0068488B">
              <w:rPr>
                <w:sz w:val="18"/>
                <w:szCs w:val="18"/>
              </w:rPr>
              <w:t>Accessibility to Tobacconists (km)</w:t>
            </w:r>
          </w:p>
        </w:tc>
        <w:tc>
          <w:tcPr>
            <w:tcW w:w="1196" w:type="dxa"/>
            <w:shd w:val="clear" w:color="auto" w:fill="auto"/>
          </w:tcPr>
          <w:p w14:paraId="6982A69F" w14:textId="77777777" w:rsidR="007F1599" w:rsidRPr="0068488B" w:rsidRDefault="007F1599" w:rsidP="00195CF6">
            <w:pPr>
              <w:jc w:val="center"/>
              <w:rPr>
                <w:sz w:val="18"/>
                <w:szCs w:val="18"/>
              </w:rPr>
            </w:pPr>
            <w:r w:rsidRPr="0068488B">
              <w:rPr>
                <w:sz w:val="18"/>
                <w:szCs w:val="18"/>
              </w:rPr>
              <w:t>3.08</w:t>
            </w:r>
          </w:p>
        </w:tc>
        <w:tc>
          <w:tcPr>
            <w:tcW w:w="1196" w:type="dxa"/>
          </w:tcPr>
          <w:p w14:paraId="19629EF7" w14:textId="6E37E2D1" w:rsidR="007F1599" w:rsidRPr="0068488B" w:rsidRDefault="00E35EC9" w:rsidP="00195CF6">
            <w:pPr>
              <w:jc w:val="center"/>
              <w:rPr>
                <w:sz w:val="18"/>
                <w:szCs w:val="18"/>
              </w:rPr>
            </w:pPr>
            <w:r>
              <w:rPr>
                <w:sz w:val="18"/>
                <w:szCs w:val="18"/>
              </w:rPr>
              <w:t>1.69-6.29</w:t>
            </w:r>
          </w:p>
        </w:tc>
      </w:tr>
      <w:tr w:rsidR="007F1599" w:rsidRPr="0068488B" w14:paraId="1B2BF785" w14:textId="77793974" w:rsidTr="004E5661">
        <w:trPr>
          <w:trHeight w:val="266"/>
        </w:trPr>
        <w:tc>
          <w:tcPr>
            <w:tcW w:w="1799" w:type="dxa"/>
            <w:vMerge/>
            <w:tcBorders>
              <w:bottom w:val="single" w:sz="4" w:space="0" w:color="auto"/>
            </w:tcBorders>
            <w:shd w:val="clear" w:color="auto" w:fill="auto"/>
            <w:vAlign w:val="center"/>
          </w:tcPr>
          <w:p w14:paraId="0A7CD342" w14:textId="77777777" w:rsidR="007F1599" w:rsidRPr="0068488B" w:rsidRDefault="007F1599" w:rsidP="00195CF6">
            <w:pPr>
              <w:jc w:val="center"/>
              <w:rPr>
                <w:sz w:val="18"/>
                <w:szCs w:val="18"/>
              </w:rPr>
            </w:pPr>
          </w:p>
        </w:tc>
        <w:tc>
          <w:tcPr>
            <w:tcW w:w="4136" w:type="dxa"/>
            <w:tcBorders>
              <w:bottom w:val="single" w:sz="4" w:space="0" w:color="auto"/>
            </w:tcBorders>
            <w:shd w:val="clear" w:color="auto" w:fill="auto"/>
          </w:tcPr>
          <w:p w14:paraId="640A09AF" w14:textId="53A560BB" w:rsidR="007F1599" w:rsidRPr="0068488B" w:rsidRDefault="007F1599" w:rsidP="00195CF6">
            <w:pPr>
              <w:rPr>
                <w:sz w:val="18"/>
                <w:szCs w:val="18"/>
              </w:rPr>
            </w:pPr>
            <w:r w:rsidRPr="0068488B">
              <w:rPr>
                <w:sz w:val="18"/>
                <w:szCs w:val="18"/>
              </w:rPr>
              <w:t>Accessibility to Pubs, bars and nightclubs (km)</w:t>
            </w:r>
          </w:p>
        </w:tc>
        <w:tc>
          <w:tcPr>
            <w:tcW w:w="1196" w:type="dxa"/>
            <w:tcBorders>
              <w:bottom w:val="single" w:sz="4" w:space="0" w:color="auto"/>
            </w:tcBorders>
            <w:shd w:val="clear" w:color="auto" w:fill="auto"/>
          </w:tcPr>
          <w:p w14:paraId="702265D3" w14:textId="77777777" w:rsidR="007F1599" w:rsidRPr="0068488B" w:rsidRDefault="007F1599" w:rsidP="00195CF6">
            <w:pPr>
              <w:jc w:val="center"/>
              <w:rPr>
                <w:sz w:val="18"/>
                <w:szCs w:val="18"/>
              </w:rPr>
            </w:pPr>
            <w:r w:rsidRPr="0068488B">
              <w:rPr>
                <w:sz w:val="18"/>
                <w:szCs w:val="18"/>
              </w:rPr>
              <w:t>1.12</w:t>
            </w:r>
          </w:p>
        </w:tc>
        <w:tc>
          <w:tcPr>
            <w:tcW w:w="1196" w:type="dxa"/>
            <w:tcBorders>
              <w:bottom w:val="single" w:sz="4" w:space="0" w:color="auto"/>
            </w:tcBorders>
          </w:tcPr>
          <w:p w14:paraId="009E122D" w14:textId="1EFEB1CF" w:rsidR="007F1599" w:rsidRPr="0068488B" w:rsidRDefault="00E35EC9" w:rsidP="00195CF6">
            <w:pPr>
              <w:jc w:val="center"/>
              <w:rPr>
                <w:sz w:val="18"/>
                <w:szCs w:val="18"/>
              </w:rPr>
            </w:pPr>
            <w:r>
              <w:rPr>
                <w:sz w:val="18"/>
                <w:szCs w:val="18"/>
              </w:rPr>
              <w:t>0.64-1.99</w:t>
            </w:r>
          </w:p>
        </w:tc>
      </w:tr>
      <w:tr w:rsidR="007F1599" w:rsidRPr="0068488B" w14:paraId="3A78A17D" w14:textId="4B2C05B7" w:rsidTr="004E5661">
        <w:trPr>
          <w:trHeight w:val="136"/>
        </w:trPr>
        <w:tc>
          <w:tcPr>
            <w:tcW w:w="1799" w:type="dxa"/>
            <w:vMerge w:val="restart"/>
            <w:tcBorders>
              <w:top w:val="single" w:sz="4" w:space="0" w:color="auto"/>
            </w:tcBorders>
            <w:shd w:val="clear" w:color="auto" w:fill="auto"/>
            <w:vAlign w:val="center"/>
          </w:tcPr>
          <w:p w14:paraId="1FC1C014" w14:textId="42F837ED" w:rsidR="007F1599" w:rsidRPr="0068488B" w:rsidRDefault="007F1599" w:rsidP="00195CF6">
            <w:pPr>
              <w:jc w:val="center"/>
              <w:rPr>
                <w:sz w:val="18"/>
                <w:szCs w:val="18"/>
              </w:rPr>
            </w:pPr>
            <w:r w:rsidRPr="0068488B">
              <w:rPr>
                <w:sz w:val="18"/>
                <w:szCs w:val="18"/>
              </w:rPr>
              <w:t>Health Services</w:t>
            </w:r>
          </w:p>
        </w:tc>
        <w:tc>
          <w:tcPr>
            <w:tcW w:w="4136" w:type="dxa"/>
            <w:tcBorders>
              <w:top w:val="single" w:sz="4" w:space="0" w:color="auto"/>
            </w:tcBorders>
            <w:shd w:val="clear" w:color="auto" w:fill="auto"/>
          </w:tcPr>
          <w:p w14:paraId="620DC671" w14:textId="1B560E25" w:rsidR="007F1599" w:rsidRPr="0068488B" w:rsidRDefault="007F1599" w:rsidP="00195CF6">
            <w:pPr>
              <w:rPr>
                <w:sz w:val="18"/>
                <w:szCs w:val="18"/>
              </w:rPr>
            </w:pPr>
            <w:r w:rsidRPr="0068488B">
              <w:rPr>
                <w:sz w:val="18"/>
                <w:szCs w:val="18"/>
              </w:rPr>
              <w:t>Accessibility to GP practices (km)</w:t>
            </w:r>
          </w:p>
        </w:tc>
        <w:tc>
          <w:tcPr>
            <w:tcW w:w="1196" w:type="dxa"/>
            <w:tcBorders>
              <w:top w:val="single" w:sz="4" w:space="0" w:color="auto"/>
            </w:tcBorders>
            <w:shd w:val="clear" w:color="auto" w:fill="auto"/>
          </w:tcPr>
          <w:p w14:paraId="4582CABF" w14:textId="77777777" w:rsidR="007F1599" w:rsidRPr="0068488B" w:rsidRDefault="007F1599" w:rsidP="00195CF6">
            <w:pPr>
              <w:jc w:val="center"/>
              <w:rPr>
                <w:sz w:val="18"/>
                <w:szCs w:val="18"/>
              </w:rPr>
            </w:pPr>
            <w:r w:rsidRPr="0068488B">
              <w:rPr>
                <w:sz w:val="18"/>
                <w:szCs w:val="18"/>
              </w:rPr>
              <w:t>1.05</w:t>
            </w:r>
          </w:p>
        </w:tc>
        <w:tc>
          <w:tcPr>
            <w:tcW w:w="1196" w:type="dxa"/>
            <w:tcBorders>
              <w:top w:val="single" w:sz="4" w:space="0" w:color="auto"/>
            </w:tcBorders>
          </w:tcPr>
          <w:p w14:paraId="72E40E40" w14:textId="1240859C" w:rsidR="007F1599" w:rsidRPr="0068488B" w:rsidRDefault="00E35EC9" w:rsidP="00195CF6">
            <w:pPr>
              <w:jc w:val="center"/>
              <w:rPr>
                <w:sz w:val="18"/>
                <w:szCs w:val="18"/>
              </w:rPr>
            </w:pPr>
            <w:r>
              <w:rPr>
                <w:sz w:val="18"/>
                <w:szCs w:val="18"/>
              </w:rPr>
              <w:t>0.65-1.79</w:t>
            </w:r>
          </w:p>
        </w:tc>
      </w:tr>
      <w:tr w:rsidR="007F1599" w:rsidRPr="0068488B" w14:paraId="18427449" w14:textId="3203B193" w:rsidTr="004E5661">
        <w:trPr>
          <w:trHeight w:val="136"/>
        </w:trPr>
        <w:tc>
          <w:tcPr>
            <w:tcW w:w="1799" w:type="dxa"/>
            <w:vMerge/>
            <w:shd w:val="clear" w:color="auto" w:fill="auto"/>
            <w:vAlign w:val="center"/>
          </w:tcPr>
          <w:p w14:paraId="01AF4C17" w14:textId="77777777" w:rsidR="007F1599" w:rsidRPr="0068488B" w:rsidRDefault="007F1599" w:rsidP="00195CF6">
            <w:pPr>
              <w:jc w:val="center"/>
              <w:rPr>
                <w:sz w:val="18"/>
                <w:szCs w:val="18"/>
              </w:rPr>
            </w:pPr>
          </w:p>
        </w:tc>
        <w:tc>
          <w:tcPr>
            <w:tcW w:w="4136" w:type="dxa"/>
            <w:shd w:val="clear" w:color="auto" w:fill="auto"/>
          </w:tcPr>
          <w:p w14:paraId="3DE1C02C" w14:textId="50527BC6" w:rsidR="007F1599" w:rsidRPr="0068488B" w:rsidRDefault="007F1599" w:rsidP="00195CF6">
            <w:pPr>
              <w:rPr>
                <w:sz w:val="18"/>
                <w:szCs w:val="18"/>
              </w:rPr>
            </w:pPr>
            <w:r w:rsidRPr="0068488B">
              <w:rPr>
                <w:sz w:val="18"/>
                <w:szCs w:val="18"/>
              </w:rPr>
              <w:t>Accessibility to Accident &amp;</w:t>
            </w:r>
            <w:r w:rsidR="00E35EC9">
              <w:rPr>
                <w:sz w:val="18"/>
                <w:szCs w:val="18"/>
              </w:rPr>
              <w:t xml:space="preserve"> </w:t>
            </w:r>
            <w:r w:rsidRPr="0068488B">
              <w:rPr>
                <w:sz w:val="18"/>
                <w:szCs w:val="18"/>
              </w:rPr>
              <w:t>Emergency hospitals (km)</w:t>
            </w:r>
          </w:p>
        </w:tc>
        <w:tc>
          <w:tcPr>
            <w:tcW w:w="1196" w:type="dxa"/>
            <w:shd w:val="clear" w:color="auto" w:fill="auto"/>
          </w:tcPr>
          <w:p w14:paraId="18961B46" w14:textId="77777777" w:rsidR="007F1599" w:rsidRPr="0068488B" w:rsidRDefault="007F1599" w:rsidP="00195CF6">
            <w:pPr>
              <w:jc w:val="center"/>
              <w:rPr>
                <w:sz w:val="18"/>
                <w:szCs w:val="18"/>
              </w:rPr>
            </w:pPr>
            <w:r w:rsidRPr="0068488B">
              <w:rPr>
                <w:sz w:val="18"/>
                <w:szCs w:val="18"/>
              </w:rPr>
              <w:t>7.45</w:t>
            </w:r>
          </w:p>
        </w:tc>
        <w:tc>
          <w:tcPr>
            <w:tcW w:w="1196" w:type="dxa"/>
          </w:tcPr>
          <w:p w14:paraId="52C025D9" w14:textId="07634D6D" w:rsidR="007F1599" w:rsidRPr="0068488B" w:rsidRDefault="00E35EC9" w:rsidP="00195CF6">
            <w:pPr>
              <w:jc w:val="center"/>
              <w:rPr>
                <w:sz w:val="18"/>
                <w:szCs w:val="18"/>
              </w:rPr>
            </w:pPr>
            <w:r>
              <w:rPr>
                <w:sz w:val="18"/>
                <w:szCs w:val="18"/>
              </w:rPr>
              <w:t>4.22-14.40</w:t>
            </w:r>
          </w:p>
        </w:tc>
      </w:tr>
      <w:tr w:rsidR="007F1599" w:rsidRPr="0068488B" w14:paraId="3F914221" w14:textId="3078E0AE" w:rsidTr="004E5661">
        <w:trPr>
          <w:trHeight w:val="136"/>
        </w:trPr>
        <w:tc>
          <w:tcPr>
            <w:tcW w:w="1799" w:type="dxa"/>
            <w:vMerge/>
            <w:shd w:val="clear" w:color="auto" w:fill="auto"/>
            <w:vAlign w:val="center"/>
          </w:tcPr>
          <w:p w14:paraId="48C248FB" w14:textId="77777777" w:rsidR="007F1599" w:rsidRPr="0068488B" w:rsidRDefault="007F1599" w:rsidP="00195CF6">
            <w:pPr>
              <w:jc w:val="center"/>
              <w:rPr>
                <w:sz w:val="18"/>
                <w:szCs w:val="18"/>
              </w:rPr>
            </w:pPr>
          </w:p>
        </w:tc>
        <w:tc>
          <w:tcPr>
            <w:tcW w:w="4136" w:type="dxa"/>
            <w:shd w:val="clear" w:color="auto" w:fill="auto"/>
          </w:tcPr>
          <w:p w14:paraId="20196D4A" w14:textId="6A4871DB" w:rsidR="007F1599" w:rsidRPr="0068488B" w:rsidRDefault="007F1599" w:rsidP="00195CF6">
            <w:pPr>
              <w:rPr>
                <w:sz w:val="18"/>
                <w:szCs w:val="18"/>
              </w:rPr>
            </w:pPr>
            <w:r w:rsidRPr="0068488B">
              <w:rPr>
                <w:sz w:val="18"/>
                <w:szCs w:val="18"/>
              </w:rPr>
              <w:t>Accessibility to Pharmacies (km)</w:t>
            </w:r>
          </w:p>
        </w:tc>
        <w:tc>
          <w:tcPr>
            <w:tcW w:w="1196" w:type="dxa"/>
            <w:shd w:val="clear" w:color="auto" w:fill="auto"/>
          </w:tcPr>
          <w:p w14:paraId="0A8272F2" w14:textId="77777777" w:rsidR="007F1599" w:rsidRPr="0068488B" w:rsidRDefault="007F1599" w:rsidP="00195CF6">
            <w:pPr>
              <w:jc w:val="center"/>
              <w:rPr>
                <w:sz w:val="18"/>
                <w:szCs w:val="18"/>
              </w:rPr>
            </w:pPr>
            <w:r w:rsidRPr="0068488B">
              <w:rPr>
                <w:sz w:val="18"/>
                <w:szCs w:val="18"/>
              </w:rPr>
              <w:t>0.85</w:t>
            </w:r>
          </w:p>
        </w:tc>
        <w:tc>
          <w:tcPr>
            <w:tcW w:w="1196" w:type="dxa"/>
          </w:tcPr>
          <w:p w14:paraId="28504DCD" w14:textId="079DF0B2" w:rsidR="007F1599" w:rsidRPr="0068488B" w:rsidRDefault="00E35EC9" w:rsidP="00195CF6">
            <w:pPr>
              <w:jc w:val="center"/>
              <w:rPr>
                <w:sz w:val="18"/>
                <w:szCs w:val="18"/>
              </w:rPr>
            </w:pPr>
            <w:r>
              <w:rPr>
                <w:sz w:val="18"/>
                <w:szCs w:val="18"/>
              </w:rPr>
              <w:t>0.56-1.36</w:t>
            </w:r>
          </w:p>
        </w:tc>
      </w:tr>
      <w:tr w:rsidR="007F1599" w:rsidRPr="0068488B" w14:paraId="4A4344CA" w14:textId="2BC57C1A" w:rsidTr="004E5661">
        <w:trPr>
          <w:trHeight w:val="136"/>
        </w:trPr>
        <w:tc>
          <w:tcPr>
            <w:tcW w:w="1799" w:type="dxa"/>
            <w:vMerge/>
            <w:shd w:val="clear" w:color="auto" w:fill="auto"/>
            <w:vAlign w:val="center"/>
          </w:tcPr>
          <w:p w14:paraId="44183FD3" w14:textId="77777777" w:rsidR="007F1599" w:rsidRPr="0068488B" w:rsidRDefault="007F1599" w:rsidP="00195CF6">
            <w:pPr>
              <w:jc w:val="center"/>
              <w:rPr>
                <w:sz w:val="18"/>
                <w:szCs w:val="18"/>
              </w:rPr>
            </w:pPr>
          </w:p>
        </w:tc>
        <w:tc>
          <w:tcPr>
            <w:tcW w:w="4136" w:type="dxa"/>
            <w:shd w:val="clear" w:color="auto" w:fill="auto"/>
          </w:tcPr>
          <w:p w14:paraId="798947D0" w14:textId="6076AEAE" w:rsidR="007F1599" w:rsidRPr="0068488B" w:rsidRDefault="007F1599" w:rsidP="00195CF6">
            <w:pPr>
              <w:rPr>
                <w:sz w:val="18"/>
                <w:szCs w:val="18"/>
              </w:rPr>
            </w:pPr>
            <w:r w:rsidRPr="0068488B">
              <w:rPr>
                <w:sz w:val="18"/>
                <w:szCs w:val="18"/>
              </w:rPr>
              <w:t>Accessibility to Dentist practices (km)</w:t>
            </w:r>
          </w:p>
        </w:tc>
        <w:tc>
          <w:tcPr>
            <w:tcW w:w="1196" w:type="dxa"/>
            <w:shd w:val="clear" w:color="auto" w:fill="auto"/>
          </w:tcPr>
          <w:p w14:paraId="2294FA70" w14:textId="77777777" w:rsidR="007F1599" w:rsidRPr="0068488B" w:rsidRDefault="007F1599" w:rsidP="00195CF6">
            <w:pPr>
              <w:jc w:val="center"/>
              <w:rPr>
                <w:sz w:val="18"/>
                <w:szCs w:val="18"/>
              </w:rPr>
            </w:pPr>
            <w:r w:rsidRPr="0068488B">
              <w:rPr>
                <w:sz w:val="18"/>
                <w:szCs w:val="18"/>
              </w:rPr>
              <w:t>1.05</w:t>
            </w:r>
          </w:p>
        </w:tc>
        <w:tc>
          <w:tcPr>
            <w:tcW w:w="1196" w:type="dxa"/>
          </w:tcPr>
          <w:p w14:paraId="5236C7FD" w14:textId="51278294" w:rsidR="007F1599" w:rsidRPr="0068488B" w:rsidRDefault="00E35EC9" w:rsidP="00195CF6">
            <w:pPr>
              <w:jc w:val="center"/>
              <w:rPr>
                <w:sz w:val="18"/>
                <w:szCs w:val="18"/>
              </w:rPr>
            </w:pPr>
            <w:r>
              <w:rPr>
                <w:sz w:val="18"/>
                <w:szCs w:val="18"/>
              </w:rPr>
              <w:t>0.62-1.82</w:t>
            </w:r>
          </w:p>
        </w:tc>
      </w:tr>
      <w:tr w:rsidR="007F1599" w:rsidRPr="0068488B" w14:paraId="444AB182" w14:textId="1AA306E2" w:rsidTr="004E5661">
        <w:trPr>
          <w:trHeight w:val="136"/>
        </w:trPr>
        <w:tc>
          <w:tcPr>
            <w:tcW w:w="1799" w:type="dxa"/>
            <w:vMerge/>
            <w:tcBorders>
              <w:bottom w:val="single" w:sz="4" w:space="0" w:color="auto"/>
            </w:tcBorders>
            <w:shd w:val="clear" w:color="auto" w:fill="auto"/>
            <w:vAlign w:val="center"/>
          </w:tcPr>
          <w:p w14:paraId="6FFA8118" w14:textId="77777777" w:rsidR="007F1599" w:rsidRPr="0068488B" w:rsidRDefault="007F1599" w:rsidP="00195CF6">
            <w:pPr>
              <w:jc w:val="center"/>
              <w:rPr>
                <w:sz w:val="18"/>
                <w:szCs w:val="18"/>
              </w:rPr>
            </w:pPr>
          </w:p>
        </w:tc>
        <w:tc>
          <w:tcPr>
            <w:tcW w:w="4136" w:type="dxa"/>
            <w:tcBorders>
              <w:bottom w:val="single" w:sz="4" w:space="0" w:color="auto"/>
            </w:tcBorders>
            <w:shd w:val="clear" w:color="auto" w:fill="auto"/>
          </w:tcPr>
          <w:p w14:paraId="147AC217" w14:textId="715549BB" w:rsidR="007F1599" w:rsidRPr="0068488B" w:rsidRDefault="007F1599" w:rsidP="00195CF6">
            <w:pPr>
              <w:rPr>
                <w:sz w:val="18"/>
                <w:szCs w:val="18"/>
              </w:rPr>
            </w:pPr>
            <w:r w:rsidRPr="0068488B">
              <w:rPr>
                <w:sz w:val="18"/>
                <w:szCs w:val="18"/>
              </w:rPr>
              <w:t>Accessibility to Leisure services (km)</w:t>
            </w:r>
          </w:p>
        </w:tc>
        <w:tc>
          <w:tcPr>
            <w:tcW w:w="1196" w:type="dxa"/>
            <w:tcBorders>
              <w:bottom w:val="single" w:sz="4" w:space="0" w:color="auto"/>
            </w:tcBorders>
            <w:shd w:val="clear" w:color="auto" w:fill="auto"/>
          </w:tcPr>
          <w:p w14:paraId="44749C89" w14:textId="77777777" w:rsidR="007F1599" w:rsidRPr="0068488B" w:rsidRDefault="007F1599" w:rsidP="00195CF6">
            <w:pPr>
              <w:jc w:val="center"/>
              <w:rPr>
                <w:sz w:val="18"/>
                <w:szCs w:val="18"/>
              </w:rPr>
            </w:pPr>
            <w:r w:rsidRPr="0068488B">
              <w:rPr>
                <w:sz w:val="18"/>
                <w:szCs w:val="18"/>
              </w:rPr>
              <w:t>2.45</w:t>
            </w:r>
          </w:p>
        </w:tc>
        <w:tc>
          <w:tcPr>
            <w:tcW w:w="1196" w:type="dxa"/>
            <w:tcBorders>
              <w:bottom w:val="single" w:sz="4" w:space="0" w:color="auto"/>
            </w:tcBorders>
          </w:tcPr>
          <w:p w14:paraId="7B4BDAFF" w14:textId="73C93E28" w:rsidR="007F1599" w:rsidRPr="0068488B" w:rsidRDefault="00E35EC9" w:rsidP="00195CF6">
            <w:pPr>
              <w:jc w:val="center"/>
              <w:rPr>
                <w:sz w:val="18"/>
                <w:szCs w:val="18"/>
              </w:rPr>
            </w:pPr>
            <w:r>
              <w:rPr>
                <w:sz w:val="18"/>
                <w:szCs w:val="18"/>
              </w:rPr>
              <w:t>1.33-4.98</w:t>
            </w:r>
          </w:p>
        </w:tc>
      </w:tr>
      <w:tr w:rsidR="007F1599" w:rsidRPr="0068488B" w14:paraId="4301C120" w14:textId="281D731B" w:rsidTr="004E5661">
        <w:trPr>
          <w:trHeight w:val="136"/>
        </w:trPr>
        <w:tc>
          <w:tcPr>
            <w:tcW w:w="1799" w:type="dxa"/>
            <w:vMerge w:val="restart"/>
            <w:tcBorders>
              <w:top w:val="single" w:sz="4" w:space="0" w:color="auto"/>
            </w:tcBorders>
            <w:shd w:val="clear" w:color="auto" w:fill="auto"/>
            <w:vAlign w:val="center"/>
          </w:tcPr>
          <w:p w14:paraId="7F8914F3" w14:textId="439BAE7E" w:rsidR="007F1599" w:rsidRPr="0068488B" w:rsidRDefault="007F1599" w:rsidP="00195CF6">
            <w:pPr>
              <w:jc w:val="center"/>
              <w:rPr>
                <w:sz w:val="18"/>
                <w:szCs w:val="18"/>
              </w:rPr>
            </w:pPr>
            <w:r w:rsidRPr="0068488B">
              <w:rPr>
                <w:sz w:val="18"/>
                <w:szCs w:val="18"/>
              </w:rPr>
              <w:t>Physical Environment</w:t>
            </w:r>
          </w:p>
        </w:tc>
        <w:tc>
          <w:tcPr>
            <w:tcW w:w="4136" w:type="dxa"/>
            <w:tcBorders>
              <w:top w:val="single" w:sz="4" w:space="0" w:color="auto"/>
            </w:tcBorders>
            <w:shd w:val="clear" w:color="auto" w:fill="auto"/>
          </w:tcPr>
          <w:p w14:paraId="143FBD8A" w14:textId="783760CA" w:rsidR="007F1599" w:rsidRPr="0068488B" w:rsidRDefault="007F1599" w:rsidP="00195CF6">
            <w:pPr>
              <w:rPr>
                <w:sz w:val="18"/>
                <w:szCs w:val="18"/>
              </w:rPr>
            </w:pPr>
            <w:r w:rsidRPr="0068488B">
              <w:rPr>
                <w:sz w:val="18"/>
                <w:szCs w:val="18"/>
              </w:rPr>
              <w:t>Accessibility to Green spaces (km</w:t>
            </w:r>
            <w:r w:rsidRPr="0068488B">
              <w:rPr>
                <w:sz w:val="18"/>
                <w:szCs w:val="18"/>
                <w:vertAlign w:val="superscript"/>
              </w:rPr>
              <w:t>2</w:t>
            </w:r>
            <w:r w:rsidRPr="0068488B">
              <w:rPr>
                <w:sz w:val="18"/>
                <w:szCs w:val="18"/>
              </w:rPr>
              <w:t>)</w:t>
            </w:r>
          </w:p>
        </w:tc>
        <w:tc>
          <w:tcPr>
            <w:tcW w:w="1196" w:type="dxa"/>
            <w:tcBorders>
              <w:top w:val="single" w:sz="4" w:space="0" w:color="auto"/>
            </w:tcBorders>
            <w:shd w:val="clear" w:color="auto" w:fill="auto"/>
          </w:tcPr>
          <w:p w14:paraId="6C572608" w14:textId="77777777" w:rsidR="007F1599" w:rsidRPr="0068488B" w:rsidRDefault="007F1599" w:rsidP="00195CF6">
            <w:pPr>
              <w:jc w:val="center"/>
              <w:rPr>
                <w:sz w:val="18"/>
                <w:szCs w:val="18"/>
              </w:rPr>
            </w:pPr>
            <w:r w:rsidRPr="0068488B">
              <w:rPr>
                <w:sz w:val="18"/>
                <w:szCs w:val="18"/>
              </w:rPr>
              <w:t>0.55</w:t>
            </w:r>
          </w:p>
        </w:tc>
        <w:tc>
          <w:tcPr>
            <w:tcW w:w="1196" w:type="dxa"/>
            <w:tcBorders>
              <w:top w:val="single" w:sz="4" w:space="0" w:color="auto"/>
            </w:tcBorders>
          </w:tcPr>
          <w:p w14:paraId="0CD5A010" w14:textId="5821AD35" w:rsidR="007F1599" w:rsidRPr="0068488B" w:rsidRDefault="00E35EC9" w:rsidP="00195CF6">
            <w:pPr>
              <w:jc w:val="center"/>
              <w:rPr>
                <w:sz w:val="18"/>
                <w:szCs w:val="18"/>
              </w:rPr>
            </w:pPr>
            <w:r>
              <w:rPr>
                <w:sz w:val="18"/>
                <w:szCs w:val="18"/>
              </w:rPr>
              <w:t>0.30-0.95</w:t>
            </w:r>
          </w:p>
        </w:tc>
      </w:tr>
      <w:tr w:rsidR="007F1599" w:rsidRPr="0068488B" w14:paraId="04F22BF7" w14:textId="7A6A43B3" w:rsidTr="004E5661">
        <w:trPr>
          <w:trHeight w:val="136"/>
        </w:trPr>
        <w:tc>
          <w:tcPr>
            <w:tcW w:w="1799" w:type="dxa"/>
            <w:vMerge/>
            <w:shd w:val="clear" w:color="auto" w:fill="auto"/>
          </w:tcPr>
          <w:p w14:paraId="111FD9DE" w14:textId="77777777" w:rsidR="007F1599" w:rsidRPr="0068488B" w:rsidRDefault="007F1599" w:rsidP="00195CF6">
            <w:pPr>
              <w:rPr>
                <w:sz w:val="18"/>
                <w:szCs w:val="18"/>
              </w:rPr>
            </w:pPr>
          </w:p>
        </w:tc>
        <w:tc>
          <w:tcPr>
            <w:tcW w:w="4136" w:type="dxa"/>
            <w:shd w:val="clear" w:color="auto" w:fill="auto"/>
          </w:tcPr>
          <w:p w14:paraId="76E2F564" w14:textId="5A95A53F" w:rsidR="007F1599" w:rsidRPr="0068488B" w:rsidRDefault="007F1599" w:rsidP="00195CF6">
            <w:pPr>
              <w:rPr>
                <w:sz w:val="18"/>
                <w:szCs w:val="18"/>
              </w:rPr>
            </w:pPr>
            <w:r w:rsidRPr="0068488B">
              <w:rPr>
                <w:sz w:val="18"/>
                <w:szCs w:val="18"/>
              </w:rPr>
              <w:t>Nitrogen Dioxide (NO</w:t>
            </w:r>
            <w:r w:rsidRPr="0068488B">
              <w:rPr>
                <w:sz w:val="18"/>
                <w:szCs w:val="18"/>
                <w:vertAlign w:val="subscript"/>
              </w:rPr>
              <w:t>2</w:t>
            </w:r>
            <w:r w:rsidRPr="0068488B">
              <w:rPr>
                <w:sz w:val="18"/>
                <w:szCs w:val="18"/>
              </w:rPr>
              <w:t>) (µg m</w:t>
            </w:r>
            <w:r w:rsidRPr="0068488B">
              <w:rPr>
                <w:sz w:val="18"/>
                <w:szCs w:val="18"/>
                <w:vertAlign w:val="superscript"/>
              </w:rPr>
              <w:t>-3</w:t>
            </w:r>
            <w:r w:rsidRPr="0068488B">
              <w:rPr>
                <w:sz w:val="18"/>
                <w:szCs w:val="18"/>
              </w:rPr>
              <w:t>)</w:t>
            </w:r>
          </w:p>
        </w:tc>
        <w:tc>
          <w:tcPr>
            <w:tcW w:w="1196" w:type="dxa"/>
            <w:shd w:val="clear" w:color="auto" w:fill="auto"/>
          </w:tcPr>
          <w:p w14:paraId="7BECE793" w14:textId="77777777" w:rsidR="007F1599" w:rsidRPr="0068488B" w:rsidRDefault="007F1599" w:rsidP="00195CF6">
            <w:pPr>
              <w:jc w:val="center"/>
              <w:rPr>
                <w:sz w:val="18"/>
                <w:szCs w:val="18"/>
              </w:rPr>
            </w:pPr>
            <w:r w:rsidRPr="0068488B">
              <w:rPr>
                <w:sz w:val="18"/>
                <w:szCs w:val="18"/>
              </w:rPr>
              <w:t>10.60</w:t>
            </w:r>
          </w:p>
        </w:tc>
        <w:tc>
          <w:tcPr>
            <w:tcW w:w="1196" w:type="dxa"/>
          </w:tcPr>
          <w:p w14:paraId="59B42B94" w14:textId="4ADB3F8C" w:rsidR="007F1599" w:rsidRPr="0068488B" w:rsidRDefault="00E35EC9" w:rsidP="00195CF6">
            <w:pPr>
              <w:jc w:val="center"/>
              <w:rPr>
                <w:sz w:val="18"/>
                <w:szCs w:val="18"/>
              </w:rPr>
            </w:pPr>
            <w:r>
              <w:rPr>
                <w:sz w:val="18"/>
                <w:szCs w:val="18"/>
              </w:rPr>
              <w:t>8.24-13.35</w:t>
            </w:r>
          </w:p>
        </w:tc>
      </w:tr>
      <w:tr w:rsidR="007F1599" w:rsidRPr="0068488B" w14:paraId="3EF1346F" w14:textId="6FF8A8DA" w:rsidTr="004E5661">
        <w:trPr>
          <w:trHeight w:val="245"/>
        </w:trPr>
        <w:tc>
          <w:tcPr>
            <w:tcW w:w="1799" w:type="dxa"/>
            <w:vMerge/>
            <w:shd w:val="clear" w:color="auto" w:fill="auto"/>
          </w:tcPr>
          <w:p w14:paraId="2D434E56" w14:textId="77777777" w:rsidR="007F1599" w:rsidRPr="0068488B" w:rsidRDefault="007F1599" w:rsidP="00195CF6">
            <w:pPr>
              <w:rPr>
                <w:sz w:val="18"/>
                <w:szCs w:val="18"/>
              </w:rPr>
            </w:pPr>
          </w:p>
        </w:tc>
        <w:tc>
          <w:tcPr>
            <w:tcW w:w="4136" w:type="dxa"/>
            <w:shd w:val="clear" w:color="auto" w:fill="auto"/>
          </w:tcPr>
          <w:p w14:paraId="6E050435" w14:textId="37AE4793" w:rsidR="007F1599" w:rsidRPr="0068488B" w:rsidRDefault="007F1599" w:rsidP="00195CF6">
            <w:pPr>
              <w:rPr>
                <w:sz w:val="18"/>
                <w:szCs w:val="18"/>
              </w:rPr>
            </w:pPr>
            <w:r w:rsidRPr="0068488B">
              <w:rPr>
                <w:sz w:val="18"/>
                <w:szCs w:val="18"/>
              </w:rPr>
              <w:t>P</w:t>
            </w:r>
            <w:r>
              <w:rPr>
                <w:sz w:val="18"/>
                <w:szCs w:val="18"/>
              </w:rPr>
              <w:t xml:space="preserve">articulate </w:t>
            </w:r>
            <w:r w:rsidRPr="0068488B">
              <w:rPr>
                <w:sz w:val="18"/>
                <w:szCs w:val="18"/>
              </w:rPr>
              <w:t>M</w:t>
            </w:r>
            <w:r>
              <w:rPr>
                <w:sz w:val="18"/>
                <w:szCs w:val="18"/>
              </w:rPr>
              <w:t xml:space="preserve">atter </w:t>
            </w:r>
            <w:r w:rsidRPr="0068488B">
              <w:rPr>
                <w:sz w:val="18"/>
                <w:szCs w:val="18"/>
              </w:rPr>
              <w:t>10 (µg m</w:t>
            </w:r>
            <w:r w:rsidRPr="0068488B">
              <w:rPr>
                <w:sz w:val="18"/>
                <w:szCs w:val="18"/>
                <w:vertAlign w:val="superscript"/>
              </w:rPr>
              <w:t>-3</w:t>
            </w:r>
            <w:r w:rsidRPr="0068488B">
              <w:rPr>
                <w:sz w:val="18"/>
                <w:szCs w:val="18"/>
              </w:rPr>
              <w:t xml:space="preserve">) </w:t>
            </w:r>
          </w:p>
        </w:tc>
        <w:tc>
          <w:tcPr>
            <w:tcW w:w="1196" w:type="dxa"/>
            <w:shd w:val="clear" w:color="auto" w:fill="auto"/>
          </w:tcPr>
          <w:p w14:paraId="418F1B30" w14:textId="77777777" w:rsidR="007F1599" w:rsidRPr="0068488B" w:rsidRDefault="007F1599" w:rsidP="00195CF6">
            <w:pPr>
              <w:jc w:val="center"/>
              <w:rPr>
                <w:sz w:val="18"/>
                <w:szCs w:val="18"/>
              </w:rPr>
            </w:pPr>
            <w:r w:rsidRPr="0068488B">
              <w:rPr>
                <w:sz w:val="18"/>
                <w:szCs w:val="18"/>
              </w:rPr>
              <w:t>12.74</w:t>
            </w:r>
          </w:p>
        </w:tc>
        <w:tc>
          <w:tcPr>
            <w:tcW w:w="1196" w:type="dxa"/>
          </w:tcPr>
          <w:p w14:paraId="3172961A" w14:textId="7901886A" w:rsidR="007F1599" w:rsidRPr="0068488B" w:rsidRDefault="00E35EC9" w:rsidP="00195CF6">
            <w:pPr>
              <w:jc w:val="center"/>
              <w:rPr>
                <w:sz w:val="18"/>
                <w:szCs w:val="18"/>
              </w:rPr>
            </w:pPr>
            <w:r>
              <w:rPr>
                <w:sz w:val="18"/>
                <w:szCs w:val="18"/>
              </w:rPr>
              <w:t>10.95-14.11</w:t>
            </w:r>
          </w:p>
        </w:tc>
      </w:tr>
      <w:tr w:rsidR="007F1599" w:rsidRPr="0068488B" w14:paraId="73A2081D" w14:textId="13F5344C" w:rsidTr="004E5661">
        <w:trPr>
          <w:trHeight w:val="136"/>
        </w:trPr>
        <w:tc>
          <w:tcPr>
            <w:tcW w:w="1799" w:type="dxa"/>
            <w:vMerge/>
            <w:tcBorders>
              <w:bottom w:val="single" w:sz="4" w:space="0" w:color="auto"/>
            </w:tcBorders>
            <w:shd w:val="clear" w:color="auto" w:fill="auto"/>
          </w:tcPr>
          <w:p w14:paraId="30B80BE2" w14:textId="77777777" w:rsidR="007F1599" w:rsidRPr="0068488B" w:rsidRDefault="007F1599" w:rsidP="00195CF6">
            <w:pPr>
              <w:rPr>
                <w:sz w:val="18"/>
                <w:szCs w:val="18"/>
              </w:rPr>
            </w:pPr>
          </w:p>
        </w:tc>
        <w:tc>
          <w:tcPr>
            <w:tcW w:w="4136" w:type="dxa"/>
            <w:tcBorders>
              <w:bottom w:val="single" w:sz="4" w:space="0" w:color="auto"/>
            </w:tcBorders>
            <w:shd w:val="clear" w:color="auto" w:fill="auto"/>
          </w:tcPr>
          <w:p w14:paraId="21C8A7FB" w14:textId="3A27B67E" w:rsidR="007F1599" w:rsidRPr="0068488B" w:rsidRDefault="007F1599" w:rsidP="00195CF6">
            <w:pPr>
              <w:rPr>
                <w:sz w:val="18"/>
                <w:szCs w:val="18"/>
              </w:rPr>
            </w:pPr>
            <w:r w:rsidRPr="0068488B">
              <w:rPr>
                <w:sz w:val="18"/>
                <w:szCs w:val="18"/>
              </w:rPr>
              <w:t>Sulphur Dioxide (SO</w:t>
            </w:r>
            <w:r w:rsidRPr="0068488B">
              <w:rPr>
                <w:sz w:val="18"/>
                <w:szCs w:val="18"/>
                <w:vertAlign w:val="subscript"/>
              </w:rPr>
              <w:t>2</w:t>
            </w:r>
            <w:r w:rsidRPr="0068488B">
              <w:rPr>
                <w:sz w:val="18"/>
                <w:szCs w:val="18"/>
              </w:rPr>
              <w:t>) (µg m</w:t>
            </w:r>
            <w:r w:rsidRPr="0068488B">
              <w:rPr>
                <w:sz w:val="18"/>
                <w:szCs w:val="18"/>
                <w:vertAlign w:val="superscript"/>
              </w:rPr>
              <w:t>-3</w:t>
            </w:r>
            <w:r w:rsidRPr="0068488B">
              <w:rPr>
                <w:sz w:val="18"/>
                <w:szCs w:val="18"/>
              </w:rPr>
              <w:t>)</w:t>
            </w:r>
          </w:p>
        </w:tc>
        <w:tc>
          <w:tcPr>
            <w:tcW w:w="1196" w:type="dxa"/>
            <w:tcBorders>
              <w:bottom w:val="single" w:sz="4" w:space="0" w:color="auto"/>
            </w:tcBorders>
            <w:shd w:val="clear" w:color="auto" w:fill="auto"/>
          </w:tcPr>
          <w:p w14:paraId="29E11224" w14:textId="77777777" w:rsidR="007F1599" w:rsidRPr="0068488B" w:rsidRDefault="007F1599" w:rsidP="00195CF6">
            <w:pPr>
              <w:jc w:val="center"/>
              <w:rPr>
                <w:sz w:val="18"/>
                <w:szCs w:val="18"/>
              </w:rPr>
            </w:pPr>
            <w:r w:rsidRPr="0068488B">
              <w:rPr>
                <w:sz w:val="18"/>
                <w:szCs w:val="18"/>
              </w:rPr>
              <w:t>1.15</w:t>
            </w:r>
          </w:p>
        </w:tc>
        <w:tc>
          <w:tcPr>
            <w:tcW w:w="1196" w:type="dxa"/>
            <w:tcBorders>
              <w:bottom w:val="single" w:sz="4" w:space="0" w:color="auto"/>
            </w:tcBorders>
          </w:tcPr>
          <w:p w14:paraId="40E3FAB6" w14:textId="1367324E" w:rsidR="007F1599" w:rsidRPr="0068488B" w:rsidRDefault="00E35EC9" w:rsidP="00195CF6">
            <w:pPr>
              <w:jc w:val="center"/>
              <w:rPr>
                <w:sz w:val="18"/>
                <w:szCs w:val="18"/>
              </w:rPr>
            </w:pPr>
            <w:r>
              <w:rPr>
                <w:sz w:val="18"/>
                <w:szCs w:val="18"/>
              </w:rPr>
              <w:t>0.96-1.42</w:t>
            </w:r>
          </w:p>
        </w:tc>
      </w:tr>
    </w:tbl>
    <w:p w14:paraId="5FAE4D81" w14:textId="6D4F8CDB" w:rsidR="00195CF6" w:rsidRPr="0068488B" w:rsidRDefault="00195CF6">
      <w:pPr>
        <w:rPr>
          <w:i/>
        </w:rPr>
      </w:pPr>
      <w:r w:rsidRPr="0068488B">
        <w:rPr>
          <w:i/>
        </w:rPr>
        <w:br w:type="textWrapping" w:clear="all"/>
      </w:r>
    </w:p>
    <w:p w14:paraId="0E5A7F5A" w14:textId="60EFBD81" w:rsidR="00804B75" w:rsidRDefault="00804B75" w:rsidP="00804B75">
      <w:r w:rsidRPr="0068488B">
        <w:lastRenderedPageBreak/>
        <w:t>Figure 1 presents the spatial distribution of the overall AHAH score. There is a notable urban-rural divide, with urban areas broadly performing better than rural areas. The poor performance of many rural regions is driven by the isolation of communities from health services (preserved by the exponential transformation), and particularly evident for the Scottish Highlands. Lincolnshire also has a concentration of areas in the worst performing decile, partly reflecting the inaccessibility to health services but also the higher levels of pollutants from farming. This rural-urban division does not mean that urban areas always perform well. For example, all of the top ten poorest performing areas were located in Inner London due to the high levels of pollution and density of retail outlets. London Heathrow also stands out on the map demonstrating the fine scale nature of patterns captured by the index. Suburban areas surrounding many cities appear to perform best. This is due to their good environmental scores, as well as being located near to health services and far from retail outlets.</w:t>
      </w:r>
    </w:p>
    <w:p w14:paraId="792C6A11" w14:textId="77777777" w:rsidR="000076AC" w:rsidRDefault="000076AC" w:rsidP="00804B75"/>
    <w:p w14:paraId="37EE0277" w14:textId="40E16579" w:rsidR="000076AC" w:rsidRPr="0068488B" w:rsidRDefault="000076AC" w:rsidP="00804B75">
      <w:r>
        <w:t>A correlation matrix between our indicators, as well as the domain scores, is provided in Appendix D.</w:t>
      </w:r>
    </w:p>
    <w:p w14:paraId="40D46022" w14:textId="77777777" w:rsidR="00804B75" w:rsidRPr="0068488B" w:rsidRDefault="00804B75" w:rsidP="00804B75">
      <w:pPr>
        <w:rPr>
          <w:i/>
        </w:rPr>
      </w:pPr>
    </w:p>
    <w:p w14:paraId="2E78DA49" w14:textId="77777777" w:rsidR="00804B75" w:rsidRPr="0068488B" w:rsidRDefault="00804B75" w:rsidP="00804B75">
      <w:pPr>
        <w:rPr>
          <w:i/>
        </w:rPr>
      </w:pPr>
      <w:r w:rsidRPr="0068488B">
        <w:rPr>
          <w:i/>
        </w:rPr>
        <w:t>3.2 Exploring the association of AHAH to ecological measures</w:t>
      </w:r>
    </w:p>
    <w:p w14:paraId="6D5AE581" w14:textId="77777777" w:rsidR="00804B75" w:rsidRPr="0068488B" w:rsidRDefault="00804B75" w:rsidP="00804B75">
      <w:pPr>
        <w:rPr>
          <w:i/>
        </w:rPr>
      </w:pPr>
    </w:p>
    <w:p w14:paraId="53236E8A" w14:textId="02FE0A41" w:rsidR="00804B75" w:rsidRPr="0068488B" w:rsidRDefault="00804B75" w:rsidP="00804B75">
      <w:r w:rsidRPr="0068488B">
        <w:t xml:space="preserve">The first piece of </w:t>
      </w:r>
      <w:r w:rsidR="007F37AE">
        <w:t>analysis</w:t>
      </w:r>
      <w:r w:rsidRPr="0068488B">
        <w:t xml:space="preserve"> was to examine how AHAH and its constituent domains were associated to key ecological measures (Table 2). The overall AHAH score was positively associated to population density in England and Wales, suggesting that areas which were identified as having poor health-related features were more common in urban areas. This would imply that Figure 1 is somewhat misleading. </w:t>
      </w:r>
    </w:p>
    <w:p w14:paraId="11547489" w14:textId="77777777" w:rsidR="00804B75" w:rsidRPr="0068488B" w:rsidRDefault="00804B75" w:rsidP="00804B75"/>
    <w:p w14:paraId="288B57C8" w14:textId="77777777" w:rsidR="00AA4AE7" w:rsidRPr="0068488B" w:rsidRDefault="00AA4AE7">
      <w:pPr>
        <w:rPr>
          <w:i/>
        </w:rPr>
      </w:pPr>
    </w:p>
    <w:p w14:paraId="5A5C29C6" w14:textId="0B932031" w:rsidR="004F5A85" w:rsidRPr="0068488B" w:rsidRDefault="00B9054D">
      <w:pPr>
        <w:rPr>
          <w:i/>
        </w:rPr>
      </w:pPr>
      <w:r w:rsidRPr="0068488B">
        <w:rPr>
          <w:i/>
          <w:noProof/>
        </w:rPr>
        <w:lastRenderedPageBreak/>
        <w:drawing>
          <wp:inline distT="0" distB="0" distL="0" distR="0" wp14:anchorId="2646B46B" wp14:editId="2BF66325">
            <wp:extent cx="5727700" cy="81051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h.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p w14:paraId="5E19842A" w14:textId="206B3395" w:rsidR="007D7192" w:rsidRPr="0068488B" w:rsidRDefault="007D7192">
      <w:r w:rsidRPr="0068488B">
        <w:rPr>
          <w:b/>
        </w:rPr>
        <w:t xml:space="preserve">Figure 1: The geographical distribution of the index of </w:t>
      </w:r>
      <w:r w:rsidR="00714207">
        <w:rPr>
          <w:b/>
        </w:rPr>
        <w:t>Access to H</w:t>
      </w:r>
      <w:r w:rsidRPr="0068488B">
        <w:rPr>
          <w:b/>
        </w:rPr>
        <w:t>ealth</w:t>
      </w:r>
      <w:r w:rsidR="00714207">
        <w:rPr>
          <w:b/>
        </w:rPr>
        <w:t>y</w:t>
      </w:r>
      <w:r w:rsidRPr="0068488B">
        <w:rPr>
          <w:b/>
        </w:rPr>
        <w:t xml:space="preserve"> </w:t>
      </w:r>
      <w:r w:rsidR="00714207">
        <w:rPr>
          <w:b/>
        </w:rPr>
        <w:t>A</w:t>
      </w:r>
      <w:r w:rsidRPr="0068488B">
        <w:rPr>
          <w:b/>
        </w:rPr>
        <w:t xml:space="preserve">ssets and </w:t>
      </w:r>
      <w:r w:rsidR="00714207">
        <w:rPr>
          <w:b/>
        </w:rPr>
        <w:t>H</w:t>
      </w:r>
      <w:r w:rsidRPr="0068488B">
        <w:rPr>
          <w:b/>
        </w:rPr>
        <w:t xml:space="preserve">azards </w:t>
      </w:r>
      <w:r w:rsidR="00714207">
        <w:rPr>
          <w:b/>
        </w:rPr>
        <w:t xml:space="preserve">(AHAH) </w:t>
      </w:r>
      <w:r w:rsidRPr="0068488B">
        <w:rPr>
          <w:b/>
        </w:rPr>
        <w:t>for Great Britain</w:t>
      </w:r>
      <w:r w:rsidR="00714207">
        <w:rPr>
          <w:b/>
        </w:rPr>
        <w:t xml:space="preserve"> (deciles split by rank values)</w:t>
      </w:r>
      <w:r w:rsidRPr="0068488B">
        <w:rPr>
          <w:b/>
        </w:rPr>
        <w:t>.</w:t>
      </w:r>
    </w:p>
    <w:p w14:paraId="3CE045C0" w14:textId="77777777" w:rsidR="00195CF6" w:rsidRPr="0068488B" w:rsidRDefault="00195CF6">
      <w:pPr>
        <w:rPr>
          <w:i/>
        </w:rPr>
      </w:pPr>
    </w:p>
    <w:p w14:paraId="42C52BB5" w14:textId="52ECDD1F" w:rsidR="00AA076E" w:rsidRPr="0068488B" w:rsidRDefault="00AA076E" w:rsidP="00AA076E">
      <w:r w:rsidRPr="0068488B">
        <w:lastRenderedPageBreak/>
        <w:t xml:space="preserve">There was </w:t>
      </w:r>
      <w:r>
        <w:t>little</w:t>
      </w:r>
      <w:r w:rsidRPr="0068488B">
        <w:t xml:space="preserve"> correlation of the overall index to population density in Scotland. Disaggregating the index into the domain scores explains this variation, suggesting that the domain scores are cancelling each other out in Scotland. The retail domain score was </w:t>
      </w:r>
      <w:r>
        <w:t xml:space="preserve">for each country </w:t>
      </w:r>
      <w:r w:rsidRPr="0068488B">
        <w:t xml:space="preserve">positively correlated to population density (i.e. </w:t>
      </w:r>
      <w:r w:rsidR="00BC50D2">
        <w:t>higher population density (</w:t>
      </w:r>
      <w:r w:rsidRPr="0068488B">
        <w:t>urban</w:t>
      </w:r>
      <w:r w:rsidR="00BC50D2">
        <w:t>)</w:t>
      </w:r>
      <w:r w:rsidRPr="0068488B">
        <w:t xml:space="preserve"> areas </w:t>
      </w:r>
      <w:r w:rsidR="00BC50D2">
        <w:t>were associated with poorer environments</w:t>
      </w:r>
      <w:r w:rsidRPr="0068488B">
        <w:t xml:space="preserve">), reflecting the concentration of retail outlets in urban environments. The health domain was negatively associated to population density demonstrating the greater accessibility to health services in urban environments. The environment domain was positively correlated to population density suggesting that urban environments performed poorly. </w:t>
      </w:r>
    </w:p>
    <w:p w14:paraId="1085768E" w14:textId="77777777" w:rsidR="00D002D9" w:rsidRPr="0068488B" w:rsidRDefault="00D002D9"/>
    <w:p w14:paraId="0F48BB8F" w14:textId="6DE879F2" w:rsidR="00D002D9" w:rsidRPr="0068488B" w:rsidRDefault="00D002D9">
      <w:r w:rsidRPr="0068488B">
        <w:t>There was little association of the overall index or the individual domains to either health variable. Many of these w</w:t>
      </w:r>
      <w:r w:rsidR="007F37AE">
        <w:t>eak correlation values suggest</w:t>
      </w:r>
      <w:r w:rsidRPr="0068488B">
        <w:t xml:space="preserve"> that the index was negatively associated with poor health outcomes, contrary to the hypothesised direction.</w:t>
      </w:r>
    </w:p>
    <w:p w14:paraId="4BBD9D6F" w14:textId="77777777" w:rsidR="00D002D9" w:rsidRPr="0068488B" w:rsidRDefault="00D002D9"/>
    <w:p w14:paraId="6DCF245B" w14:textId="00D582EA" w:rsidR="00D002D9" w:rsidRPr="0068488B" w:rsidRDefault="00D002D9">
      <w:r w:rsidRPr="0068488B">
        <w:t xml:space="preserve">Finally, </w:t>
      </w:r>
      <w:r w:rsidR="00B31E7E" w:rsidRPr="0068488B">
        <w:t>there was little association of the overall index or the domain scores to the deprivation rank of an area</w:t>
      </w:r>
      <w:r w:rsidR="008C26B5" w:rsidRPr="0068488B">
        <w:t xml:space="preserve">. </w:t>
      </w:r>
      <w:r w:rsidR="002D29A5">
        <w:t xml:space="preserve">There was little difference in the results between the overall IMD rank and the income domain rank. </w:t>
      </w:r>
      <w:r w:rsidR="008C26B5" w:rsidRPr="0068488B">
        <w:t>Although the association was slightly stronger in England, this may partly reflect differences in how the measures were constructed.</w:t>
      </w:r>
    </w:p>
    <w:p w14:paraId="32BEA6EB" w14:textId="77777777" w:rsidR="00E470F2" w:rsidRPr="0068488B" w:rsidRDefault="00E470F2"/>
    <w:p w14:paraId="4B15C821" w14:textId="38CBA122" w:rsidR="005F199A" w:rsidRPr="0068488B" w:rsidRDefault="002E1E4E">
      <w:pPr>
        <w:rPr>
          <w:b/>
        </w:rPr>
      </w:pPr>
      <w:r w:rsidRPr="0068488B">
        <w:rPr>
          <w:b/>
        </w:rPr>
        <w:t>Table 2:</w:t>
      </w:r>
      <w:r w:rsidR="00710AC1" w:rsidRPr="0068488B">
        <w:rPr>
          <w:b/>
        </w:rPr>
        <w:t xml:space="preserve"> Pearson’s Correlation analysis of AHAH and the domain scores to ecological measures by country.</w:t>
      </w:r>
    </w:p>
    <w:tbl>
      <w:tblPr>
        <w:tblW w:w="9020" w:type="dxa"/>
        <w:tblLook w:val="04A0" w:firstRow="1" w:lastRow="0" w:firstColumn="1" w:lastColumn="0" w:noHBand="0" w:noVBand="1"/>
      </w:tblPr>
      <w:tblGrid>
        <w:gridCol w:w="1469"/>
        <w:gridCol w:w="1055"/>
        <w:gridCol w:w="1257"/>
        <w:gridCol w:w="1247"/>
        <w:gridCol w:w="921"/>
        <w:gridCol w:w="2081"/>
        <w:gridCol w:w="990"/>
      </w:tblGrid>
      <w:tr w:rsidR="002D29A5" w:rsidRPr="0068488B" w14:paraId="322F984B" w14:textId="5B52556D" w:rsidTr="00EB698C">
        <w:trPr>
          <w:trHeight w:val="700"/>
        </w:trPr>
        <w:tc>
          <w:tcPr>
            <w:tcW w:w="1468" w:type="dxa"/>
            <w:tcBorders>
              <w:top w:val="single" w:sz="4" w:space="0" w:color="auto"/>
              <w:left w:val="nil"/>
              <w:bottom w:val="single" w:sz="4" w:space="0" w:color="auto"/>
              <w:right w:val="nil"/>
            </w:tcBorders>
            <w:shd w:val="clear" w:color="auto" w:fill="auto"/>
            <w:vAlign w:val="center"/>
            <w:hideMark/>
          </w:tcPr>
          <w:p w14:paraId="694391B2" w14:textId="77777777" w:rsidR="002D29A5" w:rsidRPr="0068488B" w:rsidRDefault="002D29A5">
            <w:pPr>
              <w:jc w:val="center"/>
              <w:rPr>
                <w:rFonts w:eastAsia="Times New Roman"/>
                <w:color w:val="000000"/>
              </w:rPr>
            </w:pPr>
            <w:r w:rsidRPr="0068488B">
              <w:rPr>
                <w:rFonts w:eastAsia="Times New Roman"/>
                <w:color w:val="000000"/>
              </w:rPr>
              <w:t>AHAH</w:t>
            </w:r>
          </w:p>
        </w:tc>
        <w:tc>
          <w:tcPr>
            <w:tcW w:w="1056" w:type="dxa"/>
            <w:tcBorders>
              <w:top w:val="single" w:sz="4" w:space="0" w:color="auto"/>
              <w:left w:val="nil"/>
              <w:bottom w:val="single" w:sz="4" w:space="0" w:color="auto"/>
              <w:right w:val="nil"/>
            </w:tcBorders>
            <w:shd w:val="clear" w:color="auto" w:fill="auto"/>
            <w:vAlign w:val="center"/>
            <w:hideMark/>
          </w:tcPr>
          <w:p w14:paraId="60395525" w14:textId="77777777" w:rsidR="002D29A5" w:rsidRPr="0068488B" w:rsidRDefault="002D29A5">
            <w:pPr>
              <w:jc w:val="center"/>
              <w:rPr>
                <w:rFonts w:eastAsia="Times New Roman"/>
                <w:color w:val="000000"/>
              </w:rPr>
            </w:pPr>
            <w:r w:rsidRPr="0068488B">
              <w:rPr>
                <w:rFonts w:eastAsia="Times New Roman"/>
                <w:color w:val="000000"/>
              </w:rPr>
              <w:t>Country</w:t>
            </w:r>
          </w:p>
        </w:tc>
        <w:tc>
          <w:tcPr>
            <w:tcW w:w="1257" w:type="dxa"/>
            <w:tcBorders>
              <w:top w:val="single" w:sz="4" w:space="0" w:color="auto"/>
              <w:left w:val="nil"/>
              <w:bottom w:val="single" w:sz="4" w:space="0" w:color="auto"/>
              <w:right w:val="nil"/>
            </w:tcBorders>
            <w:shd w:val="clear" w:color="auto" w:fill="auto"/>
            <w:vAlign w:val="center"/>
            <w:hideMark/>
          </w:tcPr>
          <w:p w14:paraId="12845379" w14:textId="77777777" w:rsidR="002D29A5" w:rsidRPr="0068488B" w:rsidRDefault="002D29A5">
            <w:pPr>
              <w:jc w:val="center"/>
              <w:rPr>
                <w:rFonts w:eastAsia="Times New Roman"/>
                <w:color w:val="000000"/>
              </w:rPr>
            </w:pPr>
            <w:r w:rsidRPr="0068488B">
              <w:rPr>
                <w:rFonts w:eastAsia="Times New Roman"/>
                <w:color w:val="000000"/>
              </w:rPr>
              <w:t>Population Density</w:t>
            </w:r>
          </w:p>
        </w:tc>
        <w:tc>
          <w:tcPr>
            <w:tcW w:w="1247" w:type="dxa"/>
            <w:tcBorders>
              <w:top w:val="single" w:sz="4" w:space="0" w:color="auto"/>
              <w:left w:val="nil"/>
              <w:bottom w:val="single" w:sz="4" w:space="0" w:color="auto"/>
              <w:right w:val="nil"/>
            </w:tcBorders>
            <w:shd w:val="clear" w:color="auto" w:fill="auto"/>
            <w:vAlign w:val="center"/>
            <w:hideMark/>
          </w:tcPr>
          <w:p w14:paraId="7982F310" w14:textId="77777777" w:rsidR="002D29A5" w:rsidRPr="0068488B" w:rsidRDefault="002D29A5">
            <w:pPr>
              <w:jc w:val="center"/>
              <w:rPr>
                <w:rFonts w:eastAsia="Times New Roman"/>
                <w:color w:val="000000"/>
              </w:rPr>
            </w:pPr>
            <w:r w:rsidRPr="0068488B">
              <w:rPr>
                <w:rFonts w:eastAsia="Times New Roman"/>
                <w:color w:val="000000"/>
              </w:rPr>
              <w:t>Limiting Long Term Illness</w:t>
            </w:r>
          </w:p>
        </w:tc>
        <w:tc>
          <w:tcPr>
            <w:tcW w:w="921" w:type="dxa"/>
            <w:tcBorders>
              <w:top w:val="single" w:sz="4" w:space="0" w:color="auto"/>
              <w:left w:val="nil"/>
              <w:bottom w:val="single" w:sz="4" w:space="0" w:color="auto"/>
              <w:right w:val="nil"/>
            </w:tcBorders>
            <w:shd w:val="clear" w:color="auto" w:fill="auto"/>
            <w:vAlign w:val="center"/>
            <w:hideMark/>
          </w:tcPr>
          <w:p w14:paraId="2FB3B02A" w14:textId="77777777" w:rsidR="002D29A5" w:rsidRPr="0068488B" w:rsidRDefault="002D29A5">
            <w:pPr>
              <w:jc w:val="center"/>
              <w:rPr>
                <w:rFonts w:eastAsia="Times New Roman"/>
                <w:color w:val="000000"/>
              </w:rPr>
            </w:pPr>
            <w:r w:rsidRPr="0068488B">
              <w:rPr>
                <w:rFonts w:eastAsia="Times New Roman"/>
                <w:color w:val="000000"/>
              </w:rPr>
              <w:t>Poor Health</w:t>
            </w:r>
          </w:p>
        </w:tc>
        <w:tc>
          <w:tcPr>
            <w:tcW w:w="2081" w:type="dxa"/>
            <w:tcBorders>
              <w:top w:val="single" w:sz="4" w:space="0" w:color="auto"/>
              <w:left w:val="nil"/>
              <w:bottom w:val="single" w:sz="4" w:space="0" w:color="auto"/>
              <w:right w:val="nil"/>
            </w:tcBorders>
            <w:shd w:val="clear" w:color="auto" w:fill="auto"/>
            <w:vAlign w:val="center"/>
            <w:hideMark/>
          </w:tcPr>
          <w:p w14:paraId="76204B90" w14:textId="709EDC67" w:rsidR="002D29A5" w:rsidRDefault="002D29A5" w:rsidP="002D29A5">
            <w:pPr>
              <w:jc w:val="center"/>
              <w:rPr>
                <w:rFonts w:eastAsia="Times New Roman"/>
              </w:rPr>
            </w:pPr>
            <w:r>
              <w:rPr>
                <w:rFonts w:eastAsia="Times New Roman"/>
              </w:rPr>
              <w:t>Overall</w:t>
            </w:r>
          </w:p>
          <w:p w14:paraId="1B79FEC5" w14:textId="4FFFCBF2" w:rsidR="002D29A5" w:rsidRPr="0068488B" w:rsidRDefault="002D29A5" w:rsidP="002D29A5">
            <w:pPr>
              <w:jc w:val="center"/>
              <w:rPr>
                <w:rFonts w:eastAsia="Times New Roman"/>
              </w:rPr>
            </w:pPr>
            <w:r>
              <w:rPr>
                <w:rFonts w:eastAsia="Times New Roman"/>
              </w:rPr>
              <w:t>IMD rank</w:t>
            </w:r>
          </w:p>
        </w:tc>
        <w:tc>
          <w:tcPr>
            <w:tcW w:w="990" w:type="dxa"/>
            <w:tcBorders>
              <w:top w:val="single" w:sz="4" w:space="0" w:color="auto"/>
              <w:left w:val="nil"/>
              <w:bottom w:val="single" w:sz="4" w:space="0" w:color="auto"/>
              <w:right w:val="nil"/>
            </w:tcBorders>
            <w:vAlign w:val="center"/>
          </w:tcPr>
          <w:p w14:paraId="00A40C52" w14:textId="4E92F07A" w:rsidR="002D29A5" w:rsidRPr="0068488B" w:rsidRDefault="002D29A5" w:rsidP="00CA6839">
            <w:pPr>
              <w:jc w:val="center"/>
              <w:rPr>
                <w:rFonts w:eastAsia="Times New Roman"/>
              </w:rPr>
            </w:pPr>
            <w:r>
              <w:rPr>
                <w:rFonts w:eastAsia="Times New Roman"/>
              </w:rPr>
              <w:t>Income Domain Rank</w:t>
            </w:r>
          </w:p>
        </w:tc>
      </w:tr>
      <w:tr w:rsidR="002D29A5" w:rsidRPr="0068488B" w14:paraId="29BF5B7D" w14:textId="30795179" w:rsidTr="00EB698C">
        <w:trPr>
          <w:trHeight w:val="320"/>
        </w:trPr>
        <w:tc>
          <w:tcPr>
            <w:tcW w:w="1468" w:type="dxa"/>
            <w:vMerge w:val="restart"/>
            <w:tcBorders>
              <w:top w:val="nil"/>
              <w:left w:val="nil"/>
              <w:bottom w:val="single" w:sz="4" w:space="0" w:color="000000"/>
              <w:right w:val="nil"/>
            </w:tcBorders>
            <w:shd w:val="clear" w:color="auto" w:fill="auto"/>
            <w:vAlign w:val="center"/>
            <w:hideMark/>
          </w:tcPr>
          <w:p w14:paraId="66F24F15" w14:textId="77777777" w:rsidR="002D29A5" w:rsidRPr="0068488B" w:rsidRDefault="002D29A5">
            <w:pPr>
              <w:jc w:val="center"/>
              <w:rPr>
                <w:rFonts w:eastAsia="Times New Roman"/>
                <w:color w:val="000000"/>
              </w:rPr>
            </w:pPr>
            <w:r w:rsidRPr="0068488B">
              <w:rPr>
                <w:rFonts w:eastAsia="Times New Roman"/>
                <w:color w:val="000000"/>
              </w:rPr>
              <w:t>Overall Index</w:t>
            </w:r>
          </w:p>
        </w:tc>
        <w:tc>
          <w:tcPr>
            <w:tcW w:w="1056" w:type="dxa"/>
            <w:tcBorders>
              <w:top w:val="nil"/>
              <w:left w:val="nil"/>
              <w:bottom w:val="nil"/>
              <w:right w:val="nil"/>
            </w:tcBorders>
            <w:shd w:val="clear" w:color="auto" w:fill="auto"/>
            <w:noWrap/>
            <w:vAlign w:val="bottom"/>
            <w:hideMark/>
          </w:tcPr>
          <w:p w14:paraId="78D0D0A9" w14:textId="77777777" w:rsidR="002D29A5" w:rsidRPr="0068488B" w:rsidRDefault="002D29A5">
            <w:pPr>
              <w:rPr>
                <w:rFonts w:eastAsia="Times New Roman"/>
                <w:color w:val="000000"/>
              </w:rPr>
            </w:pPr>
            <w:r w:rsidRPr="0068488B">
              <w:rPr>
                <w:rFonts w:eastAsia="Times New Roman"/>
                <w:color w:val="000000"/>
              </w:rPr>
              <w:t>England</w:t>
            </w:r>
          </w:p>
        </w:tc>
        <w:tc>
          <w:tcPr>
            <w:tcW w:w="1257" w:type="dxa"/>
            <w:tcBorders>
              <w:top w:val="nil"/>
              <w:left w:val="nil"/>
              <w:bottom w:val="nil"/>
              <w:right w:val="nil"/>
            </w:tcBorders>
            <w:shd w:val="clear" w:color="auto" w:fill="auto"/>
            <w:noWrap/>
            <w:vAlign w:val="bottom"/>
            <w:hideMark/>
          </w:tcPr>
          <w:p w14:paraId="7DE1E325" w14:textId="77777777" w:rsidR="002D29A5" w:rsidRPr="0068488B" w:rsidRDefault="002D29A5">
            <w:pPr>
              <w:jc w:val="right"/>
              <w:rPr>
                <w:rFonts w:eastAsia="Times New Roman"/>
                <w:color w:val="000000"/>
              </w:rPr>
            </w:pPr>
            <w:r w:rsidRPr="0068488B">
              <w:rPr>
                <w:rFonts w:eastAsia="Times New Roman"/>
                <w:color w:val="000000"/>
              </w:rPr>
              <w:t>0.48</w:t>
            </w:r>
          </w:p>
        </w:tc>
        <w:tc>
          <w:tcPr>
            <w:tcW w:w="1247" w:type="dxa"/>
            <w:tcBorders>
              <w:top w:val="nil"/>
              <w:left w:val="nil"/>
              <w:bottom w:val="nil"/>
              <w:right w:val="nil"/>
            </w:tcBorders>
            <w:shd w:val="clear" w:color="auto" w:fill="auto"/>
            <w:noWrap/>
            <w:vAlign w:val="bottom"/>
            <w:hideMark/>
          </w:tcPr>
          <w:p w14:paraId="5DD3F71A" w14:textId="77777777" w:rsidR="002D29A5" w:rsidRPr="0068488B" w:rsidRDefault="002D29A5">
            <w:pPr>
              <w:jc w:val="right"/>
              <w:rPr>
                <w:rFonts w:eastAsia="Times New Roman"/>
                <w:color w:val="000000"/>
              </w:rPr>
            </w:pPr>
            <w:r w:rsidRPr="0068488B">
              <w:rPr>
                <w:rFonts w:eastAsia="Times New Roman"/>
                <w:color w:val="000000"/>
              </w:rPr>
              <w:t>-0.15</w:t>
            </w:r>
          </w:p>
        </w:tc>
        <w:tc>
          <w:tcPr>
            <w:tcW w:w="921" w:type="dxa"/>
            <w:tcBorders>
              <w:top w:val="nil"/>
              <w:left w:val="nil"/>
              <w:bottom w:val="nil"/>
              <w:right w:val="nil"/>
            </w:tcBorders>
            <w:shd w:val="clear" w:color="auto" w:fill="auto"/>
            <w:noWrap/>
            <w:vAlign w:val="bottom"/>
            <w:hideMark/>
          </w:tcPr>
          <w:p w14:paraId="27BB999B" w14:textId="77777777" w:rsidR="002D29A5" w:rsidRPr="0068488B" w:rsidRDefault="002D29A5">
            <w:pPr>
              <w:jc w:val="right"/>
              <w:rPr>
                <w:rFonts w:eastAsia="Times New Roman"/>
                <w:color w:val="000000"/>
              </w:rPr>
            </w:pPr>
            <w:r w:rsidRPr="0068488B">
              <w:rPr>
                <w:rFonts w:eastAsia="Times New Roman"/>
                <w:color w:val="000000"/>
              </w:rPr>
              <w:t>-0.08</w:t>
            </w:r>
          </w:p>
        </w:tc>
        <w:tc>
          <w:tcPr>
            <w:tcW w:w="2081" w:type="dxa"/>
            <w:tcBorders>
              <w:top w:val="nil"/>
              <w:left w:val="nil"/>
              <w:bottom w:val="nil"/>
              <w:right w:val="nil"/>
            </w:tcBorders>
            <w:shd w:val="clear" w:color="auto" w:fill="auto"/>
            <w:noWrap/>
            <w:vAlign w:val="bottom"/>
            <w:hideMark/>
          </w:tcPr>
          <w:p w14:paraId="63009E22" w14:textId="77777777" w:rsidR="002D29A5" w:rsidRPr="0068488B" w:rsidRDefault="002D29A5">
            <w:pPr>
              <w:jc w:val="right"/>
              <w:rPr>
                <w:rFonts w:eastAsia="Times New Roman"/>
                <w:color w:val="000000"/>
              </w:rPr>
            </w:pPr>
            <w:r w:rsidRPr="0068488B">
              <w:rPr>
                <w:rFonts w:eastAsia="Times New Roman"/>
                <w:color w:val="000000"/>
              </w:rPr>
              <w:t>-0.26</w:t>
            </w:r>
          </w:p>
        </w:tc>
        <w:tc>
          <w:tcPr>
            <w:tcW w:w="990" w:type="dxa"/>
            <w:tcBorders>
              <w:top w:val="nil"/>
              <w:left w:val="nil"/>
              <w:bottom w:val="nil"/>
              <w:right w:val="nil"/>
            </w:tcBorders>
            <w:vAlign w:val="bottom"/>
          </w:tcPr>
          <w:p w14:paraId="393764D4" w14:textId="1BB1A27C" w:rsidR="002D29A5" w:rsidRPr="0068488B" w:rsidRDefault="002D29A5">
            <w:pPr>
              <w:jc w:val="right"/>
              <w:rPr>
                <w:rFonts w:eastAsia="Times New Roman"/>
                <w:color w:val="000000"/>
              </w:rPr>
            </w:pPr>
            <w:r>
              <w:rPr>
                <w:rFonts w:ascii="Calibri" w:eastAsia="Times New Roman" w:hAnsi="Calibri"/>
                <w:color w:val="000000"/>
              </w:rPr>
              <w:t>-0.17</w:t>
            </w:r>
          </w:p>
        </w:tc>
      </w:tr>
      <w:tr w:rsidR="002D29A5" w:rsidRPr="0068488B" w14:paraId="2B0B410B" w14:textId="1D23DE24" w:rsidTr="00EB698C">
        <w:trPr>
          <w:trHeight w:val="320"/>
        </w:trPr>
        <w:tc>
          <w:tcPr>
            <w:tcW w:w="1468" w:type="dxa"/>
            <w:vMerge/>
            <w:tcBorders>
              <w:top w:val="nil"/>
              <w:left w:val="nil"/>
              <w:bottom w:val="single" w:sz="4" w:space="0" w:color="000000"/>
              <w:right w:val="nil"/>
            </w:tcBorders>
            <w:vAlign w:val="center"/>
            <w:hideMark/>
          </w:tcPr>
          <w:p w14:paraId="2D259BC9" w14:textId="77777777" w:rsidR="002D29A5" w:rsidRPr="0068488B" w:rsidRDefault="002D29A5">
            <w:pPr>
              <w:rPr>
                <w:rFonts w:eastAsia="Times New Roman"/>
                <w:color w:val="000000"/>
              </w:rPr>
            </w:pPr>
          </w:p>
        </w:tc>
        <w:tc>
          <w:tcPr>
            <w:tcW w:w="1056" w:type="dxa"/>
            <w:tcBorders>
              <w:top w:val="nil"/>
              <w:left w:val="nil"/>
              <w:bottom w:val="nil"/>
              <w:right w:val="nil"/>
            </w:tcBorders>
            <w:shd w:val="clear" w:color="auto" w:fill="auto"/>
            <w:noWrap/>
            <w:vAlign w:val="bottom"/>
            <w:hideMark/>
          </w:tcPr>
          <w:p w14:paraId="16D62B8A" w14:textId="77777777" w:rsidR="002D29A5" w:rsidRPr="0068488B" w:rsidRDefault="002D29A5">
            <w:pPr>
              <w:rPr>
                <w:rFonts w:eastAsia="Times New Roman"/>
                <w:color w:val="000000"/>
              </w:rPr>
            </w:pPr>
            <w:r w:rsidRPr="0068488B">
              <w:rPr>
                <w:rFonts w:eastAsia="Times New Roman"/>
                <w:color w:val="000000"/>
              </w:rPr>
              <w:t>Scotland</w:t>
            </w:r>
          </w:p>
        </w:tc>
        <w:tc>
          <w:tcPr>
            <w:tcW w:w="1257" w:type="dxa"/>
            <w:tcBorders>
              <w:top w:val="nil"/>
              <w:left w:val="nil"/>
              <w:bottom w:val="nil"/>
              <w:right w:val="nil"/>
            </w:tcBorders>
            <w:shd w:val="clear" w:color="auto" w:fill="auto"/>
            <w:noWrap/>
            <w:vAlign w:val="bottom"/>
            <w:hideMark/>
          </w:tcPr>
          <w:p w14:paraId="3151057B" w14:textId="77777777" w:rsidR="002D29A5" w:rsidRPr="0068488B" w:rsidRDefault="002D29A5">
            <w:pPr>
              <w:jc w:val="right"/>
              <w:rPr>
                <w:rFonts w:eastAsia="Times New Roman"/>
                <w:color w:val="000000"/>
              </w:rPr>
            </w:pPr>
            <w:r w:rsidRPr="0068488B">
              <w:rPr>
                <w:rFonts w:eastAsia="Times New Roman"/>
                <w:color w:val="000000"/>
              </w:rPr>
              <w:t>0.00</w:t>
            </w:r>
          </w:p>
        </w:tc>
        <w:tc>
          <w:tcPr>
            <w:tcW w:w="1247" w:type="dxa"/>
            <w:tcBorders>
              <w:top w:val="nil"/>
              <w:left w:val="nil"/>
              <w:bottom w:val="nil"/>
              <w:right w:val="nil"/>
            </w:tcBorders>
            <w:shd w:val="clear" w:color="auto" w:fill="auto"/>
            <w:noWrap/>
            <w:vAlign w:val="bottom"/>
            <w:hideMark/>
          </w:tcPr>
          <w:p w14:paraId="0C4C09F1" w14:textId="77777777" w:rsidR="002D29A5" w:rsidRPr="0068488B" w:rsidRDefault="002D29A5">
            <w:pPr>
              <w:jc w:val="right"/>
              <w:rPr>
                <w:rFonts w:eastAsia="Times New Roman"/>
                <w:color w:val="000000"/>
              </w:rPr>
            </w:pPr>
            <w:r w:rsidRPr="0068488B">
              <w:rPr>
                <w:rFonts w:eastAsia="Times New Roman"/>
                <w:color w:val="000000"/>
              </w:rPr>
              <w:t>-0.20</w:t>
            </w:r>
          </w:p>
        </w:tc>
        <w:tc>
          <w:tcPr>
            <w:tcW w:w="921" w:type="dxa"/>
            <w:tcBorders>
              <w:top w:val="nil"/>
              <w:left w:val="nil"/>
              <w:bottom w:val="nil"/>
              <w:right w:val="nil"/>
            </w:tcBorders>
            <w:shd w:val="clear" w:color="auto" w:fill="auto"/>
            <w:noWrap/>
            <w:vAlign w:val="bottom"/>
            <w:hideMark/>
          </w:tcPr>
          <w:p w14:paraId="5C261640" w14:textId="77777777" w:rsidR="002D29A5" w:rsidRPr="0068488B" w:rsidRDefault="002D29A5">
            <w:pPr>
              <w:jc w:val="right"/>
              <w:rPr>
                <w:rFonts w:eastAsia="Times New Roman"/>
                <w:color w:val="000000"/>
              </w:rPr>
            </w:pPr>
            <w:r w:rsidRPr="0068488B">
              <w:rPr>
                <w:rFonts w:eastAsia="Times New Roman"/>
                <w:color w:val="000000"/>
              </w:rPr>
              <w:t>-0.21</w:t>
            </w:r>
          </w:p>
        </w:tc>
        <w:tc>
          <w:tcPr>
            <w:tcW w:w="2081" w:type="dxa"/>
            <w:tcBorders>
              <w:top w:val="nil"/>
              <w:left w:val="nil"/>
              <w:bottom w:val="nil"/>
              <w:right w:val="nil"/>
            </w:tcBorders>
            <w:shd w:val="clear" w:color="auto" w:fill="auto"/>
            <w:noWrap/>
            <w:vAlign w:val="bottom"/>
            <w:hideMark/>
          </w:tcPr>
          <w:p w14:paraId="3C307BD4" w14:textId="77777777" w:rsidR="002D29A5" w:rsidRPr="0068488B" w:rsidRDefault="002D29A5">
            <w:pPr>
              <w:jc w:val="right"/>
              <w:rPr>
                <w:rFonts w:eastAsia="Times New Roman"/>
                <w:color w:val="000000"/>
              </w:rPr>
            </w:pPr>
            <w:r w:rsidRPr="0068488B">
              <w:rPr>
                <w:rFonts w:eastAsia="Times New Roman"/>
                <w:color w:val="000000"/>
              </w:rPr>
              <w:t>0.10</w:t>
            </w:r>
          </w:p>
        </w:tc>
        <w:tc>
          <w:tcPr>
            <w:tcW w:w="990" w:type="dxa"/>
            <w:tcBorders>
              <w:top w:val="nil"/>
              <w:left w:val="nil"/>
              <w:bottom w:val="nil"/>
              <w:right w:val="nil"/>
            </w:tcBorders>
            <w:vAlign w:val="bottom"/>
          </w:tcPr>
          <w:p w14:paraId="040DC108" w14:textId="08B33ED9" w:rsidR="002D29A5" w:rsidRPr="0068488B" w:rsidRDefault="002D29A5">
            <w:pPr>
              <w:jc w:val="right"/>
              <w:rPr>
                <w:rFonts w:eastAsia="Times New Roman"/>
                <w:color w:val="000000"/>
              </w:rPr>
            </w:pPr>
            <w:r>
              <w:rPr>
                <w:rFonts w:ascii="Calibri" w:eastAsia="Times New Roman" w:hAnsi="Calibri"/>
                <w:color w:val="000000"/>
              </w:rPr>
              <w:t>0.17</w:t>
            </w:r>
          </w:p>
        </w:tc>
      </w:tr>
      <w:tr w:rsidR="002D29A5" w:rsidRPr="0068488B" w14:paraId="3BEBA385" w14:textId="1EB2FAFE" w:rsidTr="00EB698C">
        <w:trPr>
          <w:trHeight w:val="320"/>
        </w:trPr>
        <w:tc>
          <w:tcPr>
            <w:tcW w:w="1468" w:type="dxa"/>
            <w:vMerge/>
            <w:tcBorders>
              <w:top w:val="nil"/>
              <w:left w:val="nil"/>
              <w:bottom w:val="single" w:sz="4" w:space="0" w:color="000000"/>
              <w:right w:val="nil"/>
            </w:tcBorders>
            <w:vAlign w:val="center"/>
            <w:hideMark/>
          </w:tcPr>
          <w:p w14:paraId="69CB1258" w14:textId="77777777" w:rsidR="002D29A5" w:rsidRPr="0068488B" w:rsidRDefault="002D29A5">
            <w:pPr>
              <w:rPr>
                <w:rFonts w:eastAsia="Times New Roman"/>
                <w:color w:val="000000"/>
              </w:rPr>
            </w:pPr>
          </w:p>
        </w:tc>
        <w:tc>
          <w:tcPr>
            <w:tcW w:w="1056" w:type="dxa"/>
            <w:tcBorders>
              <w:top w:val="nil"/>
              <w:left w:val="nil"/>
              <w:bottom w:val="single" w:sz="4" w:space="0" w:color="auto"/>
              <w:right w:val="nil"/>
            </w:tcBorders>
            <w:shd w:val="clear" w:color="auto" w:fill="auto"/>
            <w:noWrap/>
            <w:vAlign w:val="bottom"/>
            <w:hideMark/>
          </w:tcPr>
          <w:p w14:paraId="2E8BA185" w14:textId="77777777" w:rsidR="002D29A5" w:rsidRPr="0068488B" w:rsidRDefault="002D29A5">
            <w:pPr>
              <w:rPr>
                <w:rFonts w:eastAsia="Times New Roman"/>
                <w:color w:val="000000"/>
              </w:rPr>
            </w:pPr>
            <w:r w:rsidRPr="0068488B">
              <w:rPr>
                <w:rFonts w:eastAsia="Times New Roman"/>
                <w:color w:val="000000"/>
              </w:rPr>
              <w:t>Wales</w:t>
            </w:r>
          </w:p>
        </w:tc>
        <w:tc>
          <w:tcPr>
            <w:tcW w:w="1257" w:type="dxa"/>
            <w:tcBorders>
              <w:top w:val="nil"/>
              <w:left w:val="nil"/>
              <w:bottom w:val="single" w:sz="4" w:space="0" w:color="auto"/>
              <w:right w:val="nil"/>
            </w:tcBorders>
            <w:shd w:val="clear" w:color="auto" w:fill="auto"/>
            <w:noWrap/>
            <w:vAlign w:val="bottom"/>
            <w:hideMark/>
          </w:tcPr>
          <w:p w14:paraId="3DC04634" w14:textId="77777777" w:rsidR="002D29A5" w:rsidRPr="0068488B" w:rsidRDefault="002D29A5">
            <w:pPr>
              <w:jc w:val="right"/>
              <w:rPr>
                <w:rFonts w:eastAsia="Times New Roman"/>
                <w:color w:val="000000"/>
              </w:rPr>
            </w:pPr>
            <w:r w:rsidRPr="0068488B">
              <w:rPr>
                <w:rFonts w:eastAsia="Times New Roman"/>
                <w:color w:val="000000"/>
              </w:rPr>
              <w:t>0.26</w:t>
            </w:r>
          </w:p>
        </w:tc>
        <w:tc>
          <w:tcPr>
            <w:tcW w:w="1247" w:type="dxa"/>
            <w:tcBorders>
              <w:top w:val="nil"/>
              <w:left w:val="nil"/>
              <w:bottom w:val="single" w:sz="4" w:space="0" w:color="auto"/>
              <w:right w:val="nil"/>
            </w:tcBorders>
            <w:shd w:val="clear" w:color="auto" w:fill="auto"/>
            <w:noWrap/>
            <w:vAlign w:val="bottom"/>
            <w:hideMark/>
          </w:tcPr>
          <w:p w14:paraId="14521F65" w14:textId="77777777" w:rsidR="002D29A5" w:rsidRPr="0068488B" w:rsidRDefault="002D29A5">
            <w:pPr>
              <w:jc w:val="right"/>
              <w:rPr>
                <w:rFonts w:eastAsia="Times New Roman"/>
                <w:color w:val="000000"/>
              </w:rPr>
            </w:pPr>
            <w:r w:rsidRPr="0068488B">
              <w:rPr>
                <w:rFonts w:eastAsia="Times New Roman"/>
                <w:color w:val="000000"/>
              </w:rPr>
              <w:t>-0.28</w:t>
            </w:r>
          </w:p>
        </w:tc>
        <w:tc>
          <w:tcPr>
            <w:tcW w:w="921" w:type="dxa"/>
            <w:tcBorders>
              <w:top w:val="nil"/>
              <w:left w:val="nil"/>
              <w:bottom w:val="single" w:sz="4" w:space="0" w:color="auto"/>
              <w:right w:val="nil"/>
            </w:tcBorders>
            <w:shd w:val="clear" w:color="auto" w:fill="auto"/>
            <w:noWrap/>
            <w:vAlign w:val="bottom"/>
            <w:hideMark/>
          </w:tcPr>
          <w:p w14:paraId="2D8B2BC0" w14:textId="77777777" w:rsidR="002D29A5" w:rsidRPr="0068488B" w:rsidRDefault="002D29A5">
            <w:pPr>
              <w:jc w:val="right"/>
              <w:rPr>
                <w:rFonts w:eastAsia="Times New Roman"/>
                <w:color w:val="000000"/>
              </w:rPr>
            </w:pPr>
            <w:r w:rsidRPr="0068488B">
              <w:rPr>
                <w:rFonts w:eastAsia="Times New Roman"/>
                <w:color w:val="000000"/>
              </w:rPr>
              <w:t>-0.23</w:t>
            </w:r>
          </w:p>
        </w:tc>
        <w:tc>
          <w:tcPr>
            <w:tcW w:w="2081" w:type="dxa"/>
            <w:tcBorders>
              <w:top w:val="nil"/>
              <w:left w:val="nil"/>
              <w:bottom w:val="single" w:sz="4" w:space="0" w:color="auto"/>
              <w:right w:val="nil"/>
            </w:tcBorders>
            <w:shd w:val="clear" w:color="auto" w:fill="auto"/>
            <w:noWrap/>
            <w:vAlign w:val="bottom"/>
            <w:hideMark/>
          </w:tcPr>
          <w:p w14:paraId="4F1A3838" w14:textId="77777777" w:rsidR="002D29A5" w:rsidRPr="0068488B" w:rsidRDefault="002D29A5">
            <w:pPr>
              <w:jc w:val="right"/>
              <w:rPr>
                <w:rFonts w:eastAsia="Times New Roman"/>
                <w:color w:val="000000"/>
              </w:rPr>
            </w:pPr>
            <w:r w:rsidRPr="0068488B">
              <w:rPr>
                <w:rFonts w:eastAsia="Times New Roman"/>
                <w:color w:val="000000"/>
              </w:rPr>
              <w:t>-0.01</w:t>
            </w:r>
          </w:p>
        </w:tc>
        <w:tc>
          <w:tcPr>
            <w:tcW w:w="990" w:type="dxa"/>
            <w:tcBorders>
              <w:top w:val="nil"/>
              <w:left w:val="nil"/>
              <w:bottom w:val="single" w:sz="4" w:space="0" w:color="auto"/>
              <w:right w:val="nil"/>
            </w:tcBorders>
            <w:vAlign w:val="bottom"/>
          </w:tcPr>
          <w:p w14:paraId="5353A6C2" w14:textId="5F7ECF77" w:rsidR="002D29A5" w:rsidRPr="0068488B" w:rsidRDefault="002D29A5">
            <w:pPr>
              <w:jc w:val="right"/>
              <w:rPr>
                <w:rFonts w:eastAsia="Times New Roman"/>
                <w:color w:val="000000"/>
              </w:rPr>
            </w:pPr>
            <w:r>
              <w:rPr>
                <w:rFonts w:ascii="Calibri" w:eastAsia="Times New Roman" w:hAnsi="Calibri"/>
                <w:color w:val="000000"/>
              </w:rPr>
              <w:t>0.09</w:t>
            </w:r>
          </w:p>
        </w:tc>
      </w:tr>
      <w:tr w:rsidR="002D29A5" w:rsidRPr="0068488B" w14:paraId="4D9ADCFB" w14:textId="4B313B11" w:rsidTr="00EB698C">
        <w:trPr>
          <w:trHeight w:val="320"/>
        </w:trPr>
        <w:tc>
          <w:tcPr>
            <w:tcW w:w="1468" w:type="dxa"/>
            <w:vMerge w:val="restart"/>
            <w:tcBorders>
              <w:top w:val="nil"/>
              <w:left w:val="nil"/>
              <w:bottom w:val="single" w:sz="4" w:space="0" w:color="000000"/>
              <w:right w:val="nil"/>
            </w:tcBorders>
            <w:shd w:val="clear" w:color="auto" w:fill="auto"/>
            <w:vAlign w:val="center"/>
            <w:hideMark/>
          </w:tcPr>
          <w:p w14:paraId="59ED03BA" w14:textId="77777777" w:rsidR="002D29A5" w:rsidRPr="0068488B" w:rsidRDefault="002D29A5">
            <w:pPr>
              <w:jc w:val="center"/>
              <w:rPr>
                <w:rFonts w:eastAsia="Times New Roman"/>
                <w:color w:val="000000"/>
              </w:rPr>
            </w:pPr>
            <w:r w:rsidRPr="0068488B">
              <w:rPr>
                <w:rFonts w:eastAsia="Times New Roman"/>
                <w:color w:val="000000"/>
              </w:rPr>
              <w:t>Retail Domain</w:t>
            </w:r>
          </w:p>
        </w:tc>
        <w:tc>
          <w:tcPr>
            <w:tcW w:w="1056" w:type="dxa"/>
            <w:tcBorders>
              <w:top w:val="nil"/>
              <w:left w:val="nil"/>
              <w:bottom w:val="nil"/>
              <w:right w:val="nil"/>
            </w:tcBorders>
            <w:shd w:val="clear" w:color="auto" w:fill="auto"/>
            <w:noWrap/>
            <w:vAlign w:val="bottom"/>
            <w:hideMark/>
          </w:tcPr>
          <w:p w14:paraId="74B4CB50" w14:textId="77777777" w:rsidR="002D29A5" w:rsidRPr="0068488B" w:rsidRDefault="002D29A5">
            <w:pPr>
              <w:rPr>
                <w:rFonts w:eastAsia="Times New Roman"/>
                <w:color w:val="000000"/>
              </w:rPr>
            </w:pPr>
            <w:r w:rsidRPr="0068488B">
              <w:rPr>
                <w:rFonts w:eastAsia="Times New Roman"/>
                <w:color w:val="000000"/>
              </w:rPr>
              <w:t>England</w:t>
            </w:r>
          </w:p>
        </w:tc>
        <w:tc>
          <w:tcPr>
            <w:tcW w:w="1257" w:type="dxa"/>
            <w:tcBorders>
              <w:top w:val="nil"/>
              <w:left w:val="nil"/>
              <w:bottom w:val="nil"/>
              <w:right w:val="nil"/>
            </w:tcBorders>
            <w:shd w:val="clear" w:color="auto" w:fill="auto"/>
            <w:noWrap/>
            <w:vAlign w:val="bottom"/>
            <w:hideMark/>
          </w:tcPr>
          <w:p w14:paraId="56E8A69C" w14:textId="77777777" w:rsidR="002D29A5" w:rsidRPr="0068488B" w:rsidRDefault="002D29A5">
            <w:pPr>
              <w:jc w:val="right"/>
              <w:rPr>
                <w:rFonts w:eastAsia="Times New Roman"/>
                <w:color w:val="000000"/>
              </w:rPr>
            </w:pPr>
            <w:r w:rsidRPr="0068488B">
              <w:rPr>
                <w:rFonts w:eastAsia="Times New Roman"/>
                <w:color w:val="000000"/>
              </w:rPr>
              <w:t>0.65</w:t>
            </w:r>
          </w:p>
        </w:tc>
        <w:tc>
          <w:tcPr>
            <w:tcW w:w="1247" w:type="dxa"/>
            <w:tcBorders>
              <w:top w:val="nil"/>
              <w:left w:val="nil"/>
              <w:bottom w:val="nil"/>
              <w:right w:val="nil"/>
            </w:tcBorders>
            <w:shd w:val="clear" w:color="auto" w:fill="auto"/>
            <w:noWrap/>
            <w:vAlign w:val="bottom"/>
            <w:hideMark/>
          </w:tcPr>
          <w:p w14:paraId="364C93E7" w14:textId="77777777" w:rsidR="002D29A5" w:rsidRPr="0068488B" w:rsidRDefault="002D29A5">
            <w:pPr>
              <w:jc w:val="right"/>
              <w:rPr>
                <w:rFonts w:eastAsia="Times New Roman"/>
                <w:color w:val="000000"/>
              </w:rPr>
            </w:pPr>
            <w:r w:rsidRPr="0068488B">
              <w:rPr>
                <w:rFonts w:eastAsia="Times New Roman"/>
                <w:color w:val="000000"/>
              </w:rPr>
              <w:t>-0.09</w:t>
            </w:r>
          </w:p>
        </w:tc>
        <w:tc>
          <w:tcPr>
            <w:tcW w:w="921" w:type="dxa"/>
            <w:tcBorders>
              <w:top w:val="nil"/>
              <w:left w:val="nil"/>
              <w:bottom w:val="nil"/>
              <w:right w:val="nil"/>
            </w:tcBorders>
            <w:shd w:val="clear" w:color="auto" w:fill="auto"/>
            <w:noWrap/>
            <w:vAlign w:val="bottom"/>
            <w:hideMark/>
          </w:tcPr>
          <w:p w14:paraId="32D2C79B" w14:textId="77777777" w:rsidR="002D29A5" w:rsidRPr="0068488B" w:rsidRDefault="002D29A5">
            <w:pPr>
              <w:jc w:val="right"/>
              <w:rPr>
                <w:rFonts w:eastAsia="Times New Roman"/>
                <w:color w:val="000000"/>
              </w:rPr>
            </w:pPr>
            <w:r w:rsidRPr="0068488B">
              <w:rPr>
                <w:rFonts w:eastAsia="Times New Roman"/>
                <w:color w:val="000000"/>
              </w:rPr>
              <w:t>0.00</w:t>
            </w:r>
          </w:p>
        </w:tc>
        <w:tc>
          <w:tcPr>
            <w:tcW w:w="2081" w:type="dxa"/>
            <w:tcBorders>
              <w:top w:val="nil"/>
              <w:left w:val="nil"/>
              <w:bottom w:val="nil"/>
              <w:right w:val="nil"/>
            </w:tcBorders>
            <w:shd w:val="clear" w:color="auto" w:fill="auto"/>
            <w:noWrap/>
            <w:vAlign w:val="bottom"/>
            <w:hideMark/>
          </w:tcPr>
          <w:p w14:paraId="5B40521C" w14:textId="77777777" w:rsidR="002D29A5" w:rsidRPr="0068488B" w:rsidRDefault="002D29A5">
            <w:pPr>
              <w:jc w:val="right"/>
              <w:rPr>
                <w:rFonts w:eastAsia="Times New Roman"/>
                <w:color w:val="000000"/>
              </w:rPr>
            </w:pPr>
            <w:r w:rsidRPr="0068488B">
              <w:rPr>
                <w:rFonts w:eastAsia="Times New Roman"/>
                <w:color w:val="000000"/>
              </w:rPr>
              <w:t>-0.33</w:t>
            </w:r>
          </w:p>
        </w:tc>
        <w:tc>
          <w:tcPr>
            <w:tcW w:w="990" w:type="dxa"/>
            <w:tcBorders>
              <w:top w:val="nil"/>
              <w:left w:val="nil"/>
              <w:bottom w:val="nil"/>
              <w:right w:val="nil"/>
            </w:tcBorders>
            <w:vAlign w:val="bottom"/>
          </w:tcPr>
          <w:p w14:paraId="3AB3C5CE" w14:textId="1EE9F0C2" w:rsidR="002D29A5" w:rsidRPr="0068488B" w:rsidRDefault="002D29A5">
            <w:pPr>
              <w:jc w:val="right"/>
              <w:rPr>
                <w:rFonts w:eastAsia="Times New Roman"/>
                <w:color w:val="000000"/>
              </w:rPr>
            </w:pPr>
            <w:r>
              <w:rPr>
                <w:rFonts w:ascii="Calibri" w:eastAsia="Times New Roman" w:hAnsi="Calibri"/>
                <w:color w:val="000000"/>
              </w:rPr>
              <w:t>-0.30</w:t>
            </w:r>
          </w:p>
        </w:tc>
      </w:tr>
      <w:tr w:rsidR="002D29A5" w:rsidRPr="0068488B" w14:paraId="40E07AA7" w14:textId="1DB84661" w:rsidTr="00EB698C">
        <w:trPr>
          <w:trHeight w:val="320"/>
        </w:trPr>
        <w:tc>
          <w:tcPr>
            <w:tcW w:w="1468" w:type="dxa"/>
            <w:vMerge/>
            <w:tcBorders>
              <w:top w:val="nil"/>
              <w:left w:val="nil"/>
              <w:bottom w:val="single" w:sz="4" w:space="0" w:color="000000"/>
              <w:right w:val="nil"/>
            </w:tcBorders>
            <w:vAlign w:val="center"/>
            <w:hideMark/>
          </w:tcPr>
          <w:p w14:paraId="491C56BC" w14:textId="77777777" w:rsidR="002D29A5" w:rsidRPr="0068488B" w:rsidRDefault="002D29A5">
            <w:pPr>
              <w:rPr>
                <w:rFonts w:eastAsia="Times New Roman"/>
                <w:color w:val="000000"/>
              </w:rPr>
            </w:pPr>
          </w:p>
        </w:tc>
        <w:tc>
          <w:tcPr>
            <w:tcW w:w="1056" w:type="dxa"/>
            <w:tcBorders>
              <w:top w:val="nil"/>
              <w:left w:val="nil"/>
              <w:bottom w:val="nil"/>
              <w:right w:val="nil"/>
            </w:tcBorders>
            <w:shd w:val="clear" w:color="auto" w:fill="auto"/>
            <w:noWrap/>
            <w:vAlign w:val="bottom"/>
            <w:hideMark/>
          </w:tcPr>
          <w:p w14:paraId="5F38440F" w14:textId="77777777" w:rsidR="002D29A5" w:rsidRPr="0068488B" w:rsidRDefault="002D29A5">
            <w:pPr>
              <w:rPr>
                <w:rFonts w:eastAsia="Times New Roman"/>
                <w:color w:val="000000"/>
              </w:rPr>
            </w:pPr>
            <w:r w:rsidRPr="0068488B">
              <w:rPr>
                <w:rFonts w:eastAsia="Times New Roman"/>
                <w:color w:val="000000"/>
              </w:rPr>
              <w:t>Scotland</w:t>
            </w:r>
          </w:p>
        </w:tc>
        <w:tc>
          <w:tcPr>
            <w:tcW w:w="1257" w:type="dxa"/>
            <w:tcBorders>
              <w:top w:val="nil"/>
              <w:left w:val="nil"/>
              <w:bottom w:val="nil"/>
              <w:right w:val="nil"/>
            </w:tcBorders>
            <w:shd w:val="clear" w:color="auto" w:fill="auto"/>
            <w:noWrap/>
            <w:vAlign w:val="bottom"/>
            <w:hideMark/>
          </w:tcPr>
          <w:p w14:paraId="0C97E485" w14:textId="77777777" w:rsidR="002D29A5" w:rsidRPr="0068488B" w:rsidRDefault="002D29A5">
            <w:pPr>
              <w:jc w:val="right"/>
              <w:rPr>
                <w:rFonts w:eastAsia="Times New Roman"/>
                <w:color w:val="000000"/>
              </w:rPr>
            </w:pPr>
            <w:r w:rsidRPr="0068488B">
              <w:rPr>
                <w:rFonts w:eastAsia="Times New Roman"/>
                <w:color w:val="000000"/>
              </w:rPr>
              <w:t>0.56</w:t>
            </w:r>
          </w:p>
        </w:tc>
        <w:tc>
          <w:tcPr>
            <w:tcW w:w="1247" w:type="dxa"/>
            <w:tcBorders>
              <w:top w:val="nil"/>
              <w:left w:val="nil"/>
              <w:bottom w:val="nil"/>
              <w:right w:val="nil"/>
            </w:tcBorders>
            <w:shd w:val="clear" w:color="auto" w:fill="auto"/>
            <w:noWrap/>
            <w:vAlign w:val="bottom"/>
            <w:hideMark/>
          </w:tcPr>
          <w:p w14:paraId="3A267977" w14:textId="77777777" w:rsidR="002D29A5" w:rsidRPr="0068488B" w:rsidRDefault="002D29A5">
            <w:pPr>
              <w:jc w:val="right"/>
              <w:rPr>
                <w:rFonts w:eastAsia="Times New Roman"/>
                <w:color w:val="000000"/>
              </w:rPr>
            </w:pPr>
            <w:r w:rsidRPr="0068488B">
              <w:rPr>
                <w:rFonts w:eastAsia="Times New Roman"/>
                <w:color w:val="000000"/>
              </w:rPr>
              <w:t>0.02</w:t>
            </w:r>
          </w:p>
        </w:tc>
        <w:tc>
          <w:tcPr>
            <w:tcW w:w="921" w:type="dxa"/>
            <w:tcBorders>
              <w:top w:val="nil"/>
              <w:left w:val="nil"/>
              <w:bottom w:val="nil"/>
              <w:right w:val="nil"/>
            </w:tcBorders>
            <w:shd w:val="clear" w:color="auto" w:fill="auto"/>
            <w:noWrap/>
            <w:vAlign w:val="bottom"/>
            <w:hideMark/>
          </w:tcPr>
          <w:p w14:paraId="710E9814" w14:textId="77777777" w:rsidR="002D29A5" w:rsidRPr="0068488B" w:rsidRDefault="002D29A5">
            <w:pPr>
              <w:jc w:val="right"/>
              <w:rPr>
                <w:rFonts w:eastAsia="Times New Roman"/>
                <w:color w:val="000000"/>
              </w:rPr>
            </w:pPr>
            <w:r w:rsidRPr="0068488B">
              <w:rPr>
                <w:rFonts w:eastAsia="Times New Roman"/>
                <w:color w:val="000000"/>
              </w:rPr>
              <w:t>0.08</w:t>
            </w:r>
          </w:p>
        </w:tc>
        <w:tc>
          <w:tcPr>
            <w:tcW w:w="2081" w:type="dxa"/>
            <w:tcBorders>
              <w:top w:val="nil"/>
              <w:left w:val="nil"/>
              <w:bottom w:val="nil"/>
              <w:right w:val="nil"/>
            </w:tcBorders>
            <w:shd w:val="clear" w:color="auto" w:fill="auto"/>
            <w:noWrap/>
            <w:vAlign w:val="bottom"/>
            <w:hideMark/>
          </w:tcPr>
          <w:p w14:paraId="57ED2CE7" w14:textId="77777777" w:rsidR="002D29A5" w:rsidRPr="0068488B" w:rsidRDefault="002D29A5">
            <w:pPr>
              <w:jc w:val="right"/>
              <w:rPr>
                <w:rFonts w:eastAsia="Times New Roman"/>
                <w:color w:val="000000"/>
              </w:rPr>
            </w:pPr>
            <w:r w:rsidRPr="0068488B">
              <w:rPr>
                <w:rFonts w:eastAsia="Times New Roman"/>
                <w:color w:val="000000"/>
              </w:rPr>
              <w:t>-0.12</w:t>
            </w:r>
          </w:p>
        </w:tc>
        <w:tc>
          <w:tcPr>
            <w:tcW w:w="990" w:type="dxa"/>
            <w:tcBorders>
              <w:top w:val="nil"/>
              <w:left w:val="nil"/>
              <w:bottom w:val="nil"/>
              <w:right w:val="nil"/>
            </w:tcBorders>
            <w:vAlign w:val="bottom"/>
          </w:tcPr>
          <w:p w14:paraId="4170C936" w14:textId="0FC604DE" w:rsidR="002D29A5" w:rsidRPr="0068488B" w:rsidRDefault="002D29A5">
            <w:pPr>
              <w:jc w:val="right"/>
              <w:rPr>
                <w:rFonts w:eastAsia="Times New Roman"/>
                <w:color w:val="000000"/>
              </w:rPr>
            </w:pPr>
            <w:r>
              <w:rPr>
                <w:rFonts w:ascii="Calibri" w:eastAsia="Times New Roman" w:hAnsi="Calibri"/>
                <w:color w:val="000000"/>
              </w:rPr>
              <w:t>-0.15</w:t>
            </w:r>
          </w:p>
        </w:tc>
      </w:tr>
      <w:tr w:rsidR="002D29A5" w:rsidRPr="0068488B" w14:paraId="6355869D" w14:textId="1EE3EB85" w:rsidTr="00EB698C">
        <w:trPr>
          <w:trHeight w:val="320"/>
        </w:trPr>
        <w:tc>
          <w:tcPr>
            <w:tcW w:w="1468" w:type="dxa"/>
            <w:vMerge/>
            <w:tcBorders>
              <w:top w:val="nil"/>
              <w:left w:val="nil"/>
              <w:bottom w:val="single" w:sz="4" w:space="0" w:color="000000"/>
              <w:right w:val="nil"/>
            </w:tcBorders>
            <w:vAlign w:val="center"/>
            <w:hideMark/>
          </w:tcPr>
          <w:p w14:paraId="7ECE1F3F" w14:textId="77777777" w:rsidR="002D29A5" w:rsidRPr="0068488B" w:rsidRDefault="002D29A5">
            <w:pPr>
              <w:rPr>
                <w:rFonts w:eastAsia="Times New Roman"/>
                <w:color w:val="000000"/>
              </w:rPr>
            </w:pPr>
          </w:p>
        </w:tc>
        <w:tc>
          <w:tcPr>
            <w:tcW w:w="1056" w:type="dxa"/>
            <w:tcBorders>
              <w:top w:val="nil"/>
              <w:left w:val="nil"/>
              <w:bottom w:val="single" w:sz="4" w:space="0" w:color="auto"/>
              <w:right w:val="nil"/>
            </w:tcBorders>
            <w:shd w:val="clear" w:color="auto" w:fill="auto"/>
            <w:noWrap/>
            <w:vAlign w:val="bottom"/>
            <w:hideMark/>
          </w:tcPr>
          <w:p w14:paraId="4491B823" w14:textId="77777777" w:rsidR="002D29A5" w:rsidRPr="0068488B" w:rsidRDefault="002D29A5">
            <w:pPr>
              <w:rPr>
                <w:rFonts w:eastAsia="Times New Roman"/>
                <w:color w:val="000000"/>
              </w:rPr>
            </w:pPr>
            <w:r w:rsidRPr="0068488B">
              <w:rPr>
                <w:rFonts w:eastAsia="Times New Roman"/>
                <w:color w:val="000000"/>
              </w:rPr>
              <w:t>Wales</w:t>
            </w:r>
          </w:p>
        </w:tc>
        <w:tc>
          <w:tcPr>
            <w:tcW w:w="1257" w:type="dxa"/>
            <w:tcBorders>
              <w:top w:val="nil"/>
              <w:left w:val="nil"/>
              <w:bottom w:val="single" w:sz="4" w:space="0" w:color="auto"/>
              <w:right w:val="nil"/>
            </w:tcBorders>
            <w:shd w:val="clear" w:color="auto" w:fill="auto"/>
            <w:noWrap/>
            <w:vAlign w:val="bottom"/>
            <w:hideMark/>
          </w:tcPr>
          <w:p w14:paraId="2551E11F" w14:textId="77777777" w:rsidR="002D29A5" w:rsidRPr="0068488B" w:rsidRDefault="002D29A5">
            <w:pPr>
              <w:jc w:val="right"/>
              <w:rPr>
                <w:rFonts w:eastAsia="Times New Roman"/>
                <w:color w:val="000000"/>
              </w:rPr>
            </w:pPr>
            <w:r w:rsidRPr="0068488B">
              <w:rPr>
                <w:rFonts w:eastAsia="Times New Roman"/>
                <w:color w:val="000000"/>
              </w:rPr>
              <w:t>0.66</w:t>
            </w:r>
          </w:p>
        </w:tc>
        <w:tc>
          <w:tcPr>
            <w:tcW w:w="1247" w:type="dxa"/>
            <w:tcBorders>
              <w:top w:val="nil"/>
              <w:left w:val="nil"/>
              <w:bottom w:val="single" w:sz="4" w:space="0" w:color="auto"/>
              <w:right w:val="nil"/>
            </w:tcBorders>
            <w:shd w:val="clear" w:color="auto" w:fill="auto"/>
            <w:noWrap/>
            <w:vAlign w:val="bottom"/>
            <w:hideMark/>
          </w:tcPr>
          <w:p w14:paraId="513623E6" w14:textId="77777777" w:rsidR="002D29A5" w:rsidRPr="0068488B" w:rsidRDefault="002D29A5">
            <w:pPr>
              <w:jc w:val="right"/>
              <w:rPr>
                <w:rFonts w:eastAsia="Times New Roman"/>
                <w:color w:val="000000"/>
              </w:rPr>
            </w:pPr>
            <w:r w:rsidRPr="0068488B">
              <w:rPr>
                <w:rFonts w:eastAsia="Times New Roman"/>
                <w:color w:val="000000"/>
              </w:rPr>
              <w:t>-0.13</w:t>
            </w:r>
          </w:p>
        </w:tc>
        <w:tc>
          <w:tcPr>
            <w:tcW w:w="921" w:type="dxa"/>
            <w:tcBorders>
              <w:top w:val="nil"/>
              <w:left w:val="nil"/>
              <w:bottom w:val="single" w:sz="4" w:space="0" w:color="auto"/>
              <w:right w:val="nil"/>
            </w:tcBorders>
            <w:shd w:val="clear" w:color="auto" w:fill="auto"/>
            <w:noWrap/>
            <w:vAlign w:val="bottom"/>
            <w:hideMark/>
          </w:tcPr>
          <w:p w14:paraId="250C0CE4" w14:textId="77777777" w:rsidR="002D29A5" w:rsidRPr="0068488B" w:rsidRDefault="002D29A5">
            <w:pPr>
              <w:jc w:val="right"/>
              <w:rPr>
                <w:rFonts w:eastAsia="Times New Roman"/>
                <w:color w:val="000000"/>
              </w:rPr>
            </w:pPr>
            <w:r w:rsidRPr="0068488B">
              <w:rPr>
                <w:rFonts w:eastAsia="Times New Roman"/>
                <w:color w:val="000000"/>
              </w:rPr>
              <w:t>-0.07</w:t>
            </w:r>
          </w:p>
        </w:tc>
        <w:tc>
          <w:tcPr>
            <w:tcW w:w="2081" w:type="dxa"/>
            <w:tcBorders>
              <w:top w:val="nil"/>
              <w:left w:val="nil"/>
              <w:bottom w:val="single" w:sz="4" w:space="0" w:color="auto"/>
              <w:right w:val="nil"/>
            </w:tcBorders>
            <w:shd w:val="clear" w:color="auto" w:fill="auto"/>
            <w:noWrap/>
            <w:vAlign w:val="bottom"/>
            <w:hideMark/>
          </w:tcPr>
          <w:p w14:paraId="5A57549A" w14:textId="77777777" w:rsidR="002D29A5" w:rsidRPr="0068488B" w:rsidRDefault="002D29A5">
            <w:pPr>
              <w:jc w:val="right"/>
              <w:rPr>
                <w:rFonts w:eastAsia="Times New Roman"/>
                <w:color w:val="000000"/>
              </w:rPr>
            </w:pPr>
            <w:r w:rsidRPr="0068488B">
              <w:rPr>
                <w:rFonts w:eastAsia="Times New Roman"/>
                <w:color w:val="000000"/>
              </w:rPr>
              <w:t>-0.15</w:t>
            </w:r>
          </w:p>
        </w:tc>
        <w:tc>
          <w:tcPr>
            <w:tcW w:w="990" w:type="dxa"/>
            <w:tcBorders>
              <w:top w:val="nil"/>
              <w:left w:val="nil"/>
              <w:bottom w:val="single" w:sz="4" w:space="0" w:color="auto"/>
              <w:right w:val="nil"/>
            </w:tcBorders>
            <w:vAlign w:val="bottom"/>
          </w:tcPr>
          <w:p w14:paraId="28CF0B0F" w14:textId="3AB56994" w:rsidR="002D29A5" w:rsidRPr="0068488B" w:rsidRDefault="002D29A5">
            <w:pPr>
              <w:jc w:val="right"/>
              <w:rPr>
                <w:rFonts w:eastAsia="Times New Roman"/>
                <w:color w:val="000000"/>
              </w:rPr>
            </w:pPr>
            <w:r>
              <w:rPr>
                <w:rFonts w:ascii="Calibri" w:eastAsia="Times New Roman" w:hAnsi="Calibri"/>
                <w:color w:val="000000"/>
              </w:rPr>
              <w:t>-0.16</w:t>
            </w:r>
          </w:p>
        </w:tc>
      </w:tr>
      <w:tr w:rsidR="002D29A5" w:rsidRPr="0068488B" w14:paraId="7D2DF2EB" w14:textId="29E80BB4" w:rsidTr="00EB698C">
        <w:trPr>
          <w:trHeight w:val="320"/>
        </w:trPr>
        <w:tc>
          <w:tcPr>
            <w:tcW w:w="1468" w:type="dxa"/>
            <w:vMerge w:val="restart"/>
            <w:tcBorders>
              <w:top w:val="nil"/>
              <w:left w:val="nil"/>
              <w:bottom w:val="single" w:sz="4" w:space="0" w:color="000000"/>
              <w:right w:val="nil"/>
            </w:tcBorders>
            <w:shd w:val="clear" w:color="auto" w:fill="auto"/>
            <w:vAlign w:val="center"/>
            <w:hideMark/>
          </w:tcPr>
          <w:p w14:paraId="631A19BD" w14:textId="77777777" w:rsidR="002D29A5" w:rsidRPr="0068488B" w:rsidRDefault="002D29A5">
            <w:pPr>
              <w:jc w:val="center"/>
              <w:rPr>
                <w:rFonts w:eastAsia="Times New Roman"/>
                <w:color w:val="000000"/>
              </w:rPr>
            </w:pPr>
            <w:r w:rsidRPr="0068488B">
              <w:rPr>
                <w:rFonts w:eastAsia="Times New Roman"/>
                <w:color w:val="000000"/>
              </w:rPr>
              <w:t>Health Domain</w:t>
            </w:r>
          </w:p>
        </w:tc>
        <w:tc>
          <w:tcPr>
            <w:tcW w:w="1056" w:type="dxa"/>
            <w:tcBorders>
              <w:top w:val="nil"/>
              <w:left w:val="nil"/>
              <w:bottom w:val="nil"/>
              <w:right w:val="nil"/>
            </w:tcBorders>
            <w:shd w:val="clear" w:color="auto" w:fill="auto"/>
            <w:noWrap/>
            <w:vAlign w:val="bottom"/>
            <w:hideMark/>
          </w:tcPr>
          <w:p w14:paraId="7B5A464B" w14:textId="77777777" w:rsidR="002D29A5" w:rsidRPr="0068488B" w:rsidRDefault="002D29A5">
            <w:pPr>
              <w:rPr>
                <w:rFonts w:eastAsia="Times New Roman"/>
                <w:color w:val="000000"/>
              </w:rPr>
            </w:pPr>
            <w:r w:rsidRPr="0068488B">
              <w:rPr>
                <w:rFonts w:eastAsia="Times New Roman"/>
                <w:color w:val="000000"/>
              </w:rPr>
              <w:t>England</w:t>
            </w:r>
          </w:p>
        </w:tc>
        <w:tc>
          <w:tcPr>
            <w:tcW w:w="1257" w:type="dxa"/>
            <w:tcBorders>
              <w:top w:val="nil"/>
              <w:left w:val="nil"/>
              <w:bottom w:val="nil"/>
              <w:right w:val="nil"/>
            </w:tcBorders>
            <w:shd w:val="clear" w:color="auto" w:fill="auto"/>
            <w:noWrap/>
            <w:vAlign w:val="bottom"/>
            <w:hideMark/>
          </w:tcPr>
          <w:p w14:paraId="514794E5" w14:textId="77777777" w:rsidR="002D29A5" w:rsidRPr="0068488B" w:rsidRDefault="002D29A5">
            <w:pPr>
              <w:jc w:val="right"/>
              <w:rPr>
                <w:rFonts w:eastAsia="Times New Roman"/>
                <w:color w:val="000000"/>
              </w:rPr>
            </w:pPr>
            <w:r w:rsidRPr="0068488B">
              <w:rPr>
                <w:rFonts w:eastAsia="Times New Roman"/>
                <w:color w:val="000000"/>
              </w:rPr>
              <w:t>-0.56</w:t>
            </w:r>
          </w:p>
        </w:tc>
        <w:tc>
          <w:tcPr>
            <w:tcW w:w="1247" w:type="dxa"/>
            <w:tcBorders>
              <w:top w:val="nil"/>
              <w:left w:val="nil"/>
              <w:bottom w:val="nil"/>
              <w:right w:val="nil"/>
            </w:tcBorders>
            <w:shd w:val="clear" w:color="auto" w:fill="auto"/>
            <w:noWrap/>
            <w:vAlign w:val="bottom"/>
            <w:hideMark/>
          </w:tcPr>
          <w:p w14:paraId="4227F387" w14:textId="77777777" w:rsidR="002D29A5" w:rsidRPr="0068488B" w:rsidRDefault="002D29A5">
            <w:pPr>
              <w:jc w:val="right"/>
              <w:rPr>
                <w:rFonts w:eastAsia="Times New Roman"/>
                <w:color w:val="000000"/>
              </w:rPr>
            </w:pPr>
            <w:r w:rsidRPr="0068488B">
              <w:rPr>
                <w:rFonts w:eastAsia="Times New Roman"/>
                <w:color w:val="000000"/>
              </w:rPr>
              <w:t>-0.01</w:t>
            </w:r>
          </w:p>
        </w:tc>
        <w:tc>
          <w:tcPr>
            <w:tcW w:w="921" w:type="dxa"/>
            <w:tcBorders>
              <w:top w:val="nil"/>
              <w:left w:val="nil"/>
              <w:bottom w:val="nil"/>
              <w:right w:val="nil"/>
            </w:tcBorders>
            <w:shd w:val="clear" w:color="auto" w:fill="auto"/>
            <w:noWrap/>
            <w:vAlign w:val="bottom"/>
            <w:hideMark/>
          </w:tcPr>
          <w:p w14:paraId="11B64FD2" w14:textId="77777777" w:rsidR="002D29A5" w:rsidRPr="0068488B" w:rsidRDefault="002D29A5">
            <w:pPr>
              <w:jc w:val="right"/>
              <w:rPr>
                <w:rFonts w:eastAsia="Times New Roman"/>
                <w:color w:val="000000"/>
              </w:rPr>
            </w:pPr>
            <w:r w:rsidRPr="0068488B">
              <w:rPr>
                <w:rFonts w:eastAsia="Times New Roman"/>
                <w:color w:val="000000"/>
              </w:rPr>
              <w:t>-0.10</w:t>
            </w:r>
          </w:p>
        </w:tc>
        <w:tc>
          <w:tcPr>
            <w:tcW w:w="2081" w:type="dxa"/>
            <w:tcBorders>
              <w:top w:val="nil"/>
              <w:left w:val="nil"/>
              <w:bottom w:val="nil"/>
              <w:right w:val="nil"/>
            </w:tcBorders>
            <w:shd w:val="clear" w:color="auto" w:fill="auto"/>
            <w:noWrap/>
            <w:vAlign w:val="bottom"/>
            <w:hideMark/>
          </w:tcPr>
          <w:p w14:paraId="1A20F399" w14:textId="77777777" w:rsidR="002D29A5" w:rsidRPr="0068488B" w:rsidRDefault="002D29A5">
            <w:pPr>
              <w:jc w:val="right"/>
              <w:rPr>
                <w:rFonts w:eastAsia="Times New Roman"/>
                <w:color w:val="000000"/>
              </w:rPr>
            </w:pPr>
            <w:r w:rsidRPr="0068488B">
              <w:rPr>
                <w:rFonts w:eastAsia="Times New Roman"/>
                <w:color w:val="000000"/>
              </w:rPr>
              <w:t>0.30</w:t>
            </w:r>
          </w:p>
        </w:tc>
        <w:tc>
          <w:tcPr>
            <w:tcW w:w="990" w:type="dxa"/>
            <w:tcBorders>
              <w:top w:val="nil"/>
              <w:left w:val="nil"/>
              <w:bottom w:val="nil"/>
              <w:right w:val="nil"/>
            </w:tcBorders>
            <w:vAlign w:val="bottom"/>
          </w:tcPr>
          <w:p w14:paraId="4615B648" w14:textId="5CA01DB1" w:rsidR="002D29A5" w:rsidRPr="0068488B" w:rsidRDefault="002D29A5">
            <w:pPr>
              <w:jc w:val="right"/>
              <w:rPr>
                <w:rFonts w:eastAsia="Times New Roman"/>
                <w:color w:val="000000"/>
              </w:rPr>
            </w:pPr>
            <w:r>
              <w:rPr>
                <w:rFonts w:ascii="Calibri" w:eastAsia="Times New Roman" w:hAnsi="Calibri"/>
                <w:color w:val="000000"/>
              </w:rPr>
              <w:t>0.37</w:t>
            </w:r>
          </w:p>
        </w:tc>
      </w:tr>
      <w:tr w:rsidR="002D29A5" w:rsidRPr="0068488B" w14:paraId="72615627" w14:textId="49FEC358" w:rsidTr="00EB698C">
        <w:trPr>
          <w:trHeight w:val="320"/>
        </w:trPr>
        <w:tc>
          <w:tcPr>
            <w:tcW w:w="1468" w:type="dxa"/>
            <w:vMerge/>
            <w:tcBorders>
              <w:top w:val="nil"/>
              <w:left w:val="nil"/>
              <w:bottom w:val="single" w:sz="4" w:space="0" w:color="000000"/>
              <w:right w:val="nil"/>
            </w:tcBorders>
            <w:vAlign w:val="center"/>
            <w:hideMark/>
          </w:tcPr>
          <w:p w14:paraId="66CD265E" w14:textId="77777777" w:rsidR="002D29A5" w:rsidRPr="0068488B" w:rsidRDefault="002D29A5">
            <w:pPr>
              <w:rPr>
                <w:rFonts w:eastAsia="Times New Roman"/>
                <w:color w:val="000000"/>
              </w:rPr>
            </w:pPr>
          </w:p>
        </w:tc>
        <w:tc>
          <w:tcPr>
            <w:tcW w:w="1056" w:type="dxa"/>
            <w:tcBorders>
              <w:top w:val="nil"/>
              <w:left w:val="nil"/>
              <w:bottom w:val="nil"/>
              <w:right w:val="nil"/>
            </w:tcBorders>
            <w:shd w:val="clear" w:color="auto" w:fill="auto"/>
            <w:noWrap/>
            <w:vAlign w:val="bottom"/>
            <w:hideMark/>
          </w:tcPr>
          <w:p w14:paraId="6745CDDF" w14:textId="77777777" w:rsidR="002D29A5" w:rsidRPr="0068488B" w:rsidRDefault="002D29A5">
            <w:pPr>
              <w:rPr>
                <w:rFonts w:eastAsia="Times New Roman"/>
                <w:color w:val="000000"/>
              </w:rPr>
            </w:pPr>
            <w:r w:rsidRPr="0068488B">
              <w:rPr>
                <w:rFonts w:eastAsia="Times New Roman"/>
                <w:color w:val="000000"/>
              </w:rPr>
              <w:t>Scotland</w:t>
            </w:r>
          </w:p>
        </w:tc>
        <w:tc>
          <w:tcPr>
            <w:tcW w:w="1257" w:type="dxa"/>
            <w:tcBorders>
              <w:top w:val="nil"/>
              <w:left w:val="nil"/>
              <w:bottom w:val="nil"/>
              <w:right w:val="nil"/>
            </w:tcBorders>
            <w:shd w:val="clear" w:color="auto" w:fill="auto"/>
            <w:noWrap/>
            <w:vAlign w:val="bottom"/>
            <w:hideMark/>
          </w:tcPr>
          <w:p w14:paraId="7BF7C929" w14:textId="77777777" w:rsidR="002D29A5" w:rsidRPr="0068488B" w:rsidRDefault="002D29A5">
            <w:pPr>
              <w:jc w:val="right"/>
              <w:rPr>
                <w:rFonts w:eastAsia="Times New Roman"/>
                <w:color w:val="000000"/>
              </w:rPr>
            </w:pPr>
            <w:r w:rsidRPr="0068488B">
              <w:rPr>
                <w:rFonts w:eastAsia="Times New Roman"/>
                <w:color w:val="000000"/>
              </w:rPr>
              <w:t>-0.51</w:t>
            </w:r>
          </w:p>
        </w:tc>
        <w:tc>
          <w:tcPr>
            <w:tcW w:w="1247" w:type="dxa"/>
            <w:tcBorders>
              <w:top w:val="nil"/>
              <w:left w:val="nil"/>
              <w:bottom w:val="nil"/>
              <w:right w:val="nil"/>
            </w:tcBorders>
            <w:shd w:val="clear" w:color="auto" w:fill="auto"/>
            <w:noWrap/>
            <w:vAlign w:val="bottom"/>
            <w:hideMark/>
          </w:tcPr>
          <w:p w14:paraId="6BED3256" w14:textId="77777777" w:rsidR="002D29A5" w:rsidRPr="0068488B" w:rsidRDefault="002D29A5">
            <w:pPr>
              <w:jc w:val="right"/>
              <w:rPr>
                <w:rFonts w:eastAsia="Times New Roman"/>
                <w:color w:val="000000"/>
              </w:rPr>
            </w:pPr>
            <w:r w:rsidRPr="0068488B">
              <w:rPr>
                <w:rFonts w:eastAsia="Times New Roman"/>
                <w:color w:val="000000"/>
              </w:rPr>
              <w:t>-0.16</w:t>
            </w:r>
          </w:p>
        </w:tc>
        <w:tc>
          <w:tcPr>
            <w:tcW w:w="921" w:type="dxa"/>
            <w:tcBorders>
              <w:top w:val="nil"/>
              <w:left w:val="nil"/>
              <w:bottom w:val="nil"/>
              <w:right w:val="nil"/>
            </w:tcBorders>
            <w:shd w:val="clear" w:color="auto" w:fill="auto"/>
            <w:noWrap/>
            <w:vAlign w:val="bottom"/>
            <w:hideMark/>
          </w:tcPr>
          <w:p w14:paraId="05B1049B" w14:textId="77777777" w:rsidR="002D29A5" w:rsidRPr="0068488B" w:rsidRDefault="002D29A5">
            <w:pPr>
              <w:jc w:val="right"/>
              <w:rPr>
                <w:rFonts w:eastAsia="Times New Roman"/>
                <w:color w:val="000000"/>
              </w:rPr>
            </w:pPr>
            <w:r w:rsidRPr="0068488B">
              <w:rPr>
                <w:rFonts w:eastAsia="Times New Roman"/>
                <w:color w:val="000000"/>
              </w:rPr>
              <w:t>-0.23</w:t>
            </w:r>
          </w:p>
        </w:tc>
        <w:tc>
          <w:tcPr>
            <w:tcW w:w="2081" w:type="dxa"/>
            <w:tcBorders>
              <w:top w:val="nil"/>
              <w:left w:val="nil"/>
              <w:bottom w:val="nil"/>
              <w:right w:val="nil"/>
            </w:tcBorders>
            <w:shd w:val="clear" w:color="auto" w:fill="auto"/>
            <w:noWrap/>
            <w:vAlign w:val="bottom"/>
            <w:hideMark/>
          </w:tcPr>
          <w:p w14:paraId="730A6F6B" w14:textId="77777777" w:rsidR="002D29A5" w:rsidRPr="0068488B" w:rsidRDefault="002D29A5">
            <w:pPr>
              <w:jc w:val="right"/>
              <w:rPr>
                <w:rFonts w:eastAsia="Times New Roman"/>
                <w:color w:val="000000"/>
              </w:rPr>
            </w:pPr>
            <w:r w:rsidRPr="0068488B">
              <w:rPr>
                <w:rFonts w:eastAsia="Times New Roman"/>
                <w:color w:val="000000"/>
              </w:rPr>
              <w:t>0.18</w:t>
            </w:r>
          </w:p>
        </w:tc>
        <w:tc>
          <w:tcPr>
            <w:tcW w:w="990" w:type="dxa"/>
            <w:tcBorders>
              <w:top w:val="nil"/>
              <w:left w:val="nil"/>
              <w:bottom w:val="nil"/>
              <w:right w:val="nil"/>
            </w:tcBorders>
            <w:vAlign w:val="bottom"/>
          </w:tcPr>
          <w:p w14:paraId="4D98E2FB" w14:textId="05A001B8" w:rsidR="002D29A5" w:rsidRPr="0068488B" w:rsidRDefault="002D29A5">
            <w:pPr>
              <w:jc w:val="right"/>
              <w:rPr>
                <w:rFonts w:eastAsia="Times New Roman"/>
                <w:color w:val="000000"/>
              </w:rPr>
            </w:pPr>
            <w:r>
              <w:rPr>
                <w:rFonts w:ascii="Calibri" w:eastAsia="Times New Roman" w:hAnsi="Calibri"/>
                <w:color w:val="000000"/>
              </w:rPr>
              <w:t>0.27</w:t>
            </w:r>
          </w:p>
        </w:tc>
      </w:tr>
      <w:tr w:rsidR="002D29A5" w:rsidRPr="0068488B" w14:paraId="7A667DF1" w14:textId="7D48931E" w:rsidTr="00EB698C">
        <w:trPr>
          <w:trHeight w:val="320"/>
        </w:trPr>
        <w:tc>
          <w:tcPr>
            <w:tcW w:w="1468" w:type="dxa"/>
            <w:vMerge/>
            <w:tcBorders>
              <w:top w:val="nil"/>
              <w:left w:val="nil"/>
              <w:bottom w:val="single" w:sz="4" w:space="0" w:color="000000"/>
              <w:right w:val="nil"/>
            </w:tcBorders>
            <w:vAlign w:val="center"/>
            <w:hideMark/>
          </w:tcPr>
          <w:p w14:paraId="1B3300CB" w14:textId="77777777" w:rsidR="002D29A5" w:rsidRPr="0068488B" w:rsidRDefault="002D29A5">
            <w:pPr>
              <w:rPr>
                <w:rFonts w:eastAsia="Times New Roman"/>
                <w:color w:val="000000"/>
              </w:rPr>
            </w:pPr>
          </w:p>
        </w:tc>
        <w:tc>
          <w:tcPr>
            <w:tcW w:w="1056" w:type="dxa"/>
            <w:tcBorders>
              <w:top w:val="nil"/>
              <w:left w:val="nil"/>
              <w:bottom w:val="single" w:sz="4" w:space="0" w:color="auto"/>
              <w:right w:val="nil"/>
            </w:tcBorders>
            <w:shd w:val="clear" w:color="auto" w:fill="auto"/>
            <w:noWrap/>
            <w:vAlign w:val="bottom"/>
            <w:hideMark/>
          </w:tcPr>
          <w:p w14:paraId="0EB23182" w14:textId="77777777" w:rsidR="002D29A5" w:rsidRPr="0068488B" w:rsidRDefault="002D29A5">
            <w:pPr>
              <w:rPr>
                <w:rFonts w:eastAsia="Times New Roman"/>
                <w:color w:val="000000"/>
              </w:rPr>
            </w:pPr>
            <w:r w:rsidRPr="0068488B">
              <w:rPr>
                <w:rFonts w:eastAsia="Times New Roman"/>
                <w:color w:val="000000"/>
              </w:rPr>
              <w:t>Wales</w:t>
            </w:r>
          </w:p>
        </w:tc>
        <w:tc>
          <w:tcPr>
            <w:tcW w:w="1257" w:type="dxa"/>
            <w:tcBorders>
              <w:top w:val="nil"/>
              <w:left w:val="nil"/>
              <w:bottom w:val="single" w:sz="4" w:space="0" w:color="auto"/>
              <w:right w:val="nil"/>
            </w:tcBorders>
            <w:shd w:val="clear" w:color="auto" w:fill="auto"/>
            <w:noWrap/>
            <w:vAlign w:val="bottom"/>
            <w:hideMark/>
          </w:tcPr>
          <w:p w14:paraId="6521FFD2" w14:textId="77777777" w:rsidR="002D29A5" w:rsidRPr="0068488B" w:rsidRDefault="002D29A5">
            <w:pPr>
              <w:jc w:val="right"/>
              <w:rPr>
                <w:rFonts w:eastAsia="Times New Roman"/>
                <w:color w:val="000000"/>
              </w:rPr>
            </w:pPr>
            <w:r w:rsidRPr="0068488B">
              <w:rPr>
                <w:rFonts w:eastAsia="Times New Roman"/>
                <w:color w:val="000000"/>
              </w:rPr>
              <w:t>-0.59</w:t>
            </w:r>
          </w:p>
        </w:tc>
        <w:tc>
          <w:tcPr>
            <w:tcW w:w="1247" w:type="dxa"/>
            <w:tcBorders>
              <w:top w:val="nil"/>
              <w:left w:val="nil"/>
              <w:bottom w:val="single" w:sz="4" w:space="0" w:color="auto"/>
              <w:right w:val="nil"/>
            </w:tcBorders>
            <w:shd w:val="clear" w:color="auto" w:fill="auto"/>
            <w:noWrap/>
            <w:vAlign w:val="bottom"/>
            <w:hideMark/>
          </w:tcPr>
          <w:p w14:paraId="646012F3" w14:textId="77777777" w:rsidR="002D29A5" w:rsidRPr="0068488B" w:rsidRDefault="002D29A5">
            <w:pPr>
              <w:jc w:val="right"/>
              <w:rPr>
                <w:rFonts w:eastAsia="Times New Roman"/>
                <w:color w:val="000000"/>
              </w:rPr>
            </w:pPr>
            <w:r w:rsidRPr="0068488B">
              <w:rPr>
                <w:rFonts w:eastAsia="Times New Roman"/>
                <w:color w:val="000000"/>
              </w:rPr>
              <w:t>-0.05</w:t>
            </w:r>
          </w:p>
        </w:tc>
        <w:tc>
          <w:tcPr>
            <w:tcW w:w="921" w:type="dxa"/>
            <w:tcBorders>
              <w:top w:val="nil"/>
              <w:left w:val="nil"/>
              <w:bottom w:val="single" w:sz="4" w:space="0" w:color="auto"/>
              <w:right w:val="nil"/>
            </w:tcBorders>
            <w:shd w:val="clear" w:color="auto" w:fill="auto"/>
            <w:noWrap/>
            <w:vAlign w:val="bottom"/>
            <w:hideMark/>
          </w:tcPr>
          <w:p w14:paraId="54C3D130" w14:textId="77777777" w:rsidR="002D29A5" w:rsidRPr="0068488B" w:rsidRDefault="002D29A5">
            <w:pPr>
              <w:jc w:val="right"/>
              <w:rPr>
                <w:rFonts w:eastAsia="Times New Roman"/>
                <w:color w:val="000000"/>
              </w:rPr>
            </w:pPr>
            <w:r w:rsidRPr="0068488B">
              <w:rPr>
                <w:rFonts w:eastAsia="Times New Roman"/>
                <w:color w:val="000000"/>
              </w:rPr>
              <w:t>-0.11</w:t>
            </w:r>
          </w:p>
        </w:tc>
        <w:tc>
          <w:tcPr>
            <w:tcW w:w="2081" w:type="dxa"/>
            <w:tcBorders>
              <w:top w:val="nil"/>
              <w:left w:val="nil"/>
              <w:bottom w:val="single" w:sz="4" w:space="0" w:color="auto"/>
              <w:right w:val="nil"/>
            </w:tcBorders>
            <w:shd w:val="clear" w:color="auto" w:fill="auto"/>
            <w:noWrap/>
            <w:vAlign w:val="bottom"/>
            <w:hideMark/>
          </w:tcPr>
          <w:p w14:paraId="773D0144" w14:textId="77777777" w:rsidR="002D29A5" w:rsidRPr="0068488B" w:rsidRDefault="002D29A5">
            <w:pPr>
              <w:jc w:val="right"/>
              <w:rPr>
                <w:rFonts w:eastAsia="Times New Roman"/>
                <w:color w:val="000000"/>
              </w:rPr>
            </w:pPr>
            <w:r w:rsidRPr="0068488B">
              <w:rPr>
                <w:rFonts w:eastAsia="Times New Roman"/>
                <w:color w:val="000000"/>
              </w:rPr>
              <w:t>0.20</w:t>
            </w:r>
          </w:p>
        </w:tc>
        <w:tc>
          <w:tcPr>
            <w:tcW w:w="990" w:type="dxa"/>
            <w:tcBorders>
              <w:top w:val="nil"/>
              <w:left w:val="nil"/>
              <w:bottom w:val="single" w:sz="4" w:space="0" w:color="auto"/>
              <w:right w:val="nil"/>
            </w:tcBorders>
            <w:vAlign w:val="bottom"/>
          </w:tcPr>
          <w:p w14:paraId="6440E13B" w14:textId="666EB154" w:rsidR="002D29A5" w:rsidRPr="0068488B" w:rsidRDefault="002D29A5">
            <w:pPr>
              <w:jc w:val="right"/>
              <w:rPr>
                <w:rFonts w:eastAsia="Times New Roman"/>
                <w:color w:val="000000"/>
              </w:rPr>
            </w:pPr>
            <w:r>
              <w:rPr>
                <w:rFonts w:ascii="Calibri" w:eastAsia="Times New Roman" w:hAnsi="Calibri"/>
                <w:color w:val="000000"/>
              </w:rPr>
              <w:t>0.30</w:t>
            </w:r>
          </w:p>
        </w:tc>
      </w:tr>
      <w:tr w:rsidR="002D29A5" w:rsidRPr="0068488B" w14:paraId="70A94C07" w14:textId="280D6DAD" w:rsidTr="00EB698C">
        <w:trPr>
          <w:trHeight w:val="320"/>
        </w:trPr>
        <w:tc>
          <w:tcPr>
            <w:tcW w:w="1468" w:type="dxa"/>
            <w:vMerge w:val="restart"/>
            <w:tcBorders>
              <w:top w:val="nil"/>
              <w:left w:val="nil"/>
              <w:bottom w:val="single" w:sz="4" w:space="0" w:color="000000"/>
              <w:right w:val="nil"/>
            </w:tcBorders>
            <w:shd w:val="clear" w:color="auto" w:fill="auto"/>
            <w:vAlign w:val="center"/>
            <w:hideMark/>
          </w:tcPr>
          <w:p w14:paraId="48FA8AA6" w14:textId="77777777" w:rsidR="002D29A5" w:rsidRPr="0068488B" w:rsidRDefault="002D29A5">
            <w:pPr>
              <w:jc w:val="center"/>
              <w:rPr>
                <w:rFonts w:eastAsia="Times New Roman"/>
                <w:color w:val="000000"/>
              </w:rPr>
            </w:pPr>
            <w:r w:rsidRPr="0068488B">
              <w:rPr>
                <w:rFonts w:eastAsia="Times New Roman"/>
                <w:color w:val="000000"/>
              </w:rPr>
              <w:t>Environment Domain</w:t>
            </w:r>
          </w:p>
        </w:tc>
        <w:tc>
          <w:tcPr>
            <w:tcW w:w="1056" w:type="dxa"/>
            <w:tcBorders>
              <w:top w:val="nil"/>
              <w:left w:val="nil"/>
              <w:bottom w:val="nil"/>
              <w:right w:val="nil"/>
            </w:tcBorders>
            <w:shd w:val="clear" w:color="auto" w:fill="auto"/>
            <w:noWrap/>
            <w:vAlign w:val="bottom"/>
            <w:hideMark/>
          </w:tcPr>
          <w:p w14:paraId="4EA5E522" w14:textId="77777777" w:rsidR="002D29A5" w:rsidRPr="0068488B" w:rsidRDefault="002D29A5">
            <w:pPr>
              <w:rPr>
                <w:rFonts w:eastAsia="Times New Roman"/>
                <w:color w:val="000000"/>
              </w:rPr>
            </w:pPr>
            <w:r w:rsidRPr="0068488B">
              <w:rPr>
                <w:rFonts w:eastAsia="Times New Roman"/>
                <w:color w:val="000000"/>
              </w:rPr>
              <w:t>England</w:t>
            </w:r>
          </w:p>
        </w:tc>
        <w:tc>
          <w:tcPr>
            <w:tcW w:w="1257" w:type="dxa"/>
            <w:tcBorders>
              <w:top w:val="nil"/>
              <w:left w:val="nil"/>
              <w:bottom w:val="nil"/>
              <w:right w:val="nil"/>
            </w:tcBorders>
            <w:shd w:val="clear" w:color="auto" w:fill="auto"/>
            <w:noWrap/>
            <w:vAlign w:val="bottom"/>
            <w:hideMark/>
          </w:tcPr>
          <w:p w14:paraId="4D543998" w14:textId="77777777" w:rsidR="002D29A5" w:rsidRPr="0068488B" w:rsidRDefault="002D29A5">
            <w:pPr>
              <w:jc w:val="right"/>
              <w:rPr>
                <w:rFonts w:eastAsia="Times New Roman"/>
                <w:color w:val="000000"/>
              </w:rPr>
            </w:pPr>
            <w:r w:rsidRPr="0068488B">
              <w:rPr>
                <w:rFonts w:eastAsia="Times New Roman"/>
                <w:color w:val="000000"/>
              </w:rPr>
              <w:t>0.55</w:t>
            </w:r>
          </w:p>
        </w:tc>
        <w:tc>
          <w:tcPr>
            <w:tcW w:w="1247" w:type="dxa"/>
            <w:tcBorders>
              <w:top w:val="nil"/>
              <w:left w:val="nil"/>
              <w:bottom w:val="nil"/>
              <w:right w:val="nil"/>
            </w:tcBorders>
            <w:shd w:val="clear" w:color="auto" w:fill="auto"/>
            <w:noWrap/>
            <w:vAlign w:val="bottom"/>
            <w:hideMark/>
          </w:tcPr>
          <w:p w14:paraId="333259CE" w14:textId="77777777" w:rsidR="002D29A5" w:rsidRPr="0068488B" w:rsidRDefault="002D29A5">
            <w:pPr>
              <w:jc w:val="right"/>
              <w:rPr>
                <w:rFonts w:eastAsia="Times New Roman"/>
                <w:color w:val="000000"/>
              </w:rPr>
            </w:pPr>
            <w:r w:rsidRPr="0068488B">
              <w:rPr>
                <w:rFonts w:eastAsia="Times New Roman"/>
                <w:color w:val="000000"/>
              </w:rPr>
              <w:t>-0.11</w:t>
            </w:r>
          </w:p>
        </w:tc>
        <w:tc>
          <w:tcPr>
            <w:tcW w:w="921" w:type="dxa"/>
            <w:tcBorders>
              <w:top w:val="nil"/>
              <w:left w:val="nil"/>
              <w:bottom w:val="nil"/>
              <w:right w:val="nil"/>
            </w:tcBorders>
            <w:shd w:val="clear" w:color="auto" w:fill="auto"/>
            <w:noWrap/>
            <w:vAlign w:val="bottom"/>
            <w:hideMark/>
          </w:tcPr>
          <w:p w14:paraId="2DAC08A8" w14:textId="77777777" w:rsidR="002D29A5" w:rsidRPr="0068488B" w:rsidRDefault="002D29A5">
            <w:pPr>
              <w:jc w:val="right"/>
              <w:rPr>
                <w:rFonts w:eastAsia="Times New Roman"/>
                <w:color w:val="000000"/>
              </w:rPr>
            </w:pPr>
            <w:r w:rsidRPr="0068488B">
              <w:rPr>
                <w:rFonts w:eastAsia="Times New Roman"/>
                <w:color w:val="000000"/>
              </w:rPr>
              <w:t>0.00</w:t>
            </w:r>
          </w:p>
        </w:tc>
        <w:tc>
          <w:tcPr>
            <w:tcW w:w="2081" w:type="dxa"/>
            <w:tcBorders>
              <w:top w:val="nil"/>
              <w:left w:val="nil"/>
              <w:bottom w:val="nil"/>
              <w:right w:val="nil"/>
            </w:tcBorders>
            <w:shd w:val="clear" w:color="auto" w:fill="auto"/>
            <w:noWrap/>
            <w:vAlign w:val="bottom"/>
            <w:hideMark/>
          </w:tcPr>
          <w:p w14:paraId="3BD4E02F" w14:textId="77777777" w:rsidR="002D29A5" w:rsidRPr="0068488B" w:rsidRDefault="002D29A5">
            <w:pPr>
              <w:jc w:val="right"/>
              <w:rPr>
                <w:rFonts w:eastAsia="Times New Roman"/>
                <w:color w:val="000000"/>
              </w:rPr>
            </w:pPr>
            <w:r w:rsidRPr="0068488B">
              <w:rPr>
                <w:rFonts w:eastAsia="Times New Roman"/>
                <w:color w:val="000000"/>
              </w:rPr>
              <w:t>-0.31</w:t>
            </w:r>
          </w:p>
        </w:tc>
        <w:tc>
          <w:tcPr>
            <w:tcW w:w="990" w:type="dxa"/>
            <w:tcBorders>
              <w:top w:val="nil"/>
              <w:left w:val="nil"/>
              <w:bottom w:val="nil"/>
              <w:right w:val="nil"/>
            </w:tcBorders>
            <w:vAlign w:val="bottom"/>
          </w:tcPr>
          <w:p w14:paraId="26354623" w14:textId="3F95DA47" w:rsidR="002D29A5" w:rsidRPr="0068488B" w:rsidRDefault="002D29A5">
            <w:pPr>
              <w:jc w:val="right"/>
              <w:rPr>
                <w:rFonts w:eastAsia="Times New Roman"/>
                <w:color w:val="000000"/>
              </w:rPr>
            </w:pPr>
            <w:r>
              <w:rPr>
                <w:rFonts w:ascii="Calibri" w:eastAsia="Times New Roman" w:hAnsi="Calibri"/>
                <w:color w:val="000000"/>
              </w:rPr>
              <w:t>-0.29</w:t>
            </w:r>
          </w:p>
        </w:tc>
      </w:tr>
      <w:tr w:rsidR="002D29A5" w:rsidRPr="0068488B" w14:paraId="664E7933" w14:textId="64D080B5" w:rsidTr="00EB698C">
        <w:trPr>
          <w:trHeight w:val="320"/>
        </w:trPr>
        <w:tc>
          <w:tcPr>
            <w:tcW w:w="1468" w:type="dxa"/>
            <w:vMerge/>
            <w:tcBorders>
              <w:top w:val="nil"/>
              <w:left w:val="nil"/>
              <w:bottom w:val="single" w:sz="4" w:space="0" w:color="000000"/>
              <w:right w:val="nil"/>
            </w:tcBorders>
            <w:vAlign w:val="center"/>
            <w:hideMark/>
          </w:tcPr>
          <w:p w14:paraId="29D6AA65" w14:textId="77777777" w:rsidR="002D29A5" w:rsidRPr="0068488B" w:rsidRDefault="002D29A5">
            <w:pPr>
              <w:rPr>
                <w:rFonts w:eastAsia="Times New Roman"/>
                <w:color w:val="000000"/>
              </w:rPr>
            </w:pPr>
          </w:p>
        </w:tc>
        <w:tc>
          <w:tcPr>
            <w:tcW w:w="1056" w:type="dxa"/>
            <w:tcBorders>
              <w:top w:val="nil"/>
              <w:left w:val="nil"/>
              <w:bottom w:val="nil"/>
              <w:right w:val="nil"/>
            </w:tcBorders>
            <w:shd w:val="clear" w:color="auto" w:fill="auto"/>
            <w:noWrap/>
            <w:vAlign w:val="bottom"/>
            <w:hideMark/>
          </w:tcPr>
          <w:p w14:paraId="2B53B64A" w14:textId="77777777" w:rsidR="002D29A5" w:rsidRPr="0068488B" w:rsidRDefault="002D29A5">
            <w:pPr>
              <w:rPr>
                <w:rFonts w:eastAsia="Times New Roman"/>
                <w:color w:val="000000"/>
              </w:rPr>
            </w:pPr>
            <w:r w:rsidRPr="0068488B">
              <w:rPr>
                <w:rFonts w:eastAsia="Times New Roman"/>
                <w:color w:val="000000"/>
              </w:rPr>
              <w:t>Scotland</w:t>
            </w:r>
          </w:p>
        </w:tc>
        <w:tc>
          <w:tcPr>
            <w:tcW w:w="1257" w:type="dxa"/>
            <w:tcBorders>
              <w:top w:val="nil"/>
              <w:left w:val="nil"/>
              <w:bottom w:val="nil"/>
              <w:right w:val="nil"/>
            </w:tcBorders>
            <w:shd w:val="clear" w:color="auto" w:fill="auto"/>
            <w:noWrap/>
            <w:vAlign w:val="bottom"/>
            <w:hideMark/>
          </w:tcPr>
          <w:p w14:paraId="4585074E" w14:textId="77777777" w:rsidR="002D29A5" w:rsidRPr="0068488B" w:rsidRDefault="002D29A5">
            <w:pPr>
              <w:jc w:val="right"/>
              <w:rPr>
                <w:rFonts w:eastAsia="Times New Roman"/>
                <w:color w:val="000000"/>
              </w:rPr>
            </w:pPr>
            <w:r w:rsidRPr="0068488B">
              <w:rPr>
                <w:rFonts w:eastAsia="Times New Roman"/>
                <w:color w:val="000000"/>
              </w:rPr>
              <w:t>0.27</w:t>
            </w:r>
          </w:p>
        </w:tc>
        <w:tc>
          <w:tcPr>
            <w:tcW w:w="1247" w:type="dxa"/>
            <w:tcBorders>
              <w:top w:val="nil"/>
              <w:left w:val="nil"/>
              <w:bottom w:val="nil"/>
              <w:right w:val="nil"/>
            </w:tcBorders>
            <w:shd w:val="clear" w:color="auto" w:fill="auto"/>
            <w:noWrap/>
            <w:vAlign w:val="bottom"/>
            <w:hideMark/>
          </w:tcPr>
          <w:p w14:paraId="1B760DAF" w14:textId="77777777" w:rsidR="002D29A5" w:rsidRPr="0068488B" w:rsidRDefault="002D29A5">
            <w:pPr>
              <w:jc w:val="right"/>
              <w:rPr>
                <w:rFonts w:eastAsia="Times New Roman"/>
                <w:color w:val="000000"/>
              </w:rPr>
            </w:pPr>
            <w:r w:rsidRPr="0068488B">
              <w:rPr>
                <w:rFonts w:eastAsia="Times New Roman"/>
                <w:color w:val="000000"/>
              </w:rPr>
              <w:t>-0.13</w:t>
            </w:r>
          </w:p>
        </w:tc>
        <w:tc>
          <w:tcPr>
            <w:tcW w:w="921" w:type="dxa"/>
            <w:tcBorders>
              <w:top w:val="nil"/>
              <w:left w:val="nil"/>
              <w:bottom w:val="nil"/>
              <w:right w:val="nil"/>
            </w:tcBorders>
            <w:shd w:val="clear" w:color="auto" w:fill="auto"/>
            <w:noWrap/>
            <w:vAlign w:val="bottom"/>
            <w:hideMark/>
          </w:tcPr>
          <w:p w14:paraId="1AF7BDF4" w14:textId="77777777" w:rsidR="002D29A5" w:rsidRPr="0068488B" w:rsidRDefault="002D29A5">
            <w:pPr>
              <w:jc w:val="right"/>
              <w:rPr>
                <w:rFonts w:eastAsia="Times New Roman"/>
                <w:color w:val="000000"/>
              </w:rPr>
            </w:pPr>
            <w:r w:rsidRPr="0068488B">
              <w:rPr>
                <w:rFonts w:eastAsia="Times New Roman"/>
                <w:color w:val="000000"/>
              </w:rPr>
              <w:t>-0.09</w:t>
            </w:r>
          </w:p>
        </w:tc>
        <w:tc>
          <w:tcPr>
            <w:tcW w:w="2081" w:type="dxa"/>
            <w:tcBorders>
              <w:top w:val="nil"/>
              <w:left w:val="nil"/>
              <w:bottom w:val="nil"/>
              <w:right w:val="nil"/>
            </w:tcBorders>
            <w:shd w:val="clear" w:color="auto" w:fill="auto"/>
            <w:noWrap/>
            <w:vAlign w:val="bottom"/>
            <w:hideMark/>
          </w:tcPr>
          <w:p w14:paraId="2D3F0924" w14:textId="77777777" w:rsidR="002D29A5" w:rsidRPr="0068488B" w:rsidRDefault="002D29A5">
            <w:pPr>
              <w:jc w:val="right"/>
              <w:rPr>
                <w:rFonts w:eastAsia="Times New Roman"/>
                <w:color w:val="000000"/>
              </w:rPr>
            </w:pPr>
            <w:r w:rsidRPr="0068488B">
              <w:rPr>
                <w:rFonts w:eastAsia="Times New Roman"/>
                <w:color w:val="000000"/>
              </w:rPr>
              <w:t>0.03</w:t>
            </w:r>
          </w:p>
        </w:tc>
        <w:tc>
          <w:tcPr>
            <w:tcW w:w="990" w:type="dxa"/>
            <w:tcBorders>
              <w:top w:val="nil"/>
              <w:left w:val="nil"/>
              <w:bottom w:val="nil"/>
              <w:right w:val="nil"/>
            </w:tcBorders>
            <w:vAlign w:val="bottom"/>
          </w:tcPr>
          <w:p w14:paraId="2DE69159" w14:textId="72E3ABCF" w:rsidR="002D29A5" w:rsidRPr="0068488B" w:rsidRDefault="002D29A5">
            <w:pPr>
              <w:jc w:val="right"/>
              <w:rPr>
                <w:rFonts w:eastAsia="Times New Roman"/>
                <w:color w:val="000000"/>
              </w:rPr>
            </w:pPr>
            <w:r>
              <w:rPr>
                <w:rFonts w:ascii="Calibri" w:eastAsia="Times New Roman" w:hAnsi="Calibri"/>
                <w:color w:val="000000"/>
              </w:rPr>
              <w:t>0.03</w:t>
            </w:r>
          </w:p>
        </w:tc>
      </w:tr>
      <w:tr w:rsidR="002D29A5" w:rsidRPr="0068488B" w14:paraId="31169B6B" w14:textId="0162C4E6" w:rsidTr="00EB698C">
        <w:trPr>
          <w:trHeight w:val="320"/>
        </w:trPr>
        <w:tc>
          <w:tcPr>
            <w:tcW w:w="1468" w:type="dxa"/>
            <w:vMerge/>
            <w:tcBorders>
              <w:top w:val="nil"/>
              <w:left w:val="nil"/>
              <w:bottom w:val="single" w:sz="4" w:space="0" w:color="000000"/>
              <w:right w:val="nil"/>
            </w:tcBorders>
            <w:vAlign w:val="center"/>
            <w:hideMark/>
          </w:tcPr>
          <w:p w14:paraId="6B8C9289" w14:textId="77777777" w:rsidR="002D29A5" w:rsidRPr="0068488B" w:rsidRDefault="002D29A5">
            <w:pPr>
              <w:rPr>
                <w:rFonts w:eastAsia="Times New Roman"/>
                <w:color w:val="000000"/>
              </w:rPr>
            </w:pPr>
          </w:p>
        </w:tc>
        <w:tc>
          <w:tcPr>
            <w:tcW w:w="1056" w:type="dxa"/>
            <w:tcBorders>
              <w:top w:val="nil"/>
              <w:left w:val="nil"/>
              <w:bottom w:val="single" w:sz="4" w:space="0" w:color="auto"/>
              <w:right w:val="nil"/>
            </w:tcBorders>
            <w:shd w:val="clear" w:color="auto" w:fill="auto"/>
            <w:noWrap/>
            <w:vAlign w:val="bottom"/>
            <w:hideMark/>
          </w:tcPr>
          <w:p w14:paraId="0ADE7906" w14:textId="77777777" w:rsidR="002D29A5" w:rsidRPr="0068488B" w:rsidRDefault="002D29A5">
            <w:pPr>
              <w:rPr>
                <w:rFonts w:eastAsia="Times New Roman"/>
                <w:color w:val="000000"/>
              </w:rPr>
            </w:pPr>
            <w:r w:rsidRPr="0068488B">
              <w:rPr>
                <w:rFonts w:eastAsia="Times New Roman"/>
                <w:color w:val="000000"/>
              </w:rPr>
              <w:t>Wales</w:t>
            </w:r>
          </w:p>
        </w:tc>
        <w:tc>
          <w:tcPr>
            <w:tcW w:w="1257" w:type="dxa"/>
            <w:tcBorders>
              <w:top w:val="nil"/>
              <w:left w:val="nil"/>
              <w:bottom w:val="single" w:sz="4" w:space="0" w:color="auto"/>
              <w:right w:val="nil"/>
            </w:tcBorders>
            <w:shd w:val="clear" w:color="auto" w:fill="auto"/>
            <w:noWrap/>
            <w:vAlign w:val="bottom"/>
            <w:hideMark/>
          </w:tcPr>
          <w:p w14:paraId="13D59A59" w14:textId="77777777" w:rsidR="002D29A5" w:rsidRPr="0068488B" w:rsidRDefault="002D29A5">
            <w:pPr>
              <w:jc w:val="right"/>
              <w:rPr>
                <w:rFonts w:eastAsia="Times New Roman"/>
                <w:color w:val="000000"/>
              </w:rPr>
            </w:pPr>
            <w:r w:rsidRPr="0068488B">
              <w:rPr>
                <w:rFonts w:eastAsia="Times New Roman"/>
                <w:color w:val="000000"/>
              </w:rPr>
              <w:t>0.60</w:t>
            </w:r>
          </w:p>
        </w:tc>
        <w:tc>
          <w:tcPr>
            <w:tcW w:w="1247" w:type="dxa"/>
            <w:tcBorders>
              <w:top w:val="nil"/>
              <w:left w:val="nil"/>
              <w:bottom w:val="single" w:sz="4" w:space="0" w:color="auto"/>
              <w:right w:val="nil"/>
            </w:tcBorders>
            <w:shd w:val="clear" w:color="auto" w:fill="auto"/>
            <w:noWrap/>
            <w:vAlign w:val="bottom"/>
            <w:hideMark/>
          </w:tcPr>
          <w:p w14:paraId="048F0088" w14:textId="77777777" w:rsidR="002D29A5" w:rsidRPr="0068488B" w:rsidRDefault="002D29A5">
            <w:pPr>
              <w:jc w:val="right"/>
              <w:rPr>
                <w:rFonts w:eastAsia="Times New Roman"/>
                <w:color w:val="000000"/>
              </w:rPr>
            </w:pPr>
            <w:r w:rsidRPr="0068488B">
              <w:rPr>
                <w:rFonts w:eastAsia="Times New Roman"/>
                <w:color w:val="000000"/>
              </w:rPr>
              <w:t>-0.18</w:t>
            </w:r>
          </w:p>
        </w:tc>
        <w:tc>
          <w:tcPr>
            <w:tcW w:w="921" w:type="dxa"/>
            <w:tcBorders>
              <w:top w:val="nil"/>
              <w:left w:val="nil"/>
              <w:bottom w:val="single" w:sz="4" w:space="0" w:color="auto"/>
              <w:right w:val="nil"/>
            </w:tcBorders>
            <w:shd w:val="clear" w:color="auto" w:fill="auto"/>
            <w:noWrap/>
            <w:vAlign w:val="bottom"/>
            <w:hideMark/>
          </w:tcPr>
          <w:p w14:paraId="7D141DB8" w14:textId="77777777" w:rsidR="002D29A5" w:rsidRPr="0068488B" w:rsidRDefault="002D29A5">
            <w:pPr>
              <w:jc w:val="right"/>
              <w:rPr>
                <w:rFonts w:eastAsia="Times New Roman"/>
                <w:color w:val="000000"/>
              </w:rPr>
            </w:pPr>
            <w:r w:rsidRPr="0068488B">
              <w:rPr>
                <w:rFonts w:eastAsia="Times New Roman"/>
                <w:color w:val="000000"/>
              </w:rPr>
              <w:t>-0.08</w:t>
            </w:r>
          </w:p>
        </w:tc>
        <w:tc>
          <w:tcPr>
            <w:tcW w:w="2081" w:type="dxa"/>
            <w:tcBorders>
              <w:top w:val="nil"/>
              <w:left w:val="nil"/>
              <w:bottom w:val="single" w:sz="4" w:space="0" w:color="auto"/>
              <w:right w:val="nil"/>
            </w:tcBorders>
            <w:shd w:val="clear" w:color="auto" w:fill="auto"/>
            <w:noWrap/>
            <w:vAlign w:val="bottom"/>
            <w:hideMark/>
          </w:tcPr>
          <w:p w14:paraId="07C52484" w14:textId="77777777" w:rsidR="002D29A5" w:rsidRPr="0068488B" w:rsidRDefault="002D29A5">
            <w:pPr>
              <w:jc w:val="right"/>
              <w:rPr>
                <w:rFonts w:eastAsia="Times New Roman"/>
                <w:color w:val="000000"/>
              </w:rPr>
            </w:pPr>
            <w:r w:rsidRPr="0068488B">
              <w:rPr>
                <w:rFonts w:eastAsia="Times New Roman"/>
                <w:color w:val="000000"/>
              </w:rPr>
              <w:t>-0.17</w:t>
            </w:r>
          </w:p>
        </w:tc>
        <w:tc>
          <w:tcPr>
            <w:tcW w:w="990" w:type="dxa"/>
            <w:tcBorders>
              <w:top w:val="nil"/>
              <w:left w:val="nil"/>
              <w:bottom w:val="single" w:sz="4" w:space="0" w:color="auto"/>
              <w:right w:val="nil"/>
            </w:tcBorders>
            <w:vAlign w:val="bottom"/>
          </w:tcPr>
          <w:p w14:paraId="45285C8F" w14:textId="2343121F" w:rsidR="002D29A5" w:rsidRPr="0068488B" w:rsidRDefault="002D29A5">
            <w:pPr>
              <w:jc w:val="right"/>
              <w:rPr>
                <w:rFonts w:eastAsia="Times New Roman"/>
                <w:color w:val="000000"/>
              </w:rPr>
            </w:pPr>
            <w:r>
              <w:rPr>
                <w:rFonts w:ascii="Calibri" w:eastAsia="Times New Roman" w:hAnsi="Calibri"/>
                <w:color w:val="000000"/>
              </w:rPr>
              <w:t>-0.18</w:t>
            </w:r>
          </w:p>
        </w:tc>
      </w:tr>
    </w:tbl>
    <w:p w14:paraId="1A24D626" w14:textId="77777777" w:rsidR="00C57775" w:rsidRPr="0068488B" w:rsidRDefault="00C57775"/>
    <w:p w14:paraId="1DAB73D4" w14:textId="77777777" w:rsidR="005F199A" w:rsidRPr="0068488B" w:rsidRDefault="005F199A"/>
    <w:p w14:paraId="57166581" w14:textId="15783728" w:rsidR="00E470F2" w:rsidRPr="0068488B" w:rsidRDefault="00E470F2">
      <w:pPr>
        <w:rPr>
          <w:i/>
        </w:rPr>
      </w:pPr>
      <w:r w:rsidRPr="0068488B">
        <w:rPr>
          <w:i/>
        </w:rPr>
        <w:t xml:space="preserve">3.3 Examining whether </w:t>
      </w:r>
      <w:r w:rsidR="008275A5" w:rsidRPr="0068488B">
        <w:rPr>
          <w:i/>
        </w:rPr>
        <w:t>AHAH</w:t>
      </w:r>
      <w:r w:rsidRPr="0068488B">
        <w:rPr>
          <w:i/>
        </w:rPr>
        <w:t xml:space="preserve"> predicts individual-level health </w:t>
      </w:r>
    </w:p>
    <w:p w14:paraId="743B88B0" w14:textId="77777777" w:rsidR="0054418B" w:rsidRPr="0068488B" w:rsidRDefault="0054418B">
      <w:pPr>
        <w:rPr>
          <w:i/>
        </w:rPr>
      </w:pPr>
    </w:p>
    <w:p w14:paraId="1629EE57" w14:textId="6353350D" w:rsidR="0054418B" w:rsidRPr="0068488B" w:rsidRDefault="000A2740">
      <w:r w:rsidRPr="0068488B">
        <w:t xml:space="preserve">The final </w:t>
      </w:r>
      <w:r w:rsidR="008D4CBE">
        <w:t>piece of analysis</w:t>
      </w:r>
      <w:r w:rsidRPr="0068488B">
        <w:t xml:space="preserve"> was to examine whether AHAH and </w:t>
      </w:r>
      <w:r w:rsidR="008D4CBE" w:rsidRPr="0068488B">
        <w:t>its</w:t>
      </w:r>
      <w:r w:rsidRPr="0068488B">
        <w:t xml:space="preserve"> corresponding components are associated to individual-level health</w:t>
      </w:r>
      <w:r w:rsidR="008D4CBE">
        <w:t xml:space="preserve"> and wellbeing</w:t>
      </w:r>
      <w:r w:rsidRPr="0068488B">
        <w:t xml:space="preserve">. </w:t>
      </w:r>
      <w:r w:rsidR="002E1E4E" w:rsidRPr="0068488B">
        <w:t>Table 3</w:t>
      </w:r>
      <w:r w:rsidR="004057F3" w:rsidRPr="0068488B">
        <w:t xml:space="preserve"> presents analyses examining </w:t>
      </w:r>
      <w:r w:rsidR="004057F3" w:rsidRPr="0068488B">
        <w:lastRenderedPageBreak/>
        <w:t xml:space="preserve">their associations to </w:t>
      </w:r>
      <w:r w:rsidR="008D4CBE">
        <w:t>our three</w:t>
      </w:r>
      <w:r w:rsidR="004057F3" w:rsidRPr="0068488B">
        <w:t xml:space="preserve"> physical health</w:t>
      </w:r>
      <w:r w:rsidRPr="0068488B">
        <w:t xml:space="preserve"> </w:t>
      </w:r>
      <w:r w:rsidR="008D4CBE">
        <w:t>measures</w:t>
      </w:r>
      <w:r w:rsidR="004057F3" w:rsidRPr="0068488B">
        <w:t xml:space="preserve">. We found no associations of the overall AHAH score across each of these outcomes. </w:t>
      </w:r>
    </w:p>
    <w:p w14:paraId="787CFCC2" w14:textId="77777777" w:rsidR="00C27E2B" w:rsidRPr="0068488B" w:rsidRDefault="00C27E2B"/>
    <w:p w14:paraId="1CCC1F1A" w14:textId="77777777" w:rsidR="008D4CBE" w:rsidRDefault="008D4CBE"/>
    <w:p w14:paraId="6917CE60" w14:textId="77777777" w:rsidR="00AA076E" w:rsidRDefault="00AA076E"/>
    <w:p w14:paraId="777415FC" w14:textId="77777777" w:rsidR="00D30628" w:rsidRPr="0068488B" w:rsidRDefault="00AA0E59" w:rsidP="00CF1F51">
      <w:pPr>
        <w:rPr>
          <w:rFonts w:eastAsia="Times New Roman"/>
          <w:b/>
        </w:rPr>
      </w:pPr>
      <w:r w:rsidRPr="0068488B">
        <w:rPr>
          <w:rFonts w:eastAsia="Times New Roman"/>
          <w:b/>
        </w:rPr>
        <w:t xml:space="preserve">Table </w:t>
      </w:r>
      <w:r w:rsidR="002E1E4E" w:rsidRPr="0068488B">
        <w:rPr>
          <w:rFonts w:eastAsia="Times New Roman"/>
          <w:b/>
        </w:rPr>
        <w:t>3</w:t>
      </w:r>
      <w:r w:rsidRPr="0068488B">
        <w:rPr>
          <w:rFonts w:eastAsia="Times New Roman"/>
          <w:b/>
        </w:rPr>
        <w:t xml:space="preserve">: </w:t>
      </w:r>
      <w:r w:rsidR="005F736E" w:rsidRPr="0068488B">
        <w:rPr>
          <w:rFonts w:eastAsia="Times New Roman"/>
          <w:b/>
        </w:rPr>
        <w:t>Examining the association between AHAH, each domain and three measures of an individual’s physical health.</w:t>
      </w:r>
    </w:p>
    <w:tbl>
      <w:tblPr>
        <w:tblW w:w="9038" w:type="dxa"/>
        <w:shd w:val="clear" w:color="auto" w:fill="FFFFFF"/>
        <w:tblCellMar>
          <w:top w:w="15" w:type="dxa"/>
          <w:left w:w="15" w:type="dxa"/>
          <w:bottom w:w="15" w:type="dxa"/>
          <w:right w:w="15" w:type="dxa"/>
        </w:tblCellMar>
        <w:tblLook w:val="04A0" w:firstRow="1" w:lastRow="0" w:firstColumn="1" w:lastColumn="0" w:noHBand="0" w:noVBand="1"/>
      </w:tblPr>
      <w:tblGrid>
        <w:gridCol w:w="2282"/>
        <w:gridCol w:w="2633"/>
        <w:gridCol w:w="2432"/>
        <w:gridCol w:w="1691"/>
      </w:tblGrid>
      <w:tr w:rsidR="00D30628" w:rsidRPr="0068488B" w14:paraId="5D03DE3E" w14:textId="77777777" w:rsidTr="00323D88">
        <w:tc>
          <w:tcPr>
            <w:tcW w:w="2282" w:type="dxa"/>
            <w:tcBorders>
              <w:top w:val="single" w:sz="4" w:space="0" w:color="auto"/>
            </w:tcBorders>
            <w:shd w:val="clear" w:color="auto" w:fill="FFFFFF"/>
            <w:tcMar>
              <w:top w:w="0" w:type="dxa"/>
              <w:left w:w="0" w:type="dxa"/>
              <w:bottom w:w="0" w:type="dxa"/>
              <w:right w:w="0" w:type="dxa"/>
            </w:tcMar>
            <w:vAlign w:val="center"/>
          </w:tcPr>
          <w:p w14:paraId="2C23E317" w14:textId="77777777" w:rsidR="00D30628" w:rsidRPr="0068488B" w:rsidRDefault="00D30628" w:rsidP="00323D88">
            <w:pPr>
              <w:jc w:val="center"/>
              <w:rPr>
                <w:rFonts w:eastAsia="Times New Roman"/>
                <w:sz w:val="20"/>
                <w:szCs w:val="20"/>
              </w:rPr>
            </w:pPr>
          </w:p>
        </w:tc>
        <w:tc>
          <w:tcPr>
            <w:tcW w:w="6756" w:type="dxa"/>
            <w:gridSpan w:val="3"/>
            <w:tcBorders>
              <w:top w:val="single" w:sz="4" w:space="0" w:color="auto"/>
            </w:tcBorders>
            <w:shd w:val="clear" w:color="auto" w:fill="FFFFFF"/>
            <w:tcMar>
              <w:top w:w="0" w:type="dxa"/>
              <w:left w:w="0" w:type="dxa"/>
              <w:bottom w:w="0" w:type="dxa"/>
              <w:right w:w="0" w:type="dxa"/>
            </w:tcMar>
            <w:vAlign w:val="center"/>
          </w:tcPr>
          <w:p w14:paraId="77CBB5A1"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Outcome variable</w:t>
            </w:r>
          </w:p>
        </w:tc>
      </w:tr>
      <w:tr w:rsidR="00D30628" w:rsidRPr="0068488B" w14:paraId="2F40B38B" w14:textId="77777777" w:rsidTr="00323D88">
        <w:tc>
          <w:tcPr>
            <w:tcW w:w="2282" w:type="dxa"/>
            <w:shd w:val="clear" w:color="auto" w:fill="FFFFFF"/>
            <w:tcMar>
              <w:top w:w="0" w:type="dxa"/>
              <w:left w:w="0" w:type="dxa"/>
              <w:bottom w:w="0" w:type="dxa"/>
              <w:right w:w="0" w:type="dxa"/>
            </w:tcMar>
            <w:vAlign w:val="center"/>
            <w:hideMark/>
          </w:tcPr>
          <w:p w14:paraId="7871DAFE" w14:textId="77777777" w:rsidR="00D30628" w:rsidRPr="0068488B" w:rsidRDefault="00D30628" w:rsidP="00323D88">
            <w:pPr>
              <w:jc w:val="center"/>
              <w:rPr>
                <w:rFonts w:eastAsia="Times New Roman"/>
                <w:sz w:val="20"/>
                <w:szCs w:val="20"/>
              </w:rPr>
            </w:pPr>
          </w:p>
        </w:tc>
        <w:tc>
          <w:tcPr>
            <w:tcW w:w="2633" w:type="dxa"/>
            <w:tcBorders>
              <w:top w:val="single" w:sz="4" w:space="0" w:color="auto"/>
            </w:tcBorders>
            <w:shd w:val="clear" w:color="auto" w:fill="FFFFFF"/>
            <w:tcMar>
              <w:top w:w="0" w:type="dxa"/>
              <w:left w:w="0" w:type="dxa"/>
              <w:bottom w:w="0" w:type="dxa"/>
              <w:right w:w="0" w:type="dxa"/>
            </w:tcMar>
            <w:vAlign w:val="center"/>
            <w:hideMark/>
          </w:tcPr>
          <w:p w14:paraId="42EB46BF"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Long-standing illness</w:t>
            </w:r>
          </w:p>
        </w:tc>
        <w:tc>
          <w:tcPr>
            <w:tcW w:w="2432" w:type="dxa"/>
            <w:tcBorders>
              <w:top w:val="single" w:sz="4" w:space="0" w:color="auto"/>
            </w:tcBorders>
            <w:shd w:val="clear" w:color="auto" w:fill="FFFFFF"/>
            <w:tcMar>
              <w:top w:w="0" w:type="dxa"/>
              <w:left w:w="0" w:type="dxa"/>
              <w:bottom w:w="0" w:type="dxa"/>
              <w:right w:w="0" w:type="dxa"/>
            </w:tcMar>
            <w:vAlign w:val="center"/>
            <w:hideMark/>
          </w:tcPr>
          <w:p w14:paraId="5705EC9F" w14:textId="2A0DBBDE" w:rsidR="00D30628" w:rsidRPr="0068488B" w:rsidRDefault="00EC2A33" w:rsidP="00323D88">
            <w:pPr>
              <w:jc w:val="center"/>
              <w:rPr>
                <w:rFonts w:eastAsia="Times New Roman"/>
                <w:color w:val="333333"/>
                <w:sz w:val="21"/>
                <w:szCs w:val="21"/>
              </w:rPr>
            </w:pPr>
            <w:r w:rsidRPr="0068488B">
              <w:rPr>
                <w:rFonts w:eastAsia="Times New Roman"/>
                <w:color w:val="333333"/>
                <w:sz w:val="21"/>
                <w:szCs w:val="21"/>
              </w:rPr>
              <w:t>Poor Self-Rated</w:t>
            </w:r>
            <w:r w:rsidR="00D30628" w:rsidRPr="0068488B">
              <w:rPr>
                <w:rFonts w:eastAsia="Times New Roman"/>
                <w:color w:val="333333"/>
                <w:sz w:val="21"/>
                <w:szCs w:val="21"/>
              </w:rPr>
              <w:t xml:space="preserve"> Health</w:t>
            </w:r>
          </w:p>
        </w:tc>
        <w:tc>
          <w:tcPr>
            <w:tcW w:w="1691" w:type="dxa"/>
            <w:tcBorders>
              <w:top w:val="single" w:sz="4" w:space="0" w:color="auto"/>
            </w:tcBorders>
            <w:shd w:val="clear" w:color="auto" w:fill="FFFFFF"/>
            <w:tcMar>
              <w:top w:w="0" w:type="dxa"/>
              <w:left w:w="0" w:type="dxa"/>
              <w:bottom w:w="0" w:type="dxa"/>
              <w:right w:w="0" w:type="dxa"/>
            </w:tcMar>
            <w:vAlign w:val="center"/>
            <w:hideMark/>
          </w:tcPr>
          <w:p w14:paraId="1953646F"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SF12 Physical health</w:t>
            </w:r>
          </w:p>
        </w:tc>
      </w:tr>
      <w:tr w:rsidR="00D30628" w:rsidRPr="0068488B" w14:paraId="532FADA0" w14:textId="77777777" w:rsidTr="00323D88">
        <w:tc>
          <w:tcPr>
            <w:tcW w:w="2282" w:type="dxa"/>
            <w:shd w:val="clear" w:color="auto" w:fill="FFFFFF"/>
            <w:tcMar>
              <w:top w:w="0" w:type="dxa"/>
              <w:left w:w="0" w:type="dxa"/>
              <w:bottom w:w="0" w:type="dxa"/>
              <w:right w:w="0" w:type="dxa"/>
            </w:tcMar>
            <w:vAlign w:val="center"/>
            <w:hideMark/>
          </w:tcPr>
          <w:p w14:paraId="60349E55" w14:textId="77777777" w:rsidR="00D30628" w:rsidRPr="0068488B" w:rsidRDefault="00D30628" w:rsidP="00323D88">
            <w:pPr>
              <w:jc w:val="cente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5DAAFD9E" w14:textId="77777777" w:rsidR="00D30628" w:rsidRPr="0068488B" w:rsidRDefault="00D30628" w:rsidP="00323D88">
            <w:pPr>
              <w:jc w:val="center"/>
              <w:rPr>
                <w:rFonts w:eastAsia="Times New Roman"/>
                <w:color w:val="333333"/>
                <w:sz w:val="21"/>
                <w:szCs w:val="21"/>
              </w:rPr>
            </w:pPr>
            <w:r w:rsidRPr="0068488B">
              <w:rPr>
                <w:rFonts w:eastAsia="Times New Roman"/>
                <w:i/>
                <w:iCs/>
                <w:color w:val="333333"/>
                <w:sz w:val="21"/>
                <w:szCs w:val="21"/>
              </w:rPr>
              <w:t>logistic</w:t>
            </w:r>
          </w:p>
        </w:tc>
        <w:tc>
          <w:tcPr>
            <w:tcW w:w="2432" w:type="dxa"/>
            <w:shd w:val="clear" w:color="auto" w:fill="FFFFFF"/>
            <w:tcMar>
              <w:top w:w="0" w:type="dxa"/>
              <w:left w:w="0" w:type="dxa"/>
              <w:bottom w:w="0" w:type="dxa"/>
              <w:right w:w="0" w:type="dxa"/>
            </w:tcMar>
            <w:vAlign w:val="center"/>
            <w:hideMark/>
          </w:tcPr>
          <w:p w14:paraId="03D06EF8" w14:textId="77777777" w:rsidR="00D30628" w:rsidRPr="0068488B" w:rsidRDefault="00D30628" w:rsidP="00323D88">
            <w:pPr>
              <w:jc w:val="center"/>
              <w:rPr>
                <w:rFonts w:eastAsia="Times New Roman"/>
                <w:color w:val="333333"/>
                <w:sz w:val="21"/>
                <w:szCs w:val="21"/>
              </w:rPr>
            </w:pPr>
            <w:r w:rsidRPr="0068488B">
              <w:rPr>
                <w:rFonts w:eastAsia="Times New Roman"/>
                <w:i/>
                <w:iCs/>
                <w:color w:val="333333"/>
                <w:sz w:val="21"/>
                <w:szCs w:val="21"/>
              </w:rPr>
              <w:t>logistic</w:t>
            </w:r>
          </w:p>
        </w:tc>
        <w:tc>
          <w:tcPr>
            <w:tcW w:w="1691" w:type="dxa"/>
            <w:shd w:val="clear" w:color="auto" w:fill="FFFFFF"/>
            <w:tcMar>
              <w:top w:w="0" w:type="dxa"/>
              <w:left w:w="0" w:type="dxa"/>
              <w:bottom w:w="0" w:type="dxa"/>
              <w:right w:w="0" w:type="dxa"/>
            </w:tcMar>
            <w:vAlign w:val="center"/>
            <w:hideMark/>
          </w:tcPr>
          <w:p w14:paraId="6E3DC807" w14:textId="77777777" w:rsidR="00D30628" w:rsidRPr="0068488B" w:rsidRDefault="00D30628" w:rsidP="00323D88">
            <w:pPr>
              <w:jc w:val="center"/>
              <w:rPr>
                <w:rFonts w:eastAsia="Times New Roman"/>
                <w:color w:val="333333"/>
                <w:sz w:val="21"/>
                <w:szCs w:val="21"/>
              </w:rPr>
            </w:pPr>
            <w:r w:rsidRPr="0068488B">
              <w:rPr>
                <w:rFonts w:eastAsia="Times New Roman"/>
                <w:i/>
                <w:iCs/>
                <w:color w:val="333333"/>
                <w:sz w:val="21"/>
                <w:szCs w:val="21"/>
              </w:rPr>
              <w:t>OLS</w:t>
            </w:r>
          </w:p>
        </w:tc>
      </w:tr>
      <w:tr w:rsidR="00D30628" w:rsidRPr="0068488B" w14:paraId="6421B9B7" w14:textId="77777777" w:rsidTr="00323D88">
        <w:tc>
          <w:tcPr>
            <w:tcW w:w="2282" w:type="dxa"/>
            <w:shd w:val="clear" w:color="auto" w:fill="FFFFFF"/>
            <w:tcMar>
              <w:top w:w="0" w:type="dxa"/>
              <w:left w:w="0" w:type="dxa"/>
              <w:bottom w:w="0" w:type="dxa"/>
              <w:right w:w="0" w:type="dxa"/>
            </w:tcMar>
            <w:vAlign w:val="center"/>
            <w:hideMark/>
          </w:tcPr>
          <w:p w14:paraId="6724C158" w14:textId="77777777" w:rsidR="00D30628" w:rsidRPr="0068488B" w:rsidRDefault="00D30628" w:rsidP="00323D88">
            <w:pPr>
              <w:jc w:val="cente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081A2E3B"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(1)</w:t>
            </w:r>
          </w:p>
        </w:tc>
        <w:tc>
          <w:tcPr>
            <w:tcW w:w="2432" w:type="dxa"/>
            <w:shd w:val="clear" w:color="auto" w:fill="FFFFFF"/>
            <w:tcMar>
              <w:top w:w="0" w:type="dxa"/>
              <w:left w:w="0" w:type="dxa"/>
              <w:bottom w:w="0" w:type="dxa"/>
              <w:right w:w="0" w:type="dxa"/>
            </w:tcMar>
            <w:vAlign w:val="center"/>
            <w:hideMark/>
          </w:tcPr>
          <w:p w14:paraId="6F6C3811"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(2)</w:t>
            </w:r>
          </w:p>
        </w:tc>
        <w:tc>
          <w:tcPr>
            <w:tcW w:w="1691" w:type="dxa"/>
            <w:shd w:val="clear" w:color="auto" w:fill="FFFFFF"/>
            <w:tcMar>
              <w:top w:w="0" w:type="dxa"/>
              <w:left w:w="0" w:type="dxa"/>
              <w:bottom w:w="0" w:type="dxa"/>
              <w:right w:w="0" w:type="dxa"/>
            </w:tcMar>
            <w:vAlign w:val="center"/>
            <w:hideMark/>
          </w:tcPr>
          <w:p w14:paraId="25AFCB94"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(3)</w:t>
            </w:r>
          </w:p>
        </w:tc>
      </w:tr>
      <w:tr w:rsidR="00D30628" w:rsidRPr="0068488B" w14:paraId="014FC662" w14:textId="77777777" w:rsidTr="00323D88">
        <w:tc>
          <w:tcPr>
            <w:tcW w:w="9038" w:type="dxa"/>
            <w:gridSpan w:val="4"/>
            <w:tcBorders>
              <w:bottom w:val="single" w:sz="6" w:space="0" w:color="000000"/>
            </w:tcBorders>
            <w:shd w:val="clear" w:color="auto" w:fill="FFFFFF"/>
            <w:tcMar>
              <w:top w:w="0" w:type="dxa"/>
              <w:left w:w="0" w:type="dxa"/>
              <w:bottom w:w="0" w:type="dxa"/>
              <w:right w:w="0" w:type="dxa"/>
            </w:tcMar>
            <w:vAlign w:val="center"/>
            <w:hideMark/>
          </w:tcPr>
          <w:p w14:paraId="7CDE9039" w14:textId="77777777" w:rsidR="00D30628" w:rsidRPr="0068488B" w:rsidRDefault="00D30628" w:rsidP="00323D88">
            <w:pPr>
              <w:jc w:val="center"/>
              <w:rPr>
                <w:rFonts w:eastAsia="Times New Roman"/>
                <w:color w:val="333333"/>
                <w:sz w:val="21"/>
                <w:szCs w:val="21"/>
              </w:rPr>
            </w:pPr>
          </w:p>
        </w:tc>
      </w:tr>
      <w:tr w:rsidR="00D30628" w:rsidRPr="0068488B" w14:paraId="2BA1FCA6" w14:textId="77777777" w:rsidTr="00323D88">
        <w:trPr>
          <w:trHeight w:val="273"/>
        </w:trPr>
        <w:tc>
          <w:tcPr>
            <w:tcW w:w="9038" w:type="dxa"/>
            <w:gridSpan w:val="4"/>
            <w:shd w:val="clear" w:color="auto" w:fill="FFFFFF"/>
            <w:tcMar>
              <w:top w:w="0" w:type="dxa"/>
              <w:left w:w="0" w:type="dxa"/>
              <w:bottom w:w="0" w:type="dxa"/>
              <w:right w:w="0" w:type="dxa"/>
            </w:tcMar>
            <w:vAlign w:val="center"/>
            <w:hideMark/>
          </w:tcPr>
          <w:p w14:paraId="6C7A51D3" w14:textId="77777777" w:rsidR="00D30628" w:rsidRPr="0068488B" w:rsidRDefault="00D30628" w:rsidP="00323D88">
            <w:pPr>
              <w:rPr>
                <w:rFonts w:eastAsia="Times New Roman"/>
                <w:color w:val="333333"/>
                <w:sz w:val="21"/>
                <w:szCs w:val="21"/>
              </w:rPr>
            </w:pPr>
            <w:r w:rsidRPr="0068488B">
              <w:rPr>
                <w:rFonts w:eastAsia="Times New Roman"/>
                <w:b/>
                <w:color w:val="333333"/>
                <w:sz w:val="21"/>
                <w:szCs w:val="21"/>
              </w:rPr>
              <w:t>(A) AHAH as overall index only</w:t>
            </w:r>
          </w:p>
        </w:tc>
      </w:tr>
      <w:tr w:rsidR="00D30628" w:rsidRPr="0068488B" w14:paraId="02C22ABE" w14:textId="77777777" w:rsidTr="00323D88">
        <w:tc>
          <w:tcPr>
            <w:tcW w:w="2282" w:type="dxa"/>
            <w:shd w:val="clear" w:color="auto" w:fill="FFFFFF"/>
            <w:tcMar>
              <w:top w:w="0" w:type="dxa"/>
              <w:left w:w="0" w:type="dxa"/>
              <w:bottom w:w="0" w:type="dxa"/>
              <w:right w:w="0" w:type="dxa"/>
            </w:tcMar>
            <w:vAlign w:val="center"/>
            <w:hideMark/>
          </w:tcPr>
          <w:p w14:paraId="00662807" w14:textId="77777777" w:rsidR="00D30628" w:rsidRPr="0068488B" w:rsidRDefault="00D30628" w:rsidP="00323D88">
            <w:pPr>
              <w:rPr>
                <w:rFonts w:eastAsia="Times New Roman"/>
                <w:color w:val="333333"/>
                <w:sz w:val="21"/>
                <w:szCs w:val="21"/>
              </w:rPr>
            </w:pPr>
            <w:r w:rsidRPr="0068488B">
              <w:rPr>
                <w:rFonts w:eastAsia="Times New Roman"/>
                <w:color w:val="333333"/>
                <w:sz w:val="21"/>
                <w:szCs w:val="21"/>
              </w:rPr>
              <w:t>AHAH score</w:t>
            </w:r>
          </w:p>
        </w:tc>
        <w:tc>
          <w:tcPr>
            <w:tcW w:w="2633" w:type="dxa"/>
            <w:shd w:val="clear" w:color="auto" w:fill="FFFFFF"/>
            <w:tcMar>
              <w:top w:w="0" w:type="dxa"/>
              <w:left w:w="0" w:type="dxa"/>
              <w:bottom w:w="0" w:type="dxa"/>
              <w:right w:w="0" w:type="dxa"/>
            </w:tcMar>
            <w:vAlign w:val="center"/>
            <w:hideMark/>
          </w:tcPr>
          <w:p w14:paraId="6A1A3F1A"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0.0002</w:t>
            </w:r>
          </w:p>
        </w:tc>
        <w:tc>
          <w:tcPr>
            <w:tcW w:w="2432" w:type="dxa"/>
            <w:shd w:val="clear" w:color="auto" w:fill="FFFFFF"/>
            <w:tcMar>
              <w:top w:w="0" w:type="dxa"/>
              <w:left w:w="0" w:type="dxa"/>
              <w:bottom w:w="0" w:type="dxa"/>
              <w:right w:w="0" w:type="dxa"/>
            </w:tcMar>
            <w:vAlign w:val="center"/>
            <w:hideMark/>
          </w:tcPr>
          <w:p w14:paraId="0BF3A8E2"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0.003</w:t>
            </w:r>
          </w:p>
        </w:tc>
        <w:tc>
          <w:tcPr>
            <w:tcW w:w="1691" w:type="dxa"/>
            <w:shd w:val="clear" w:color="auto" w:fill="FFFFFF"/>
            <w:tcMar>
              <w:top w:w="0" w:type="dxa"/>
              <w:left w:w="0" w:type="dxa"/>
              <w:bottom w:w="0" w:type="dxa"/>
              <w:right w:w="0" w:type="dxa"/>
            </w:tcMar>
            <w:vAlign w:val="center"/>
            <w:hideMark/>
          </w:tcPr>
          <w:p w14:paraId="1DA29F33"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-0.008</w:t>
            </w:r>
          </w:p>
        </w:tc>
      </w:tr>
      <w:tr w:rsidR="00D30628" w:rsidRPr="0068488B" w14:paraId="34E86F97" w14:textId="77777777" w:rsidTr="00323D88">
        <w:tc>
          <w:tcPr>
            <w:tcW w:w="2282" w:type="dxa"/>
            <w:shd w:val="clear" w:color="auto" w:fill="FFFFFF"/>
            <w:tcMar>
              <w:top w:w="0" w:type="dxa"/>
              <w:left w:w="0" w:type="dxa"/>
              <w:bottom w:w="0" w:type="dxa"/>
              <w:right w:w="0" w:type="dxa"/>
            </w:tcMar>
            <w:vAlign w:val="center"/>
            <w:hideMark/>
          </w:tcPr>
          <w:p w14:paraId="6DEE6BE0" w14:textId="77777777" w:rsidR="00D30628" w:rsidRPr="0068488B" w:rsidRDefault="00D30628" w:rsidP="00323D88">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6EAD5AB3"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(-0.002, 0.003)</w:t>
            </w:r>
          </w:p>
        </w:tc>
        <w:tc>
          <w:tcPr>
            <w:tcW w:w="2432" w:type="dxa"/>
            <w:shd w:val="clear" w:color="auto" w:fill="FFFFFF"/>
            <w:tcMar>
              <w:top w:w="0" w:type="dxa"/>
              <w:left w:w="0" w:type="dxa"/>
              <w:bottom w:w="0" w:type="dxa"/>
              <w:right w:w="0" w:type="dxa"/>
            </w:tcMar>
            <w:vAlign w:val="center"/>
            <w:hideMark/>
          </w:tcPr>
          <w:p w14:paraId="0B7D6C35"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(-0.001, 0.006)</w:t>
            </w:r>
          </w:p>
        </w:tc>
        <w:tc>
          <w:tcPr>
            <w:tcW w:w="1691" w:type="dxa"/>
            <w:shd w:val="clear" w:color="auto" w:fill="FFFFFF"/>
            <w:tcMar>
              <w:top w:w="0" w:type="dxa"/>
              <w:left w:w="0" w:type="dxa"/>
              <w:bottom w:w="0" w:type="dxa"/>
              <w:right w:w="0" w:type="dxa"/>
            </w:tcMar>
            <w:vAlign w:val="center"/>
            <w:hideMark/>
          </w:tcPr>
          <w:p w14:paraId="65ACE560"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(-0.022, 0.006)</w:t>
            </w:r>
          </w:p>
        </w:tc>
      </w:tr>
      <w:tr w:rsidR="00D30628" w:rsidRPr="0068488B" w14:paraId="247A7416" w14:textId="77777777" w:rsidTr="00323D88">
        <w:trPr>
          <w:trHeight w:val="297"/>
        </w:trPr>
        <w:tc>
          <w:tcPr>
            <w:tcW w:w="2282" w:type="dxa"/>
            <w:shd w:val="clear" w:color="auto" w:fill="FFFFFF"/>
            <w:tcMar>
              <w:top w:w="0" w:type="dxa"/>
              <w:left w:w="0" w:type="dxa"/>
              <w:bottom w:w="0" w:type="dxa"/>
              <w:right w:w="0" w:type="dxa"/>
            </w:tcMar>
            <w:vAlign w:val="center"/>
            <w:hideMark/>
          </w:tcPr>
          <w:p w14:paraId="540DB3EB" w14:textId="77777777" w:rsidR="00D30628" w:rsidRPr="0068488B" w:rsidRDefault="00D30628" w:rsidP="00323D88">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2CBC23D3" w14:textId="77777777" w:rsidR="00D30628" w:rsidRPr="0068488B" w:rsidRDefault="00D30628" w:rsidP="00323D88">
            <w:pPr>
              <w:jc w:val="center"/>
              <w:rPr>
                <w:rFonts w:eastAsia="Times New Roman"/>
                <w:color w:val="333333"/>
                <w:sz w:val="21"/>
                <w:szCs w:val="21"/>
              </w:rPr>
            </w:pPr>
          </w:p>
        </w:tc>
        <w:tc>
          <w:tcPr>
            <w:tcW w:w="2432" w:type="dxa"/>
            <w:shd w:val="clear" w:color="auto" w:fill="FFFFFF"/>
            <w:tcMar>
              <w:top w:w="0" w:type="dxa"/>
              <w:left w:w="0" w:type="dxa"/>
              <w:bottom w:w="0" w:type="dxa"/>
              <w:right w:w="0" w:type="dxa"/>
            </w:tcMar>
            <w:vAlign w:val="center"/>
            <w:hideMark/>
          </w:tcPr>
          <w:p w14:paraId="48B72D3E" w14:textId="77777777" w:rsidR="00D30628" w:rsidRPr="0068488B" w:rsidRDefault="00D30628" w:rsidP="00323D88">
            <w:pPr>
              <w:jc w:val="center"/>
              <w:rPr>
                <w:rFonts w:eastAsia="Times New Roman"/>
                <w:color w:val="333333"/>
                <w:sz w:val="21"/>
                <w:szCs w:val="21"/>
              </w:rPr>
            </w:pPr>
          </w:p>
        </w:tc>
        <w:tc>
          <w:tcPr>
            <w:tcW w:w="1691" w:type="dxa"/>
            <w:shd w:val="clear" w:color="auto" w:fill="FFFFFF"/>
            <w:tcMar>
              <w:top w:w="0" w:type="dxa"/>
              <w:left w:w="0" w:type="dxa"/>
              <w:bottom w:w="0" w:type="dxa"/>
              <w:right w:w="0" w:type="dxa"/>
            </w:tcMar>
            <w:vAlign w:val="center"/>
            <w:hideMark/>
          </w:tcPr>
          <w:p w14:paraId="364F8A53" w14:textId="77777777" w:rsidR="00D30628" w:rsidRPr="0068488B" w:rsidRDefault="00D30628" w:rsidP="00323D88">
            <w:pPr>
              <w:jc w:val="center"/>
              <w:rPr>
                <w:rFonts w:eastAsia="Times New Roman"/>
                <w:color w:val="333333"/>
                <w:sz w:val="21"/>
                <w:szCs w:val="21"/>
              </w:rPr>
            </w:pPr>
          </w:p>
        </w:tc>
      </w:tr>
      <w:tr w:rsidR="00D30628" w:rsidRPr="0068488B" w14:paraId="79C8B11F" w14:textId="77777777" w:rsidTr="00323D88">
        <w:trPr>
          <w:trHeight w:val="297"/>
        </w:trPr>
        <w:tc>
          <w:tcPr>
            <w:tcW w:w="2282" w:type="dxa"/>
            <w:shd w:val="clear" w:color="auto" w:fill="FFFFFF"/>
            <w:tcMar>
              <w:top w:w="0" w:type="dxa"/>
              <w:left w:w="0" w:type="dxa"/>
              <w:bottom w:w="0" w:type="dxa"/>
              <w:right w:w="0" w:type="dxa"/>
            </w:tcMar>
            <w:vAlign w:val="center"/>
          </w:tcPr>
          <w:p w14:paraId="08C432FB" w14:textId="77777777" w:rsidR="00D30628" w:rsidRPr="0068488B" w:rsidRDefault="00D30628" w:rsidP="00323D88">
            <w:pPr>
              <w:rPr>
                <w:rFonts w:eastAsia="Times New Roman"/>
                <w:b/>
                <w:color w:val="333333"/>
                <w:sz w:val="21"/>
                <w:szCs w:val="21"/>
              </w:rPr>
            </w:pPr>
            <w:r w:rsidRPr="0068488B">
              <w:rPr>
                <w:rFonts w:eastAsia="Times New Roman"/>
                <w:b/>
                <w:color w:val="333333"/>
                <w:sz w:val="21"/>
                <w:szCs w:val="21"/>
              </w:rPr>
              <w:t>(B) Domain scores</w:t>
            </w:r>
          </w:p>
        </w:tc>
        <w:tc>
          <w:tcPr>
            <w:tcW w:w="2633" w:type="dxa"/>
            <w:shd w:val="clear" w:color="auto" w:fill="FFFFFF"/>
            <w:tcMar>
              <w:top w:w="0" w:type="dxa"/>
              <w:left w:w="0" w:type="dxa"/>
              <w:bottom w:w="0" w:type="dxa"/>
              <w:right w:w="0" w:type="dxa"/>
            </w:tcMar>
            <w:vAlign w:val="center"/>
          </w:tcPr>
          <w:p w14:paraId="69E4897E" w14:textId="77777777" w:rsidR="00D30628" w:rsidRPr="0068488B" w:rsidRDefault="00D30628" w:rsidP="00323D88">
            <w:pPr>
              <w:jc w:val="center"/>
              <w:rPr>
                <w:rFonts w:eastAsia="Times New Roman"/>
                <w:color w:val="333333"/>
                <w:sz w:val="21"/>
                <w:szCs w:val="21"/>
              </w:rPr>
            </w:pPr>
          </w:p>
        </w:tc>
        <w:tc>
          <w:tcPr>
            <w:tcW w:w="2432" w:type="dxa"/>
            <w:shd w:val="clear" w:color="auto" w:fill="FFFFFF"/>
            <w:tcMar>
              <w:top w:w="0" w:type="dxa"/>
              <w:left w:w="0" w:type="dxa"/>
              <w:bottom w:w="0" w:type="dxa"/>
              <w:right w:w="0" w:type="dxa"/>
            </w:tcMar>
            <w:vAlign w:val="center"/>
          </w:tcPr>
          <w:p w14:paraId="7F7B9D75" w14:textId="77777777" w:rsidR="00D30628" w:rsidRPr="0068488B" w:rsidRDefault="00D30628" w:rsidP="00323D88">
            <w:pPr>
              <w:jc w:val="center"/>
              <w:rPr>
                <w:rFonts w:eastAsia="Times New Roman"/>
                <w:color w:val="333333"/>
                <w:sz w:val="21"/>
                <w:szCs w:val="21"/>
              </w:rPr>
            </w:pPr>
          </w:p>
        </w:tc>
        <w:tc>
          <w:tcPr>
            <w:tcW w:w="1691" w:type="dxa"/>
            <w:shd w:val="clear" w:color="auto" w:fill="FFFFFF"/>
            <w:tcMar>
              <w:top w:w="0" w:type="dxa"/>
              <w:left w:w="0" w:type="dxa"/>
              <w:bottom w:w="0" w:type="dxa"/>
              <w:right w:w="0" w:type="dxa"/>
            </w:tcMar>
            <w:vAlign w:val="center"/>
          </w:tcPr>
          <w:p w14:paraId="445486EB" w14:textId="77777777" w:rsidR="00D30628" w:rsidRPr="0068488B" w:rsidRDefault="00D30628" w:rsidP="00323D88">
            <w:pPr>
              <w:jc w:val="center"/>
              <w:rPr>
                <w:rFonts w:eastAsia="Times New Roman"/>
                <w:color w:val="333333"/>
                <w:sz w:val="21"/>
                <w:szCs w:val="21"/>
              </w:rPr>
            </w:pPr>
          </w:p>
        </w:tc>
      </w:tr>
      <w:tr w:rsidR="00D30628" w:rsidRPr="0068488B" w14:paraId="10D41FFF" w14:textId="77777777" w:rsidTr="00323D88">
        <w:tc>
          <w:tcPr>
            <w:tcW w:w="2282" w:type="dxa"/>
            <w:shd w:val="clear" w:color="auto" w:fill="FFFFFF"/>
            <w:tcMar>
              <w:top w:w="0" w:type="dxa"/>
              <w:left w:w="0" w:type="dxa"/>
              <w:bottom w:w="0" w:type="dxa"/>
              <w:right w:w="0" w:type="dxa"/>
            </w:tcMar>
            <w:vAlign w:val="center"/>
          </w:tcPr>
          <w:p w14:paraId="233FE49B" w14:textId="77777777" w:rsidR="00D30628" w:rsidRPr="0068488B" w:rsidRDefault="00D30628" w:rsidP="00323D88">
            <w:pPr>
              <w:rPr>
                <w:rFonts w:eastAsia="Times New Roman"/>
                <w:color w:val="333333"/>
                <w:sz w:val="21"/>
                <w:szCs w:val="21"/>
              </w:rPr>
            </w:pPr>
            <w:r w:rsidRPr="0068488B">
              <w:rPr>
                <w:rFonts w:eastAsia="Times New Roman"/>
                <w:color w:val="333333"/>
                <w:sz w:val="21"/>
                <w:szCs w:val="21"/>
              </w:rPr>
              <w:t>Health Domain</w:t>
            </w:r>
          </w:p>
        </w:tc>
        <w:tc>
          <w:tcPr>
            <w:tcW w:w="2633" w:type="dxa"/>
            <w:shd w:val="clear" w:color="auto" w:fill="FFFFFF"/>
            <w:tcMar>
              <w:top w:w="0" w:type="dxa"/>
              <w:left w:w="0" w:type="dxa"/>
              <w:bottom w:w="0" w:type="dxa"/>
              <w:right w:w="0" w:type="dxa"/>
            </w:tcMar>
            <w:vAlign w:val="center"/>
          </w:tcPr>
          <w:p w14:paraId="6531C8FA"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-0.003</w:t>
            </w:r>
            <w:r w:rsidRPr="00CA6839">
              <w:rPr>
                <w:rFonts w:eastAsia="Times New Roman"/>
                <w:color w:val="333333"/>
                <w:sz w:val="21"/>
                <w:szCs w:val="21"/>
              </w:rPr>
              <w:t>***</w:t>
            </w:r>
          </w:p>
        </w:tc>
        <w:tc>
          <w:tcPr>
            <w:tcW w:w="2432" w:type="dxa"/>
            <w:shd w:val="clear" w:color="auto" w:fill="FFFFFF"/>
            <w:tcMar>
              <w:top w:w="0" w:type="dxa"/>
              <w:left w:w="0" w:type="dxa"/>
              <w:bottom w:w="0" w:type="dxa"/>
              <w:right w:w="0" w:type="dxa"/>
            </w:tcMar>
            <w:vAlign w:val="center"/>
          </w:tcPr>
          <w:p w14:paraId="41F80147"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-0.005</w:t>
            </w:r>
            <w:r w:rsidRPr="00CA6839">
              <w:rPr>
                <w:rFonts w:eastAsia="Times New Roman"/>
                <w:color w:val="333333"/>
                <w:sz w:val="21"/>
                <w:szCs w:val="21"/>
              </w:rPr>
              <w:t>***</w:t>
            </w:r>
          </w:p>
        </w:tc>
        <w:tc>
          <w:tcPr>
            <w:tcW w:w="1691" w:type="dxa"/>
            <w:shd w:val="clear" w:color="auto" w:fill="FFFFFF"/>
            <w:tcMar>
              <w:top w:w="0" w:type="dxa"/>
              <w:left w:w="0" w:type="dxa"/>
              <w:bottom w:w="0" w:type="dxa"/>
              <w:right w:w="0" w:type="dxa"/>
            </w:tcMar>
            <w:vAlign w:val="center"/>
          </w:tcPr>
          <w:p w14:paraId="6255CE31"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0.022</w:t>
            </w:r>
            <w:r w:rsidRPr="00CA6839">
              <w:rPr>
                <w:rFonts w:eastAsia="Times New Roman"/>
                <w:color w:val="333333"/>
                <w:sz w:val="21"/>
                <w:szCs w:val="21"/>
              </w:rPr>
              <w:t>***</w:t>
            </w:r>
          </w:p>
        </w:tc>
      </w:tr>
      <w:tr w:rsidR="00D30628" w:rsidRPr="0068488B" w14:paraId="6691485F" w14:textId="77777777" w:rsidTr="00323D88">
        <w:tc>
          <w:tcPr>
            <w:tcW w:w="2282" w:type="dxa"/>
            <w:shd w:val="clear" w:color="auto" w:fill="FFFFFF"/>
            <w:tcMar>
              <w:top w:w="0" w:type="dxa"/>
              <w:left w:w="0" w:type="dxa"/>
              <w:bottom w:w="0" w:type="dxa"/>
              <w:right w:w="0" w:type="dxa"/>
            </w:tcMar>
            <w:vAlign w:val="center"/>
            <w:hideMark/>
          </w:tcPr>
          <w:p w14:paraId="34DC2638" w14:textId="77777777" w:rsidR="00D30628" w:rsidRPr="0068488B" w:rsidRDefault="00D30628" w:rsidP="00323D88">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7CB30F1A"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(-0.005, -0.002)</w:t>
            </w:r>
          </w:p>
        </w:tc>
        <w:tc>
          <w:tcPr>
            <w:tcW w:w="2432" w:type="dxa"/>
            <w:shd w:val="clear" w:color="auto" w:fill="FFFFFF"/>
            <w:tcMar>
              <w:top w:w="0" w:type="dxa"/>
              <w:left w:w="0" w:type="dxa"/>
              <w:bottom w:w="0" w:type="dxa"/>
              <w:right w:w="0" w:type="dxa"/>
            </w:tcMar>
            <w:vAlign w:val="center"/>
            <w:hideMark/>
          </w:tcPr>
          <w:p w14:paraId="7C5753B3"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(-0.007, -0.003)</w:t>
            </w:r>
          </w:p>
        </w:tc>
        <w:tc>
          <w:tcPr>
            <w:tcW w:w="1691" w:type="dxa"/>
            <w:shd w:val="clear" w:color="auto" w:fill="FFFFFF"/>
            <w:tcMar>
              <w:top w:w="0" w:type="dxa"/>
              <w:left w:w="0" w:type="dxa"/>
              <w:bottom w:w="0" w:type="dxa"/>
              <w:right w:w="0" w:type="dxa"/>
            </w:tcMar>
            <w:vAlign w:val="center"/>
            <w:hideMark/>
          </w:tcPr>
          <w:p w14:paraId="3D32F296"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(0.015, 0.030)</w:t>
            </w:r>
          </w:p>
        </w:tc>
      </w:tr>
      <w:tr w:rsidR="00D30628" w:rsidRPr="0068488B" w14:paraId="422F64EC" w14:textId="77777777" w:rsidTr="00323D88">
        <w:tc>
          <w:tcPr>
            <w:tcW w:w="2282" w:type="dxa"/>
            <w:shd w:val="clear" w:color="auto" w:fill="FFFFFF"/>
            <w:tcMar>
              <w:top w:w="0" w:type="dxa"/>
              <w:left w:w="0" w:type="dxa"/>
              <w:bottom w:w="0" w:type="dxa"/>
              <w:right w:w="0" w:type="dxa"/>
            </w:tcMar>
            <w:vAlign w:val="center"/>
            <w:hideMark/>
          </w:tcPr>
          <w:p w14:paraId="6E924338" w14:textId="77777777" w:rsidR="00D30628" w:rsidRPr="0068488B" w:rsidRDefault="00D30628" w:rsidP="00323D88">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7C29ABF5" w14:textId="77777777" w:rsidR="00D30628" w:rsidRPr="0068488B" w:rsidRDefault="00D30628" w:rsidP="00323D88">
            <w:pPr>
              <w:jc w:val="center"/>
              <w:rPr>
                <w:rFonts w:eastAsia="Times New Roman"/>
                <w:color w:val="333333"/>
                <w:sz w:val="21"/>
                <w:szCs w:val="21"/>
              </w:rPr>
            </w:pPr>
          </w:p>
        </w:tc>
        <w:tc>
          <w:tcPr>
            <w:tcW w:w="2432" w:type="dxa"/>
            <w:shd w:val="clear" w:color="auto" w:fill="FFFFFF"/>
            <w:tcMar>
              <w:top w:w="0" w:type="dxa"/>
              <w:left w:w="0" w:type="dxa"/>
              <w:bottom w:w="0" w:type="dxa"/>
              <w:right w:w="0" w:type="dxa"/>
            </w:tcMar>
            <w:vAlign w:val="center"/>
            <w:hideMark/>
          </w:tcPr>
          <w:p w14:paraId="65B6D681" w14:textId="77777777" w:rsidR="00D30628" w:rsidRPr="0068488B" w:rsidRDefault="00D30628" w:rsidP="00323D88">
            <w:pPr>
              <w:jc w:val="center"/>
              <w:rPr>
                <w:rFonts w:eastAsia="Times New Roman"/>
                <w:color w:val="333333"/>
                <w:sz w:val="21"/>
                <w:szCs w:val="21"/>
              </w:rPr>
            </w:pPr>
          </w:p>
        </w:tc>
        <w:tc>
          <w:tcPr>
            <w:tcW w:w="1691" w:type="dxa"/>
            <w:shd w:val="clear" w:color="auto" w:fill="FFFFFF"/>
            <w:tcMar>
              <w:top w:w="0" w:type="dxa"/>
              <w:left w:w="0" w:type="dxa"/>
              <w:bottom w:w="0" w:type="dxa"/>
              <w:right w:w="0" w:type="dxa"/>
            </w:tcMar>
            <w:vAlign w:val="center"/>
            <w:hideMark/>
          </w:tcPr>
          <w:p w14:paraId="3250007C" w14:textId="77777777" w:rsidR="00D30628" w:rsidRPr="0068488B" w:rsidRDefault="00D30628" w:rsidP="00323D88">
            <w:pPr>
              <w:jc w:val="center"/>
              <w:rPr>
                <w:rFonts w:eastAsia="Times New Roman"/>
                <w:color w:val="333333"/>
                <w:sz w:val="21"/>
                <w:szCs w:val="21"/>
              </w:rPr>
            </w:pPr>
          </w:p>
        </w:tc>
      </w:tr>
      <w:tr w:rsidR="00D30628" w:rsidRPr="0068488B" w14:paraId="5CDD8E9A" w14:textId="77777777" w:rsidTr="00323D88">
        <w:tc>
          <w:tcPr>
            <w:tcW w:w="2282" w:type="dxa"/>
            <w:shd w:val="clear" w:color="auto" w:fill="FFFFFF"/>
            <w:tcMar>
              <w:top w:w="0" w:type="dxa"/>
              <w:left w:w="0" w:type="dxa"/>
              <w:bottom w:w="0" w:type="dxa"/>
              <w:right w:w="0" w:type="dxa"/>
            </w:tcMar>
            <w:vAlign w:val="center"/>
            <w:hideMark/>
          </w:tcPr>
          <w:p w14:paraId="2F3F7D57" w14:textId="77777777" w:rsidR="00D30628" w:rsidRPr="0068488B" w:rsidRDefault="00D30628" w:rsidP="00323D88">
            <w:pPr>
              <w:rPr>
                <w:rFonts w:eastAsia="Times New Roman"/>
                <w:color w:val="333333"/>
                <w:sz w:val="21"/>
                <w:szCs w:val="21"/>
              </w:rPr>
            </w:pPr>
            <w:r w:rsidRPr="0068488B">
              <w:rPr>
                <w:rFonts w:eastAsia="Times New Roman"/>
                <w:color w:val="333333"/>
                <w:sz w:val="21"/>
                <w:szCs w:val="21"/>
              </w:rPr>
              <w:t>Environment Domain</w:t>
            </w:r>
          </w:p>
        </w:tc>
        <w:tc>
          <w:tcPr>
            <w:tcW w:w="2633" w:type="dxa"/>
            <w:shd w:val="clear" w:color="auto" w:fill="FFFFFF"/>
            <w:tcMar>
              <w:top w:w="0" w:type="dxa"/>
              <w:left w:w="0" w:type="dxa"/>
              <w:bottom w:w="0" w:type="dxa"/>
              <w:right w:w="0" w:type="dxa"/>
            </w:tcMar>
            <w:vAlign w:val="center"/>
            <w:hideMark/>
          </w:tcPr>
          <w:p w14:paraId="31B830A6"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0.001</w:t>
            </w:r>
          </w:p>
        </w:tc>
        <w:tc>
          <w:tcPr>
            <w:tcW w:w="2432" w:type="dxa"/>
            <w:shd w:val="clear" w:color="auto" w:fill="FFFFFF"/>
            <w:tcMar>
              <w:top w:w="0" w:type="dxa"/>
              <w:left w:w="0" w:type="dxa"/>
              <w:bottom w:w="0" w:type="dxa"/>
              <w:right w:w="0" w:type="dxa"/>
            </w:tcMar>
            <w:vAlign w:val="center"/>
            <w:hideMark/>
          </w:tcPr>
          <w:p w14:paraId="022F1312"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0.003</w:t>
            </w:r>
            <w:r w:rsidRPr="00CA6839">
              <w:rPr>
                <w:rFonts w:eastAsia="Times New Roman"/>
                <w:color w:val="333333"/>
                <w:sz w:val="21"/>
                <w:szCs w:val="21"/>
              </w:rPr>
              <w:t>***</w:t>
            </w:r>
          </w:p>
        </w:tc>
        <w:tc>
          <w:tcPr>
            <w:tcW w:w="1691" w:type="dxa"/>
            <w:shd w:val="clear" w:color="auto" w:fill="FFFFFF"/>
            <w:tcMar>
              <w:top w:w="0" w:type="dxa"/>
              <w:left w:w="0" w:type="dxa"/>
              <w:bottom w:w="0" w:type="dxa"/>
              <w:right w:w="0" w:type="dxa"/>
            </w:tcMar>
            <w:vAlign w:val="center"/>
            <w:hideMark/>
          </w:tcPr>
          <w:p w14:paraId="62FB46F2"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-0.013</w:t>
            </w:r>
            <w:r w:rsidRPr="00CA6839">
              <w:rPr>
                <w:rFonts w:eastAsia="Times New Roman"/>
                <w:color w:val="333333"/>
                <w:sz w:val="21"/>
                <w:szCs w:val="21"/>
              </w:rPr>
              <w:t>***</w:t>
            </w:r>
          </w:p>
        </w:tc>
      </w:tr>
      <w:tr w:rsidR="00D30628" w:rsidRPr="0068488B" w14:paraId="39564768" w14:textId="77777777" w:rsidTr="00323D88">
        <w:tc>
          <w:tcPr>
            <w:tcW w:w="2282" w:type="dxa"/>
            <w:shd w:val="clear" w:color="auto" w:fill="FFFFFF"/>
            <w:tcMar>
              <w:top w:w="0" w:type="dxa"/>
              <w:left w:w="0" w:type="dxa"/>
              <w:bottom w:w="0" w:type="dxa"/>
              <w:right w:w="0" w:type="dxa"/>
            </w:tcMar>
            <w:vAlign w:val="center"/>
            <w:hideMark/>
          </w:tcPr>
          <w:p w14:paraId="3AB48EE0" w14:textId="77777777" w:rsidR="00D30628" w:rsidRPr="0068488B" w:rsidRDefault="00D30628" w:rsidP="00323D88">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3BD9F48D"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(-0.001, 0.002)</w:t>
            </w:r>
          </w:p>
        </w:tc>
        <w:tc>
          <w:tcPr>
            <w:tcW w:w="2432" w:type="dxa"/>
            <w:shd w:val="clear" w:color="auto" w:fill="FFFFFF"/>
            <w:tcMar>
              <w:top w:w="0" w:type="dxa"/>
              <w:left w:w="0" w:type="dxa"/>
              <w:bottom w:w="0" w:type="dxa"/>
              <w:right w:w="0" w:type="dxa"/>
            </w:tcMar>
            <w:vAlign w:val="center"/>
            <w:hideMark/>
          </w:tcPr>
          <w:p w14:paraId="3387A282"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(0.001, 0.004)</w:t>
            </w:r>
          </w:p>
        </w:tc>
        <w:tc>
          <w:tcPr>
            <w:tcW w:w="1691" w:type="dxa"/>
            <w:shd w:val="clear" w:color="auto" w:fill="FFFFFF"/>
            <w:tcMar>
              <w:top w:w="0" w:type="dxa"/>
              <w:left w:w="0" w:type="dxa"/>
              <w:bottom w:w="0" w:type="dxa"/>
              <w:right w:w="0" w:type="dxa"/>
            </w:tcMar>
            <w:vAlign w:val="center"/>
            <w:hideMark/>
          </w:tcPr>
          <w:p w14:paraId="75723488"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(-0.020, -0.006)</w:t>
            </w:r>
          </w:p>
        </w:tc>
      </w:tr>
      <w:tr w:rsidR="00D30628" w:rsidRPr="0068488B" w14:paraId="0998138E" w14:textId="77777777" w:rsidTr="00323D88">
        <w:tc>
          <w:tcPr>
            <w:tcW w:w="2282" w:type="dxa"/>
            <w:shd w:val="clear" w:color="auto" w:fill="FFFFFF"/>
            <w:tcMar>
              <w:top w:w="0" w:type="dxa"/>
              <w:left w:w="0" w:type="dxa"/>
              <w:bottom w:w="0" w:type="dxa"/>
              <w:right w:w="0" w:type="dxa"/>
            </w:tcMar>
            <w:vAlign w:val="center"/>
            <w:hideMark/>
          </w:tcPr>
          <w:p w14:paraId="3DFE4051" w14:textId="77777777" w:rsidR="00D30628" w:rsidRPr="0068488B" w:rsidRDefault="00D30628" w:rsidP="00323D88">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5DF62D9A" w14:textId="77777777" w:rsidR="00D30628" w:rsidRPr="0068488B" w:rsidRDefault="00D30628" w:rsidP="00323D88">
            <w:pPr>
              <w:jc w:val="center"/>
              <w:rPr>
                <w:rFonts w:eastAsia="Times New Roman"/>
                <w:color w:val="333333"/>
                <w:sz w:val="21"/>
                <w:szCs w:val="21"/>
              </w:rPr>
            </w:pPr>
          </w:p>
        </w:tc>
        <w:tc>
          <w:tcPr>
            <w:tcW w:w="2432" w:type="dxa"/>
            <w:shd w:val="clear" w:color="auto" w:fill="FFFFFF"/>
            <w:tcMar>
              <w:top w:w="0" w:type="dxa"/>
              <w:left w:w="0" w:type="dxa"/>
              <w:bottom w:w="0" w:type="dxa"/>
              <w:right w:w="0" w:type="dxa"/>
            </w:tcMar>
            <w:vAlign w:val="center"/>
            <w:hideMark/>
          </w:tcPr>
          <w:p w14:paraId="48406667" w14:textId="77777777" w:rsidR="00D30628" w:rsidRPr="0068488B" w:rsidRDefault="00D30628" w:rsidP="00323D88">
            <w:pPr>
              <w:jc w:val="center"/>
              <w:rPr>
                <w:rFonts w:eastAsia="Times New Roman"/>
                <w:color w:val="333333"/>
                <w:sz w:val="21"/>
                <w:szCs w:val="21"/>
              </w:rPr>
            </w:pPr>
          </w:p>
        </w:tc>
        <w:tc>
          <w:tcPr>
            <w:tcW w:w="1691" w:type="dxa"/>
            <w:shd w:val="clear" w:color="auto" w:fill="FFFFFF"/>
            <w:tcMar>
              <w:top w:w="0" w:type="dxa"/>
              <w:left w:w="0" w:type="dxa"/>
              <w:bottom w:w="0" w:type="dxa"/>
              <w:right w:w="0" w:type="dxa"/>
            </w:tcMar>
            <w:vAlign w:val="center"/>
            <w:hideMark/>
          </w:tcPr>
          <w:p w14:paraId="69A5681D" w14:textId="77777777" w:rsidR="00D30628" w:rsidRPr="0068488B" w:rsidRDefault="00D30628" w:rsidP="00323D88">
            <w:pPr>
              <w:jc w:val="center"/>
              <w:rPr>
                <w:rFonts w:eastAsia="Times New Roman"/>
                <w:color w:val="333333"/>
                <w:sz w:val="21"/>
                <w:szCs w:val="21"/>
              </w:rPr>
            </w:pPr>
          </w:p>
        </w:tc>
      </w:tr>
      <w:tr w:rsidR="00D30628" w:rsidRPr="0068488B" w14:paraId="6E651084" w14:textId="77777777" w:rsidTr="00323D88">
        <w:tc>
          <w:tcPr>
            <w:tcW w:w="2282" w:type="dxa"/>
            <w:shd w:val="clear" w:color="auto" w:fill="FFFFFF"/>
            <w:tcMar>
              <w:top w:w="0" w:type="dxa"/>
              <w:left w:w="0" w:type="dxa"/>
              <w:bottom w:w="0" w:type="dxa"/>
              <w:right w:w="0" w:type="dxa"/>
            </w:tcMar>
            <w:vAlign w:val="center"/>
            <w:hideMark/>
          </w:tcPr>
          <w:p w14:paraId="2A32DB18" w14:textId="77777777" w:rsidR="00D30628" w:rsidRPr="0068488B" w:rsidRDefault="00D30628" w:rsidP="00323D88">
            <w:pPr>
              <w:rPr>
                <w:rFonts w:eastAsia="Times New Roman"/>
                <w:color w:val="333333"/>
                <w:sz w:val="21"/>
                <w:szCs w:val="21"/>
              </w:rPr>
            </w:pPr>
            <w:r w:rsidRPr="0068488B">
              <w:rPr>
                <w:rFonts w:eastAsia="Times New Roman"/>
                <w:color w:val="333333"/>
                <w:sz w:val="21"/>
                <w:szCs w:val="21"/>
              </w:rPr>
              <w:t>Retail Domain</w:t>
            </w:r>
          </w:p>
        </w:tc>
        <w:tc>
          <w:tcPr>
            <w:tcW w:w="2633" w:type="dxa"/>
            <w:shd w:val="clear" w:color="auto" w:fill="FFFFFF"/>
            <w:tcMar>
              <w:top w:w="0" w:type="dxa"/>
              <w:left w:w="0" w:type="dxa"/>
              <w:bottom w:w="0" w:type="dxa"/>
              <w:right w:w="0" w:type="dxa"/>
            </w:tcMar>
            <w:vAlign w:val="center"/>
            <w:hideMark/>
          </w:tcPr>
          <w:p w14:paraId="7C0BFD82"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0.0004</w:t>
            </w:r>
          </w:p>
        </w:tc>
        <w:tc>
          <w:tcPr>
            <w:tcW w:w="2432" w:type="dxa"/>
            <w:shd w:val="clear" w:color="auto" w:fill="FFFFFF"/>
            <w:tcMar>
              <w:top w:w="0" w:type="dxa"/>
              <w:left w:w="0" w:type="dxa"/>
              <w:bottom w:w="0" w:type="dxa"/>
              <w:right w:w="0" w:type="dxa"/>
            </w:tcMar>
            <w:vAlign w:val="center"/>
            <w:hideMark/>
          </w:tcPr>
          <w:p w14:paraId="7309639A"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0.0001</w:t>
            </w:r>
          </w:p>
        </w:tc>
        <w:tc>
          <w:tcPr>
            <w:tcW w:w="1691" w:type="dxa"/>
            <w:shd w:val="clear" w:color="auto" w:fill="FFFFFF"/>
            <w:tcMar>
              <w:top w:w="0" w:type="dxa"/>
              <w:left w:w="0" w:type="dxa"/>
              <w:bottom w:w="0" w:type="dxa"/>
              <w:right w:w="0" w:type="dxa"/>
            </w:tcMar>
            <w:vAlign w:val="center"/>
            <w:hideMark/>
          </w:tcPr>
          <w:p w14:paraId="4A3F030E" w14:textId="77777777" w:rsidR="00D30628" w:rsidRPr="0068488B" w:rsidRDefault="00D30628" w:rsidP="00323D88">
            <w:pPr>
              <w:jc w:val="center"/>
              <w:rPr>
                <w:rFonts w:eastAsia="Times New Roman"/>
                <w:sz w:val="20"/>
                <w:szCs w:val="20"/>
              </w:rPr>
            </w:pPr>
            <w:r w:rsidRPr="0068488B">
              <w:rPr>
                <w:rFonts w:eastAsia="Times New Roman"/>
                <w:color w:val="333333"/>
                <w:sz w:val="21"/>
                <w:szCs w:val="21"/>
              </w:rPr>
              <w:t>0.005</w:t>
            </w:r>
          </w:p>
        </w:tc>
      </w:tr>
      <w:tr w:rsidR="00D30628" w:rsidRPr="0068488B" w14:paraId="1A05D197" w14:textId="77777777" w:rsidTr="00323D88">
        <w:tc>
          <w:tcPr>
            <w:tcW w:w="2282" w:type="dxa"/>
            <w:tcBorders>
              <w:bottom w:val="single" w:sz="4" w:space="0" w:color="auto"/>
            </w:tcBorders>
            <w:shd w:val="clear" w:color="auto" w:fill="FFFFFF"/>
            <w:tcMar>
              <w:top w:w="0" w:type="dxa"/>
              <w:left w:w="0" w:type="dxa"/>
              <w:bottom w:w="0" w:type="dxa"/>
              <w:right w:w="0" w:type="dxa"/>
            </w:tcMar>
            <w:vAlign w:val="center"/>
            <w:hideMark/>
          </w:tcPr>
          <w:p w14:paraId="36378F64" w14:textId="77777777" w:rsidR="00D30628" w:rsidRPr="0068488B" w:rsidRDefault="00D30628" w:rsidP="00323D88">
            <w:pPr>
              <w:rPr>
                <w:rFonts w:eastAsia="Times New Roman"/>
                <w:color w:val="333333"/>
                <w:sz w:val="21"/>
                <w:szCs w:val="21"/>
              </w:rPr>
            </w:pPr>
          </w:p>
        </w:tc>
        <w:tc>
          <w:tcPr>
            <w:tcW w:w="2633" w:type="dxa"/>
            <w:tcBorders>
              <w:bottom w:val="single" w:sz="4" w:space="0" w:color="auto"/>
            </w:tcBorders>
            <w:shd w:val="clear" w:color="auto" w:fill="FFFFFF"/>
            <w:tcMar>
              <w:top w:w="0" w:type="dxa"/>
              <w:left w:w="0" w:type="dxa"/>
              <w:bottom w:w="0" w:type="dxa"/>
              <w:right w:w="0" w:type="dxa"/>
            </w:tcMar>
            <w:vAlign w:val="center"/>
            <w:hideMark/>
          </w:tcPr>
          <w:p w14:paraId="0C84B77D"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(-0.001, 0.002)</w:t>
            </w:r>
          </w:p>
        </w:tc>
        <w:tc>
          <w:tcPr>
            <w:tcW w:w="2432" w:type="dxa"/>
            <w:tcBorders>
              <w:bottom w:val="single" w:sz="4" w:space="0" w:color="auto"/>
            </w:tcBorders>
            <w:shd w:val="clear" w:color="auto" w:fill="FFFFFF"/>
            <w:tcMar>
              <w:top w:w="0" w:type="dxa"/>
              <w:left w:w="0" w:type="dxa"/>
              <w:bottom w:w="0" w:type="dxa"/>
              <w:right w:w="0" w:type="dxa"/>
            </w:tcMar>
            <w:vAlign w:val="center"/>
            <w:hideMark/>
          </w:tcPr>
          <w:p w14:paraId="5A7FE6D0"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(-0.002, 0.002)</w:t>
            </w:r>
          </w:p>
        </w:tc>
        <w:tc>
          <w:tcPr>
            <w:tcW w:w="1691" w:type="dxa"/>
            <w:tcBorders>
              <w:bottom w:val="single" w:sz="4" w:space="0" w:color="auto"/>
            </w:tcBorders>
            <w:shd w:val="clear" w:color="auto" w:fill="FFFFFF"/>
            <w:tcMar>
              <w:top w:w="0" w:type="dxa"/>
              <w:left w:w="0" w:type="dxa"/>
              <w:bottom w:w="0" w:type="dxa"/>
              <w:right w:w="0" w:type="dxa"/>
            </w:tcMar>
            <w:vAlign w:val="center"/>
            <w:hideMark/>
          </w:tcPr>
          <w:p w14:paraId="77C6A070"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(-0.003, 0.013)</w:t>
            </w:r>
          </w:p>
        </w:tc>
      </w:tr>
      <w:tr w:rsidR="00D30628" w:rsidRPr="0068488B" w14:paraId="63258BF6" w14:textId="77777777" w:rsidTr="00323D88">
        <w:trPr>
          <w:trHeight w:val="287"/>
        </w:trPr>
        <w:tc>
          <w:tcPr>
            <w:tcW w:w="2282" w:type="dxa"/>
            <w:tcBorders>
              <w:top w:val="single" w:sz="4" w:space="0" w:color="auto"/>
            </w:tcBorders>
            <w:shd w:val="clear" w:color="auto" w:fill="FFFFFF"/>
            <w:tcMar>
              <w:top w:w="0" w:type="dxa"/>
              <w:left w:w="0" w:type="dxa"/>
              <w:bottom w:w="0" w:type="dxa"/>
              <w:right w:w="0" w:type="dxa"/>
            </w:tcMar>
            <w:vAlign w:val="center"/>
            <w:hideMark/>
          </w:tcPr>
          <w:p w14:paraId="6C464CB8" w14:textId="77777777" w:rsidR="00D30628" w:rsidRPr="0068488B" w:rsidRDefault="00D30628" w:rsidP="00323D88">
            <w:pPr>
              <w:rPr>
                <w:rFonts w:eastAsia="Times New Roman"/>
                <w:color w:val="333333"/>
                <w:sz w:val="21"/>
                <w:szCs w:val="21"/>
              </w:rPr>
            </w:pPr>
            <w:r w:rsidRPr="0068488B">
              <w:rPr>
                <w:rFonts w:eastAsia="Times New Roman"/>
                <w:color w:val="333333"/>
                <w:sz w:val="21"/>
                <w:szCs w:val="21"/>
              </w:rPr>
              <w:t>Observations (n)</w:t>
            </w:r>
          </w:p>
        </w:tc>
        <w:tc>
          <w:tcPr>
            <w:tcW w:w="2633" w:type="dxa"/>
            <w:tcBorders>
              <w:top w:val="single" w:sz="4" w:space="0" w:color="auto"/>
            </w:tcBorders>
            <w:shd w:val="clear" w:color="auto" w:fill="FFFFFF"/>
            <w:tcMar>
              <w:top w:w="0" w:type="dxa"/>
              <w:left w:w="0" w:type="dxa"/>
              <w:bottom w:w="0" w:type="dxa"/>
              <w:right w:w="0" w:type="dxa"/>
            </w:tcMar>
            <w:vAlign w:val="center"/>
            <w:hideMark/>
          </w:tcPr>
          <w:p w14:paraId="5FFA17E4"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36,176</w:t>
            </w:r>
          </w:p>
        </w:tc>
        <w:tc>
          <w:tcPr>
            <w:tcW w:w="2432" w:type="dxa"/>
            <w:tcBorders>
              <w:top w:val="single" w:sz="4" w:space="0" w:color="auto"/>
            </w:tcBorders>
            <w:shd w:val="clear" w:color="auto" w:fill="FFFFFF"/>
            <w:tcMar>
              <w:top w:w="0" w:type="dxa"/>
              <w:left w:w="0" w:type="dxa"/>
              <w:bottom w:w="0" w:type="dxa"/>
              <w:right w:w="0" w:type="dxa"/>
            </w:tcMar>
            <w:vAlign w:val="center"/>
            <w:hideMark/>
          </w:tcPr>
          <w:p w14:paraId="18737925"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33,137</w:t>
            </w:r>
          </w:p>
        </w:tc>
        <w:tc>
          <w:tcPr>
            <w:tcW w:w="1691" w:type="dxa"/>
            <w:tcBorders>
              <w:top w:val="single" w:sz="4" w:space="0" w:color="auto"/>
            </w:tcBorders>
            <w:shd w:val="clear" w:color="auto" w:fill="FFFFFF"/>
            <w:tcMar>
              <w:top w:w="0" w:type="dxa"/>
              <w:left w:w="0" w:type="dxa"/>
              <w:bottom w:w="0" w:type="dxa"/>
              <w:right w:w="0" w:type="dxa"/>
            </w:tcMar>
            <w:vAlign w:val="center"/>
            <w:hideMark/>
          </w:tcPr>
          <w:p w14:paraId="20FB48D3" w14:textId="77777777" w:rsidR="00D30628" w:rsidRPr="0068488B" w:rsidRDefault="00D30628" w:rsidP="00323D88">
            <w:pPr>
              <w:jc w:val="center"/>
              <w:rPr>
                <w:rFonts w:eastAsia="Times New Roman"/>
                <w:color w:val="333333"/>
                <w:sz w:val="21"/>
                <w:szCs w:val="21"/>
              </w:rPr>
            </w:pPr>
            <w:r w:rsidRPr="0068488B">
              <w:rPr>
                <w:rFonts w:eastAsia="Times New Roman"/>
                <w:color w:val="333333"/>
                <w:sz w:val="21"/>
                <w:szCs w:val="21"/>
              </w:rPr>
              <w:t>32,907</w:t>
            </w:r>
          </w:p>
        </w:tc>
      </w:tr>
      <w:tr w:rsidR="00D30628" w:rsidRPr="0068488B" w14:paraId="22813FC4" w14:textId="77777777" w:rsidTr="00323D88">
        <w:trPr>
          <w:trHeight w:val="207"/>
        </w:trPr>
        <w:tc>
          <w:tcPr>
            <w:tcW w:w="9038" w:type="dxa"/>
            <w:gridSpan w:val="4"/>
            <w:tcBorders>
              <w:bottom w:val="single" w:sz="4" w:space="0" w:color="auto"/>
            </w:tcBorders>
            <w:shd w:val="clear" w:color="auto" w:fill="FFFFFF"/>
            <w:tcMar>
              <w:top w:w="0" w:type="dxa"/>
              <w:left w:w="0" w:type="dxa"/>
              <w:bottom w:w="0" w:type="dxa"/>
              <w:right w:w="0" w:type="dxa"/>
            </w:tcMar>
            <w:vAlign w:val="center"/>
          </w:tcPr>
          <w:p w14:paraId="327736E2" w14:textId="64C4F67F" w:rsidR="00D30628" w:rsidRPr="0068488B" w:rsidRDefault="00D30628" w:rsidP="00323D88">
            <w:pPr>
              <w:rPr>
                <w:rFonts w:eastAsia="Times New Roman"/>
                <w:color w:val="333333"/>
                <w:sz w:val="21"/>
                <w:szCs w:val="21"/>
              </w:rPr>
            </w:pPr>
            <w:r w:rsidRPr="0068488B">
              <w:rPr>
                <w:rFonts w:eastAsia="Times New Roman"/>
                <w:i/>
                <w:color w:val="333333"/>
                <w:sz w:val="21"/>
                <w:szCs w:val="21"/>
              </w:rPr>
              <w:t>Note</w:t>
            </w:r>
            <w:r w:rsidRPr="0068488B">
              <w:rPr>
                <w:rFonts w:eastAsia="Times New Roman"/>
                <w:color w:val="333333"/>
                <w:sz w:val="21"/>
                <w:szCs w:val="21"/>
              </w:rPr>
              <w:t>: We report log odds for the logistic models</w:t>
            </w:r>
            <w:r w:rsidR="005D3EEE">
              <w:rPr>
                <w:rFonts w:eastAsia="Times New Roman"/>
                <w:color w:val="333333"/>
                <w:sz w:val="21"/>
                <w:szCs w:val="21"/>
              </w:rPr>
              <w:t xml:space="preserve"> (models 1 and 2)</w:t>
            </w:r>
            <w:r w:rsidRPr="0068488B">
              <w:rPr>
                <w:rFonts w:eastAsia="Times New Roman"/>
                <w:color w:val="333333"/>
                <w:sz w:val="21"/>
                <w:szCs w:val="21"/>
              </w:rPr>
              <w:t xml:space="preserve">, beta coefficients for the OLS models </w:t>
            </w:r>
            <w:r w:rsidR="005D3EEE">
              <w:rPr>
                <w:rFonts w:eastAsia="Times New Roman"/>
                <w:color w:val="333333"/>
                <w:sz w:val="21"/>
                <w:szCs w:val="21"/>
              </w:rPr>
              <w:t xml:space="preserve">(model 3) </w:t>
            </w:r>
            <w:r w:rsidRPr="0068488B">
              <w:rPr>
                <w:rFonts w:eastAsia="Times New Roman"/>
                <w:color w:val="333333"/>
                <w:sz w:val="21"/>
                <w:szCs w:val="21"/>
              </w:rPr>
              <w:t>and 95% Confidence Limits for these estimates. Results are adjusted for age, sex, ethnicity and income level. * = p&lt;0.05, ** = p&lt;0.01 and *** = p&lt;0.001.</w:t>
            </w:r>
          </w:p>
        </w:tc>
      </w:tr>
    </w:tbl>
    <w:p w14:paraId="5377F681" w14:textId="77777777" w:rsidR="00D30628" w:rsidRPr="0068488B" w:rsidRDefault="00D30628" w:rsidP="00CF1F51">
      <w:pPr>
        <w:rPr>
          <w:rFonts w:eastAsia="Times New Roman"/>
        </w:rPr>
      </w:pPr>
    </w:p>
    <w:p w14:paraId="06605C1B" w14:textId="77777777" w:rsidR="00577EA6" w:rsidRPr="0068488B" w:rsidRDefault="00577EA6" w:rsidP="00CF1F51">
      <w:pPr>
        <w:rPr>
          <w:rFonts w:eastAsia="Times New Roman"/>
        </w:rPr>
      </w:pPr>
    </w:p>
    <w:p w14:paraId="1FEEC553" w14:textId="5532E605" w:rsidR="00CF1F51" w:rsidRPr="0068488B" w:rsidRDefault="00D30628" w:rsidP="00CF1F51">
      <w:pPr>
        <w:rPr>
          <w:rFonts w:eastAsia="Times New Roman"/>
        </w:rPr>
      </w:pPr>
      <w:r w:rsidRPr="0068488B">
        <w:rPr>
          <w:rFonts w:eastAsia="Times New Roman"/>
          <w:b/>
        </w:rPr>
        <w:t xml:space="preserve">Table 4: Examining the association between AHAH, each domain and three measures of an individual’s </w:t>
      </w:r>
      <w:r w:rsidR="00E45500" w:rsidRPr="0068488B">
        <w:rPr>
          <w:rFonts w:eastAsia="Times New Roman"/>
          <w:b/>
        </w:rPr>
        <w:t>mental</w:t>
      </w:r>
      <w:r w:rsidRPr="0068488B">
        <w:rPr>
          <w:rFonts w:eastAsia="Times New Roman"/>
          <w:b/>
        </w:rPr>
        <w:t xml:space="preserve"> health.</w:t>
      </w:r>
      <w:r w:rsidR="00CF1F51" w:rsidRPr="0068488B">
        <w:rPr>
          <w:rFonts w:eastAsia="Times New Roman"/>
        </w:rPr>
        <w:br/>
      </w:r>
    </w:p>
    <w:tbl>
      <w:tblPr>
        <w:tblW w:w="9038" w:type="dxa"/>
        <w:shd w:val="clear" w:color="auto" w:fill="FFFFFF"/>
        <w:tblCellMar>
          <w:top w:w="15" w:type="dxa"/>
          <w:left w:w="15" w:type="dxa"/>
          <w:bottom w:w="15" w:type="dxa"/>
          <w:right w:w="15" w:type="dxa"/>
        </w:tblCellMar>
        <w:tblLook w:val="04A0" w:firstRow="1" w:lastRow="0" w:firstColumn="1" w:lastColumn="0" w:noHBand="0" w:noVBand="1"/>
      </w:tblPr>
      <w:tblGrid>
        <w:gridCol w:w="2282"/>
        <w:gridCol w:w="2633"/>
        <w:gridCol w:w="2432"/>
        <w:gridCol w:w="1691"/>
      </w:tblGrid>
      <w:tr w:rsidR="006714FC" w:rsidRPr="0068488B" w14:paraId="417BD0F4" w14:textId="77777777" w:rsidTr="006714FC">
        <w:tc>
          <w:tcPr>
            <w:tcW w:w="2282" w:type="dxa"/>
            <w:tcBorders>
              <w:top w:val="single" w:sz="4" w:space="0" w:color="auto"/>
            </w:tcBorders>
            <w:shd w:val="clear" w:color="auto" w:fill="FFFFFF"/>
            <w:tcMar>
              <w:top w:w="0" w:type="dxa"/>
              <w:left w:w="0" w:type="dxa"/>
              <w:bottom w:w="0" w:type="dxa"/>
              <w:right w:w="0" w:type="dxa"/>
            </w:tcMar>
            <w:vAlign w:val="center"/>
          </w:tcPr>
          <w:p w14:paraId="7BC06405" w14:textId="77777777" w:rsidR="006714FC" w:rsidRPr="0068488B" w:rsidRDefault="006714FC" w:rsidP="00CF1F51">
            <w:pPr>
              <w:jc w:val="center"/>
              <w:rPr>
                <w:rFonts w:eastAsia="Times New Roman"/>
                <w:sz w:val="20"/>
                <w:szCs w:val="20"/>
              </w:rPr>
            </w:pPr>
          </w:p>
        </w:tc>
        <w:tc>
          <w:tcPr>
            <w:tcW w:w="6756" w:type="dxa"/>
            <w:gridSpan w:val="3"/>
            <w:tcBorders>
              <w:top w:val="single" w:sz="4" w:space="0" w:color="auto"/>
            </w:tcBorders>
            <w:shd w:val="clear" w:color="auto" w:fill="FFFFFF"/>
            <w:tcMar>
              <w:top w:w="0" w:type="dxa"/>
              <w:left w:w="0" w:type="dxa"/>
              <w:bottom w:w="0" w:type="dxa"/>
              <w:right w:w="0" w:type="dxa"/>
            </w:tcMar>
            <w:vAlign w:val="center"/>
          </w:tcPr>
          <w:p w14:paraId="5D73E096" w14:textId="2EA03C01" w:rsidR="006714FC" w:rsidRPr="0068488B" w:rsidRDefault="006714FC" w:rsidP="00CF1F51">
            <w:pPr>
              <w:jc w:val="center"/>
              <w:rPr>
                <w:rFonts w:eastAsia="Times New Roman"/>
                <w:color w:val="333333"/>
                <w:sz w:val="21"/>
                <w:szCs w:val="21"/>
              </w:rPr>
            </w:pPr>
            <w:r w:rsidRPr="0068488B">
              <w:rPr>
                <w:rFonts w:eastAsia="Times New Roman"/>
                <w:color w:val="333333"/>
                <w:sz w:val="21"/>
                <w:szCs w:val="21"/>
              </w:rPr>
              <w:t>Outcome variable</w:t>
            </w:r>
          </w:p>
        </w:tc>
      </w:tr>
      <w:tr w:rsidR="0029272B" w:rsidRPr="0068488B" w14:paraId="3E4978F2" w14:textId="77777777" w:rsidTr="00CA6839">
        <w:trPr>
          <w:trHeight w:val="548"/>
        </w:trPr>
        <w:tc>
          <w:tcPr>
            <w:tcW w:w="2282" w:type="dxa"/>
            <w:shd w:val="clear" w:color="auto" w:fill="FFFFFF"/>
            <w:tcMar>
              <w:top w:w="0" w:type="dxa"/>
              <w:left w:w="0" w:type="dxa"/>
              <w:bottom w:w="0" w:type="dxa"/>
              <w:right w:w="0" w:type="dxa"/>
            </w:tcMar>
            <w:vAlign w:val="center"/>
            <w:hideMark/>
          </w:tcPr>
          <w:p w14:paraId="304CE6A0" w14:textId="77777777" w:rsidR="0029272B" w:rsidRPr="0068488B" w:rsidRDefault="0029272B" w:rsidP="00CF1F51">
            <w:pPr>
              <w:jc w:val="center"/>
              <w:rPr>
                <w:rFonts w:eastAsia="Times New Roman"/>
                <w:sz w:val="20"/>
                <w:szCs w:val="20"/>
              </w:rPr>
            </w:pPr>
          </w:p>
        </w:tc>
        <w:tc>
          <w:tcPr>
            <w:tcW w:w="2633" w:type="dxa"/>
            <w:tcBorders>
              <w:top w:val="single" w:sz="4" w:space="0" w:color="auto"/>
            </w:tcBorders>
            <w:shd w:val="clear" w:color="auto" w:fill="FFFFFF"/>
            <w:tcMar>
              <w:top w:w="0" w:type="dxa"/>
              <w:left w:w="0" w:type="dxa"/>
              <w:bottom w:w="0" w:type="dxa"/>
              <w:right w:w="0" w:type="dxa"/>
            </w:tcMar>
            <w:vAlign w:val="center"/>
            <w:hideMark/>
          </w:tcPr>
          <w:p w14:paraId="11385A66" w14:textId="281182CE" w:rsidR="0029272B" w:rsidRPr="0068488B" w:rsidRDefault="0029272B" w:rsidP="00CA6839">
            <w:pPr>
              <w:jc w:val="center"/>
              <w:rPr>
                <w:rFonts w:eastAsia="Times New Roman"/>
                <w:color w:val="333333"/>
                <w:sz w:val="21"/>
                <w:szCs w:val="21"/>
              </w:rPr>
            </w:pPr>
            <w:r w:rsidRPr="0068488B">
              <w:rPr>
                <w:rFonts w:eastAsia="Times New Roman"/>
                <w:color w:val="333333"/>
                <w:sz w:val="21"/>
                <w:szCs w:val="21"/>
              </w:rPr>
              <w:t>SF12 Mental health</w:t>
            </w:r>
          </w:p>
        </w:tc>
        <w:tc>
          <w:tcPr>
            <w:tcW w:w="2432" w:type="dxa"/>
            <w:tcBorders>
              <w:top w:val="single" w:sz="4" w:space="0" w:color="auto"/>
            </w:tcBorders>
            <w:shd w:val="clear" w:color="auto" w:fill="FFFFFF"/>
            <w:tcMar>
              <w:top w:w="0" w:type="dxa"/>
              <w:left w:w="0" w:type="dxa"/>
              <w:bottom w:w="0" w:type="dxa"/>
              <w:right w:w="0" w:type="dxa"/>
            </w:tcMar>
            <w:vAlign w:val="center"/>
            <w:hideMark/>
          </w:tcPr>
          <w:p w14:paraId="39F0BF77" w14:textId="1F59C550" w:rsidR="0029272B" w:rsidRPr="0068488B" w:rsidRDefault="0029272B" w:rsidP="00CF1F51">
            <w:pPr>
              <w:jc w:val="center"/>
              <w:rPr>
                <w:rFonts w:eastAsia="Times New Roman"/>
                <w:color w:val="333333"/>
                <w:sz w:val="21"/>
                <w:szCs w:val="21"/>
              </w:rPr>
            </w:pPr>
            <w:r w:rsidRPr="0068488B">
              <w:rPr>
                <w:rFonts w:eastAsia="Times New Roman"/>
                <w:color w:val="333333"/>
                <w:sz w:val="21"/>
                <w:szCs w:val="21"/>
              </w:rPr>
              <w:t>General Health Questionnaire (Likert)</w:t>
            </w:r>
          </w:p>
        </w:tc>
        <w:tc>
          <w:tcPr>
            <w:tcW w:w="1691" w:type="dxa"/>
            <w:tcBorders>
              <w:top w:val="single" w:sz="4" w:space="0" w:color="auto"/>
            </w:tcBorders>
            <w:shd w:val="clear" w:color="auto" w:fill="FFFFFF"/>
            <w:tcMar>
              <w:top w:w="0" w:type="dxa"/>
              <w:left w:w="0" w:type="dxa"/>
              <w:bottom w:w="0" w:type="dxa"/>
              <w:right w:w="0" w:type="dxa"/>
            </w:tcMar>
            <w:vAlign w:val="center"/>
            <w:hideMark/>
          </w:tcPr>
          <w:p w14:paraId="63EE0BD9" w14:textId="51F34B34" w:rsidR="0029272B" w:rsidRPr="0068488B" w:rsidRDefault="0029272B" w:rsidP="0029272B">
            <w:pPr>
              <w:jc w:val="center"/>
              <w:rPr>
                <w:rFonts w:eastAsia="Times New Roman"/>
                <w:color w:val="333333"/>
                <w:sz w:val="21"/>
                <w:szCs w:val="21"/>
              </w:rPr>
            </w:pPr>
            <w:r w:rsidRPr="0068488B">
              <w:rPr>
                <w:rFonts w:eastAsia="Times New Roman"/>
                <w:color w:val="333333"/>
                <w:sz w:val="21"/>
                <w:szCs w:val="21"/>
              </w:rPr>
              <w:t>General Health Questionnaire (</w:t>
            </w:r>
            <w:proofErr w:type="spellStart"/>
            <w:r w:rsidRPr="0068488B">
              <w:rPr>
                <w:rFonts w:eastAsia="Times New Roman"/>
                <w:color w:val="333333"/>
                <w:sz w:val="21"/>
                <w:szCs w:val="21"/>
              </w:rPr>
              <w:t>Caseness</w:t>
            </w:r>
            <w:proofErr w:type="spellEnd"/>
            <w:r w:rsidRPr="0068488B">
              <w:rPr>
                <w:rFonts w:eastAsia="Times New Roman"/>
                <w:color w:val="333333"/>
                <w:sz w:val="21"/>
                <w:szCs w:val="21"/>
              </w:rPr>
              <w:t>)</w:t>
            </w:r>
          </w:p>
        </w:tc>
      </w:tr>
      <w:tr w:rsidR="0029272B" w:rsidRPr="0068488B" w14:paraId="30611F2F" w14:textId="77777777" w:rsidTr="00323D88">
        <w:tc>
          <w:tcPr>
            <w:tcW w:w="2282" w:type="dxa"/>
            <w:shd w:val="clear" w:color="auto" w:fill="FFFFFF"/>
            <w:tcMar>
              <w:top w:w="0" w:type="dxa"/>
              <w:left w:w="0" w:type="dxa"/>
              <w:bottom w:w="0" w:type="dxa"/>
              <w:right w:w="0" w:type="dxa"/>
            </w:tcMar>
            <w:vAlign w:val="center"/>
            <w:hideMark/>
          </w:tcPr>
          <w:p w14:paraId="23B1B215" w14:textId="77777777" w:rsidR="0029272B" w:rsidRPr="0068488B" w:rsidRDefault="0029272B" w:rsidP="00CF1F51">
            <w:pPr>
              <w:jc w:val="center"/>
              <w:rPr>
                <w:rFonts w:eastAsia="Times New Roman"/>
                <w:color w:val="333333"/>
                <w:sz w:val="21"/>
                <w:szCs w:val="21"/>
              </w:rPr>
            </w:pPr>
          </w:p>
        </w:tc>
        <w:tc>
          <w:tcPr>
            <w:tcW w:w="2633" w:type="dxa"/>
            <w:shd w:val="clear" w:color="auto" w:fill="FFFFFF"/>
            <w:tcMar>
              <w:top w:w="0" w:type="dxa"/>
              <w:left w:w="0" w:type="dxa"/>
              <w:bottom w:w="0" w:type="dxa"/>
              <w:right w:w="0" w:type="dxa"/>
            </w:tcMar>
            <w:hideMark/>
          </w:tcPr>
          <w:p w14:paraId="7309A51F" w14:textId="56E6B5F8" w:rsidR="0029272B" w:rsidRPr="0068488B" w:rsidRDefault="0029272B" w:rsidP="00CF1F51">
            <w:pPr>
              <w:jc w:val="center"/>
              <w:rPr>
                <w:rFonts w:eastAsia="Times New Roman"/>
                <w:color w:val="333333"/>
                <w:sz w:val="21"/>
                <w:szCs w:val="21"/>
              </w:rPr>
            </w:pPr>
            <w:r w:rsidRPr="0068488B">
              <w:rPr>
                <w:rFonts w:eastAsia="Times New Roman"/>
                <w:color w:val="333333"/>
                <w:sz w:val="21"/>
                <w:szCs w:val="21"/>
              </w:rPr>
              <w:t>OLS</w:t>
            </w:r>
          </w:p>
        </w:tc>
        <w:tc>
          <w:tcPr>
            <w:tcW w:w="2432" w:type="dxa"/>
            <w:shd w:val="clear" w:color="auto" w:fill="FFFFFF"/>
            <w:tcMar>
              <w:top w:w="0" w:type="dxa"/>
              <w:left w:w="0" w:type="dxa"/>
              <w:bottom w:w="0" w:type="dxa"/>
              <w:right w:w="0" w:type="dxa"/>
            </w:tcMar>
            <w:vAlign w:val="center"/>
            <w:hideMark/>
          </w:tcPr>
          <w:p w14:paraId="541079C4" w14:textId="037E8BE5" w:rsidR="0029272B" w:rsidRPr="0068488B" w:rsidRDefault="0029272B" w:rsidP="00CF1F51">
            <w:pPr>
              <w:jc w:val="center"/>
              <w:rPr>
                <w:rFonts w:eastAsia="Times New Roman"/>
                <w:color w:val="333333"/>
                <w:sz w:val="21"/>
                <w:szCs w:val="21"/>
              </w:rPr>
            </w:pPr>
            <w:r w:rsidRPr="0068488B">
              <w:rPr>
                <w:rFonts w:eastAsia="Times New Roman"/>
                <w:i/>
                <w:iCs/>
                <w:color w:val="333333"/>
                <w:sz w:val="21"/>
                <w:szCs w:val="21"/>
              </w:rPr>
              <w:t>OLS</w:t>
            </w:r>
          </w:p>
        </w:tc>
        <w:tc>
          <w:tcPr>
            <w:tcW w:w="1691" w:type="dxa"/>
            <w:shd w:val="clear" w:color="auto" w:fill="FFFFFF"/>
            <w:tcMar>
              <w:top w:w="0" w:type="dxa"/>
              <w:left w:w="0" w:type="dxa"/>
              <w:bottom w:w="0" w:type="dxa"/>
              <w:right w:w="0" w:type="dxa"/>
            </w:tcMar>
            <w:vAlign w:val="center"/>
            <w:hideMark/>
          </w:tcPr>
          <w:p w14:paraId="171C3670" w14:textId="77777777" w:rsidR="0029272B" w:rsidRPr="0068488B" w:rsidRDefault="0029272B" w:rsidP="00CF1F51">
            <w:pPr>
              <w:jc w:val="center"/>
              <w:rPr>
                <w:rFonts w:eastAsia="Times New Roman"/>
                <w:color w:val="333333"/>
                <w:sz w:val="21"/>
                <w:szCs w:val="21"/>
              </w:rPr>
            </w:pPr>
            <w:r w:rsidRPr="0068488B">
              <w:rPr>
                <w:rFonts w:eastAsia="Times New Roman"/>
                <w:i/>
                <w:iCs/>
                <w:color w:val="333333"/>
                <w:sz w:val="21"/>
                <w:szCs w:val="21"/>
              </w:rPr>
              <w:t>OLS</w:t>
            </w:r>
          </w:p>
        </w:tc>
      </w:tr>
      <w:tr w:rsidR="00CF1F51" w:rsidRPr="0068488B" w14:paraId="5BC7889E" w14:textId="77777777" w:rsidTr="006714FC">
        <w:tc>
          <w:tcPr>
            <w:tcW w:w="2282" w:type="dxa"/>
            <w:shd w:val="clear" w:color="auto" w:fill="FFFFFF"/>
            <w:tcMar>
              <w:top w:w="0" w:type="dxa"/>
              <w:left w:w="0" w:type="dxa"/>
              <w:bottom w:w="0" w:type="dxa"/>
              <w:right w:w="0" w:type="dxa"/>
            </w:tcMar>
            <w:vAlign w:val="center"/>
            <w:hideMark/>
          </w:tcPr>
          <w:p w14:paraId="18F62644" w14:textId="77777777" w:rsidR="00CF1F51" w:rsidRPr="0068488B" w:rsidRDefault="00CF1F51" w:rsidP="00CF1F51">
            <w:pPr>
              <w:jc w:val="cente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3626D087" w14:textId="77777777" w:rsidR="00CF1F51" w:rsidRPr="0068488B" w:rsidRDefault="00CF1F51" w:rsidP="00CF1F51">
            <w:pPr>
              <w:jc w:val="center"/>
              <w:rPr>
                <w:rFonts w:eastAsia="Times New Roman"/>
                <w:color w:val="333333"/>
                <w:sz w:val="21"/>
                <w:szCs w:val="21"/>
              </w:rPr>
            </w:pPr>
            <w:r w:rsidRPr="0068488B">
              <w:rPr>
                <w:rFonts w:eastAsia="Times New Roman"/>
                <w:color w:val="333333"/>
                <w:sz w:val="21"/>
                <w:szCs w:val="21"/>
              </w:rPr>
              <w:t>(1)</w:t>
            </w:r>
          </w:p>
        </w:tc>
        <w:tc>
          <w:tcPr>
            <w:tcW w:w="2432" w:type="dxa"/>
            <w:shd w:val="clear" w:color="auto" w:fill="FFFFFF"/>
            <w:tcMar>
              <w:top w:w="0" w:type="dxa"/>
              <w:left w:w="0" w:type="dxa"/>
              <w:bottom w:w="0" w:type="dxa"/>
              <w:right w:w="0" w:type="dxa"/>
            </w:tcMar>
            <w:vAlign w:val="center"/>
            <w:hideMark/>
          </w:tcPr>
          <w:p w14:paraId="0A1A8C02" w14:textId="77777777" w:rsidR="00CF1F51" w:rsidRPr="0068488B" w:rsidRDefault="00CF1F51" w:rsidP="00CF1F51">
            <w:pPr>
              <w:jc w:val="center"/>
              <w:rPr>
                <w:rFonts w:eastAsia="Times New Roman"/>
                <w:color w:val="333333"/>
                <w:sz w:val="21"/>
                <w:szCs w:val="21"/>
              </w:rPr>
            </w:pPr>
            <w:r w:rsidRPr="0068488B">
              <w:rPr>
                <w:rFonts w:eastAsia="Times New Roman"/>
                <w:color w:val="333333"/>
                <w:sz w:val="21"/>
                <w:szCs w:val="21"/>
              </w:rPr>
              <w:t>(2)</w:t>
            </w:r>
          </w:p>
        </w:tc>
        <w:tc>
          <w:tcPr>
            <w:tcW w:w="1691" w:type="dxa"/>
            <w:shd w:val="clear" w:color="auto" w:fill="FFFFFF"/>
            <w:tcMar>
              <w:top w:w="0" w:type="dxa"/>
              <w:left w:w="0" w:type="dxa"/>
              <w:bottom w:w="0" w:type="dxa"/>
              <w:right w:w="0" w:type="dxa"/>
            </w:tcMar>
            <w:vAlign w:val="center"/>
            <w:hideMark/>
          </w:tcPr>
          <w:p w14:paraId="3779EEB6" w14:textId="77777777" w:rsidR="00CF1F51" w:rsidRPr="0068488B" w:rsidRDefault="00CF1F51" w:rsidP="00CF1F51">
            <w:pPr>
              <w:jc w:val="center"/>
              <w:rPr>
                <w:rFonts w:eastAsia="Times New Roman"/>
                <w:color w:val="333333"/>
                <w:sz w:val="21"/>
                <w:szCs w:val="21"/>
              </w:rPr>
            </w:pPr>
            <w:r w:rsidRPr="0068488B">
              <w:rPr>
                <w:rFonts w:eastAsia="Times New Roman"/>
                <w:color w:val="333333"/>
                <w:sz w:val="21"/>
                <w:szCs w:val="21"/>
              </w:rPr>
              <w:t>(3)</w:t>
            </w:r>
          </w:p>
        </w:tc>
      </w:tr>
      <w:tr w:rsidR="00CF1F51" w:rsidRPr="0068488B" w14:paraId="3D148AB3" w14:textId="77777777" w:rsidTr="006714FC">
        <w:tc>
          <w:tcPr>
            <w:tcW w:w="9038" w:type="dxa"/>
            <w:gridSpan w:val="4"/>
            <w:tcBorders>
              <w:bottom w:val="single" w:sz="6" w:space="0" w:color="000000"/>
            </w:tcBorders>
            <w:shd w:val="clear" w:color="auto" w:fill="FFFFFF"/>
            <w:tcMar>
              <w:top w:w="0" w:type="dxa"/>
              <w:left w:w="0" w:type="dxa"/>
              <w:bottom w:w="0" w:type="dxa"/>
              <w:right w:w="0" w:type="dxa"/>
            </w:tcMar>
            <w:vAlign w:val="center"/>
            <w:hideMark/>
          </w:tcPr>
          <w:p w14:paraId="10D100B3" w14:textId="77777777" w:rsidR="00CF1F51" w:rsidRPr="0068488B" w:rsidRDefault="00CF1F51" w:rsidP="00CF1F51">
            <w:pPr>
              <w:jc w:val="center"/>
              <w:rPr>
                <w:rFonts w:eastAsia="Times New Roman"/>
                <w:color w:val="333333"/>
                <w:sz w:val="21"/>
                <w:szCs w:val="21"/>
              </w:rPr>
            </w:pPr>
          </w:p>
        </w:tc>
      </w:tr>
      <w:tr w:rsidR="006714FC" w:rsidRPr="0068488B" w14:paraId="7F2FD930" w14:textId="77777777" w:rsidTr="006714FC">
        <w:trPr>
          <w:trHeight w:val="273"/>
        </w:trPr>
        <w:tc>
          <w:tcPr>
            <w:tcW w:w="9038" w:type="dxa"/>
            <w:gridSpan w:val="4"/>
            <w:shd w:val="clear" w:color="auto" w:fill="FFFFFF"/>
            <w:tcMar>
              <w:top w:w="0" w:type="dxa"/>
              <w:left w:w="0" w:type="dxa"/>
              <w:bottom w:w="0" w:type="dxa"/>
              <w:right w:w="0" w:type="dxa"/>
            </w:tcMar>
            <w:vAlign w:val="center"/>
            <w:hideMark/>
          </w:tcPr>
          <w:p w14:paraId="5C0321AD" w14:textId="1645C3EB" w:rsidR="006714FC" w:rsidRPr="0068488B" w:rsidRDefault="006714FC" w:rsidP="006714FC">
            <w:pPr>
              <w:rPr>
                <w:rFonts w:eastAsia="Times New Roman"/>
                <w:color w:val="333333"/>
                <w:sz w:val="21"/>
                <w:szCs w:val="21"/>
              </w:rPr>
            </w:pPr>
            <w:r w:rsidRPr="0068488B">
              <w:rPr>
                <w:rFonts w:eastAsia="Times New Roman"/>
                <w:b/>
                <w:color w:val="333333"/>
                <w:sz w:val="21"/>
                <w:szCs w:val="21"/>
              </w:rPr>
              <w:t>(A) AHAH as overall index only</w:t>
            </w:r>
          </w:p>
        </w:tc>
      </w:tr>
      <w:tr w:rsidR="00CF1F51" w:rsidRPr="0068488B" w14:paraId="0FDAB14C" w14:textId="77777777" w:rsidTr="006714FC">
        <w:tc>
          <w:tcPr>
            <w:tcW w:w="2282" w:type="dxa"/>
            <w:shd w:val="clear" w:color="auto" w:fill="FFFFFF"/>
            <w:tcMar>
              <w:top w:w="0" w:type="dxa"/>
              <w:left w:w="0" w:type="dxa"/>
              <w:bottom w:w="0" w:type="dxa"/>
              <w:right w:w="0" w:type="dxa"/>
            </w:tcMar>
            <w:vAlign w:val="center"/>
            <w:hideMark/>
          </w:tcPr>
          <w:p w14:paraId="69AC037E" w14:textId="4323FFD3" w:rsidR="00CF1F51" w:rsidRPr="0068488B" w:rsidRDefault="00CF1F51" w:rsidP="00CF1F51">
            <w:pPr>
              <w:rPr>
                <w:rFonts w:eastAsia="Times New Roman"/>
                <w:color w:val="333333"/>
                <w:sz w:val="21"/>
                <w:szCs w:val="21"/>
              </w:rPr>
            </w:pPr>
            <w:r w:rsidRPr="0068488B">
              <w:rPr>
                <w:rFonts w:eastAsia="Times New Roman"/>
                <w:color w:val="333333"/>
                <w:sz w:val="21"/>
                <w:szCs w:val="21"/>
              </w:rPr>
              <w:t>AHAH score</w:t>
            </w:r>
          </w:p>
        </w:tc>
        <w:tc>
          <w:tcPr>
            <w:tcW w:w="2633" w:type="dxa"/>
            <w:shd w:val="clear" w:color="auto" w:fill="FFFFFF"/>
            <w:tcMar>
              <w:top w:w="0" w:type="dxa"/>
              <w:left w:w="0" w:type="dxa"/>
              <w:bottom w:w="0" w:type="dxa"/>
              <w:right w:w="0" w:type="dxa"/>
            </w:tcMar>
            <w:vAlign w:val="center"/>
            <w:hideMark/>
          </w:tcPr>
          <w:p w14:paraId="070ED8C3" w14:textId="4447F5DA" w:rsidR="00CF1F51" w:rsidRPr="0068488B" w:rsidRDefault="0029272B" w:rsidP="00CF1F51">
            <w:pPr>
              <w:jc w:val="center"/>
              <w:rPr>
                <w:rFonts w:eastAsia="Times New Roman"/>
                <w:color w:val="333333"/>
                <w:sz w:val="21"/>
                <w:szCs w:val="21"/>
              </w:rPr>
            </w:pPr>
            <w:r w:rsidRPr="0068488B">
              <w:rPr>
                <w:rFonts w:eastAsia="Times New Roman"/>
                <w:color w:val="333333"/>
                <w:sz w:val="21"/>
                <w:szCs w:val="21"/>
              </w:rPr>
              <w:t>-</w:t>
            </w:r>
            <w:r w:rsidR="007E7E02" w:rsidRPr="0068488B">
              <w:rPr>
                <w:rFonts w:eastAsia="Times New Roman"/>
                <w:color w:val="333333"/>
                <w:sz w:val="21"/>
                <w:szCs w:val="21"/>
              </w:rPr>
              <w:t>0.0</w:t>
            </w:r>
            <w:r w:rsidRPr="0068488B">
              <w:rPr>
                <w:rFonts w:eastAsia="Times New Roman"/>
                <w:color w:val="333333"/>
                <w:sz w:val="21"/>
                <w:szCs w:val="21"/>
              </w:rPr>
              <w:t>2</w:t>
            </w:r>
            <w:r w:rsidR="007E7E02" w:rsidRPr="0068488B">
              <w:rPr>
                <w:rFonts w:eastAsia="Times New Roman"/>
                <w:color w:val="333333"/>
                <w:sz w:val="21"/>
                <w:szCs w:val="21"/>
              </w:rPr>
              <w:t>3</w:t>
            </w:r>
            <w:r w:rsidRPr="0068488B">
              <w:rPr>
                <w:rFonts w:eastAsia="Times New Roman"/>
                <w:color w:val="333333"/>
                <w:sz w:val="21"/>
                <w:szCs w:val="21"/>
              </w:rPr>
              <w:t>***</w:t>
            </w:r>
          </w:p>
        </w:tc>
        <w:tc>
          <w:tcPr>
            <w:tcW w:w="2432" w:type="dxa"/>
            <w:shd w:val="clear" w:color="auto" w:fill="FFFFFF"/>
            <w:tcMar>
              <w:top w:w="0" w:type="dxa"/>
              <w:left w:w="0" w:type="dxa"/>
              <w:bottom w:w="0" w:type="dxa"/>
              <w:right w:w="0" w:type="dxa"/>
            </w:tcMar>
            <w:vAlign w:val="center"/>
            <w:hideMark/>
          </w:tcPr>
          <w:p w14:paraId="5F9E581A" w14:textId="596E8191" w:rsidR="00CF1F51" w:rsidRPr="0068488B" w:rsidRDefault="007E7E02" w:rsidP="00CF1F51">
            <w:pPr>
              <w:jc w:val="center"/>
              <w:rPr>
                <w:rFonts w:eastAsia="Times New Roman"/>
                <w:color w:val="333333"/>
                <w:sz w:val="21"/>
                <w:szCs w:val="21"/>
              </w:rPr>
            </w:pPr>
            <w:r w:rsidRPr="0068488B">
              <w:rPr>
                <w:rFonts w:eastAsia="Times New Roman"/>
                <w:color w:val="333333"/>
                <w:sz w:val="21"/>
                <w:szCs w:val="21"/>
              </w:rPr>
              <w:t>0.008</w:t>
            </w:r>
            <w:r w:rsidR="0029272B" w:rsidRPr="0068488B">
              <w:rPr>
                <w:rFonts w:eastAsia="Times New Roman"/>
                <w:color w:val="333333"/>
                <w:sz w:val="21"/>
                <w:szCs w:val="21"/>
              </w:rPr>
              <w:t>*</w:t>
            </w:r>
            <w:r w:rsidRPr="0068488B">
              <w:rPr>
                <w:rFonts w:eastAsia="Times New Roman"/>
                <w:color w:val="333333"/>
                <w:sz w:val="21"/>
                <w:szCs w:val="21"/>
              </w:rPr>
              <w:t>*</w:t>
            </w:r>
          </w:p>
        </w:tc>
        <w:tc>
          <w:tcPr>
            <w:tcW w:w="1691" w:type="dxa"/>
            <w:shd w:val="clear" w:color="auto" w:fill="FFFFFF"/>
            <w:tcMar>
              <w:top w:w="0" w:type="dxa"/>
              <w:left w:w="0" w:type="dxa"/>
              <w:bottom w:w="0" w:type="dxa"/>
              <w:right w:w="0" w:type="dxa"/>
            </w:tcMar>
            <w:vAlign w:val="center"/>
            <w:hideMark/>
          </w:tcPr>
          <w:p w14:paraId="58A6BE2D" w14:textId="15470502" w:rsidR="00CF1F51" w:rsidRPr="0068488B" w:rsidRDefault="007E7E02" w:rsidP="00CF1F51">
            <w:pPr>
              <w:jc w:val="center"/>
              <w:rPr>
                <w:rFonts w:eastAsia="Times New Roman"/>
                <w:color w:val="333333"/>
                <w:sz w:val="21"/>
                <w:szCs w:val="21"/>
              </w:rPr>
            </w:pPr>
            <w:r w:rsidRPr="0068488B">
              <w:rPr>
                <w:rFonts w:eastAsia="Times New Roman"/>
                <w:color w:val="333333"/>
                <w:sz w:val="21"/>
                <w:szCs w:val="21"/>
              </w:rPr>
              <w:t>0.005</w:t>
            </w:r>
            <w:r w:rsidR="000567AA" w:rsidRPr="0068488B">
              <w:rPr>
                <w:rFonts w:eastAsia="Times New Roman"/>
                <w:color w:val="333333"/>
                <w:sz w:val="21"/>
                <w:szCs w:val="21"/>
              </w:rPr>
              <w:t>*</w:t>
            </w:r>
            <w:r w:rsidRPr="0068488B">
              <w:rPr>
                <w:rFonts w:eastAsia="Times New Roman"/>
                <w:color w:val="333333"/>
                <w:sz w:val="21"/>
                <w:szCs w:val="21"/>
              </w:rPr>
              <w:t>*</w:t>
            </w:r>
            <w:r w:rsidR="0029272B" w:rsidRPr="0068488B">
              <w:rPr>
                <w:rFonts w:eastAsia="Times New Roman"/>
                <w:color w:val="333333"/>
                <w:sz w:val="21"/>
                <w:szCs w:val="21"/>
              </w:rPr>
              <w:t xml:space="preserve"> </w:t>
            </w:r>
          </w:p>
        </w:tc>
      </w:tr>
      <w:tr w:rsidR="00CF1F51" w:rsidRPr="0068488B" w14:paraId="696B2C74" w14:textId="77777777" w:rsidTr="006714FC">
        <w:tc>
          <w:tcPr>
            <w:tcW w:w="2282" w:type="dxa"/>
            <w:shd w:val="clear" w:color="auto" w:fill="FFFFFF"/>
            <w:tcMar>
              <w:top w:w="0" w:type="dxa"/>
              <w:left w:w="0" w:type="dxa"/>
              <w:bottom w:w="0" w:type="dxa"/>
              <w:right w:w="0" w:type="dxa"/>
            </w:tcMar>
            <w:vAlign w:val="center"/>
            <w:hideMark/>
          </w:tcPr>
          <w:p w14:paraId="53D06821" w14:textId="77777777" w:rsidR="00CF1F51" w:rsidRPr="0068488B" w:rsidRDefault="00CF1F51" w:rsidP="00CF1F51">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7D37AAAD" w14:textId="1BFEB890" w:rsidR="00CF1F51" w:rsidRPr="0068488B" w:rsidRDefault="007E7E02" w:rsidP="00CF1F51">
            <w:pPr>
              <w:jc w:val="center"/>
              <w:rPr>
                <w:rFonts w:eastAsia="Times New Roman"/>
                <w:sz w:val="20"/>
                <w:szCs w:val="20"/>
              </w:rPr>
            </w:pPr>
            <w:r w:rsidRPr="0068488B">
              <w:rPr>
                <w:rFonts w:eastAsia="Times New Roman"/>
                <w:color w:val="333333"/>
                <w:sz w:val="21"/>
                <w:szCs w:val="21"/>
              </w:rPr>
              <w:t>(-0.036, -0.010</w:t>
            </w:r>
            <w:r w:rsidR="00CF1F51" w:rsidRPr="0068488B">
              <w:rPr>
                <w:rFonts w:eastAsia="Times New Roman"/>
                <w:color w:val="333333"/>
                <w:sz w:val="21"/>
                <w:szCs w:val="21"/>
              </w:rPr>
              <w:t>)</w:t>
            </w:r>
          </w:p>
        </w:tc>
        <w:tc>
          <w:tcPr>
            <w:tcW w:w="2432" w:type="dxa"/>
            <w:shd w:val="clear" w:color="auto" w:fill="FFFFFF"/>
            <w:tcMar>
              <w:top w:w="0" w:type="dxa"/>
              <w:left w:w="0" w:type="dxa"/>
              <w:bottom w:w="0" w:type="dxa"/>
              <w:right w:w="0" w:type="dxa"/>
            </w:tcMar>
            <w:vAlign w:val="center"/>
            <w:hideMark/>
          </w:tcPr>
          <w:p w14:paraId="5B9BB63E" w14:textId="0852A14D" w:rsidR="00CF1F51" w:rsidRPr="0068488B" w:rsidRDefault="007E7E02" w:rsidP="00CF1F51">
            <w:pPr>
              <w:jc w:val="center"/>
              <w:rPr>
                <w:rFonts w:eastAsia="Times New Roman"/>
                <w:sz w:val="20"/>
                <w:szCs w:val="20"/>
              </w:rPr>
            </w:pPr>
            <w:r w:rsidRPr="0068488B">
              <w:rPr>
                <w:rFonts w:eastAsia="Times New Roman"/>
                <w:color w:val="333333"/>
                <w:sz w:val="21"/>
                <w:szCs w:val="21"/>
              </w:rPr>
              <w:t>(0.001, 0.015</w:t>
            </w:r>
            <w:r w:rsidR="00CF1F51" w:rsidRPr="0068488B">
              <w:rPr>
                <w:rFonts w:eastAsia="Times New Roman"/>
                <w:color w:val="333333"/>
                <w:sz w:val="21"/>
                <w:szCs w:val="21"/>
              </w:rPr>
              <w:t>)</w:t>
            </w:r>
          </w:p>
        </w:tc>
        <w:tc>
          <w:tcPr>
            <w:tcW w:w="1691" w:type="dxa"/>
            <w:shd w:val="clear" w:color="auto" w:fill="FFFFFF"/>
            <w:tcMar>
              <w:top w:w="0" w:type="dxa"/>
              <w:left w:w="0" w:type="dxa"/>
              <w:bottom w:w="0" w:type="dxa"/>
              <w:right w:w="0" w:type="dxa"/>
            </w:tcMar>
            <w:vAlign w:val="center"/>
            <w:hideMark/>
          </w:tcPr>
          <w:p w14:paraId="7FAB4B0D" w14:textId="6502C7A2" w:rsidR="00CF1F51" w:rsidRPr="0068488B" w:rsidRDefault="0029272B" w:rsidP="00CF1F51">
            <w:pPr>
              <w:jc w:val="center"/>
              <w:rPr>
                <w:rFonts w:eastAsia="Times New Roman"/>
                <w:sz w:val="20"/>
                <w:szCs w:val="20"/>
              </w:rPr>
            </w:pPr>
            <w:r w:rsidRPr="0068488B">
              <w:rPr>
                <w:rFonts w:eastAsia="Times New Roman"/>
                <w:color w:val="333333"/>
                <w:sz w:val="21"/>
                <w:szCs w:val="21"/>
              </w:rPr>
              <w:t xml:space="preserve"> </w:t>
            </w:r>
            <w:r w:rsidR="007E7E02" w:rsidRPr="0068488B">
              <w:rPr>
                <w:rFonts w:eastAsia="Times New Roman"/>
                <w:color w:val="333333"/>
                <w:sz w:val="21"/>
                <w:szCs w:val="21"/>
              </w:rPr>
              <w:t>(0.001, 0.009)</w:t>
            </w:r>
          </w:p>
        </w:tc>
      </w:tr>
      <w:tr w:rsidR="00CF1F51" w:rsidRPr="0068488B" w14:paraId="3271D3FC" w14:textId="77777777" w:rsidTr="006714FC">
        <w:trPr>
          <w:trHeight w:val="297"/>
        </w:trPr>
        <w:tc>
          <w:tcPr>
            <w:tcW w:w="2282" w:type="dxa"/>
            <w:shd w:val="clear" w:color="auto" w:fill="FFFFFF"/>
            <w:tcMar>
              <w:top w:w="0" w:type="dxa"/>
              <w:left w:w="0" w:type="dxa"/>
              <w:bottom w:w="0" w:type="dxa"/>
              <w:right w:w="0" w:type="dxa"/>
            </w:tcMar>
            <w:vAlign w:val="center"/>
            <w:hideMark/>
          </w:tcPr>
          <w:p w14:paraId="4F954C5C" w14:textId="23136C34" w:rsidR="00CF1F51" w:rsidRPr="0068488B" w:rsidRDefault="00CF1F51" w:rsidP="00CF1F51">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2D9F46AE" w14:textId="3B2ACC93" w:rsidR="00CF1F51" w:rsidRPr="0068488B" w:rsidRDefault="00CF1F51" w:rsidP="00CF1F51">
            <w:pPr>
              <w:jc w:val="center"/>
              <w:rPr>
                <w:rFonts w:eastAsia="Times New Roman"/>
                <w:color w:val="333333"/>
                <w:sz w:val="21"/>
                <w:szCs w:val="21"/>
              </w:rPr>
            </w:pPr>
          </w:p>
        </w:tc>
        <w:tc>
          <w:tcPr>
            <w:tcW w:w="2432" w:type="dxa"/>
            <w:shd w:val="clear" w:color="auto" w:fill="FFFFFF"/>
            <w:tcMar>
              <w:top w:w="0" w:type="dxa"/>
              <w:left w:w="0" w:type="dxa"/>
              <w:bottom w:w="0" w:type="dxa"/>
              <w:right w:w="0" w:type="dxa"/>
            </w:tcMar>
            <w:vAlign w:val="center"/>
            <w:hideMark/>
          </w:tcPr>
          <w:p w14:paraId="52675235" w14:textId="73F6FA64" w:rsidR="00CF1F51" w:rsidRPr="0068488B" w:rsidRDefault="00CF1F51" w:rsidP="00CF1F51">
            <w:pPr>
              <w:jc w:val="center"/>
              <w:rPr>
                <w:rFonts w:eastAsia="Times New Roman"/>
                <w:color w:val="333333"/>
                <w:sz w:val="21"/>
                <w:szCs w:val="21"/>
              </w:rPr>
            </w:pPr>
          </w:p>
        </w:tc>
        <w:tc>
          <w:tcPr>
            <w:tcW w:w="1691" w:type="dxa"/>
            <w:shd w:val="clear" w:color="auto" w:fill="FFFFFF"/>
            <w:tcMar>
              <w:top w:w="0" w:type="dxa"/>
              <w:left w:w="0" w:type="dxa"/>
              <w:bottom w:w="0" w:type="dxa"/>
              <w:right w:w="0" w:type="dxa"/>
            </w:tcMar>
            <w:vAlign w:val="center"/>
            <w:hideMark/>
          </w:tcPr>
          <w:p w14:paraId="60C9A2A7" w14:textId="64F0CA1C" w:rsidR="00CF1F51" w:rsidRPr="0068488B" w:rsidRDefault="00CF1F51" w:rsidP="00CF1F51">
            <w:pPr>
              <w:jc w:val="center"/>
              <w:rPr>
                <w:rFonts w:eastAsia="Times New Roman"/>
                <w:color w:val="333333"/>
                <w:sz w:val="21"/>
                <w:szCs w:val="21"/>
              </w:rPr>
            </w:pPr>
          </w:p>
        </w:tc>
      </w:tr>
      <w:tr w:rsidR="00CF1F51" w:rsidRPr="0068488B" w14:paraId="03C9F38D" w14:textId="77777777" w:rsidTr="006714FC">
        <w:trPr>
          <w:trHeight w:val="297"/>
        </w:trPr>
        <w:tc>
          <w:tcPr>
            <w:tcW w:w="2282" w:type="dxa"/>
            <w:shd w:val="clear" w:color="auto" w:fill="FFFFFF"/>
            <w:tcMar>
              <w:top w:w="0" w:type="dxa"/>
              <w:left w:w="0" w:type="dxa"/>
              <w:bottom w:w="0" w:type="dxa"/>
              <w:right w:w="0" w:type="dxa"/>
            </w:tcMar>
            <w:vAlign w:val="center"/>
          </w:tcPr>
          <w:p w14:paraId="53DE32ED" w14:textId="1C2E9C04" w:rsidR="00CF1F51" w:rsidRPr="0068488B" w:rsidRDefault="00CF1F51" w:rsidP="00CF1F51">
            <w:pPr>
              <w:rPr>
                <w:rFonts w:eastAsia="Times New Roman"/>
                <w:b/>
                <w:color w:val="333333"/>
                <w:sz w:val="21"/>
                <w:szCs w:val="21"/>
              </w:rPr>
            </w:pPr>
            <w:r w:rsidRPr="0068488B">
              <w:rPr>
                <w:rFonts w:eastAsia="Times New Roman"/>
                <w:b/>
                <w:color w:val="333333"/>
                <w:sz w:val="21"/>
                <w:szCs w:val="21"/>
              </w:rPr>
              <w:t>(B) Domain scores</w:t>
            </w:r>
          </w:p>
        </w:tc>
        <w:tc>
          <w:tcPr>
            <w:tcW w:w="2633" w:type="dxa"/>
            <w:shd w:val="clear" w:color="auto" w:fill="FFFFFF"/>
            <w:tcMar>
              <w:top w:w="0" w:type="dxa"/>
              <w:left w:w="0" w:type="dxa"/>
              <w:bottom w:w="0" w:type="dxa"/>
              <w:right w:w="0" w:type="dxa"/>
            </w:tcMar>
            <w:vAlign w:val="center"/>
          </w:tcPr>
          <w:p w14:paraId="0E5499C6" w14:textId="7726C70F" w:rsidR="00CF1F51" w:rsidRPr="0068488B" w:rsidRDefault="00CF1F51" w:rsidP="00CF1F51">
            <w:pPr>
              <w:jc w:val="center"/>
              <w:rPr>
                <w:rFonts w:eastAsia="Times New Roman"/>
                <w:color w:val="333333"/>
                <w:sz w:val="21"/>
                <w:szCs w:val="21"/>
              </w:rPr>
            </w:pPr>
          </w:p>
        </w:tc>
        <w:tc>
          <w:tcPr>
            <w:tcW w:w="2432" w:type="dxa"/>
            <w:shd w:val="clear" w:color="auto" w:fill="FFFFFF"/>
            <w:tcMar>
              <w:top w:w="0" w:type="dxa"/>
              <w:left w:w="0" w:type="dxa"/>
              <w:bottom w:w="0" w:type="dxa"/>
              <w:right w:w="0" w:type="dxa"/>
            </w:tcMar>
            <w:vAlign w:val="center"/>
          </w:tcPr>
          <w:p w14:paraId="5E9BF514" w14:textId="7C44D185" w:rsidR="00CF1F51" w:rsidRPr="0068488B" w:rsidRDefault="00CF1F51" w:rsidP="00CF1F51">
            <w:pPr>
              <w:jc w:val="center"/>
              <w:rPr>
                <w:rFonts w:eastAsia="Times New Roman"/>
                <w:color w:val="333333"/>
                <w:sz w:val="21"/>
                <w:szCs w:val="21"/>
              </w:rPr>
            </w:pPr>
          </w:p>
        </w:tc>
        <w:tc>
          <w:tcPr>
            <w:tcW w:w="1691" w:type="dxa"/>
            <w:shd w:val="clear" w:color="auto" w:fill="FFFFFF"/>
            <w:tcMar>
              <w:top w:w="0" w:type="dxa"/>
              <w:left w:w="0" w:type="dxa"/>
              <w:bottom w:w="0" w:type="dxa"/>
              <w:right w:w="0" w:type="dxa"/>
            </w:tcMar>
            <w:vAlign w:val="center"/>
          </w:tcPr>
          <w:p w14:paraId="2015EA4B" w14:textId="4252C463" w:rsidR="00CF1F51" w:rsidRPr="0068488B" w:rsidRDefault="00CF1F51" w:rsidP="00CF1F51">
            <w:pPr>
              <w:jc w:val="center"/>
              <w:rPr>
                <w:rFonts w:eastAsia="Times New Roman"/>
                <w:color w:val="333333"/>
                <w:sz w:val="21"/>
                <w:szCs w:val="21"/>
              </w:rPr>
            </w:pPr>
          </w:p>
        </w:tc>
      </w:tr>
      <w:tr w:rsidR="00CF1F51" w:rsidRPr="0068488B" w14:paraId="3CB4663F" w14:textId="77777777" w:rsidTr="006714FC">
        <w:tc>
          <w:tcPr>
            <w:tcW w:w="2282" w:type="dxa"/>
            <w:shd w:val="clear" w:color="auto" w:fill="FFFFFF"/>
            <w:tcMar>
              <w:top w:w="0" w:type="dxa"/>
              <w:left w:w="0" w:type="dxa"/>
              <w:bottom w:w="0" w:type="dxa"/>
              <w:right w:w="0" w:type="dxa"/>
            </w:tcMar>
            <w:vAlign w:val="center"/>
          </w:tcPr>
          <w:p w14:paraId="75911374" w14:textId="28C084B7" w:rsidR="00CF1F51" w:rsidRPr="0068488B" w:rsidRDefault="00CF1F51" w:rsidP="00CF1F51">
            <w:pPr>
              <w:rPr>
                <w:rFonts w:eastAsia="Times New Roman"/>
                <w:color w:val="333333"/>
                <w:sz w:val="21"/>
                <w:szCs w:val="21"/>
              </w:rPr>
            </w:pPr>
            <w:r w:rsidRPr="0068488B">
              <w:rPr>
                <w:rFonts w:eastAsia="Times New Roman"/>
                <w:color w:val="333333"/>
                <w:sz w:val="21"/>
                <w:szCs w:val="21"/>
              </w:rPr>
              <w:t>Health Domain</w:t>
            </w:r>
          </w:p>
        </w:tc>
        <w:tc>
          <w:tcPr>
            <w:tcW w:w="2633" w:type="dxa"/>
            <w:shd w:val="clear" w:color="auto" w:fill="FFFFFF"/>
            <w:tcMar>
              <w:top w:w="0" w:type="dxa"/>
              <w:left w:w="0" w:type="dxa"/>
              <w:bottom w:w="0" w:type="dxa"/>
              <w:right w:w="0" w:type="dxa"/>
            </w:tcMar>
            <w:vAlign w:val="center"/>
          </w:tcPr>
          <w:p w14:paraId="59A441EC" w14:textId="40EC0B2B" w:rsidR="00CF1F51" w:rsidRPr="0068488B" w:rsidRDefault="00CF1F51" w:rsidP="00CF1F51">
            <w:pPr>
              <w:jc w:val="center"/>
              <w:rPr>
                <w:rFonts w:eastAsia="Times New Roman"/>
                <w:sz w:val="20"/>
                <w:szCs w:val="20"/>
              </w:rPr>
            </w:pPr>
            <w:r w:rsidRPr="0068488B">
              <w:rPr>
                <w:rFonts w:eastAsia="Times New Roman"/>
                <w:color w:val="333333"/>
                <w:sz w:val="21"/>
                <w:szCs w:val="21"/>
              </w:rPr>
              <w:t>0.0</w:t>
            </w:r>
            <w:r w:rsidR="007E7E02" w:rsidRPr="0068488B">
              <w:rPr>
                <w:rFonts w:eastAsia="Times New Roman"/>
                <w:color w:val="333333"/>
                <w:sz w:val="21"/>
                <w:szCs w:val="21"/>
              </w:rPr>
              <w:t>15</w:t>
            </w:r>
            <w:r w:rsidR="000567AA" w:rsidRPr="0068488B">
              <w:rPr>
                <w:rFonts w:eastAsia="Times New Roman"/>
                <w:color w:val="333333"/>
                <w:sz w:val="21"/>
                <w:szCs w:val="21"/>
              </w:rPr>
              <w:t>***</w:t>
            </w:r>
          </w:p>
        </w:tc>
        <w:tc>
          <w:tcPr>
            <w:tcW w:w="2432" w:type="dxa"/>
            <w:shd w:val="clear" w:color="auto" w:fill="FFFFFF"/>
            <w:tcMar>
              <w:top w:w="0" w:type="dxa"/>
              <w:left w:w="0" w:type="dxa"/>
              <w:bottom w:w="0" w:type="dxa"/>
              <w:right w:w="0" w:type="dxa"/>
            </w:tcMar>
            <w:vAlign w:val="center"/>
          </w:tcPr>
          <w:p w14:paraId="0D81F372" w14:textId="53F0CF6A" w:rsidR="00CF1F51" w:rsidRPr="0068488B" w:rsidRDefault="00CF1F51" w:rsidP="00CF1F51">
            <w:pPr>
              <w:jc w:val="center"/>
              <w:rPr>
                <w:rFonts w:eastAsia="Times New Roman"/>
                <w:sz w:val="20"/>
                <w:szCs w:val="20"/>
              </w:rPr>
            </w:pPr>
            <w:r w:rsidRPr="0068488B">
              <w:rPr>
                <w:rFonts w:eastAsia="Times New Roman"/>
                <w:color w:val="333333"/>
                <w:sz w:val="21"/>
                <w:szCs w:val="21"/>
              </w:rPr>
              <w:t>-0.00</w:t>
            </w:r>
            <w:r w:rsidR="007E7E02" w:rsidRPr="0068488B">
              <w:rPr>
                <w:rFonts w:eastAsia="Times New Roman"/>
                <w:color w:val="333333"/>
                <w:sz w:val="21"/>
                <w:szCs w:val="21"/>
              </w:rPr>
              <w:t>6</w:t>
            </w:r>
            <w:r w:rsidR="000567AA" w:rsidRPr="0068488B">
              <w:rPr>
                <w:rFonts w:eastAsia="Times New Roman"/>
                <w:color w:val="333333"/>
                <w:sz w:val="21"/>
                <w:szCs w:val="21"/>
              </w:rPr>
              <w:t>**</w:t>
            </w:r>
          </w:p>
        </w:tc>
        <w:tc>
          <w:tcPr>
            <w:tcW w:w="1691" w:type="dxa"/>
            <w:shd w:val="clear" w:color="auto" w:fill="FFFFFF"/>
            <w:tcMar>
              <w:top w:w="0" w:type="dxa"/>
              <w:left w:w="0" w:type="dxa"/>
              <w:bottom w:w="0" w:type="dxa"/>
              <w:right w:w="0" w:type="dxa"/>
            </w:tcMar>
            <w:vAlign w:val="center"/>
          </w:tcPr>
          <w:p w14:paraId="4D6527CB" w14:textId="5BF5E861" w:rsidR="00CF1F51" w:rsidRPr="0068488B" w:rsidRDefault="007E7E02" w:rsidP="00CF1F51">
            <w:pPr>
              <w:jc w:val="center"/>
              <w:rPr>
                <w:rFonts w:eastAsia="Times New Roman"/>
                <w:sz w:val="20"/>
                <w:szCs w:val="20"/>
              </w:rPr>
            </w:pPr>
            <w:r w:rsidRPr="0068488B">
              <w:rPr>
                <w:rFonts w:eastAsia="Times New Roman"/>
                <w:color w:val="333333"/>
                <w:sz w:val="21"/>
                <w:szCs w:val="21"/>
              </w:rPr>
              <w:t>-0.00</w:t>
            </w:r>
            <w:r w:rsidR="000567AA" w:rsidRPr="0068488B">
              <w:rPr>
                <w:rFonts w:eastAsia="Times New Roman"/>
                <w:color w:val="333333"/>
                <w:sz w:val="21"/>
                <w:szCs w:val="21"/>
              </w:rPr>
              <w:t>2*</w:t>
            </w:r>
            <w:r w:rsidR="0029272B" w:rsidRPr="0068488B">
              <w:rPr>
                <w:rFonts w:eastAsia="Times New Roman"/>
                <w:color w:val="333333"/>
                <w:sz w:val="21"/>
                <w:szCs w:val="21"/>
              </w:rPr>
              <w:t xml:space="preserve"> </w:t>
            </w:r>
          </w:p>
        </w:tc>
      </w:tr>
      <w:tr w:rsidR="00CF1F51" w:rsidRPr="0068488B" w14:paraId="226884A3" w14:textId="77777777" w:rsidTr="006714FC">
        <w:tc>
          <w:tcPr>
            <w:tcW w:w="2282" w:type="dxa"/>
            <w:shd w:val="clear" w:color="auto" w:fill="FFFFFF"/>
            <w:tcMar>
              <w:top w:w="0" w:type="dxa"/>
              <w:left w:w="0" w:type="dxa"/>
              <w:bottom w:w="0" w:type="dxa"/>
              <w:right w:w="0" w:type="dxa"/>
            </w:tcMar>
            <w:vAlign w:val="center"/>
            <w:hideMark/>
          </w:tcPr>
          <w:p w14:paraId="00B53AF5" w14:textId="14668326" w:rsidR="00CF1F51" w:rsidRPr="0068488B" w:rsidRDefault="00CF1F51" w:rsidP="00CF1F51">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43A378E2" w14:textId="07CB22BF" w:rsidR="00CF1F51" w:rsidRPr="0068488B" w:rsidRDefault="007E7E02" w:rsidP="00CF1F51">
            <w:pPr>
              <w:jc w:val="center"/>
              <w:rPr>
                <w:rFonts w:eastAsia="Times New Roman"/>
                <w:color w:val="333333"/>
                <w:sz w:val="21"/>
                <w:szCs w:val="21"/>
              </w:rPr>
            </w:pPr>
            <w:r w:rsidRPr="0068488B">
              <w:rPr>
                <w:rFonts w:eastAsia="Times New Roman"/>
                <w:color w:val="333333"/>
                <w:sz w:val="21"/>
                <w:szCs w:val="21"/>
              </w:rPr>
              <w:t>(0.008, 0.022</w:t>
            </w:r>
            <w:r w:rsidR="00CF1F51" w:rsidRPr="0068488B">
              <w:rPr>
                <w:rFonts w:eastAsia="Times New Roman"/>
                <w:color w:val="333333"/>
                <w:sz w:val="21"/>
                <w:szCs w:val="21"/>
              </w:rPr>
              <w:t>)</w:t>
            </w:r>
          </w:p>
        </w:tc>
        <w:tc>
          <w:tcPr>
            <w:tcW w:w="2432" w:type="dxa"/>
            <w:shd w:val="clear" w:color="auto" w:fill="FFFFFF"/>
            <w:tcMar>
              <w:top w:w="0" w:type="dxa"/>
              <w:left w:w="0" w:type="dxa"/>
              <w:bottom w:w="0" w:type="dxa"/>
              <w:right w:w="0" w:type="dxa"/>
            </w:tcMar>
            <w:vAlign w:val="center"/>
            <w:hideMark/>
          </w:tcPr>
          <w:p w14:paraId="71615290" w14:textId="2CFCE453" w:rsidR="00CF1F51" w:rsidRPr="0068488B" w:rsidRDefault="007E7E02" w:rsidP="00CF1F51">
            <w:pPr>
              <w:jc w:val="center"/>
              <w:rPr>
                <w:rFonts w:eastAsia="Times New Roman"/>
                <w:color w:val="333333"/>
                <w:sz w:val="21"/>
                <w:szCs w:val="21"/>
              </w:rPr>
            </w:pPr>
            <w:r w:rsidRPr="0068488B">
              <w:rPr>
                <w:rFonts w:eastAsia="Times New Roman"/>
                <w:color w:val="333333"/>
                <w:sz w:val="21"/>
                <w:szCs w:val="21"/>
              </w:rPr>
              <w:t>(-0.009, -0.002</w:t>
            </w:r>
            <w:r w:rsidR="00CF1F51" w:rsidRPr="0068488B">
              <w:rPr>
                <w:rFonts w:eastAsia="Times New Roman"/>
                <w:color w:val="333333"/>
                <w:sz w:val="21"/>
                <w:szCs w:val="21"/>
              </w:rPr>
              <w:t>)</w:t>
            </w:r>
          </w:p>
        </w:tc>
        <w:tc>
          <w:tcPr>
            <w:tcW w:w="1691" w:type="dxa"/>
            <w:shd w:val="clear" w:color="auto" w:fill="FFFFFF"/>
            <w:tcMar>
              <w:top w:w="0" w:type="dxa"/>
              <w:left w:w="0" w:type="dxa"/>
              <w:bottom w:w="0" w:type="dxa"/>
              <w:right w:w="0" w:type="dxa"/>
            </w:tcMar>
            <w:vAlign w:val="center"/>
            <w:hideMark/>
          </w:tcPr>
          <w:p w14:paraId="3DA94929" w14:textId="03E0BF03" w:rsidR="00CF1F51" w:rsidRPr="0068488B" w:rsidRDefault="0029272B" w:rsidP="00CF1F51">
            <w:pPr>
              <w:jc w:val="center"/>
              <w:rPr>
                <w:rFonts w:eastAsia="Times New Roman"/>
                <w:color w:val="333333"/>
                <w:sz w:val="21"/>
                <w:szCs w:val="21"/>
              </w:rPr>
            </w:pPr>
            <w:r w:rsidRPr="0068488B">
              <w:rPr>
                <w:rFonts w:eastAsia="Times New Roman"/>
                <w:color w:val="333333"/>
                <w:sz w:val="21"/>
                <w:szCs w:val="21"/>
              </w:rPr>
              <w:t xml:space="preserve"> </w:t>
            </w:r>
            <w:r w:rsidR="007E7E02" w:rsidRPr="0068488B">
              <w:rPr>
                <w:rFonts w:eastAsia="Times New Roman"/>
                <w:color w:val="333333"/>
                <w:sz w:val="21"/>
                <w:szCs w:val="21"/>
              </w:rPr>
              <w:t>(-0.004, -0.0002)</w:t>
            </w:r>
          </w:p>
        </w:tc>
      </w:tr>
      <w:tr w:rsidR="00CF1F51" w:rsidRPr="0068488B" w14:paraId="236F1CEE" w14:textId="77777777" w:rsidTr="006714FC">
        <w:tc>
          <w:tcPr>
            <w:tcW w:w="2282" w:type="dxa"/>
            <w:shd w:val="clear" w:color="auto" w:fill="FFFFFF"/>
            <w:tcMar>
              <w:top w:w="0" w:type="dxa"/>
              <w:left w:w="0" w:type="dxa"/>
              <w:bottom w:w="0" w:type="dxa"/>
              <w:right w:w="0" w:type="dxa"/>
            </w:tcMar>
            <w:vAlign w:val="center"/>
            <w:hideMark/>
          </w:tcPr>
          <w:p w14:paraId="1EB5136B" w14:textId="77777777" w:rsidR="00CF1F51" w:rsidRPr="0068488B" w:rsidRDefault="00CF1F51" w:rsidP="00CF1F51">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23B6BE2C" w14:textId="24609E9C" w:rsidR="00CF1F51" w:rsidRPr="0068488B" w:rsidRDefault="00CF1F51" w:rsidP="00CF1F51">
            <w:pPr>
              <w:jc w:val="center"/>
              <w:rPr>
                <w:rFonts w:eastAsia="Times New Roman"/>
                <w:color w:val="333333"/>
                <w:sz w:val="21"/>
                <w:szCs w:val="21"/>
              </w:rPr>
            </w:pPr>
          </w:p>
        </w:tc>
        <w:tc>
          <w:tcPr>
            <w:tcW w:w="2432" w:type="dxa"/>
            <w:shd w:val="clear" w:color="auto" w:fill="FFFFFF"/>
            <w:tcMar>
              <w:top w:w="0" w:type="dxa"/>
              <w:left w:w="0" w:type="dxa"/>
              <w:bottom w:w="0" w:type="dxa"/>
              <w:right w:w="0" w:type="dxa"/>
            </w:tcMar>
            <w:vAlign w:val="center"/>
            <w:hideMark/>
          </w:tcPr>
          <w:p w14:paraId="34AA70B5" w14:textId="29B19D84" w:rsidR="00CF1F51" w:rsidRPr="0068488B" w:rsidRDefault="00CF1F51" w:rsidP="00CF1F51">
            <w:pPr>
              <w:jc w:val="center"/>
              <w:rPr>
                <w:rFonts w:eastAsia="Times New Roman"/>
                <w:color w:val="333333"/>
                <w:sz w:val="21"/>
                <w:szCs w:val="21"/>
              </w:rPr>
            </w:pPr>
          </w:p>
        </w:tc>
        <w:tc>
          <w:tcPr>
            <w:tcW w:w="1691" w:type="dxa"/>
            <w:shd w:val="clear" w:color="auto" w:fill="FFFFFF"/>
            <w:tcMar>
              <w:top w:w="0" w:type="dxa"/>
              <w:left w:w="0" w:type="dxa"/>
              <w:bottom w:w="0" w:type="dxa"/>
              <w:right w:w="0" w:type="dxa"/>
            </w:tcMar>
            <w:vAlign w:val="center"/>
            <w:hideMark/>
          </w:tcPr>
          <w:p w14:paraId="09B2979D" w14:textId="1DF49870" w:rsidR="00CF1F51" w:rsidRPr="0068488B" w:rsidRDefault="00CF1F51" w:rsidP="00CF1F51">
            <w:pPr>
              <w:jc w:val="center"/>
              <w:rPr>
                <w:rFonts w:eastAsia="Times New Roman"/>
                <w:color w:val="333333"/>
                <w:sz w:val="21"/>
                <w:szCs w:val="21"/>
              </w:rPr>
            </w:pPr>
          </w:p>
        </w:tc>
      </w:tr>
      <w:tr w:rsidR="00CF1F51" w:rsidRPr="0068488B" w14:paraId="2097D2F8" w14:textId="77777777" w:rsidTr="006714FC">
        <w:tc>
          <w:tcPr>
            <w:tcW w:w="2282" w:type="dxa"/>
            <w:shd w:val="clear" w:color="auto" w:fill="FFFFFF"/>
            <w:tcMar>
              <w:top w:w="0" w:type="dxa"/>
              <w:left w:w="0" w:type="dxa"/>
              <w:bottom w:w="0" w:type="dxa"/>
              <w:right w:w="0" w:type="dxa"/>
            </w:tcMar>
            <w:vAlign w:val="center"/>
            <w:hideMark/>
          </w:tcPr>
          <w:p w14:paraId="78B5A775" w14:textId="4B88BF1A" w:rsidR="00CF1F51" w:rsidRPr="0068488B" w:rsidRDefault="00CF1F51" w:rsidP="00CF1F51">
            <w:pPr>
              <w:rPr>
                <w:rFonts w:eastAsia="Times New Roman"/>
                <w:color w:val="333333"/>
                <w:sz w:val="21"/>
                <w:szCs w:val="21"/>
              </w:rPr>
            </w:pPr>
            <w:r w:rsidRPr="0068488B">
              <w:rPr>
                <w:rFonts w:eastAsia="Times New Roman"/>
                <w:color w:val="333333"/>
                <w:sz w:val="21"/>
                <w:szCs w:val="21"/>
              </w:rPr>
              <w:t>Environment Domain</w:t>
            </w:r>
          </w:p>
        </w:tc>
        <w:tc>
          <w:tcPr>
            <w:tcW w:w="2633" w:type="dxa"/>
            <w:shd w:val="clear" w:color="auto" w:fill="FFFFFF"/>
            <w:tcMar>
              <w:top w:w="0" w:type="dxa"/>
              <w:left w:w="0" w:type="dxa"/>
              <w:bottom w:w="0" w:type="dxa"/>
              <w:right w:w="0" w:type="dxa"/>
            </w:tcMar>
            <w:vAlign w:val="center"/>
            <w:hideMark/>
          </w:tcPr>
          <w:p w14:paraId="6BE61AE7" w14:textId="5C9EAA7E" w:rsidR="00CF1F51" w:rsidRPr="0068488B" w:rsidRDefault="007E7E02" w:rsidP="00CF1F51">
            <w:pPr>
              <w:jc w:val="center"/>
              <w:rPr>
                <w:rFonts w:eastAsia="Times New Roman"/>
                <w:sz w:val="20"/>
                <w:szCs w:val="20"/>
              </w:rPr>
            </w:pPr>
            <w:r w:rsidRPr="0068488B">
              <w:rPr>
                <w:rFonts w:eastAsia="Times New Roman"/>
                <w:color w:val="333333"/>
                <w:sz w:val="21"/>
                <w:szCs w:val="21"/>
              </w:rPr>
              <w:t>-0.007</w:t>
            </w:r>
            <w:r w:rsidR="000567AA" w:rsidRPr="0068488B">
              <w:rPr>
                <w:rFonts w:eastAsia="Times New Roman"/>
                <w:color w:val="333333"/>
                <w:sz w:val="21"/>
                <w:szCs w:val="21"/>
              </w:rPr>
              <w:t>*</w:t>
            </w:r>
          </w:p>
        </w:tc>
        <w:tc>
          <w:tcPr>
            <w:tcW w:w="2432" w:type="dxa"/>
            <w:shd w:val="clear" w:color="auto" w:fill="FFFFFF"/>
            <w:tcMar>
              <w:top w:w="0" w:type="dxa"/>
              <w:left w:w="0" w:type="dxa"/>
              <w:bottom w:w="0" w:type="dxa"/>
              <w:right w:w="0" w:type="dxa"/>
            </w:tcMar>
            <w:vAlign w:val="center"/>
            <w:hideMark/>
          </w:tcPr>
          <w:p w14:paraId="75A3033B" w14:textId="252A023A" w:rsidR="00CF1F51" w:rsidRPr="0068488B" w:rsidRDefault="00CF1F51" w:rsidP="00CF1F51">
            <w:pPr>
              <w:jc w:val="center"/>
              <w:rPr>
                <w:rFonts w:eastAsia="Times New Roman"/>
                <w:sz w:val="20"/>
                <w:szCs w:val="20"/>
              </w:rPr>
            </w:pPr>
            <w:r w:rsidRPr="0068488B">
              <w:rPr>
                <w:rFonts w:eastAsia="Times New Roman"/>
                <w:color w:val="333333"/>
                <w:sz w:val="21"/>
                <w:szCs w:val="21"/>
              </w:rPr>
              <w:t>0.00</w:t>
            </w:r>
            <w:r w:rsidR="000567AA" w:rsidRPr="0068488B">
              <w:rPr>
                <w:rFonts w:eastAsia="Times New Roman"/>
                <w:color w:val="333333"/>
                <w:sz w:val="21"/>
                <w:szCs w:val="21"/>
              </w:rPr>
              <w:t>3</w:t>
            </w:r>
          </w:p>
        </w:tc>
        <w:tc>
          <w:tcPr>
            <w:tcW w:w="1691" w:type="dxa"/>
            <w:shd w:val="clear" w:color="auto" w:fill="FFFFFF"/>
            <w:tcMar>
              <w:top w:w="0" w:type="dxa"/>
              <w:left w:w="0" w:type="dxa"/>
              <w:bottom w:w="0" w:type="dxa"/>
              <w:right w:w="0" w:type="dxa"/>
            </w:tcMar>
            <w:vAlign w:val="center"/>
            <w:hideMark/>
          </w:tcPr>
          <w:p w14:paraId="09BFDD42" w14:textId="4E2B5728" w:rsidR="00CF1F51" w:rsidRPr="0068488B" w:rsidRDefault="0029272B" w:rsidP="00CF1F51">
            <w:pPr>
              <w:jc w:val="center"/>
              <w:rPr>
                <w:rFonts w:eastAsia="Times New Roman"/>
                <w:sz w:val="20"/>
                <w:szCs w:val="20"/>
              </w:rPr>
            </w:pPr>
            <w:r w:rsidRPr="0068488B">
              <w:rPr>
                <w:rFonts w:eastAsia="Times New Roman"/>
                <w:color w:val="333333"/>
                <w:sz w:val="21"/>
                <w:szCs w:val="21"/>
              </w:rPr>
              <w:t xml:space="preserve"> </w:t>
            </w:r>
            <w:r w:rsidR="007E7E02" w:rsidRPr="0068488B">
              <w:rPr>
                <w:rFonts w:eastAsia="Times New Roman"/>
                <w:color w:val="333333"/>
                <w:sz w:val="21"/>
                <w:szCs w:val="21"/>
              </w:rPr>
              <w:t>0.00</w:t>
            </w:r>
            <w:r w:rsidR="000567AA" w:rsidRPr="0068488B">
              <w:rPr>
                <w:rFonts w:eastAsia="Times New Roman"/>
                <w:color w:val="333333"/>
                <w:sz w:val="21"/>
                <w:szCs w:val="21"/>
              </w:rPr>
              <w:t>2</w:t>
            </w:r>
          </w:p>
        </w:tc>
      </w:tr>
      <w:tr w:rsidR="00CF1F51" w:rsidRPr="0068488B" w14:paraId="1C034F21" w14:textId="77777777" w:rsidTr="006714FC">
        <w:tc>
          <w:tcPr>
            <w:tcW w:w="2282" w:type="dxa"/>
            <w:shd w:val="clear" w:color="auto" w:fill="FFFFFF"/>
            <w:tcMar>
              <w:top w:w="0" w:type="dxa"/>
              <w:left w:w="0" w:type="dxa"/>
              <w:bottom w:w="0" w:type="dxa"/>
              <w:right w:w="0" w:type="dxa"/>
            </w:tcMar>
            <w:vAlign w:val="center"/>
            <w:hideMark/>
          </w:tcPr>
          <w:p w14:paraId="7B852B16" w14:textId="1D671EDD" w:rsidR="00CF1F51" w:rsidRPr="0068488B" w:rsidRDefault="00CF1F51" w:rsidP="00CF1F51">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3ED2F7A2" w14:textId="3C730F98" w:rsidR="00CF1F51" w:rsidRPr="0068488B" w:rsidRDefault="007E7E02" w:rsidP="00CF1F51">
            <w:pPr>
              <w:jc w:val="center"/>
              <w:rPr>
                <w:rFonts w:eastAsia="Times New Roman"/>
                <w:color w:val="333333"/>
                <w:sz w:val="21"/>
                <w:szCs w:val="21"/>
              </w:rPr>
            </w:pPr>
            <w:r w:rsidRPr="0068488B">
              <w:rPr>
                <w:rFonts w:eastAsia="Times New Roman"/>
                <w:color w:val="333333"/>
                <w:sz w:val="21"/>
                <w:szCs w:val="21"/>
              </w:rPr>
              <w:t>(-0.013, -0.001</w:t>
            </w:r>
            <w:r w:rsidR="00CF1F51" w:rsidRPr="0068488B">
              <w:rPr>
                <w:rFonts w:eastAsia="Times New Roman"/>
                <w:color w:val="333333"/>
                <w:sz w:val="21"/>
                <w:szCs w:val="21"/>
              </w:rPr>
              <w:t>)</w:t>
            </w:r>
          </w:p>
        </w:tc>
        <w:tc>
          <w:tcPr>
            <w:tcW w:w="2432" w:type="dxa"/>
            <w:shd w:val="clear" w:color="auto" w:fill="FFFFFF"/>
            <w:tcMar>
              <w:top w:w="0" w:type="dxa"/>
              <w:left w:w="0" w:type="dxa"/>
              <w:bottom w:w="0" w:type="dxa"/>
              <w:right w:w="0" w:type="dxa"/>
            </w:tcMar>
            <w:vAlign w:val="center"/>
            <w:hideMark/>
          </w:tcPr>
          <w:p w14:paraId="3E72D971" w14:textId="1B15C7A3" w:rsidR="00CF1F51" w:rsidRPr="0068488B" w:rsidRDefault="007E7E02" w:rsidP="00CF1F51">
            <w:pPr>
              <w:jc w:val="center"/>
              <w:rPr>
                <w:rFonts w:eastAsia="Times New Roman"/>
                <w:color w:val="333333"/>
                <w:sz w:val="21"/>
                <w:szCs w:val="21"/>
              </w:rPr>
            </w:pPr>
            <w:r w:rsidRPr="0068488B">
              <w:rPr>
                <w:rFonts w:eastAsia="Times New Roman"/>
                <w:color w:val="333333"/>
                <w:sz w:val="21"/>
                <w:szCs w:val="21"/>
              </w:rPr>
              <w:t>(-0.001, 0.006</w:t>
            </w:r>
            <w:r w:rsidR="00CF1F51" w:rsidRPr="0068488B">
              <w:rPr>
                <w:rFonts w:eastAsia="Times New Roman"/>
                <w:color w:val="333333"/>
                <w:sz w:val="21"/>
                <w:szCs w:val="21"/>
              </w:rPr>
              <w:t>)</w:t>
            </w:r>
          </w:p>
        </w:tc>
        <w:tc>
          <w:tcPr>
            <w:tcW w:w="1691" w:type="dxa"/>
            <w:shd w:val="clear" w:color="auto" w:fill="FFFFFF"/>
            <w:tcMar>
              <w:top w:w="0" w:type="dxa"/>
              <w:left w:w="0" w:type="dxa"/>
              <w:bottom w:w="0" w:type="dxa"/>
              <w:right w:w="0" w:type="dxa"/>
            </w:tcMar>
            <w:vAlign w:val="center"/>
            <w:hideMark/>
          </w:tcPr>
          <w:p w14:paraId="570CAADA" w14:textId="6FBB88F2" w:rsidR="00CF1F51" w:rsidRPr="0068488B" w:rsidRDefault="0029272B" w:rsidP="00CF1F51">
            <w:pPr>
              <w:jc w:val="center"/>
              <w:rPr>
                <w:rFonts w:eastAsia="Times New Roman"/>
                <w:color w:val="333333"/>
                <w:sz w:val="21"/>
                <w:szCs w:val="21"/>
              </w:rPr>
            </w:pPr>
            <w:r w:rsidRPr="0068488B">
              <w:rPr>
                <w:rFonts w:eastAsia="Times New Roman"/>
                <w:color w:val="333333"/>
                <w:sz w:val="21"/>
                <w:szCs w:val="21"/>
              </w:rPr>
              <w:t xml:space="preserve"> </w:t>
            </w:r>
            <w:r w:rsidR="007E7E02" w:rsidRPr="0068488B">
              <w:rPr>
                <w:rFonts w:eastAsia="Times New Roman"/>
                <w:color w:val="333333"/>
                <w:sz w:val="21"/>
                <w:szCs w:val="21"/>
              </w:rPr>
              <w:t>(-0.0001, 0.004)</w:t>
            </w:r>
          </w:p>
        </w:tc>
      </w:tr>
      <w:tr w:rsidR="00CF1F51" w:rsidRPr="0068488B" w14:paraId="50D18E3B" w14:textId="77777777" w:rsidTr="006714FC">
        <w:tc>
          <w:tcPr>
            <w:tcW w:w="2282" w:type="dxa"/>
            <w:shd w:val="clear" w:color="auto" w:fill="FFFFFF"/>
            <w:tcMar>
              <w:top w:w="0" w:type="dxa"/>
              <w:left w:w="0" w:type="dxa"/>
              <w:bottom w:w="0" w:type="dxa"/>
              <w:right w:w="0" w:type="dxa"/>
            </w:tcMar>
            <w:vAlign w:val="center"/>
            <w:hideMark/>
          </w:tcPr>
          <w:p w14:paraId="45FF67F9" w14:textId="77777777" w:rsidR="00CF1F51" w:rsidRPr="0068488B" w:rsidRDefault="00CF1F51" w:rsidP="00CF1F51">
            <w:pPr>
              <w:rPr>
                <w:rFonts w:eastAsia="Times New Roman"/>
                <w:color w:val="333333"/>
                <w:sz w:val="21"/>
                <w:szCs w:val="21"/>
              </w:rPr>
            </w:pPr>
          </w:p>
        </w:tc>
        <w:tc>
          <w:tcPr>
            <w:tcW w:w="2633" w:type="dxa"/>
            <w:shd w:val="clear" w:color="auto" w:fill="FFFFFF"/>
            <w:tcMar>
              <w:top w:w="0" w:type="dxa"/>
              <w:left w:w="0" w:type="dxa"/>
              <w:bottom w:w="0" w:type="dxa"/>
              <w:right w:w="0" w:type="dxa"/>
            </w:tcMar>
            <w:vAlign w:val="center"/>
            <w:hideMark/>
          </w:tcPr>
          <w:p w14:paraId="7244A421" w14:textId="76FEFBE5" w:rsidR="00CF1F51" w:rsidRPr="0068488B" w:rsidRDefault="00CF1F51" w:rsidP="00CF1F51">
            <w:pPr>
              <w:jc w:val="center"/>
              <w:rPr>
                <w:rFonts w:eastAsia="Times New Roman"/>
                <w:color w:val="333333"/>
                <w:sz w:val="21"/>
                <w:szCs w:val="21"/>
              </w:rPr>
            </w:pPr>
          </w:p>
        </w:tc>
        <w:tc>
          <w:tcPr>
            <w:tcW w:w="2432" w:type="dxa"/>
            <w:shd w:val="clear" w:color="auto" w:fill="FFFFFF"/>
            <w:tcMar>
              <w:top w:w="0" w:type="dxa"/>
              <w:left w:w="0" w:type="dxa"/>
              <w:bottom w:w="0" w:type="dxa"/>
              <w:right w:w="0" w:type="dxa"/>
            </w:tcMar>
            <w:vAlign w:val="center"/>
            <w:hideMark/>
          </w:tcPr>
          <w:p w14:paraId="4E597CAD" w14:textId="2F126EA3" w:rsidR="00CF1F51" w:rsidRPr="0068488B" w:rsidRDefault="00CF1F51" w:rsidP="00CF1F51">
            <w:pPr>
              <w:jc w:val="center"/>
              <w:rPr>
                <w:rFonts w:eastAsia="Times New Roman"/>
                <w:color w:val="333333"/>
                <w:sz w:val="21"/>
                <w:szCs w:val="21"/>
              </w:rPr>
            </w:pPr>
          </w:p>
        </w:tc>
        <w:tc>
          <w:tcPr>
            <w:tcW w:w="1691" w:type="dxa"/>
            <w:shd w:val="clear" w:color="auto" w:fill="FFFFFF"/>
            <w:tcMar>
              <w:top w:w="0" w:type="dxa"/>
              <w:left w:w="0" w:type="dxa"/>
              <w:bottom w:w="0" w:type="dxa"/>
              <w:right w:w="0" w:type="dxa"/>
            </w:tcMar>
            <w:vAlign w:val="center"/>
            <w:hideMark/>
          </w:tcPr>
          <w:p w14:paraId="5A10C7E5" w14:textId="712B3329" w:rsidR="00CF1F51" w:rsidRPr="0068488B" w:rsidRDefault="00CF1F51" w:rsidP="00CF1F51">
            <w:pPr>
              <w:jc w:val="center"/>
              <w:rPr>
                <w:rFonts w:eastAsia="Times New Roman"/>
                <w:color w:val="333333"/>
                <w:sz w:val="21"/>
                <w:szCs w:val="21"/>
              </w:rPr>
            </w:pPr>
          </w:p>
        </w:tc>
      </w:tr>
      <w:tr w:rsidR="00CF1F51" w:rsidRPr="0068488B" w14:paraId="1C6A8532" w14:textId="77777777" w:rsidTr="006714FC">
        <w:tc>
          <w:tcPr>
            <w:tcW w:w="2282" w:type="dxa"/>
            <w:shd w:val="clear" w:color="auto" w:fill="FFFFFF"/>
            <w:tcMar>
              <w:top w:w="0" w:type="dxa"/>
              <w:left w:w="0" w:type="dxa"/>
              <w:bottom w:w="0" w:type="dxa"/>
              <w:right w:w="0" w:type="dxa"/>
            </w:tcMar>
            <w:vAlign w:val="center"/>
            <w:hideMark/>
          </w:tcPr>
          <w:p w14:paraId="124A58CF" w14:textId="2156A4D5" w:rsidR="00CF1F51" w:rsidRPr="0068488B" w:rsidRDefault="00CF1F51" w:rsidP="00CF1F51">
            <w:pPr>
              <w:rPr>
                <w:rFonts w:eastAsia="Times New Roman"/>
                <w:color w:val="333333"/>
                <w:sz w:val="21"/>
                <w:szCs w:val="21"/>
              </w:rPr>
            </w:pPr>
            <w:r w:rsidRPr="0068488B">
              <w:rPr>
                <w:rFonts w:eastAsia="Times New Roman"/>
                <w:color w:val="333333"/>
                <w:sz w:val="21"/>
                <w:szCs w:val="21"/>
              </w:rPr>
              <w:t>Retail Domain</w:t>
            </w:r>
          </w:p>
        </w:tc>
        <w:tc>
          <w:tcPr>
            <w:tcW w:w="2633" w:type="dxa"/>
            <w:shd w:val="clear" w:color="auto" w:fill="FFFFFF"/>
            <w:tcMar>
              <w:top w:w="0" w:type="dxa"/>
              <w:left w:w="0" w:type="dxa"/>
              <w:bottom w:w="0" w:type="dxa"/>
              <w:right w:w="0" w:type="dxa"/>
            </w:tcMar>
            <w:vAlign w:val="center"/>
            <w:hideMark/>
          </w:tcPr>
          <w:p w14:paraId="493DBBD7" w14:textId="132D845C" w:rsidR="00CF1F51" w:rsidRPr="0068488B" w:rsidRDefault="007E7E02" w:rsidP="00CF1F51">
            <w:pPr>
              <w:jc w:val="center"/>
              <w:rPr>
                <w:rFonts w:eastAsia="Times New Roman"/>
                <w:sz w:val="20"/>
                <w:szCs w:val="20"/>
              </w:rPr>
            </w:pPr>
            <w:r w:rsidRPr="0068488B">
              <w:rPr>
                <w:rFonts w:eastAsia="Times New Roman"/>
                <w:color w:val="333333"/>
                <w:sz w:val="21"/>
                <w:szCs w:val="21"/>
              </w:rPr>
              <w:t>-0.015</w:t>
            </w:r>
            <w:r w:rsidR="000567AA" w:rsidRPr="0068488B">
              <w:rPr>
                <w:rFonts w:eastAsia="Times New Roman"/>
                <w:color w:val="333333"/>
                <w:sz w:val="21"/>
                <w:szCs w:val="21"/>
              </w:rPr>
              <w:t>***</w:t>
            </w:r>
          </w:p>
        </w:tc>
        <w:tc>
          <w:tcPr>
            <w:tcW w:w="2432" w:type="dxa"/>
            <w:shd w:val="clear" w:color="auto" w:fill="FFFFFF"/>
            <w:tcMar>
              <w:top w:w="0" w:type="dxa"/>
              <w:left w:w="0" w:type="dxa"/>
              <w:bottom w:w="0" w:type="dxa"/>
              <w:right w:w="0" w:type="dxa"/>
            </w:tcMar>
            <w:vAlign w:val="center"/>
            <w:hideMark/>
          </w:tcPr>
          <w:p w14:paraId="605BFB40" w14:textId="4C6487AD" w:rsidR="00CF1F51" w:rsidRPr="0068488B" w:rsidRDefault="00CF1F51" w:rsidP="00CF1F51">
            <w:pPr>
              <w:jc w:val="center"/>
              <w:rPr>
                <w:rFonts w:eastAsia="Times New Roman"/>
                <w:sz w:val="20"/>
                <w:szCs w:val="20"/>
              </w:rPr>
            </w:pPr>
            <w:r w:rsidRPr="0068488B">
              <w:rPr>
                <w:rFonts w:eastAsia="Times New Roman"/>
                <w:color w:val="333333"/>
                <w:sz w:val="21"/>
                <w:szCs w:val="21"/>
              </w:rPr>
              <w:t>0.00</w:t>
            </w:r>
            <w:r w:rsidR="007E7E02" w:rsidRPr="0068488B">
              <w:rPr>
                <w:rFonts w:eastAsia="Times New Roman"/>
                <w:color w:val="333333"/>
                <w:sz w:val="21"/>
                <w:szCs w:val="21"/>
              </w:rPr>
              <w:t>5</w:t>
            </w:r>
            <w:r w:rsidR="000567AA" w:rsidRPr="0068488B">
              <w:rPr>
                <w:rFonts w:eastAsia="Times New Roman"/>
                <w:color w:val="333333"/>
                <w:sz w:val="21"/>
                <w:szCs w:val="21"/>
              </w:rPr>
              <w:t>*</w:t>
            </w:r>
          </w:p>
        </w:tc>
        <w:tc>
          <w:tcPr>
            <w:tcW w:w="1691" w:type="dxa"/>
            <w:shd w:val="clear" w:color="auto" w:fill="FFFFFF"/>
            <w:tcMar>
              <w:top w:w="0" w:type="dxa"/>
              <w:left w:w="0" w:type="dxa"/>
              <w:bottom w:w="0" w:type="dxa"/>
              <w:right w:w="0" w:type="dxa"/>
            </w:tcMar>
            <w:vAlign w:val="center"/>
            <w:hideMark/>
          </w:tcPr>
          <w:p w14:paraId="43C29F6A" w14:textId="23665977" w:rsidR="00CF1F51" w:rsidRPr="0068488B" w:rsidRDefault="0029272B" w:rsidP="00CF1F51">
            <w:pPr>
              <w:jc w:val="center"/>
              <w:rPr>
                <w:rFonts w:eastAsia="Times New Roman"/>
                <w:sz w:val="20"/>
                <w:szCs w:val="20"/>
              </w:rPr>
            </w:pPr>
            <w:r w:rsidRPr="0068488B">
              <w:rPr>
                <w:rFonts w:eastAsia="Times New Roman"/>
                <w:color w:val="333333"/>
                <w:sz w:val="21"/>
                <w:szCs w:val="21"/>
              </w:rPr>
              <w:t xml:space="preserve"> </w:t>
            </w:r>
            <w:r w:rsidR="007E7E02" w:rsidRPr="0068488B">
              <w:rPr>
                <w:rFonts w:eastAsia="Times New Roman"/>
                <w:color w:val="333333"/>
                <w:sz w:val="21"/>
                <w:szCs w:val="21"/>
              </w:rPr>
              <w:t>0.00</w:t>
            </w:r>
            <w:r w:rsidR="000567AA" w:rsidRPr="0068488B">
              <w:rPr>
                <w:rFonts w:eastAsia="Times New Roman"/>
                <w:color w:val="333333"/>
                <w:sz w:val="21"/>
                <w:szCs w:val="21"/>
              </w:rPr>
              <w:t>2*</w:t>
            </w:r>
          </w:p>
        </w:tc>
      </w:tr>
      <w:tr w:rsidR="00CF1F51" w:rsidRPr="0068488B" w14:paraId="181F991B" w14:textId="77777777" w:rsidTr="006714FC">
        <w:tc>
          <w:tcPr>
            <w:tcW w:w="2282" w:type="dxa"/>
            <w:tcBorders>
              <w:bottom w:val="single" w:sz="4" w:space="0" w:color="auto"/>
            </w:tcBorders>
            <w:shd w:val="clear" w:color="auto" w:fill="FFFFFF"/>
            <w:tcMar>
              <w:top w:w="0" w:type="dxa"/>
              <w:left w:w="0" w:type="dxa"/>
              <w:bottom w:w="0" w:type="dxa"/>
              <w:right w:w="0" w:type="dxa"/>
            </w:tcMar>
            <w:vAlign w:val="center"/>
            <w:hideMark/>
          </w:tcPr>
          <w:p w14:paraId="3D8480EB" w14:textId="229BE3B9" w:rsidR="00CF1F51" w:rsidRPr="0068488B" w:rsidRDefault="00CF1F51" w:rsidP="00CF1F51">
            <w:pPr>
              <w:rPr>
                <w:rFonts w:eastAsia="Times New Roman"/>
                <w:color w:val="333333"/>
                <w:sz w:val="21"/>
                <w:szCs w:val="21"/>
              </w:rPr>
            </w:pPr>
          </w:p>
        </w:tc>
        <w:tc>
          <w:tcPr>
            <w:tcW w:w="2633" w:type="dxa"/>
            <w:tcBorders>
              <w:bottom w:val="single" w:sz="4" w:space="0" w:color="auto"/>
            </w:tcBorders>
            <w:shd w:val="clear" w:color="auto" w:fill="FFFFFF"/>
            <w:tcMar>
              <w:top w:w="0" w:type="dxa"/>
              <w:left w:w="0" w:type="dxa"/>
              <w:bottom w:w="0" w:type="dxa"/>
              <w:right w:w="0" w:type="dxa"/>
            </w:tcMar>
            <w:vAlign w:val="center"/>
            <w:hideMark/>
          </w:tcPr>
          <w:p w14:paraId="1F52823A" w14:textId="0A4C97DD" w:rsidR="00CF1F51" w:rsidRPr="0068488B" w:rsidRDefault="007E7E02" w:rsidP="00CF1F51">
            <w:pPr>
              <w:jc w:val="center"/>
              <w:rPr>
                <w:rFonts w:eastAsia="Times New Roman"/>
                <w:color w:val="333333"/>
                <w:sz w:val="21"/>
                <w:szCs w:val="21"/>
              </w:rPr>
            </w:pPr>
            <w:r w:rsidRPr="0068488B">
              <w:rPr>
                <w:rFonts w:eastAsia="Times New Roman"/>
                <w:color w:val="333333"/>
                <w:sz w:val="21"/>
                <w:szCs w:val="21"/>
              </w:rPr>
              <w:t>(-0.023,</w:t>
            </w:r>
            <w:r w:rsidR="00D63D9B">
              <w:rPr>
                <w:rFonts w:eastAsia="Times New Roman"/>
                <w:color w:val="333333"/>
                <w:sz w:val="21"/>
                <w:szCs w:val="21"/>
              </w:rPr>
              <w:t>-</w:t>
            </w:r>
            <w:r w:rsidRPr="0068488B">
              <w:rPr>
                <w:rFonts w:eastAsia="Times New Roman"/>
                <w:color w:val="333333"/>
                <w:sz w:val="21"/>
                <w:szCs w:val="21"/>
              </w:rPr>
              <w:t>0.008</w:t>
            </w:r>
            <w:r w:rsidR="00CF1F51" w:rsidRPr="0068488B">
              <w:rPr>
                <w:rFonts w:eastAsia="Times New Roman"/>
                <w:color w:val="333333"/>
                <w:sz w:val="21"/>
                <w:szCs w:val="21"/>
              </w:rPr>
              <w:t>)</w:t>
            </w:r>
          </w:p>
        </w:tc>
        <w:tc>
          <w:tcPr>
            <w:tcW w:w="2432" w:type="dxa"/>
            <w:tcBorders>
              <w:bottom w:val="single" w:sz="4" w:space="0" w:color="auto"/>
            </w:tcBorders>
            <w:shd w:val="clear" w:color="auto" w:fill="FFFFFF"/>
            <w:tcMar>
              <w:top w:w="0" w:type="dxa"/>
              <w:left w:w="0" w:type="dxa"/>
              <w:bottom w:w="0" w:type="dxa"/>
              <w:right w:w="0" w:type="dxa"/>
            </w:tcMar>
            <w:vAlign w:val="center"/>
            <w:hideMark/>
          </w:tcPr>
          <w:p w14:paraId="3B5AB028" w14:textId="669365CC" w:rsidR="00CF1F51" w:rsidRPr="0068488B" w:rsidRDefault="007E7E02" w:rsidP="00CF1F51">
            <w:pPr>
              <w:jc w:val="center"/>
              <w:rPr>
                <w:rFonts w:eastAsia="Times New Roman"/>
                <w:color w:val="333333"/>
                <w:sz w:val="21"/>
                <w:szCs w:val="21"/>
              </w:rPr>
            </w:pPr>
            <w:r w:rsidRPr="0068488B">
              <w:rPr>
                <w:rFonts w:eastAsia="Times New Roman"/>
                <w:color w:val="333333"/>
                <w:sz w:val="21"/>
                <w:szCs w:val="21"/>
              </w:rPr>
              <w:t>(0.001, 0.010</w:t>
            </w:r>
            <w:r w:rsidR="00CF1F51" w:rsidRPr="0068488B">
              <w:rPr>
                <w:rFonts w:eastAsia="Times New Roman"/>
                <w:color w:val="333333"/>
                <w:sz w:val="21"/>
                <w:szCs w:val="21"/>
              </w:rPr>
              <w:t>)</w:t>
            </w:r>
          </w:p>
        </w:tc>
        <w:tc>
          <w:tcPr>
            <w:tcW w:w="1691" w:type="dxa"/>
            <w:tcBorders>
              <w:bottom w:val="single" w:sz="4" w:space="0" w:color="auto"/>
            </w:tcBorders>
            <w:shd w:val="clear" w:color="auto" w:fill="FFFFFF"/>
            <w:tcMar>
              <w:top w:w="0" w:type="dxa"/>
              <w:left w:w="0" w:type="dxa"/>
              <w:bottom w:w="0" w:type="dxa"/>
              <w:right w:w="0" w:type="dxa"/>
            </w:tcMar>
            <w:vAlign w:val="center"/>
            <w:hideMark/>
          </w:tcPr>
          <w:p w14:paraId="2124B424" w14:textId="2883026C" w:rsidR="00CF1F51" w:rsidRPr="0068488B" w:rsidRDefault="0029272B" w:rsidP="00CF1F51">
            <w:pPr>
              <w:jc w:val="center"/>
              <w:rPr>
                <w:rFonts w:eastAsia="Times New Roman"/>
                <w:color w:val="333333"/>
                <w:sz w:val="21"/>
                <w:szCs w:val="21"/>
              </w:rPr>
            </w:pPr>
            <w:r w:rsidRPr="0068488B">
              <w:rPr>
                <w:rFonts w:eastAsia="Times New Roman"/>
                <w:color w:val="333333"/>
                <w:sz w:val="21"/>
                <w:szCs w:val="21"/>
              </w:rPr>
              <w:t xml:space="preserve"> </w:t>
            </w:r>
            <w:r w:rsidR="007E7E02" w:rsidRPr="0068488B">
              <w:rPr>
                <w:rFonts w:eastAsia="Times New Roman"/>
                <w:color w:val="333333"/>
                <w:sz w:val="21"/>
                <w:szCs w:val="21"/>
              </w:rPr>
              <w:t>(0.00003, 0.005)</w:t>
            </w:r>
          </w:p>
        </w:tc>
      </w:tr>
      <w:tr w:rsidR="00CF1F51" w:rsidRPr="0068488B" w14:paraId="48B01FD2" w14:textId="77777777" w:rsidTr="00521282">
        <w:trPr>
          <w:trHeight w:val="287"/>
        </w:trPr>
        <w:tc>
          <w:tcPr>
            <w:tcW w:w="2282" w:type="dxa"/>
            <w:tcBorders>
              <w:top w:val="single" w:sz="4" w:space="0" w:color="auto"/>
            </w:tcBorders>
            <w:shd w:val="clear" w:color="auto" w:fill="FFFFFF"/>
            <w:tcMar>
              <w:top w:w="0" w:type="dxa"/>
              <w:left w:w="0" w:type="dxa"/>
              <w:bottom w:w="0" w:type="dxa"/>
              <w:right w:w="0" w:type="dxa"/>
            </w:tcMar>
            <w:vAlign w:val="center"/>
            <w:hideMark/>
          </w:tcPr>
          <w:p w14:paraId="0F4153FD" w14:textId="21EA326D" w:rsidR="00CF1F51" w:rsidRPr="0068488B" w:rsidRDefault="00CF1F51" w:rsidP="00CF1F51">
            <w:pPr>
              <w:rPr>
                <w:rFonts w:eastAsia="Times New Roman"/>
                <w:color w:val="333333"/>
                <w:sz w:val="21"/>
                <w:szCs w:val="21"/>
              </w:rPr>
            </w:pPr>
            <w:r w:rsidRPr="0068488B">
              <w:rPr>
                <w:rFonts w:eastAsia="Times New Roman"/>
                <w:color w:val="333333"/>
                <w:sz w:val="21"/>
                <w:szCs w:val="21"/>
              </w:rPr>
              <w:t>Observations (n)</w:t>
            </w:r>
          </w:p>
        </w:tc>
        <w:tc>
          <w:tcPr>
            <w:tcW w:w="2633" w:type="dxa"/>
            <w:tcBorders>
              <w:top w:val="single" w:sz="4" w:space="0" w:color="auto"/>
            </w:tcBorders>
            <w:shd w:val="clear" w:color="auto" w:fill="FFFFFF"/>
            <w:tcMar>
              <w:top w:w="0" w:type="dxa"/>
              <w:left w:w="0" w:type="dxa"/>
              <w:bottom w:w="0" w:type="dxa"/>
              <w:right w:w="0" w:type="dxa"/>
            </w:tcMar>
            <w:vAlign w:val="center"/>
            <w:hideMark/>
          </w:tcPr>
          <w:p w14:paraId="583FC6B5" w14:textId="24D7C04C" w:rsidR="00CF1F51" w:rsidRPr="0068488B" w:rsidRDefault="000567AA">
            <w:pPr>
              <w:jc w:val="center"/>
              <w:rPr>
                <w:rFonts w:eastAsia="Times New Roman"/>
                <w:color w:val="333333"/>
                <w:sz w:val="21"/>
                <w:szCs w:val="21"/>
              </w:rPr>
            </w:pPr>
            <w:r w:rsidRPr="0068488B">
              <w:rPr>
                <w:rFonts w:eastAsia="Times New Roman"/>
                <w:color w:val="333333"/>
                <w:sz w:val="21"/>
                <w:szCs w:val="21"/>
              </w:rPr>
              <w:t xml:space="preserve"> </w:t>
            </w:r>
          </w:p>
        </w:tc>
        <w:tc>
          <w:tcPr>
            <w:tcW w:w="2432" w:type="dxa"/>
            <w:tcBorders>
              <w:top w:val="single" w:sz="4" w:space="0" w:color="auto"/>
            </w:tcBorders>
            <w:shd w:val="clear" w:color="auto" w:fill="FFFFFF"/>
            <w:tcMar>
              <w:top w:w="0" w:type="dxa"/>
              <w:left w:w="0" w:type="dxa"/>
              <w:bottom w:w="0" w:type="dxa"/>
              <w:right w:w="0" w:type="dxa"/>
            </w:tcMar>
            <w:vAlign w:val="center"/>
            <w:hideMark/>
          </w:tcPr>
          <w:p w14:paraId="21B6F7A1" w14:textId="349C3775" w:rsidR="00CF1F51" w:rsidRPr="0068488B" w:rsidRDefault="000567AA">
            <w:pPr>
              <w:jc w:val="center"/>
              <w:rPr>
                <w:rFonts w:eastAsia="Times New Roman"/>
                <w:color w:val="333333"/>
                <w:sz w:val="21"/>
                <w:szCs w:val="21"/>
              </w:rPr>
            </w:pPr>
            <w:r w:rsidRPr="0068488B">
              <w:rPr>
                <w:rFonts w:eastAsia="Times New Roman"/>
                <w:color w:val="333333"/>
                <w:sz w:val="21"/>
                <w:szCs w:val="21"/>
              </w:rPr>
              <w:t xml:space="preserve"> </w:t>
            </w:r>
          </w:p>
        </w:tc>
        <w:tc>
          <w:tcPr>
            <w:tcW w:w="1691" w:type="dxa"/>
            <w:tcBorders>
              <w:top w:val="single" w:sz="4" w:space="0" w:color="auto"/>
            </w:tcBorders>
            <w:shd w:val="clear" w:color="auto" w:fill="FFFFFF"/>
            <w:tcMar>
              <w:top w:w="0" w:type="dxa"/>
              <w:left w:w="0" w:type="dxa"/>
              <w:bottom w:w="0" w:type="dxa"/>
              <w:right w:w="0" w:type="dxa"/>
            </w:tcMar>
            <w:vAlign w:val="center"/>
            <w:hideMark/>
          </w:tcPr>
          <w:p w14:paraId="0346A838" w14:textId="2DEB9FD9" w:rsidR="00CF1F51" w:rsidRPr="0068488B" w:rsidRDefault="0029272B">
            <w:pPr>
              <w:jc w:val="center"/>
              <w:rPr>
                <w:rFonts w:eastAsia="Times New Roman"/>
                <w:color w:val="333333"/>
                <w:sz w:val="21"/>
                <w:szCs w:val="21"/>
              </w:rPr>
            </w:pPr>
            <w:r w:rsidRPr="0068488B">
              <w:rPr>
                <w:rFonts w:eastAsia="Times New Roman"/>
                <w:color w:val="333333"/>
                <w:sz w:val="21"/>
                <w:szCs w:val="21"/>
              </w:rPr>
              <w:t xml:space="preserve"> </w:t>
            </w:r>
          </w:p>
        </w:tc>
      </w:tr>
      <w:tr w:rsidR="00521282" w:rsidRPr="0068488B" w14:paraId="051344FB" w14:textId="77777777" w:rsidTr="00521282">
        <w:trPr>
          <w:trHeight w:val="207"/>
        </w:trPr>
        <w:tc>
          <w:tcPr>
            <w:tcW w:w="9038" w:type="dxa"/>
            <w:gridSpan w:val="4"/>
            <w:tcBorders>
              <w:bottom w:val="single" w:sz="4" w:space="0" w:color="auto"/>
            </w:tcBorders>
            <w:shd w:val="clear" w:color="auto" w:fill="FFFFFF"/>
            <w:tcMar>
              <w:top w:w="0" w:type="dxa"/>
              <w:left w:w="0" w:type="dxa"/>
              <w:bottom w:w="0" w:type="dxa"/>
              <w:right w:w="0" w:type="dxa"/>
            </w:tcMar>
            <w:vAlign w:val="center"/>
          </w:tcPr>
          <w:p w14:paraId="1E8590DE" w14:textId="25921814" w:rsidR="00521282" w:rsidRPr="0068488B" w:rsidRDefault="00521282" w:rsidP="005D3EEE">
            <w:pPr>
              <w:rPr>
                <w:rFonts w:eastAsia="Times New Roman"/>
                <w:color w:val="333333"/>
                <w:sz w:val="21"/>
                <w:szCs w:val="21"/>
              </w:rPr>
            </w:pPr>
            <w:r w:rsidRPr="0068488B">
              <w:rPr>
                <w:rFonts w:eastAsia="Times New Roman"/>
                <w:i/>
                <w:color w:val="333333"/>
                <w:sz w:val="21"/>
                <w:szCs w:val="21"/>
              </w:rPr>
              <w:t>Note</w:t>
            </w:r>
            <w:r w:rsidRPr="0068488B">
              <w:rPr>
                <w:rFonts w:eastAsia="Times New Roman"/>
                <w:color w:val="333333"/>
                <w:sz w:val="21"/>
                <w:szCs w:val="21"/>
              </w:rPr>
              <w:t xml:space="preserve">: </w:t>
            </w:r>
            <w:r w:rsidR="005D3EEE">
              <w:rPr>
                <w:rFonts w:eastAsia="Times New Roman"/>
                <w:color w:val="333333"/>
                <w:sz w:val="21"/>
                <w:szCs w:val="21"/>
              </w:rPr>
              <w:t xml:space="preserve">All models are OLS regression models. </w:t>
            </w:r>
            <w:r w:rsidRPr="0068488B">
              <w:rPr>
                <w:rFonts w:eastAsia="Times New Roman"/>
                <w:color w:val="333333"/>
                <w:sz w:val="21"/>
                <w:szCs w:val="21"/>
              </w:rPr>
              <w:t xml:space="preserve">We report </w:t>
            </w:r>
            <w:r w:rsidR="00D8498D" w:rsidRPr="0068488B">
              <w:rPr>
                <w:rFonts w:eastAsia="Times New Roman"/>
                <w:color w:val="333333"/>
                <w:sz w:val="21"/>
                <w:szCs w:val="21"/>
              </w:rPr>
              <w:t xml:space="preserve">beta </w:t>
            </w:r>
            <w:r w:rsidRPr="0068488B">
              <w:rPr>
                <w:rFonts w:eastAsia="Times New Roman"/>
                <w:color w:val="333333"/>
                <w:sz w:val="21"/>
                <w:szCs w:val="21"/>
              </w:rPr>
              <w:t>coefficients and 95% Confidence Limits</w:t>
            </w:r>
            <w:r w:rsidR="00D8498D" w:rsidRPr="0068488B">
              <w:rPr>
                <w:rFonts w:eastAsia="Times New Roman"/>
                <w:color w:val="333333"/>
                <w:sz w:val="21"/>
                <w:szCs w:val="21"/>
              </w:rPr>
              <w:t xml:space="preserve"> for these estimates</w:t>
            </w:r>
            <w:r w:rsidRPr="0068488B">
              <w:rPr>
                <w:rFonts w:eastAsia="Times New Roman"/>
                <w:color w:val="333333"/>
                <w:sz w:val="21"/>
                <w:szCs w:val="21"/>
              </w:rPr>
              <w:t>. Results are adjusted for age, sex, ethnicity and income level. * = p&lt;0.05, ** = p&lt;0.01 and *** = p&lt;0.001.</w:t>
            </w:r>
          </w:p>
        </w:tc>
      </w:tr>
    </w:tbl>
    <w:p w14:paraId="62A1BAF8" w14:textId="77777777" w:rsidR="00396A3B" w:rsidRPr="0068488B" w:rsidRDefault="00396A3B"/>
    <w:p w14:paraId="5A9C7CC5" w14:textId="465A25B4" w:rsidR="00FD5944" w:rsidRDefault="00AA076E" w:rsidP="00AA076E">
      <w:r w:rsidRPr="0068488B">
        <w:t>Disaggregating by the individual domain scores of AHAH (</w:t>
      </w:r>
      <w:r w:rsidR="00230CBC">
        <w:t>larger</w:t>
      </w:r>
      <w:r w:rsidR="00230CBC" w:rsidRPr="0068488B">
        <w:t xml:space="preserve"> </w:t>
      </w:r>
      <w:r w:rsidR="00230CBC">
        <w:t xml:space="preserve">domain </w:t>
      </w:r>
      <w:r w:rsidRPr="0068488B">
        <w:t xml:space="preserve">values represent areas with </w:t>
      </w:r>
      <w:r w:rsidR="00E720A4">
        <w:t>poorer health-related environments for each domain</w:t>
      </w:r>
      <w:r w:rsidRPr="0068488B">
        <w:t xml:space="preserve">), we detect some associations to each of our measures. The health domain is independently associated to each measure of physical health, </w:t>
      </w:r>
      <w:r w:rsidR="00631910">
        <w:t>although</w:t>
      </w:r>
      <w:r w:rsidR="00631910" w:rsidRPr="0068488B">
        <w:t xml:space="preserve"> </w:t>
      </w:r>
      <w:r w:rsidRPr="0068488B">
        <w:t>the direction of the association</w:t>
      </w:r>
      <w:r w:rsidR="00631910">
        <w:t>s do not</w:t>
      </w:r>
      <w:r w:rsidRPr="0068488B">
        <w:t xml:space="preserve"> fall in the expected direction</w:t>
      </w:r>
      <w:r w:rsidR="00262C16">
        <w:t xml:space="preserve">. </w:t>
      </w:r>
      <w:r w:rsidR="00661BE9">
        <w:t xml:space="preserve">The </w:t>
      </w:r>
      <w:r w:rsidR="00DE0AF0">
        <w:t xml:space="preserve">health </w:t>
      </w:r>
      <w:r w:rsidR="00661BE9">
        <w:t>domain score</w:t>
      </w:r>
      <w:r w:rsidR="00262C16">
        <w:t xml:space="preserve"> </w:t>
      </w:r>
      <w:r w:rsidR="00661BE9">
        <w:t>was</w:t>
      </w:r>
      <w:r w:rsidR="00262C16">
        <w:t xml:space="preserve"> </w:t>
      </w:r>
      <w:r w:rsidR="00631910">
        <w:t>negatively</w:t>
      </w:r>
      <w:r w:rsidR="00262C16">
        <w:t xml:space="preserve"> associated </w:t>
      </w:r>
      <w:r w:rsidR="00631910">
        <w:t xml:space="preserve">with the odds of having a limiting long-term illness or poor </w:t>
      </w:r>
      <w:r w:rsidR="00661BE9">
        <w:t xml:space="preserve">self-rated </w:t>
      </w:r>
      <w:r w:rsidR="00631910">
        <w:t>health</w:t>
      </w:r>
      <w:r w:rsidR="00661BE9">
        <w:t xml:space="preserve"> (i.e. individuals who lived in areas located further away from health services were less likely to report poorer health outcomes across the two measures)</w:t>
      </w:r>
      <w:r w:rsidRPr="0068488B">
        <w:t xml:space="preserve">. </w:t>
      </w:r>
      <w:r w:rsidR="00661BE9">
        <w:t xml:space="preserve">A positive association was detected for the SF12 physical health measure, suggesting that as the health services domain become poorer, individuals were more likely to report good health. </w:t>
      </w:r>
    </w:p>
    <w:p w14:paraId="73DC0843" w14:textId="77777777" w:rsidR="00FD5944" w:rsidRDefault="00FD5944" w:rsidP="00AA076E"/>
    <w:p w14:paraId="34874D32" w14:textId="4967210B" w:rsidR="00AA076E" w:rsidRDefault="00AA076E" w:rsidP="00AA076E">
      <w:r w:rsidRPr="0068488B">
        <w:t xml:space="preserve">The </w:t>
      </w:r>
      <w:r w:rsidR="00FD5944">
        <w:t xml:space="preserve">physical </w:t>
      </w:r>
      <w:r w:rsidRPr="0068488B">
        <w:t>environment domain also displays associations to two of our measures</w:t>
      </w:r>
      <w:r w:rsidR="00FD5944">
        <w:t xml:space="preserve"> and these were </w:t>
      </w:r>
      <w:r w:rsidR="00DE0AF0">
        <w:t xml:space="preserve">both </w:t>
      </w:r>
      <w:r w:rsidR="00FD5944">
        <w:t>in the expected directions. The domain score</w:t>
      </w:r>
      <w:r w:rsidRPr="0068488B">
        <w:t xml:space="preserve"> was positively associated to an individual’s risk of rating their health as poor, </w:t>
      </w:r>
      <w:r w:rsidR="005A5E5A">
        <w:t>so that individual</w:t>
      </w:r>
      <w:r w:rsidR="00FD5944">
        <w:t>s who resided in areas with poorer environmental quality were more likely to rate their health as poor. It was also</w:t>
      </w:r>
      <w:r w:rsidR="00FD5944" w:rsidRPr="0068488B">
        <w:t xml:space="preserve"> </w:t>
      </w:r>
      <w:r w:rsidRPr="0068488B">
        <w:t>negatively associated to the risk of physical functioning as captured by the SF12 measure</w:t>
      </w:r>
      <w:r w:rsidR="00FD5944">
        <w:t>, with a decline in physical health as measured on the SF12 index with increasing domain score (i.e. areas that had poorer environments)</w:t>
      </w:r>
      <w:r w:rsidRPr="0068488B">
        <w:t>. No association was found for the risk of having a long-standing illness</w:t>
      </w:r>
      <w:r w:rsidR="00FD5944">
        <w:t xml:space="preserve"> and the physical environment domain</w:t>
      </w:r>
      <w:r w:rsidRPr="0068488B">
        <w:t>. We detected no associations for the retail domain at all.</w:t>
      </w:r>
    </w:p>
    <w:p w14:paraId="0B64C932" w14:textId="77777777" w:rsidR="00AA076E" w:rsidRDefault="00AA076E" w:rsidP="00804B75">
      <w:pPr>
        <w:rPr>
          <w:rFonts w:eastAsia="Times New Roman"/>
        </w:rPr>
      </w:pPr>
    </w:p>
    <w:p w14:paraId="07A71D05" w14:textId="00DF7262" w:rsidR="001B4342" w:rsidRDefault="00804B75" w:rsidP="00804B75">
      <w:pPr>
        <w:rPr>
          <w:rFonts w:eastAsia="Times New Roman"/>
        </w:rPr>
      </w:pPr>
      <w:r w:rsidRPr="0068488B">
        <w:rPr>
          <w:rFonts w:eastAsia="Times New Roman"/>
        </w:rPr>
        <w:t xml:space="preserve">Table 4 repeats the same analysis </w:t>
      </w:r>
      <w:r w:rsidR="00B86866">
        <w:rPr>
          <w:rFonts w:eastAsia="Times New Roman"/>
        </w:rPr>
        <w:t xml:space="preserve">but </w:t>
      </w:r>
      <w:r w:rsidRPr="0068488B">
        <w:rPr>
          <w:rFonts w:eastAsia="Times New Roman"/>
        </w:rPr>
        <w:t xml:space="preserve">for the mental wellbeing indicators. We find </w:t>
      </w:r>
      <w:r w:rsidR="005D4767">
        <w:rPr>
          <w:rFonts w:eastAsia="Times New Roman"/>
        </w:rPr>
        <w:t xml:space="preserve">consistent </w:t>
      </w:r>
      <w:r w:rsidRPr="0068488B">
        <w:rPr>
          <w:rFonts w:eastAsia="Times New Roman"/>
        </w:rPr>
        <w:t xml:space="preserve">evidence for </w:t>
      </w:r>
      <w:r w:rsidR="005D4767">
        <w:rPr>
          <w:rFonts w:eastAsia="Times New Roman"/>
        </w:rPr>
        <w:t xml:space="preserve">the </w:t>
      </w:r>
      <w:r w:rsidRPr="0068488B">
        <w:rPr>
          <w:rFonts w:eastAsia="Times New Roman"/>
        </w:rPr>
        <w:t>AHAH score being associated to an individual’s wellbeing. Individuals who lived in areas with poorer AHAH scores (i.e. higher values</w:t>
      </w:r>
      <w:r w:rsidR="001B4342">
        <w:rPr>
          <w:rFonts w:eastAsia="Times New Roman"/>
        </w:rPr>
        <w:t xml:space="preserve"> representing poorer health-related environments</w:t>
      </w:r>
      <w:r w:rsidRPr="0068488B">
        <w:rPr>
          <w:rFonts w:eastAsia="Times New Roman"/>
        </w:rPr>
        <w:t>) were more likely to have poorer mental health across all the measures</w:t>
      </w:r>
      <w:r w:rsidR="001B4342">
        <w:rPr>
          <w:rFonts w:eastAsia="Times New Roman"/>
        </w:rPr>
        <w:t>. It was negatively associated to SF12 mental wellbeing score (i.e. larger values represent better wellbeing), and positively associated to both GHQ measures where larger values represent poorer wellbeing</w:t>
      </w:r>
      <w:r w:rsidRPr="0068488B">
        <w:rPr>
          <w:rFonts w:eastAsia="Times New Roman"/>
        </w:rPr>
        <w:t xml:space="preserve">. </w:t>
      </w:r>
    </w:p>
    <w:p w14:paraId="74947071" w14:textId="77777777" w:rsidR="001B4342" w:rsidRDefault="001B4342" w:rsidP="00804B75">
      <w:pPr>
        <w:rPr>
          <w:rFonts w:eastAsia="Times New Roman"/>
        </w:rPr>
      </w:pPr>
    </w:p>
    <w:p w14:paraId="0FE9BFFE" w14:textId="5B648399" w:rsidR="00804B75" w:rsidRPr="0068488B" w:rsidRDefault="00804B75" w:rsidP="00804B75">
      <w:pPr>
        <w:rPr>
          <w:rFonts w:eastAsia="Times New Roman"/>
        </w:rPr>
      </w:pPr>
      <w:r w:rsidRPr="0068488B">
        <w:rPr>
          <w:rFonts w:eastAsia="Times New Roman"/>
        </w:rPr>
        <w:t xml:space="preserve">Disaggregating AHAH into the individual domains also demonstrates some associations. The health domain </w:t>
      </w:r>
      <w:r w:rsidR="001B4342">
        <w:rPr>
          <w:rFonts w:eastAsia="Times New Roman"/>
        </w:rPr>
        <w:t xml:space="preserve">once again produced associations </w:t>
      </w:r>
      <w:r w:rsidR="005D3EEE">
        <w:rPr>
          <w:rFonts w:eastAsia="Times New Roman"/>
        </w:rPr>
        <w:t xml:space="preserve">contrary </w:t>
      </w:r>
      <w:r w:rsidR="001B4342">
        <w:rPr>
          <w:rFonts w:eastAsia="Times New Roman"/>
        </w:rPr>
        <w:t xml:space="preserve">to those expected, being positively associated with SF12 mental wellbeing score (i.e. as areas became located further from health services, people were more likely to report better wellbeing) and negatively associated to both GHQ measures (i.e. </w:t>
      </w:r>
      <w:r w:rsidR="00D061DA">
        <w:rPr>
          <w:rFonts w:eastAsia="Times New Roman"/>
        </w:rPr>
        <w:t xml:space="preserve">individuals residing in areas with poorer access to health services had better </w:t>
      </w:r>
      <w:r w:rsidR="005D3EEE">
        <w:rPr>
          <w:rFonts w:eastAsia="Times New Roman"/>
        </w:rPr>
        <w:t>wellbeing</w:t>
      </w:r>
      <w:r w:rsidR="00335A88">
        <w:rPr>
          <w:rFonts w:eastAsia="Times New Roman"/>
        </w:rPr>
        <w:t>)</w:t>
      </w:r>
      <w:r w:rsidRPr="0068488B">
        <w:rPr>
          <w:rFonts w:eastAsia="Times New Roman"/>
        </w:rPr>
        <w:t xml:space="preserve">. A negative association was detected for the environment domain </w:t>
      </w:r>
      <w:r w:rsidR="00D061DA">
        <w:rPr>
          <w:rFonts w:eastAsia="Times New Roman"/>
        </w:rPr>
        <w:t xml:space="preserve">score </w:t>
      </w:r>
      <w:r w:rsidRPr="0068488B">
        <w:rPr>
          <w:rFonts w:eastAsia="Times New Roman"/>
        </w:rPr>
        <w:t>to the SF12 measure of mental health, showing that individuals living in areas with poor</w:t>
      </w:r>
      <w:r w:rsidR="002B36F7">
        <w:rPr>
          <w:rFonts w:eastAsia="Times New Roman"/>
        </w:rPr>
        <w:t>er</w:t>
      </w:r>
      <w:r w:rsidRPr="0068488B">
        <w:rPr>
          <w:rFonts w:eastAsia="Times New Roman"/>
        </w:rPr>
        <w:t xml:space="preserve"> environmental quality </w:t>
      </w:r>
      <w:r w:rsidR="002B36F7">
        <w:rPr>
          <w:rFonts w:eastAsia="Times New Roman"/>
        </w:rPr>
        <w:t>were also associated with</w:t>
      </w:r>
      <w:r w:rsidR="002B36F7" w:rsidRPr="0068488B">
        <w:rPr>
          <w:rFonts w:eastAsia="Times New Roman"/>
        </w:rPr>
        <w:t xml:space="preserve"> </w:t>
      </w:r>
      <w:r w:rsidRPr="0068488B">
        <w:rPr>
          <w:rFonts w:eastAsia="Times New Roman"/>
        </w:rPr>
        <w:t xml:space="preserve">poorer mental wellbeing. The domain was not associated to the </w:t>
      </w:r>
      <w:r w:rsidR="00335A88">
        <w:rPr>
          <w:rFonts w:eastAsia="Times New Roman"/>
        </w:rPr>
        <w:t>GHQ</w:t>
      </w:r>
      <w:r w:rsidRPr="0068488B">
        <w:rPr>
          <w:rFonts w:eastAsia="Times New Roman"/>
        </w:rPr>
        <w:t xml:space="preserve"> measures though. The retail domain was associated to all variables, </w:t>
      </w:r>
      <w:r w:rsidR="002B36F7">
        <w:rPr>
          <w:rFonts w:eastAsia="Times New Roman"/>
        </w:rPr>
        <w:t xml:space="preserve">with each relationship </w:t>
      </w:r>
      <w:r w:rsidRPr="0068488B">
        <w:rPr>
          <w:rFonts w:eastAsia="Times New Roman"/>
        </w:rPr>
        <w:t xml:space="preserve">suggesting that individuals who lived in areas with greater access to the retail outlets </w:t>
      </w:r>
      <w:r w:rsidR="002B36F7">
        <w:rPr>
          <w:rFonts w:eastAsia="Times New Roman"/>
        </w:rPr>
        <w:t>were associated with</w:t>
      </w:r>
      <w:r w:rsidR="002B36F7" w:rsidRPr="0068488B">
        <w:rPr>
          <w:rFonts w:eastAsia="Times New Roman"/>
        </w:rPr>
        <w:t xml:space="preserve"> </w:t>
      </w:r>
      <w:r w:rsidRPr="0068488B">
        <w:rPr>
          <w:rFonts w:eastAsia="Times New Roman"/>
        </w:rPr>
        <w:t>poorer mental wellbeing</w:t>
      </w:r>
      <w:r w:rsidR="002B36F7">
        <w:rPr>
          <w:rFonts w:eastAsia="Times New Roman"/>
        </w:rPr>
        <w:t>. A negative association was observed for SF12 mental wellbeing, and a positive association for both GHQ measures.</w:t>
      </w:r>
    </w:p>
    <w:p w14:paraId="4931359C" w14:textId="77777777" w:rsidR="004057F3" w:rsidRPr="0068488B" w:rsidRDefault="004057F3"/>
    <w:p w14:paraId="0114EB18" w14:textId="77777777" w:rsidR="00D801FA" w:rsidRPr="0068488B" w:rsidRDefault="00EF105F">
      <w:pPr>
        <w:rPr>
          <w:b/>
        </w:rPr>
      </w:pPr>
      <w:r w:rsidRPr="0068488B">
        <w:rPr>
          <w:b/>
        </w:rPr>
        <w:t xml:space="preserve">4.0 </w:t>
      </w:r>
      <w:r w:rsidR="00D801FA" w:rsidRPr="0068488B">
        <w:rPr>
          <w:b/>
        </w:rPr>
        <w:t>Discussion</w:t>
      </w:r>
    </w:p>
    <w:p w14:paraId="1A8B98B1" w14:textId="77777777" w:rsidR="00E470F2" w:rsidRPr="0068488B" w:rsidRDefault="00E470F2"/>
    <w:p w14:paraId="786D6EC7" w14:textId="77777777" w:rsidR="00E470F2" w:rsidRPr="0068488B" w:rsidRDefault="00E470F2" w:rsidP="00372EE3">
      <w:pPr>
        <w:outlineLvl w:val="0"/>
        <w:rPr>
          <w:i/>
        </w:rPr>
      </w:pPr>
      <w:r w:rsidRPr="0068488B">
        <w:rPr>
          <w:i/>
        </w:rPr>
        <w:t>4.1 Key Results</w:t>
      </w:r>
    </w:p>
    <w:p w14:paraId="193FC1A4" w14:textId="77777777" w:rsidR="00E470F2" w:rsidRPr="0068488B" w:rsidRDefault="00E470F2"/>
    <w:p w14:paraId="34838406" w14:textId="7CD4C08D" w:rsidR="002C37D5" w:rsidRPr="0068488B" w:rsidRDefault="00000EAC">
      <w:r w:rsidRPr="0068488B">
        <w:t xml:space="preserve">Our study details the creation and </w:t>
      </w:r>
      <w:r w:rsidR="000E0F65">
        <w:t>analysis</w:t>
      </w:r>
      <w:r w:rsidRPr="0068488B">
        <w:t xml:space="preserve"> of a</w:t>
      </w:r>
      <w:r w:rsidR="00E54ACD" w:rsidRPr="0068488B">
        <w:t>n open source</w:t>
      </w:r>
      <w:r w:rsidRPr="0068488B">
        <w:t xml:space="preserve"> multidimensional index </w:t>
      </w:r>
      <w:r w:rsidR="00951682" w:rsidRPr="0068488B">
        <w:t xml:space="preserve">of </w:t>
      </w:r>
      <w:r w:rsidR="00E54ACD" w:rsidRPr="0068488B">
        <w:t xml:space="preserve">accessibility to </w:t>
      </w:r>
      <w:r w:rsidR="00951682" w:rsidRPr="0068488B">
        <w:t xml:space="preserve">health-related </w:t>
      </w:r>
      <w:r w:rsidR="00E54ACD" w:rsidRPr="0068488B">
        <w:t xml:space="preserve">features </w:t>
      </w:r>
      <w:r w:rsidR="008E08C2" w:rsidRPr="0068488B">
        <w:t xml:space="preserve">for Great Britain. </w:t>
      </w:r>
      <w:r w:rsidR="00946E17" w:rsidRPr="0068488B">
        <w:t>Our index</w:t>
      </w:r>
      <w:r w:rsidR="00A32E94" w:rsidRPr="0068488B">
        <w:t xml:space="preserve"> is constr</w:t>
      </w:r>
      <w:r w:rsidR="00946E17" w:rsidRPr="0068488B">
        <w:t xml:space="preserve">ucted from data </w:t>
      </w:r>
      <w:r w:rsidR="00946E17" w:rsidRPr="0068488B">
        <w:lastRenderedPageBreak/>
        <w:t xml:space="preserve">on accessibility to retail outlets, health services and the </w:t>
      </w:r>
      <w:r w:rsidR="00A32E94" w:rsidRPr="0068488B">
        <w:t xml:space="preserve">wider environmental quality. </w:t>
      </w:r>
      <w:r w:rsidR="00165FA3" w:rsidRPr="0068488B">
        <w:t>We detect di</w:t>
      </w:r>
      <w:r w:rsidR="00562336" w:rsidRPr="0068488B">
        <w:t xml:space="preserve">stinct urban-rural inequalities, with remote rural regions and </w:t>
      </w:r>
      <w:r w:rsidR="008B194E" w:rsidRPr="0068488B">
        <w:t>inner-city</w:t>
      </w:r>
      <w:r w:rsidR="00562336" w:rsidRPr="0068488B">
        <w:t xml:space="preserve"> areas identified as urban environments with poor health-related features. While AHAH was not associated to the ecological measures of health patterns, we found some association of AHAH to individual-level measures of wellbeing. </w:t>
      </w:r>
      <w:r w:rsidR="002B36F7">
        <w:t>There were mixed associations in the relevance of the domain scores to physical and mental health</w:t>
      </w:r>
      <w:r w:rsidR="00562336" w:rsidRPr="0068488B">
        <w:t>.</w:t>
      </w:r>
    </w:p>
    <w:p w14:paraId="11DE3865" w14:textId="77777777" w:rsidR="00C530C0" w:rsidRPr="0068488B" w:rsidRDefault="00C530C0"/>
    <w:p w14:paraId="2718E87A" w14:textId="6921C346" w:rsidR="00E470F2" w:rsidRPr="0068488B" w:rsidRDefault="00E470F2" w:rsidP="00372EE3">
      <w:pPr>
        <w:outlineLvl w:val="0"/>
        <w:rPr>
          <w:i/>
        </w:rPr>
      </w:pPr>
      <w:r w:rsidRPr="0068488B">
        <w:rPr>
          <w:i/>
        </w:rPr>
        <w:t>4</w:t>
      </w:r>
      <w:r w:rsidR="00DF7FC6" w:rsidRPr="0068488B">
        <w:rPr>
          <w:i/>
        </w:rPr>
        <w:t>.2</w:t>
      </w:r>
      <w:r w:rsidRPr="0068488B">
        <w:rPr>
          <w:i/>
        </w:rPr>
        <w:t xml:space="preserve"> Interpretation</w:t>
      </w:r>
    </w:p>
    <w:p w14:paraId="019B4539" w14:textId="77777777" w:rsidR="00E470F2" w:rsidRPr="0068488B" w:rsidRDefault="00E470F2"/>
    <w:p w14:paraId="3903B16B" w14:textId="08EBC927" w:rsidR="0007511B" w:rsidRPr="0068488B" w:rsidRDefault="00BA6D8F">
      <w:r w:rsidRPr="0068488B">
        <w:t>Our study contributes to the literature through the development of a multidimensional measure</w:t>
      </w:r>
      <w:r w:rsidR="0007511B" w:rsidRPr="0068488B">
        <w:t xml:space="preserve"> of health</w:t>
      </w:r>
      <w:r w:rsidRPr="0068488B">
        <w:t>-related features of the environment</w:t>
      </w:r>
      <w:r w:rsidR="0007511B" w:rsidRPr="0068488B">
        <w:t xml:space="preserve">. Past research has focused on teasing out whether individual factors </w:t>
      </w:r>
      <w:r w:rsidRPr="0068488B">
        <w:t>(i.e. unidimensional</w:t>
      </w:r>
      <w:r w:rsidR="00EE0FED" w:rsidRPr="0068488B">
        <w:t xml:space="preserve"> characteristics</w:t>
      </w:r>
      <w:r w:rsidRPr="0068488B">
        <w:t xml:space="preserve">) </w:t>
      </w:r>
      <w:r w:rsidR="0007511B" w:rsidRPr="0068488B">
        <w:t>are associated to health outcomes.</w:t>
      </w:r>
      <w:r w:rsidRPr="0068488B">
        <w:t xml:space="preserve"> S</w:t>
      </w:r>
      <w:r w:rsidR="0007511B" w:rsidRPr="0068488B">
        <w:t xml:space="preserve">uch an approach </w:t>
      </w:r>
      <w:r w:rsidRPr="0068488B">
        <w:t xml:space="preserve">relies on a framework that features can be separated out from multiple competing processes and therefore </w:t>
      </w:r>
      <w:r w:rsidR="0007511B" w:rsidRPr="0068488B">
        <w:t xml:space="preserve">fails to account for the inherent complexity </w:t>
      </w:r>
      <w:r w:rsidR="0037721B" w:rsidRPr="0068488B">
        <w:t>of society</w:t>
      </w:r>
      <w:r w:rsidRPr="0068488B">
        <w:t xml:space="preserve"> </w:t>
      </w:r>
      <w:r w:rsidR="00C64DE9" w:rsidRPr="0068488B">
        <w:fldChar w:fldCharType="begin" w:fldLock="1"/>
      </w:r>
      <w:r w:rsidR="004443ED" w:rsidRPr="0068488B">
        <w:instrText>ADDIN CSL_CITATION { "citationItems" : [ { "id" : "ITEM-1", "itemData" : { "author" : [ { "dropping-particle" : "", "family" : "Diez-Roux", "given" : "Ana", "non-dropping-particle" : "", "parse-names" : false, "suffix" : "" } ], "container-title" : "American Journal of Public Health", "id" : "ITEM-1", "issue" : "11", "issued" : { "date-parts" : [ [ "2001" ] ] }, "page" : "1783-1789", "title" : "Investigating Neighborhood and Area Effects on Health", "type" : "article-journal", "volume" : "91" }, "uris" : [ "http://www.mendeley.com/documents/?uuid=dc5ef28e-283e-4ed7-8a39-c4ad6347ea31" ] }, { "id" : "ITEM-2", "itemData" : { "author" : [ { "dropping-particle" : "", "family" : "Gatrell", "given" : "A C", "non-dropping-particle" : "", "parse-names" : false, "suffix" : "" } ], "container-title" : "Social Science &amp; Medicine", "id" : "ITEM-2", "issued" : { "date-parts" : [ [ "2005" ] ] }, "page" : "2661-2671", "title" : "Complexity theory and geographies of health:a critical assessment", "type" : "article-journal", "volume" : "60" }, "uris" : [ "http://www.mendeley.com/documents/?uuid=99691517-6b42-4546-b1b9-b0f3c582dd38" ] } ], "mendeley" : { "formattedCitation" : "(Diez-Roux, 2001; Gatrell, 2005)", "plainTextFormattedCitation" : "(Diez-Roux, 2001; Gatrell, 2005)", "previouslyFormattedCitation" : "(Diez-Roux, 2001; Gatrell, 2005)" }, "properties" : {  }, "schema" : "https://github.com/citation-style-language/schema/raw/master/csl-citation.json" }</w:instrText>
      </w:r>
      <w:r w:rsidR="00C64DE9" w:rsidRPr="0068488B">
        <w:fldChar w:fldCharType="separate"/>
      </w:r>
      <w:r w:rsidR="004443ED" w:rsidRPr="0068488B">
        <w:rPr>
          <w:noProof/>
        </w:rPr>
        <w:t>(Diez-Roux, 2001; Gatrell, 2005)</w:t>
      </w:r>
      <w:r w:rsidR="00C64DE9" w:rsidRPr="0068488B">
        <w:fldChar w:fldCharType="end"/>
      </w:r>
      <w:r w:rsidRPr="0068488B">
        <w:t>. Rather individual’s</w:t>
      </w:r>
      <w:r w:rsidR="0046479C" w:rsidRPr="0068488B">
        <w:t xml:space="preserve"> </w:t>
      </w:r>
      <w:r w:rsidRPr="0068488B">
        <w:t>may interact with multiple features of environments simultaneously and therefore we need to account for this in how we design indicators</w:t>
      </w:r>
      <w:r w:rsidR="00C64DE9" w:rsidRPr="0068488B">
        <w:t xml:space="preserve"> </w:t>
      </w:r>
      <w:r w:rsidR="00C64DE9" w:rsidRPr="0068488B">
        <w:fldChar w:fldCharType="begin" w:fldLock="1"/>
      </w:r>
      <w:r w:rsidR="00C64DE9" w:rsidRPr="0068488B">
        <w:instrText>ADDIN CSL_CITATION { "citationItems" : [ { "id" : "ITEM-1", "itemData" : { "author" : [ { "dropping-particle" : "", "family" : "Cummins", "given" : "Steve", "non-dropping-particle" : "", "parse-names" : false, "suffix" : "" }, { "dropping-particle" : "", "family" : "Curtis", "given" : "Sarah", "non-dropping-particle" : "", "parse-names" : false, "suffix" : "" }, { "dropping-particle" : "", "family" : "Diez-Roux", "given" : "Ana", "non-dropping-particle" : "", "parse-names" : false, "suffix" : "" }, { "dropping-particle" : "", "family" : "Macintyre", "given" : "Sally", "non-dropping-particle" : "", "parse-names" : false, "suffix" : "" } ], "container-title" : "Social Science &amp; Medicine", "id" : "ITEM-1", "issue" : "9", "issued" : { "date-parts" : [ [ "2007" ] ] }, "page" : "1825-1838", "title" : "Understanding and representing \u2018place\u2019 in health research: A relational approach", "type" : "article-journal", "volume" : "65" }, "uris" : [ "http://www.mendeley.com/documents/?uuid=dbf96c38-5722-47d0-b3a0-752437822ac3" ] }, { "id" : "ITEM-2", "itemData" : { "author" : [ { "dropping-particle" : "", "family" : "Richardson", "given" : "Elizabeth", "non-dropping-particle" : "", "parse-names" : false, "suffix" : "" }, { "dropping-particle" : "", "family" : "Mitchell", "given" : "Richard", "non-dropping-particle" : "", "parse-names" : false, "suffix" : "" }, { "dropping-particle" : "", "family" : "Shortt", "given" : "Niamh", "non-dropping-particle" : "", "parse-names" : false, "suffix" : "" }, { "dropping-particle" : "", "family" : "Pearce", "given" : "Jamie", "non-dropping-particle" : "", "parse-names" : false, "suffix" : "" }, { "dropping-particle" : "", "family" : "Dawson", "given" : "Terence", "non-dropping-particle" : "", "parse-names" : false, "suffix" : "" } ], "container-title" : "Environment and Planning A", "id" : "ITEM-2", "issued" : { "date-parts" : [ [ "2010" ] ] }, "page" : "1650-1668", "title" : "Developing summary measures of health-related multiple physical environmental deprivation for epidemiological research", "type" : "article-journal", "volume" : "42" }, "uris" : [ "http://www.mendeley.com/documents/?uuid=365c9b16-a7d9-41b1-ba0b-ebde58033ad6" ] }, { "id" : "ITEM-3", "itemData" : { "author" : [ { "dropping-particle" : "", "family" : "Pearce", "given" : "Jamie", "non-dropping-particle" : "", "parse-names" : false, "suffix" : "" }, { "dropping-particle" : "", "family" : "Richardson", "given" : "Elizabeth", "non-dropping-particle" : "", "parse-names" : false, "suffix" : "" }, { "dropping-particle" : "", "family" : "Mitchell", "given" : "Richard", "non-dropping-particle" : "", "parse-names" : false, "suffix" : "" }, { "dropping-particle" : "", "family" : "Shortt", "given" : "Niamh", "non-dropping-particle" : "", "parse-names" : false, "suffix" : "" } ], "container-title" : "Transactions of the Institute of British Geographers", "id" : "ITEM-3", "issue" : "4", "issued" : { "date-parts" : [ [ "2010" ] ] }, "page" : "522-539", "title" : "Environmental justice and health: the implications of the socio\u2010spatial distribution of multiple environmental deprivation for health inequalities in the United Kingdom", "type" : "article-journal", "volume" : "35" }, "uris" : [ "http://www.mendeley.com/documents/?uuid=69a0522b-f834-4929-9a94-3067d2bf1053" ] } ], "mendeley" : { "formattedCitation" : "(Cummins &lt;i&gt;et al.&lt;/i&gt;, 2007; Pearce &lt;i&gt;et al.&lt;/i&gt;, 2010; Richardson &lt;i&gt;et al.&lt;/i&gt;, 2010)", "plainTextFormattedCitation" : "(Cummins et al., 2007; Pearce et al., 2010; Richardson et al., 2010)", "previouslyFormattedCitation" : "(Cummins &lt;i&gt;et al.&lt;/i&gt;, 2007; Pearce &lt;i&gt;et al.&lt;/i&gt;, 2010; Richardson &lt;i&gt;et al.&lt;/i&gt;, 2010)" }, "properties" : {  }, "schema" : "https://github.com/citation-style-language/schema/raw/master/csl-citation.json" }</w:instrText>
      </w:r>
      <w:r w:rsidR="00C64DE9" w:rsidRPr="0068488B">
        <w:fldChar w:fldCharType="separate"/>
      </w:r>
      <w:r w:rsidR="00C64DE9" w:rsidRPr="0068488B">
        <w:rPr>
          <w:noProof/>
        </w:rPr>
        <w:t xml:space="preserve">(Cummins </w:t>
      </w:r>
      <w:r w:rsidR="00C64DE9" w:rsidRPr="0068488B">
        <w:rPr>
          <w:i/>
          <w:noProof/>
        </w:rPr>
        <w:t>et al.</w:t>
      </w:r>
      <w:r w:rsidR="00C64DE9" w:rsidRPr="0068488B">
        <w:rPr>
          <w:noProof/>
        </w:rPr>
        <w:t xml:space="preserve">, 2007; Pearce </w:t>
      </w:r>
      <w:r w:rsidR="00C64DE9" w:rsidRPr="0068488B">
        <w:rPr>
          <w:i/>
          <w:noProof/>
        </w:rPr>
        <w:t>et al.</w:t>
      </w:r>
      <w:r w:rsidR="00C64DE9" w:rsidRPr="0068488B">
        <w:rPr>
          <w:noProof/>
        </w:rPr>
        <w:t xml:space="preserve">, 2010; Richardson </w:t>
      </w:r>
      <w:r w:rsidR="00C64DE9" w:rsidRPr="0068488B">
        <w:rPr>
          <w:i/>
          <w:noProof/>
        </w:rPr>
        <w:t>et al.</w:t>
      </w:r>
      <w:r w:rsidR="00C64DE9" w:rsidRPr="0068488B">
        <w:rPr>
          <w:noProof/>
        </w:rPr>
        <w:t>, 2010)</w:t>
      </w:r>
      <w:r w:rsidR="00C64DE9" w:rsidRPr="0068488B">
        <w:fldChar w:fldCharType="end"/>
      </w:r>
      <w:r w:rsidRPr="0068488B">
        <w:t xml:space="preserve">. </w:t>
      </w:r>
      <w:r w:rsidR="00E036C6">
        <w:t xml:space="preserve">Incorporating this approach into our index helps policy makers </w:t>
      </w:r>
      <w:r w:rsidR="008A30F0">
        <w:t>t</w:t>
      </w:r>
      <w:r w:rsidR="00E036C6">
        <w:t>arget</w:t>
      </w:r>
      <w:r w:rsidR="008A30F0">
        <w:t xml:space="preserve"> areas</w:t>
      </w:r>
      <w:r w:rsidR="00F35228">
        <w:t xml:space="preserve"> that display numerous poor health-related </w:t>
      </w:r>
      <w:r w:rsidR="00E036C6">
        <w:t xml:space="preserve">characteristics within </w:t>
      </w:r>
      <w:r w:rsidR="00F35228">
        <w:t>environments</w:t>
      </w:r>
      <w:r w:rsidR="006F78ED">
        <w:t>. T</w:t>
      </w:r>
      <w:r w:rsidR="001D4822">
        <w:t>he co-occurrence</w:t>
      </w:r>
      <w:r w:rsidR="00136D56">
        <w:t xml:space="preserve"> of particular environmental </w:t>
      </w:r>
      <w:r w:rsidR="0063047E">
        <w:t>features may have a larger effect on health than compared to individual characteristics</w:t>
      </w:r>
      <w:r w:rsidR="00F35228">
        <w:t>.</w:t>
      </w:r>
      <w:r w:rsidR="008A30F0">
        <w:t xml:space="preserve"> </w:t>
      </w:r>
      <w:r w:rsidR="006F78ED">
        <w:t xml:space="preserve">It may also help to identify common underlying mechanisms that may not be identified through focusing on each characteristic separately. </w:t>
      </w:r>
      <w:r w:rsidRPr="0068488B">
        <w:t>While o</w:t>
      </w:r>
      <w:r w:rsidR="0046479C" w:rsidRPr="0068488B">
        <w:t xml:space="preserve">ur measures </w:t>
      </w:r>
      <w:r w:rsidR="0037721B" w:rsidRPr="0068488B">
        <w:t xml:space="preserve">do not fully remedy </w:t>
      </w:r>
      <w:r w:rsidR="00E036C6">
        <w:t>the issue of added complexity in measuring environmental features</w:t>
      </w:r>
      <w:r w:rsidR="0037721B" w:rsidRPr="0068488B">
        <w:t xml:space="preserve">, </w:t>
      </w:r>
      <w:r w:rsidRPr="0068488B">
        <w:t>they provide a</w:t>
      </w:r>
      <w:r w:rsidR="0046479C" w:rsidRPr="0068488B">
        <w:t xml:space="preserve"> conceptual framework </w:t>
      </w:r>
      <w:r w:rsidRPr="0068488B">
        <w:t>closer towards measuring the holistic environment that influences health</w:t>
      </w:r>
      <w:r w:rsidR="0046479C" w:rsidRPr="0068488B">
        <w:t xml:space="preserve">, </w:t>
      </w:r>
      <w:r w:rsidRPr="0068488B">
        <w:t>as well as</w:t>
      </w:r>
      <w:r w:rsidR="0046479C" w:rsidRPr="0068488B">
        <w:t xml:space="preserve"> allow future studies to </w:t>
      </w:r>
      <w:r w:rsidRPr="0068488B">
        <w:t>explore the</w:t>
      </w:r>
      <w:r w:rsidR="0046479C" w:rsidRPr="0068488B">
        <w:t xml:space="preserve"> interactions </w:t>
      </w:r>
      <w:r w:rsidRPr="0068488B">
        <w:t>between specific features</w:t>
      </w:r>
      <w:r w:rsidR="00E036C6">
        <w:t xml:space="preserve"> through our openly available indicators</w:t>
      </w:r>
      <w:r w:rsidR="0046479C" w:rsidRPr="0068488B">
        <w:t xml:space="preserve">. </w:t>
      </w:r>
    </w:p>
    <w:p w14:paraId="398AEAFF" w14:textId="77777777" w:rsidR="00BB514F" w:rsidRPr="0068488B" w:rsidRDefault="00BB514F"/>
    <w:p w14:paraId="2950B672" w14:textId="278EB1A7" w:rsidR="00FA1ED8" w:rsidRPr="00AC00C4" w:rsidRDefault="006F78ED">
      <w:r>
        <w:t xml:space="preserve">Our analyses revealed a consistent association between our overall AHAH index and three measures of individual-level mental wellbeing. </w:t>
      </w:r>
      <w:r w:rsidR="00FA1ED8">
        <w:t xml:space="preserve">These findings follow </w:t>
      </w:r>
      <w:r w:rsidR="00CB2E53">
        <w:t>previous research that has demonstrated how neighbourhoods (and multiple characteristics of them) are</w:t>
      </w:r>
      <w:r w:rsidR="006B23FB">
        <w:t xml:space="preserve"> associated to several mental health and wellbeing outcomes </w:t>
      </w:r>
      <w:r w:rsidR="006B23FB">
        <w:fldChar w:fldCharType="begin" w:fldLock="1"/>
      </w:r>
      <w:r w:rsidR="006B23FB">
        <w:instrText>ADDIN CSL_CITATION { "citationItems" : [ { "id" : "ITEM-1", "itemData" : { "author" : [ { "dropping-particle" : "", "family" : "Mair", "given" : "C", "non-dropping-particle" : "", "parse-names" : false, "suffix" : "" }, { "dropping-particle" : "V", "family" : "Diez Roux", "given" : "Ana", "non-dropping-particle" : "", "parse-names" : false, "suffix" : "" }, { "dropping-particle" : "", "family" : "Galea", "given" : "S", "non-dropping-particle" : "", "parse-names" : false, "suffix" : "" } ], "container-title" : "Journal of Epidemiology &amp; Community Health", "id" : "ITEM-1", "issue" : "11", "issued" : { "date-parts" : [ [ "2008" ] ] }, "page" : "940-946", "title" : "Are neighbourhood characteristics associated with depressive symptoms? A review of evidence", "type" : "article-journal", "volume" : "62" }, "uris" : [ "http://www.mendeley.com/documents/?uuid=3a78c96d-a749-493f-8fda-e9c54d3ed766" ] }, { "id" : "ITEM-2", "itemData" : { "DOI" : "10.1146/annurev.soc.012809.102529.Socioeconomic", "ISBN" : "0360-0572 (Print)\\r0360-0572 (Linking)", "ISSN" : "0360-0572", "PMID" : "21909182", "abstract" : "The inverse relationships between socioeconomic status (SES) and unhealthy behaviors such as tobacco use, physical inactivity, and poor nutrition have been well demonstrated empirically but encompass diverse underlying causal mechanisms. These mechanisms have special theoretical importance because disparities in health behaviors, unlike disparities in many other components of health, involve something more than the ability to use income to purchase good health. Based on a review of broad literatures in sociology, economics, and public health, we classify explanations of higher smoking, lower exercise, poorer diet, and excess weight among low-SES persons into nine broad groups that specify related but conceptually distinct mechanisms. The lack of clear support for any one explanation suggests that the literature on SES disparities in health and health behaviors can do more to design studies that better test for the importance of the varied mechanisms.", "author" : [ { "dropping-particle" : "", "family" : "Pampel", "given" : "Fred C", "non-dropping-particle" : "", "parse-names" : false, "suffix" : "" }, { "dropping-particle" : "", "family" : "Krueger", "given" : "PM", "non-dropping-particle" : "", "parse-names" : false, "suffix" : "" }, { "dropping-particle" : "", "family" : "Denney", "given" : "JT", "non-dropping-particle" : "", "parse-names" : false, "suffix" : "" } ], "container-title" : "Annual Review of Sociology", "id" : "ITEM-2", "issued" : { "date-parts" : [ [ "2010" ] ] }, "page" : "349-370", "title" : "Socioeconomic disparities in health behaviors", "type" : "article-journal", "volume" : "36" }, "uris" : [ "http://www.mendeley.com/documents/?uuid=0ddc764f-1ccc-4189-887b-ff9ce2d86cf7" ] } ], "mendeley" : { "formattedCitation" : "(Mair, Diez Roux and Galea, 2008; Pampel, Krueger and Denney, 2010)", "plainTextFormattedCitation" : "(Mair, Diez Roux and Galea, 2008; Pampel, Krueger and Denney, 2010)", "previouslyFormattedCitation" : "(Mair, Diez Roux and Galea, 2008; Pampel, Krueger and Denney, 2010)" }, "properties" : {  }, "schema" : "https://github.com/citation-style-language/schema/raw/master/csl-citation.json" }</w:instrText>
      </w:r>
      <w:r w:rsidR="006B23FB">
        <w:fldChar w:fldCharType="separate"/>
      </w:r>
      <w:r w:rsidR="006B23FB" w:rsidRPr="006B23FB">
        <w:rPr>
          <w:noProof/>
        </w:rPr>
        <w:t>(Mair, Diez Roux and Galea, 2008; Pampel, Krueger and Denney, 2010)</w:t>
      </w:r>
      <w:r w:rsidR="006B23FB">
        <w:fldChar w:fldCharType="end"/>
      </w:r>
      <w:r w:rsidR="00FA1ED8">
        <w:t xml:space="preserve">. </w:t>
      </w:r>
      <w:r w:rsidR="000E3E75">
        <w:t xml:space="preserve">It suggests that our index </w:t>
      </w:r>
      <w:r w:rsidR="00FA1ED8">
        <w:t>may be useful for understanding the determinants of wellbeing, as well as measuring the environmental quality of areas. Policy makers could use the index to target neighbourhoods to focus the delivery of interventions aimed at improving wellbeing and mental health related outcomes.</w:t>
      </w:r>
      <w:r w:rsidR="000E3E75">
        <w:t xml:space="preserve"> </w:t>
      </w:r>
      <w:r w:rsidR="00AC00C4">
        <w:t xml:space="preserve">While we demonstrate an association, we are unable to show </w:t>
      </w:r>
      <w:r w:rsidR="00AC00C4">
        <w:rPr>
          <w:i/>
        </w:rPr>
        <w:t>why</w:t>
      </w:r>
      <w:r w:rsidR="00AC00C4">
        <w:t xml:space="preserve"> the index is associated to wellbeing. Future research will need to understand what is driving this association, which will be key for demonstrating the importance of using the index for targeting purposes.</w:t>
      </w:r>
    </w:p>
    <w:p w14:paraId="3222A25B" w14:textId="77777777" w:rsidR="00FA1ED8" w:rsidRDefault="00FA1ED8"/>
    <w:p w14:paraId="2D51F498" w14:textId="74521B1B" w:rsidR="0046479C" w:rsidRPr="0068488B" w:rsidRDefault="006F78ED">
      <w:r>
        <w:t xml:space="preserve">We did not find any associations of the index </w:t>
      </w:r>
      <w:r w:rsidR="00BB514F" w:rsidRPr="0068488B">
        <w:t>to</w:t>
      </w:r>
      <w:r w:rsidR="00AD1B41" w:rsidRPr="0068488B">
        <w:t xml:space="preserve"> </w:t>
      </w:r>
      <w:r w:rsidR="00356B92">
        <w:t xml:space="preserve">our </w:t>
      </w:r>
      <w:r w:rsidR="00AD1B41" w:rsidRPr="0068488B">
        <w:t>physical health</w:t>
      </w:r>
      <w:r w:rsidR="00BB514F" w:rsidRPr="0068488B">
        <w:t xml:space="preserve"> </w:t>
      </w:r>
      <w:r w:rsidR="00356B92">
        <w:t>measures</w:t>
      </w:r>
      <w:r>
        <w:t xml:space="preserve">, </w:t>
      </w:r>
      <w:r w:rsidR="00524665">
        <w:t>which suggests that the utility of the index may be limited. H</w:t>
      </w:r>
      <w:r>
        <w:t>owever</w:t>
      </w:r>
      <w:r w:rsidR="00524665">
        <w:t>,</w:t>
      </w:r>
      <w:r>
        <w:t xml:space="preserve"> this</w:t>
      </w:r>
      <w:r w:rsidR="00524665">
        <w:t xml:space="preserve"> result</w:t>
      </w:r>
      <w:r w:rsidR="004578EF" w:rsidRPr="0068488B">
        <w:t xml:space="preserve"> </w:t>
      </w:r>
      <w:r w:rsidR="00BB514F" w:rsidRPr="0068488B">
        <w:t xml:space="preserve">may not be </w:t>
      </w:r>
      <w:r w:rsidR="00AD1B41" w:rsidRPr="0068488B">
        <w:t xml:space="preserve">unsurprising. </w:t>
      </w:r>
      <w:r w:rsidR="009A457B" w:rsidRPr="0068488B">
        <w:t>An individual’s p</w:t>
      </w:r>
      <w:r w:rsidR="0046479C" w:rsidRPr="0068488B">
        <w:t xml:space="preserve">hysical health </w:t>
      </w:r>
      <w:r w:rsidR="009A457B" w:rsidRPr="0068488B">
        <w:t>will be influenced by</w:t>
      </w:r>
      <w:r w:rsidR="0046479C" w:rsidRPr="0068488B">
        <w:t xml:space="preserve"> longer-term environmental influences</w:t>
      </w:r>
      <w:r w:rsidR="009A457B" w:rsidRPr="0068488B">
        <w:t xml:space="preserve"> </w:t>
      </w:r>
      <w:r w:rsidR="00E31F73" w:rsidRPr="0068488B">
        <w:fldChar w:fldCharType="begin" w:fldLock="1"/>
      </w:r>
      <w:r w:rsidR="00331189" w:rsidRPr="0068488B">
        <w:instrText>ADDIN CSL_CITATION { "citationItems" : [ { "id" : "ITEM-1", "itemData" : { "author" : [ { "dropping-particle" : "", "family" : "Diez-Roux", "given" : "Ana", "non-dropping-particle" : "", "parse-names" : false, "suffix" : "" } ], "container-title" : "American Journal of Public Health", "id" : "ITEM-1", "issue" : "11", "issued" : { "date-parts" : [ [ "2001" ] ] }, "page" : "1783-1789", "title" : "Investigating Neighborhood and Area Effects on Health", "type" : "article-journal", "volume" : "91" }, "uris" : [ "http://www.mendeley.com/documents/?uuid=dc5ef28e-283e-4ed7-8a39-c4ad6347ea31" ] } ], "mendeley" : { "formattedCitation" : "(Diez-Roux, 2001)", "plainTextFormattedCitation" : "(Diez-Roux, 2001)", "previouslyFormattedCitation" : "(Diez-Roux, 2001)" }, "properties" : {  }, "schema" : "https://github.com/citation-style-language/schema/raw/master/csl-citation.json" }</w:instrText>
      </w:r>
      <w:r w:rsidR="00E31F73" w:rsidRPr="0068488B">
        <w:fldChar w:fldCharType="separate"/>
      </w:r>
      <w:r w:rsidR="00331189" w:rsidRPr="0068488B">
        <w:rPr>
          <w:noProof/>
        </w:rPr>
        <w:t>(Diez-Roux, 2001)</w:t>
      </w:r>
      <w:r w:rsidR="00E31F73" w:rsidRPr="0068488B">
        <w:fldChar w:fldCharType="end"/>
      </w:r>
      <w:r w:rsidR="00AD1B41" w:rsidRPr="0068488B">
        <w:t>, and therefore may be less likely to be affected by purely the current characteristics of the environment alone</w:t>
      </w:r>
      <w:r w:rsidR="0046479C" w:rsidRPr="0068488B">
        <w:t xml:space="preserve">. </w:t>
      </w:r>
      <w:r w:rsidR="00AC34BA" w:rsidRPr="0068488B">
        <w:t xml:space="preserve">Constructing life course measures of neighbourhood-related features is difficult due to data accessibility limitations, however offer potential for exciting analyses and stronger investigations into the role of environmental features </w:t>
      </w:r>
      <w:r w:rsidR="00E31F73" w:rsidRPr="0068488B">
        <w:fldChar w:fldCharType="begin" w:fldLock="1"/>
      </w:r>
      <w:r w:rsidR="00E31F73" w:rsidRPr="0068488B">
        <w:instrText>ADDIN CSL_CITATION { "citationItems" : [ { "id" : "ITEM-1", "itemData" : { "author" : [ { "dropping-particle" : "", "family" : "Cherrie", "given" : "Mark", "non-dropping-particle" : "", "parse-names" : false, "suffix" : "" }, { "dropping-particle" : "", "family" : "Shortt", "given" : "Niamh", "non-dropping-particle" : "", "parse-names" : false, "suffix" : "" }, { "dropping-particle" : "", "family" : "Mitchell", "given" : "Richard", "non-dropping-particle" : "", "parse-names" : false, "suffix" : "" }, { "dropping-particle" : "", "family" : "Taylor", "given" : "A", "non-dropping-particle" : "", "parse-names" : false, "suffix" : "" }, { "dropping-particle" : "", "family" : "Redmond", "given" : "P", "non-dropping-particle" : "", "parse-names" : false, "suffix" : "" }, { "dropping-particle" : "", "family" : "Thompson", "given" : "C", "non-dropping-particle" : "", "parse-names" : false, "suffix" : "" }, { "dropping-particle" : "", "family" : "Starr", "given" : "J", "non-dropping-particle" : "", "parse-names" : false, "suffix" : "" }, { "dropping-particle" : "", "family" : "Deary", "given" : "I", "non-dropping-particle" : "", "parse-names" : false, "suffix" : "" }, { "dropping-particle" : "", "family" : "Pearce", "given" : "Jamie", "non-dropping-particle" : "", "parse-names" : false, "suffix" : "" } ], "container-title" : "Social Science &amp; Medicine", "id" : "ITEM-1", "issued" : { "date-parts" : [ [ "2018" ] ] }, "page" : "56-65", "title" : "Green space and cognitive ageing: A retrospective life course analysis in the Lothian Birth Cohort 1936", "type" : "article-journal", "volume" : "196" }, "uris" : [ "http://www.mendeley.com/documents/?uuid=fb5fda0a-f65e-47d2-8430-0005cb4e75d7" ] } ], "mendeley" : { "formattedCitation" : "(Cherrie &lt;i&gt;et al.&lt;/i&gt;, 2018)", "plainTextFormattedCitation" : "(Cherrie et al., 2018)", "previouslyFormattedCitation" : "(Cherrie &lt;i&gt;et al.&lt;/i&gt;, 2018)" }, "properties" : {  }, "schema" : "https://github.com/citation-style-language/schema/raw/master/csl-citation.json" }</w:instrText>
      </w:r>
      <w:r w:rsidR="00E31F73" w:rsidRPr="0068488B">
        <w:fldChar w:fldCharType="separate"/>
      </w:r>
      <w:r w:rsidR="00E31F73" w:rsidRPr="0068488B">
        <w:rPr>
          <w:noProof/>
        </w:rPr>
        <w:t xml:space="preserve">(Cherrie </w:t>
      </w:r>
      <w:r w:rsidR="00E31F73" w:rsidRPr="0068488B">
        <w:rPr>
          <w:i/>
          <w:noProof/>
        </w:rPr>
        <w:t>et al.</w:t>
      </w:r>
      <w:r w:rsidR="00E31F73" w:rsidRPr="0068488B">
        <w:rPr>
          <w:noProof/>
        </w:rPr>
        <w:t>, 2018)</w:t>
      </w:r>
      <w:r w:rsidR="00E31F73" w:rsidRPr="0068488B">
        <w:fldChar w:fldCharType="end"/>
      </w:r>
      <w:r w:rsidR="00AC34BA" w:rsidRPr="0068488B">
        <w:t xml:space="preserve">. With AHAH we were unable to construct historical measures, however we are aiming to update the measure annually to allow for such analyses in the future. </w:t>
      </w:r>
    </w:p>
    <w:p w14:paraId="09F148F7" w14:textId="77777777" w:rsidR="00AC34BA" w:rsidRPr="0068488B" w:rsidRDefault="00AC34BA"/>
    <w:p w14:paraId="2BBFB188" w14:textId="554A25B0" w:rsidR="00A9224D" w:rsidRPr="0068488B" w:rsidRDefault="00AC34BA">
      <w:r w:rsidRPr="0068488B">
        <w:lastRenderedPageBreak/>
        <w:t>It is probably no surprise that the individual domains are stronger predictors of health and wellbeing than the overall index. They each represent specific aspects of the environment that may become masked when combined together into a single indicator.</w:t>
      </w:r>
      <w:r w:rsidR="00C5640A" w:rsidRPr="0068488B">
        <w:t xml:space="preserve"> </w:t>
      </w:r>
      <w:r w:rsidR="00B8579C">
        <w:t xml:space="preserve">The physical environment domain was associated to both physical and mental health measures. </w:t>
      </w:r>
      <w:r w:rsidR="00271FE3">
        <w:t xml:space="preserve">Given that each constituent component of the domain have been widely demonstrated to be associated with health and wellbeing </w:t>
      </w:r>
      <w:r w:rsidR="00271FE3">
        <w:fldChar w:fldCharType="begin" w:fldLock="1"/>
      </w:r>
      <w:r w:rsidR="00271FE3">
        <w:instrText>ADDIN CSL_CITATION { "citationItems" : [ { "id" : "ITEM-1", "itemData" : { "author" : [ { "dropping-particle" : "", "family" : "Mitchell", "given" : "Richard", "non-dropping-particle" : "", "parse-names" : false, "suffix" : "" }, { "dropping-particle" : "", "family" : "Popham", "given" : "Frank", "non-dropping-particle" : "", "parse-names" : false, "suffix" : "" } ], "container-title" : "The Lancet", "id" : "ITEM-1", "issue" : "9650", "issued" : { "date-parts" : [ [ "2008" ] ] }, "page" : "1655-1660", "title" : "Effect of exposure to natural environment on health inequalities: an observational population study", "type" : "article-journal", "volume" : "372" }, "uris" : [ "http://www.mendeley.com/documents/?uuid=d793f723-bafa-4a74-896a-e4f75e64bed6" ] }, { "id" : "ITEM-2", "itemData" : { "author" : [ { "dropping-particle" : "", "family" : "Cherrie", "given" : "Mark", "non-dropping-particle" : "", "parse-names" : false, "suffix" : "" }, { "dropping-particle" : "", "family" : "Shortt", "given" : "Niamh", "non-dropping-particle" : "", "parse-names" : false, "suffix" : "" }, { "dropping-particle" : "", "family" : "Mitchell", "given" : "Richard", "non-dropping-particle" : "", "parse-names" : false, "suffix" : "" }, { "dropping-particle" : "", "family" : "Taylor", "given" : "A", "non-dropping-particle" : "", "parse-names" : false, "suffix" : "" }, { "dropping-particle" : "", "family" : "Redmond", "given" : "P", "non-dropping-particle" : "", "parse-names" : false, "suffix" : "" }, { "dropping-particle" : "", "family" : "Thompson", "given" : "C", "non-dropping-particle" : "", "parse-names" : false, "suffix" : "" }, { "dropping-particle" : "", "family" : "Starr", "given" : "J", "non-dropping-particle" : "", "parse-names" : false, "suffix" : "" }, { "dropping-particle" : "", "family" : "Deary", "given" : "I", "non-dropping-particle" : "", "parse-names" : false, "suffix" : "" }, { "dropping-particle" : "", "family" : "Pearce", "given" : "Jamie", "non-dropping-particle" : "", "parse-names" : false, "suffix" : "" } ], "container-title" : "Social Science &amp; Medicine", "id" : "ITEM-2", "issued" : { "date-parts" : [ [ "2018" ] ] }, "page" : "56-65", "title" : "Green space and cognitive ageing: A retrospective life course analysis in the Lothian Birth Cohort 1936", "type" : "article-journal", "volume" : "196" }, "uris" : [ "http://www.mendeley.com/documents/?uuid=fb5fda0a-f65e-47d2-8430-0005cb4e75d7" ] }, { "id" : "ITEM-3", "itemData" : { "author" : [ { "dropping-particle" : "", "family" : "Wheeler", "given" : "Benedict", "non-dropping-particle" : "", "parse-names" : false, "suffix" : "" }, { "dropping-particle" : "", "family" : "Ben-Shlomo", "given" : "Yoav", "non-dropping-particle" : "", "parse-names" : false, "suffix" : "" } ], "container-title" : "Journal of Epidemiology &amp; Community Health", "id" : "ITEM-3", "issue" : "11", "issued" : { "date-parts" : [ [ "2005" ] ] }, "title" : "Environmental equity, air quality, socioeconomic status, and respiratory health: a linkage analysis of routine data from the Health Survey for England", "type" : "article-journal", "volume" : "59" }, "uris" : [ "http://www.mendeley.com/documents/?uuid=20f9dd86-76b8-4338-a18c-1d0c6a3f1cbb" ] }, { "id" : "ITEM-4", "itemData" : { "author" : [ { "dropping-particle" : "", "family" : "Shah", "given" : "Anoop", "non-dropping-particle" : "", "parse-names" : false, "suffix" : "" }, { "dropping-particle" : "", "family" : "Ken Lee", "given" : "Kuan", "non-dropping-particle" : "", "parse-names" : false, "suffix" : "" }, { "dropping-particle" : "", "family" : "McAllister", "given" : "David", "non-dropping-particle" : "", "parse-names" : false, "suffix" : "" }, { "dropping-particle" : "", "family" : "Hunter", "given" : "Amanda", "non-dropping-particle" : "", "parse-names" : false, "suffix" : "" }, { "dropping-particle" : "", "family" : "Nair", "given" : "Harish", "non-dropping-particle" : "", "parse-names" : false, "suffix" : "" }, { "dropping-particle" : "", "family" : "Whiteley", "given" : "William", "non-dropping-particle" : "", "parse-names" : false, "suffix" : "" }, { "dropping-particle" : "", "family" : "Langrish", "given" : "Jeremy", "non-dropping-particle" : "", "parse-names" : false, "suffix" : "" }, { "dropping-particle" : "", "family" : "Newby", "given" : "David", "non-dropping-particle" : "", "parse-names" : false, "suffix" : "" }, { "dropping-particle" : "", "family" : "Mills", "given" : "Nicholas", "non-dropping-particle" : "", "parse-names" : false, "suffix" : "" } ], "container-title" : "BMJ", "id" : "ITEM-4", "issued" : { "date-parts" : [ [ "2015" ] ] }, "page" : "h1295", "title" : "Short term exposure to air pollution and stroke: systematic review and meta-analysis", "type" : "article-journal", "volume" : "350" }, "uris" : [ "http://www.mendeley.com/documents/?uuid=506b8760-d436-4d55-88dd-921f8bb379c3" ] } ], "mendeley" : { "formattedCitation" : "(Wheeler and Ben-Shlomo, 2005; Mitchell and Popham, 2008; Shah &lt;i&gt;et al.&lt;/i&gt;, 2015; Cherrie &lt;i&gt;et al.&lt;/i&gt;, 2018)", "plainTextFormattedCitation" : "(Wheeler and Ben-Shlomo, 2005; Mitchell and Popham, 2008; Shah et al., 2015; Cherrie et al., 2018)", "previouslyFormattedCitation" : "(Wheeler and Ben-Shlomo, 2005; Mitchell and Popham, 2008; Shah &lt;i&gt;et al.&lt;/i&gt;, 2015; Cherrie &lt;i&gt;et al.&lt;/i&gt;, 2018)" }, "properties" : {  }, "schema" : "https://github.com/citation-style-language/schema/raw/master/csl-citation.json" }</w:instrText>
      </w:r>
      <w:r w:rsidR="00271FE3">
        <w:fldChar w:fldCharType="separate"/>
      </w:r>
      <w:r w:rsidR="00271FE3" w:rsidRPr="00271FE3">
        <w:rPr>
          <w:noProof/>
        </w:rPr>
        <w:t xml:space="preserve">(Wheeler and Ben-Shlomo, 2005; Mitchell and Popham, 2008; Shah </w:t>
      </w:r>
      <w:r w:rsidR="00271FE3" w:rsidRPr="00271FE3">
        <w:rPr>
          <w:i/>
          <w:noProof/>
        </w:rPr>
        <w:t>et al.</w:t>
      </w:r>
      <w:r w:rsidR="00271FE3" w:rsidRPr="00271FE3">
        <w:rPr>
          <w:noProof/>
        </w:rPr>
        <w:t xml:space="preserve">, 2015; Cherrie </w:t>
      </w:r>
      <w:r w:rsidR="00271FE3" w:rsidRPr="00271FE3">
        <w:rPr>
          <w:i/>
          <w:noProof/>
        </w:rPr>
        <w:t>et al.</w:t>
      </w:r>
      <w:r w:rsidR="00271FE3" w:rsidRPr="00271FE3">
        <w:rPr>
          <w:noProof/>
        </w:rPr>
        <w:t>, 2018)</w:t>
      </w:r>
      <w:r w:rsidR="00271FE3">
        <w:fldChar w:fldCharType="end"/>
      </w:r>
      <w:r w:rsidR="00271FE3">
        <w:t xml:space="preserve">, </w:t>
      </w:r>
      <w:r w:rsidR="007A00B3">
        <w:t>such a result gives validity to the construction of the domain</w:t>
      </w:r>
      <w:r w:rsidR="00271FE3">
        <w:t xml:space="preserve">. </w:t>
      </w:r>
      <w:r w:rsidR="00B8579C">
        <w:t>The retail domain was</w:t>
      </w:r>
      <w:r w:rsidR="007A00B3">
        <w:t xml:space="preserve"> found to be associated to mental health, but not physical health. This finding contrasts with the wider literature which has placed greater focus on physical health outcomes or health behaviours </w:t>
      </w:r>
      <w:r w:rsidR="007A00B3">
        <w:fldChar w:fldCharType="begin" w:fldLock="1"/>
      </w:r>
      <w:r w:rsidR="0096304B">
        <w:instrText>ADDIN CSL_CITATION { "citationItems" : [ { "id" : "ITEM-1", "itemData" : { "author" : [ { "dropping-particle" : "", "family" : "Shortt", "given" : "Niamh", "non-dropping-particle" : "", "parse-names" : false, "suffix" : "" }, { "dropping-particle" : "", "family" : "Tisch", "given" : "C", "non-dropping-particle" : "", "parse-names" : false, "suffix" : "" }, { "dropping-particle" : "", "family" : "Pearce", "given" : "Jamie", "non-dropping-particle" : "", "parse-names" : false, "suffix" : "" }, { "dropping-particle" : "", "family" : "Richardson", "given" : "Elizabeth", "non-dropping-particle" : "", "parse-names" : false, "suffix" : "" }, { "dropping-particle" : "", "family" : "Mitchell", "given" : "Richard", "non-dropping-particle" : "", "parse-names" : false, "suffix" : "" } ], "container-title" : "Tobacco Control", "id" : "ITEM-1", "issued" : { "date-parts" : [ [ "2016" ] ] }, "page" : "75-82", "title" : "The density of tobacco retailers in home and school environments and relationship with adolescent smoking behaviours in Scotland", "type" : "article-journal", "volume" : "25" }, "uris" : [ "http://www.mendeley.com/documents/?uuid=354371c4-7065-4bf9-bce3-952601396c54" ] }, { "id" : "ITEM-2", "itemData" : { "author" : [ { "dropping-particle" : "", "family" : "Shrek", "given" : "Adam", "non-dropping-particle" : "", "parse-names" : false, "suffix" : "" }, { "dropping-particle" : "", "family" : "Stockwell", "given" : "Tim", "non-dropping-particle" : "", "parse-names" : false, "suffix" : "" }, { "dropping-particle" : "", "family" : "Chikritzhs", "given" : "Tanya", "non-dropping-particle" : "", "parse-names" : false, "suffix" : "" }, { "dropping-particle" : "", "family" : "Andreasson", "given" : "Sven", "non-dropping-particle" : "", "parse-names" : false, "suffix" : "" }, { "dropping-particle" : "", "family" : "Angus", "given" : "Colin", "non-dropping-particle" : "", "parse-names" : false, "suffix" : "" }, { "dropping-particle" : "", "family" : "Gripenberg", "given" : "Johanna", "non-dropping-particle" : "", "parse-names" : false, "suffix" : "" }, { "dropping-particle" : "", "family" : "Holder", "given" : "Harold", "non-dropping-particle" : "", "parse-names" : false, "suffix" : "" }, { "dropping-particle" : "", "family" : "Holmes", "given" : "John", "non-dropping-particle" : "", "parse-names" : false, "suffix" : "" }, { "dropping-particle" : "", "family" : "Makela", "given" : "Pia", "non-dropping-particle" : "", "parse-names" : false, "suffix" : "" }, { "dropping-particle" : "", "family" : "Mills", "given" : "Megan", "non-dropping-particle" : "", "parse-names" : false, "suffix" : "" }, { "dropping-particle" : "", "family" : "Norstrom", "given" : "Thor", "non-dropping-particle" : "", "parse-names" : false, "suffix" : "" }, { "dropping-particle" : "", "family" : "Ramstedt", "given" : "Mats", "non-dropping-particle" : "", "parse-names" : false, "suffix" : "" }, { "dropping-particle" : "", "family" : "Woods", "given" : "Jonathan", "non-dropping-particle" : "", "parse-names" : false, "suffix" : "" } ], "container-title" : "Journal of Studies on Alcohol and Drugs", "id" : "ITEM-2", "issue" : "1", "issued" : { "date-parts" : [ [ "2018" ] ] }, "page" : "58-67", "title" : "Alcohol Consumption and the Physical Availability of Take-Away Alcohol: Systematic Reviews and Meta-Analyses of the Days and Hours of Sale and Outlet Density", "type" : "article-journal", "volume" : "79" }, "uris" : [ "http://www.mendeley.com/documents/?uuid=9925980a-861d-4622-9400-61ab76657e29" ] }, { "id" : "ITEM-3", "itemData" : { "author" : [ { "dropping-particle" : "", "family" : "Fraser", "given" : "Lorna", "non-dropping-particle" : "", "parse-names" : false, "suffix" : "" }, { "dropping-particle" : "", "family" : "Edwards", "given" : "Kimberley", "non-dropping-particle" : "", "parse-names" : false, "suffix" : "" } ], "container-title" : "Health &amp; Place", "id" : "ITEM-3", "issue" : "6", "issued" : { "date-parts" : [ [ "2010" ] ] }, "page" : "1124-1128", "title" : "The association between the geography of fast food outlets and childhood obesity rates in Leeds, UK", "type" : "article-journal", "volume" : "16" }, "uris" : [ "http://www.mendeley.com/documents/?uuid=5856721f-3f3b-4274-a50f-b4c48b90b2bc" ] } ], "mendeley" : { "formattedCitation" : "(Fraser and Edwards, 2010; Shortt &lt;i&gt;et al.&lt;/i&gt;, 2016; Shrek &lt;i&gt;et al.&lt;/i&gt;, 2018)", "plainTextFormattedCitation" : "(Fraser and Edwards, 2010; Shortt et al., 2016; Shrek et al., 2018)", "previouslyFormattedCitation" : "(Fraser and Edwards, 2010; Shortt &lt;i&gt;et al.&lt;/i&gt;, 2016; Shrek &lt;i&gt;et al.&lt;/i&gt;, 2018)" }, "properties" : {  }, "schema" : "https://github.com/citation-style-language/schema/raw/master/csl-citation.json" }</w:instrText>
      </w:r>
      <w:r w:rsidR="007A00B3">
        <w:fldChar w:fldCharType="separate"/>
      </w:r>
      <w:r w:rsidR="007A00B3" w:rsidRPr="007A00B3">
        <w:rPr>
          <w:noProof/>
        </w:rPr>
        <w:t xml:space="preserve">(Fraser and Edwards, 2010; Shortt </w:t>
      </w:r>
      <w:r w:rsidR="007A00B3" w:rsidRPr="007A00B3">
        <w:rPr>
          <w:i/>
          <w:noProof/>
        </w:rPr>
        <w:t>et al.</w:t>
      </w:r>
      <w:r w:rsidR="007A00B3" w:rsidRPr="007A00B3">
        <w:rPr>
          <w:noProof/>
        </w:rPr>
        <w:t xml:space="preserve">, 2016; Shrek </w:t>
      </w:r>
      <w:r w:rsidR="007A00B3" w:rsidRPr="007A00B3">
        <w:rPr>
          <w:i/>
          <w:noProof/>
        </w:rPr>
        <w:t>et al.</w:t>
      </w:r>
      <w:r w:rsidR="007A00B3" w:rsidRPr="007A00B3">
        <w:rPr>
          <w:noProof/>
        </w:rPr>
        <w:t>, 2018)</w:t>
      </w:r>
      <w:r w:rsidR="007A00B3">
        <w:fldChar w:fldCharType="end"/>
      </w:r>
      <w:r w:rsidR="007A00B3">
        <w:t>. However, there has been little study into how such outlets may influence wellbeing and the possible mechanisms for how it may operate, demonstrating the need for further investigation.</w:t>
      </w:r>
      <w:r w:rsidR="00B8579C">
        <w:t xml:space="preserve"> </w:t>
      </w:r>
      <w:r w:rsidR="0096304B">
        <w:t xml:space="preserve">Finally, </w:t>
      </w:r>
      <w:r w:rsidR="00C66212">
        <w:t xml:space="preserve">we detected associations between the </w:t>
      </w:r>
      <w:r w:rsidR="00C5640A" w:rsidRPr="0068488B">
        <w:t xml:space="preserve">health domain </w:t>
      </w:r>
      <w:r w:rsidR="00C66212">
        <w:t xml:space="preserve">and both physical and mental health. However, the direction of association was the opposite of what was expected with individuals who lived further away demonstrating poorer health and wellbeing. </w:t>
      </w:r>
      <w:r w:rsidR="00CF0D91">
        <w:t xml:space="preserve">Such findings have been observed elsewhere and often reflect </w:t>
      </w:r>
      <w:r w:rsidR="00FA430E">
        <w:t>compositional</w:t>
      </w:r>
      <w:r w:rsidR="00CF0D91">
        <w:t xml:space="preserve"> issues, with individuals who live further away tending to be of high socioeconomic status and therefore at lower risk of ill health or poor wellbeing </w:t>
      </w:r>
      <w:r w:rsidR="00C64DE9" w:rsidRPr="0068488B">
        <w:fldChar w:fldCharType="begin" w:fldLock="1"/>
      </w:r>
      <w:r w:rsidR="000D0546">
        <w:instrText>ADDIN CSL_CITATION { "citationItems" : [ { "id" : "ITEM-1", "itemData" : { "author" : [ { "dropping-particle" : "", "family" : "Lovett", "given" : "Andrew", "non-dropping-particle" : "", "parse-names" : false, "suffix" : "" }, { "dropping-particle" : "", "family" : "Haynes", "given" : "Robin", "non-dropping-particle" : "", "parse-names" : false, "suffix" : "" }, { "dropping-particle" : "", "family" : "Sunnenberg", "given" : "Gisela", "non-dropping-particle" : "", "parse-names" : false, "suffix" : "" }, { "dropping-particle" : "", "family" : "Gale", "given" : "Susan", "non-dropping-particle" : "", "parse-names" : false, "suffix" : "" } ], "container-title" : "Social Science &amp; Medicine", "id" : "ITEM-1", "issue" : "1", "issued" : { "date-parts" : [ [ "2002" ] ] }, "page" : "97-111", "title" : "Car travel time and accessibility by bus to general practitioner services: a study using patient registers and GIS", "type" : "article-journal", "volume" : "55" }, "uris" : [ "http://www.mendeley.com/documents/?uuid=94ff7ef3-85be-48e9-9e58-a11c639f890c" ] }, { "id" : "ITEM-2", "itemData" : { "author" : [ { "dropping-particle" : "", "family" : "Haynes", "given" : "Robin", "non-dropping-particle" : "", "parse-names" : false, "suffix" : "" }, { "dropping-particle" : "", "family" : "Lovett", "given" : "Andrew", "non-dropping-particle" : "", "parse-names" : false, "suffix" : "" }, { "dropping-particle" : "", "family" : "Sunnenberg", "given" : "Gisela", "non-dropping-particle" : "", "parse-names" : false, "suffix" : "" } ], "container-title" : "Environment and Planning A", "id" : "ITEM-2", "issue" : "10", "issued" : { "date-parts" : [ [ "2003" ] ] }, "page" : "1733-1750", "title" : "Potential Accessibility, Travel Time, and Consumer Choice: Geographical Variations in General Medical Practice Registrations in Eastern England", "type" : "article-journal", "volume" : "35" }, "uris" : [ "http://www.mendeley.com/documents/?uuid=fbc6d6cc-b437-412c-9c22-36ff2d0a9b49" ] } ], "mendeley" : { "formattedCitation" : "(Lovett &lt;i&gt;et al.&lt;/i&gt;, 2002; Haynes, Lovett and Sunnenberg, 2003)", "plainTextFormattedCitation" : "(Lovett et al., 2002; Haynes, Lovett and Sunnenberg, 2003)", "previouslyFormattedCitation" : "(Lovett &lt;i&gt;et al.&lt;/i&gt;, 2002; Haynes, Lovett and Sunnenberg, 2003)" }, "properties" : {  }, "schema" : "https://github.com/citation-style-language/schema/raw/master/csl-citation.json" }</w:instrText>
      </w:r>
      <w:r w:rsidR="00C64DE9" w:rsidRPr="0068488B">
        <w:fldChar w:fldCharType="separate"/>
      </w:r>
      <w:r w:rsidR="000D0546" w:rsidRPr="000D0546">
        <w:rPr>
          <w:noProof/>
        </w:rPr>
        <w:t xml:space="preserve">(Lovett </w:t>
      </w:r>
      <w:r w:rsidR="000D0546" w:rsidRPr="000D0546">
        <w:rPr>
          <w:i/>
          <w:noProof/>
        </w:rPr>
        <w:t>et al.</w:t>
      </w:r>
      <w:r w:rsidR="000D0546" w:rsidRPr="000D0546">
        <w:rPr>
          <w:noProof/>
        </w:rPr>
        <w:t>, 2002; Haynes, Lovett and Sunnenberg, 2003)</w:t>
      </w:r>
      <w:r w:rsidR="00C64DE9" w:rsidRPr="0068488B">
        <w:fldChar w:fldCharType="end"/>
      </w:r>
      <w:r w:rsidR="00CF0D91">
        <w:t>.</w:t>
      </w:r>
    </w:p>
    <w:p w14:paraId="2EB02989" w14:textId="77777777" w:rsidR="00DF7FC6" w:rsidRPr="0068488B" w:rsidRDefault="00DF7FC6"/>
    <w:p w14:paraId="0BD748D3" w14:textId="1894BD10" w:rsidR="00710AC1" w:rsidRPr="0068488B" w:rsidRDefault="00DF7FC6">
      <w:r w:rsidRPr="0068488B">
        <w:t>Irrespective of whether the associations</w:t>
      </w:r>
      <w:r w:rsidR="00EE0FED" w:rsidRPr="0068488B">
        <w:t xml:space="preserve"> </w:t>
      </w:r>
      <w:r w:rsidR="00082FB1">
        <w:t xml:space="preserve">between our indicators and health/wellbeing </w:t>
      </w:r>
      <w:r w:rsidR="00EE0FED" w:rsidRPr="0068488B">
        <w:t>detected have wider validity for</w:t>
      </w:r>
      <w:r w:rsidRPr="0068488B">
        <w:t xml:space="preserve"> understanding </w:t>
      </w:r>
      <w:r w:rsidR="00082FB1">
        <w:t xml:space="preserve">the determinants of </w:t>
      </w:r>
      <w:r w:rsidRPr="0068488B">
        <w:t xml:space="preserve">health, the whole suite of open access measures have wider applicability to </w:t>
      </w:r>
      <w:r w:rsidR="00DD44AA">
        <w:t xml:space="preserve">researchers and </w:t>
      </w:r>
      <w:r w:rsidRPr="0068488B">
        <w:t xml:space="preserve">policy makers. </w:t>
      </w:r>
      <w:r w:rsidR="00C926BD">
        <w:t xml:space="preserve">To our knowledge, there is no other </w:t>
      </w:r>
      <w:r w:rsidR="00415848">
        <w:t xml:space="preserve">comprehensive </w:t>
      </w:r>
      <w:r w:rsidR="00C926BD">
        <w:t xml:space="preserve">small-scale set of health-related indicators </w:t>
      </w:r>
      <w:r w:rsidR="00DD44AA">
        <w:t xml:space="preserve">openly </w:t>
      </w:r>
      <w:r w:rsidR="00C926BD">
        <w:t>available for Great Britain</w:t>
      </w:r>
      <w:r w:rsidR="008D7B2A">
        <w:t>. W</w:t>
      </w:r>
      <w:r w:rsidR="00C926BD">
        <w:t xml:space="preserve">e hope that </w:t>
      </w:r>
      <w:r w:rsidR="00415848">
        <w:t xml:space="preserve">through releasing the data openly we can </w:t>
      </w:r>
      <w:r w:rsidR="008D7B2A">
        <w:t xml:space="preserve">minimise data access issues (e.g. availability of data, costs of data, limited skills to process data) and help encourage greater investigation into </w:t>
      </w:r>
      <w:r w:rsidR="009079CE">
        <w:t xml:space="preserve">geographical determinants of health. Importantly, we offer a data set for </w:t>
      </w:r>
      <w:r w:rsidR="00D81D26">
        <w:t xml:space="preserve">the whole of </w:t>
      </w:r>
      <w:r w:rsidR="009079CE">
        <w:t>Great Britain</w:t>
      </w:r>
      <w:r w:rsidR="00D81D26">
        <w:t>. Given that data availability issues often restrict studies to undertake local level analyses, our data offer the ability to conduct national level analyses which can feed into national level decision making</w:t>
      </w:r>
      <w:r w:rsidR="00415848">
        <w:t>.</w:t>
      </w:r>
      <w:r w:rsidR="00C926BD">
        <w:t xml:space="preserve"> </w:t>
      </w:r>
      <w:r w:rsidR="00A43AE1" w:rsidRPr="0068488B">
        <w:t xml:space="preserve">Being able to </w:t>
      </w:r>
      <w:r w:rsidR="00BA6D8F" w:rsidRPr="0068488B">
        <w:t>openly</w:t>
      </w:r>
      <w:r w:rsidR="00A43AE1" w:rsidRPr="0068488B">
        <w:t xml:space="preserve"> measure aspects of the environment or target those areas that perform poorly on the overall measure can be powerful for </w:t>
      </w:r>
      <w:r w:rsidR="00BA6D8F" w:rsidRPr="0068488B">
        <w:t>policy makers. For example, IMD is used widely for allocating fundi</w:t>
      </w:r>
      <w:r w:rsidR="00E31F73" w:rsidRPr="0068488B">
        <w:t xml:space="preserve">ng or targeting neighbourhoods </w:t>
      </w:r>
      <w:r w:rsidR="00E31F73" w:rsidRPr="0068488B">
        <w:fldChar w:fldCharType="begin" w:fldLock="1"/>
      </w:r>
      <w:r w:rsidR="00C40B1E" w:rsidRPr="0068488B">
        <w:instrText>ADDIN CSL_CITATION { "citationItems" : [ { "id" : "ITEM-1", "itemData" : { "URL" : "https://www.gov.uk/government/publications/english-indices-of-deprivation-2015-technical-report", "accessed" : { "date-parts" : [ [ "2016", "12", "10" ] ] }, "author" : [ { "dropping-particle" : "", "family" : "Smith", "given" : "T", "non-dropping-particle" : "", "parse-names" : false, "suffix" : "" }, { "dropping-particle" : "", "family" : "Noble", "given" : "M", "non-dropping-particle" : "", "parse-names" : false, "suffix" : "" }, { "dropping-particle" : "", "family" : "Noble", "given" : "S", "non-dropping-particle" : "", "parse-names" : false, "suffix" : "" }, { "dropping-particle" : "", "family" : "Wright", "given" : "G", "non-dropping-particle" : "", "parse-names" : false, "suffix" : "" }, { "dropping-particle" : "", "family" : "McLennan", "given" : "D", "non-dropping-particle" : "", "parse-names" : false, "suffix" : "" }, { "dropping-particle" : "", "family" : "Plunkett", "given" : "E", "non-dropping-particle" : "", "parse-names" : false, "suffix" : "" } ], "id" : "ITEM-1", "issued" : { "date-parts" : [ [ "2015" ] ] }, "title" : "The English Indices of Deprivation 2015", "type" : "webpage" }, "uris" : [ "http://www.mendeley.com/documents/?uuid=4832b26f-15cd-4538-89f1-65a2d1a69946" ] } ], "mendeley" : { "formattedCitation" : "(Smith &lt;i&gt;et al.&lt;/i&gt;, 2015)", "plainTextFormattedCitation" : "(Smith et al., 2015)", "previouslyFormattedCitation" : "(Smith &lt;i&gt;et al.&lt;/i&gt;, 2015)" }, "properties" : {  }, "schema" : "https://github.com/citation-style-language/schema/raw/master/csl-citation.json" }</w:instrText>
      </w:r>
      <w:r w:rsidR="00E31F73" w:rsidRPr="0068488B">
        <w:fldChar w:fldCharType="separate"/>
      </w:r>
      <w:r w:rsidR="00E31F73" w:rsidRPr="0068488B">
        <w:rPr>
          <w:noProof/>
        </w:rPr>
        <w:t xml:space="preserve">(Smith </w:t>
      </w:r>
      <w:r w:rsidR="00E31F73" w:rsidRPr="0068488B">
        <w:rPr>
          <w:i/>
          <w:noProof/>
        </w:rPr>
        <w:t>et al.</w:t>
      </w:r>
      <w:r w:rsidR="00E31F73" w:rsidRPr="0068488B">
        <w:rPr>
          <w:noProof/>
        </w:rPr>
        <w:t>, 2015)</w:t>
      </w:r>
      <w:r w:rsidR="00E31F73" w:rsidRPr="0068488B">
        <w:fldChar w:fldCharType="end"/>
      </w:r>
      <w:r w:rsidR="009A457B" w:rsidRPr="0068488B">
        <w:t xml:space="preserve">. </w:t>
      </w:r>
      <w:r w:rsidRPr="0068488B">
        <w:t>The potential of AHAH has seen it become incorporated by Public Health England within their ‘</w:t>
      </w:r>
      <w:proofErr w:type="spellStart"/>
      <w:r w:rsidRPr="0068488B">
        <w:t>FingerTips</w:t>
      </w:r>
      <w:proofErr w:type="spellEnd"/>
      <w:r w:rsidRPr="0068488B">
        <w:t xml:space="preserve">’ system </w:t>
      </w:r>
      <w:r w:rsidR="003945C6" w:rsidRPr="0068488B">
        <w:t>as an indicator</w:t>
      </w:r>
      <w:r w:rsidRPr="0068488B">
        <w:t xml:space="preserve"> of the wider determinants of health </w:t>
      </w:r>
      <w:r w:rsidR="007D0A42" w:rsidRPr="0068488B">
        <w:fldChar w:fldCharType="begin" w:fldLock="1"/>
      </w:r>
      <w:r w:rsidR="007D0A42" w:rsidRPr="0068488B">
        <w:instrText>ADDIN CSL_CITATION { "citationItems" : [ { "id" : "ITEM-1", "itemData" : { "author" : [ { "dropping-particle" : "", "family" : "Public Health England", "given" : "", "non-dropping-particle" : "", "parse-names" : false, "suffix" : "" } ], "id" : "ITEM-1", "issued" : { "date-parts" : [ [ "2018" ] ] }, "title" : "Wider determinants of health", "type" : "webpage" }, "uris" : [ "http://www.mendeley.com/documents/?uuid=c89c1377-55bb-47dd-8e61-08658a1e843f" ] } ], "mendeley" : { "formattedCitation" : "(Public Health England, 2018)", "plainTextFormattedCitation" : "(Public Health England, 2018)", "previouslyFormattedCitation" : "(Public Health England, 2018)" }, "properties" : {  }, "schema" : "https://github.com/citation-style-language/schema/raw/master/csl-citation.json" }</w:instrText>
      </w:r>
      <w:r w:rsidR="007D0A42" w:rsidRPr="0068488B">
        <w:fldChar w:fldCharType="separate"/>
      </w:r>
      <w:r w:rsidR="007D0A42" w:rsidRPr="0068488B">
        <w:rPr>
          <w:noProof/>
        </w:rPr>
        <w:t>(Public Health England, 2018)</w:t>
      </w:r>
      <w:r w:rsidR="007D0A42" w:rsidRPr="0068488B">
        <w:fldChar w:fldCharType="end"/>
      </w:r>
      <w:r w:rsidRPr="0068488B">
        <w:t>.</w:t>
      </w:r>
      <w:r w:rsidR="00082FB1">
        <w:t xml:space="preserve"> This was following stakeholder embedding in the development of the index, helping to maintain the policy relevance focus of the project.</w:t>
      </w:r>
    </w:p>
    <w:p w14:paraId="02688EE0" w14:textId="77777777" w:rsidR="00610307" w:rsidRPr="0068488B" w:rsidRDefault="00610307"/>
    <w:p w14:paraId="259D01AD" w14:textId="5AF190AF" w:rsidR="00DF7FC6" w:rsidRPr="0068488B" w:rsidRDefault="00DF7FC6" w:rsidP="00372EE3">
      <w:pPr>
        <w:outlineLvl w:val="0"/>
        <w:rPr>
          <w:i/>
        </w:rPr>
      </w:pPr>
      <w:r w:rsidRPr="0068488B">
        <w:rPr>
          <w:i/>
        </w:rPr>
        <w:t>4.3 Limitations</w:t>
      </w:r>
    </w:p>
    <w:p w14:paraId="1356021F" w14:textId="77777777" w:rsidR="00DF7FC6" w:rsidRPr="0068488B" w:rsidRDefault="00DF7FC6" w:rsidP="00DF7FC6"/>
    <w:p w14:paraId="757C3B45" w14:textId="1F397E84" w:rsidR="00DF7FC6" w:rsidRPr="0068488B" w:rsidRDefault="00DF7FC6" w:rsidP="00DF7FC6">
      <w:r w:rsidRPr="0068488B">
        <w:t>There are several limitations of AHAH which can be broadly divided into conceptual and data issues. While the development of a multidimensional index that incorporates multiple environment</w:t>
      </w:r>
      <w:r w:rsidR="00555900" w:rsidRPr="0068488B">
        <w:t xml:space="preserve">al characteristics is important, it assumes a framework that environments </w:t>
      </w:r>
      <w:r w:rsidR="00301960" w:rsidRPr="0068488B">
        <w:t>can be separated into a</w:t>
      </w:r>
      <w:r w:rsidR="00555900" w:rsidRPr="0068488B">
        <w:t xml:space="preserve"> linear </w:t>
      </w:r>
      <w:r w:rsidR="00301960" w:rsidRPr="0068488B">
        <w:t xml:space="preserve">scale of </w:t>
      </w:r>
      <w:r w:rsidR="00555900" w:rsidRPr="0068488B">
        <w:t>positive or negative e</w:t>
      </w:r>
      <w:r w:rsidR="00301960" w:rsidRPr="0068488B">
        <w:t>nvironments. Such a framework is simplistic and ignores that different combinations of neighbourhood features may create positive or negative environments</w:t>
      </w:r>
      <w:r w:rsidR="00EE0FED" w:rsidRPr="0068488B">
        <w:t xml:space="preserve"> </w:t>
      </w:r>
      <w:r w:rsidR="00EE0FED" w:rsidRPr="0068488B">
        <w:fldChar w:fldCharType="begin" w:fldLock="1"/>
      </w:r>
      <w:r w:rsidR="002E6351">
        <w:instrText>ADDIN CSL_CITATION { "citationItems" : [ { "id" : "ITEM-1", "itemData" : { "author" : [ { "dropping-particle" : "", "family" : "Green", "given" : "Mark A", "non-dropping-particle" : "", "parse-names" : false, "suffix" : "" }, { "dropping-particle" : "", "family" : "Vickers", "given" : "Daniel", "non-dropping-particle" : "", "parse-names" : false, "suffix" : "" }, { "dropping-particle" : "", "family" : "Dorling", "given" : "Danny", "non-dropping-particle" : "", "parse-names" : false, "suffix" : "" } ], "container-title" : "Health &amp; Place", "id" : "ITEM-1", "issued" : { "date-parts" : [ [ "2014" ] ] }, "page" : "196-204", "title" : "A neighbourhood level mortality classification of England and Wales, 2006-2009", "type" : "article-journal", "volume" : "30" }, "uris" : [ "http://www.mendeley.com/documents/?uuid=43b4dba1-58e4-4e23-8826-997ea72e3c07" ] } ], "mendeley" : { "formattedCitation" : "(Green, Vickers and Dorling, 2014)", "manualFormatting" : "(Author et al., 2014)", "plainTextFormattedCitation" : "(Green, Vickers and Dorling, 2014)", "previouslyFormattedCitation" : "(Green, Vickers and Dorling, 2014)" }, "properties" : {  }, "schema" : "https://github.com/citation-style-language/schema/raw/master/csl-citation.json" }</w:instrText>
      </w:r>
      <w:r w:rsidR="00EE0FED" w:rsidRPr="0068488B">
        <w:fldChar w:fldCharType="separate"/>
      </w:r>
      <w:r w:rsidR="00EE0FED" w:rsidRPr="0068488B">
        <w:rPr>
          <w:noProof/>
        </w:rPr>
        <w:t>(</w:t>
      </w:r>
      <w:r w:rsidR="00273EFE">
        <w:rPr>
          <w:noProof/>
        </w:rPr>
        <w:t xml:space="preserve">Author </w:t>
      </w:r>
      <w:r w:rsidR="00273EFE">
        <w:rPr>
          <w:i/>
          <w:noProof/>
        </w:rPr>
        <w:t>et al.</w:t>
      </w:r>
      <w:r w:rsidR="00EE0FED" w:rsidRPr="0068488B">
        <w:rPr>
          <w:noProof/>
        </w:rPr>
        <w:t>, 2014)</w:t>
      </w:r>
      <w:r w:rsidR="00EE0FED" w:rsidRPr="0068488B">
        <w:fldChar w:fldCharType="end"/>
      </w:r>
      <w:r w:rsidR="00EE0FED" w:rsidRPr="0068488B">
        <w:t>.</w:t>
      </w:r>
      <w:r w:rsidRPr="0068488B">
        <w:t xml:space="preserve"> </w:t>
      </w:r>
      <w:r w:rsidR="00C536EC" w:rsidRPr="0068488B">
        <w:fldChar w:fldCharType="begin" w:fldLock="1"/>
      </w:r>
      <w:r w:rsidR="00E31F73" w:rsidRPr="0068488B">
        <w:instrText>ADDIN CSL_CITATION { "citationItems" : [ { "id" : "ITEM-1", "itemData" : { "author" : [ { "dropping-particle" : "", "family" : "Richardson", "given" : "Elizabeth", "non-dropping-particle" : "", "parse-names" : false, "suffix" : "" }, { "dropping-particle" : "", "family" : "Mitchell", "given" : "Richard", "non-dropping-particle" : "", "parse-names" : false, "suffix" : "" }, { "dropping-particle" : "", "family" : "Shortt", "given" : "Niamh", "non-dropping-particle" : "", "parse-names" : false, "suffix" : "" }, { "dropping-particle" : "", "family" : "Pearce", "given" : "Jamie", "non-dropping-particle" : "", "parse-names" : false, "suffix" : "" }, { "dropping-particle" : "", "family" : "Dawson", "given" : "Terence", "non-dropping-particle" : "", "parse-names" : false, "suffix" : "" } ], "container-title" : "Environment and Planning A", "id" : "ITEM-1", "issued" : { "date-parts" : [ [ "2010" ] ] }, "page" : "1650-1668", "title" : "Developing summary measures of health-related multiple physical environmental deprivation for epidemiological research", "type" : "article-journal", "volume" : "42" }, "uris" : [ "http://www.mendeley.com/documents/?uuid=365c9b16-a7d9-41b1-ba0b-ebde58033ad6" ] } ], "mendeley" : { "formattedCitation" : "(Richardson &lt;i&gt;et al.&lt;/i&gt;, 2010)", "manualFormatting" : "Richardson et al. (2010)", "plainTextFormattedCitation" : "(Richardson et al., 2010)", "previouslyFormattedCitation" : "(Richardson &lt;i&gt;et al.&lt;/i&gt;, 2010)" }, "properties" : {  }, "schema" : "https://github.com/citation-style-language/schema/raw/master/csl-citation.json" }</w:instrText>
      </w:r>
      <w:r w:rsidR="00C536EC" w:rsidRPr="0068488B">
        <w:fldChar w:fldCharType="separate"/>
      </w:r>
      <w:r w:rsidR="00C536EC" w:rsidRPr="0068488B">
        <w:rPr>
          <w:noProof/>
        </w:rPr>
        <w:t xml:space="preserve">Richardson </w:t>
      </w:r>
      <w:r w:rsidR="00C536EC" w:rsidRPr="0068488B">
        <w:rPr>
          <w:i/>
          <w:noProof/>
        </w:rPr>
        <w:t>et al.</w:t>
      </w:r>
      <w:r w:rsidR="00C536EC" w:rsidRPr="0068488B">
        <w:rPr>
          <w:noProof/>
        </w:rPr>
        <w:t xml:space="preserve"> (2010)</w:t>
      </w:r>
      <w:r w:rsidR="00C536EC" w:rsidRPr="0068488B">
        <w:fldChar w:fldCharType="end"/>
      </w:r>
      <w:r w:rsidR="00301960" w:rsidRPr="0068488B">
        <w:t xml:space="preserve"> extended their index through developing a classification to examine the complexity in neighbourhood features and extending AHAH accordingly will be important. </w:t>
      </w:r>
    </w:p>
    <w:p w14:paraId="67411332" w14:textId="77777777" w:rsidR="00DF7FC6" w:rsidRPr="0068488B" w:rsidRDefault="00DF7FC6" w:rsidP="00DF7FC6"/>
    <w:p w14:paraId="0947271A" w14:textId="77777777" w:rsidR="00A4331C" w:rsidRPr="0068488B" w:rsidRDefault="00DF7FC6" w:rsidP="00A4331C">
      <w:r w:rsidRPr="0068488B">
        <w:lastRenderedPageBreak/>
        <w:t xml:space="preserve">The </w:t>
      </w:r>
      <w:r w:rsidR="00301960" w:rsidRPr="0068488B">
        <w:t xml:space="preserve">input </w:t>
      </w:r>
      <w:r w:rsidRPr="0068488B">
        <w:t xml:space="preserve">measures </w:t>
      </w:r>
      <w:r w:rsidR="00301960" w:rsidRPr="0068488B">
        <w:t>included in AHAH</w:t>
      </w:r>
      <w:r w:rsidRPr="0068488B">
        <w:t xml:space="preserve"> do not constitute all features of environments that may influence health. </w:t>
      </w:r>
      <w:r w:rsidR="00A4331C" w:rsidRPr="0068488B">
        <w:t>We focused on environmental aspects that we had data on and where the direction of association to health was clear. For example, we avoided incorporating other measures of the food environment such as access to convenience stores or supermarkets since such outlets sell both positive and negative foods/drinks</w:t>
      </w:r>
      <w:r w:rsidR="00301960" w:rsidRPr="0068488B">
        <w:t xml:space="preserve">. </w:t>
      </w:r>
      <w:r w:rsidR="00A4331C" w:rsidRPr="0068488B">
        <w:t xml:space="preserve">For these reasons, measures such as off-licenses and tobacconists will underestimate the issues they intend to measure, since alcohol and tobacco can be purchased wider than purely specialist outlets. </w:t>
      </w:r>
    </w:p>
    <w:p w14:paraId="09B3D947" w14:textId="77777777" w:rsidR="00A4331C" w:rsidRPr="0068488B" w:rsidRDefault="00A4331C" w:rsidP="00DF7FC6"/>
    <w:p w14:paraId="00517D5C" w14:textId="79930091" w:rsidR="00301960" w:rsidRPr="0068488B" w:rsidRDefault="00301960" w:rsidP="00DF7FC6">
      <w:r w:rsidRPr="0068488B">
        <w:t>It may have been useful to also incorporate features of the social environment (e.g. poverty level, housing quality, access to good schools) as well given the wide literature demonstrating it to be an important determinant of health</w:t>
      </w:r>
      <w:r w:rsidR="00EE0FED" w:rsidRPr="0068488B">
        <w:t xml:space="preserve"> </w:t>
      </w:r>
      <w:r w:rsidR="00C64DE9" w:rsidRPr="0068488B">
        <w:fldChar w:fldCharType="begin" w:fldLock="1"/>
      </w:r>
      <w:r w:rsidR="00331189" w:rsidRPr="0068488B">
        <w:instrText>ADDIN CSL_CITATION { "citationItems" : [ { "id" : "ITEM-1", "itemData" : { "DOI" : "10.1146/annurev.soc.012809.102529.Socioeconomic", "ISBN" : "0360-0572 (Print)\\r0360-0572 (Linking)", "ISSN" : "0360-0572", "PMID" : "21909182", "abstract" : "The inverse relationships between socioeconomic status (SES) and unhealthy behaviors such as tobacco use, physical inactivity, and poor nutrition have been well demonstrated empirically but encompass diverse underlying causal mechanisms. These mechanisms have special theoretical importance because disparities in health behaviors, unlike disparities in many other components of health, involve something more than the ability to use income to purchase good health. Based on a review of broad literatures in sociology, economics, and public health, we classify explanations of higher smoking, lower exercise, poorer diet, and excess weight among low-SES persons into nine broad groups that specify related but conceptually distinct mechanisms. The lack of clear support for any one explanation suggests that the literature on SES disparities in health and health behaviors can do more to design studies that better test for the importance of the varied mechanisms.", "author" : [ { "dropping-particle" : "", "family" : "Pampel", "given" : "Fred C", "non-dropping-particle" : "", "parse-names" : false, "suffix" : "" }, { "dropping-particle" : "", "family" : "Krueger", "given" : "PM", "non-dropping-particle" : "", "parse-names" : false, "suffix" : "" }, { "dropping-particle" : "", "family" : "Denney", "given" : "JT", "non-dropping-particle" : "", "parse-names" : false, "suffix" : "" } ], "container-title" : "Annual Review of Sociology", "id" : "ITEM-1", "issued" : { "date-parts" : [ [ "2010" ] ] }, "page" : "349-370", "title" : "Socioeconomic disparities in health behaviors", "type" : "article-journal", "volume" : "36" }, "uris" : [ "http://www.mendeley.com/documents/?uuid=0ddc764f-1ccc-4189-887b-ff9ce2d86cf7" ] }, { "id" : "ITEM-2", "itemData" : { "author" : [ { "dropping-particle" : "", "family" : "Sampson", "given" : "Robert J", "non-dropping-particle" : "", "parse-names" : false, "suffix" : "" } ], "id" : "ITEM-2", "issued" : { "date-parts" : [ [ "2012" ] ] }, "publisher" : "University of Chicago Press", "publisher-place" : "London", "title" : "Great American City: Chicago and the enduring neighbourhood effect", "type" : "book" }, "uris" : [ "http://www.mendeley.com/documents/?uuid=585594c6-083b-4564-8d39-acf97db739f9" ] } ], "mendeley" : { "formattedCitation" : "(Pampel, Krueger and Denney, 2010; Sampson, 2012)", "plainTextFormattedCitation" : "(Pampel, Krueger and Denney, 2010; Sampson, 2012)", "previouslyFormattedCitation" : "(Pampel, Krueger and Denney, 2010; Sampson, 2012)" }, "properties" : {  }, "schema" : "https://github.com/citation-style-language/schema/raw/master/csl-citation.json" }</w:instrText>
      </w:r>
      <w:r w:rsidR="00C64DE9" w:rsidRPr="0068488B">
        <w:fldChar w:fldCharType="separate"/>
      </w:r>
      <w:r w:rsidR="00331189" w:rsidRPr="0068488B">
        <w:rPr>
          <w:noProof/>
        </w:rPr>
        <w:t>(Pampel, Krueger and Denney, 2010; Sampson, 2012)</w:t>
      </w:r>
      <w:r w:rsidR="00C64DE9" w:rsidRPr="0068488B">
        <w:fldChar w:fldCharType="end"/>
      </w:r>
      <w:r w:rsidRPr="0068488B">
        <w:t xml:space="preserve">. </w:t>
      </w:r>
      <w:r w:rsidR="00A4331C" w:rsidRPr="0068488B">
        <w:t xml:space="preserve">We opted to avoid such </w:t>
      </w:r>
      <w:r w:rsidR="0070518B" w:rsidRPr="0068488B">
        <w:t>incorporating the social environment within AHAH</w:t>
      </w:r>
      <w:r w:rsidR="00A4331C" w:rsidRPr="0068488B">
        <w:t xml:space="preserve"> since we did not wish to replicate common deprivation measures. Table 2 demonstrates that AHAH was not correlated to IMD, and therefore exploring the interaction between these measures presents an exciting opportunity for future research.</w:t>
      </w:r>
    </w:p>
    <w:p w14:paraId="44FB28DB" w14:textId="77777777" w:rsidR="00DF7FC6" w:rsidRPr="0068488B" w:rsidRDefault="00DF7FC6" w:rsidP="00DF7FC6"/>
    <w:p w14:paraId="4F4D4891" w14:textId="1789BB8E" w:rsidR="00DF7FC6" w:rsidRPr="0068488B" w:rsidRDefault="00DF7FC6">
      <w:r w:rsidRPr="0068488B">
        <w:t xml:space="preserve">Each input </w:t>
      </w:r>
      <w:r w:rsidR="00A4331C" w:rsidRPr="0068488B">
        <w:t>measure and the overall domain scores</w:t>
      </w:r>
      <w:r w:rsidRPr="0068488B">
        <w:t xml:space="preserve"> were weighted equally, however they may not contribute equally to</w:t>
      </w:r>
      <w:r w:rsidR="00862682">
        <w:t>wards</w:t>
      </w:r>
      <w:r w:rsidRPr="0068488B">
        <w:t xml:space="preserve"> influencing health. We selected equal weightings because there was no agreement across the literature over how to fairly weight each input.</w:t>
      </w:r>
      <w:r w:rsidR="00A4331C" w:rsidRPr="0068488B">
        <w:t xml:space="preserve"> Identifying the relative contributions of each domain and input would not only be useful both to refine AHAH to accurately reflect healthy environments, but would also aid policy makers to prioritise which aspects of environments to tackle.</w:t>
      </w:r>
      <w:r w:rsidR="0037721B" w:rsidRPr="0068488B">
        <w:t xml:space="preserve"> Through making all of the inputs openly available, users can also alter and refine how the index is constructed to reflect their needs.</w:t>
      </w:r>
    </w:p>
    <w:p w14:paraId="62E5D158" w14:textId="77777777" w:rsidR="00DF7FC6" w:rsidRPr="0068488B" w:rsidRDefault="00DF7FC6"/>
    <w:p w14:paraId="3CBB5853" w14:textId="645886AF" w:rsidR="00E470F2" w:rsidRPr="0068488B" w:rsidRDefault="00E470F2" w:rsidP="00372EE3">
      <w:pPr>
        <w:outlineLvl w:val="0"/>
        <w:rPr>
          <w:b/>
        </w:rPr>
      </w:pPr>
      <w:r w:rsidRPr="0068488B">
        <w:rPr>
          <w:b/>
        </w:rPr>
        <w:t xml:space="preserve">5.0 </w:t>
      </w:r>
      <w:r w:rsidR="007D0A42" w:rsidRPr="0068488B">
        <w:rPr>
          <w:b/>
        </w:rPr>
        <w:t>Summary</w:t>
      </w:r>
    </w:p>
    <w:p w14:paraId="7A383FF7" w14:textId="77777777" w:rsidR="00D801FA" w:rsidRPr="0068488B" w:rsidRDefault="00D801FA"/>
    <w:p w14:paraId="4F9AD75B" w14:textId="113AB511" w:rsidR="00EB3B51" w:rsidRPr="0068488B" w:rsidRDefault="0069299A">
      <w:r w:rsidRPr="0068488B">
        <w:t>Our open source suite of measures offer</w:t>
      </w:r>
      <w:r w:rsidR="008B194E" w:rsidRPr="0068488B">
        <w:t>s</w:t>
      </w:r>
      <w:r w:rsidRPr="0068488B">
        <w:t xml:space="preserve"> </w:t>
      </w:r>
      <w:r w:rsidR="002A0007" w:rsidRPr="0068488B">
        <w:t xml:space="preserve">a useful </w:t>
      </w:r>
      <w:r w:rsidR="00EE0FED" w:rsidRPr="0068488B">
        <w:t>resource</w:t>
      </w:r>
      <w:r w:rsidR="002A0007" w:rsidRPr="0068488B">
        <w:t xml:space="preserve"> </w:t>
      </w:r>
      <w:r w:rsidRPr="0068488B">
        <w:t xml:space="preserve">for understanding the accessibility of small areas to positive and negative features of the built and physical environment. </w:t>
      </w:r>
      <w:r w:rsidR="00EE0FED" w:rsidRPr="0068488B">
        <w:t xml:space="preserve">We extend </w:t>
      </w:r>
      <w:r w:rsidR="00022BAA" w:rsidRPr="0068488B">
        <w:t xml:space="preserve">previous approaches towards designing health-related indicators through creating a multidimensional measure incorporating information from 14 health-related features of the environment. </w:t>
      </w:r>
      <w:r w:rsidR="00EB3B51" w:rsidRPr="0068488B">
        <w:t xml:space="preserve">All data including the index, domain scores and input values are available to downloaded freely via the interactive web mapping tool </w:t>
      </w:r>
      <w:hyperlink r:id="rId12" w:history="1">
        <w:r w:rsidR="00EB3B51" w:rsidRPr="0068488B">
          <w:rPr>
            <w:rStyle w:val="Hyperlink"/>
          </w:rPr>
          <w:t>http://maps.cdrc.ac.uk</w:t>
        </w:r>
      </w:hyperlink>
      <w:r w:rsidR="00EB3B51" w:rsidRPr="0068488B">
        <w:t xml:space="preserve"> (the postcode level inputs are also available upon request via the Consumer Data Research Centre). </w:t>
      </w:r>
    </w:p>
    <w:p w14:paraId="02449C2C" w14:textId="77777777" w:rsidR="00EB3B51" w:rsidRPr="0068488B" w:rsidRDefault="00EB3B51"/>
    <w:p w14:paraId="668E6530" w14:textId="531D01DD" w:rsidR="00B03020" w:rsidRPr="0068488B" w:rsidRDefault="005E6FF6" w:rsidP="00372EE3">
      <w:pPr>
        <w:outlineLvl w:val="0"/>
        <w:rPr>
          <w:b/>
        </w:rPr>
      </w:pPr>
      <w:r w:rsidRPr="0068488B">
        <w:rPr>
          <w:b/>
        </w:rPr>
        <w:t>6.0 Acknowledgements</w:t>
      </w:r>
    </w:p>
    <w:p w14:paraId="7FCCC497" w14:textId="77777777" w:rsidR="00B03020" w:rsidRPr="0068488B" w:rsidRDefault="00B03020"/>
    <w:p w14:paraId="0115B590" w14:textId="35AE4229" w:rsidR="00B03020" w:rsidRPr="0068488B" w:rsidRDefault="00273EFE">
      <w:r>
        <w:t>Author</w:t>
      </w:r>
      <w:r w:rsidR="00E67D94" w:rsidRPr="0068488B">
        <w:t xml:space="preserve"> and </w:t>
      </w:r>
      <w:r>
        <w:t>Author [details removed for peer review]</w:t>
      </w:r>
      <w:r w:rsidR="00E67D94" w:rsidRPr="0068488B">
        <w:t xml:space="preserve"> contributed equally to the paper and would like to be nominated as joint first author. </w:t>
      </w:r>
      <w:r w:rsidR="00CD75DA" w:rsidRPr="0068488B">
        <w:t xml:space="preserve">We would like to thank the support and advice provided by Public Health England during the development of AHAH. </w:t>
      </w:r>
      <w:r w:rsidR="00D12C94" w:rsidRPr="0068488B">
        <w:t xml:space="preserve">This work was supported by the Economic and Social Research Council [grant number ES/L011840/1]. All data can be accessed through </w:t>
      </w:r>
      <w:hyperlink r:id="rId13" w:history="1">
        <w:r w:rsidR="00D12C94" w:rsidRPr="0068488B">
          <w:rPr>
            <w:rStyle w:val="Hyperlink"/>
          </w:rPr>
          <w:t>http://maps.cdrc.ac.uk</w:t>
        </w:r>
      </w:hyperlink>
      <w:r w:rsidR="00D12C94" w:rsidRPr="0068488B">
        <w:t xml:space="preserve"> and code for reproducing the work is available upon request.</w:t>
      </w:r>
      <w:r w:rsidR="00DD6D3C">
        <w:t xml:space="preserve"> Figure 1 copyright statement: Contains National Statistics data © Crown c</w:t>
      </w:r>
      <w:r w:rsidR="00E74F99">
        <w:t>opyright and database right 2018</w:t>
      </w:r>
      <w:r w:rsidR="00DD6D3C">
        <w:t>. Contains Ordnance Survey data © Crown c</w:t>
      </w:r>
      <w:r w:rsidR="00E74F99">
        <w:t>opyright and database right 2018</w:t>
      </w:r>
      <w:r w:rsidR="00DD6D3C">
        <w:t>.</w:t>
      </w:r>
    </w:p>
    <w:p w14:paraId="1B42FFCF" w14:textId="77777777" w:rsidR="00C536EC" w:rsidRPr="0068488B" w:rsidRDefault="00C536EC"/>
    <w:p w14:paraId="745C57B3" w14:textId="159D7460" w:rsidR="00C536EC" w:rsidRPr="0068488B" w:rsidRDefault="00C536EC">
      <w:r w:rsidRPr="0068488B">
        <w:rPr>
          <w:b/>
        </w:rPr>
        <w:t>7.0 References</w:t>
      </w:r>
    </w:p>
    <w:p w14:paraId="54865493" w14:textId="77777777" w:rsidR="00C536EC" w:rsidRDefault="00C536EC"/>
    <w:p w14:paraId="553FD16C" w14:textId="47B7E67B" w:rsidR="00273EFE" w:rsidRDefault="00273EFE">
      <w:r>
        <w:t>Author et al. 2014</w:t>
      </w:r>
      <w:r w:rsidRPr="00273EFE">
        <w:t xml:space="preserve"> [details removed for peer review]</w:t>
      </w:r>
      <w:r>
        <w:t>.</w:t>
      </w:r>
    </w:p>
    <w:p w14:paraId="0E505393" w14:textId="5D968F47" w:rsidR="00273EFE" w:rsidRPr="0068488B" w:rsidRDefault="00273EFE">
      <w:r>
        <w:t xml:space="preserve">Author et al. 2017 </w:t>
      </w:r>
      <w:r w:rsidRPr="00273EFE">
        <w:t>[details removed for peer review]</w:t>
      </w:r>
      <w:r>
        <w:t>.</w:t>
      </w:r>
    </w:p>
    <w:p w14:paraId="00BA54C8" w14:textId="14480DB5" w:rsidR="000D0546" w:rsidRPr="000D0546" w:rsidRDefault="00C536EC" w:rsidP="000D0546">
      <w:pPr>
        <w:widowControl w:val="0"/>
        <w:autoSpaceDE w:val="0"/>
        <w:autoSpaceDN w:val="0"/>
        <w:adjustRightInd w:val="0"/>
        <w:rPr>
          <w:rFonts w:eastAsia="Times New Roman"/>
          <w:noProof/>
        </w:rPr>
      </w:pPr>
      <w:r w:rsidRPr="0068488B">
        <w:fldChar w:fldCharType="begin" w:fldLock="1"/>
      </w:r>
      <w:r w:rsidRPr="0068488B">
        <w:instrText xml:space="preserve">ADDIN Mendeley Bibliography CSL_BIBLIOGRAPHY </w:instrText>
      </w:r>
      <w:r w:rsidRPr="0068488B">
        <w:fldChar w:fldCharType="separate"/>
      </w:r>
      <w:r w:rsidR="000D0546" w:rsidRPr="000D0546">
        <w:rPr>
          <w:rFonts w:eastAsia="Times New Roman"/>
          <w:noProof/>
        </w:rPr>
        <w:t xml:space="preserve">Brennan, J. and Martin, E. (2012) ‘Spatial proximity is more than just a distance measure’, </w:t>
      </w:r>
      <w:r w:rsidR="000D0546" w:rsidRPr="000D0546">
        <w:rPr>
          <w:rFonts w:eastAsia="Times New Roman"/>
          <w:i/>
          <w:iCs/>
          <w:noProof/>
        </w:rPr>
        <w:lastRenderedPageBreak/>
        <w:t>International Journal of Human-Computer Studies</w:t>
      </w:r>
      <w:r w:rsidR="000D0546" w:rsidRPr="000D0546">
        <w:rPr>
          <w:rFonts w:eastAsia="Times New Roman"/>
          <w:noProof/>
        </w:rPr>
        <w:t>, 70(1), pp. 88–106.</w:t>
      </w:r>
    </w:p>
    <w:p w14:paraId="07532E1D"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Brookes, D. </w:t>
      </w:r>
      <w:r w:rsidRPr="000D0546">
        <w:rPr>
          <w:rFonts w:eastAsia="Times New Roman"/>
          <w:i/>
          <w:iCs/>
          <w:noProof/>
        </w:rPr>
        <w:t>et al.</w:t>
      </w:r>
      <w:r w:rsidRPr="000D0546">
        <w:rPr>
          <w:rFonts w:eastAsia="Times New Roman"/>
          <w:noProof/>
        </w:rPr>
        <w:t xml:space="preserve"> (2016) </w:t>
      </w:r>
      <w:r w:rsidRPr="000D0546">
        <w:rPr>
          <w:rFonts w:eastAsia="Times New Roman"/>
          <w:i/>
          <w:iCs/>
          <w:noProof/>
        </w:rPr>
        <w:t>Technical report on UK supplementary assessment under the Air Quality Directive (2008/50/EC), the Air Quality Framework Directive (96/62/EC) and Fourth Daughter Directive (2004/107/EC) for 2014.</w:t>
      </w:r>
      <w:r w:rsidRPr="000D0546">
        <w:rPr>
          <w:rFonts w:eastAsia="Times New Roman"/>
          <w:noProof/>
        </w:rPr>
        <w:t xml:space="preserve"> Available at: https://uk-air.defra.gov.uk/assets/documents/reports/cat09/1611011538_AQ0650_2014_MAAQ_technical_report.pdf.</w:t>
      </w:r>
    </w:p>
    <w:p w14:paraId="1D1CBD85"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Cherrie, M. </w:t>
      </w:r>
      <w:r w:rsidRPr="000D0546">
        <w:rPr>
          <w:rFonts w:eastAsia="Times New Roman"/>
          <w:i/>
          <w:iCs/>
          <w:noProof/>
        </w:rPr>
        <w:t>et al.</w:t>
      </w:r>
      <w:r w:rsidRPr="000D0546">
        <w:rPr>
          <w:rFonts w:eastAsia="Times New Roman"/>
          <w:noProof/>
        </w:rPr>
        <w:t xml:space="preserve"> (2018) ‘Green space and cognitive ageing: A retrospective life course analysis in the Lothian Birth Cohort 1936’, </w:t>
      </w:r>
      <w:r w:rsidRPr="000D0546">
        <w:rPr>
          <w:rFonts w:eastAsia="Times New Roman"/>
          <w:i/>
          <w:iCs/>
          <w:noProof/>
        </w:rPr>
        <w:t>Social Science &amp; Medicine</w:t>
      </w:r>
      <w:r w:rsidRPr="000D0546">
        <w:rPr>
          <w:rFonts w:eastAsia="Times New Roman"/>
          <w:noProof/>
        </w:rPr>
        <w:t>, 196, pp. 56–65.</w:t>
      </w:r>
    </w:p>
    <w:p w14:paraId="729F5205"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Cummins, S. </w:t>
      </w:r>
      <w:r w:rsidRPr="000D0546">
        <w:rPr>
          <w:rFonts w:eastAsia="Times New Roman"/>
          <w:i/>
          <w:iCs/>
          <w:noProof/>
        </w:rPr>
        <w:t>et al.</w:t>
      </w:r>
      <w:r w:rsidRPr="000D0546">
        <w:rPr>
          <w:rFonts w:eastAsia="Times New Roman"/>
          <w:noProof/>
        </w:rPr>
        <w:t xml:space="preserve"> (2007) ‘Understanding and representing “place” in health research: A relational approach’, </w:t>
      </w:r>
      <w:r w:rsidRPr="000D0546">
        <w:rPr>
          <w:rFonts w:eastAsia="Times New Roman"/>
          <w:i/>
          <w:iCs/>
          <w:noProof/>
        </w:rPr>
        <w:t>Social Science &amp; Medicine</w:t>
      </w:r>
      <w:r w:rsidRPr="000D0546">
        <w:rPr>
          <w:rFonts w:eastAsia="Times New Roman"/>
          <w:noProof/>
        </w:rPr>
        <w:t>, 65(9), pp. 1825–1838.</w:t>
      </w:r>
    </w:p>
    <w:p w14:paraId="651A82F0"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DEFRA (2015) </w:t>
      </w:r>
      <w:r w:rsidRPr="000D0546">
        <w:rPr>
          <w:rFonts w:eastAsia="Times New Roman"/>
          <w:i/>
          <w:iCs/>
          <w:noProof/>
        </w:rPr>
        <w:t>2010 to 2015 government policy: environmental quality</w:t>
      </w:r>
      <w:r w:rsidRPr="000D0546">
        <w:rPr>
          <w:rFonts w:eastAsia="Times New Roman"/>
          <w:noProof/>
        </w:rPr>
        <w:t>. Available at: https://www.gov.uk/government/publications/2010-to-2015-government-policy-environmental-quality/2010-to-2015-government-policy-environmental-quality.</w:t>
      </w:r>
    </w:p>
    <w:p w14:paraId="451E0FD2"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Diez-Roux, A. (2001) ‘Investigating Neighborhood and Area Effects on Health’, </w:t>
      </w:r>
      <w:r w:rsidRPr="000D0546">
        <w:rPr>
          <w:rFonts w:eastAsia="Times New Roman"/>
          <w:i/>
          <w:iCs/>
          <w:noProof/>
        </w:rPr>
        <w:t>American Journal of Public Health</w:t>
      </w:r>
      <w:r w:rsidRPr="000D0546">
        <w:rPr>
          <w:rFonts w:eastAsia="Times New Roman"/>
          <w:noProof/>
        </w:rPr>
        <w:t>, 91(11), pp. 1783–1789.</w:t>
      </w:r>
    </w:p>
    <w:p w14:paraId="2D51D4F0"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Dunn-Rankin, P. (1983) </w:t>
      </w:r>
      <w:r w:rsidRPr="000D0546">
        <w:rPr>
          <w:rFonts w:eastAsia="Times New Roman"/>
          <w:i/>
          <w:iCs/>
          <w:noProof/>
        </w:rPr>
        <w:t>Scaling methods</w:t>
      </w:r>
      <w:r w:rsidRPr="000D0546">
        <w:rPr>
          <w:rFonts w:eastAsia="Times New Roman"/>
          <w:noProof/>
        </w:rPr>
        <w:t>. Hillsdale: Lawrence Erlbaum Associates.</w:t>
      </w:r>
    </w:p>
    <w:p w14:paraId="3762D960"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Fraser, L. and Edwards, K. (2010) ‘The association between the geography of fast food outlets and childhood obesity rates in Leeds, UK’, </w:t>
      </w:r>
      <w:r w:rsidRPr="000D0546">
        <w:rPr>
          <w:rFonts w:eastAsia="Times New Roman"/>
          <w:i/>
          <w:iCs/>
          <w:noProof/>
        </w:rPr>
        <w:t>Health &amp; Place</w:t>
      </w:r>
      <w:r w:rsidRPr="000D0546">
        <w:rPr>
          <w:rFonts w:eastAsia="Times New Roman"/>
          <w:noProof/>
        </w:rPr>
        <w:t>, 16(6), pp. 1124–1128.</w:t>
      </w:r>
    </w:p>
    <w:p w14:paraId="6639F7B6"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Furler, J. S. </w:t>
      </w:r>
      <w:r w:rsidRPr="000D0546">
        <w:rPr>
          <w:rFonts w:eastAsia="Times New Roman"/>
          <w:i/>
          <w:iCs/>
          <w:noProof/>
        </w:rPr>
        <w:t>et al.</w:t>
      </w:r>
      <w:r w:rsidRPr="000D0546">
        <w:rPr>
          <w:rFonts w:eastAsia="Times New Roman"/>
          <w:noProof/>
        </w:rPr>
        <w:t xml:space="preserve"> (2002) ‘The inverse care law revisited: impact of disadvantaged location on accessing longer GP consultation times’, </w:t>
      </w:r>
      <w:r w:rsidRPr="000D0546">
        <w:rPr>
          <w:rFonts w:eastAsia="Times New Roman"/>
          <w:i/>
          <w:iCs/>
          <w:noProof/>
        </w:rPr>
        <w:t>Medical Journal of Australia</w:t>
      </w:r>
      <w:r w:rsidRPr="000D0546">
        <w:rPr>
          <w:rFonts w:eastAsia="Times New Roman"/>
          <w:noProof/>
        </w:rPr>
        <w:t>, 177(2), pp. 80–83.</w:t>
      </w:r>
    </w:p>
    <w:p w14:paraId="58E0F807"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Gatrell, A. C. (2005) ‘Complexity theory and geographies of health:a critical assessment’, </w:t>
      </w:r>
      <w:r w:rsidRPr="000D0546">
        <w:rPr>
          <w:rFonts w:eastAsia="Times New Roman"/>
          <w:i/>
          <w:iCs/>
          <w:noProof/>
        </w:rPr>
        <w:t>Social Science &amp; Medicine</w:t>
      </w:r>
      <w:r w:rsidRPr="000D0546">
        <w:rPr>
          <w:rFonts w:eastAsia="Times New Roman"/>
          <w:noProof/>
        </w:rPr>
        <w:t>, 60, pp. 2661–2671.</w:t>
      </w:r>
    </w:p>
    <w:p w14:paraId="4998087F"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Goldberg, D. P. </w:t>
      </w:r>
      <w:r w:rsidRPr="000D0546">
        <w:rPr>
          <w:rFonts w:eastAsia="Times New Roman"/>
          <w:i/>
          <w:iCs/>
          <w:noProof/>
        </w:rPr>
        <w:t>et al.</w:t>
      </w:r>
      <w:r w:rsidRPr="000D0546">
        <w:rPr>
          <w:rFonts w:eastAsia="Times New Roman"/>
          <w:noProof/>
        </w:rPr>
        <w:t xml:space="preserve"> (1997) ‘The validity of two versions of the GHQ in the WHO study of mental illness in general health care’, </w:t>
      </w:r>
      <w:r w:rsidRPr="000D0546">
        <w:rPr>
          <w:rFonts w:eastAsia="Times New Roman"/>
          <w:i/>
          <w:iCs/>
          <w:noProof/>
        </w:rPr>
        <w:t>Psychological Medicine</w:t>
      </w:r>
      <w:r w:rsidRPr="000D0546">
        <w:rPr>
          <w:rFonts w:eastAsia="Times New Roman"/>
          <w:noProof/>
        </w:rPr>
        <w:t>, 27(1), pp. 191–197.</w:t>
      </w:r>
    </w:p>
    <w:p w14:paraId="688AD5D0"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Goldberg, D. P. and Williams, P. (1988) </w:t>
      </w:r>
      <w:r w:rsidRPr="000D0546">
        <w:rPr>
          <w:rFonts w:eastAsia="Times New Roman"/>
          <w:i/>
          <w:iCs/>
          <w:noProof/>
        </w:rPr>
        <w:t>A user’s guide to the General Health Questionnaire</w:t>
      </w:r>
      <w:r w:rsidRPr="000D0546">
        <w:rPr>
          <w:rFonts w:eastAsia="Times New Roman"/>
          <w:noProof/>
        </w:rPr>
        <w:t>. Windsor: NFER-Nelson.</w:t>
      </w:r>
    </w:p>
    <w:p w14:paraId="08D5FD86" w14:textId="28451DE2" w:rsidR="000D0546" w:rsidRPr="000D0546" w:rsidRDefault="000D0546" w:rsidP="000D0546">
      <w:pPr>
        <w:widowControl w:val="0"/>
        <w:autoSpaceDE w:val="0"/>
        <w:autoSpaceDN w:val="0"/>
        <w:adjustRightInd w:val="0"/>
        <w:rPr>
          <w:rFonts w:eastAsia="Times New Roman"/>
          <w:noProof/>
        </w:rPr>
      </w:pPr>
      <w:bookmarkStart w:id="0" w:name="_GoBack"/>
      <w:bookmarkEnd w:id="0"/>
      <w:r w:rsidRPr="000D0546">
        <w:rPr>
          <w:rFonts w:eastAsia="Times New Roman"/>
          <w:noProof/>
        </w:rPr>
        <w:t xml:space="preserve">Haynes, R., Lovett, A. and Sunnenberg, G. (2003) ‘Potential Accessibility, Travel Time, and Consumer Choice: Geographical Variations in General Medical Practice Registrations in Eastern England’, </w:t>
      </w:r>
      <w:r w:rsidRPr="000D0546">
        <w:rPr>
          <w:rFonts w:eastAsia="Times New Roman"/>
          <w:i/>
          <w:iCs/>
          <w:noProof/>
        </w:rPr>
        <w:t>Environment and Planning A</w:t>
      </w:r>
      <w:r w:rsidR="009847C6">
        <w:rPr>
          <w:rFonts w:eastAsia="Times New Roman"/>
          <w:noProof/>
        </w:rPr>
        <w:t>, 35(10), pp. 1733–1750.</w:t>
      </w:r>
    </w:p>
    <w:p w14:paraId="146BB61B"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Jones, A. </w:t>
      </w:r>
      <w:r w:rsidRPr="000D0546">
        <w:rPr>
          <w:rFonts w:eastAsia="Times New Roman"/>
          <w:i/>
          <w:iCs/>
          <w:noProof/>
        </w:rPr>
        <w:t>et al.</w:t>
      </w:r>
      <w:r w:rsidRPr="000D0546">
        <w:rPr>
          <w:rFonts w:eastAsia="Times New Roman"/>
          <w:noProof/>
        </w:rPr>
        <w:t xml:space="preserve"> (2010) ‘Geographical access to healthcare in Northern England and post-mortem diagnosis of cancer’, </w:t>
      </w:r>
      <w:r w:rsidRPr="000D0546">
        <w:rPr>
          <w:rFonts w:eastAsia="Times New Roman"/>
          <w:i/>
          <w:iCs/>
          <w:noProof/>
        </w:rPr>
        <w:t>Journal of Public Health</w:t>
      </w:r>
      <w:r w:rsidRPr="000D0546">
        <w:rPr>
          <w:rFonts w:eastAsia="Times New Roman"/>
          <w:noProof/>
        </w:rPr>
        <w:t>, 32(4), pp. 532–537.</w:t>
      </w:r>
    </w:p>
    <w:p w14:paraId="0335D4AC" w14:textId="160587AD"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Jordan, H. </w:t>
      </w:r>
      <w:r w:rsidRPr="000D0546">
        <w:rPr>
          <w:rFonts w:eastAsia="Times New Roman"/>
          <w:i/>
          <w:iCs/>
          <w:noProof/>
        </w:rPr>
        <w:t>et al.</w:t>
      </w:r>
      <w:r w:rsidRPr="000D0546">
        <w:rPr>
          <w:rFonts w:eastAsia="Times New Roman"/>
          <w:noProof/>
        </w:rPr>
        <w:t xml:space="preserve"> (2004) ‘Distance, rurality and the need for care: access to health services in South West England’, </w:t>
      </w:r>
      <w:r w:rsidRPr="000D0546">
        <w:rPr>
          <w:rFonts w:eastAsia="Times New Roman"/>
          <w:i/>
          <w:iCs/>
          <w:noProof/>
        </w:rPr>
        <w:t>International Journal of Health Geography</w:t>
      </w:r>
      <w:r w:rsidR="009847C6">
        <w:rPr>
          <w:rFonts w:eastAsia="Times New Roman"/>
          <w:noProof/>
        </w:rPr>
        <w:t xml:space="preserve">, 3, </w:t>
      </w:r>
      <w:r w:rsidRPr="000D0546">
        <w:rPr>
          <w:rFonts w:eastAsia="Times New Roman"/>
          <w:noProof/>
        </w:rPr>
        <w:t>21.</w:t>
      </w:r>
    </w:p>
    <w:p w14:paraId="432C7A10"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Jylha, M. (2009) ‘What is self-rated health and why does it predict mortality? Towards a unified conceptual model’, </w:t>
      </w:r>
      <w:r w:rsidRPr="000D0546">
        <w:rPr>
          <w:rFonts w:eastAsia="Times New Roman"/>
          <w:i/>
          <w:iCs/>
          <w:noProof/>
        </w:rPr>
        <w:t>Social Science &amp; Medicine</w:t>
      </w:r>
      <w:r w:rsidRPr="000D0546">
        <w:rPr>
          <w:rFonts w:eastAsia="Times New Roman"/>
          <w:noProof/>
        </w:rPr>
        <w:t>, 69, pp. 307–316.</w:t>
      </w:r>
    </w:p>
    <w:p w14:paraId="1C539EC5"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Lovett, A. </w:t>
      </w:r>
      <w:r w:rsidRPr="000D0546">
        <w:rPr>
          <w:rFonts w:eastAsia="Times New Roman"/>
          <w:i/>
          <w:iCs/>
          <w:noProof/>
        </w:rPr>
        <w:t>et al.</w:t>
      </w:r>
      <w:r w:rsidRPr="000D0546">
        <w:rPr>
          <w:rFonts w:eastAsia="Times New Roman"/>
          <w:noProof/>
        </w:rPr>
        <w:t xml:space="preserve"> (2002) ‘Car travel time and accessibility by bus to general practitioner services: a study using patient registers and GIS’, </w:t>
      </w:r>
      <w:r w:rsidRPr="000D0546">
        <w:rPr>
          <w:rFonts w:eastAsia="Times New Roman"/>
          <w:i/>
          <w:iCs/>
          <w:noProof/>
        </w:rPr>
        <w:t>Social Science &amp; Medicine</w:t>
      </w:r>
      <w:r w:rsidRPr="000D0546">
        <w:rPr>
          <w:rFonts w:eastAsia="Times New Roman"/>
          <w:noProof/>
        </w:rPr>
        <w:t>, 55(1), pp. 97–111.</w:t>
      </w:r>
    </w:p>
    <w:p w14:paraId="4EFEA5B6"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Macintyre, S., Macdonald, L. and Ellaway, A. (2008) ‘Do poorer people have poorer access to local resources and facilities? The distribution of local resources by area deprivation in Glasgow, Scotland’, </w:t>
      </w:r>
      <w:r w:rsidRPr="000D0546">
        <w:rPr>
          <w:rFonts w:eastAsia="Times New Roman"/>
          <w:i/>
          <w:iCs/>
          <w:noProof/>
        </w:rPr>
        <w:t>Social Science &amp; Medicine</w:t>
      </w:r>
      <w:r w:rsidRPr="000D0546">
        <w:rPr>
          <w:rFonts w:eastAsia="Times New Roman"/>
          <w:noProof/>
        </w:rPr>
        <w:t>, 67(6), pp. 900–914.</w:t>
      </w:r>
    </w:p>
    <w:p w14:paraId="1A280F29"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Mair, C., Diez Roux, A. V and Galea, S. (2008) ‘Are neighbourhood characteristics associated with depressive symptoms? A review of evidence’, </w:t>
      </w:r>
      <w:r w:rsidRPr="000D0546">
        <w:rPr>
          <w:rFonts w:eastAsia="Times New Roman"/>
          <w:i/>
          <w:iCs/>
          <w:noProof/>
        </w:rPr>
        <w:t>Journal of Epidemiology &amp; Community Health</w:t>
      </w:r>
      <w:r w:rsidRPr="000D0546">
        <w:rPr>
          <w:rFonts w:eastAsia="Times New Roman"/>
          <w:noProof/>
        </w:rPr>
        <w:t>, 62(11), pp. 940–946.</w:t>
      </w:r>
    </w:p>
    <w:p w14:paraId="0DDA5BC8"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Manor, O., Matthews, S. and Power, C. (2001) ‘Self-rated health and limiting longstanding illness: inter-relationships with morbidity in early adulthood’, </w:t>
      </w:r>
      <w:r w:rsidRPr="000D0546">
        <w:rPr>
          <w:rFonts w:eastAsia="Times New Roman"/>
          <w:i/>
          <w:iCs/>
          <w:noProof/>
        </w:rPr>
        <w:t>International Journal of Epidemiology</w:t>
      </w:r>
      <w:r w:rsidRPr="000D0546">
        <w:rPr>
          <w:rFonts w:eastAsia="Times New Roman"/>
          <w:noProof/>
        </w:rPr>
        <w:t>, 30(3), pp. 600–607.</w:t>
      </w:r>
    </w:p>
    <w:p w14:paraId="0CFFD0DD"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Mercer, S. and Watt, G. (2007) ‘The Inverse Care Law: Clinical Primary Care Encounters in Deprived and Affluent Areas of Scotland’, </w:t>
      </w:r>
      <w:r w:rsidRPr="000D0546">
        <w:rPr>
          <w:rFonts w:eastAsia="Times New Roman"/>
          <w:i/>
          <w:iCs/>
          <w:noProof/>
        </w:rPr>
        <w:t>Annals of Family Medicine</w:t>
      </w:r>
      <w:r w:rsidRPr="000D0546">
        <w:rPr>
          <w:rFonts w:eastAsia="Times New Roman"/>
          <w:noProof/>
        </w:rPr>
        <w:t>, 5(6), pp. 503–510.</w:t>
      </w:r>
    </w:p>
    <w:p w14:paraId="4CFC7385"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Mitchell, R. and Popham, F. (2008) ‘Effect of exposure to natural environment on health </w:t>
      </w:r>
      <w:r w:rsidRPr="000D0546">
        <w:rPr>
          <w:rFonts w:eastAsia="Times New Roman"/>
          <w:noProof/>
        </w:rPr>
        <w:lastRenderedPageBreak/>
        <w:t xml:space="preserve">inequalities: an observational population study’, </w:t>
      </w:r>
      <w:r w:rsidRPr="000D0546">
        <w:rPr>
          <w:rFonts w:eastAsia="Times New Roman"/>
          <w:i/>
          <w:iCs/>
          <w:noProof/>
        </w:rPr>
        <w:t>The Lancet</w:t>
      </w:r>
      <w:r w:rsidRPr="000D0546">
        <w:rPr>
          <w:rFonts w:eastAsia="Times New Roman"/>
          <w:noProof/>
        </w:rPr>
        <w:t>, 372(9650), pp. 1655–1660.</w:t>
      </w:r>
    </w:p>
    <w:p w14:paraId="0BE888DD" w14:textId="63CCDD0A"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Newton, J. N. </w:t>
      </w:r>
      <w:r w:rsidRPr="000D0546">
        <w:rPr>
          <w:rFonts w:eastAsia="Times New Roman"/>
          <w:i/>
          <w:iCs/>
          <w:noProof/>
        </w:rPr>
        <w:t>et al.</w:t>
      </w:r>
      <w:r w:rsidRPr="000D0546">
        <w:rPr>
          <w:rFonts w:eastAsia="Times New Roman"/>
          <w:noProof/>
        </w:rPr>
        <w:t xml:space="preserve"> (2015) ‘Changes in health in England, with analysis by English regions and areas of deprivation, 1990-2013: A systematic analysis for the Global Burden of Disease Study 2013’, </w:t>
      </w:r>
      <w:r w:rsidRPr="000D0546">
        <w:rPr>
          <w:rFonts w:eastAsia="Times New Roman"/>
          <w:i/>
          <w:iCs/>
          <w:noProof/>
        </w:rPr>
        <w:t>The Lancet</w:t>
      </w:r>
      <w:r w:rsidRPr="000D0546">
        <w:rPr>
          <w:rFonts w:eastAsia="Times New Roman"/>
          <w:noProof/>
        </w:rPr>
        <w:t xml:space="preserve">, 386, pp. 2257–2274. </w:t>
      </w:r>
    </w:p>
    <w:p w14:paraId="72D74E10" w14:textId="288A7C3C"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NHS England (2017) </w:t>
      </w:r>
      <w:r w:rsidRPr="000D0546">
        <w:rPr>
          <w:rFonts w:eastAsia="Times New Roman"/>
          <w:i/>
          <w:iCs/>
          <w:noProof/>
        </w:rPr>
        <w:t>Improving access to general practice</w:t>
      </w:r>
      <w:r w:rsidRPr="000D0546">
        <w:rPr>
          <w:rFonts w:eastAsia="Times New Roman"/>
          <w:noProof/>
        </w:rPr>
        <w:t>.</w:t>
      </w:r>
      <w:r w:rsidR="009847C6">
        <w:rPr>
          <w:rFonts w:eastAsia="Times New Roman"/>
          <w:noProof/>
        </w:rPr>
        <w:t xml:space="preserve"> </w:t>
      </w:r>
      <w:r w:rsidR="009847C6" w:rsidRPr="009847C6">
        <w:rPr>
          <w:rFonts w:eastAsia="Times New Roman"/>
          <w:noProof/>
        </w:rPr>
        <w:t>https://www.england.nhs.uk/gp/gpfv/redesign/improving-access/</w:t>
      </w:r>
      <w:r w:rsidR="009847C6">
        <w:rPr>
          <w:rFonts w:eastAsia="Times New Roman"/>
          <w:noProof/>
        </w:rPr>
        <w:t xml:space="preserve"> (last access 9</w:t>
      </w:r>
      <w:r w:rsidR="009847C6" w:rsidRPr="009847C6">
        <w:rPr>
          <w:rFonts w:eastAsia="Times New Roman"/>
          <w:noProof/>
          <w:vertAlign w:val="superscript"/>
        </w:rPr>
        <w:t>th</w:t>
      </w:r>
      <w:r w:rsidR="009847C6">
        <w:rPr>
          <w:rFonts w:eastAsia="Times New Roman"/>
          <w:noProof/>
        </w:rPr>
        <w:t xml:space="preserve"> August 2018).</w:t>
      </w:r>
    </w:p>
    <w:p w14:paraId="48DABC77"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NICE (2017) </w:t>
      </w:r>
      <w:r w:rsidRPr="000D0546">
        <w:rPr>
          <w:rFonts w:eastAsia="Times New Roman"/>
          <w:i/>
          <w:iCs/>
          <w:noProof/>
        </w:rPr>
        <w:t>Air pollution: outdoor air quality and health. NICE guideline [NG70].</w:t>
      </w:r>
      <w:r w:rsidRPr="000D0546">
        <w:rPr>
          <w:rFonts w:eastAsia="Times New Roman"/>
          <w:noProof/>
        </w:rPr>
        <w:t xml:space="preserve"> Available at: https://www.nice.org.uk/guidance/ng70.</w:t>
      </w:r>
    </w:p>
    <w:p w14:paraId="0A7CF66D"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Noble, M. </w:t>
      </w:r>
      <w:r w:rsidRPr="000D0546">
        <w:rPr>
          <w:rFonts w:eastAsia="Times New Roman"/>
          <w:i/>
          <w:iCs/>
          <w:noProof/>
        </w:rPr>
        <w:t>et al.</w:t>
      </w:r>
      <w:r w:rsidRPr="000D0546">
        <w:rPr>
          <w:rFonts w:eastAsia="Times New Roman"/>
          <w:noProof/>
        </w:rPr>
        <w:t xml:space="preserve"> (2006) ‘Measuring Multiple Deprivation at the Small-Area Level’, </w:t>
      </w:r>
      <w:r w:rsidRPr="000D0546">
        <w:rPr>
          <w:rFonts w:eastAsia="Times New Roman"/>
          <w:i/>
          <w:iCs/>
          <w:noProof/>
        </w:rPr>
        <w:t>Environment and Planning A</w:t>
      </w:r>
      <w:r w:rsidRPr="000D0546">
        <w:rPr>
          <w:rFonts w:eastAsia="Times New Roman"/>
          <w:noProof/>
        </w:rPr>
        <w:t>, 38(1), pp. 169–185.</w:t>
      </w:r>
    </w:p>
    <w:p w14:paraId="77067B3A" w14:textId="1BEF1C28"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Pampel, F. C., Krueger, P. and Denney, J. (2010) ‘Socioeconomic disparities in health behaviors’, </w:t>
      </w:r>
      <w:r w:rsidRPr="000D0546">
        <w:rPr>
          <w:rFonts w:eastAsia="Times New Roman"/>
          <w:i/>
          <w:iCs/>
          <w:noProof/>
        </w:rPr>
        <w:t>Annual Review of Sociology</w:t>
      </w:r>
      <w:r w:rsidRPr="000D0546">
        <w:rPr>
          <w:rFonts w:eastAsia="Times New Roman"/>
          <w:noProof/>
        </w:rPr>
        <w:t xml:space="preserve">, 36, pp. 349–370. </w:t>
      </w:r>
    </w:p>
    <w:p w14:paraId="4EB252C9" w14:textId="52B24664"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Pearce, J. </w:t>
      </w:r>
      <w:r w:rsidRPr="000D0546">
        <w:rPr>
          <w:rFonts w:eastAsia="Times New Roman"/>
          <w:i/>
          <w:iCs/>
          <w:noProof/>
        </w:rPr>
        <w:t>et al.</w:t>
      </w:r>
      <w:r w:rsidRPr="000D0546">
        <w:rPr>
          <w:rFonts w:eastAsia="Times New Roman"/>
          <w:noProof/>
        </w:rPr>
        <w:t xml:space="preserve"> (2008) ‘A national study of neighbourhood access to gambling opportunities and individual gambling behaviour’, </w:t>
      </w:r>
      <w:r w:rsidRPr="000D0546">
        <w:rPr>
          <w:rFonts w:eastAsia="Times New Roman"/>
          <w:i/>
          <w:iCs/>
          <w:noProof/>
        </w:rPr>
        <w:t>Journal of Epidemiology &amp; Community Health</w:t>
      </w:r>
      <w:r w:rsidRPr="000D0546">
        <w:rPr>
          <w:rFonts w:eastAsia="Times New Roman"/>
          <w:noProof/>
        </w:rPr>
        <w:t>, 62(10)</w:t>
      </w:r>
      <w:r w:rsidR="009847C6">
        <w:rPr>
          <w:rFonts w:eastAsia="Times New Roman"/>
          <w:noProof/>
        </w:rPr>
        <w:t>, pp.862-868</w:t>
      </w:r>
      <w:r w:rsidRPr="000D0546">
        <w:rPr>
          <w:rFonts w:eastAsia="Times New Roman"/>
          <w:noProof/>
        </w:rPr>
        <w:t>.</w:t>
      </w:r>
    </w:p>
    <w:p w14:paraId="2A1EC675"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Pearce, J. </w:t>
      </w:r>
      <w:r w:rsidRPr="000D0546">
        <w:rPr>
          <w:rFonts w:eastAsia="Times New Roman"/>
          <w:i/>
          <w:iCs/>
          <w:noProof/>
        </w:rPr>
        <w:t>et al.</w:t>
      </w:r>
      <w:r w:rsidRPr="000D0546">
        <w:rPr>
          <w:rFonts w:eastAsia="Times New Roman"/>
          <w:noProof/>
        </w:rPr>
        <w:t xml:space="preserve"> (2010) ‘Environmental justice and health: the implications of the socio</w:t>
      </w:r>
      <w:r w:rsidRPr="000D0546">
        <w:rPr>
          <w:rFonts w:ascii="Calibri" w:eastAsia="Calibri" w:hAnsi="Calibri" w:cs="Calibri"/>
          <w:noProof/>
        </w:rPr>
        <w:t>‐</w:t>
      </w:r>
      <w:r w:rsidRPr="000D0546">
        <w:rPr>
          <w:rFonts w:eastAsia="Times New Roman"/>
          <w:noProof/>
        </w:rPr>
        <w:t xml:space="preserve">spatial distribution of multiple environmental deprivation for health inequalities in the United Kingdom’, </w:t>
      </w:r>
      <w:r w:rsidRPr="000D0546">
        <w:rPr>
          <w:rFonts w:eastAsia="Times New Roman"/>
          <w:i/>
          <w:iCs/>
          <w:noProof/>
        </w:rPr>
        <w:t>Transactions of the Institute of British Geographers</w:t>
      </w:r>
      <w:r w:rsidRPr="000D0546">
        <w:rPr>
          <w:rFonts w:eastAsia="Times New Roman"/>
          <w:noProof/>
        </w:rPr>
        <w:t>, 35(4), pp. 522–539.</w:t>
      </w:r>
    </w:p>
    <w:p w14:paraId="79B03D62" w14:textId="4BD96578"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Public Health England (2017a) </w:t>
      </w:r>
      <w:r w:rsidRPr="000D0546">
        <w:rPr>
          <w:rFonts w:eastAsia="Times New Roman"/>
          <w:i/>
          <w:iCs/>
          <w:noProof/>
        </w:rPr>
        <w:t>Health matters: obesity and the food environment</w:t>
      </w:r>
      <w:r w:rsidRPr="000D0546">
        <w:rPr>
          <w:rFonts w:eastAsia="Times New Roman"/>
          <w:noProof/>
        </w:rPr>
        <w:t>.</w:t>
      </w:r>
      <w:r w:rsidR="009847C6" w:rsidRPr="009847C6">
        <w:t xml:space="preserve"> </w:t>
      </w:r>
      <w:r w:rsidR="009847C6" w:rsidRPr="009847C6">
        <w:rPr>
          <w:rFonts w:eastAsia="Times New Roman"/>
          <w:noProof/>
        </w:rPr>
        <w:t>https://www.gov.uk/government/publications/health-matters-obesity-and-the-food-environment/health-matters-obesity-and-the-food-environment--2 (last access 9th August 2018)</w:t>
      </w:r>
    </w:p>
    <w:p w14:paraId="792FD25B" w14:textId="6EF9DB79"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Public Health England (2017b) </w:t>
      </w:r>
      <w:r w:rsidRPr="000D0546">
        <w:rPr>
          <w:rFonts w:eastAsia="Times New Roman"/>
          <w:i/>
          <w:iCs/>
          <w:noProof/>
        </w:rPr>
        <w:t>Spatial Planning for Health: An evidence resource for planning and designing healthier places</w:t>
      </w:r>
      <w:r w:rsidRPr="000D0546">
        <w:rPr>
          <w:rFonts w:eastAsia="Times New Roman"/>
          <w:noProof/>
        </w:rPr>
        <w:t>. Available at: https://assets.publishing.service.gov.uk/government/uploads/system/uploads/attachment_data/file/625568/Spatial_planning_for_health_an_evidence_resource.pdf</w:t>
      </w:r>
      <w:r w:rsidR="009847C6">
        <w:rPr>
          <w:rFonts w:eastAsia="Times New Roman"/>
          <w:noProof/>
        </w:rPr>
        <w:t xml:space="preserve"> (last access 9</w:t>
      </w:r>
      <w:r w:rsidR="009847C6" w:rsidRPr="009847C6">
        <w:rPr>
          <w:rFonts w:eastAsia="Times New Roman"/>
          <w:noProof/>
          <w:vertAlign w:val="superscript"/>
        </w:rPr>
        <w:t>th</w:t>
      </w:r>
      <w:r w:rsidR="009847C6">
        <w:rPr>
          <w:rFonts w:eastAsia="Times New Roman"/>
          <w:noProof/>
        </w:rPr>
        <w:t xml:space="preserve"> August 2018)</w:t>
      </w:r>
      <w:r w:rsidRPr="000D0546">
        <w:rPr>
          <w:rFonts w:eastAsia="Times New Roman"/>
          <w:noProof/>
        </w:rPr>
        <w:t>.</w:t>
      </w:r>
    </w:p>
    <w:p w14:paraId="3AA5F3B5" w14:textId="3D3E214F"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Public Health England (2018) </w:t>
      </w:r>
      <w:r w:rsidRPr="000D0546">
        <w:rPr>
          <w:rFonts w:eastAsia="Times New Roman"/>
          <w:i/>
          <w:iCs/>
          <w:noProof/>
        </w:rPr>
        <w:t>Wider determinants of health</w:t>
      </w:r>
      <w:r w:rsidRPr="000D0546">
        <w:rPr>
          <w:rFonts w:eastAsia="Times New Roman"/>
          <w:noProof/>
        </w:rPr>
        <w:t>.</w:t>
      </w:r>
      <w:r w:rsidR="00F43F2D" w:rsidRPr="00F43F2D">
        <w:t xml:space="preserve"> </w:t>
      </w:r>
      <w:r w:rsidR="00F43F2D" w:rsidRPr="00F43F2D">
        <w:rPr>
          <w:rFonts w:eastAsia="Times New Roman"/>
          <w:noProof/>
        </w:rPr>
        <w:t>https://fingertips.phe.org.uk/profile/wider-determinants</w:t>
      </w:r>
      <w:r w:rsidR="00F43F2D">
        <w:rPr>
          <w:rFonts w:eastAsia="Times New Roman"/>
          <w:noProof/>
        </w:rPr>
        <w:t xml:space="preserve"> (last access 9</w:t>
      </w:r>
      <w:r w:rsidR="00F43F2D" w:rsidRPr="00F43F2D">
        <w:rPr>
          <w:rFonts w:eastAsia="Times New Roman"/>
          <w:noProof/>
          <w:vertAlign w:val="superscript"/>
        </w:rPr>
        <w:t>th</w:t>
      </w:r>
      <w:r w:rsidR="00F43F2D">
        <w:rPr>
          <w:rFonts w:eastAsia="Times New Roman"/>
          <w:noProof/>
        </w:rPr>
        <w:t xml:space="preserve"> August 2018).</w:t>
      </w:r>
    </w:p>
    <w:p w14:paraId="0B8329F8"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Richardson, E. </w:t>
      </w:r>
      <w:r w:rsidRPr="000D0546">
        <w:rPr>
          <w:rFonts w:eastAsia="Times New Roman"/>
          <w:i/>
          <w:iCs/>
          <w:noProof/>
        </w:rPr>
        <w:t>et al.</w:t>
      </w:r>
      <w:r w:rsidRPr="000D0546">
        <w:rPr>
          <w:rFonts w:eastAsia="Times New Roman"/>
          <w:noProof/>
        </w:rPr>
        <w:t xml:space="preserve"> (2010) ‘Developing summary measures of health-related multiple physical environmental deprivation for epidemiological research’, </w:t>
      </w:r>
      <w:r w:rsidRPr="000D0546">
        <w:rPr>
          <w:rFonts w:eastAsia="Times New Roman"/>
          <w:i/>
          <w:iCs/>
          <w:noProof/>
        </w:rPr>
        <w:t>Environment and Planning A</w:t>
      </w:r>
      <w:r w:rsidRPr="000D0546">
        <w:rPr>
          <w:rFonts w:eastAsia="Times New Roman"/>
          <w:noProof/>
        </w:rPr>
        <w:t>, 42, pp. 1650–1668.</w:t>
      </w:r>
    </w:p>
    <w:p w14:paraId="41EDBFF2" w14:textId="574D947F"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Royal College of Physicians (2016) </w:t>
      </w:r>
      <w:r w:rsidRPr="000D0546">
        <w:rPr>
          <w:rFonts w:eastAsia="Times New Roman"/>
          <w:i/>
          <w:iCs/>
          <w:noProof/>
        </w:rPr>
        <w:t>Every breath we take: the lifelong impact of air pollution</w:t>
      </w:r>
      <w:r w:rsidRPr="000D0546">
        <w:rPr>
          <w:rFonts w:eastAsia="Times New Roman"/>
          <w:noProof/>
        </w:rPr>
        <w:t>.</w:t>
      </w:r>
      <w:r w:rsidR="00F43F2D" w:rsidRPr="00F43F2D">
        <w:t xml:space="preserve"> </w:t>
      </w:r>
      <w:r w:rsidR="00F43F2D" w:rsidRPr="00F43F2D">
        <w:rPr>
          <w:rFonts w:eastAsia="Times New Roman"/>
          <w:noProof/>
        </w:rPr>
        <w:t>https://www.rcplondon.ac.uk/projects/outputs/every-breath-we-take-lifelong-impact-air-pollution (last access 9th August 2018).</w:t>
      </w:r>
    </w:p>
    <w:p w14:paraId="58E9913C"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Sampson, R. J. (2012) </w:t>
      </w:r>
      <w:r w:rsidRPr="000D0546">
        <w:rPr>
          <w:rFonts w:eastAsia="Times New Roman"/>
          <w:i/>
          <w:iCs/>
          <w:noProof/>
        </w:rPr>
        <w:t>Great American City: Chicago and the enduring neighbourhood effect</w:t>
      </w:r>
      <w:r w:rsidRPr="000D0546">
        <w:rPr>
          <w:rFonts w:eastAsia="Times New Roman"/>
          <w:noProof/>
        </w:rPr>
        <w:t>. London: University of Chicago Press.</w:t>
      </w:r>
    </w:p>
    <w:p w14:paraId="1375A156"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Shah, A. </w:t>
      </w:r>
      <w:r w:rsidRPr="000D0546">
        <w:rPr>
          <w:rFonts w:eastAsia="Times New Roman"/>
          <w:i/>
          <w:iCs/>
          <w:noProof/>
        </w:rPr>
        <w:t>et al.</w:t>
      </w:r>
      <w:r w:rsidRPr="000D0546">
        <w:rPr>
          <w:rFonts w:eastAsia="Times New Roman"/>
          <w:noProof/>
        </w:rPr>
        <w:t xml:space="preserve"> (2015) ‘Short term exposure to air pollution and stroke: systematic review and meta-analysis’, </w:t>
      </w:r>
      <w:r w:rsidRPr="000D0546">
        <w:rPr>
          <w:rFonts w:eastAsia="Times New Roman"/>
          <w:i/>
          <w:iCs/>
          <w:noProof/>
        </w:rPr>
        <w:t>BMJ</w:t>
      </w:r>
      <w:r w:rsidRPr="000D0546">
        <w:rPr>
          <w:rFonts w:eastAsia="Times New Roman"/>
          <w:noProof/>
        </w:rPr>
        <w:t>, 350, p. h1295.</w:t>
      </w:r>
    </w:p>
    <w:p w14:paraId="22BB215B"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Shaw, M. and Dorling, D. (2004) ‘Who cares in England and Wales? The Positive Care Law: cross-sectional study’, </w:t>
      </w:r>
      <w:r w:rsidRPr="000D0546">
        <w:rPr>
          <w:rFonts w:eastAsia="Times New Roman"/>
          <w:i/>
          <w:iCs/>
          <w:noProof/>
        </w:rPr>
        <w:t>British Journal of General Practice</w:t>
      </w:r>
      <w:r w:rsidRPr="000D0546">
        <w:rPr>
          <w:rFonts w:eastAsia="Times New Roman"/>
          <w:noProof/>
        </w:rPr>
        <w:t>, 54(509), pp. 899–903.</w:t>
      </w:r>
    </w:p>
    <w:p w14:paraId="7FFB73FA"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Shortt, N. </w:t>
      </w:r>
      <w:r w:rsidRPr="000D0546">
        <w:rPr>
          <w:rFonts w:eastAsia="Times New Roman"/>
          <w:i/>
          <w:iCs/>
          <w:noProof/>
        </w:rPr>
        <w:t>et al.</w:t>
      </w:r>
      <w:r w:rsidRPr="000D0546">
        <w:rPr>
          <w:rFonts w:eastAsia="Times New Roman"/>
          <w:noProof/>
        </w:rPr>
        <w:t xml:space="preserve"> (2016) ‘The density of tobacco retailers in home and school environments and relationship with adolescent smoking behaviours in Scotland’, </w:t>
      </w:r>
      <w:r w:rsidRPr="000D0546">
        <w:rPr>
          <w:rFonts w:eastAsia="Times New Roman"/>
          <w:i/>
          <w:iCs/>
          <w:noProof/>
        </w:rPr>
        <w:t>Tobacco Control</w:t>
      </w:r>
      <w:r w:rsidRPr="000D0546">
        <w:rPr>
          <w:rFonts w:eastAsia="Times New Roman"/>
          <w:noProof/>
        </w:rPr>
        <w:t>, 25, pp. 75–82.</w:t>
      </w:r>
    </w:p>
    <w:p w14:paraId="6C9D2871"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Shrek, A. </w:t>
      </w:r>
      <w:r w:rsidRPr="000D0546">
        <w:rPr>
          <w:rFonts w:eastAsia="Times New Roman"/>
          <w:i/>
          <w:iCs/>
          <w:noProof/>
        </w:rPr>
        <w:t>et al.</w:t>
      </w:r>
      <w:r w:rsidRPr="000D0546">
        <w:rPr>
          <w:rFonts w:eastAsia="Times New Roman"/>
          <w:noProof/>
        </w:rPr>
        <w:t xml:space="preserve"> (2018) ‘Alcohol Consumption and the Physical Availability of Take-Away Alcohol: Systematic Reviews and Meta-Analyses of the Days and Hours of Sale and Outlet Density’, </w:t>
      </w:r>
      <w:r w:rsidRPr="000D0546">
        <w:rPr>
          <w:rFonts w:eastAsia="Times New Roman"/>
          <w:i/>
          <w:iCs/>
          <w:noProof/>
        </w:rPr>
        <w:t>Journal of Studies on Alcohol and Drugs</w:t>
      </w:r>
      <w:r w:rsidRPr="000D0546">
        <w:rPr>
          <w:rFonts w:eastAsia="Times New Roman"/>
          <w:noProof/>
        </w:rPr>
        <w:t>, 79(1), pp. 58–67.</w:t>
      </w:r>
    </w:p>
    <w:p w14:paraId="6425632C"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Smith, T. </w:t>
      </w:r>
      <w:r w:rsidRPr="000D0546">
        <w:rPr>
          <w:rFonts w:eastAsia="Times New Roman"/>
          <w:i/>
          <w:iCs/>
          <w:noProof/>
        </w:rPr>
        <w:t>et al.</w:t>
      </w:r>
      <w:r w:rsidRPr="000D0546">
        <w:rPr>
          <w:rFonts w:eastAsia="Times New Roman"/>
          <w:noProof/>
        </w:rPr>
        <w:t xml:space="preserve"> (2015) </w:t>
      </w:r>
      <w:r w:rsidRPr="000D0546">
        <w:rPr>
          <w:rFonts w:eastAsia="Times New Roman"/>
          <w:i/>
          <w:iCs/>
          <w:noProof/>
        </w:rPr>
        <w:t>The English Indices of Deprivation 2015</w:t>
      </w:r>
      <w:r w:rsidRPr="000D0546">
        <w:rPr>
          <w:rFonts w:eastAsia="Times New Roman"/>
          <w:noProof/>
        </w:rPr>
        <w:t>. Available at: https://www.gov.uk/government/publications/english-indices-of-deprivation-2015-technical-</w:t>
      </w:r>
      <w:r w:rsidRPr="000D0546">
        <w:rPr>
          <w:rFonts w:eastAsia="Times New Roman"/>
          <w:noProof/>
        </w:rPr>
        <w:lastRenderedPageBreak/>
        <w:t>report (Accessed: 10 December 2016).</w:t>
      </w:r>
    </w:p>
    <w:p w14:paraId="095A6D06"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Stanners, D. and Bourdeau, P. (1995) ‘The urban environment’, in Stanners, D. and Bourdeau, P. (eds) </w:t>
      </w:r>
      <w:r w:rsidRPr="000D0546">
        <w:rPr>
          <w:rFonts w:eastAsia="Times New Roman"/>
          <w:i/>
          <w:iCs/>
          <w:noProof/>
        </w:rPr>
        <w:t>Europe’s Environment: The Dobrıs Assessment</w:t>
      </w:r>
      <w:r w:rsidRPr="000D0546">
        <w:rPr>
          <w:rFonts w:eastAsia="Times New Roman"/>
          <w:noProof/>
        </w:rPr>
        <w:t>. Copenhagen: European Environment Agency.</w:t>
      </w:r>
    </w:p>
    <w:p w14:paraId="6D153114"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Townsend, P. (1987) ‘Deprivation’, </w:t>
      </w:r>
      <w:r w:rsidRPr="000D0546">
        <w:rPr>
          <w:rFonts w:eastAsia="Times New Roman"/>
          <w:i/>
          <w:iCs/>
          <w:noProof/>
        </w:rPr>
        <w:t>Journal of Social Policy</w:t>
      </w:r>
      <w:r w:rsidRPr="000D0546">
        <w:rPr>
          <w:rFonts w:eastAsia="Times New Roman"/>
          <w:noProof/>
        </w:rPr>
        <w:t>, 16(2), pp. 125–146.</w:t>
      </w:r>
    </w:p>
    <w:p w14:paraId="6108CB6B"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Tudor Hart, J. (1971) ‘The inverse care law’, </w:t>
      </w:r>
      <w:r w:rsidRPr="000D0546">
        <w:rPr>
          <w:rFonts w:eastAsia="Times New Roman"/>
          <w:i/>
          <w:iCs/>
          <w:noProof/>
        </w:rPr>
        <w:t>The Lancet</w:t>
      </w:r>
      <w:r w:rsidRPr="000D0546">
        <w:rPr>
          <w:rFonts w:eastAsia="Times New Roman"/>
          <w:noProof/>
        </w:rPr>
        <w:t>, 297(7696), pp. 405–412.</w:t>
      </w:r>
    </w:p>
    <w:p w14:paraId="2970AB27" w14:textId="77777777"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Ware, J. E. </w:t>
      </w:r>
      <w:r w:rsidRPr="000D0546">
        <w:rPr>
          <w:rFonts w:eastAsia="Times New Roman"/>
          <w:i/>
          <w:iCs/>
          <w:noProof/>
        </w:rPr>
        <w:t>et al.</w:t>
      </w:r>
      <w:r w:rsidRPr="000D0546">
        <w:rPr>
          <w:rFonts w:eastAsia="Times New Roman"/>
          <w:noProof/>
        </w:rPr>
        <w:t xml:space="preserve"> (2001) </w:t>
      </w:r>
      <w:r w:rsidRPr="000D0546">
        <w:rPr>
          <w:rFonts w:eastAsia="Times New Roman"/>
          <w:i/>
          <w:iCs/>
          <w:noProof/>
        </w:rPr>
        <w:t>How to score version 2 of the SF-12 health survey (with a supplement documenting version 1)</w:t>
      </w:r>
      <w:r w:rsidRPr="000D0546">
        <w:rPr>
          <w:rFonts w:eastAsia="Times New Roman"/>
          <w:noProof/>
        </w:rPr>
        <w:t>. Lincoln, RI: Quality Metric Incorporated.</w:t>
      </w:r>
    </w:p>
    <w:p w14:paraId="6262C47E" w14:textId="2CEF9A1D" w:rsidR="000D0546" w:rsidRPr="000D0546" w:rsidRDefault="000D0546" w:rsidP="000D0546">
      <w:pPr>
        <w:widowControl w:val="0"/>
        <w:autoSpaceDE w:val="0"/>
        <w:autoSpaceDN w:val="0"/>
        <w:adjustRightInd w:val="0"/>
        <w:rPr>
          <w:rFonts w:eastAsia="Times New Roman"/>
          <w:noProof/>
        </w:rPr>
      </w:pPr>
      <w:r w:rsidRPr="000D0546">
        <w:rPr>
          <w:rFonts w:eastAsia="Times New Roman"/>
          <w:noProof/>
        </w:rPr>
        <w:t xml:space="preserve">Ware, J. and Mawby, R. (2015) </w:t>
      </w:r>
      <w:r w:rsidRPr="000D0546">
        <w:rPr>
          <w:rFonts w:eastAsia="Times New Roman"/>
          <w:i/>
          <w:iCs/>
          <w:noProof/>
        </w:rPr>
        <w:t>Patient access to general practice: ideas and challenges from the front line</w:t>
      </w:r>
      <w:r w:rsidRPr="000D0546">
        <w:rPr>
          <w:rFonts w:eastAsia="Times New Roman"/>
          <w:noProof/>
        </w:rPr>
        <w:t>.</w:t>
      </w:r>
      <w:r w:rsidR="00F43F2D" w:rsidRPr="00F43F2D">
        <w:t xml:space="preserve"> </w:t>
      </w:r>
      <w:r w:rsidR="00F43F2D" w:rsidRPr="00F43F2D">
        <w:rPr>
          <w:rFonts w:eastAsia="Times New Roman"/>
          <w:noProof/>
        </w:rPr>
        <w:t>http://citeseerx.ist.psu.edu/viewdoc/download?doi=10.1.1.676.3749&amp;rep=rep1&amp;type=pdf</w:t>
      </w:r>
      <w:r w:rsidR="00F43F2D">
        <w:rPr>
          <w:rFonts w:eastAsia="Times New Roman"/>
          <w:noProof/>
        </w:rPr>
        <w:t xml:space="preserve"> </w:t>
      </w:r>
      <w:r w:rsidR="00F43F2D" w:rsidRPr="00F43F2D">
        <w:rPr>
          <w:rFonts w:eastAsia="Times New Roman"/>
          <w:noProof/>
        </w:rPr>
        <w:t xml:space="preserve"> (last access 9th August 2018).</w:t>
      </w:r>
    </w:p>
    <w:p w14:paraId="02190100" w14:textId="1F1EE29A" w:rsidR="000D0546" w:rsidRPr="000D0546" w:rsidRDefault="000D0546" w:rsidP="000D0546">
      <w:pPr>
        <w:widowControl w:val="0"/>
        <w:autoSpaceDE w:val="0"/>
        <w:autoSpaceDN w:val="0"/>
        <w:adjustRightInd w:val="0"/>
        <w:rPr>
          <w:noProof/>
        </w:rPr>
      </w:pPr>
      <w:r w:rsidRPr="000D0546">
        <w:rPr>
          <w:rFonts w:eastAsia="Times New Roman"/>
          <w:noProof/>
        </w:rPr>
        <w:t xml:space="preserve">Wheeler, B. and Ben-Shlomo, Y. (2005) ‘Environmental equity, air quality, socioeconomic status, and respiratory health: a linkage analysis of routine data from the Health Survey for England’, </w:t>
      </w:r>
      <w:r w:rsidRPr="000D0546">
        <w:rPr>
          <w:rFonts w:eastAsia="Times New Roman"/>
          <w:i/>
          <w:iCs/>
          <w:noProof/>
        </w:rPr>
        <w:t>Journal of Epidemiology &amp; Community Health</w:t>
      </w:r>
      <w:r w:rsidRPr="000D0546">
        <w:rPr>
          <w:rFonts w:eastAsia="Times New Roman"/>
          <w:noProof/>
        </w:rPr>
        <w:t>, 59(11)</w:t>
      </w:r>
      <w:r w:rsidR="00F43F2D">
        <w:rPr>
          <w:rFonts w:eastAsia="Times New Roman"/>
          <w:noProof/>
        </w:rPr>
        <w:t>, pp.948-954</w:t>
      </w:r>
      <w:r w:rsidRPr="000D0546">
        <w:rPr>
          <w:rFonts w:eastAsia="Times New Roman"/>
          <w:noProof/>
        </w:rPr>
        <w:t>.</w:t>
      </w:r>
    </w:p>
    <w:p w14:paraId="5AFAEDE6" w14:textId="582B1E5A" w:rsidR="00D801FA" w:rsidRPr="0068488B" w:rsidRDefault="00C536EC" w:rsidP="000D0546">
      <w:pPr>
        <w:widowControl w:val="0"/>
        <w:autoSpaceDE w:val="0"/>
        <w:autoSpaceDN w:val="0"/>
        <w:adjustRightInd w:val="0"/>
      </w:pPr>
      <w:r w:rsidRPr="0068488B">
        <w:fldChar w:fldCharType="end"/>
      </w:r>
    </w:p>
    <w:sectPr w:rsidR="00D801FA" w:rsidRPr="0068488B" w:rsidSect="002E267B">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4BAE5" w16cid:durableId="1E3A5D96"/>
  <w16cid:commentId w16cid:paraId="717E4582" w16cid:durableId="1E3A5D97"/>
  <w16cid:commentId w16cid:paraId="6069C59C" w16cid:durableId="1E3A5D98"/>
  <w16cid:commentId w16cid:paraId="5EABEFEC" w16cid:durableId="1E3A5D99"/>
  <w16cid:commentId w16cid:paraId="0EB97313" w16cid:durableId="1E3A5D9A"/>
  <w16cid:commentId w16cid:paraId="32136E49" w16cid:durableId="1E3A5D9B"/>
  <w16cid:commentId w16cid:paraId="7AE9DA3C" w16cid:durableId="1E3D7961"/>
  <w16cid:commentId w16cid:paraId="35CC066F" w16cid:durableId="1E3A5D9C"/>
  <w16cid:commentId w16cid:paraId="6186FBCB" w16cid:durableId="1E3A5D9D"/>
  <w16cid:commentId w16cid:paraId="32F5B66E" w16cid:durableId="1E3A5D9E"/>
  <w16cid:commentId w16cid:paraId="348E3072" w16cid:durableId="1E3A5D9F"/>
  <w16cid:commentId w16cid:paraId="6DC6C5A2" w16cid:durableId="1E3A5DA0"/>
  <w16cid:commentId w16cid:paraId="7D444B06" w16cid:durableId="1E3A5DA1"/>
  <w16cid:commentId w16cid:paraId="037F2657" w16cid:durableId="1E3A5DA2"/>
  <w16cid:commentId w16cid:paraId="6FEB6FBE" w16cid:durableId="1E3A5DA3"/>
  <w16cid:commentId w16cid:paraId="61CDADEF" w16cid:durableId="1E3A5DA4"/>
  <w16cid:commentId w16cid:paraId="4CE82AE9" w16cid:durableId="1E3A5DA5"/>
  <w16cid:commentId w16cid:paraId="0BB04012" w16cid:durableId="1E3A5DA6"/>
  <w16cid:commentId w16cid:paraId="035FC049" w16cid:durableId="1E3A5DA7"/>
  <w16cid:commentId w16cid:paraId="684D8E4D" w16cid:durableId="1E3A5DA8"/>
  <w16cid:commentId w16cid:paraId="25A976E1" w16cid:durableId="1E3A5DA9"/>
  <w16cid:commentId w16cid:paraId="0F3160B0" w16cid:durableId="1E3A5DAA"/>
  <w16cid:commentId w16cid:paraId="574970A1" w16cid:durableId="1E3A5DAB"/>
  <w16cid:commentId w16cid:paraId="57989CF6" w16cid:durableId="1E3A5DAC"/>
  <w16cid:commentId w16cid:paraId="5A944A3C" w16cid:durableId="1E3A5DAD"/>
  <w16cid:commentId w16cid:paraId="07755CA6" w16cid:durableId="1E3D7974"/>
  <w16cid:commentId w16cid:paraId="6429C4EA" w16cid:durableId="1E3A5D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6A0B" w14:textId="77777777" w:rsidR="000B41C2" w:rsidRDefault="000B41C2" w:rsidP="00166B96">
      <w:r>
        <w:separator/>
      </w:r>
    </w:p>
  </w:endnote>
  <w:endnote w:type="continuationSeparator" w:id="0">
    <w:p w14:paraId="58FB0A8F" w14:textId="77777777" w:rsidR="000B41C2" w:rsidRDefault="000B41C2" w:rsidP="0016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4063" w14:textId="77777777" w:rsidR="007B7D7A" w:rsidRDefault="007B7D7A" w:rsidP="00323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E9942" w14:textId="77777777" w:rsidR="007B7D7A" w:rsidRDefault="007B7D7A" w:rsidP="00166B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0FCC" w14:textId="40653F98" w:rsidR="007B7D7A" w:rsidRDefault="007B7D7A" w:rsidP="00323D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7C6">
      <w:rPr>
        <w:rStyle w:val="PageNumber"/>
        <w:noProof/>
      </w:rPr>
      <w:t>2</w:t>
    </w:r>
    <w:r>
      <w:rPr>
        <w:rStyle w:val="PageNumber"/>
      </w:rPr>
      <w:fldChar w:fldCharType="end"/>
    </w:r>
  </w:p>
  <w:p w14:paraId="12A91EDF" w14:textId="77777777" w:rsidR="007B7D7A" w:rsidRDefault="007B7D7A" w:rsidP="00166B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C7D1C" w14:textId="77777777" w:rsidR="000B41C2" w:rsidRDefault="000B41C2" w:rsidP="00166B96">
      <w:r>
        <w:separator/>
      </w:r>
    </w:p>
  </w:footnote>
  <w:footnote w:type="continuationSeparator" w:id="0">
    <w:p w14:paraId="0B2136F8" w14:textId="77777777" w:rsidR="000B41C2" w:rsidRDefault="000B41C2" w:rsidP="00166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57A92"/>
    <w:multiLevelType w:val="hybridMultilevel"/>
    <w:tmpl w:val="F988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244C6"/>
    <w:multiLevelType w:val="hybridMultilevel"/>
    <w:tmpl w:val="CD40C332"/>
    <w:lvl w:ilvl="0" w:tplc="85D4B47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5036A"/>
    <w:multiLevelType w:val="hybridMultilevel"/>
    <w:tmpl w:val="4DAAE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7E54CF"/>
    <w:multiLevelType w:val="hybridMultilevel"/>
    <w:tmpl w:val="BFAA57EC"/>
    <w:lvl w:ilvl="0" w:tplc="00AE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247CD"/>
    <w:multiLevelType w:val="hybridMultilevel"/>
    <w:tmpl w:val="58960D44"/>
    <w:lvl w:ilvl="0" w:tplc="25406C0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53411"/>
    <w:multiLevelType w:val="hybridMultilevel"/>
    <w:tmpl w:val="DF0EC04E"/>
    <w:lvl w:ilvl="0" w:tplc="456EFE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7A1C89"/>
    <w:multiLevelType w:val="multilevel"/>
    <w:tmpl w:val="E5BCF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476A8E"/>
    <w:multiLevelType w:val="hybridMultilevel"/>
    <w:tmpl w:val="54C0D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wNTU1NDGxNDcwsDRT0lEKTi0uzszPAykwrAUAnELDRCwAAAA="/>
  </w:docVars>
  <w:rsids>
    <w:rsidRoot w:val="00D801FA"/>
    <w:rsid w:val="00000EAC"/>
    <w:rsid w:val="00003CAE"/>
    <w:rsid w:val="000076AC"/>
    <w:rsid w:val="00016FF7"/>
    <w:rsid w:val="00022BAA"/>
    <w:rsid w:val="00023CB1"/>
    <w:rsid w:val="00026953"/>
    <w:rsid w:val="00026C9D"/>
    <w:rsid w:val="00043C33"/>
    <w:rsid w:val="0004740A"/>
    <w:rsid w:val="000527A8"/>
    <w:rsid w:val="000537FA"/>
    <w:rsid w:val="00055253"/>
    <w:rsid w:val="000567AA"/>
    <w:rsid w:val="00065218"/>
    <w:rsid w:val="00066B8E"/>
    <w:rsid w:val="0007511B"/>
    <w:rsid w:val="00082FB1"/>
    <w:rsid w:val="00084630"/>
    <w:rsid w:val="00096A52"/>
    <w:rsid w:val="0009743A"/>
    <w:rsid w:val="000A2740"/>
    <w:rsid w:val="000B325E"/>
    <w:rsid w:val="000B4006"/>
    <w:rsid w:val="000B41C2"/>
    <w:rsid w:val="000C218E"/>
    <w:rsid w:val="000C257F"/>
    <w:rsid w:val="000D0546"/>
    <w:rsid w:val="000D07F2"/>
    <w:rsid w:val="000D5664"/>
    <w:rsid w:val="000D7BC3"/>
    <w:rsid w:val="000E0F65"/>
    <w:rsid w:val="000E3E75"/>
    <w:rsid w:val="000E4829"/>
    <w:rsid w:val="000F6796"/>
    <w:rsid w:val="001000CC"/>
    <w:rsid w:val="0010018C"/>
    <w:rsid w:val="0010614B"/>
    <w:rsid w:val="0011240B"/>
    <w:rsid w:val="001178B5"/>
    <w:rsid w:val="001212FB"/>
    <w:rsid w:val="00126692"/>
    <w:rsid w:val="001267EC"/>
    <w:rsid w:val="00136D56"/>
    <w:rsid w:val="0014310F"/>
    <w:rsid w:val="00150F63"/>
    <w:rsid w:val="00155A34"/>
    <w:rsid w:val="00160C8A"/>
    <w:rsid w:val="00164752"/>
    <w:rsid w:val="00165FA3"/>
    <w:rsid w:val="00166B96"/>
    <w:rsid w:val="001678A4"/>
    <w:rsid w:val="00172228"/>
    <w:rsid w:val="00172F0F"/>
    <w:rsid w:val="00177AFB"/>
    <w:rsid w:val="001873E7"/>
    <w:rsid w:val="0019371B"/>
    <w:rsid w:val="00195CF6"/>
    <w:rsid w:val="0019791B"/>
    <w:rsid w:val="001A33E1"/>
    <w:rsid w:val="001A7C80"/>
    <w:rsid w:val="001B19A1"/>
    <w:rsid w:val="001B4342"/>
    <w:rsid w:val="001B63F7"/>
    <w:rsid w:val="001C0AD7"/>
    <w:rsid w:val="001C2C6A"/>
    <w:rsid w:val="001C30B6"/>
    <w:rsid w:val="001D2156"/>
    <w:rsid w:val="001D2751"/>
    <w:rsid w:val="001D480D"/>
    <w:rsid w:val="001D4822"/>
    <w:rsid w:val="001D6D98"/>
    <w:rsid w:val="001D7E83"/>
    <w:rsid w:val="001E182A"/>
    <w:rsid w:val="001E1FFA"/>
    <w:rsid w:val="001E2D28"/>
    <w:rsid w:val="001E37A1"/>
    <w:rsid w:val="001E7C18"/>
    <w:rsid w:val="001F658C"/>
    <w:rsid w:val="00210E1C"/>
    <w:rsid w:val="00211F1A"/>
    <w:rsid w:val="00217B9D"/>
    <w:rsid w:val="00223AE0"/>
    <w:rsid w:val="0023024D"/>
    <w:rsid w:val="00230CBC"/>
    <w:rsid w:val="002421DC"/>
    <w:rsid w:val="00253F0B"/>
    <w:rsid w:val="00255DE0"/>
    <w:rsid w:val="00256C42"/>
    <w:rsid w:val="00260ADF"/>
    <w:rsid w:val="00262C16"/>
    <w:rsid w:val="00271FE3"/>
    <w:rsid w:val="002727B2"/>
    <w:rsid w:val="002736A3"/>
    <w:rsid w:val="00273EFE"/>
    <w:rsid w:val="00285975"/>
    <w:rsid w:val="0029272B"/>
    <w:rsid w:val="0029376F"/>
    <w:rsid w:val="00296463"/>
    <w:rsid w:val="002A0007"/>
    <w:rsid w:val="002A04AB"/>
    <w:rsid w:val="002A2D59"/>
    <w:rsid w:val="002A77A9"/>
    <w:rsid w:val="002B158A"/>
    <w:rsid w:val="002B2760"/>
    <w:rsid w:val="002B36F7"/>
    <w:rsid w:val="002B5A49"/>
    <w:rsid w:val="002C1F3F"/>
    <w:rsid w:val="002C37D5"/>
    <w:rsid w:val="002D29A5"/>
    <w:rsid w:val="002D6A6E"/>
    <w:rsid w:val="002E0A90"/>
    <w:rsid w:val="002E1E4E"/>
    <w:rsid w:val="002E267B"/>
    <w:rsid w:val="002E6351"/>
    <w:rsid w:val="002F3400"/>
    <w:rsid w:val="002F5529"/>
    <w:rsid w:val="002F692B"/>
    <w:rsid w:val="00301960"/>
    <w:rsid w:val="0031215B"/>
    <w:rsid w:val="00315C21"/>
    <w:rsid w:val="0031620D"/>
    <w:rsid w:val="003219E1"/>
    <w:rsid w:val="00323D88"/>
    <w:rsid w:val="00327A8C"/>
    <w:rsid w:val="00331189"/>
    <w:rsid w:val="00335A88"/>
    <w:rsid w:val="003374A7"/>
    <w:rsid w:val="00337594"/>
    <w:rsid w:val="003559BF"/>
    <w:rsid w:val="00356B92"/>
    <w:rsid w:val="00356CD5"/>
    <w:rsid w:val="00372EE3"/>
    <w:rsid w:val="0037396C"/>
    <w:rsid w:val="00374452"/>
    <w:rsid w:val="00377168"/>
    <w:rsid w:val="0037721B"/>
    <w:rsid w:val="00384A0D"/>
    <w:rsid w:val="0038771D"/>
    <w:rsid w:val="0039418F"/>
    <w:rsid w:val="003945C6"/>
    <w:rsid w:val="00396A3B"/>
    <w:rsid w:val="003A0AC5"/>
    <w:rsid w:val="003A52D6"/>
    <w:rsid w:val="003A63BD"/>
    <w:rsid w:val="003B1774"/>
    <w:rsid w:val="003B4179"/>
    <w:rsid w:val="003B4704"/>
    <w:rsid w:val="003C05D4"/>
    <w:rsid w:val="003C1575"/>
    <w:rsid w:val="003C1607"/>
    <w:rsid w:val="003D1518"/>
    <w:rsid w:val="003D396E"/>
    <w:rsid w:val="003D4A0F"/>
    <w:rsid w:val="003E1690"/>
    <w:rsid w:val="003E1FF2"/>
    <w:rsid w:val="003E41E0"/>
    <w:rsid w:val="003F402A"/>
    <w:rsid w:val="003F6EBD"/>
    <w:rsid w:val="0040065A"/>
    <w:rsid w:val="004057F3"/>
    <w:rsid w:val="00411204"/>
    <w:rsid w:val="00412FAE"/>
    <w:rsid w:val="00413816"/>
    <w:rsid w:val="00415848"/>
    <w:rsid w:val="00423876"/>
    <w:rsid w:val="00426CA5"/>
    <w:rsid w:val="00432453"/>
    <w:rsid w:val="00433D84"/>
    <w:rsid w:val="004443ED"/>
    <w:rsid w:val="004453EE"/>
    <w:rsid w:val="004571E1"/>
    <w:rsid w:val="004578EF"/>
    <w:rsid w:val="0046479C"/>
    <w:rsid w:val="0046565A"/>
    <w:rsid w:val="00473499"/>
    <w:rsid w:val="00491403"/>
    <w:rsid w:val="00493FC0"/>
    <w:rsid w:val="004B44D1"/>
    <w:rsid w:val="004B7862"/>
    <w:rsid w:val="004C003B"/>
    <w:rsid w:val="004E30E7"/>
    <w:rsid w:val="004E47CA"/>
    <w:rsid w:val="004E4B05"/>
    <w:rsid w:val="004E545A"/>
    <w:rsid w:val="004E5661"/>
    <w:rsid w:val="004E5CD7"/>
    <w:rsid w:val="004F2C39"/>
    <w:rsid w:val="004F2F7D"/>
    <w:rsid w:val="004F4DF1"/>
    <w:rsid w:val="004F5A85"/>
    <w:rsid w:val="00502A28"/>
    <w:rsid w:val="0050525F"/>
    <w:rsid w:val="00512DCD"/>
    <w:rsid w:val="00517540"/>
    <w:rsid w:val="00520ED8"/>
    <w:rsid w:val="00521282"/>
    <w:rsid w:val="005225E2"/>
    <w:rsid w:val="00522DF3"/>
    <w:rsid w:val="00524665"/>
    <w:rsid w:val="005322C3"/>
    <w:rsid w:val="00534384"/>
    <w:rsid w:val="00536B10"/>
    <w:rsid w:val="0054418B"/>
    <w:rsid w:val="005464D3"/>
    <w:rsid w:val="00546D49"/>
    <w:rsid w:val="00555867"/>
    <w:rsid w:val="00555900"/>
    <w:rsid w:val="00562336"/>
    <w:rsid w:val="00564759"/>
    <w:rsid w:val="00564F28"/>
    <w:rsid w:val="0057204B"/>
    <w:rsid w:val="00573628"/>
    <w:rsid w:val="00574517"/>
    <w:rsid w:val="00577EA6"/>
    <w:rsid w:val="005840BC"/>
    <w:rsid w:val="00586B41"/>
    <w:rsid w:val="005A1838"/>
    <w:rsid w:val="005A1FA7"/>
    <w:rsid w:val="005A37EA"/>
    <w:rsid w:val="005A5E5A"/>
    <w:rsid w:val="005B1576"/>
    <w:rsid w:val="005B5774"/>
    <w:rsid w:val="005C1267"/>
    <w:rsid w:val="005C30CA"/>
    <w:rsid w:val="005C3F57"/>
    <w:rsid w:val="005D1188"/>
    <w:rsid w:val="005D2459"/>
    <w:rsid w:val="005D3EEE"/>
    <w:rsid w:val="005D4767"/>
    <w:rsid w:val="005D5E17"/>
    <w:rsid w:val="005D5E85"/>
    <w:rsid w:val="005E0470"/>
    <w:rsid w:val="005E6FF6"/>
    <w:rsid w:val="005E7405"/>
    <w:rsid w:val="005F0CA1"/>
    <w:rsid w:val="005F12E2"/>
    <w:rsid w:val="005F199A"/>
    <w:rsid w:val="005F19C2"/>
    <w:rsid w:val="005F6CEA"/>
    <w:rsid w:val="005F736E"/>
    <w:rsid w:val="0060561A"/>
    <w:rsid w:val="00606B43"/>
    <w:rsid w:val="00607F0F"/>
    <w:rsid w:val="00610307"/>
    <w:rsid w:val="00612638"/>
    <w:rsid w:val="00614285"/>
    <w:rsid w:val="0061710F"/>
    <w:rsid w:val="006237D1"/>
    <w:rsid w:val="0063047E"/>
    <w:rsid w:val="00631910"/>
    <w:rsid w:val="00632E42"/>
    <w:rsid w:val="00633304"/>
    <w:rsid w:val="00634735"/>
    <w:rsid w:val="00640524"/>
    <w:rsid w:val="0064110C"/>
    <w:rsid w:val="00643C0A"/>
    <w:rsid w:val="006600A1"/>
    <w:rsid w:val="00661BE9"/>
    <w:rsid w:val="0066370E"/>
    <w:rsid w:val="006714FC"/>
    <w:rsid w:val="00671EC5"/>
    <w:rsid w:val="00675D2F"/>
    <w:rsid w:val="0068488B"/>
    <w:rsid w:val="0069011E"/>
    <w:rsid w:val="0069299A"/>
    <w:rsid w:val="006969F9"/>
    <w:rsid w:val="006A19D7"/>
    <w:rsid w:val="006A3B64"/>
    <w:rsid w:val="006A5A4E"/>
    <w:rsid w:val="006B11CD"/>
    <w:rsid w:val="006B18A0"/>
    <w:rsid w:val="006B23FB"/>
    <w:rsid w:val="006B51D2"/>
    <w:rsid w:val="006C3828"/>
    <w:rsid w:val="006F2141"/>
    <w:rsid w:val="006F43D4"/>
    <w:rsid w:val="006F78ED"/>
    <w:rsid w:val="0070132E"/>
    <w:rsid w:val="0070518B"/>
    <w:rsid w:val="00710AC1"/>
    <w:rsid w:val="00714207"/>
    <w:rsid w:val="00733F29"/>
    <w:rsid w:val="00735A90"/>
    <w:rsid w:val="0074282D"/>
    <w:rsid w:val="00747D46"/>
    <w:rsid w:val="0076245C"/>
    <w:rsid w:val="00774CA2"/>
    <w:rsid w:val="0079059F"/>
    <w:rsid w:val="00795BC4"/>
    <w:rsid w:val="007A00B3"/>
    <w:rsid w:val="007A311A"/>
    <w:rsid w:val="007B7D7A"/>
    <w:rsid w:val="007D0A42"/>
    <w:rsid w:val="007D2288"/>
    <w:rsid w:val="007D66D4"/>
    <w:rsid w:val="007D7192"/>
    <w:rsid w:val="007E3F8B"/>
    <w:rsid w:val="007E7E02"/>
    <w:rsid w:val="007F07F4"/>
    <w:rsid w:val="007F1599"/>
    <w:rsid w:val="007F37AE"/>
    <w:rsid w:val="0080351C"/>
    <w:rsid w:val="00804B75"/>
    <w:rsid w:val="0081139E"/>
    <w:rsid w:val="00812AA0"/>
    <w:rsid w:val="00821FD0"/>
    <w:rsid w:val="008275A5"/>
    <w:rsid w:val="008318B7"/>
    <w:rsid w:val="00840FB8"/>
    <w:rsid w:val="0084144A"/>
    <w:rsid w:val="008421E3"/>
    <w:rsid w:val="00846711"/>
    <w:rsid w:val="00850D64"/>
    <w:rsid w:val="00861028"/>
    <w:rsid w:val="00861C47"/>
    <w:rsid w:val="00862682"/>
    <w:rsid w:val="00862FB6"/>
    <w:rsid w:val="008705E7"/>
    <w:rsid w:val="00870C2E"/>
    <w:rsid w:val="008909B3"/>
    <w:rsid w:val="00892097"/>
    <w:rsid w:val="008A30F0"/>
    <w:rsid w:val="008B194E"/>
    <w:rsid w:val="008B1E3C"/>
    <w:rsid w:val="008B6C39"/>
    <w:rsid w:val="008B7566"/>
    <w:rsid w:val="008C26B5"/>
    <w:rsid w:val="008C2FC0"/>
    <w:rsid w:val="008C306F"/>
    <w:rsid w:val="008C4A19"/>
    <w:rsid w:val="008C6AEA"/>
    <w:rsid w:val="008D2C66"/>
    <w:rsid w:val="008D31CD"/>
    <w:rsid w:val="008D4CBE"/>
    <w:rsid w:val="008D6BBC"/>
    <w:rsid w:val="008D7B2A"/>
    <w:rsid w:val="008E08C2"/>
    <w:rsid w:val="008E39FB"/>
    <w:rsid w:val="008E47FC"/>
    <w:rsid w:val="008E5B39"/>
    <w:rsid w:val="008E67BD"/>
    <w:rsid w:val="008F30B3"/>
    <w:rsid w:val="008F7C2E"/>
    <w:rsid w:val="00901B64"/>
    <w:rsid w:val="009063FD"/>
    <w:rsid w:val="009079CE"/>
    <w:rsid w:val="009110BA"/>
    <w:rsid w:val="00913292"/>
    <w:rsid w:val="0091556A"/>
    <w:rsid w:val="00916508"/>
    <w:rsid w:val="00925574"/>
    <w:rsid w:val="009301FD"/>
    <w:rsid w:val="0093229F"/>
    <w:rsid w:val="00933283"/>
    <w:rsid w:val="00935C6D"/>
    <w:rsid w:val="00942A6E"/>
    <w:rsid w:val="00946736"/>
    <w:rsid w:val="00946E17"/>
    <w:rsid w:val="00951682"/>
    <w:rsid w:val="00954BAB"/>
    <w:rsid w:val="00957FC7"/>
    <w:rsid w:val="00960303"/>
    <w:rsid w:val="0096304B"/>
    <w:rsid w:val="009657E2"/>
    <w:rsid w:val="00965EBB"/>
    <w:rsid w:val="0097363C"/>
    <w:rsid w:val="00976AEA"/>
    <w:rsid w:val="0097791C"/>
    <w:rsid w:val="009847C6"/>
    <w:rsid w:val="00990512"/>
    <w:rsid w:val="00992CC1"/>
    <w:rsid w:val="009A457B"/>
    <w:rsid w:val="009B0132"/>
    <w:rsid w:val="009C744D"/>
    <w:rsid w:val="009C778A"/>
    <w:rsid w:val="009D1619"/>
    <w:rsid w:val="009D1B54"/>
    <w:rsid w:val="009D3AA1"/>
    <w:rsid w:val="009D463A"/>
    <w:rsid w:val="009D71FA"/>
    <w:rsid w:val="009E17BA"/>
    <w:rsid w:val="009F016F"/>
    <w:rsid w:val="009F07FE"/>
    <w:rsid w:val="009F3961"/>
    <w:rsid w:val="00A01A21"/>
    <w:rsid w:val="00A066B3"/>
    <w:rsid w:val="00A13B75"/>
    <w:rsid w:val="00A15D9B"/>
    <w:rsid w:val="00A20E5B"/>
    <w:rsid w:val="00A237F8"/>
    <w:rsid w:val="00A26F5F"/>
    <w:rsid w:val="00A302A5"/>
    <w:rsid w:val="00A32E94"/>
    <w:rsid w:val="00A335E6"/>
    <w:rsid w:val="00A403C3"/>
    <w:rsid w:val="00A42CB8"/>
    <w:rsid w:val="00A4331C"/>
    <w:rsid w:val="00A43AE1"/>
    <w:rsid w:val="00A4795B"/>
    <w:rsid w:val="00A51C23"/>
    <w:rsid w:val="00A55FAA"/>
    <w:rsid w:val="00A63FBF"/>
    <w:rsid w:val="00A646F0"/>
    <w:rsid w:val="00A6522E"/>
    <w:rsid w:val="00A84313"/>
    <w:rsid w:val="00A86E6A"/>
    <w:rsid w:val="00A87143"/>
    <w:rsid w:val="00A87DFE"/>
    <w:rsid w:val="00A90CA9"/>
    <w:rsid w:val="00A9224D"/>
    <w:rsid w:val="00A9250D"/>
    <w:rsid w:val="00A96330"/>
    <w:rsid w:val="00A9685E"/>
    <w:rsid w:val="00A9695F"/>
    <w:rsid w:val="00AA076E"/>
    <w:rsid w:val="00AA0E59"/>
    <w:rsid w:val="00AA1D72"/>
    <w:rsid w:val="00AA4AE7"/>
    <w:rsid w:val="00AB1A5A"/>
    <w:rsid w:val="00AB591A"/>
    <w:rsid w:val="00AB5B42"/>
    <w:rsid w:val="00AC00C4"/>
    <w:rsid w:val="00AC2D98"/>
    <w:rsid w:val="00AC34BA"/>
    <w:rsid w:val="00AC3FA3"/>
    <w:rsid w:val="00AC53EB"/>
    <w:rsid w:val="00AC69EB"/>
    <w:rsid w:val="00AC7532"/>
    <w:rsid w:val="00AD1B41"/>
    <w:rsid w:val="00AD2B2B"/>
    <w:rsid w:val="00AD35EA"/>
    <w:rsid w:val="00AD512A"/>
    <w:rsid w:val="00AE2B54"/>
    <w:rsid w:val="00AE48A8"/>
    <w:rsid w:val="00AF0307"/>
    <w:rsid w:val="00AF43D3"/>
    <w:rsid w:val="00B03020"/>
    <w:rsid w:val="00B04503"/>
    <w:rsid w:val="00B05AFF"/>
    <w:rsid w:val="00B13C01"/>
    <w:rsid w:val="00B216AD"/>
    <w:rsid w:val="00B31E7E"/>
    <w:rsid w:val="00B3645F"/>
    <w:rsid w:val="00B407FA"/>
    <w:rsid w:val="00B4599D"/>
    <w:rsid w:val="00B47433"/>
    <w:rsid w:val="00B517D1"/>
    <w:rsid w:val="00B51AF0"/>
    <w:rsid w:val="00B6482B"/>
    <w:rsid w:val="00B70DD4"/>
    <w:rsid w:val="00B72BEA"/>
    <w:rsid w:val="00B81774"/>
    <w:rsid w:val="00B832DE"/>
    <w:rsid w:val="00B8579C"/>
    <w:rsid w:val="00B86866"/>
    <w:rsid w:val="00B9054D"/>
    <w:rsid w:val="00B92F58"/>
    <w:rsid w:val="00B9403C"/>
    <w:rsid w:val="00B973DC"/>
    <w:rsid w:val="00BA6D8F"/>
    <w:rsid w:val="00BB392B"/>
    <w:rsid w:val="00BB514F"/>
    <w:rsid w:val="00BB543E"/>
    <w:rsid w:val="00BB54B5"/>
    <w:rsid w:val="00BB55AA"/>
    <w:rsid w:val="00BB78D9"/>
    <w:rsid w:val="00BC488F"/>
    <w:rsid w:val="00BC50D2"/>
    <w:rsid w:val="00BC57A0"/>
    <w:rsid w:val="00BC7107"/>
    <w:rsid w:val="00BD6161"/>
    <w:rsid w:val="00BF46E5"/>
    <w:rsid w:val="00BF568B"/>
    <w:rsid w:val="00C16C9F"/>
    <w:rsid w:val="00C172E9"/>
    <w:rsid w:val="00C22443"/>
    <w:rsid w:val="00C237C8"/>
    <w:rsid w:val="00C237E1"/>
    <w:rsid w:val="00C242A4"/>
    <w:rsid w:val="00C27E2B"/>
    <w:rsid w:val="00C307A3"/>
    <w:rsid w:val="00C3247A"/>
    <w:rsid w:val="00C40B1E"/>
    <w:rsid w:val="00C4140A"/>
    <w:rsid w:val="00C4375F"/>
    <w:rsid w:val="00C437DF"/>
    <w:rsid w:val="00C530C0"/>
    <w:rsid w:val="00C536EC"/>
    <w:rsid w:val="00C5640A"/>
    <w:rsid w:val="00C57775"/>
    <w:rsid w:val="00C57ECB"/>
    <w:rsid w:val="00C61167"/>
    <w:rsid w:val="00C64DE9"/>
    <w:rsid w:val="00C650C8"/>
    <w:rsid w:val="00C66212"/>
    <w:rsid w:val="00C67DDF"/>
    <w:rsid w:val="00C70328"/>
    <w:rsid w:val="00C74CF0"/>
    <w:rsid w:val="00C76FBC"/>
    <w:rsid w:val="00C83A7E"/>
    <w:rsid w:val="00C841F3"/>
    <w:rsid w:val="00C84C7F"/>
    <w:rsid w:val="00C85A9B"/>
    <w:rsid w:val="00C926BD"/>
    <w:rsid w:val="00C95032"/>
    <w:rsid w:val="00C959E3"/>
    <w:rsid w:val="00C979BB"/>
    <w:rsid w:val="00CA012B"/>
    <w:rsid w:val="00CA6839"/>
    <w:rsid w:val="00CA7CFC"/>
    <w:rsid w:val="00CB2C53"/>
    <w:rsid w:val="00CB2E53"/>
    <w:rsid w:val="00CB4BCE"/>
    <w:rsid w:val="00CC1393"/>
    <w:rsid w:val="00CC1A4D"/>
    <w:rsid w:val="00CC44F4"/>
    <w:rsid w:val="00CC77BD"/>
    <w:rsid w:val="00CC7A97"/>
    <w:rsid w:val="00CD05C9"/>
    <w:rsid w:val="00CD12CF"/>
    <w:rsid w:val="00CD75DA"/>
    <w:rsid w:val="00CE16DD"/>
    <w:rsid w:val="00CF0D91"/>
    <w:rsid w:val="00CF1F51"/>
    <w:rsid w:val="00CF6C9F"/>
    <w:rsid w:val="00D002D9"/>
    <w:rsid w:val="00D05189"/>
    <w:rsid w:val="00D061DA"/>
    <w:rsid w:val="00D12C94"/>
    <w:rsid w:val="00D12DFD"/>
    <w:rsid w:val="00D1482A"/>
    <w:rsid w:val="00D23790"/>
    <w:rsid w:val="00D27802"/>
    <w:rsid w:val="00D30628"/>
    <w:rsid w:val="00D31C1E"/>
    <w:rsid w:val="00D35D79"/>
    <w:rsid w:val="00D4291C"/>
    <w:rsid w:val="00D4375B"/>
    <w:rsid w:val="00D51471"/>
    <w:rsid w:val="00D52D45"/>
    <w:rsid w:val="00D63D9B"/>
    <w:rsid w:val="00D644D8"/>
    <w:rsid w:val="00D64997"/>
    <w:rsid w:val="00D801FA"/>
    <w:rsid w:val="00D818D1"/>
    <w:rsid w:val="00D81D26"/>
    <w:rsid w:val="00D8221E"/>
    <w:rsid w:val="00D8498D"/>
    <w:rsid w:val="00D962F8"/>
    <w:rsid w:val="00D97F56"/>
    <w:rsid w:val="00DA1A8E"/>
    <w:rsid w:val="00DA465F"/>
    <w:rsid w:val="00DA48A8"/>
    <w:rsid w:val="00DA4BC6"/>
    <w:rsid w:val="00DA620D"/>
    <w:rsid w:val="00DA624C"/>
    <w:rsid w:val="00DA796A"/>
    <w:rsid w:val="00DB0F09"/>
    <w:rsid w:val="00DB336E"/>
    <w:rsid w:val="00DC0C12"/>
    <w:rsid w:val="00DC1075"/>
    <w:rsid w:val="00DD1D1A"/>
    <w:rsid w:val="00DD44AA"/>
    <w:rsid w:val="00DD6D3C"/>
    <w:rsid w:val="00DE0AF0"/>
    <w:rsid w:val="00DE228C"/>
    <w:rsid w:val="00DE4D65"/>
    <w:rsid w:val="00DE51A5"/>
    <w:rsid w:val="00DE6526"/>
    <w:rsid w:val="00DF4C8A"/>
    <w:rsid w:val="00DF7FC6"/>
    <w:rsid w:val="00E02E78"/>
    <w:rsid w:val="00E036C6"/>
    <w:rsid w:val="00E1058E"/>
    <w:rsid w:val="00E2607C"/>
    <w:rsid w:val="00E26B21"/>
    <w:rsid w:val="00E27ECF"/>
    <w:rsid w:val="00E314C3"/>
    <w:rsid w:val="00E31F73"/>
    <w:rsid w:val="00E33B96"/>
    <w:rsid w:val="00E33F20"/>
    <w:rsid w:val="00E35EC9"/>
    <w:rsid w:val="00E37A3C"/>
    <w:rsid w:val="00E402A8"/>
    <w:rsid w:val="00E45500"/>
    <w:rsid w:val="00E45E37"/>
    <w:rsid w:val="00E470F2"/>
    <w:rsid w:val="00E507EA"/>
    <w:rsid w:val="00E5212F"/>
    <w:rsid w:val="00E543EE"/>
    <w:rsid w:val="00E54ACD"/>
    <w:rsid w:val="00E66EFA"/>
    <w:rsid w:val="00E67D94"/>
    <w:rsid w:val="00E720A4"/>
    <w:rsid w:val="00E722FD"/>
    <w:rsid w:val="00E74F99"/>
    <w:rsid w:val="00E87258"/>
    <w:rsid w:val="00E87EE1"/>
    <w:rsid w:val="00E93122"/>
    <w:rsid w:val="00E961F7"/>
    <w:rsid w:val="00EB3B33"/>
    <w:rsid w:val="00EB3B51"/>
    <w:rsid w:val="00EB3DE3"/>
    <w:rsid w:val="00EB698C"/>
    <w:rsid w:val="00EC1B0C"/>
    <w:rsid w:val="00EC2A33"/>
    <w:rsid w:val="00EC4968"/>
    <w:rsid w:val="00EC7214"/>
    <w:rsid w:val="00ED1A97"/>
    <w:rsid w:val="00ED3575"/>
    <w:rsid w:val="00ED3BD6"/>
    <w:rsid w:val="00ED59EA"/>
    <w:rsid w:val="00EE0FED"/>
    <w:rsid w:val="00EE5444"/>
    <w:rsid w:val="00EF0FDA"/>
    <w:rsid w:val="00EF105F"/>
    <w:rsid w:val="00F03C8D"/>
    <w:rsid w:val="00F161D5"/>
    <w:rsid w:val="00F17170"/>
    <w:rsid w:val="00F21726"/>
    <w:rsid w:val="00F259F1"/>
    <w:rsid w:val="00F26520"/>
    <w:rsid w:val="00F302D3"/>
    <w:rsid w:val="00F30378"/>
    <w:rsid w:val="00F31CF5"/>
    <w:rsid w:val="00F33057"/>
    <w:rsid w:val="00F35228"/>
    <w:rsid w:val="00F43F2D"/>
    <w:rsid w:val="00F5060D"/>
    <w:rsid w:val="00F568FC"/>
    <w:rsid w:val="00F73761"/>
    <w:rsid w:val="00F809A4"/>
    <w:rsid w:val="00F9350F"/>
    <w:rsid w:val="00F97170"/>
    <w:rsid w:val="00F978A3"/>
    <w:rsid w:val="00F97B53"/>
    <w:rsid w:val="00F97E9A"/>
    <w:rsid w:val="00F97F81"/>
    <w:rsid w:val="00FA140E"/>
    <w:rsid w:val="00FA1ED8"/>
    <w:rsid w:val="00FA21A8"/>
    <w:rsid w:val="00FA430E"/>
    <w:rsid w:val="00FB4199"/>
    <w:rsid w:val="00FD1F9D"/>
    <w:rsid w:val="00FD2BAA"/>
    <w:rsid w:val="00FD5944"/>
    <w:rsid w:val="00FD70E9"/>
    <w:rsid w:val="00FE34EF"/>
    <w:rsid w:val="00FE4E20"/>
    <w:rsid w:val="00FE539A"/>
    <w:rsid w:val="00FE5C01"/>
    <w:rsid w:val="00FE7840"/>
    <w:rsid w:val="00FF22C2"/>
    <w:rsid w:val="00FF3E3C"/>
    <w:rsid w:val="00FF438E"/>
    <w:rsid w:val="00FF4894"/>
    <w:rsid w:val="00FF676B"/>
    <w:rsid w:val="00FF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809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7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5F"/>
    <w:pPr>
      <w:ind w:left="720"/>
      <w:contextualSpacing/>
    </w:pPr>
    <w:rPr>
      <w:rFonts w:asciiTheme="minorHAnsi" w:hAnsiTheme="minorHAnsi" w:cstheme="minorBidi"/>
      <w:lang w:eastAsia="en-US"/>
    </w:rPr>
  </w:style>
  <w:style w:type="table" w:styleId="TableGrid">
    <w:name w:val="Table Grid"/>
    <w:basedOn w:val="TableNormal"/>
    <w:uiPriority w:val="1"/>
    <w:rsid w:val="00195C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140A"/>
    <w:rPr>
      <w:sz w:val="18"/>
      <w:szCs w:val="18"/>
    </w:rPr>
  </w:style>
  <w:style w:type="paragraph" w:styleId="CommentText">
    <w:name w:val="annotation text"/>
    <w:basedOn w:val="Normal"/>
    <w:link w:val="CommentTextChar"/>
    <w:uiPriority w:val="99"/>
    <w:semiHidden/>
    <w:unhideWhenUsed/>
    <w:rsid w:val="00C4140A"/>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C4140A"/>
  </w:style>
  <w:style w:type="paragraph" w:styleId="CommentSubject">
    <w:name w:val="annotation subject"/>
    <w:basedOn w:val="CommentText"/>
    <w:next w:val="CommentText"/>
    <w:link w:val="CommentSubjectChar"/>
    <w:uiPriority w:val="99"/>
    <w:semiHidden/>
    <w:unhideWhenUsed/>
    <w:rsid w:val="00C4140A"/>
    <w:rPr>
      <w:b/>
      <w:bCs/>
      <w:sz w:val="20"/>
      <w:szCs w:val="20"/>
    </w:rPr>
  </w:style>
  <w:style w:type="character" w:customStyle="1" w:styleId="CommentSubjectChar">
    <w:name w:val="Comment Subject Char"/>
    <w:basedOn w:val="CommentTextChar"/>
    <w:link w:val="CommentSubject"/>
    <w:uiPriority w:val="99"/>
    <w:semiHidden/>
    <w:rsid w:val="00C4140A"/>
    <w:rPr>
      <w:b/>
      <w:bCs/>
      <w:sz w:val="20"/>
      <w:szCs w:val="20"/>
    </w:rPr>
  </w:style>
  <w:style w:type="paragraph" w:styleId="BalloonText">
    <w:name w:val="Balloon Text"/>
    <w:basedOn w:val="Normal"/>
    <w:link w:val="BalloonTextChar"/>
    <w:uiPriority w:val="99"/>
    <w:semiHidden/>
    <w:unhideWhenUsed/>
    <w:rsid w:val="00C4140A"/>
    <w:rPr>
      <w:sz w:val="18"/>
      <w:szCs w:val="18"/>
      <w:lang w:eastAsia="en-US"/>
    </w:rPr>
  </w:style>
  <w:style w:type="character" w:customStyle="1" w:styleId="BalloonTextChar">
    <w:name w:val="Balloon Text Char"/>
    <w:basedOn w:val="DefaultParagraphFont"/>
    <w:link w:val="BalloonText"/>
    <w:uiPriority w:val="99"/>
    <w:semiHidden/>
    <w:rsid w:val="00C4140A"/>
    <w:rPr>
      <w:rFonts w:ascii="Times New Roman" w:hAnsi="Times New Roman" w:cs="Times New Roman"/>
      <w:sz w:val="18"/>
      <w:szCs w:val="18"/>
    </w:rPr>
  </w:style>
  <w:style w:type="character" w:styleId="Hyperlink">
    <w:name w:val="Hyperlink"/>
    <w:basedOn w:val="DefaultParagraphFont"/>
    <w:uiPriority w:val="99"/>
    <w:unhideWhenUsed/>
    <w:rsid w:val="002C1F3F"/>
    <w:rPr>
      <w:color w:val="0563C1" w:themeColor="hyperlink"/>
      <w:u w:val="single"/>
    </w:rPr>
  </w:style>
  <w:style w:type="character" w:styleId="FollowedHyperlink">
    <w:name w:val="FollowedHyperlink"/>
    <w:basedOn w:val="DefaultParagraphFont"/>
    <w:uiPriority w:val="99"/>
    <w:semiHidden/>
    <w:unhideWhenUsed/>
    <w:rsid w:val="00B6482B"/>
    <w:rPr>
      <w:color w:val="954F72" w:themeColor="followedHyperlink"/>
      <w:u w:val="single"/>
    </w:rPr>
  </w:style>
  <w:style w:type="character" w:styleId="Emphasis">
    <w:name w:val="Emphasis"/>
    <w:basedOn w:val="DefaultParagraphFont"/>
    <w:uiPriority w:val="20"/>
    <w:qFormat/>
    <w:rsid w:val="00CF1F51"/>
    <w:rPr>
      <w:i/>
      <w:iCs/>
    </w:rPr>
  </w:style>
  <w:style w:type="character" w:styleId="Strong">
    <w:name w:val="Strong"/>
    <w:basedOn w:val="DefaultParagraphFont"/>
    <w:uiPriority w:val="22"/>
    <w:qFormat/>
    <w:rsid w:val="00CF1F51"/>
    <w:rPr>
      <w:b/>
      <w:bCs/>
    </w:rPr>
  </w:style>
  <w:style w:type="paragraph" w:styleId="Footer">
    <w:name w:val="footer"/>
    <w:basedOn w:val="Normal"/>
    <w:link w:val="FooterChar"/>
    <w:uiPriority w:val="99"/>
    <w:unhideWhenUsed/>
    <w:rsid w:val="00166B96"/>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166B96"/>
  </w:style>
  <w:style w:type="character" w:styleId="PageNumber">
    <w:name w:val="page number"/>
    <w:basedOn w:val="DefaultParagraphFont"/>
    <w:uiPriority w:val="99"/>
    <w:semiHidden/>
    <w:unhideWhenUsed/>
    <w:rsid w:val="00166B96"/>
  </w:style>
  <w:style w:type="paragraph" w:styleId="Revision">
    <w:name w:val="Revision"/>
    <w:hidden/>
    <w:uiPriority w:val="99"/>
    <w:semiHidden/>
    <w:rsid w:val="005464D3"/>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584">
      <w:bodyDiv w:val="1"/>
      <w:marLeft w:val="0"/>
      <w:marRight w:val="0"/>
      <w:marTop w:val="0"/>
      <w:marBottom w:val="0"/>
      <w:divBdr>
        <w:top w:val="none" w:sz="0" w:space="0" w:color="auto"/>
        <w:left w:val="none" w:sz="0" w:space="0" w:color="auto"/>
        <w:bottom w:val="none" w:sz="0" w:space="0" w:color="auto"/>
        <w:right w:val="none" w:sz="0" w:space="0" w:color="auto"/>
      </w:divBdr>
    </w:div>
    <w:div w:id="83843221">
      <w:bodyDiv w:val="1"/>
      <w:marLeft w:val="0"/>
      <w:marRight w:val="0"/>
      <w:marTop w:val="0"/>
      <w:marBottom w:val="0"/>
      <w:divBdr>
        <w:top w:val="none" w:sz="0" w:space="0" w:color="auto"/>
        <w:left w:val="none" w:sz="0" w:space="0" w:color="auto"/>
        <w:bottom w:val="none" w:sz="0" w:space="0" w:color="auto"/>
        <w:right w:val="none" w:sz="0" w:space="0" w:color="auto"/>
      </w:divBdr>
    </w:div>
    <w:div w:id="138500239">
      <w:bodyDiv w:val="1"/>
      <w:marLeft w:val="0"/>
      <w:marRight w:val="0"/>
      <w:marTop w:val="0"/>
      <w:marBottom w:val="0"/>
      <w:divBdr>
        <w:top w:val="none" w:sz="0" w:space="0" w:color="auto"/>
        <w:left w:val="none" w:sz="0" w:space="0" w:color="auto"/>
        <w:bottom w:val="none" w:sz="0" w:space="0" w:color="auto"/>
        <w:right w:val="none" w:sz="0" w:space="0" w:color="auto"/>
      </w:divBdr>
    </w:div>
    <w:div w:id="237403380">
      <w:bodyDiv w:val="1"/>
      <w:marLeft w:val="0"/>
      <w:marRight w:val="0"/>
      <w:marTop w:val="0"/>
      <w:marBottom w:val="0"/>
      <w:divBdr>
        <w:top w:val="none" w:sz="0" w:space="0" w:color="auto"/>
        <w:left w:val="none" w:sz="0" w:space="0" w:color="auto"/>
        <w:bottom w:val="none" w:sz="0" w:space="0" w:color="auto"/>
        <w:right w:val="none" w:sz="0" w:space="0" w:color="auto"/>
      </w:divBdr>
    </w:div>
    <w:div w:id="404962976">
      <w:bodyDiv w:val="1"/>
      <w:marLeft w:val="0"/>
      <w:marRight w:val="0"/>
      <w:marTop w:val="0"/>
      <w:marBottom w:val="0"/>
      <w:divBdr>
        <w:top w:val="none" w:sz="0" w:space="0" w:color="auto"/>
        <w:left w:val="none" w:sz="0" w:space="0" w:color="auto"/>
        <w:bottom w:val="none" w:sz="0" w:space="0" w:color="auto"/>
        <w:right w:val="none" w:sz="0" w:space="0" w:color="auto"/>
      </w:divBdr>
    </w:div>
    <w:div w:id="468134343">
      <w:bodyDiv w:val="1"/>
      <w:marLeft w:val="0"/>
      <w:marRight w:val="0"/>
      <w:marTop w:val="0"/>
      <w:marBottom w:val="0"/>
      <w:divBdr>
        <w:top w:val="none" w:sz="0" w:space="0" w:color="auto"/>
        <w:left w:val="none" w:sz="0" w:space="0" w:color="auto"/>
        <w:bottom w:val="none" w:sz="0" w:space="0" w:color="auto"/>
        <w:right w:val="none" w:sz="0" w:space="0" w:color="auto"/>
      </w:divBdr>
    </w:div>
    <w:div w:id="510602457">
      <w:bodyDiv w:val="1"/>
      <w:marLeft w:val="0"/>
      <w:marRight w:val="0"/>
      <w:marTop w:val="0"/>
      <w:marBottom w:val="0"/>
      <w:divBdr>
        <w:top w:val="none" w:sz="0" w:space="0" w:color="auto"/>
        <w:left w:val="none" w:sz="0" w:space="0" w:color="auto"/>
        <w:bottom w:val="none" w:sz="0" w:space="0" w:color="auto"/>
        <w:right w:val="none" w:sz="0" w:space="0" w:color="auto"/>
      </w:divBdr>
    </w:div>
    <w:div w:id="605230527">
      <w:bodyDiv w:val="1"/>
      <w:marLeft w:val="0"/>
      <w:marRight w:val="0"/>
      <w:marTop w:val="0"/>
      <w:marBottom w:val="0"/>
      <w:divBdr>
        <w:top w:val="none" w:sz="0" w:space="0" w:color="auto"/>
        <w:left w:val="none" w:sz="0" w:space="0" w:color="auto"/>
        <w:bottom w:val="none" w:sz="0" w:space="0" w:color="auto"/>
        <w:right w:val="none" w:sz="0" w:space="0" w:color="auto"/>
      </w:divBdr>
    </w:div>
    <w:div w:id="627315975">
      <w:bodyDiv w:val="1"/>
      <w:marLeft w:val="0"/>
      <w:marRight w:val="0"/>
      <w:marTop w:val="0"/>
      <w:marBottom w:val="0"/>
      <w:divBdr>
        <w:top w:val="none" w:sz="0" w:space="0" w:color="auto"/>
        <w:left w:val="none" w:sz="0" w:space="0" w:color="auto"/>
        <w:bottom w:val="none" w:sz="0" w:space="0" w:color="auto"/>
        <w:right w:val="none" w:sz="0" w:space="0" w:color="auto"/>
      </w:divBdr>
    </w:div>
    <w:div w:id="710570960">
      <w:bodyDiv w:val="1"/>
      <w:marLeft w:val="0"/>
      <w:marRight w:val="0"/>
      <w:marTop w:val="0"/>
      <w:marBottom w:val="0"/>
      <w:divBdr>
        <w:top w:val="none" w:sz="0" w:space="0" w:color="auto"/>
        <w:left w:val="none" w:sz="0" w:space="0" w:color="auto"/>
        <w:bottom w:val="none" w:sz="0" w:space="0" w:color="auto"/>
        <w:right w:val="none" w:sz="0" w:space="0" w:color="auto"/>
      </w:divBdr>
    </w:div>
    <w:div w:id="785546189">
      <w:bodyDiv w:val="1"/>
      <w:marLeft w:val="0"/>
      <w:marRight w:val="0"/>
      <w:marTop w:val="0"/>
      <w:marBottom w:val="0"/>
      <w:divBdr>
        <w:top w:val="none" w:sz="0" w:space="0" w:color="auto"/>
        <w:left w:val="none" w:sz="0" w:space="0" w:color="auto"/>
        <w:bottom w:val="none" w:sz="0" w:space="0" w:color="auto"/>
        <w:right w:val="none" w:sz="0" w:space="0" w:color="auto"/>
      </w:divBdr>
    </w:div>
    <w:div w:id="907110638">
      <w:bodyDiv w:val="1"/>
      <w:marLeft w:val="0"/>
      <w:marRight w:val="0"/>
      <w:marTop w:val="0"/>
      <w:marBottom w:val="0"/>
      <w:divBdr>
        <w:top w:val="none" w:sz="0" w:space="0" w:color="auto"/>
        <w:left w:val="none" w:sz="0" w:space="0" w:color="auto"/>
        <w:bottom w:val="none" w:sz="0" w:space="0" w:color="auto"/>
        <w:right w:val="none" w:sz="0" w:space="0" w:color="auto"/>
      </w:divBdr>
    </w:div>
    <w:div w:id="1016807466">
      <w:bodyDiv w:val="1"/>
      <w:marLeft w:val="0"/>
      <w:marRight w:val="0"/>
      <w:marTop w:val="0"/>
      <w:marBottom w:val="0"/>
      <w:divBdr>
        <w:top w:val="none" w:sz="0" w:space="0" w:color="auto"/>
        <w:left w:val="none" w:sz="0" w:space="0" w:color="auto"/>
        <w:bottom w:val="none" w:sz="0" w:space="0" w:color="auto"/>
        <w:right w:val="none" w:sz="0" w:space="0" w:color="auto"/>
      </w:divBdr>
    </w:div>
    <w:div w:id="1018317638">
      <w:bodyDiv w:val="1"/>
      <w:marLeft w:val="0"/>
      <w:marRight w:val="0"/>
      <w:marTop w:val="0"/>
      <w:marBottom w:val="0"/>
      <w:divBdr>
        <w:top w:val="none" w:sz="0" w:space="0" w:color="auto"/>
        <w:left w:val="none" w:sz="0" w:space="0" w:color="auto"/>
        <w:bottom w:val="none" w:sz="0" w:space="0" w:color="auto"/>
        <w:right w:val="none" w:sz="0" w:space="0" w:color="auto"/>
      </w:divBdr>
    </w:div>
    <w:div w:id="1094740896">
      <w:bodyDiv w:val="1"/>
      <w:marLeft w:val="0"/>
      <w:marRight w:val="0"/>
      <w:marTop w:val="0"/>
      <w:marBottom w:val="0"/>
      <w:divBdr>
        <w:top w:val="none" w:sz="0" w:space="0" w:color="auto"/>
        <w:left w:val="none" w:sz="0" w:space="0" w:color="auto"/>
        <w:bottom w:val="none" w:sz="0" w:space="0" w:color="auto"/>
        <w:right w:val="none" w:sz="0" w:space="0" w:color="auto"/>
      </w:divBdr>
    </w:div>
    <w:div w:id="1411847007">
      <w:bodyDiv w:val="1"/>
      <w:marLeft w:val="0"/>
      <w:marRight w:val="0"/>
      <w:marTop w:val="0"/>
      <w:marBottom w:val="0"/>
      <w:divBdr>
        <w:top w:val="none" w:sz="0" w:space="0" w:color="auto"/>
        <w:left w:val="none" w:sz="0" w:space="0" w:color="auto"/>
        <w:bottom w:val="none" w:sz="0" w:space="0" w:color="auto"/>
        <w:right w:val="none" w:sz="0" w:space="0" w:color="auto"/>
      </w:divBdr>
    </w:div>
    <w:div w:id="1442337870">
      <w:bodyDiv w:val="1"/>
      <w:marLeft w:val="0"/>
      <w:marRight w:val="0"/>
      <w:marTop w:val="0"/>
      <w:marBottom w:val="0"/>
      <w:divBdr>
        <w:top w:val="none" w:sz="0" w:space="0" w:color="auto"/>
        <w:left w:val="none" w:sz="0" w:space="0" w:color="auto"/>
        <w:bottom w:val="none" w:sz="0" w:space="0" w:color="auto"/>
        <w:right w:val="none" w:sz="0" w:space="0" w:color="auto"/>
      </w:divBdr>
    </w:div>
    <w:div w:id="1503009748">
      <w:bodyDiv w:val="1"/>
      <w:marLeft w:val="0"/>
      <w:marRight w:val="0"/>
      <w:marTop w:val="0"/>
      <w:marBottom w:val="0"/>
      <w:divBdr>
        <w:top w:val="none" w:sz="0" w:space="0" w:color="auto"/>
        <w:left w:val="none" w:sz="0" w:space="0" w:color="auto"/>
        <w:bottom w:val="none" w:sz="0" w:space="0" w:color="auto"/>
        <w:right w:val="none" w:sz="0" w:space="0" w:color="auto"/>
      </w:divBdr>
    </w:div>
    <w:div w:id="1520242535">
      <w:bodyDiv w:val="1"/>
      <w:marLeft w:val="0"/>
      <w:marRight w:val="0"/>
      <w:marTop w:val="0"/>
      <w:marBottom w:val="0"/>
      <w:divBdr>
        <w:top w:val="none" w:sz="0" w:space="0" w:color="auto"/>
        <w:left w:val="none" w:sz="0" w:space="0" w:color="auto"/>
        <w:bottom w:val="none" w:sz="0" w:space="0" w:color="auto"/>
        <w:right w:val="none" w:sz="0" w:space="0" w:color="auto"/>
      </w:divBdr>
    </w:div>
    <w:div w:id="1573660661">
      <w:bodyDiv w:val="1"/>
      <w:marLeft w:val="0"/>
      <w:marRight w:val="0"/>
      <w:marTop w:val="0"/>
      <w:marBottom w:val="0"/>
      <w:divBdr>
        <w:top w:val="none" w:sz="0" w:space="0" w:color="auto"/>
        <w:left w:val="none" w:sz="0" w:space="0" w:color="auto"/>
        <w:bottom w:val="none" w:sz="0" w:space="0" w:color="auto"/>
        <w:right w:val="none" w:sz="0" w:space="0" w:color="auto"/>
      </w:divBdr>
    </w:div>
    <w:div w:id="1677464275">
      <w:bodyDiv w:val="1"/>
      <w:marLeft w:val="0"/>
      <w:marRight w:val="0"/>
      <w:marTop w:val="0"/>
      <w:marBottom w:val="0"/>
      <w:divBdr>
        <w:top w:val="none" w:sz="0" w:space="0" w:color="auto"/>
        <w:left w:val="none" w:sz="0" w:space="0" w:color="auto"/>
        <w:bottom w:val="none" w:sz="0" w:space="0" w:color="auto"/>
        <w:right w:val="none" w:sz="0" w:space="0" w:color="auto"/>
      </w:divBdr>
    </w:div>
    <w:div w:id="2143376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ps.cdrc.ac.u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s.cdrc.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utino.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26175A-65D5-42A3-A06A-9259D0B6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27606</Words>
  <Characters>157356</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Mark</dc:creator>
  <cp:keywords/>
  <dc:description/>
  <cp:lastModifiedBy>Green, Mark</cp:lastModifiedBy>
  <cp:revision>5</cp:revision>
  <cp:lastPrinted>2018-03-17T15:16:00Z</cp:lastPrinted>
  <dcterms:created xsi:type="dcterms:W3CDTF">2018-08-09T11:48:00Z</dcterms:created>
  <dcterms:modified xsi:type="dcterms:W3CDTF">2018-08-09T11:59:00Z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http://www.zotero.org/styles/harvard-cite-them-right</vt:lpwstr>
  </property>
  <property fmtid="{D5CDD505-2E9C-101B-9397-08002B2CF9AE}" pid="24" name="Mendeley Unique User Id_1">
    <vt:lpwstr>a6baa682-596c-368b-87dc-891d3370777e</vt:lpwstr>
  </property>
</Properties>
</file>