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64D" w:rsidRPr="00A671BF" w:rsidRDefault="0079664D" w:rsidP="0079664D">
      <w:pPr>
        <w:spacing w:line="360" w:lineRule="auto"/>
        <w:rPr>
          <w:szCs w:val="22"/>
        </w:rPr>
      </w:pPr>
      <w:bookmarkStart w:id="0" w:name="_Hlk515541306"/>
      <w:bookmarkStart w:id="1" w:name="_GoBack"/>
      <w:bookmarkEnd w:id="1"/>
      <w:r w:rsidRPr="00A671BF">
        <w:rPr>
          <w:szCs w:val="22"/>
        </w:rPr>
        <w:t>Title: ‘</w:t>
      </w:r>
      <w:bookmarkStart w:id="2" w:name="_Hlk515541107"/>
      <w:r w:rsidRPr="00A671BF">
        <w:rPr>
          <w:szCs w:val="22"/>
        </w:rPr>
        <w:t xml:space="preserve">The only safe haven of refuge in all the world’: Paris, Indian ‘revolutionaries’, and imperial rivalry, </w:t>
      </w:r>
      <w:r w:rsidRPr="00A671BF">
        <w:rPr>
          <w:i/>
          <w:szCs w:val="22"/>
        </w:rPr>
        <w:t>c</w:t>
      </w:r>
      <w:r w:rsidRPr="00A671BF">
        <w:rPr>
          <w:szCs w:val="22"/>
        </w:rPr>
        <w:t xml:space="preserve">. 1905–40 </w:t>
      </w:r>
      <w:bookmarkEnd w:id="2"/>
    </w:p>
    <w:bookmarkEnd w:id="0"/>
    <w:p w:rsidR="0079664D" w:rsidRPr="00A671BF" w:rsidRDefault="0079664D" w:rsidP="0079664D">
      <w:pPr>
        <w:spacing w:line="360" w:lineRule="auto"/>
        <w:rPr>
          <w:szCs w:val="22"/>
        </w:rPr>
      </w:pPr>
    </w:p>
    <w:p w:rsidR="00E4779E" w:rsidRPr="00A671BF" w:rsidRDefault="0079664D" w:rsidP="0079664D">
      <w:pPr>
        <w:spacing w:line="360" w:lineRule="auto"/>
        <w:rPr>
          <w:color w:val="212121"/>
          <w:shd w:val="clear" w:color="auto" w:fill="FFFFFF"/>
        </w:rPr>
      </w:pPr>
      <w:r w:rsidRPr="00A671BF">
        <w:rPr>
          <w:szCs w:val="22"/>
        </w:rPr>
        <w:t>Abstract:</w:t>
      </w:r>
      <w:r w:rsidR="00E4779E" w:rsidRPr="00A671BF">
        <w:rPr>
          <w:szCs w:val="22"/>
        </w:rPr>
        <w:t xml:space="preserve"> </w:t>
      </w:r>
      <w:r w:rsidR="00585D2E" w:rsidRPr="00A671BF">
        <w:rPr>
          <w:color w:val="212121"/>
          <w:shd w:val="clear" w:color="auto" w:fill="FFFFFF"/>
        </w:rPr>
        <w:t xml:space="preserve">Focusing on British Indian subjects who travelled to France in the early twentieth century and who resided in Paris, this article argues that </w:t>
      </w:r>
      <w:r w:rsidR="001C425D" w:rsidRPr="00A671BF">
        <w:rPr>
          <w:color w:val="212121"/>
          <w:shd w:val="clear" w:color="auto" w:fill="FFFFFF"/>
        </w:rPr>
        <w:t>these migrants</w:t>
      </w:r>
      <w:r w:rsidR="00585D2E" w:rsidRPr="00A671BF">
        <w:rPr>
          <w:color w:val="212121"/>
          <w:shd w:val="clear" w:color="auto" w:fill="FFFFFF"/>
        </w:rPr>
        <w:t xml:space="preserve"> occupied a position that was simultaneously privileged and invidious. </w:t>
      </w:r>
      <w:r w:rsidR="00585D2E" w:rsidRPr="00A671BF">
        <w:rPr>
          <w:color w:val="212121"/>
          <w:shd w:val="clear" w:color="auto" w:fill="FFFFFF"/>
          <w:lang w:val="en-US"/>
        </w:rPr>
        <w:t>It urges that closer attention be paid to the group for two reasons. First, British Indians in Paris were able to negotiate contentious and potentially hazardous political situations according to context and audience,</w:t>
      </w:r>
      <w:r w:rsidR="001C425D" w:rsidRPr="00A671BF">
        <w:rPr>
          <w:color w:val="212121"/>
          <w:shd w:val="clear" w:color="auto" w:fill="FFFFFF"/>
          <w:lang w:val="en-US"/>
        </w:rPr>
        <w:t xml:space="preserve"> </w:t>
      </w:r>
      <w:r w:rsidR="00585D2E" w:rsidRPr="00A671BF">
        <w:rPr>
          <w:color w:val="212121"/>
          <w:shd w:val="clear" w:color="auto" w:fill="FFFFFF"/>
        </w:rPr>
        <w:t>sometimes mobilizing</w:t>
      </w:r>
      <w:r w:rsidR="00585D2E" w:rsidRPr="00A671BF">
        <w:rPr>
          <w:color w:val="212121"/>
          <w:shd w:val="clear" w:color="auto" w:fill="FFFFFF"/>
          <w:lang w:val="en-US"/>
        </w:rPr>
        <w:t xml:space="preserve"> their status as British subjects as a means of achieving limited preferential treatment from the French state, at other times making use of a certain conception of </w:t>
      </w:r>
      <w:proofErr w:type="spellStart"/>
      <w:r w:rsidR="00585D2E" w:rsidRPr="00A671BF">
        <w:rPr>
          <w:color w:val="212121"/>
          <w:shd w:val="clear" w:color="auto" w:fill="FFFFFF"/>
          <w:lang w:val="en-US"/>
        </w:rPr>
        <w:t>Frenchness</w:t>
      </w:r>
      <w:proofErr w:type="spellEnd"/>
      <w:r w:rsidR="00585D2E" w:rsidRPr="00A671BF">
        <w:rPr>
          <w:color w:val="212121"/>
          <w:shd w:val="clear" w:color="auto" w:fill="FFFFFF"/>
          <w:lang w:val="en-US"/>
        </w:rPr>
        <w:t xml:space="preserve"> to garner support among socialist and anti-imperial movements. Second, the policing of the group reveals collaboration and competition between imperial nation-states and between different anticolonial movements, analysis of which can </w:t>
      </w:r>
      <w:r w:rsidR="00585D2E" w:rsidRPr="00A671BF">
        <w:rPr>
          <w:color w:val="212121"/>
          <w:shd w:val="clear" w:color="auto" w:fill="FFFFFF"/>
        </w:rPr>
        <w:t>nuance the growing body of historical research on the policing of foreigners and colonial subjects in Europe.</w:t>
      </w:r>
    </w:p>
    <w:p w:rsidR="00585D2E" w:rsidRPr="00A671BF" w:rsidRDefault="00585D2E" w:rsidP="0079664D">
      <w:pPr>
        <w:spacing w:line="360" w:lineRule="auto"/>
        <w:rPr>
          <w:szCs w:val="22"/>
        </w:rPr>
      </w:pPr>
    </w:p>
    <w:p w:rsidR="0079664D" w:rsidRPr="00A671BF" w:rsidRDefault="0079664D" w:rsidP="0079664D">
      <w:pPr>
        <w:spacing w:line="360" w:lineRule="auto"/>
        <w:rPr>
          <w:szCs w:val="22"/>
        </w:rPr>
      </w:pPr>
      <w:r w:rsidRPr="00A671BF">
        <w:rPr>
          <w:szCs w:val="22"/>
        </w:rPr>
        <w:t>Key words:</w:t>
      </w:r>
      <w:r w:rsidR="009325AB" w:rsidRPr="00A671BF">
        <w:rPr>
          <w:szCs w:val="22"/>
        </w:rPr>
        <w:t xml:space="preserve"> </w:t>
      </w:r>
      <w:r w:rsidR="0069658C" w:rsidRPr="00A671BF">
        <w:rPr>
          <w:szCs w:val="22"/>
        </w:rPr>
        <w:t xml:space="preserve">interwar Paris; </w:t>
      </w:r>
      <w:r w:rsidR="009325AB" w:rsidRPr="00A671BF">
        <w:rPr>
          <w:szCs w:val="22"/>
        </w:rPr>
        <w:t>Indian nationalism; anticolonialism; policing; inter-imperial rivalry</w:t>
      </w:r>
    </w:p>
    <w:p w:rsidR="009325AB" w:rsidRPr="00A671BF" w:rsidRDefault="009325AB" w:rsidP="0079664D">
      <w:pPr>
        <w:spacing w:line="360" w:lineRule="auto"/>
        <w:rPr>
          <w:szCs w:val="22"/>
        </w:rPr>
      </w:pPr>
    </w:p>
    <w:p w:rsidR="0079664D" w:rsidRPr="00A671BF" w:rsidRDefault="0079664D">
      <w:pPr>
        <w:rPr>
          <w:szCs w:val="22"/>
        </w:rPr>
      </w:pPr>
      <w:r w:rsidRPr="00A671BF">
        <w:rPr>
          <w:szCs w:val="22"/>
        </w:rPr>
        <w:br w:type="page"/>
      </w:r>
    </w:p>
    <w:p w:rsidR="007C0C63" w:rsidRPr="00A671BF" w:rsidRDefault="007C0C63" w:rsidP="0038784E">
      <w:pPr>
        <w:spacing w:line="360" w:lineRule="auto"/>
        <w:rPr>
          <w:szCs w:val="22"/>
        </w:rPr>
      </w:pPr>
      <w:r w:rsidRPr="00A671BF">
        <w:rPr>
          <w:szCs w:val="22"/>
        </w:rPr>
        <w:lastRenderedPageBreak/>
        <w:t xml:space="preserve">‘The only safe haven of refuge in all the world’: Paris, Indian </w:t>
      </w:r>
      <w:r w:rsidR="00381E15" w:rsidRPr="00A671BF">
        <w:rPr>
          <w:szCs w:val="22"/>
        </w:rPr>
        <w:t>‘</w:t>
      </w:r>
      <w:r w:rsidRPr="00A671BF">
        <w:rPr>
          <w:szCs w:val="22"/>
        </w:rPr>
        <w:t>revolutionaries</w:t>
      </w:r>
      <w:r w:rsidR="00381E15" w:rsidRPr="00A671BF">
        <w:rPr>
          <w:szCs w:val="22"/>
        </w:rPr>
        <w:t>’</w:t>
      </w:r>
      <w:r w:rsidR="00D20939" w:rsidRPr="00A671BF">
        <w:rPr>
          <w:szCs w:val="22"/>
        </w:rPr>
        <w:t>,</w:t>
      </w:r>
      <w:r w:rsidRPr="00A671BF">
        <w:rPr>
          <w:szCs w:val="22"/>
        </w:rPr>
        <w:t xml:space="preserve"> </w:t>
      </w:r>
      <w:r w:rsidR="009E1841" w:rsidRPr="00A671BF">
        <w:rPr>
          <w:szCs w:val="22"/>
        </w:rPr>
        <w:t>and imperial rivalry</w:t>
      </w:r>
      <w:r w:rsidRPr="00A671BF">
        <w:rPr>
          <w:szCs w:val="22"/>
        </w:rPr>
        <w:t xml:space="preserve">, </w:t>
      </w:r>
      <w:r w:rsidRPr="00A671BF">
        <w:rPr>
          <w:i/>
          <w:szCs w:val="22"/>
        </w:rPr>
        <w:t>c</w:t>
      </w:r>
      <w:r w:rsidRPr="00A671BF">
        <w:rPr>
          <w:szCs w:val="22"/>
        </w:rPr>
        <w:t>. 1905–40</w:t>
      </w:r>
      <w:r w:rsidR="00D20939" w:rsidRPr="00A671BF">
        <w:rPr>
          <w:szCs w:val="22"/>
        </w:rPr>
        <w:t xml:space="preserve"> </w:t>
      </w:r>
    </w:p>
    <w:p w:rsidR="007C0C63" w:rsidRPr="00A671BF" w:rsidRDefault="007C0C63" w:rsidP="0038784E">
      <w:pPr>
        <w:spacing w:line="360" w:lineRule="auto"/>
        <w:rPr>
          <w:szCs w:val="22"/>
        </w:rPr>
      </w:pPr>
    </w:p>
    <w:p w:rsidR="00D928C3" w:rsidRPr="00A671BF" w:rsidRDefault="00D928C3" w:rsidP="0038784E">
      <w:pPr>
        <w:spacing w:line="360" w:lineRule="auto"/>
        <w:rPr>
          <w:szCs w:val="22"/>
        </w:rPr>
      </w:pPr>
    </w:p>
    <w:p w:rsidR="007C0C63" w:rsidRPr="00A671BF" w:rsidRDefault="007C0C63" w:rsidP="0038784E">
      <w:pPr>
        <w:spacing w:line="360" w:lineRule="auto"/>
        <w:rPr>
          <w:szCs w:val="22"/>
        </w:rPr>
      </w:pPr>
      <w:r w:rsidRPr="00A671BF">
        <w:rPr>
          <w:szCs w:val="22"/>
        </w:rPr>
        <w:t xml:space="preserve">On 30 August 1938, </w:t>
      </w:r>
      <w:r w:rsidR="00777AD0" w:rsidRPr="00A671BF">
        <w:rPr>
          <w:szCs w:val="22"/>
        </w:rPr>
        <w:t xml:space="preserve">Ali Khan </w:t>
      </w:r>
      <w:r w:rsidRPr="00A671BF">
        <w:rPr>
          <w:szCs w:val="22"/>
        </w:rPr>
        <w:t xml:space="preserve">Imtiaz, an Indian student from Lahore who had been studying in Paris since 1935, wrote to the British Foreign Secretary </w:t>
      </w:r>
      <w:r w:rsidR="00C9267C" w:rsidRPr="00A671BF">
        <w:rPr>
          <w:szCs w:val="22"/>
        </w:rPr>
        <w:t xml:space="preserve">to </w:t>
      </w:r>
      <w:r w:rsidR="00171E7E" w:rsidRPr="00A671BF">
        <w:rPr>
          <w:szCs w:val="22"/>
        </w:rPr>
        <w:t>request</w:t>
      </w:r>
      <w:r w:rsidRPr="00A671BF">
        <w:rPr>
          <w:szCs w:val="22"/>
        </w:rPr>
        <w:t xml:space="preserve"> his assistance:</w:t>
      </w:r>
    </w:p>
    <w:p w:rsidR="007C0C63" w:rsidRPr="00A671BF" w:rsidRDefault="007C0C63" w:rsidP="0038784E">
      <w:pPr>
        <w:spacing w:line="360" w:lineRule="auto"/>
        <w:rPr>
          <w:szCs w:val="22"/>
        </w:rPr>
      </w:pPr>
      <w:r w:rsidRPr="00A671BF">
        <w:rPr>
          <w:szCs w:val="22"/>
        </w:rPr>
        <w:t xml:space="preserve"> </w:t>
      </w:r>
    </w:p>
    <w:p w:rsidR="007C0C63" w:rsidRPr="00A671BF" w:rsidRDefault="007C0C63" w:rsidP="0079664D">
      <w:pPr>
        <w:spacing w:line="360" w:lineRule="auto"/>
        <w:ind w:left="284"/>
        <w:rPr>
          <w:szCs w:val="22"/>
        </w:rPr>
      </w:pPr>
      <w:r w:rsidRPr="00A671BF">
        <w:rPr>
          <w:szCs w:val="22"/>
        </w:rPr>
        <w:t>I have been living in Paris for the last three years as a student. All of a sudden on 1 July of the year I was taken to the Police Station although my passport and my identity papers were in perfect order after examination. The next morning I was given an expulsion order which naturally came to me as a great shock.</w:t>
      </w:r>
      <w:r w:rsidR="00D54C26" w:rsidRPr="00A671BF">
        <w:rPr>
          <w:szCs w:val="22"/>
        </w:rPr>
        <w:t xml:space="preserve"> (Imtiaz</w:t>
      </w:r>
      <w:r w:rsidR="009056F4" w:rsidRPr="00A671BF">
        <w:rPr>
          <w:szCs w:val="22"/>
        </w:rPr>
        <w:t>,</w:t>
      </w:r>
      <w:r w:rsidR="00D54C26" w:rsidRPr="00A671BF">
        <w:rPr>
          <w:szCs w:val="22"/>
        </w:rPr>
        <w:t xml:space="preserve"> 1938)</w:t>
      </w:r>
    </w:p>
    <w:p w:rsidR="007C0C63" w:rsidRPr="00A671BF" w:rsidRDefault="007C0C63" w:rsidP="0038784E">
      <w:pPr>
        <w:spacing w:line="360" w:lineRule="auto"/>
        <w:rPr>
          <w:szCs w:val="22"/>
        </w:rPr>
      </w:pPr>
    </w:p>
    <w:p w:rsidR="007C0C63" w:rsidRPr="00A671BF" w:rsidRDefault="00542E95" w:rsidP="0038784E">
      <w:pPr>
        <w:spacing w:line="360" w:lineRule="auto"/>
        <w:rPr>
          <w:szCs w:val="22"/>
        </w:rPr>
      </w:pPr>
      <w:r w:rsidRPr="00A671BF">
        <w:rPr>
          <w:szCs w:val="22"/>
        </w:rPr>
        <w:t xml:space="preserve">Mr </w:t>
      </w:r>
      <w:r w:rsidR="007C0C63" w:rsidRPr="00A671BF">
        <w:rPr>
          <w:szCs w:val="22"/>
        </w:rPr>
        <w:t>Imtiaz</w:t>
      </w:r>
      <w:r w:rsidR="00380302" w:rsidRPr="00A671BF">
        <w:rPr>
          <w:szCs w:val="22"/>
        </w:rPr>
        <w:t xml:space="preserve">, the son of </w:t>
      </w:r>
      <w:r w:rsidR="00380302" w:rsidRPr="00A671BF">
        <w:rPr>
          <w:rFonts w:hint="cs"/>
          <w:szCs w:val="22"/>
        </w:rPr>
        <w:t xml:space="preserve">Umar </w:t>
      </w:r>
      <w:proofErr w:type="spellStart"/>
      <w:r w:rsidR="00380302" w:rsidRPr="00A671BF">
        <w:rPr>
          <w:rFonts w:hint="cs"/>
          <w:szCs w:val="22"/>
        </w:rPr>
        <w:t>Daraz</w:t>
      </w:r>
      <w:proofErr w:type="spellEnd"/>
      <w:r w:rsidR="00380302" w:rsidRPr="00A671BF">
        <w:rPr>
          <w:szCs w:val="22"/>
        </w:rPr>
        <w:t xml:space="preserve"> </w:t>
      </w:r>
      <w:r w:rsidR="00481D54" w:rsidRPr="00A671BF">
        <w:rPr>
          <w:szCs w:val="22"/>
        </w:rPr>
        <w:t>(</w:t>
      </w:r>
      <w:r w:rsidR="00380302" w:rsidRPr="00A671BF">
        <w:rPr>
          <w:szCs w:val="22"/>
        </w:rPr>
        <w:t>who had been granted the title of Khan Bahadur for his service as a sub-registrar and magistrate to the British</w:t>
      </w:r>
      <w:r w:rsidR="00B83F4F" w:rsidRPr="00A671BF">
        <w:rPr>
          <w:szCs w:val="22"/>
        </w:rPr>
        <w:t xml:space="preserve"> (Buck, 1914: 28)</w:t>
      </w:r>
      <w:r w:rsidR="00481D54" w:rsidRPr="00A671BF">
        <w:rPr>
          <w:szCs w:val="22"/>
        </w:rPr>
        <w:t>)</w:t>
      </w:r>
      <w:r w:rsidR="00380302" w:rsidRPr="00A671BF">
        <w:rPr>
          <w:szCs w:val="22"/>
        </w:rPr>
        <w:t>,</w:t>
      </w:r>
      <w:r w:rsidR="007C0C63" w:rsidRPr="00A671BF">
        <w:rPr>
          <w:szCs w:val="22"/>
        </w:rPr>
        <w:t xml:space="preserve"> was not </w:t>
      </w:r>
      <w:r w:rsidR="00380302" w:rsidRPr="00A671BF">
        <w:rPr>
          <w:szCs w:val="22"/>
        </w:rPr>
        <w:t xml:space="preserve">without influential supporters. </w:t>
      </w:r>
      <w:r w:rsidR="007C0C63" w:rsidRPr="00A671BF">
        <w:rPr>
          <w:szCs w:val="22"/>
        </w:rPr>
        <w:t>A family friend, a barrister</w:t>
      </w:r>
      <w:r w:rsidR="00CD70A6" w:rsidRPr="00A671BF">
        <w:rPr>
          <w:szCs w:val="22"/>
        </w:rPr>
        <w:t xml:space="preserve"> in Lahore, petitioned the </w:t>
      </w:r>
      <w:r w:rsidR="0038784E" w:rsidRPr="00A671BF">
        <w:rPr>
          <w:szCs w:val="22"/>
        </w:rPr>
        <w:t>v</w:t>
      </w:r>
      <w:r w:rsidR="00CD70A6" w:rsidRPr="00A671BF">
        <w:rPr>
          <w:szCs w:val="22"/>
        </w:rPr>
        <w:t>ice</w:t>
      </w:r>
      <w:r w:rsidR="007C0C63" w:rsidRPr="00A671BF">
        <w:rPr>
          <w:szCs w:val="22"/>
        </w:rPr>
        <w:t xml:space="preserve">roy about this peremptory order and, as a result of intervention by the British Embassy, Imtiaz was allowed to return </w:t>
      </w:r>
      <w:r w:rsidR="00231A14" w:rsidRPr="00A671BF">
        <w:rPr>
          <w:szCs w:val="22"/>
        </w:rPr>
        <w:t xml:space="preserve">from Belgium (where he resided temporarily after his </w:t>
      </w:r>
      <w:r w:rsidR="00503C36" w:rsidRPr="00A671BF">
        <w:rPr>
          <w:szCs w:val="22"/>
        </w:rPr>
        <w:t>expulsion</w:t>
      </w:r>
      <w:r w:rsidR="00231A14" w:rsidRPr="00A671BF">
        <w:rPr>
          <w:szCs w:val="22"/>
        </w:rPr>
        <w:t xml:space="preserve">) </w:t>
      </w:r>
      <w:r w:rsidR="007C0C63" w:rsidRPr="00A671BF">
        <w:rPr>
          <w:szCs w:val="22"/>
        </w:rPr>
        <w:t>to Paris</w:t>
      </w:r>
      <w:r w:rsidR="009056F4" w:rsidRPr="00A671BF">
        <w:rPr>
          <w:szCs w:val="22"/>
        </w:rPr>
        <w:t xml:space="preserve"> (Chand, 1938)</w:t>
      </w:r>
      <w:r w:rsidR="007C0C63" w:rsidRPr="00A671BF">
        <w:rPr>
          <w:szCs w:val="22"/>
        </w:rPr>
        <w:t>. His return was, however, brief</w:t>
      </w:r>
      <w:r w:rsidR="001E66A8" w:rsidRPr="00A671BF">
        <w:rPr>
          <w:szCs w:val="22"/>
        </w:rPr>
        <w:t>,</w:t>
      </w:r>
      <w:r w:rsidR="007C0C63" w:rsidRPr="00A671BF">
        <w:rPr>
          <w:szCs w:val="22"/>
        </w:rPr>
        <w:t xml:space="preserve"> and he was expelled again on 6 December 1938. At this point, the British Embassy </w:t>
      </w:r>
      <w:r w:rsidR="009E1841" w:rsidRPr="00A671BF">
        <w:rPr>
          <w:szCs w:val="22"/>
        </w:rPr>
        <w:t>declined</w:t>
      </w:r>
      <w:r w:rsidR="007C0C63" w:rsidRPr="00A671BF">
        <w:rPr>
          <w:szCs w:val="22"/>
        </w:rPr>
        <w:t xml:space="preserve"> to </w:t>
      </w:r>
      <w:r w:rsidR="00E767C5" w:rsidRPr="00A671BF">
        <w:rPr>
          <w:szCs w:val="22"/>
        </w:rPr>
        <w:t>become</w:t>
      </w:r>
      <w:r w:rsidR="007C0C63" w:rsidRPr="00A671BF">
        <w:rPr>
          <w:szCs w:val="22"/>
        </w:rPr>
        <w:t xml:space="preserve"> involved</w:t>
      </w:r>
      <w:r w:rsidR="00E767C5" w:rsidRPr="00A671BF">
        <w:rPr>
          <w:szCs w:val="22"/>
        </w:rPr>
        <w:t xml:space="preserve"> </w:t>
      </w:r>
      <w:r w:rsidR="00B83F4F" w:rsidRPr="00A671BF">
        <w:rPr>
          <w:szCs w:val="22"/>
        </w:rPr>
        <w:t>for a second time</w:t>
      </w:r>
      <w:r w:rsidR="00E767C5" w:rsidRPr="00A671BF">
        <w:rPr>
          <w:szCs w:val="22"/>
        </w:rPr>
        <w:t>, contesting</w:t>
      </w:r>
      <w:r w:rsidR="007C0C63" w:rsidRPr="00A671BF">
        <w:rPr>
          <w:szCs w:val="22"/>
        </w:rPr>
        <w:t xml:space="preserve"> Imtiaz’s</w:t>
      </w:r>
      <w:r w:rsidR="00231A14" w:rsidRPr="00A671BF">
        <w:rPr>
          <w:szCs w:val="22"/>
        </w:rPr>
        <w:t xml:space="preserve"> claim</w:t>
      </w:r>
      <w:r w:rsidR="007C0C63" w:rsidRPr="00A671BF">
        <w:rPr>
          <w:szCs w:val="22"/>
        </w:rPr>
        <w:t xml:space="preserve"> that he had been expelled to</w:t>
      </w:r>
      <w:r w:rsidR="00EA6DD1" w:rsidRPr="00A671BF">
        <w:rPr>
          <w:szCs w:val="22"/>
        </w:rPr>
        <w:t xml:space="preserve"> Belgium</w:t>
      </w:r>
      <w:r w:rsidR="00AA7719" w:rsidRPr="00A671BF">
        <w:rPr>
          <w:szCs w:val="22"/>
        </w:rPr>
        <w:t xml:space="preserve"> in December</w:t>
      </w:r>
      <w:r w:rsidR="00E767C5" w:rsidRPr="00A671BF">
        <w:rPr>
          <w:szCs w:val="22"/>
        </w:rPr>
        <w:t xml:space="preserve"> </w:t>
      </w:r>
      <w:r w:rsidR="007C0C63" w:rsidRPr="00A671BF">
        <w:rPr>
          <w:szCs w:val="22"/>
        </w:rPr>
        <w:t xml:space="preserve">within two hours of being taken to the police station, and </w:t>
      </w:r>
      <w:r w:rsidR="00E767C5" w:rsidRPr="00A671BF">
        <w:rPr>
          <w:szCs w:val="22"/>
        </w:rPr>
        <w:t>confirming</w:t>
      </w:r>
      <w:r w:rsidR="007C0C63" w:rsidRPr="00A671BF">
        <w:rPr>
          <w:szCs w:val="22"/>
        </w:rPr>
        <w:t xml:space="preserve"> to the Foreign Secretary that the reason for the expu</w:t>
      </w:r>
      <w:r w:rsidR="009E1841" w:rsidRPr="00A671BF">
        <w:rPr>
          <w:szCs w:val="22"/>
        </w:rPr>
        <w:t>lsion was that Imtiaz was ‘a</w:t>
      </w:r>
      <w:r w:rsidR="009E1841" w:rsidRPr="00A671BF">
        <w:t xml:space="preserve"> political extremist, or, at any rate </w:t>
      </w:r>
      <w:proofErr w:type="spellStart"/>
      <w:r w:rsidR="009E1841" w:rsidRPr="00A671BF">
        <w:t>associat</w:t>
      </w:r>
      <w:proofErr w:type="spellEnd"/>
      <w:r w:rsidR="009E1841" w:rsidRPr="00A671BF">
        <w:t>[ed] with political e</w:t>
      </w:r>
      <w:r w:rsidR="009056F4" w:rsidRPr="00A671BF">
        <w:rPr>
          <w:szCs w:val="22"/>
        </w:rPr>
        <w:t>xtremists’ (Phipps, 1938).</w:t>
      </w:r>
      <w:r w:rsidR="007C0C63" w:rsidRPr="00A671BF">
        <w:rPr>
          <w:szCs w:val="22"/>
        </w:rPr>
        <w:t xml:space="preserve"> He was refused the right to </w:t>
      </w:r>
      <w:r w:rsidR="00B72F50" w:rsidRPr="00A671BF">
        <w:rPr>
          <w:szCs w:val="22"/>
        </w:rPr>
        <w:t>go back</w:t>
      </w:r>
      <w:r w:rsidR="007C0C63" w:rsidRPr="00A671BF">
        <w:rPr>
          <w:szCs w:val="22"/>
        </w:rPr>
        <w:t xml:space="preserve"> to </w:t>
      </w:r>
      <w:r w:rsidR="00C06CAD" w:rsidRPr="00A671BF">
        <w:rPr>
          <w:szCs w:val="22"/>
        </w:rPr>
        <w:t>conclude</w:t>
      </w:r>
      <w:r w:rsidR="007C0C63" w:rsidRPr="00A671BF">
        <w:rPr>
          <w:szCs w:val="22"/>
        </w:rPr>
        <w:t xml:space="preserve"> his affairs </w:t>
      </w:r>
      <w:r w:rsidR="00E767C5" w:rsidRPr="00A671BF">
        <w:rPr>
          <w:szCs w:val="22"/>
        </w:rPr>
        <w:t xml:space="preserve">in Paris </w:t>
      </w:r>
      <w:r w:rsidR="007C0C63" w:rsidRPr="00A671BF">
        <w:rPr>
          <w:szCs w:val="22"/>
        </w:rPr>
        <w:t>and instead found himself forced to return to India</w:t>
      </w:r>
      <w:r w:rsidR="009056F4" w:rsidRPr="00A671BF">
        <w:rPr>
          <w:szCs w:val="22"/>
        </w:rPr>
        <w:t xml:space="preserve"> (</w:t>
      </w:r>
      <w:proofErr w:type="spellStart"/>
      <w:r w:rsidR="009056F4" w:rsidRPr="00A671BF">
        <w:rPr>
          <w:szCs w:val="22"/>
        </w:rPr>
        <w:t>Ministère</w:t>
      </w:r>
      <w:proofErr w:type="spellEnd"/>
      <w:r w:rsidR="009056F4" w:rsidRPr="00A671BF">
        <w:rPr>
          <w:szCs w:val="22"/>
        </w:rPr>
        <w:t xml:space="preserve"> des Affaires </w:t>
      </w:r>
      <w:proofErr w:type="spellStart"/>
      <w:r w:rsidR="009056F4" w:rsidRPr="00A671BF">
        <w:rPr>
          <w:szCs w:val="22"/>
        </w:rPr>
        <w:t>Etrangères</w:t>
      </w:r>
      <w:proofErr w:type="spellEnd"/>
      <w:r w:rsidR="009056F4" w:rsidRPr="00A671BF">
        <w:rPr>
          <w:szCs w:val="22"/>
        </w:rPr>
        <w:t>, 1939)</w:t>
      </w:r>
      <w:r w:rsidR="007C0C63" w:rsidRPr="00A671BF">
        <w:rPr>
          <w:szCs w:val="22"/>
        </w:rPr>
        <w:t xml:space="preserve">. Although Imtiaz maintained that he had never been political, an </w:t>
      </w:r>
      <w:r w:rsidR="009E1841" w:rsidRPr="00A671BF">
        <w:rPr>
          <w:szCs w:val="22"/>
        </w:rPr>
        <w:t xml:space="preserve">anonymous </w:t>
      </w:r>
      <w:r w:rsidR="007C0C63" w:rsidRPr="00A671BF">
        <w:rPr>
          <w:szCs w:val="22"/>
        </w:rPr>
        <w:t xml:space="preserve">agent working for </w:t>
      </w:r>
      <w:r w:rsidR="006F6343" w:rsidRPr="00A671BF">
        <w:rPr>
          <w:szCs w:val="22"/>
        </w:rPr>
        <w:t xml:space="preserve">the </w:t>
      </w:r>
      <w:r w:rsidR="002049D1" w:rsidRPr="00A671BF">
        <w:t xml:space="preserve">Service de </w:t>
      </w:r>
      <w:proofErr w:type="spellStart"/>
      <w:r w:rsidR="002049D1" w:rsidRPr="00A671BF">
        <w:t>Contrôle</w:t>
      </w:r>
      <w:proofErr w:type="spellEnd"/>
      <w:r w:rsidR="002049D1" w:rsidRPr="00A671BF">
        <w:t xml:space="preserve"> et </w:t>
      </w:r>
      <w:proofErr w:type="spellStart"/>
      <w:r w:rsidR="002049D1" w:rsidRPr="00A671BF">
        <w:t>d’Assistance</w:t>
      </w:r>
      <w:proofErr w:type="spellEnd"/>
      <w:r w:rsidR="002049D1" w:rsidRPr="00A671BF">
        <w:t xml:space="preserve"> </w:t>
      </w:r>
      <w:proofErr w:type="spellStart"/>
      <w:r w:rsidR="002049D1" w:rsidRPr="00A671BF">
        <w:t>en</w:t>
      </w:r>
      <w:proofErr w:type="spellEnd"/>
      <w:r w:rsidR="002049D1" w:rsidRPr="00A671BF">
        <w:t xml:space="preserve"> France des </w:t>
      </w:r>
      <w:proofErr w:type="spellStart"/>
      <w:r w:rsidR="002049D1" w:rsidRPr="00A671BF">
        <w:t>Indigènes</w:t>
      </w:r>
      <w:proofErr w:type="spellEnd"/>
      <w:r w:rsidR="002049D1" w:rsidRPr="00A671BF">
        <w:t xml:space="preserve"> des Colonies </w:t>
      </w:r>
      <w:proofErr w:type="spellStart"/>
      <w:r w:rsidR="002049D1" w:rsidRPr="00A671BF">
        <w:t>françaises</w:t>
      </w:r>
      <w:proofErr w:type="spellEnd"/>
      <w:r w:rsidR="002049D1" w:rsidRPr="00A671BF">
        <w:t xml:space="preserve"> (CAI)</w:t>
      </w:r>
      <w:r w:rsidR="001C3F91" w:rsidRPr="00A671BF">
        <w:rPr>
          <w:szCs w:val="22"/>
        </w:rPr>
        <w:t xml:space="preserve"> — </w:t>
      </w:r>
      <w:r w:rsidR="00BC132A" w:rsidRPr="00A671BF">
        <w:rPr>
          <w:szCs w:val="22"/>
        </w:rPr>
        <w:t>a service</w:t>
      </w:r>
      <w:r w:rsidR="001C3F91" w:rsidRPr="00A671BF">
        <w:rPr>
          <w:szCs w:val="22"/>
        </w:rPr>
        <w:t xml:space="preserve"> </w:t>
      </w:r>
      <w:r w:rsidR="009E1841" w:rsidRPr="00A671BF">
        <w:t xml:space="preserve">created by the </w:t>
      </w:r>
      <w:proofErr w:type="spellStart"/>
      <w:r w:rsidR="009E1841" w:rsidRPr="00A671BF">
        <w:t>Ministère</w:t>
      </w:r>
      <w:proofErr w:type="spellEnd"/>
      <w:r w:rsidR="009E1841" w:rsidRPr="00A671BF">
        <w:t xml:space="preserve"> des Colonies to </w:t>
      </w:r>
      <w:r w:rsidR="00BC132A" w:rsidRPr="00A671BF">
        <w:t>supervise</w:t>
      </w:r>
      <w:r w:rsidR="00957855" w:rsidRPr="00A671BF">
        <w:t>,</w:t>
      </w:r>
      <w:r w:rsidR="00BC132A" w:rsidRPr="00A671BF">
        <w:t xml:space="preserve"> </w:t>
      </w:r>
      <w:r w:rsidR="006F6343" w:rsidRPr="00A671BF">
        <w:t>and</w:t>
      </w:r>
      <w:r w:rsidR="00BC132A" w:rsidRPr="00A671BF">
        <w:t xml:space="preserve"> also to </w:t>
      </w:r>
      <w:r w:rsidR="009E1841" w:rsidRPr="00A671BF">
        <w:t>carry out surveillance of</w:t>
      </w:r>
      <w:r w:rsidR="00957855" w:rsidRPr="00A671BF">
        <w:t>,</w:t>
      </w:r>
      <w:r w:rsidR="009E1841" w:rsidRPr="00A671BF">
        <w:t xml:space="preserve"> </w:t>
      </w:r>
      <w:r w:rsidR="00957855" w:rsidRPr="00A671BF">
        <w:t xml:space="preserve">French </w:t>
      </w:r>
      <w:r w:rsidR="009E1841" w:rsidRPr="00A671BF">
        <w:t>colonial subjects</w:t>
      </w:r>
      <w:r w:rsidR="00BC132A" w:rsidRPr="00A671BF">
        <w:t xml:space="preserve"> and </w:t>
      </w:r>
      <w:r w:rsidR="00BC132A" w:rsidRPr="00A671BF">
        <w:rPr>
          <w:i/>
        </w:rPr>
        <w:t>protégés</w:t>
      </w:r>
      <w:r w:rsidR="009E1841" w:rsidRPr="00A671BF">
        <w:t xml:space="preserve"> in metropolitan France</w:t>
      </w:r>
      <w:r w:rsidR="00B809F1" w:rsidRPr="00A671BF">
        <w:rPr>
          <w:szCs w:val="22"/>
        </w:rPr>
        <w:t xml:space="preserve"> —</w:t>
      </w:r>
      <w:r w:rsidR="007C0C63" w:rsidRPr="00A671BF">
        <w:rPr>
          <w:szCs w:val="22"/>
        </w:rPr>
        <w:t xml:space="preserve"> had filed a report </w:t>
      </w:r>
      <w:r w:rsidR="00A60DEE" w:rsidRPr="00A671BF">
        <w:rPr>
          <w:szCs w:val="22"/>
        </w:rPr>
        <w:t>suggesting otherwise. The report alleged</w:t>
      </w:r>
      <w:r w:rsidR="007C0C63" w:rsidRPr="00A671BF">
        <w:rPr>
          <w:szCs w:val="22"/>
        </w:rPr>
        <w:t xml:space="preserve"> that Imtiaz was in contact with Indochinese anticolonial agitators as part of the Oriental Society, a small </w:t>
      </w:r>
      <w:r w:rsidR="006F6343" w:rsidRPr="00A671BF">
        <w:rPr>
          <w:szCs w:val="22"/>
        </w:rPr>
        <w:t>group</w:t>
      </w:r>
      <w:r w:rsidR="007C0C63" w:rsidRPr="00A671BF">
        <w:rPr>
          <w:szCs w:val="22"/>
        </w:rPr>
        <w:t xml:space="preserve"> set up in Paris</w:t>
      </w:r>
      <w:r w:rsidR="00A174C4" w:rsidRPr="00A671BF">
        <w:rPr>
          <w:szCs w:val="22"/>
        </w:rPr>
        <w:t xml:space="preserve"> in 1925</w:t>
      </w:r>
      <w:r w:rsidR="007C0C63" w:rsidRPr="00A671BF">
        <w:rPr>
          <w:szCs w:val="22"/>
        </w:rPr>
        <w:t xml:space="preserve"> </w:t>
      </w:r>
      <w:r w:rsidR="00A60DEE" w:rsidRPr="00A671BF">
        <w:rPr>
          <w:szCs w:val="22"/>
        </w:rPr>
        <w:t>with the aim of</w:t>
      </w:r>
      <w:r w:rsidR="007C0C63" w:rsidRPr="00A671BF">
        <w:rPr>
          <w:szCs w:val="22"/>
        </w:rPr>
        <w:t xml:space="preserve"> correct</w:t>
      </w:r>
      <w:r w:rsidR="00A60DEE" w:rsidRPr="00A671BF">
        <w:rPr>
          <w:szCs w:val="22"/>
        </w:rPr>
        <w:t>ing</w:t>
      </w:r>
      <w:r w:rsidR="00C06CAD" w:rsidRPr="00A671BF">
        <w:rPr>
          <w:szCs w:val="22"/>
        </w:rPr>
        <w:t xml:space="preserve"> mis</w:t>
      </w:r>
      <w:r w:rsidR="007C0C63" w:rsidRPr="00A671BF">
        <w:rPr>
          <w:szCs w:val="22"/>
        </w:rPr>
        <w:t>information i</w:t>
      </w:r>
      <w:r w:rsidR="008165A2" w:rsidRPr="00A671BF">
        <w:rPr>
          <w:szCs w:val="22"/>
        </w:rPr>
        <w:t>n the European press about Asia (</w:t>
      </w:r>
      <w:r w:rsidR="00B83F4F" w:rsidRPr="00A671BF">
        <w:rPr>
          <w:szCs w:val="22"/>
        </w:rPr>
        <w:t>CAI</w:t>
      </w:r>
      <w:r w:rsidR="008165A2" w:rsidRPr="00A671BF">
        <w:rPr>
          <w:szCs w:val="22"/>
        </w:rPr>
        <w:t>, 1938).</w:t>
      </w:r>
      <w:r w:rsidR="007C0C63" w:rsidRPr="00A671BF">
        <w:rPr>
          <w:szCs w:val="22"/>
        </w:rPr>
        <w:t xml:space="preserve"> This report was alluded to by </w:t>
      </w:r>
      <w:r w:rsidR="006F6343" w:rsidRPr="00A671BF">
        <w:rPr>
          <w:szCs w:val="22"/>
        </w:rPr>
        <w:t xml:space="preserve">an official </w:t>
      </w:r>
      <w:r w:rsidR="007C0C63" w:rsidRPr="00A671BF">
        <w:rPr>
          <w:szCs w:val="22"/>
        </w:rPr>
        <w:t xml:space="preserve">at the French </w:t>
      </w:r>
      <w:proofErr w:type="spellStart"/>
      <w:r w:rsidR="0038784E" w:rsidRPr="00A671BF">
        <w:rPr>
          <w:szCs w:val="22"/>
        </w:rPr>
        <w:t>Ministère</w:t>
      </w:r>
      <w:proofErr w:type="spellEnd"/>
      <w:r w:rsidR="0038784E" w:rsidRPr="00A671BF">
        <w:rPr>
          <w:szCs w:val="22"/>
        </w:rPr>
        <w:t xml:space="preserve"> des Affaires </w:t>
      </w:r>
      <w:proofErr w:type="spellStart"/>
      <w:r w:rsidR="0038784E" w:rsidRPr="00A671BF">
        <w:rPr>
          <w:szCs w:val="22"/>
        </w:rPr>
        <w:t>étrangères</w:t>
      </w:r>
      <w:proofErr w:type="spellEnd"/>
      <w:r w:rsidR="007C0C63" w:rsidRPr="00A671BF">
        <w:rPr>
          <w:szCs w:val="22"/>
        </w:rPr>
        <w:t xml:space="preserve"> when Eric Phipps</w:t>
      </w:r>
      <w:r w:rsidR="00A174C4" w:rsidRPr="00A671BF">
        <w:rPr>
          <w:szCs w:val="22"/>
        </w:rPr>
        <w:t xml:space="preserve"> (the British </w:t>
      </w:r>
      <w:r w:rsidR="0038784E" w:rsidRPr="00A671BF">
        <w:rPr>
          <w:szCs w:val="22"/>
        </w:rPr>
        <w:t>a</w:t>
      </w:r>
      <w:r w:rsidR="00A174C4" w:rsidRPr="00A671BF">
        <w:rPr>
          <w:szCs w:val="22"/>
        </w:rPr>
        <w:t>mbassador to France)</w:t>
      </w:r>
      <w:r w:rsidR="007C0C63" w:rsidRPr="00A671BF">
        <w:rPr>
          <w:szCs w:val="22"/>
        </w:rPr>
        <w:t xml:space="preserve"> sought further information about the matter</w:t>
      </w:r>
      <w:r w:rsidR="004A535F" w:rsidRPr="00A671BF">
        <w:rPr>
          <w:szCs w:val="22"/>
        </w:rPr>
        <w:t>,</w:t>
      </w:r>
      <w:r w:rsidR="007C0C63" w:rsidRPr="00A671BF">
        <w:rPr>
          <w:szCs w:val="22"/>
        </w:rPr>
        <w:t xml:space="preserve"> and it was </w:t>
      </w:r>
      <w:r w:rsidR="004A535F" w:rsidRPr="00A671BF">
        <w:rPr>
          <w:szCs w:val="22"/>
        </w:rPr>
        <w:t>deemed sufficient evidence</w:t>
      </w:r>
      <w:r w:rsidR="007C0C63" w:rsidRPr="00A671BF">
        <w:rPr>
          <w:szCs w:val="22"/>
        </w:rPr>
        <w:t xml:space="preserve"> to convince the India Office that Imtiaz was a dangerous anticolonial</w:t>
      </w:r>
      <w:r w:rsidR="008165A2" w:rsidRPr="00A671BF">
        <w:rPr>
          <w:szCs w:val="22"/>
        </w:rPr>
        <w:t xml:space="preserve"> (Phipps, 1938)</w:t>
      </w:r>
      <w:r w:rsidR="007C0C63" w:rsidRPr="00A671BF">
        <w:rPr>
          <w:szCs w:val="22"/>
        </w:rPr>
        <w:t>.</w:t>
      </w:r>
    </w:p>
    <w:p w:rsidR="007C0C63" w:rsidRPr="00A671BF" w:rsidRDefault="007C0C63" w:rsidP="0038784E">
      <w:pPr>
        <w:spacing w:line="360" w:lineRule="auto"/>
        <w:rPr>
          <w:szCs w:val="22"/>
        </w:rPr>
      </w:pPr>
      <w:r w:rsidRPr="00A671BF">
        <w:rPr>
          <w:szCs w:val="22"/>
        </w:rPr>
        <w:lastRenderedPageBreak/>
        <w:tab/>
      </w:r>
      <w:r w:rsidR="00D170CB" w:rsidRPr="00A671BF">
        <w:rPr>
          <w:szCs w:val="22"/>
        </w:rPr>
        <w:t xml:space="preserve">The case </w:t>
      </w:r>
      <w:r w:rsidR="006F6343" w:rsidRPr="00A671BF">
        <w:rPr>
          <w:szCs w:val="22"/>
        </w:rPr>
        <w:t xml:space="preserve">of Imtiaz </w:t>
      </w:r>
      <w:r w:rsidR="005723F6" w:rsidRPr="00A671BF">
        <w:rPr>
          <w:szCs w:val="22"/>
        </w:rPr>
        <w:t>generated</w:t>
      </w:r>
      <w:r w:rsidR="009E1841" w:rsidRPr="00A671BF">
        <w:rPr>
          <w:szCs w:val="22"/>
        </w:rPr>
        <w:t xml:space="preserve"> a thin</w:t>
      </w:r>
      <w:r w:rsidR="007F75E0" w:rsidRPr="00A671BF">
        <w:rPr>
          <w:szCs w:val="22"/>
        </w:rPr>
        <w:t xml:space="preserve"> file in the </w:t>
      </w:r>
      <w:r w:rsidR="00775329" w:rsidRPr="00A671BF">
        <w:rPr>
          <w:szCs w:val="22"/>
        </w:rPr>
        <w:t>India Office Records</w:t>
      </w:r>
      <w:r w:rsidR="00FA1D63" w:rsidRPr="00A671BF">
        <w:rPr>
          <w:szCs w:val="22"/>
        </w:rPr>
        <w:t xml:space="preserve"> (</w:t>
      </w:r>
      <w:r w:rsidR="00FA1D63" w:rsidRPr="00A671BF">
        <w:t>L/P&amp;J/12/494)</w:t>
      </w:r>
      <w:r w:rsidR="00A36843" w:rsidRPr="00A671BF">
        <w:rPr>
          <w:szCs w:val="22"/>
        </w:rPr>
        <w:t>,</w:t>
      </w:r>
      <w:r w:rsidR="007F75E0" w:rsidRPr="00A671BF">
        <w:rPr>
          <w:szCs w:val="22"/>
        </w:rPr>
        <w:t xml:space="preserve"> </w:t>
      </w:r>
      <w:r w:rsidR="005723F6" w:rsidRPr="00A671BF">
        <w:rPr>
          <w:szCs w:val="22"/>
        </w:rPr>
        <w:t>a short report</w:t>
      </w:r>
      <w:r w:rsidR="00FA1D63" w:rsidRPr="00A671BF">
        <w:rPr>
          <w:szCs w:val="22"/>
        </w:rPr>
        <w:t xml:space="preserve"> (CAI, 1938) </w:t>
      </w:r>
      <w:r w:rsidR="005723F6" w:rsidRPr="00A671BF">
        <w:rPr>
          <w:szCs w:val="22"/>
        </w:rPr>
        <w:t xml:space="preserve">which is now held in </w:t>
      </w:r>
      <w:r w:rsidR="001E01BD" w:rsidRPr="00A671BF">
        <w:rPr>
          <w:szCs w:val="22"/>
        </w:rPr>
        <w:t xml:space="preserve">the archives of </w:t>
      </w:r>
      <w:r w:rsidR="001C2F37" w:rsidRPr="00A671BF">
        <w:rPr>
          <w:szCs w:val="22"/>
        </w:rPr>
        <w:t xml:space="preserve">the </w:t>
      </w:r>
      <w:r w:rsidR="001E01BD" w:rsidRPr="00A671BF">
        <w:t>CAI</w:t>
      </w:r>
      <w:r w:rsidR="00472DA1" w:rsidRPr="00A671BF">
        <w:rPr>
          <w:szCs w:val="22"/>
        </w:rPr>
        <w:t>,</w:t>
      </w:r>
      <w:r w:rsidR="00FA1D63" w:rsidRPr="00A671BF">
        <w:rPr>
          <w:rStyle w:val="FootnoteReference"/>
          <w:szCs w:val="22"/>
        </w:rPr>
        <w:footnoteReference w:id="1"/>
      </w:r>
      <w:r w:rsidR="00472DA1" w:rsidRPr="00A671BF">
        <w:rPr>
          <w:szCs w:val="22"/>
        </w:rPr>
        <w:t xml:space="preserve"> and a dossier of thirty-one documents in the Archives de la </w:t>
      </w:r>
      <w:proofErr w:type="spellStart"/>
      <w:r w:rsidR="00472DA1" w:rsidRPr="00A671BF">
        <w:rPr>
          <w:szCs w:val="22"/>
        </w:rPr>
        <w:t>Préfecture</w:t>
      </w:r>
      <w:proofErr w:type="spellEnd"/>
      <w:r w:rsidR="00472DA1" w:rsidRPr="00A671BF">
        <w:rPr>
          <w:szCs w:val="22"/>
        </w:rPr>
        <w:t xml:space="preserve"> de Police de Paris</w:t>
      </w:r>
      <w:r w:rsidR="00332DF4" w:rsidRPr="00A671BF">
        <w:rPr>
          <w:szCs w:val="22"/>
        </w:rPr>
        <w:t xml:space="preserve"> (</w:t>
      </w:r>
      <w:r w:rsidR="00332DF4" w:rsidRPr="00A671BF">
        <w:t>I W 938 43170)</w:t>
      </w:r>
      <w:r w:rsidR="00E6772E" w:rsidRPr="00A671BF">
        <w:rPr>
          <w:szCs w:val="22"/>
        </w:rPr>
        <w:t xml:space="preserve">. </w:t>
      </w:r>
      <w:r w:rsidR="006F6343" w:rsidRPr="00A671BF">
        <w:rPr>
          <w:szCs w:val="22"/>
        </w:rPr>
        <w:t>There were no further investigations by the British police</w:t>
      </w:r>
      <w:r w:rsidR="002272B1" w:rsidRPr="00A671BF">
        <w:rPr>
          <w:szCs w:val="22"/>
        </w:rPr>
        <w:t xml:space="preserve"> forces or by the CAI following </w:t>
      </w:r>
      <w:r w:rsidR="006F6343" w:rsidRPr="00A671BF">
        <w:rPr>
          <w:szCs w:val="22"/>
        </w:rPr>
        <w:t xml:space="preserve">Imtiaz’s second, and definitive, expulsion. </w:t>
      </w:r>
      <w:r w:rsidR="00CE1AA8" w:rsidRPr="00A671BF">
        <w:rPr>
          <w:szCs w:val="22"/>
        </w:rPr>
        <w:t>The incident nevertheless provides a striking illustration of</w:t>
      </w:r>
      <w:r w:rsidRPr="00A671BF">
        <w:rPr>
          <w:szCs w:val="22"/>
        </w:rPr>
        <w:t xml:space="preserve"> how </w:t>
      </w:r>
      <w:r w:rsidR="00775329" w:rsidRPr="00A671BF">
        <w:rPr>
          <w:szCs w:val="22"/>
        </w:rPr>
        <w:t>Indians</w:t>
      </w:r>
      <w:r w:rsidR="007F75E0" w:rsidRPr="00A671BF">
        <w:rPr>
          <w:szCs w:val="22"/>
        </w:rPr>
        <w:t xml:space="preserve"> </w:t>
      </w:r>
      <w:r w:rsidR="00A60DEE" w:rsidRPr="00A671BF">
        <w:rPr>
          <w:szCs w:val="22"/>
        </w:rPr>
        <w:t>who made their home in metropolitan France</w:t>
      </w:r>
      <w:r w:rsidR="00171E7E" w:rsidRPr="00A671BF">
        <w:rPr>
          <w:szCs w:val="22"/>
        </w:rPr>
        <w:t>,</w:t>
      </w:r>
      <w:r w:rsidR="00A60DEE" w:rsidRPr="00A671BF">
        <w:rPr>
          <w:szCs w:val="22"/>
        </w:rPr>
        <w:t xml:space="preserve"> </w:t>
      </w:r>
      <w:r w:rsidR="00171E7E" w:rsidRPr="00A671BF">
        <w:rPr>
          <w:szCs w:val="22"/>
        </w:rPr>
        <w:t xml:space="preserve">being effectively subject to two imperial systems, </w:t>
      </w:r>
      <w:r w:rsidR="007F75E0" w:rsidRPr="00A671BF">
        <w:rPr>
          <w:szCs w:val="22"/>
        </w:rPr>
        <w:t xml:space="preserve">could </w:t>
      </w:r>
      <w:r w:rsidR="00CE1AA8" w:rsidRPr="00A671BF">
        <w:rPr>
          <w:szCs w:val="22"/>
        </w:rPr>
        <w:t xml:space="preserve">attempt to </w:t>
      </w:r>
      <w:r w:rsidR="00C06CAD" w:rsidRPr="00A671BF">
        <w:rPr>
          <w:szCs w:val="22"/>
        </w:rPr>
        <w:t>capitalize on</w:t>
      </w:r>
      <w:r w:rsidR="007F75E0" w:rsidRPr="00A671BF">
        <w:rPr>
          <w:szCs w:val="22"/>
        </w:rPr>
        <w:t xml:space="preserve"> their status as </w:t>
      </w:r>
      <w:r w:rsidR="009E1841" w:rsidRPr="00A671BF">
        <w:rPr>
          <w:szCs w:val="22"/>
        </w:rPr>
        <w:t>imperial subjects</w:t>
      </w:r>
      <w:r w:rsidR="0070123C" w:rsidRPr="00A671BF">
        <w:rPr>
          <w:szCs w:val="22"/>
        </w:rPr>
        <w:t xml:space="preserve"> of a rival empire</w:t>
      </w:r>
      <w:r w:rsidR="0053554A" w:rsidRPr="00A671BF">
        <w:rPr>
          <w:szCs w:val="22"/>
        </w:rPr>
        <w:t xml:space="preserve"> </w:t>
      </w:r>
      <w:r w:rsidR="0053554A" w:rsidRPr="00A671BF">
        <w:rPr>
          <w:lang w:val="en-US"/>
        </w:rPr>
        <w:t xml:space="preserve">in order to </w:t>
      </w:r>
      <w:r w:rsidR="004414EA" w:rsidRPr="00A671BF">
        <w:rPr>
          <w:lang w:val="en-US"/>
        </w:rPr>
        <w:t xml:space="preserve">assert </w:t>
      </w:r>
      <w:r w:rsidR="0053554A" w:rsidRPr="00A671BF">
        <w:rPr>
          <w:lang w:val="en-US"/>
        </w:rPr>
        <w:t>control</w:t>
      </w:r>
      <w:r w:rsidR="004414EA" w:rsidRPr="00A671BF">
        <w:rPr>
          <w:lang w:val="en-US"/>
        </w:rPr>
        <w:t xml:space="preserve"> over</w:t>
      </w:r>
      <w:r w:rsidR="0053554A" w:rsidRPr="00A671BF">
        <w:rPr>
          <w:lang w:val="en-US"/>
        </w:rPr>
        <w:t xml:space="preserve"> their own lives</w:t>
      </w:r>
      <w:r w:rsidR="00171E7E" w:rsidRPr="00A671BF">
        <w:rPr>
          <w:lang w:val="en-US"/>
        </w:rPr>
        <w:t>;</w:t>
      </w:r>
      <w:r w:rsidR="00CE1AA8" w:rsidRPr="00A671BF">
        <w:rPr>
          <w:szCs w:val="22"/>
        </w:rPr>
        <w:t xml:space="preserve"> </w:t>
      </w:r>
      <w:r w:rsidR="00CE1AA8" w:rsidRPr="00A671BF">
        <w:rPr>
          <w:lang w:val="en-US"/>
        </w:rPr>
        <w:t>and</w:t>
      </w:r>
      <w:r w:rsidR="00171E7E" w:rsidRPr="00A671BF">
        <w:rPr>
          <w:lang w:val="en-US"/>
        </w:rPr>
        <w:t xml:space="preserve"> how they could</w:t>
      </w:r>
      <w:r w:rsidR="00CE1AA8" w:rsidRPr="00A671BF">
        <w:rPr>
          <w:lang w:val="en-US"/>
        </w:rPr>
        <w:t>, conversely,</w:t>
      </w:r>
      <w:r w:rsidR="009E1841" w:rsidRPr="00A671BF">
        <w:rPr>
          <w:szCs w:val="22"/>
        </w:rPr>
        <w:t xml:space="preserve"> </w:t>
      </w:r>
      <w:r w:rsidR="00CE1AA8" w:rsidRPr="00A671BF">
        <w:rPr>
          <w:szCs w:val="22"/>
        </w:rPr>
        <w:t>fall foul of competing imperial agendas</w:t>
      </w:r>
      <w:r w:rsidR="00085FAA" w:rsidRPr="00A671BF">
        <w:rPr>
          <w:szCs w:val="22"/>
        </w:rPr>
        <w:t xml:space="preserve">. While Imtiaz was initially able to appeal to the British Foreign Secretary and the British Embassy to intercede against a foreign power, the </w:t>
      </w:r>
      <w:r w:rsidR="006701D7" w:rsidRPr="00A671BF">
        <w:rPr>
          <w:szCs w:val="22"/>
        </w:rPr>
        <w:t>second expulsion was upheld</w:t>
      </w:r>
      <w:r w:rsidR="00085FAA" w:rsidRPr="00A671BF">
        <w:rPr>
          <w:szCs w:val="22"/>
        </w:rPr>
        <w:t xml:space="preserve"> as</w:t>
      </w:r>
      <w:r w:rsidR="009E1841" w:rsidRPr="00A671BF">
        <w:rPr>
          <w:szCs w:val="22"/>
        </w:rPr>
        <w:t xml:space="preserve"> the British</w:t>
      </w:r>
      <w:r w:rsidR="004A535F" w:rsidRPr="00A671BF">
        <w:rPr>
          <w:szCs w:val="22"/>
        </w:rPr>
        <w:t xml:space="preserve"> </w:t>
      </w:r>
      <w:r w:rsidR="00085FAA" w:rsidRPr="00A671BF">
        <w:rPr>
          <w:szCs w:val="22"/>
        </w:rPr>
        <w:t>had become</w:t>
      </w:r>
      <w:r w:rsidR="009E1841" w:rsidRPr="00A671BF">
        <w:rPr>
          <w:szCs w:val="22"/>
        </w:rPr>
        <w:t xml:space="preserve"> convinced of the danger that he</w:t>
      </w:r>
      <w:r w:rsidR="00085FAA" w:rsidRPr="00A671BF">
        <w:rPr>
          <w:szCs w:val="22"/>
        </w:rPr>
        <w:t xml:space="preserve"> posed to their empire in India —</w:t>
      </w:r>
      <w:r w:rsidR="009E1841" w:rsidRPr="00A671BF">
        <w:rPr>
          <w:szCs w:val="22"/>
        </w:rPr>
        <w:t xml:space="preserve"> not </w:t>
      </w:r>
      <w:r w:rsidR="00864B77" w:rsidRPr="00A671BF">
        <w:rPr>
          <w:szCs w:val="22"/>
        </w:rPr>
        <w:t>because</w:t>
      </w:r>
      <w:r w:rsidR="009E1841" w:rsidRPr="00A671BF">
        <w:rPr>
          <w:szCs w:val="22"/>
        </w:rPr>
        <w:t xml:space="preserve"> of </w:t>
      </w:r>
      <w:r w:rsidR="00AF1901" w:rsidRPr="00A671BF">
        <w:rPr>
          <w:szCs w:val="22"/>
        </w:rPr>
        <w:t xml:space="preserve">any </w:t>
      </w:r>
      <w:r w:rsidR="009E1841" w:rsidRPr="00A671BF">
        <w:rPr>
          <w:szCs w:val="22"/>
        </w:rPr>
        <w:t xml:space="preserve">Indian nationalist activity by Imtiaz but </w:t>
      </w:r>
      <w:r w:rsidR="009327E4" w:rsidRPr="00A671BF">
        <w:rPr>
          <w:szCs w:val="22"/>
        </w:rPr>
        <w:t xml:space="preserve">because he had </w:t>
      </w:r>
      <w:r w:rsidR="00542E95" w:rsidRPr="00A671BF">
        <w:rPr>
          <w:szCs w:val="22"/>
        </w:rPr>
        <w:t>been</w:t>
      </w:r>
      <w:r w:rsidR="00775329" w:rsidRPr="00A671BF">
        <w:rPr>
          <w:szCs w:val="22"/>
        </w:rPr>
        <w:t xml:space="preserve"> seen with Indochinese activists</w:t>
      </w:r>
      <w:r w:rsidR="00542E95" w:rsidRPr="00A671BF">
        <w:rPr>
          <w:szCs w:val="22"/>
        </w:rPr>
        <w:t xml:space="preserve"> who were being</w:t>
      </w:r>
      <w:r w:rsidR="0083714F" w:rsidRPr="00A671BF">
        <w:rPr>
          <w:szCs w:val="22"/>
        </w:rPr>
        <w:t xml:space="preserve"> closely</w:t>
      </w:r>
      <w:r w:rsidR="00542E95" w:rsidRPr="00A671BF">
        <w:rPr>
          <w:szCs w:val="22"/>
        </w:rPr>
        <w:t xml:space="preserve"> monitored by</w:t>
      </w:r>
      <w:r w:rsidR="002049D1" w:rsidRPr="00A671BF">
        <w:rPr>
          <w:szCs w:val="22"/>
        </w:rPr>
        <w:t xml:space="preserve"> the</w:t>
      </w:r>
      <w:r w:rsidR="00542E95" w:rsidRPr="00A671BF">
        <w:rPr>
          <w:szCs w:val="22"/>
        </w:rPr>
        <w:t xml:space="preserve"> French </w:t>
      </w:r>
      <w:r w:rsidR="001C3F91" w:rsidRPr="00A671BF">
        <w:rPr>
          <w:szCs w:val="22"/>
        </w:rPr>
        <w:t>CAI</w:t>
      </w:r>
      <w:r w:rsidR="00542E95" w:rsidRPr="00A671BF">
        <w:rPr>
          <w:szCs w:val="22"/>
        </w:rPr>
        <w:t xml:space="preserve">. </w:t>
      </w:r>
      <w:r w:rsidRPr="00A671BF">
        <w:rPr>
          <w:szCs w:val="22"/>
        </w:rPr>
        <w:t xml:space="preserve">Focusing on British Indian subjects who travelled to France </w:t>
      </w:r>
      <w:r w:rsidR="00491BF2" w:rsidRPr="00A671BF">
        <w:rPr>
          <w:szCs w:val="22"/>
        </w:rPr>
        <w:t xml:space="preserve">in the early twentieth century </w:t>
      </w:r>
      <w:r w:rsidRPr="00A671BF">
        <w:rPr>
          <w:szCs w:val="22"/>
        </w:rPr>
        <w:t xml:space="preserve">and </w:t>
      </w:r>
      <w:r w:rsidR="00491BF2" w:rsidRPr="00A671BF">
        <w:rPr>
          <w:szCs w:val="22"/>
        </w:rPr>
        <w:t xml:space="preserve">who </w:t>
      </w:r>
      <w:r w:rsidRPr="00A671BF">
        <w:rPr>
          <w:szCs w:val="22"/>
        </w:rPr>
        <w:t>resided chiefly in Paris</w:t>
      </w:r>
      <w:r w:rsidR="006701D7" w:rsidRPr="00A671BF">
        <w:rPr>
          <w:szCs w:val="22"/>
        </w:rPr>
        <w:t>, th</w:t>
      </w:r>
      <w:r w:rsidR="00CA35DB" w:rsidRPr="00A671BF">
        <w:rPr>
          <w:szCs w:val="22"/>
        </w:rPr>
        <w:t>is</w:t>
      </w:r>
      <w:r w:rsidR="006701D7" w:rsidRPr="00A671BF">
        <w:rPr>
          <w:szCs w:val="22"/>
        </w:rPr>
        <w:t xml:space="preserve"> article</w:t>
      </w:r>
      <w:r w:rsidRPr="00A671BF">
        <w:rPr>
          <w:szCs w:val="22"/>
        </w:rPr>
        <w:t xml:space="preserve"> argues that </w:t>
      </w:r>
      <w:r w:rsidR="00CA35DB" w:rsidRPr="00A671BF">
        <w:rPr>
          <w:szCs w:val="22"/>
        </w:rPr>
        <w:t>the</w:t>
      </w:r>
      <w:r w:rsidRPr="00A671BF">
        <w:rPr>
          <w:szCs w:val="22"/>
        </w:rPr>
        <w:t xml:space="preserve"> group </w:t>
      </w:r>
      <w:r w:rsidR="00CA35DB" w:rsidRPr="00A671BF">
        <w:rPr>
          <w:szCs w:val="22"/>
        </w:rPr>
        <w:t xml:space="preserve">occupied </w:t>
      </w:r>
      <w:r w:rsidR="008F536C" w:rsidRPr="00A671BF">
        <w:rPr>
          <w:szCs w:val="22"/>
        </w:rPr>
        <w:t>a position that</w:t>
      </w:r>
      <w:r w:rsidR="00CA35DB" w:rsidRPr="00A671BF">
        <w:rPr>
          <w:szCs w:val="22"/>
        </w:rPr>
        <w:t xml:space="preserve"> was simultaneously</w:t>
      </w:r>
      <w:r w:rsidRPr="00A671BF">
        <w:rPr>
          <w:szCs w:val="22"/>
        </w:rPr>
        <w:t xml:space="preserve"> privileged and invidious in what Goebel </w:t>
      </w:r>
      <w:r w:rsidR="00332DF4" w:rsidRPr="00A671BF">
        <w:rPr>
          <w:szCs w:val="22"/>
        </w:rPr>
        <w:t xml:space="preserve">(2015) </w:t>
      </w:r>
      <w:r w:rsidR="00D928C3" w:rsidRPr="00A671BF">
        <w:rPr>
          <w:szCs w:val="22"/>
        </w:rPr>
        <w:t>calls</w:t>
      </w:r>
      <w:r w:rsidRPr="00A671BF">
        <w:rPr>
          <w:szCs w:val="22"/>
        </w:rPr>
        <w:t xml:space="preserve"> the </w:t>
      </w:r>
      <w:r w:rsidR="0070123C" w:rsidRPr="00A671BF">
        <w:rPr>
          <w:szCs w:val="22"/>
        </w:rPr>
        <w:t>‘a</w:t>
      </w:r>
      <w:r w:rsidRPr="00A671BF">
        <w:rPr>
          <w:szCs w:val="22"/>
        </w:rPr>
        <w:t>nti-imperial metropolis</w:t>
      </w:r>
      <w:r w:rsidR="0070123C" w:rsidRPr="00A671BF">
        <w:rPr>
          <w:szCs w:val="22"/>
        </w:rPr>
        <w:t>’</w:t>
      </w:r>
      <w:r w:rsidRPr="00A671BF">
        <w:rPr>
          <w:szCs w:val="22"/>
        </w:rPr>
        <w:t xml:space="preserve">. </w:t>
      </w:r>
      <w:r w:rsidR="00981CD2" w:rsidRPr="00A671BF">
        <w:rPr>
          <w:lang w:val="en-US"/>
        </w:rPr>
        <w:t>It</w:t>
      </w:r>
      <w:r w:rsidR="0053554A" w:rsidRPr="00A671BF">
        <w:rPr>
          <w:lang w:val="en-US"/>
        </w:rPr>
        <w:t xml:space="preserve"> </w:t>
      </w:r>
      <w:r w:rsidR="0070018E" w:rsidRPr="00A671BF">
        <w:rPr>
          <w:lang w:val="en-US"/>
        </w:rPr>
        <w:t>urges that</w:t>
      </w:r>
      <w:r w:rsidR="0053554A" w:rsidRPr="00A671BF">
        <w:rPr>
          <w:lang w:val="en-US"/>
        </w:rPr>
        <w:t xml:space="preserve"> closer attention be </w:t>
      </w:r>
      <w:r w:rsidR="0070018E" w:rsidRPr="00A671BF">
        <w:rPr>
          <w:lang w:val="en-US"/>
        </w:rPr>
        <w:t>paid to the group (</w:t>
      </w:r>
      <w:r w:rsidR="00FF6889" w:rsidRPr="00A671BF">
        <w:rPr>
          <w:lang w:val="en-US"/>
        </w:rPr>
        <w:t xml:space="preserve">which was </w:t>
      </w:r>
      <w:r w:rsidR="0070018E" w:rsidRPr="00A671BF">
        <w:rPr>
          <w:lang w:val="en-US"/>
        </w:rPr>
        <w:t xml:space="preserve">small in number, </w:t>
      </w:r>
      <w:r w:rsidR="00FF6889" w:rsidRPr="00A671BF">
        <w:rPr>
          <w:lang w:val="en-US"/>
        </w:rPr>
        <w:t>largely consisting of</w:t>
      </w:r>
      <w:r w:rsidR="0070018E" w:rsidRPr="00A671BF">
        <w:rPr>
          <w:lang w:val="en-US"/>
        </w:rPr>
        <w:t xml:space="preserve"> young</w:t>
      </w:r>
      <w:r w:rsidR="0053554A" w:rsidRPr="00A671BF">
        <w:rPr>
          <w:lang w:val="en-US"/>
        </w:rPr>
        <w:t xml:space="preserve"> male students</w:t>
      </w:r>
      <w:r w:rsidR="0070018E" w:rsidRPr="00A671BF">
        <w:rPr>
          <w:lang w:val="en-US"/>
        </w:rPr>
        <w:t>)</w:t>
      </w:r>
      <w:r w:rsidR="0053554A" w:rsidRPr="00A671BF">
        <w:rPr>
          <w:lang w:val="en-US"/>
        </w:rPr>
        <w:t xml:space="preserve"> for </w:t>
      </w:r>
      <w:r w:rsidR="00E6772E" w:rsidRPr="00A671BF">
        <w:rPr>
          <w:lang w:val="en-US"/>
        </w:rPr>
        <w:t>two</w:t>
      </w:r>
      <w:r w:rsidR="0053554A" w:rsidRPr="00A671BF">
        <w:rPr>
          <w:lang w:val="en-US"/>
        </w:rPr>
        <w:t xml:space="preserve"> reasons. First, </w:t>
      </w:r>
      <w:r w:rsidR="00981CD2" w:rsidRPr="00A671BF">
        <w:rPr>
          <w:lang w:val="en-US"/>
        </w:rPr>
        <w:t>British Indians</w:t>
      </w:r>
      <w:r w:rsidR="0053554A" w:rsidRPr="00A671BF">
        <w:rPr>
          <w:lang w:val="en-US"/>
        </w:rPr>
        <w:t xml:space="preserve"> </w:t>
      </w:r>
      <w:r w:rsidR="001B0CB9" w:rsidRPr="00A671BF">
        <w:rPr>
          <w:lang w:val="en-US"/>
        </w:rPr>
        <w:t>in France</w:t>
      </w:r>
      <w:r w:rsidR="0053554A" w:rsidRPr="00A671BF">
        <w:rPr>
          <w:lang w:val="en-US"/>
        </w:rPr>
        <w:t xml:space="preserve"> </w:t>
      </w:r>
      <w:r w:rsidR="001B0CB9" w:rsidRPr="00A671BF">
        <w:rPr>
          <w:lang w:val="en-US"/>
        </w:rPr>
        <w:t>were</w:t>
      </w:r>
      <w:r w:rsidR="0053554A" w:rsidRPr="00A671BF">
        <w:rPr>
          <w:lang w:val="en-US"/>
        </w:rPr>
        <w:t xml:space="preserve"> transnational </w:t>
      </w:r>
      <w:r w:rsidR="00C75581" w:rsidRPr="00A671BF">
        <w:rPr>
          <w:lang w:val="en-US"/>
        </w:rPr>
        <w:t>actors</w:t>
      </w:r>
      <w:r w:rsidR="0053554A" w:rsidRPr="00A671BF">
        <w:rPr>
          <w:lang w:val="en-US"/>
        </w:rPr>
        <w:t xml:space="preserve"> </w:t>
      </w:r>
      <w:r w:rsidR="001B0CB9" w:rsidRPr="00A671BF">
        <w:rPr>
          <w:lang w:val="en-US"/>
        </w:rPr>
        <w:t>who</w:t>
      </w:r>
      <w:r w:rsidR="00706F1D" w:rsidRPr="00A671BF">
        <w:rPr>
          <w:lang w:val="en-US"/>
        </w:rPr>
        <w:t xml:space="preserve">, to adopt </w:t>
      </w:r>
      <w:proofErr w:type="spellStart"/>
      <w:r w:rsidR="00706F1D" w:rsidRPr="00A671BF">
        <w:rPr>
          <w:lang w:val="en-US"/>
        </w:rPr>
        <w:t>Clavin’s</w:t>
      </w:r>
      <w:proofErr w:type="spellEnd"/>
      <w:r w:rsidR="00706F1D" w:rsidRPr="00A671BF">
        <w:rPr>
          <w:lang w:val="en-US"/>
        </w:rPr>
        <w:t xml:space="preserve"> phrase,</w:t>
      </w:r>
      <w:r w:rsidR="001B0CB9" w:rsidRPr="00A671BF">
        <w:rPr>
          <w:lang w:val="en-US"/>
        </w:rPr>
        <w:t xml:space="preserve"> </w:t>
      </w:r>
      <w:r w:rsidR="0053554A" w:rsidRPr="00A671BF">
        <w:t>‘</w:t>
      </w:r>
      <w:r w:rsidR="0053554A" w:rsidRPr="00A671BF">
        <w:rPr>
          <w:lang w:val="en-US"/>
        </w:rPr>
        <w:t>honed their ability</w:t>
      </w:r>
      <w:r w:rsidR="0053554A" w:rsidRPr="00A671BF">
        <w:t xml:space="preserve">’ </w:t>
      </w:r>
      <w:r w:rsidR="004F75E5" w:rsidRPr="00A671BF">
        <w:t xml:space="preserve">(2005: 423) </w:t>
      </w:r>
      <w:r w:rsidR="0053554A" w:rsidRPr="00A671BF">
        <w:rPr>
          <w:lang w:val="en-US"/>
        </w:rPr>
        <w:t>to cross national-imperial borders,</w:t>
      </w:r>
      <w:r w:rsidR="00481D54" w:rsidRPr="00A671BF">
        <w:rPr>
          <w:lang w:val="en-US"/>
        </w:rPr>
        <w:t xml:space="preserve"> negotiating</w:t>
      </w:r>
      <w:r w:rsidR="00C75581" w:rsidRPr="00A671BF">
        <w:rPr>
          <w:lang w:val="en-US"/>
        </w:rPr>
        <w:t xml:space="preserve"> personal and political subjectivities according to </w:t>
      </w:r>
      <w:r w:rsidR="00981CD2" w:rsidRPr="00A671BF">
        <w:rPr>
          <w:lang w:val="en-US"/>
        </w:rPr>
        <w:t xml:space="preserve">their </w:t>
      </w:r>
      <w:r w:rsidR="00C75581" w:rsidRPr="00A671BF">
        <w:rPr>
          <w:lang w:val="en-US"/>
        </w:rPr>
        <w:t>socio-political context</w:t>
      </w:r>
      <w:r w:rsidR="00981CD2" w:rsidRPr="00A671BF">
        <w:rPr>
          <w:lang w:val="en-US"/>
        </w:rPr>
        <w:t>s</w:t>
      </w:r>
      <w:r w:rsidR="00C75581" w:rsidRPr="00A671BF">
        <w:rPr>
          <w:lang w:val="en-US"/>
        </w:rPr>
        <w:t xml:space="preserve"> and audience</w:t>
      </w:r>
      <w:r w:rsidR="00981CD2" w:rsidRPr="00A671BF">
        <w:rPr>
          <w:lang w:val="en-US"/>
        </w:rPr>
        <w:t>s</w:t>
      </w:r>
      <w:r w:rsidR="001B0CB9" w:rsidRPr="00A671BF">
        <w:rPr>
          <w:lang w:val="en-US"/>
        </w:rPr>
        <w:t>,</w:t>
      </w:r>
      <w:r w:rsidR="00BC132A" w:rsidRPr="00A671BF">
        <w:t xml:space="preserve"> sometimes mobilizing</w:t>
      </w:r>
      <w:r w:rsidR="0053554A" w:rsidRPr="00A671BF">
        <w:rPr>
          <w:lang w:val="en-US"/>
        </w:rPr>
        <w:t xml:space="preserve"> their status as British subjects </w:t>
      </w:r>
      <w:r w:rsidR="00BC132A" w:rsidRPr="00A671BF">
        <w:rPr>
          <w:lang w:val="en-US"/>
        </w:rPr>
        <w:t xml:space="preserve">as a means of </w:t>
      </w:r>
      <w:r w:rsidR="00C75581" w:rsidRPr="00A671BF">
        <w:rPr>
          <w:lang w:val="en-US"/>
        </w:rPr>
        <w:t>achieving preferential treatment from</w:t>
      </w:r>
      <w:r w:rsidR="0053554A" w:rsidRPr="00A671BF">
        <w:rPr>
          <w:lang w:val="en-US"/>
        </w:rPr>
        <w:t xml:space="preserve"> the French state, </w:t>
      </w:r>
      <w:r w:rsidR="00BC132A" w:rsidRPr="00A671BF">
        <w:rPr>
          <w:lang w:val="en-US"/>
        </w:rPr>
        <w:t>at other</w:t>
      </w:r>
      <w:r w:rsidR="00E6772E" w:rsidRPr="00A671BF">
        <w:rPr>
          <w:lang w:val="en-US"/>
        </w:rPr>
        <w:t xml:space="preserve"> times</w:t>
      </w:r>
      <w:r w:rsidR="00BC132A" w:rsidRPr="00A671BF">
        <w:rPr>
          <w:lang w:val="en-US"/>
        </w:rPr>
        <w:t xml:space="preserve"> making use of</w:t>
      </w:r>
      <w:r w:rsidR="0053554A" w:rsidRPr="00A671BF">
        <w:rPr>
          <w:lang w:val="en-US"/>
        </w:rPr>
        <w:t xml:space="preserve"> a certain conception of </w:t>
      </w:r>
      <w:proofErr w:type="spellStart"/>
      <w:r w:rsidR="0053554A" w:rsidRPr="00A671BF">
        <w:rPr>
          <w:lang w:val="en-US"/>
        </w:rPr>
        <w:t>Frenchness</w:t>
      </w:r>
      <w:proofErr w:type="spellEnd"/>
      <w:r w:rsidR="0053554A" w:rsidRPr="00A671BF">
        <w:rPr>
          <w:lang w:val="en-US"/>
        </w:rPr>
        <w:t xml:space="preserve"> to garner support among socialist and anti-imperial supporters. Second, </w:t>
      </w:r>
      <w:r w:rsidR="00750871" w:rsidRPr="00A671BF">
        <w:rPr>
          <w:lang w:val="en-US"/>
        </w:rPr>
        <w:t xml:space="preserve">the </w:t>
      </w:r>
      <w:r w:rsidR="000659AE" w:rsidRPr="00A671BF">
        <w:rPr>
          <w:lang w:val="en-US"/>
        </w:rPr>
        <w:t>policing of the</w:t>
      </w:r>
      <w:r w:rsidR="0053554A" w:rsidRPr="00A671BF">
        <w:rPr>
          <w:lang w:val="en-US"/>
        </w:rPr>
        <w:t xml:space="preserve"> group</w:t>
      </w:r>
      <w:r w:rsidR="00D24F28" w:rsidRPr="00A671BF">
        <w:rPr>
          <w:lang w:val="en-US"/>
        </w:rPr>
        <w:t xml:space="preserve"> </w:t>
      </w:r>
      <w:r w:rsidR="000B1506" w:rsidRPr="00A671BF">
        <w:rPr>
          <w:lang w:val="en-US"/>
        </w:rPr>
        <w:t>reveals</w:t>
      </w:r>
      <w:r w:rsidR="00171E7E" w:rsidRPr="00A671BF">
        <w:rPr>
          <w:lang w:val="en-US"/>
        </w:rPr>
        <w:t xml:space="preserve"> collaboration</w:t>
      </w:r>
      <w:r w:rsidR="00E6772E" w:rsidRPr="00A671BF">
        <w:rPr>
          <w:lang w:val="en-US"/>
        </w:rPr>
        <w:t xml:space="preserve"> and competition</w:t>
      </w:r>
      <w:r w:rsidR="0053554A" w:rsidRPr="00A671BF">
        <w:rPr>
          <w:lang w:val="en-US"/>
        </w:rPr>
        <w:t xml:space="preserve"> between imperial nation-s</w:t>
      </w:r>
      <w:r w:rsidR="00E6772E" w:rsidRPr="00A671BF">
        <w:rPr>
          <w:lang w:val="en-US"/>
        </w:rPr>
        <w:t>t</w:t>
      </w:r>
      <w:r w:rsidR="0053554A" w:rsidRPr="00A671BF">
        <w:rPr>
          <w:lang w:val="en-US"/>
        </w:rPr>
        <w:t xml:space="preserve">ates and </w:t>
      </w:r>
      <w:r w:rsidR="00E6772E" w:rsidRPr="00A671BF">
        <w:rPr>
          <w:lang w:val="en-US"/>
        </w:rPr>
        <w:t xml:space="preserve">between </w:t>
      </w:r>
      <w:r w:rsidR="00981CD2" w:rsidRPr="00A671BF">
        <w:rPr>
          <w:lang w:val="en-US"/>
        </w:rPr>
        <w:t xml:space="preserve">different </w:t>
      </w:r>
      <w:r w:rsidR="00354503" w:rsidRPr="00A671BF">
        <w:rPr>
          <w:lang w:val="en-US"/>
        </w:rPr>
        <w:t>anticolonial movements</w:t>
      </w:r>
      <w:r w:rsidR="000B1506" w:rsidRPr="00A671BF">
        <w:rPr>
          <w:lang w:val="en-US"/>
        </w:rPr>
        <w:t>, analysis of which can</w:t>
      </w:r>
      <w:r w:rsidR="00C4662E" w:rsidRPr="00A671BF">
        <w:rPr>
          <w:lang w:val="en-US"/>
        </w:rPr>
        <w:t xml:space="preserve"> </w:t>
      </w:r>
      <w:r w:rsidR="000B1506" w:rsidRPr="00A671BF">
        <w:t>nuance</w:t>
      </w:r>
      <w:r w:rsidR="00D24F28" w:rsidRPr="00A671BF">
        <w:t xml:space="preserve"> the growing body of historical research</w:t>
      </w:r>
      <w:r w:rsidR="00A72D36" w:rsidRPr="00A671BF">
        <w:t xml:space="preserve"> on the policing of foreigners and </w:t>
      </w:r>
      <w:r w:rsidR="00D24F28" w:rsidRPr="00A671BF">
        <w:t xml:space="preserve">colonial subjects </w:t>
      </w:r>
      <w:r w:rsidR="009F2A6C" w:rsidRPr="00A671BF">
        <w:t>in Europe</w:t>
      </w:r>
      <w:r w:rsidR="006E4F92" w:rsidRPr="00A671BF">
        <w:t xml:space="preserve"> (see </w:t>
      </w:r>
      <w:proofErr w:type="spellStart"/>
      <w:r w:rsidR="006E4F92" w:rsidRPr="00A671BF">
        <w:t>Kitson</w:t>
      </w:r>
      <w:proofErr w:type="spellEnd"/>
      <w:r w:rsidR="006E4F92" w:rsidRPr="00A671BF">
        <w:t>, 2014; Lewis, 2007; Rosenberg,</w:t>
      </w:r>
      <w:r w:rsidR="005F2B76" w:rsidRPr="00A671BF">
        <w:t xml:space="preserve"> 2006)</w:t>
      </w:r>
      <w:r w:rsidR="009F2A6C" w:rsidRPr="00A671BF">
        <w:t>.</w:t>
      </w:r>
      <w:r w:rsidRPr="00A671BF">
        <w:rPr>
          <w:szCs w:val="22"/>
        </w:rPr>
        <w:t xml:space="preserve"> </w:t>
      </w:r>
      <w:r w:rsidR="001403DC" w:rsidRPr="00A671BF">
        <w:rPr>
          <w:szCs w:val="22"/>
        </w:rPr>
        <w:t>In 1927</w:t>
      </w:r>
      <w:r w:rsidR="006701D7" w:rsidRPr="00A671BF">
        <w:rPr>
          <w:szCs w:val="22"/>
        </w:rPr>
        <w:t xml:space="preserve"> </w:t>
      </w:r>
      <w:r w:rsidR="00B475A5" w:rsidRPr="00A671BF">
        <w:rPr>
          <w:szCs w:val="22"/>
        </w:rPr>
        <w:t xml:space="preserve">the </w:t>
      </w:r>
      <w:r w:rsidR="00AC17E4" w:rsidRPr="00A671BF">
        <w:rPr>
          <w:szCs w:val="22"/>
        </w:rPr>
        <w:t xml:space="preserve">civil liberties activist Roger N. Baldwin </w:t>
      </w:r>
      <w:r w:rsidR="001403DC" w:rsidRPr="00A671BF">
        <w:rPr>
          <w:szCs w:val="22"/>
        </w:rPr>
        <w:t>idealized</w:t>
      </w:r>
      <w:r w:rsidR="006701D7" w:rsidRPr="00A671BF">
        <w:rPr>
          <w:szCs w:val="22"/>
        </w:rPr>
        <w:t xml:space="preserve"> Paris as the ‘only safe haven of refuge in all the world’</w:t>
      </w:r>
      <w:r w:rsidR="004F75E5" w:rsidRPr="00A671BF">
        <w:rPr>
          <w:szCs w:val="22"/>
        </w:rPr>
        <w:t xml:space="preserve"> (1927: 460)</w:t>
      </w:r>
      <w:r w:rsidR="005F2B76" w:rsidRPr="00A671BF">
        <w:rPr>
          <w:szCs w:val="22"/>
        </w:rPr>
        <w:t>.</w:t>
      </w:r>
      <w:r w:rsidR="00192595" w:rsidRPr="00A671BF">
        <w:rPr>
          <w:szCs w:val="22"/>
        </w:rPr>
        <w:t xml:space="preserve"> T</w:t>
      </w:r>
      <w:r w:rsidR="001403DC" w:rsidRPr="00A671BF">
        <w:rPr>
          <w:szCs w:val="22"/>
        </w:rPr>
        <w:t>his</w:t>
      </w:r>
      <w:r w:rsidR="00AC17E4" w:rsidRPr="00A671BF">
        <w:rPr>
          <w:szCs w:val="22"/>
        </w:rPr>
        <w:t xml:space="preserve"> </w:t>
      </w:r>
      <w:r w:rsidR="006701D7" w:rsidRPr="00A671BF">
        <w:rPr>
          <w:szCs w:val="22"/>
        </w:rPr>
        <w:t>was a rhetorical fantasy rather than the reality for the thousands of non</w:t>
      </w:r>
      <w:r w:rsidR="00AF1901" w:rsidRPr="00A671BF">
        <w:rPr>
          <w:szCs w:val="22"/>
        </w:rPr>
        <w:t xml:space="preserve">-European migrants who resided </w:t>
      </w:r>
      <w:r w:rsidR="006701D7" w:rsidRPr="00A671BF">
        <w:rPr>
          <w:szCs w:val="22"/>
        </w:rPr>
        <w:t>in Paris at the beg</w:t>
      </w:r>
      <w:r w:rsidR="001403DC" w:rsidRPr="00A671BF">
        <w:rPr>
          <w:szCs w:val="22"/>
        </w:rPr>
        <w:t xml:space="preserve">inning of the twentieth </w:t>
      </w:r>
      <w:r w:rsidR="00192595" w:rsidRPr="00A671BF">
        <w:rPr>
          <w:szCs w:val="22"/>
        </w:rPr>
        <w:t>century;</w:t>
      </w:r>
      <w:r w:rsidR="001403DC" w:rsidRPr="00A671BF">
        <w:rPr>
          <w:szCs w:val="22"/>
        </w:rPr>
        <w:t xml:space="preserve"> but, as the following </w:t>
      </w:r>
      <w:r w:rsidR="0083714F" w:rsidRPr="00A671BF">
        <w:rPr>
          <w:szCs w:val="22"/>
        </w:rPr>
        <w:t>discussion</w:t>
      </w:r>
      <w:r w:rsidR="001403DC" w:rsidRPr="00A671BF">
        <w:rPr>
          <w:szCs w:val="22"/>
        </w:rPr>
        <w:t xml:space="preserve"> will demonstrate,</w:t>
      </w:r>
      <w:r w:rsidR="006701D7" w:rsidRPr="00A671BF">
        <w:rPr>
          <w:szCs w:val="22"/>
        </w:rPr>
        <w:t xml:space="preserve"> </w:t>
      </w:r>
      <w:r w:rsidR="0046098D" w:rsidRPr="00A671BF">
        <w:rPr>
          <w:szCs w:val="22"/>
        </w:rPr>
        <w:t>the gap between ideal and reality was especially pronounced for British Indians.</w:t>
      </w:r>
    </w:p>
    <w:p w:rsidR="0088083C" w:rsidRPr="00A671BF" w:rsidRDefault="001403DC" w:rsidP="0038784E">
      <w:pPr>
        <w:spacing w:line="360" w:lineRule="auto"/>
        <w:ind w:firstLine="720"/>
        <w:rPr>
          <w:szCs w:val="22"/>
        </w:rPr>
      </w:pPr>
      <w:r w:rsidRPr="00A671BF">
        <w:rPr>
          <w:szCs w:val="22"/>
        </w:rPr>
        <w:t>Adopting micro-historical and comparative approaches, this</w:t>
      </w:r>
      <w:r w:rsidR="006701D7" w:rsidRPr="00A671BF">
        <w:rPr>
          <w:szCs w:val="22"/>
        </w:rPr>
        <w:t xml:space="preserve"> </w:t>
      </w:r>
      <w:r w:rsidR="00192595" w:rsidRPr="00A671BF">
        <w:rPr>
          <w:szCs w:val="22"/>
        </w:rPr>
        <w:t>article</w:t>
      </w:r>
      <w:r w:rsidR="00D9475B" w:rsidRPr="00A671BF">
        <w:rPr>
          <w:szCs w:val="22"/>
        </w:rPr>
        <w:t xml:space="preserve"> brings</w:t>
      </w:r>
      <w:r w:rsidR="006701D7" w:rsidRPr="00A671BF">
        <w:rPr>
          <w:szCs w:val="22"/>
        </w:rPr>
        <w:t xml:space="preserve"> together </w:t>
      </w:r>
      <w:r w:rsidR="00C31AAF" w:rsidRPr="00A671BF">
        <w:rPr>
          <w:szCs w:val="22"/>
        </w:rPr>
        <w:t xml:space="preserve">two fields of scholarship: </w:t>
      </w:r>
      <w:r w:rsidR="006701D7" w:rsidRPr="00A671BF">
        <w:rPr>
          <w:szCs w:val="22"/>
        </w:rPr>
        <w:t xml:space="preserve">the </w:t>
      </w:r>
      <w:r w:rsidR="00C31AAF" w:rsidRPr="00A671BF">
        <w:rPr>
          <w:szCs w:val="22"/>
        </w:rPr>
        <w:t>historiography of the British and French empires</w:t>
      </w:r>
      <w:r w:rsidR="003E66BD" w:rsidRPr="00A671BF">
        <w:rPr>
          <w:szCs w:val="22"/>
        </w:rPr>
        <w:t xml:space="preserve">, </w:t>
      </w:r>
      <w:r w:rsidR="00C31AAF" w:rsidRPr="00A671BF">
        <w:rPr>
          <w:szCs w:val="22"/>
        </w:rPr>
        <w:t xml:space="preserve">and </w:t>
      </w:r>
      <w:r w:rsidR="003E66BD" w:rsidRPr="00A671BF">
        <w:rPr>
          <w:szCs w:val="22"/>
        </w:rPr>
        <w:t xml:space="preserve">postcolonial </w:t>
      </w:r>
      <w:r w:rsidR="003E66BD" w:rsidRPr="00A671BF">
        <w:rPr>
          <w:szCs w:val="22"/>
        </w:rPr>
        <w:lastRenderedPageBreak/>
        <w:t>histories of ant</w:t>
      </w:r>
      <w:r w:rsidR="00C31AAF" w:rsidRPr="00A671BF">
        <w:rPr>
          <w:szCs w:val="22"/>
        </w:rPr>
        <w:t>icolonial nationalism</w:t>
      </w:r>
      <w:r w:rsidR="003E66BD" w:rsidRPr="00A671BF">
        <w:rPr>
          <w:szCs w:val="22"/>
        </w:rPr>
        <w:t xml:space="preserve">. </w:t>
      </w:r>
      <w:r w:rsidR="00EB7B18" w:rsidRPr="00A671BF">
        <w:rPr>
          <w:szCs w:val="22"/>
        </w:rPr>
        <w:t xml:space="preserve">Since Cooper and </w:t>
      </w:r>
      <w:proofErr w:type="spellStart"/>
      <w:r w:rsidR="00EB7B18" w:rsidRPr="00A671BF">
        <w:rPr>
          <w:szCs w:val="22"/>
        </w:rPr>
        <w:t>Stoler</w:t>
      </w:r>
      <w:proofErr w:type="spellEnd"/>
      <w:r w:rsidR="00EB7B18" w:rsidRPr="00A671BF">
        <w:rPr>
          <w:szCs w:val="22"/>
        </w:rPr>
        <w:t xml:space="preserve"> called for the metropole and colony to be trea</w:t>
      </w:r>
      <w:r w:rsidR="00C31AAF" w:rsidRPr="00A671BF">
        <w:rPr>
          <w:szCs w:val="22"/>
        </w:rPr>
        <w:t>ted ‘in a single analytic field’</w:t>
      </w:r>
      <w:r w:rsidR="004F75E5" w:rsidRPr="00A671BF">
        <w:rPr>
          <w:szCs w:val="22"/>
        </w:rPr>
        <w:t xml:space="preserve"> (1997: 4)</w:t>
      </w:r>
      <w:r w:rsidR="003F7B1B" w:rsidRPr="00A671BF">
        <w:rPr>
          <w:szCs w:val="22"/>
        </w:rPr>
        <w:t>,</w:t>
      </w:r>
      <w:r w:rsidR="00EB7B18" w:rsidRPr="00A671BF">
        <w:rPr>
          <w:szCs w:val="22"/>
        </w:rPr>
        <w:t xml:space="preserve"> what Wilson characterized</w:t>
      </w:r>
      <w:r w:rsidR="00750871" w:rsidRPr="00A671BF">
        <w:rPr>
          <w:szCs w:val="22"/>
        </w:rPr>
        <w:t xml:space="preserve"> in 2004</w:t>
      </w:r>
      <w:r w:rsidR="00EB7B18" w:rsidRPr="00A671BF">
        <w:rPr>
          <w:szCs w:val="22"/>
        </w:rPr>
        <w:t xml:space="preserve"> as the ‘new imperial history’ has demonstrated how colonial contact </w:t>
      </w:r>
      <w:r w:rsidR="008B66AC" w:rsidRPr="00A671BF">
        <w:rPr>
          <w:szCs w:val="22"/>
        </w:rPr>
        <w:t>took</w:t>
      </w:r>
      <w:r w:rsidR="00EB7B18" w:rsidRPr="00A671BF">
        <w:rPr>
          <w:szCs w:val="22"/>
        </w:rPr>
        <w:t xml:space="preserve"> place </w:t>
      </w:r>
      <w:r w:rsidR="008B66AC" w:rsidRPr="00A671BF">
        <w:rPr>
          <w:szCs w:val="22"/>
        </w:rPr>
        <w:t xml:space="preserve">not </w:t>
      </w:r>
      <w:r w:rsidR="00EB7B18" w:rsidRPr="00A671BF">
        <w:rPr>
          <w:szCs w:val="22"/>
        </w:rPr>
        <w:t>only on the peripheries of empires</w:t>
      </w:r>
      <w:r w:rsidR="00D9475B" w:rsidRPr="00A671BF">
        <w:rPr>
          <w:szCs w:val="22"/>
        </w:rPr>
        <w:t>; rather,</w:t>
      </w:r>
      <w:r w:rsidR="00EB7B18" w:rsidRPr="00A671BF">
        <w:rPr>
          <w:szCs w:val="22"/>
        </w:rPr>
        <w:t xml:space="preserve"> the metropoles of Britain and France were as </w:t>
      </w:r>
      <w:r w:rsidR="00D9475B" w:rsidRPr="00A671BF">
        <w:rPr>
          <w:szCs w:val="22"/>
        </w:rPr>
        <w:t xml:space="preserve">much </w:t>
      </w:r>
      <w:r w:rsidR="00EB7B18" w:rsidRPr="00A671BF">
        <w:rPr>
          <w:szCs w:val="22"/>
        </w:rPr>
        <w:t>shaped by the colonies as the colonies were by the metropole.</w:t>
      </w:r>
      <w:r w:rsidR="00EB7B18" w:rsidRPr="00A671BF">
        <w:rPr>
          <w:rStyle w:val="FootnoteReference"/>
          <w:szCs w:val="22"/>
        </w:rPr>
        <w:footnoteReference w:id="2"/>
      </w:r>
      <w:r w:rsidR="00EB7B18" w:rsidRPr="00A671BF">
        <w:rPr>
          <w:szCs w:val="22"/>
        </w:rPr>
        <w:t xml:space="preserve"> At the same time, practices of writing history</w:t>
      </w:r>
      <w:r w:rsidR="00D9475B" w:rsidRPr="00A671BF">
        <w:rPr>
          <w:szCs w:val="22"/>
        </w:rPr>
        <w:t xml:space="preserve"> — which</w:t>
      </w:r>
      <w:r w:rsidR="00EB7B18" w:rsidRPr="00A671BF">
        <w:rPr>
          <w:szCs w:val="22"/>
        </w:rPr>
        <w:t xml:space="preserve"> in the immediate po</w:t>
      </w:r>
      <w:r w:rsidR="00C31AAF" w:rsidRPr="00A671BF">
        <w:rPr>
          <w:szCs w:val="22"/>
        </w:rPr>
        <w:t xml:space="preserve">st-colonial period tended to be, as Cooper </w:t>
      </w:r>
      <w:r w:rsidR="0070123C" w:rsidRPr="00A671BF">
        <w:rPr>
          <w:szCs w:val="22"/>
        </w:rPr>
        <w:t>suggested</w:t>
      </w:r>
      <w:r w:rsidR="00C31AAF" w:rsidRPr="00A671BF">
        <w:rPr>
          <w:szCs w:val="22"/>
        </w:rPr>
        <w:t xml:space="preserve">, </w:t>
      </w:r>
      <w:r w:rsidR="00EB7B18" w:rsidRPr="00A671BF">
        <w:rPr>
          <w:szCs w:val="22"/>
        </w:rPr>
        <w:t xml:space="preserve">‘nationally bound’, </w:t>
      </w:r>
      <w:r w:rsidR="0083714F" w:rsidRPr="00A671BF">
        <w:rPr>
          <w:szCs w:val="22"/>
        </w:rPr>
        <w:t xml:space="preserve">with the first histories of anticolonial nationalisms </w:t>
      </w:r>
      <w:r w:rsidR="00D9475B" w:rsidRPr="00A671BF">
        <w:rPr>
          <w:szCs w:val="22"/>
        </w:rPr>
        <w:t>challenging</w:t>
      </w:r>
      <w:r w:rsidR="00EB7B18" w:rsidRPr="00A671BF">
        <w:rPr>
          <w:szCs w:val="22"/>
        </w:rPr>
        <w:t xml:space="preserve"> complacent assumptions about the unidirectional spread of ideas from the metropoles to the global south</w:t>
      </w:r>
      <w:r w:rsidR="00D9475B" w:rsidRPr="00A671BF">
        <w:rPr>
          <w:szCs w:val="22"/>
        </w:rPr>
        <w:t xml:space="preserve"> —</w:t>
      </w:r>
      <w:r w:rsidR="00EB7B18" w:rsidRPr="00A671BF">
        <w:rPr>
          <w:szCs w:val="22"/>
        </w:rPr>
        <w:t xml:space="preserve"> have moved </w:t>
      </w:r>
      <w:r w:rsidR="00D9475B" w:rsidRPr="00A671BF">
        <w:rPr>
          <w:szCs w:val="22"/>
        </w:rPr>
        <w:t xml:space="preserve">on </w:t>
      </w:r>
      <w:r w:rsidR="00EB7B18" w:rsidRPr="00A671BF">
        <w:rPr>
          <w:szCs w:val="22"/>
        </w:rPr>
        <w:t>to examine other circuits of knowledge beyond those ‘shaped by t</w:t>
      </w:r>
      <w:r w:rsidR="00144C95" w:rsidRPr="00A671BF">
        <w:rPr>
          <w:szCs w:val="22"/>
        </w:rPr>
        <w:t>he Metropole–colony axis alone’ (2005: 22).</w:t>
      </w:r>
      <w:r w:rsidR="00EB7B18" w:rsidRPr="00A671BF">
        <w:rPr>
          <w:szCs w:val="22"/>
        </w:rPr>
        <w:t xml:space="preserve"> A focus on the local alongside the global has foregrounded the practices of colonialism in particular sites outside the framework of nation</w:t>
      </w:r>
      <w:r w:rsidR="0061688D" w:rsidRPr="00A671BF">
        <w:rPr>
          <w:szCs w:val="22"/>
        </w:rPr>
        <w:t>-</w:t>
      </w:r>
      <w:r w:rsidR="00EB7B18" w:rsidRPr="00A671BF">
        <w:rPr>
          <w:szCs w:val="22"/>
        </w:rPr>
        <w:t>states while also showing that contact between peripheries, either in the co</w:t>
      </w:r>
      <w:r w:rsidR="00C31AAF" w:rsidRPr="00A671BF">
        <w:rPr>
          <w:szCs w:val="22"/>
        </w:rPr>
        <w:t xml:space="preserve">lonies or in colonial centres, could serve as a means </w:t>
      </w:r>
      <w:r w:rsidR="008B66AC" w:rsidRPr="00A671BF">
        <w:rPr>
          <w:szCs w:val="22"/>
        </w:rPr>
        <w:t>of</w:t>
      </w:r>
      <w:r w:rsidR="00C31AAF" w:rsidRPr="00A671BF">
        <w:rPr>
          <w:szCs w:val="22"/>
        </w:rPr>
        <w:t xml:space="preserve"> precipitating change</w:t>
      </w:r>
      <w:r w:rsidR="00144C95" w:rsidRPr="00A671BF">
        <w:rPr>
          <w:szCs w:val="22"/>
        </w:rPr>
        <w:t xml:space="preserve"> (</w:t>
      </w:r>
      <w:r w:rsidR="005F2B76" w:rsidRPr="00A671BF">
        <w:rPr>
          <w:szCs w:val="22"/>
        </w:rPr>
        <w:t xml:space="preserve">Barth and </w:t>
      </w:r>
      <w:proofErr w:type="spellStart"/>
      <w:r w:rsidR="005F2B76" w:rsidRPr="00A671BF">
        <w:rPr>
          <w:szCs w:val="22"/>
        </w:rPr>
        <w:t>Cvetkovski</w:t>
      </w:r>
      <w:proofErr w:type="spellEnd"/>
      <w:r w:rsidR="005F2B76" w:rsidRPr="00A671BF">
        <w:rPr>
          <w:szCs w:val="22"/>
        </w:rPr>
        <w:t xml:space="preserve">, 2015; </w:t>
      </w:r>
      <w:r w:rsidR="00144C95" w:rsidRPr="00A671BF">
        <w:rPr>
          <w:szCs w:val="22"/>
        </w:rPr>
        <w:t>Fischer-</w:t>
      </w:r>
      <w:proofErr w:type="spellStart"/>
      <w:r w:rsidR="00144C95" w:rsidRPr="00A671BF">
        <w:rPr>
          <w:szCs w:val="22"/>
        </w:rPr>
        <w:t>Tiné</w:t>
      </w:r>
      <w:proofErr w:type="spellEnd"/>
      <w:r w:rsidR="00144C95" w:rsidRPr="00A671BF">
        <w:rPr>
          <w:szCs w:val="22"/>
        </w:rPr>
        <w:t xml:space="preserve">, 2007; </w:t>
      </w:r>
      <w:proofErr w:type="spellStart"/>
      <w:r w:rsidR="00144C95" w:rsidRPr="00A671BF">
        <w:rPr>
          <w:szCs w:val="22"/>
        </w:rPr>
        <w:t>Pairaudeau</w:t>
      </w:r>
      <w:proofErr w:type="spellEnd"/>
      <w:r w:rsidR="00144C95" w:rsidRPr="00A671BF">
        <w:rPr>
          <w:szCs w:val="22"/>
        </w:rPr>
        <w:t>, 2016: 15–18)</w:t>
      </w:r>
      <w:r w:rsidR="00EB7B18" w:rsidRPr="00A671BF">
        <w:rPr>
          <w:szCs w:val="22"/>
        </w:rPr>
        <w:t>.</w:t>
      </w:r>
      <w:r w:rsidR="00B72BB4" w:rsidRPr="00A671BF">
        <w:rPr>
          <w:szCs w:val="22"/>
        </w:rPr>
        <w:t xml:space="preserve"> </w:t>
      </w:r>
      <w:r w:rsidR="00993B2C" w:rsidRPr="00A671BF">
        <w:rPr>
          <w:szCs w:val="22"/>
        </w:rPr>
        <w:t>B</w:t>
      </w:r>
      <w:r w:rsidR="006E077E" w:rsidRPr="00A671BF">
        <w:rPr>
          <w:szCs w:val="22"/>
        </w:rPr>
        <w:t xml:space="preserve">oth </w:t>
      </w:r>
      <w:r w:rsidR="00993B2C" w:rsidRPr="00A671BF">
        <w:rPr>
          <w:szCs w:val="22"/>
        </w:rPr>
        <w:t xml:space="preserve">in </w:t>
      </w:r>
      <w:r w:rsidR="006E077E" w:rsidRPr="00A671BF">
        <w:rPr>
          <w:szCs w:val="22"/>
        </w:rPr>
        <w:t>the ‘new imperial history’</w:t>
      </w:r>
      <w:r w:rsidR="00957855" w:rsidRPr="00A671BF">
        <w:rPr>
          <w:szCs w:val="22"/>
        </w:rPr>
        <w:t xml:space="preserve"> of the French empire and</w:t>
      </w:r>
      <w:r w:rsidR="0070123C" w:rsidRPr="00A671BF">
        <w:rPr>
          <w:szCs w:val="22"/>
        </w:rPr>
        <w:t xml:space="preserve"> </w:t>
      </w:r>
      <w:r w:rsidR="00993B2C" w:rsidRPr="00A671BF">
        <w:rPr>
          <w:szCs w:val="22"/>
        </w:rPr>
        <w:t xml:space="preserve">in </w:t>
      </w:r>
      <w:r w:rsidR="006E077E" w:rsidRPr="00A671BF">
        <w:rPr>
          <w:szCs w:val="22"/>
        </w:rPr>
        <w:t>histories of anticolonial nationalism</w:t>
      </w:r>
      <w:r w:rsidR="0070123C" w:rsidRPr="00A671BF">
        <w:rPr>
          <w:szCs w:val="22"/>
        </w:rPr>
        <w:t xml:space="preserve"> and </w:t>
      </w:r>
      <w:r w:rsidR="00957855" w:rsidRPr="00A671BF">
        <w:rPr>
          <w:szCs w:val="22"/>
        </w:rPr>
        <w:t xml:space="preserve">of </w:t>
      </w:r>
      <w:r w:rsidR="003F7B1B" w:rsidRPr="00A671BF">
        <w:rPr>
          <w:szCs w:val="22"/>
        </w:rPr>
        <w:t>Pan-Africanism</w:t>
      </w:r>
      <w:r w:rsidR="006E077E" w:rsidRPr="00A671BF">
        <w:rPr>
          <w:szCs w:val="22"/>
        </w:rPr>
        <w:t>,</w:t>
      </w:r>
      <w:r w:rsidR="00EB7B18" w:rsidRPr="00A671BF">
        <w:rPr>
          <w:szCs w:val="22"/>
        </w:rPr>
        <w:t xml:space="preserve"> the </w:t>
      </w:r>
      <w:r w:rsidR="00E903BF" w:rsidRPr="00A671BF">
        <w:rPr>
          <w:szCs w:val="22"/>
        </w:rPr>
        <w:t xml:space="preserve">role of Paris as a </w:t>
      </w:r>
      <w:r w:rsidR="00FF2A97" w:rsidRPr="00A671BF">
        <w:rPr>
          <w:szCs w:val="22"/>
        </w:rPr>
        <w:t>hub</w:t>
      </w:r>
      <w:r w:rsidR="00E903BF" w:rsidRPr="00A671BF">
        <w:rPr>
          <w:szCs w:val="22"/>
        </w:rPr>
        <w:t xml:space="preserve"> has loomed large. </w:t>
      </w:r>
      <w:r w:rsidR="00D9475B" w:rsidRPr="00A671BF">
        <w:rPr>
          <w:szCs w:val="22"/>
        </w:rPr>
        <w:t>O</w:t>
      </w:r>
      <w:r w:rsidR="00E903BF" w:rsidRPr="00A671BF">
        <w:rPr>
          <w:szCs w:val="22"/>
        </w:rPr>
        <w:t xml:space="preserve">ver thirty years ago </w:t>
      </w:r>
      <w:proofErr w:type="spellStart"/>
      <w:r w:rsidR="00E903BF" w:rsidRPr="00A671BF">
        <w:rPr>
          <w:szCs w:val="22"/>
        </w:rPr>
        <w:t>Liauzu’s</w:t>
      </w:r>
      <w:proofErr w:type="spellEnd"/>
      <w:r w:rsidR="00E903BF" w:rsidRPr="00A671BF">
        <w:rPr>
          <w:szCs w:val="22"/>
        </w:rPr>
        <w:t xml:space="preserve"> </w:t>
      </w:r>
      <w:r w:rsidR="00E903BF" w:rsidRPr="00A671BF">
        <w:rPr>
          <w:i/>
          <w:szCs w:val="22"/>
        </w:rPr>
        <w:t xml:space="preserve">Aux </w:t>
      </w:r>
      <w:proofErr w:type="spellStart"/>
      <w:r w:rsidR="00E903BF" w:rsidRPr="00A671BF">
        <w:rPr>
          <w:i/>
          <w:szCs w:val="22"/>
        </w:rPr>
        <w:t>Origines</w:t>
      </w:r>
      <w:proofErr w:type="spellEnd"/>
      <w:r w:rsidR="00E903BF" w:rsidRPr="00A671BF">
        <w:rPr>
          <w:i/>
          <w:szCs w:val="22"/>
        </w:rPr>
        <w:t xml:space="preserve"> des Tiers-</w:t>
      </w:r>
      <w:proofErr w:type="spellStart"/>
      <w:r w:rsidR="00E903BF" w:rsidRPr="00A671BF">
        <w:rPr>
          <w:i/>
          <w:szCs w:val="22"/>
        </w:rPr>
        <w:t>Mondismes</w:t>
      </w:r>
      <w:proofErr w:type="spellEnd"/>
      <w:r w:rsidR="00E903BF" w:rsidRPr="00A671BF">
        <w:rPr>
          <w:i/>
          <w:szCs w:val="22"/>
        </w:rPr>
        <w:t xml:space="preserve"> </w:t>
      </w:r>
      <w:r w:rsidR="006802B9" w:rsidRPr="00A671BF">
        <w:rPr>
          <w:szCs w:val="22"/>
        </w:rPr>
        <w:t xml:space="preserve">established France, and Paris specifically, as ‘le centre </w:t>
      </w:r>
      <w:proofErr w:type="spellStart"/>
      <w:r w:rsidR="006802B9" w:rsidRPr="00A671BF">
        <w:rPr>
          <w:szCs w:val="22"/>
        </w:rPr>
        <w:t>constitutif</w:t>
      </w:r>
      <w:proofErr w:type="spellEnd"/>
      <w:r w:rsidR="006802B9" w:rsidRPr="00A671BF">
        <w:rPr>
          <w:szCs w:val="22"/>
        </w:rPr>
        <w:t xml:space="preserve"> </w:t>
      </w:r>
      <w:proofErr w:type="spellStart"/>
      <w:r w:rsidR="00D9475B" w:rsidRPr="00A671BF">
        <w:rPr>
          <w:szCs w:val="22"/>
        </w:rPr>
        <w:t>d’une</w:t>
      </w:r>
      <w:proofErr w:type="spellEnd"/>
      <w:r w:rsidR="00D9475B" w:rsidRPr="00A671BF">
        <w:rPr>
          <w:szCs w:val="22"/>
        </w:rPr>
        <w:t xml:space="preserve"> intelligentsia </w:t>
      </w:r>
      <w:proofErr w:type="spellStart"/>
      <w:r w:rsidR="00D9475B" w:rsidRPr="00A671BF">
        <w:rPr>
          <w:szCs w:val="22"/>
        </w:rPr>
        <w:t>coloniale</w:t>
      </w:r>
      <w:proofErr w:type="spellEnd"/>
      <w:r w:rsidR="00D9475B" w:rsidRPr="00A671BF">
        <w:rPr>
          <w:szCs w:val="22"/>
        </w:rPr>
        <w:t>’</w:t>
      </w:r>
      <w:r w:rsidR="00B72BB4" w:rsidRPr="00A671BF">
        <w:rPr>
          <w:szCs w:val="22"/>
        </w:rPr>
        <w:t xml:space="preserve"> (1982: 137)</w:t>
      </w:r>
      <w:r w:rsidR="00D9475B" w:rsidRPr="00A671BF">
        <w:rPr>
          <w:szCs w:val="22"/>
        </w:rPr>
        <w:t>;</w:t>
      </w:r>
      <w:r w:rsidR="00F46FB6" w:rsidRPr="00A671BF">
        <w:rPr>
          <w:szCs w:val="22"/>
        </w:rPr>
        <w:t xml:space="preserve"> </w:t>
      </w:r>
      <w:r w:rsidR="00F05DDF" w:rsidRPr="00A671BF">
        <w:rPr>
          <w:szCs w:val="22"/>
        </w:rPr>
        <w:t xml:space="preserve">since </w:t>
      </w:r>
      <w:r w:rsidR="00E662E0" w:rsidRPr="00A671BF">
        <w:rPr>
          <w:szCs w:val="22"/>
          <w:lang w:val="en-US"/>
        </w:rPr>
        <w:t xml:space="preserve">the publication of Stovall’s </w:t>
      </w:r>
      <w:r w:rsidR="00E662E0" w:rsidRPr="00A671BF">
        <w:rPr>
          <w:i/>
          <w:szCs w:val="22"/>
          <w:lang w:val="en-US"/>
        </w:rPr>
        <w:t>Paris Noir: African Americans in the City of Light</w:t>
      </w:r>
      <w:r w:rsidR="00E662E0" w:rsidRPr="00A671BF">
        <w:rPr>
          <w:szCs w:val="22"/>
          <w:lang w:val="en-US"/>
        </w:rPr>
        <w:t xml:space="preserve"> (1996), the centrality of Paris to any discussion of what </w:t>
      </w:r>
      <w:r w:rsidR="009327E4" w:rsidRPr="00A671BF">
        <w:rPr>
          <w:szCs w:val="22"/>
          <w:lang w:val="en-US"/>
        </w:rPr>
        <w:t>Stovall</w:t>
      </w:r>
      <w:r w:rsidR="00E662E0" w:rsidRPr="00A671BF">
        <w:rPr>
          <w:szCs w:val="22"/>
          <w:lang w:val="en-US"/>
        </w:rPr>
        <w:t xml:space="preserve"> </w:t>
      </w:r>
      <w:r w:rsidR="00957855" w:rsidRPr="00A671BF">
        <w:rPr>
          <w:szCs w:val="22"/>
          <w:lang w:val="en-US"/>
        </w:rPr>
        <w:t>describes</w:t>
      </w:r>
      <w:r w:rsidR="00E662E0" w:rsidRPr="00A671BF">
        <w:rPr>
          <w:szCs w:val="22"/>
          <w:lang w:val="en-US"/>
        </w:rPr>
        <w:t xml:space="preserve"> as </w:t>
      </w:r>
      <w:r w:rsidR="00F05DDF" w:rsidRPr="00A671BF">
        <w:rPr>
          <w:szCs w:val="22"/>
          <w:lang w:val="en-US"/>
        </w:rPr>
        <w:t>‘</w:t>
      </w:r>
      <w:r w:rsidR="00E662E0" w:rsidRPr="00A671BF">
        <w:rPr>
          <w:bCs/>
          <w:szCs w:val="22"/>
          <w:lang w:val="en-US"/>
        </w:rPr>
        <w:t>a new type of black community, one based on positive affinities and experiences rather than the negative limitations of segregation</w:t>
      </w:r>
      <w:r w:rsidR="00D9475B" w:rsidRPr="00A671BF">
        <w:rPr>
          <w:bCs/>
          <w:szCs w:val="22"/>
          <w:lang w:val="en-US"/>
        </w:rPr>
        <w:t>’</w:t>
      </w:r>
      <w:r w:rsidR="00B72BB4" w:rsidRPr="00A671BF">
        <w:rPr>
          <w:bCs/>
          <w:szCs w:val="22"/>
          <w:lang w:val="en-US"/>
        </w:rPr>
        <w:t xml:space="preserve"> (1996: xv)</w:t>
      </w:r>
      <w:r w:rsidR="00E662E0" w:rsidRPr="00A671BF">
        <w:rPr>
          <w:bCs/>
          <w:szCs w:val="22"/>
          <w:lang w:val="en-US"/>
        </w:rPr>
        <w:t xml:space="preserve">, </w:t>
      </w:r>
      <w:r w:rsidR="00E662E0" w:rsidRPr="00A671BF">
        <w:rPr>
          <w:szCs w:val="22"/>
          <w:lang w:val="en-US"/>
        </w:rPr>
        <w:t>has become axiomatic</w:t>
      </w:r>
      <w:r w:rsidR="005F2B76" w:rsidRPr="00A671BF">
        <w:rPr>
          <w:szCs w:val="22"/>
          <w:lang w:val="en-US"/>
        </w:rPr>
        <w:t xml:space="preserve"> (see, for example, </w:t>
      </w:r>
      <w:r w:rsidR="00A35D60" w:rsidRPr="00A671BF">
        <w:rPr>
          <w:lang w:val="en-US"/>
        </w:rPr>
        <w:t xml:space="preserve">Berliner, 2002; </w:t>
      </w:r>
      <w:r w:rsidR="005F2B76" w:rsidRPr="00A671BF">
        <w:rPr>
          <w:bCs/>
          <w:lang w:val="en-US"/>
        </w:rPr>
        <w:t>Blake</w:t>
      </w:r>
      <w:r w:rsidR="0065654E" w:rsidRPr="00A671BF">
        <w:rPr>
          <w:bCs/>
          <w:lang w:val="en-US"/>
        </w:rPr>
        <w:t>, 1</w:t>
      </w:r>
      <w:r w:rsidR="005F2B76" w:rsidRPr="00A671BF">
        <w:rPr>
          <w:bCs/>
          <w:lang w:val="en-US"/>
        </w:rPr>
        <w:t xml:space="preserve">999; </w:t>
      </w:r>
      <w:r w:rsidR="005F2B76" w:rsidRPr="00A671BF">
        <w:rPr>
          <w:lang w:val="en-US"/>
        </w:rPr>
        <w:t>Edwards</w:t>
      </w:r>
      <w:r w:rsidR="0065654E" w:rsidRPr="00A671BF">
        <w:rPr>
          <w:lang w:val="en-US"/>
        </w:rPr>
        <w:t xml:space="preserve">, </w:t>
      </w:r>
      <w:r w:rsidR="005F2B76" w:rsidRPr="00A671BF">
        <w:rPr>
          <w:lang w:val="en-US"/>
        </w:rPr>
        <w:t xml:space="preserve">2003; </w:t>
      </w:r>
      <w:r w:rsidR="0065654E" w:rsidRPr="00A671BF">
        <w:rPr>
          <w:bCs/>
          <w:lang w:val="en-US"/>
        </w:rPr>
        <w:t xml:space="preserve">Jules-Rosette, 1998; Stovall, 2012; </w:t>
      </w:r>
      <w:r w:rsidR="005F2B76" w:rsidRPr="00A671BF">
        <w:t>Sweeney and Marsh</w:t>
      </w:r>
      <w:r w:rsidR="0065654E" w:rsidRPr="00A671BF">
        <w:t xml:space="preserve">, </w:t>
      </w:r>
      <w:r w:rsidR="005F2B76" w:rsidRPr="00A671BF">
        <w:t>2013</w:t>
      </w:r>
      <w:r w:rsidR="0065654E" w:rsidRPr="00A671BF">
        <w:t>)</w:t>
      </w:r>
      <w:r w:rsidR="005F2B76" w:rsidRPr="00A671BF">
        <w:rPr>
          <w:lang w:val="en-US"/>
        </w:rPr>
        <w:t xml:space="preserve">. </w:t>
      </w:r>
      <w:r w:rsidR="00AA7719" w:rsidRPr="00A671BF">
        <w:rPr>
          <w:szCs w:val="22"/>
          <w:lang w:val="en-US"/>
        </w:rPr>
        <w:t xml:space="preserve">More recently, </w:t>
      </w:r>
      <w:proofErr w:type="spellStart"/>
      <w:r w:rsidR="0046098D" w:rsidRPr="00A671BF">
        <w:rPr>
          <w:szCs w:val="22"/>
          <w:lang w:val="en-US"/>
        </w:rPr>
        <w:t>Boittin’s</w:t>
      </w:r>
      <w:proofErr w:type="spellEnd"/>
      <w:r w:rsidR="0046098D" w:rsidRPr="00A671BF">
        <w:rPr>
          <w:szCs w:val="22"/>
          <w:lang w:val="en-US"/>
        </w:rPr>
        <w:t xml:space="preserve"> </w:t>
      </w:r>
      <w:r w:rsidR="0046098D" w:rsidRPr="00A671BF">
        <w:rPr>
          <w:rFonts w:cs="NewCaledonia"/>
          <w:i/>
          <w:szCs w:val="22"/>
          <w:lang w:val="en-US"/>
        </w:rPr>
        <w:t>Colonial Metropolis: The Urban Grounds of Anti-Imperialism and Feminism in Interwar Paris</w:t>
      </w:r>
      <w:r w:rsidR="0046098D" w:rsidRPr="00A671BF">
        <w:rPr>
          <w:rFonts w:cs="NewCaledonia"/>
          <w:szCs w:val="22"/>
          <w:lang w:val="en-US"/>
        </w:rPr>
        <w:t xml:space="preserve"> (2010)</w:t>
      </w:r>
      <w:r w:rsidR="008F536C" w:rsidRPr="00A671BF">
        <w:rPr>
          <w:rFonts w:cs="NewCaledonia"/>
          <w:szCs w:val="22"/>
          <w:lang w:val="en-US"/>
        </w:rPr>
        <w:t xml:space="preserve"> </w:t>
      </w:r>
      <w:r w:rsidR="00AA7719" w:rsidRPr="00A671BF">
        <w:rPr>
          <w:rFonts w:cs="NewCaledonia"/>
          <w:szCs w:val="22"/>
          <w:lang w:val="en-US"/>
        </w:rPr>
        <w:t xml:space="preserve">has explored both </w:t>
      </w:r>
      <w:r w:rsidR="00AA7719" w:rsidRPr="00A671BF">
        <w:rPr>
          <w:szCs w:val="22"/>
          <w:lang w:val="en-US"/>
        </w:rPr>
        <w:t xml:space="preserve">anti-imperialism and black communities in Paris, </w:t>
      </w:r>
      <w:r w:rsidR="009A4F93" w:rsidRPr="00A671BF">
        <w:rPr>
          <w:szCs w:val="22"/>
          <w:lang w:val="en-US"/>
        </w:rPr>
        <w:t>emphasizing</w:t>
      </w:r>
      <w:r w:rsidR="00AA7719" w:rsidRPr="00A671BF">
        <w:rPr>
          <w:szCs w:val="22"/>
          <w:lang w:val="en-US"/>
        </w:rPr>
        <w:t xml:space="preserve"> </w:t>
      </w:r>
      <w:r w:rsidR="0046098D" w:rsidRPr="00A671BF">
        <w:rPr>
          <w:szCs w:val="22"/>
        </w:rPr>
        <w:t>how black colonial migrants (Africans and Antilleans), along with that other marginalized group, women, transformed Paris after the First World War into a si</w:t>
      </w:r>
      <w:r w:rsidR="00993B2C" w:rsidRPr="00A671BF">
        <w:rPr>
          <w:szCs w:val="22"/>
        </w:rPr>
        <w:t>te of transnational connections</w:t>
      </w:r>
      <w:r w:rsidR="0046098D" w:rsidRPr="00A671BF">
        <w:rPr>
          <w:szCs w:val="22"/>
        </w:rPr>
        <w:t xml:space="preserve"> </w:t>
      </w:r>
      <w:r w:rsidR="0046098D" w:rsidRPr="00A671BF">
        <w:rPr>
          <w:rFonts w:cs="NewCaledonia"/>
          <w:szCs w:val="22"/>
          <w:lang w:val="en-US"/>
        </w:rPr>
        <w:t xml:space="preserve">and, in so doing, </w:t>
      </w:r>
      <w:r w:rsidR="00E11228" w:rsidRPr="00A671BF">
        <w:rPr>
          <w:rFonts w:cs="NewCaledonia"/>
          <w:szCs w:val="22"/>
          <w:lang w:val="en-US"/>
        </w:rPr>
        <w:t>‘</w:t>
      </w:r>
      <w:r w:rsidR="0046098D" w:rsidRPr="00A671BF">
        <w:rPr>
          <w:rFonts w:cs="NewCaledonia"/>
          <w:szCs w:val="22"/>
          <w:lang w:val="en-US"/>
        </w:rPr>
        <w:t>colonized</w:t>
      </w:r>
      <w:r w:rsidR="00E11228" w:rsidRPr="00A671BF">
        <w:rPr>
          <w:rFonts w:cs="NewCaledonia"/>
          <w:szCs w:val="22"/>
          <w:lang w:val="en-US"/>
        </w:rPr>
        <w:t>’</w:t>
      </w:r>
      <w:r w:rsidR="0046098D" w:rsidRPr="00A671BF">
        <w:rPr>
          <w:rFonts w:cs="NewCaledonia"/>
          <w:szCs w:val="22"/>
          <w:lang w:val="en-US"/>
        </w:rPr>
        <w:t xml:space="preserve"> the capital of metropolitan France </w:t>
      </w:r>
      <w:r w:rsidR="008F536C" w:rsidRPr="00A671BF">
        <w:rPr>
          <w:rFonts w:cs="NewCaledonia"/>
          <w:szCs w:val="22"/>
          <w:lang w:val="en-US"/>
        </w:rPr>
        <w:t>between the wars</w:t>
      </w:r>
      <w:r w:rsidR="00C23BB3" w:rsidRPr="00A671BF">
        <w:rPr>
          <w:rFonts w:cs="NewCaledonia"/>
          <w:szCs w:val="22"/>
          <w:lang w:val="en-US"/>
        </w:rPr>
        <w:t xml:space="preserve"> (2010: 215).</w:t>
      </w:r>
      <w:r w:rsidR="00F05DDF" w:rsidRPr="00A671BF">
        <w:rPr>
          <w:rFonts w:cs="NewCaledonia"/>
          <w:szCs w:val="22"/>
          <w:lang w:val="en-US"/>
        </w:rPr>
        <w:t xml:space="preserve"> </w:t>
      </w:r>
      <w:r w:rsidR="0088083C" w:rsidRPr="00A671BF">
        <w:rPr>
          <w:rFonts w:cs="NewCaledonia"/>
          <w:szCs w:val="22"/>
          <w:lang w:val="en-US"/>
        </w:rPr>
        <w:t>The importance of Paris to transnational networks is</w:t>
      </w:r>
      <w:r w:rsidR="00AA7719" w:rsidRPr="00A671BF">
        <w:rPr>
          <w:rFonts w:cs="NewCaledonia"/>
          <w:szCs w:val="22"/>
          <w:lang w:val="en-US"/>
        </w:rPr>
        <w:t xml:space="preserve"> </w:t>
      </w:r>
      <w:r w:rsidR="0088083C" w:rsidRPr="00A671BF">
        <w:rPr>
          <w:rFonts w:cs="NewCaledonia"/>
          <w:szCs w:val="22"/>
          <w:lang w:val="en-US"/>
        </w:rPr>
        <w:t>not</w:t>
      </w:r>
      <w:r w:rsidR="00993B2C" w:rsidRPr="00A671BF">
        <w:rPr>
          <w:rFonts w:cs="NewCaledonia"/>
          <w:szCs w:val="22"/>
          <w:lang w:val="en-US"/>
        </w:rPr>
        <w:t>,</w:t>
      </w:r>
      <w:r w:rsidR="0088083C" w:rsidRPr="00A671BF">
        <w:rPr>
          <w:rFonts w:cs="NewCaledonia"/>
          <w:szCs w:val="22"/>
          <w:lang w:val="en-US"/>
        </w:rPr>
        <w:t xml:space="preserve"> </w:t>
      </w:r>
      <w:r w:rsidR="00993B2C" w:rsidRPr="00A671BF">
        <w:rPr>
          <w:rFonts w:cs="NewCaledonia"/>
          <w:szCs w:val="22"/>
          <w:lang w:val="en-US"/>
        </w:rPr>
        <w:t xml:space="preserve">however, </w:t>
      </w:r>
      <w:r w:rsidR="0088083C" w:rsidRPr="00A671BF">
        <w:rPr>
          <w:rFonts w:cs="NewCaledonia"/>
          <w:szCs w:val="22"/>
          <w:lang w:val="en-US"/>
        </w:rPr>
        <w:t xml:space="preserve">limited to the </w:t>
      </w:r>
      <w:r w:rsidR="00F05DDF" w:rsidRPr="00A671BF">
        <w:rPr>
          <w:rFonts w:cs="NewCaledonia"/>
          <w:szCs w:val="22"/>
          <w:lang w:val="en-US"/>
        </w:rPr>
        <w:t xml:space="preserve">historiography of </w:t>
      </w:r>
      <w:r w:rsidR="003535F3" w:rsidRPr="00A671BF">
        <w:rPr>
          <w:rFonts w:cs="NewCaledonia"/>
          <w:szCs w:val="22"/>
          <w:lang w:val="en-US"/>
        </w:rPr>
        <w:t>the ‘French</w:t>
      </w:r>
      <w:r w:rsidR="00F05DDF" w:rsidRPr="00A671BF">
        <w:rPr>
          <w:rFonts w:cs="NewCaledonia"/>
          <w:szCs w:val="22"/>
          <w:lang w:val="en-US"/>
        </w:rPr>
        <w:t xml:space="preserve"> imperial nation-state</w:t>
      </w:r>
      <w:r w:rsidR="003535F3" w:rsidRPr="00A671BF">
        <w:rPr>
          <w:rFonts w:cs="NewCaledonia"/>
          <w:szCs w:val="22"/>
          <w:lang w:val="en-US"/>
        </w:rPr>
        <w:t>’</w:t>
      </w:r>
      <w:r w:rsidR="00C23BB3" w:rsidRPr="00A671BF">
        <w:rPr>
          <w:rFonts w:cs="NewCaledonia"/>
          <w:szCs w:val="22"/>
          <w:lang w:val="en-US"/>
        </w:rPr>
        <w:t xml:space="preserve"> (Wilder, 2005).</w:t>
      </w:r>
      <w:r w:rsidR="00E662E0" w:rsidRPr="00A671BF">
        <w:rPr>
          <w:szCs w:val="22"/>
          <w:lang w:val="en-US"/>
        </w:rPr>
        <w:t xml:space="preserve"> </w:t>
      </w:r>
      <w:r w:rsidR="00102F9E" w:rsidRPr="00A671BF">
        <w:rPr>
          <w:szCs w:val="22"/>
          <w:lang w:val="en-US"/>
        </w:rPr>
        <w:t xml:space="preserve">Research </w:t>
      </w:r>
      <w:r w:rsidR="003535F3" w:rsidRPr="00A671BF">
        <w:rPr>
          <w:szCs w:val="22"/>
          <w:lang w:val="en-US"/>
        </w:rPr>
        <w:t>into</w:t>
      </w:r>
      <w:r w:rsidR="00102F9E" w:rsidRPr="00A671BF">
        <w:rPr>
          <w:szCs w:val="22"/>
          <w:lang w:val="en-US"/>
        </w:rPr>
        <w:t xml:space="preserve"> the lives of colonized peoples </w:t>
      </w:r>
      <w:r w:rsidR="00A174C4" w:rsidRPr="00A671BF">
        <w:rPr>
          <w:szCs w:val="22"/>
          <w:lang w:val="en-US"/>
        </w:rPr>
        <w:t>from</w:t>
      </w:r>
      <w:r w:rsidR="00102F9E" w:rsidRPr="00A671BF">
        <w:rPr>
          <w:szCs w:val="22"/>
          <w:lang w:val="en-US"/>
        </w:rPr>
        <w:t xml:space="preserve"> other</w:t>
      </w:r>
      <w:r w:rsidR="00A35D60" w:rsidRPr="00A671BF">
        <w:rPr>
          <w:szCs w:val="22"/>
          <w:lang w:val="en-US"/>
        </w:rPr>
        <w:t xml:space="preserve"> historic </w:t>
      </w:r>
      <w:r w:rsidR="006E077E" w:rsidRPr="00A671BF">
        <w:rPr>
          <w:szCs w:val="22"/>
          <w:lang w:val="en-US"/>
        </w:rPr>
        <w:t>European</w:t>
      </w:r>
      <w:r w:rsidR="00102F9E" w:rsidRPr="00A671BF">
        <w:rPr>
          <w:szCs w:val="22"/>
          <w:lang w:val="en-US"/>
        </w:rPr>
        <w:t xml:space="preserve"> empires, notably </w:t>
      </w:r>
      <w:r w:rsidR="006115E5" w:rsidRPr="00A671BF">
        <w:rPr>
          <w:szCs w:val="22"/>
          <w:lang w:val="en-US"/>
        </w:rPr>
        <w:t xml:space="preserve">work by </w:t>
      </w:r>
      <w:r w:rsidR="00C23BB3" w:rsidRPr="00A671BF">
        <w:rPr>
          <w:szCs w:val="22"/>
          <w:lang w:val="en-US"/>
        </w:rPr>
        <w:t xml:space="preserve">Aitken </w:t>
      </w:r>
      <w:r w:rsidR="006115E5" w:rsidRPr="00A671BF">
        <w:rPr>
          <w:szCs w:val="22"/>
          <w:lang w:val="en-US"/>
        </w:rPr>
        <w:t xml:space="preserve">and </w:t>
      </w:r>
      <w:r w:rsidR="00C23BB3" w:rsidRPr="00A671BF">
        <w:rPr>
          <w:szCs w:val="22"/>
          <w:lang w:val="en-US"/>
        </w:rPr>
        <w:t xml:space="preserve">Rosenhaft </w:t>
      </w:r>
      <w:r w:rsidR="006115E5" w:rsidRPr="00A671BF">
        <w:rPr>
          <w:szCs w:val="22"/>
          <w:lang w:val="en-US"/>
        </w:rPr>
        <w:t xml:space="preserve">on </w:t>
      </w:r>
      <w:r w:rsidR="006E077E" w:rsidRPr="00A671BF">
        <w:rPr>
          <w:szCs w:val="22"/>
          <w:lang w:val="en-US"/>
        </w:rPr>
        <w:t>Africans from Germany’s</w:t>
      </w:r>
      <w:r w:rsidR="006610ED" w:rsidRPr="00A671BF">
        <w:rPr>
          <w:szCs w:val="22"/>
          <w:lang w:val="en-US"/>
        </w:rPr>
        <w:t xml:space="preserve"> </w:t>
      </w:r>
      <w:r w:rsidR="00734FE4" w:rsidRPr="00A671BF">
        <w:rPr>
          <w:szCs w:val="22"/>
          <w:lang w:val="en-US"/>
        </w:rPr>
        <w:t xml:space="preserve">former </w:t>
      </w:r>
      <w:r w:rsidR="006610ED" w:rsidRPr="00A671BF">
        <w:rPr>
          <w:szCs w:val="22"/>
          <w:lang w:val="en-US"/>
        </w:rPr>
        <w:t>colonies</w:t>
      </w:r>
      <w:r w:rsidR="0065654E" w:rsidRPr="00A671BF">
        <w:rPr>
          <w:szCs w:val="22"/>
          <w:lang w:val="en-US"/>
        </w:rPr>
        <w:t>,</w:t>
      </w:r>
      <w:r w:rsidR="00C23BB3" w:rsidRPr="00A671BF">
        <w:rPr>
          <w:szCs w:val="22"/>
          <w:lang w:val="en-US"/>
        </w:rPr>
        <w:t xml:space="preserve"> and Shaw on Afro-Brazilian culture</w:t>
      </w:r>
      <w:r w:rsidR="00102F9E" w:rsidRPr="00A671BF">
        <w:rPr>
          <w:szCs w:val="22"/>
          <w:lang w:val="en-US"/>
        </w:rPr>
        <w:t xml:space="preserve">, has </w:t>
      </w:r>
      <w:r w:rsidR="00102F9E" w:rsidRPr="00A671BF">
        <w:rPr>
          <w:rStyle w:val="addmd1"/>
          <w:rFonts w:cs="Arial"/>
          <w:color w:val="000000"/>
          <w:sz w:val="24"/>
          <w:szCs w:val="22"/>
          <w:lang w:val="en-US"/>
        </w:rPr>
        <w:t xml:space="preserve">revealed the </w:t>
      </w:r>
      <w:r w:rsidR="0088083C" w:rsidRPr="00A671BF">
        <w:rPr>
          <w:rStyle w:val="addmd1"/>
          <w:rFonts w:cs="Arial"/>
          <w:color w:val="000000"/>
          <w:sz w:val="24"/>
          <w:szCs w:val="22"/>
          <w:lang w:val="en-US"/>
        </w:rPr>
        <w:t>significance</w:t>
      </w:r>
      <w:r w:rsidR="00102F9E" w:rsidRPr="00A671BF">
        <w:rPr>
          <w:rStyle w:val="addmd1"/>
          <w:rFonts w:cs="Arial"/>
          <w:color w:val="000000"/>
          <w:sz w:val="24"/>
          <w:szCs w:val="22"/>
          <w:lang w:val="en-US"/>
        </w:rPr>
        <w:t xml:space="preserve"> of the cosmopolitan community which developed in Paris duri</w:t>
      </w:r>
      <w:r w:rsidR="006610ED" w:rsidRPr="00A671BF">
        <w:rPr>
          <w:rStyle w:val="addmd1"/>
          <w:rFonts w:cs="Arial"/>
          <w:color w:val="000000"/>
          <w:sz w:val="24"/>
          <w:szCs w:val="22"/>
          <w:lang w:val="en-US"/>
        </w:rPr>
        <w:t>ng and after the interwar period</w:t>
      </w:r>
      <w:r w:rsidR="00C23BB3" w:rsidRPr="00A671BF">
        <w:rPr>
          <w:rStyle w:val="addmd1"/>
          <w:rFonts w:cs="Arial"/>
          <w:color w:val="000000"/>
          <w:sz w:val="24"/>
          <w:szCs w:val="22"/>
          <w:lang w:val="en-US"/>
        </w:rPr>
        <w:t xml:space="preserve"> (</w:t>
      </w:r>
      <w:r w:rsidR="00C23BB3" w:rsidRPr="00A671BF">
        <w:rPr>
          <w:szCs w:val="22"/>
          <w:lang w:val="en-US"/>
        </w:rPr>
        <w:t xml:space="preserve">Aitken and Rosenhaft, </w:t>
      </w:r>
      <w:r w:rsidR="00C23BB3" w:rsidRPr="00A671BF">
        <w:rPr>
          <w:rStyle w:val="addmd1"/>
          <w:rFonts w:cs="Arial"/>
          <w:color w:val="000000"/>
          <w:sz w:val="24"/>
          <w:szCs w:val="22"/>
          <w:lang w:val="en-US"/>
        </w:rPr>
        <w:t>2013; Shaw, 2011)</w:t>
      </w:r>
      <w:r w:rsidR="006610ED" w:rsidRPr="00A671BF">
        <w:rPr>
          <w:rStyle w:val="addmd1"/>
          <w:rFonts w:cs="Arial"/>
          <w:color w:val="000000"/>
          <w:sz w:val="24"/>
          <w:szCs w:val="22"/>
          <w:lang w:val="en-US"/>
        </w:rPr>
        <w:t xml:space="preserve">, while </w:t>
      </w:r>
      <w:r w:rsidR="006610ED" w:rsidRPr="00A671BF">
        <w:t xml:space="preserve">in </w:t>
      </w:r>
      <w:r w:rsidR="007C0C63" w:rsidRPr="00A671BF">
        <w:rPr>
          <w:szCs w:val="22"/>
        </w:rPr>
        <w:lastRenderedPageBreak/>
        <w:t>his 2015 monograph</w:t>
      </w:r>
      <w:r w:rsidR="00737E89" w:rsidRPr="00A671BF">
        <w:rPr>
          <w:szCs w:val="22"/>
        </w:rPr>
        <w:t>,</w:t>
      </w:r>
      <w:r w:rsidR="007C0C63" w:rsidRPr="00A671BF">
        <w:rPr>
          <w:szCs w:val="22"/>
        </w:rPr>
        <w:t xml:space="preserve"> </w:t>
      </w:r>
      <w:r w:rsidR="006610ED" w:rsidRPr="00A671BF">
        <w:rPr>
          <w:i/>
        </w:rPr>
        <w:t>Anti-Imperial Metropolis</w:t>
      </w:r>
      <w:r w:rsidR="00737E89" w:rsidRPr="00A671BF">
        <w:t>,</w:t>
      </w:r>
      <w:r w:rsidR="006610ED" w:rsidRPr="00A671BF">
        <w:rPr>
          <w:i/>
        </w:rPr>
        <w:t xml:space="preserve"> </w:t>
      </w:r>
      <w:r w:rsidR="007C0C63" w:rsidRPr="00A671BF">
        <w:rPr>
          <w:szCs w:val="22"/>
        </w:rPr>
        <w:t xml:space="preserve">Goebel explores how interaction between revolutionaries and intellectuals from France’s colonies, </w:t>
      </w:r>
      <w:r w:rsidR="00734FE4" w:rsidRPr="00A671BF">
        <w:rPr>
          <w:szCs w:val="22"/>
        </w:rPr>
        <w:t xml:space="preserve">as well as those from </w:t>
      </w:r>
      <w:r w:rsidR="007C0C63" w:rsidRPr="00A671BF">
        <w:rPr>
          <w:szCs w:val="22"/>
        </w:rPr>
        <w:t>China, Latin America and India</w:t>
      </w:r>
      <w:r w:rsidR="006115E5" w:rsidRPr="00A671BF">
        <w:rPr>
          <w:szCs w:val="22"/>
        </w:rPr>
        <w:t>,</w:t>
      </w:r>
      <w:r w:rsidR="007C0C63" w:rsidRPr="00A671BF">
        <w:rPr>
          <w:szCs w:val="22"/>
        </w:rPr>
        <w:t xml:space="preserve"> led to </w:t>
      </w:r>
      <w:r w:rsidR="006115E5" w:rsidRPr="00A671BF">
        <w:rPr>
          <w:szCs w:val="22"/>
        </w:rPr>
        <w:t xml:space="preserve">a </w:t>
      </w:r>
      <w:r w:rsidR="007C0C63" w:rsidRPr="00A671BF">
        <w:rPr>
          <w:szCs w:val="22"/>
        </w:rPr>
        <w:t>cross</w:t>
      </w:r>
      <w:r w:rsidR="00734FE4" w:rsidRPr="00A671BF">
        <w:rPr>
          <w:szCs w:val="22"/>
        </w:rPr>
        <w:t>-</w:t>
      </w:r>
      <w:r w:rsidR="007C0C63" w:rsidRPr="00A671BF">
        <w:rPr>
          <w:szCs w:val="22"/>
        </w:rPr>
        <w:t>fertilization</w:t>
      </w:r>
      <w:r w:rsidR="006115E5" w:rsidRPr="00A671BF">
        <w:rPr>
          <w:szCs w:val="22"/>
        </w:rPr>
        <w:t xml:space="preserve"> o</w:t>
      </w:r>
      <w:r w:rsidR="00734FE4" w:rsidRPr="00A671BF">
        <w:rPr>
          <w:szCs w:val="22"/>
        </w:rPr>
        <w:t>f political ideas</w:t>
      </w:r>
      <w:r w:rsidR="007C0C63" w:rsidRPr="00A671BF">
        <w:rPr>
          <w:szCs w:val="22"/>
        </w:rPr>
        <w:t xml:space="preserve"> </w:t>
      </w:r>
      <w:r w:rsidR="006115E5" w:rsidRPr="00A671BF">
        <w:rPr>
          <w:szCs w:val="22"/>
        </w:rPr>
        <w:t xml:space="preserve">in the interwar period, forming </w:t>
      </w:r>
      <w:r w:rsidR="007C0C63" w:rsidRPr="00A671BF">
        <w:rPr>
          <w:szCs w:val="22"/>
        </w:rPr>
        <w:t xml:space="preserve">the antecedents of the ‘new world order’ which would emerge after 1945. The constellation of </w:t>
      </w:r>
      <w:r w:rsidR="00734FE4" w:rsidRPr="00A671BF">
        <w:rPr>
          <w:szCs w:val="22"/>
        </w:rPr>
        <w:t xml:space="preserve">political </w:t>
      </w:r>
      <w:r w:rsidR="007C0C63" w:rsidRPr="00A671BF">
        <w:rPr>
          <w:szCs w:val="22"/>
        </w:rPr>
        <w:t xml:space="preserve">figures who were resident in Paris </w:t>
      </w:r>
      <w:r w:rsidR="008F536C" w:rsidRPr="00A671BF">
        <w:rPr>
          <w:szCs w:val="22"/>
        </w:rPr>
        <w:t>between 1919 and 1940</w:t>
      </w:r>
      <w:r w:rsidR="006610ED" w:rsidRPr="00A671BF">
        <w:rPr>
          <w:szCs w:val="22"/>
        </w:rPr>
        <w:t xml:space="preserve"> is </w:t>
      </w:r>
      <w:r w:rsidR="006115E5" w:rsidRPr="00A671BF">
        <w:rPr>
          <w:szCs w:val="22"/>
        </w:rPr>
        <w:t>striking, and Goebel’s argument</w:t>
      </w:r>
      <w:r w:rsidR="00734FE4" w:rsidRPr="00A671BF">
        <w:rPr>
          <w:szCs w:val="22"/>
        </w:rPr>
        <w:t xml:space="preserve"> that</w:t>
      </w:r>
      <w:r w:rsidR="006610ED" w:rsidRPr="00A671BF">
        <w:rPr>
          <w:szCs w:val="22"/>
        </w:rPr>
        <w:t xml:space="preserve"> the soci</w:t>
      </w:r>
      <w:r w:rsidR="00A174C4" w:rsidRPr="00A671BF">
        <w:rPr>
          <w:szCs w:val="22"/>
        </w:rPr>
        <w:t xml:space="preserve">al experiences of migration </w:t>
      </w:r>
      <w:r w:rsidR="00734FE4" w:rsidRPr="00A671BF">
        <w:rPr>
          <w:szCs w:val="22"/>
        </w:rPr>
        <w:t>to</w:t>
      </w:r>
      <w:r w:rsidR="00A174C4" w:rsidRPr="00A671BF">
        <w:rPr>
          <w:szCs w:val="22"/>
        </w:rPr>
        <w:t xml:space="preserve"> France </w:t>
      </w:r>
      <w:r w:rsidR="00734FE4" w:rsidRPr="00A671BF">
        <w:rPr>
          <w:szCs w:val="22"/>
        </w:rPr>
        <w:t>w</w:t>
      </w:r>
      <w:r w:rsidR="0061688D" w:rsidRPr="00A671BF">
        <w:rPr>
          <w:szCs w:val="22"/>
        </w:rPr>
        <w:t>ere</w:t>
      </w:r>
      <w:r w:rsidR="006610ED" w:rsidRPr="00A671BF">
        <w:rPr>
          <w:szCs w:val="22"/>
        </w:rPr>
        <w:t xml:space="preserve"> an important catalyst for </w:t>
      </w:r>
      <w:r w:rsidR="006115E5" w:rsidRPr="00A671BF">
        <w:rPr>
          <w:szCs w:val="22"/>
        </w:rPr>
        <w:t xml:space="preserve">anticolonial </w:t>
      </w:r>
      <w:r w:rsidR="006610ED" w:rsidRPr="00A671BF">
        <w:rPr>
          <w:szCs w:val="22"/>
        </w:rPr>
        <w:t>nationalism</w:t>
      </w:r>
      <w:r w:rsidR="00734FE4" w:rsidRPr="00A671BF">
        <w:rPr>
          <w:szCs w:val="22"/>
        </w:rPr>
        <w:t>s</w:t>
      </w:r>
      <w:r w:rsidR="006115E5" w:rsidRPr="00A671BF">
        <w:rPr>
          <w:szCs w:val="22"/>
        </w:rPr>
        <w:t xml:space="preserve"> </w:t>
      </w:r>
      <w:r w:rsidR="007C0C63" w:rsidRPr="00A671BF">
        <w:rPr>
          <w:szCs w:val="22"/>
        </w:rPr>
        <w:t xml:space="preserve">is convincing </w:t>
      </w:r>
      <w:r w:rsidR="00B42A56" w:rsidRPr="00A671BF">
        <w:rPr>
          <w:szCs w:val="22"/>
        </w:rPr>
        <w:t>in respect of</w:t>
      </w:r>
      <w:r w:rsidR="007C0C63" w:rsidRPr="00A671BF">
        <w:rPr>
          <w:szCs w:val="22"/>
        </w:rPr>
        <w:t xml:space="preserve"> m</w:t>
      </w:r>
      <w:r w:rsidR="00551C98" w:rsidRPr="00A671BF">
        <w:rPr>
          <w:szCs w:val="22"/>
        </w:rPr>
        <w:t>igrants from France’s colonies</w:t>
      </w:r>
      <w:r w:rsidR="00734FE4" w:rsidRPr="00A671BF">
        <w:rPr>
          <w:szCs w:val="22"/>
        </w:rPr>
        <w:t xml:space="preserve"> whatever their legal status, be they colonial subjects, </w:t>
      </w:r>
      <w:r w:rsidR="00734FE4" w:rsidRPr="00A671BF">
        <w:rPr>
          <w:i/>
          <w:szCs w:val="22"/>
        </w:rPr>
        <w:t>protégés</w:t>
      </w:r>
      <w:r w:rsidR="00734FE4" w:rsidRPr="00A671BF">
        <w:rPr>
          <w:szCs w:val="22"/>
        </w:rPr>
        <w:t xml:space="preserve"> or citizens</w:t>
      </w:r>
      <w:r w:rsidR="000A00B3" w:rsidRPr="00A671BF">
        <w:rPr>
          <w:szCs w:val="22"/>
        </w:rPr>
        <w:t xml:space="preserve"> (2015</w:t>
      </w:r>
      <w:r w:rsidR="0065654E" w:rsidRPr="00A671BF">
        <w:rPr>
          <w:szCs w:val="22"/>
        </w:rPr>
        <w:t xml:space="preserve">: </w:t>
      </w:r>
      <w:r w:rsidR="0065654E" w:rsidRPr="00A671BF">
        <w:rPr>
          <w:i/>
          <w:szCs w:val="22"/>
        </w:rPr>
        <w:t>passim</w:t>
      </w:r>
      <w:r w:rsidR="000A00B3" w:rsidRPr="00A671BF">
        <w:rPr>
          <w:szCs w:val="22"/>
        </w:rPr>
        <w:t>).</w:t>
      </w:r>
      <w:r w:rsidR="00BB5A2A" w:rsidRPr="00A671BF">
        <w:rPr>
          <w:szCs w:val="22"/>
        </w:rPr>
        <w:t xml:space="preserve"> </w:t>
      </w:r>
      <w:r w:rsidR="0022426B" w:rsidRPr="00A671BF">
        <w:rPr>
          <w:szCs w:val="22"/>
        </w:rPr>
        <w:t>Nonetheless</w:t>
      </w:r>
      <w:r w:rsidR="00551C98" w:rsidRPr="00A671BF">
        <w:rPr>
          <w:szCs w:val="22"/>
        </w:rPr>
        <w:t xml:space="preserve">, </w:t>
      </w:r>
      <w:r w:rsidR="007C0C63" w:rsidRPr="00A671BF">
        <w:rPr>
          <w:szCs w:val="22"/>
        </w:rPr>
        <w:t>while showing how migrants from the French empire interacted and collaborated with those from indepen</w:t>
      </w:r>
      <w:r w:rsidR="00B45AC1" w:rsidRPr="00A671BF">
        <w:rPr>
          <w:szCs w:val="22"/>
        </w:rPr>
        <w:t xml:space="preserve">dent Latin American </w:t>
      </w:r>
      <w:r w:rsidR="007C0C63" w:rsidRPr="00A671BF">
        <w:rPr>
          <w:szCs w:val="22"/>
        </w:rPr>
        <w:t xml:space="preserve">states, from China and from the British Empire, </w:t>
      </w:r>
      <w:r w:rsidR="00B42A56" w:rsidRPr="00A671BF">
        <w:rPr>
          <w:szCs w:val="22"/>
        </w:rPr>
        <w:t>the argument</w:t>
      </w:r>
      <w:r w:rsidR="00E662E0" w:rsidRPr="00A671BF">
        <w:rPr>
          <w:szCs w:val="22"/>
        </w:rPr>
        <w:t xml:space="preserve"> </w:t>
      </w:r>
      <w:r w:rsidR="0084612D" w:rsidRPr="00A671BF">
        <w:rPr>
          <w:szCs w:val="22"/>
        </w:rPr>
        <w:t>leaves much unsaid about the</w:t>
      </w:r>
      <w:r w:rsidR="007C0C63" w:rsidRPr="00A671BF">
        <w:rPr>
          <w:szCs w:val="22"/>
        </w:rPr>
        <w:t xml:space="preserve"> Indian </w:t>
      </w:r>
      <w:r w:rsidR="00737E89" w:rsidRPr="00A671BF">
        <w:rPr>
          <w:szCs w:val="22"/>
        </w:rPr>
        <w:t>‘</w:t>
      </w:r>
      <w:r w:rsidR="007C0C63" w:rsidRPr="00A671BF">
        <w:rPr>
          <w:szCs w:val="22"/>
        </w:rPr>
        <w:t>revolutionaries</w:t>
      </w:r>
      <w:r w:rsidR="00737E89" w:rsidRPr="00A671BF">
        <w:rPr>
          <w:szCs w:val="22"/>
        </w:rPr>
        <w:t>’</w:t>
      </w:r>
      <w:r w:rsidR="007C0C63" w:rsidRPr="00A671BF">
        <w:rPr>
          <w:szCs w:val="22"/>
        </w:rPr>
        <w:t xml:space="preserve"> who used Paris as a refuge between the beginning of the twentieth century and the defeat of France in 1940.</w:t>
      </w:r>
      <w:r w:rsidR="00252829" w:rsidRPr="00A671BF">
        <w:rPr>
          <w:rStyle w:val="FootnoteReference"/>
          <w:szCs w:val="22"/>
        </w:rPr>
        <w:footnoteReference w:id="3"/>
      </w:r>
    </w:p>
    <w:p w:rsidR="00252829" w:rsidRPr="00A671BF" w:rsidRDefault="004C2F5D" w:rsidP="0038784E">
      <w:pPr>
        <w:spacing w:line="360" w:lineRule="auto"/>
        <w:ind w:firstLine="720"/>
        <w:rPr>
          <w:szCs w:val="22"/>
        </w:rPr>
      </w:pPr>
      <w:r w:rsidRPr="00A671BF">
        <w:rPr>
          <w:szCs w:val="22"/>
        </w:rPr>
        <w:t>T</w:t>
      </w:r>
      <w:r w:rsidR="00AA71D1" w:rsidRPr="00A671BF">
        <w:rPr>
          <w:szCs w:val="22"/>
        </w:rPr>
        <w:t xml:space="preserve">his article </w:t>
      </w:r>
      <w:r w:rsidRPr="00A671BF">
        <w:rPr>
          <w:szCs w:val="22"/>
        </w:rPr>
        <w:t>aims to contribute</w:t>
      </w:r>
      <w:r w:rsidR="00AA71D1" w:rsidRPr="00A671BF">
        <w:rPr>
          <w:szCs w:val="22"/>
        </w:rPr>
        <w:t xml:space="preserve"> to the growing historiography of the ways in which states have </w:t>
      </w:r>
      <w:r w:rsidR="00156DCF" w:rsidRPr="00A671BF">
        <w:rPr>
          <w:szCs w:val="22"/>
        </w:rPr>
        <w:t>responded to</w:t>
      </w:r>
      <w:r w:rsidR="00AA71D1" w:rsidRPr="00A671BF">
        <w:rPr>
          <w:szCs w:val="22"/>
        </w:rPr>
        <w:t xml:space="preserve"> migrant minorities, be it through legislation (most notably exclusion orders), policing, or </w:t>
      </w:r>
      <w:r w:rsidR="00734FE4" w:rsidRPr="00A671BF">
        <w:rPr>
          <w:szCs w:val="22"/>
        </w:rPr>
        <w:t xml:space="preserve">attempts to influence </w:t>
      </w:r>
      <w:r w:rsidR="00AA71D1" w:rsidRPr="00A671BF">
        <w:rPr>
          <w:szCs w:val="22"/>
        </w:rPr>
        <w:t xml:space="preserve">public opinion. </w:t>
      </w:r>
      <w:r w:rsidR="009E2E23" w:rsidRPr="00A671BF">
        <w:t>In the historiography of France specifically, attention to black colonial subjects from France’s overseas empire has brought to the fore political and policing continuities between the Third Republic and the Vichy regime</w:t>
      </w:r>
      <w:r w:rsidR="000A00B3" w:rsidRPr="00A671BF">
        <w:t xml:space="preserve"> (Gordon, 2005: 202; </w:t>
      </w:r>
      <w:proofErr w:type="spellStart"/>
      <w:r w:rsidR="000A00B3" w:rsidRPr="00A671BF">
        <w:t>Camiscioli</w:t>
      </w:r>
      <w:proofErr w:type="spellEnd"/>
      <w:r w:rsidR="000A00B3" w:rsidRPr="00A671BF">
        <w:t>, 2009: 77; Stovall</w:t>
      </w:r>
      <w:r w:rsidR="0065654E" w:rsidRPr="00A671BF">
        <w:t>,</w:t>
      </w:r>
      <w:r w:rsidR="000A00B3" w:rsidRPr="00A671BF">
        <w:t xml:space="preserve"> 2012: 289)</w:t>
      </w:r>
      <w:r w:rsidR="009E2E23" w:rsidRPr="00A671BF">
        <w:t>.</w:t>
      </w:r>
      <w:r w:rsidR="008F536C" w:rsidRPr="00A671BF">
        <w:t xml:space="preserve"> The treatment of British Indians problematizes </w:t>
      </w:r>
      <w:r w:rsidR="002D0B1D" w:rsidRPr="00A671BF">
        <w:t>the</w:t>
      </w:r>
      <w:r w:rsidR="008F536C" w:rsidRPr="00A671BF">
        <w:t xml:space="preserve"> notion of continuity and reveals the mutability of </w:t>
      </w:r>
      <w:r w:rsidR="002D0B1D" w:rsidRPr="00A671BF">
        <w:t xml:space="preserve">conceptions of </w:t>
      </w:r>
      <w:r w:rsidR="008F536C" w:rsidRPr="00A671BF">
        <w:t xml:space="preserve">otherness, both in public discourses and in policing. </w:t>
      </w:r>
      <w:r w:rsidRPr="00A671BF">
        <w:rPr>
          <w:szCs w:val="22"/>
        </w:rPr>
        <w:t>For imperial subjects</w:t>
      </w:r>
      <w:r w:rsidR="00156DCF" w:rsidRPr="00A671BF">
        <w:rPr>
          <w:szCs w:val="22"/>
        </w:rPr>
        <w:t xml:space="preserve"> crossing between imperial nation-states, it was not only a question of </w:t>
      </w:r>
      <w:r w:rsidR="008B27DA" w:rsidRPr="00A671BF">
        <w:rPr>
          <w:szCs w:val="22"/>
        </w:rPr>
        <w:t>how they were policed</w:t>
      </w:r>
      <w:r w:rsidR="00734FE4" w:rsidRPr="00A671BF">
        <w:rPr>
          <w:szCs w:val="22"/>
        </w:rPr>
        <w:t xml:space="preserve"> and monitored within urban spaces</w:t>
      </w:r>
      <w:r w:rsidR="00156DCF" w:rsidRPr="00A671BF">
        <w:rPr>
          <w:szCs w:val="22"/>
        </w:rPr>
        <w:t xml:space="preserve"> but also one of</w:t>
      </w:r>
      <w:r w:rsidR="008B27DA" w:rsidRPr="00A671BF">
        <w:rPr>
          <w:szCs w:val="22"/>
        </w:rPr>
        <w:t xml:space="preserve"> how</w:t>
      </w:r>
      <w:r w:rsidR="00156DCF" w:rsidRPr="00A671BF">
        <w:rPr>
          <w:szCs w:val="22"/>
        </w:rPr>
        <w:t xml:space="preserve"> </w:t>
      </w:r>
      <w:r w:rsidR="0022426B" w:rsidRPr="00A671BF">
        <w:rPr>
          <w:szCs w:val="22"/>
        </w:rPr>
        <w:t>their lives</w:t>
      </w:r>
      <w:r w:rsidR="00734FE4" w:rsidRPr="00A671BF">
        <w:rPr>
          <w:szCs w:val="22"/>
        </w:rPr>
        <w:t xml:space="preserve"> were shaped</w:t>
      </w:r>
      <w:r w:rsidR="008B27DA" w:rsidRPr="00A671BF">
        <w:rPr>
          <w:szCs w:val="22"/>
        </w:rPr>
        <w:t xml:space="preserve"> </w:t>
      </w:r>
      <w:r w:rsidR="00734FE4" w:rsidRPr="00A671BF">
        <w:rPr>
          <w:szCs w:val="22"/>
        </w:rPr>
        <w:t>by</w:t>
      </w:r>
      <w:r w:rsidR="0061688D" w:rsidRPr="00A671BF">
        <w:rPr>
          <w:szCs w:val="22"/>
        </w:rPr>
        <w:t xml:space="preserve"> the</w:t>
      </w:r>
      <w:r w:rsidR="00734FE4" w:rsidRPr="00A671BF">
        <w:rPr>
          <w:szCs w:val="22"/>
        </w:rPr>
        <w:t xml:space="preserve"> </w:t>
      </w:r>
      <w:r w:rsidR="00156DCF" w:rsidRPr="00A671BF">
        <w:rPr>
          <w:szCs w:val="22"/>
        </w:rPr>
        <w:t>diplomatic relationships between states</w:t>
      </w:r>
      <w:r w:rsidR="00A35D60" w:rsidRPr="00A671BF">
        <w:rPr>
          <w:szCs w:val="22"/>
        </w:rPr>
        <w:t>.</w:t>
      </w:r>
      <w:r w:rsidR="00A35D60" w:rsidRPr="00A671BF">
        <w:rPr>
          <w:rStyle w:val="FootnoteReference"/>
          <w:szCs w:val="22"/>
        </w:rPr>
        <w:footnoteReference w:id="4"/>
      </w:r>
      <w:r w:rsidR="00A35D60" w:rsidRPr="00A671BF">
        <w:rPr>
          <w:szCs w:val="22"/>
        </w:rPr>
        <w:t xml:space="preserve"> </w:t>
      </w:r>
      <w:r w:rsidRPr="00A671BF">
        <w:rPr>
          <w:szCs w:val="22"/>
        </w:rPr>
        <w:t>P</w:t>
      </w:r>
      <w:r w:rsidR="00AA71D1" w:rsidRPr="00A671BF">
        <w:rPr>
          <w:szCs w:val="22"/>
        </w:rPr>
        <w:t>olice and governmental co</w:t>
      </w:r>
      <w:r w:rsidR="009E7433" w:rsidRPr="00A671BF">
        <w:rPr>
          <w:szCs w:val="22"/>
        </w:rPr>
        <w:t>-</w:t>
      </w:r>
      <w:r w:rsidR="00AA71D1" w:rsidRPr="00A671BF">
        <w:rPr>
          <w:szCs w:val="22"/>
        </w:rPr>
        <w:t xml:space="preserve">operation in the surveillance of imperial subjects has </w:t>
      </w:r>
      <w:r w:rsidR="00AA71D1" w:rsidRPr="00A671BF">
        <w:rPr>
          <w:bCs/>
          <w:szCs w:val="22"/>
        </w:rPr>
        <w:t xml:space="preserve">been </w:t>
      </w:r>
      <w:r w:rsidR="00AD1B4A" w:rsidRPr="00A671BF">
        <w:rPr>
          <w:bCs/>
          <w:szCs w:val="22"/>
        </w:rPr>
        <w:t>uncovered</w:t>
      </w:r>
      <w:r w:rsidR="00AA71D1" w:rsidRPr="00A671BF">
        <w:rPr>
          <w:bCs/>
          <w:szCs w:val="22"/>
        </w:rPr>
        <w:t xml:space="preserve"> by </w:t>
      </w:r>
      <w:proofErr w:type="spellStart"/>
      <w:r w:rsidR="00AA71D1" w:rsidRPr="00A671BF">
        <w:rPr>
          <w:bCs/>
          <w:szCs w:val="22"/>
        </w:rPr>
        <w:t>Brückenhaus</w:t>
      </w:r>
      <w:proofErr w:type="spellEnd"/>
      <w:r w:rsidR="00AA71D1" w:rsidRPr="00A671BF">
        <w:rPr>
          <w:bCs/>
          <w:szCs w:val="22"/>
        </w:rPr>
        <w:t xml:space="preserve">, his </w:t>
      </w:r>
      <w:r w:rsidR="00534F95" w:rsidRPr="00A671BF">
        <w:rPr>
          <w:bCs/>
          <w:szCs w:val="22"/>
        </w:rPr>
        <w:t>201</w:t>
      </w:r>
      <w:r w:rsidR="0065654E" w:rsidRPr="00A671BF">
        <w:rPr>
          <w:bCs/>
          <w:szCs w:val="22"/>
        </w:rPr>
        <w:t>7</w:t>
      </w:r>
      <w:r w:rsidR="00534F95" w:rsidRPr="00A671BF">
        <w:rPr>
          <w:bCs/>
          <w:szCs w:val="22"/>
        </w:rPr>
        <w:t xml:space="preserve"> monograph</w:t>
      </w:r>
      <w:r w:rsidR="00AA71D1" w:rsidRPr="00A671BF">
        <w:rPr>
          <w:bCs/>
          <w:szCs w:val="22"/>
        </w:rPr>
        <w:t xml:space="preserve"> arguing that inter-imperial collaboration was a central, underappreciated factor in the </w:t>
      </w:r>
      <w:proofErr w:type="spellStart"/>
      <w:r w:rsidR="00AA71D1" w:rsidRPr="00A671BF">
        <w:rPr>
          <w:bCs/>
          <w:szCs w:val="22"/>
        </w:rPr>
        <w:t>transnationalization</w:t>
      </w:r>
      <w:proofErr w:type="spellEnd"/>
      <w:r w:rsidR="00AA71D1" w:rsidRPr="00A671BF">
        <w:rPr>
          <w:bCs/>
          <w:szCs w:val="22"/>
        </w:rPr>
        <w:t xml:space="preserve"> </w:t>
      </w:r>
      <w:r w:rsidR="0054769D" w:rsidRPr="00A671BF">
        <w:rPr>
          <w:bCs/>
          <w:szCs w:val="22"/>
        </w:rPr>
        <w:t>of anti</w:t>
      </w:r>
      <w:r w:rsidR="00AA71D1" w:rsidRPr="00A671BF">
        <w:rPr>
          <w:bCs/>
          <w:szCs w:val="22"/>
        </w:rPr>
        <w:t xml:space="preserve">colonial movements, precipitating mobility as activists searched for host countries amenable to their ideologies. As studies tracing the lives of black activists have </w:t>
      </w:r>
      <w:r w:rsidR="009A4F93" w:rsidRPr="00A671BF">
        <w:rPr>
          <w:bCs/>
          <w:szCs w:val="22"/>
        </w:rPr>
        <w:t>discussed</w:t>
      </w:r>
      <w:r w:rsidR="00AA71D1" w:rsidRPr="00A671BF">
        <w:rPr>
          <w:bCs/>
          <w:szCs w:val="22"/>
        </w:rPr>
        <w:t xml:space="preserve">, the </w:t>
      </w:r>
      <w:r w:rsidR="00AA71D1" w:rsidRPr="00A671BF">
        <w:t>political revolutions of left and right in the aftermath of the First World War encouraged movement, with many political exiles and circulating activists becoming invited guests of the</w:t>
      </w:r>
      <w:r w:rsidR="00C626BC" w:rsidRPr="00A671BF">
        <w:t xml:space="preserve"> </w:t>
      </w:r>
      <w:proofErr w:type="spellStart"/>
      <w:r w:rsidR="00C626BC" w:rsidRPr="00A671BF">
        <w:t>Comintern</w:t>
      </w:r>
      <w:proofErr w:type="spellEnd"/>
      <w:r w:rsidR="00C626BC" w:rsidRPr="00A671BF">
        <w:t xml:space="preserve"> and the Soviet Union (Rosenhaft and Aitken, 2013: 9)</w:t>
      </w:r>
      <w:r w:rsidR="00AA71D1" w:rsidRPr="00A671BF">
        <w:t xml:space="preserve"> In this respect </w:t>
      </w:r>
      <w:proofErr w:type="spellStart"/>
      <w:r w:rsidR="00AA71D1" w:rsidRPr="00A671BF">
        <w:t>Brückenhaus’s</w:t>
      </w:r>
      <w:proofErr w:type="spellEnd"/>
      <w:r w:rsidR="00AA71D1" w:rsidRPr="00A671BF">
        <w:t xml:space="preserve"> meticulous </w:t>
      </w:r>
      <w:r w:rsidR="00534F95" w:rsidRPr="00A671BF">
        <w:t>investigation</w:t>
      </w:r>
      <w:r w:rsidR="00AA71D1" w:rsidRPr="00A671BF">
        <w:t xml:space="preserve"> of policing provides</w:t>
      </w:r>
      <w:r w:rsidRPr="00A671BF">
        <w:t xml:space="preserve"> an</w:t>
      </w:r>
      <w:r w:rsidR="00AA71D1" w:rsidRPr="00A671BF">
        <w:t xml:space="preserve"> illuminating insight into the types of official and unofficial co</w:t>
      </w:r>
      <w:r w:rsidR="009E7433" w:rsidRPr="00A671BF">
        <w:t>-</w:t>
      </w:r>
      <w:r w:rsidR="00AA71D1" w:rsidRPr="00A671BF">
        <w:t>operation which occurred between the governments of western Europe.</w:t>
      </w:r>
      <w:r w:rsidR="00AA71D1" w:rsidRPr="00A671BF">
        <w:rPr>
          <w:bCs/>
          <w:szCs w:val="22"/>
        </w:rPr>
        <w:t xml:space="preserve"> </w:t>
      </w:r>
      <w:r w:rsidR="0054769D" w:rsidRPr="00A671BF">
        <w:rPr>
          <w:szCs w:val="22"/>
        </w:rPr>
        <w:t>As will be shown</w:t>
      </w:r>
      <w:r w:rsidR="00F46FB6" w:rsidRPr="00A671BF">
        <w:rPr>
          <w:szCs w:val="22"/>
        </w:rPr>
        <w:t>, however,</w:t>
      </w:r>
      <w:r w:rsidR="0054769D" w:rsidRPr="00A671BF">
        <w:rPr>
          <w:szCs w:val="22"/>
        </w:rPr>
        <w:t xml:space="preserve"> </w:t>
      </w:r>
      <w:r w:rsidR="00156DCF" w:rsidRPr="00A671BF">
        <w:rPr>
          <w:szCs w:val="22"/>
        </w:rPr>
        <w:t xml:space="preserve">official or unofficial </w:t>
      </w:r>
      <w:r w:rsidR="00156DCF" w:rsidRPr="00A671BF">
        <w:rPr>
          <w:szCs w:val="22"/>
        </w:rPr>
        <w:lastRenderedPageBreak/>
        <w:t>co</w:t>
      </w:r>
      <w:r w:rsidR="009E7433" w:rsidRPr="00A671BF">
        <w:rPr>
          <w:szCs w:val="22"/>
        </w:rPr>
        <w:t>-</w:t>
      </w:r>
      <w:r w:rsidR="00156DCF" w:rsidRPr="00A671BF">
        <w:rPr>
          <w:szCs w:val="22"/>
        </w:rPr>
        <w:t xml:space="preserve">operation </w:t>
      </w:r>
      <w:r w:rsidRPr="00A671BF">
        <w:rPr>
          <w:szCs w:val="22"/>
        </w:rPr>
        <w:t xml:space="preserve">on the issue of Indian migrants and revolutionaries </w:t>
      </w:r>
      <w:r w:rsidR="00156DCF" w:rsidRPr="00A671BF">
        <w:rPr>
          <w:szCs w:val="22"/>
        </w:rPr>
        <w:t>did not necessarily result in joined-up policing</w:t>
      </w:r>
      <w:r w:rsidRPr="00A671BF">
        <w:rPr>
          <w:szCs w:val="22"/>
        </w:rPr>
        <w:t>,</w:t>
      </w:r>
      <w:r w:rsidR="009F21F4" w:rsidRPr="00A671BF">
        <w:rPr>
          <w:szCs w:val="22"/>
        </w:rPr>
        <w:t xml:space="preserve"> se</w:t>
      </w:r>
      <w:r w:rsidRPr="00A671BF">
        <w:rPr>
          <w:szCs w:val="22"/>
        </w:rPr>
        <w:t>rving</w:t>
      </w:r>
      <w:r w:rsidR="009F21F4" w:rsidRPr="00A671BF">
        <w:rPr>
          <w:szCs w:val="22"/>
        </w:rPr>
        <w:t xml:space="preserve"> </w:t>
      </w:r>
      <w:r w:rsidR="003E2E41" w:rsidRPr="00A671BF">
        <w:rPr>
          <w:szCs w:val="22"/>
        </w:rPr>
        <w:t>as a useful</w:t>
      </w:r>
      <w:r w:rsidR="00A50CE8" w:rsidRPr="00A671BF">
        <w:t xml:space="preserve"> reminder of Arnold’s caveat that ‘the role of the police was never restricted t</w:t>
      </w:r>
      <w:r w:rsidR="00C626BC" w:rsidRPr="00A671BF">
        <w:t>o that laid down by law-makers’ (1986: 3).</w:t>
      </w:r>
      <w:r w:rsidR="003E2E41" w:rsidRPr="00A671BF">
        <w:t xml:space="preserve"> </w:t>
      </w:r>
      <w:r w:rsidR="00A50CE8" w:rsidRPr="00A671BF">
        <w:t xml:space="preserve">In the case of </w:t>
      </w:r>
      <w:r w:rsidR="003E2E41" w:rsidRPr="00A671BF">
        <w:t>British Indian subjects</w:t>
      </w:r>
      <w:r w:rsidR="00A50CE8" w:rsidRPr="00A671BF">
        <w:t xml:space="preserve">, </w:t>
      </w:r>
      <w:r w:rsidR="0061688D" w:rsidRPr="00A671BF">
        <w:t xml:space="preserve">international </w:t>
      </w:r>
      <w:r w:rsidR="00A50CE8" w:rsidRPr="00A671BF">
        <w:t>priorities could be, and were, overlooked.</w:t>
      </w:r>
      <w:r w:rsidR="00156DCF" w:rsidRPr="00A671BF">
        <w:rPr>
          <w:szCs w:val="22"/>
        </w:rPr>
        <w:t xml:space="preserve"> </w:t>
      </w:r>
      <w:r w:rsidR="007C0C63" w:rsidRPr="00A671BF">
        <w:rPr>
          <w:szCs w:val="22"/>
        </w:rPr>
        <w:t xml:space="preserve">It is the central argument of this article that </w:t>
      </w:r>
      <w:r w:rsidR="00E662E0" w:rsidRPr="00A671BF">
        <w:rPr>
          <w:szCs w:val="22"/>
        </w:rPr>
        <w:t>Indian migrants and revolutionari</w:t>
      </w:r>
      <w:r w:rsidR="00737E89" w:rsidRPr="00A671BF">
        <w:rPr>
          <w:szCs w:val="22"/>
        </w:rPr>
        <w:t xml:space="preserve">es present an exceptional case, both </w:t>
      </w:r>
      <w:r w:rsidR="00E662E0" w:rsidRPr="00A671BF">
        <w:rPr>
          <w:szCs w:val="22"/>
        </w:rPr>
        <w:t>in terms of how they were</w:t>
      </w:r>
      <w:r w:rsidR="00737E89" w:rsidRPr="00A671BF">
        <w:rPr>
          <w:szCs w:val="22"/>
        </w:rPr>
        <w:t xml:space="preserve"> doubly monitored </w:t>
      </w:r>
      <w:r w:rsidR="003F32BE" w:rsidRPr="00A671BF">
        <w:rPr>
          <w:szCs w:val="22"/>
        </w:rPr>
        <w:t>(</w:t>
      </w:r>
      <w:r w:rsidR="00737E89" w:rsidRPr="00A671BF">
        <w:rPr>
          <w:szCs w:val="22"/>
        </w:rPr>
        <w:t>by the British police force and its agents</w:t>
      </w:r>
      <w:r w:rsidR="003F32BE" w:rsidRPr="00A671BF">
        <w:rPr>
          <w:szCs w:val="22"/>
        </w:rPr>
        <w:t>,</w:t>
      </w:r>
      <w:r w:rsidR="00E662E0" w:rsidRPr="00A671BF">
        <w:rPr>
          <w:szCs w:val="22"/>
        </w:rPr>
        <w:t xml:space="preserve"> and by the French </w:t>
      </w:r>
      <w:r w:rsidR="00737E89" w:rsidRPr="00A671BF">
        <w:rPr>
          <w:szCs w:val="22"/>
        </w:rPr>
        <w:t xml:space="preserve">police and </w:t>
      </w:r>
      <w:r w:rsidR="005E2AF8" w:rsidRPr="00A671BF">
        <w:rPr>
          <w:szCs w:val="22"/>
        </w:rPr>
        <w:t>the</w:t>
      </w:r>
      <w:r w:rsidR="00737E89" w:rsidRPr="00A671BF">
        <w:rPr>
          <w:szCs w:val="22"/>
        </w:rPr>
        <w:t xml:space="preserve"> network of undercover agents </w:t>
      </w:r>
      <w:r w:rsidR="00AF1901" w:rsidRPr="00A671BF">
        <w:rPr>
          <w:szCs w:val="22"/>
        </w:rPr>
        <w:t>working for</w:t>
      </w:r>
      <w:r w:rsidR="00737E89" w:rsidRPr="00A671BF">
        <w:rPr>
          <w:szCs w:val="22"/>
        </w:rPr>
        <w:t xml:space="preserve"> </w:t>
      </w:r>
      <w:r w:rsidR="002049D1" w:rsidRPr="00A671BF">
        <w:rPr>
          <w:szCs w:val="22"/>
        </w:rPr>
        <w:t>the CAI</w:t>
      </w:r>
      <w:r w:rsidR="003F32BE" w:rsidRPr="00A671BF">
        <w:rPr>
          <w:szCs w:val="22"/>
        </w:rPr>
        <w:t>)</w:t>
      </w:r>
      <w:r w:rsidR="00E662E0" w:rsidRPr="00A671BF">
        <w:rPr>
          <w:szCs w:val="22"/>
        </w:rPr>
        <w:t>,</w:t>
      </w:r>
      <w:r w:rsidR="00B45AC1" w:rsidRPr="00A671BF">
        <w:rPr>
          <w:szCs w:val="22"/>
        </w:rPr>
        <w:t xml:space="preserve"> and </w:t>
      </w:r>
      <w:r w:rsidRPr="00A671BF">
        <w:rPr>
          <w:szCs w:val="22"/>
        </w:rPr>
        <w:t xml:space="preserve">in terms of </w:t>
      </w:r>
      <w:r w:rsidR="00E662E0" w:rsidRPr="00A671BF">
        <w:rPr>
          <w:szCs w:val="22"/>
        </w:rPr>
        <w:t xml:space="preserve">how they </w:t>
      </w:r>
      <w:r w:rsidR="00737E89" w:rsidRPr="00A671BF">
        <w:rPr>
          <w:szCs w:val="22"/>
        </w:rPr>
        <w:t xml:space="preserve">could </w:t>
      </w:r>
      <w:r w:rsidR="009E2E23" w:rsidRPr="00A671BF">
        <w:rPr>
          <w:szCs w:val="22"/>
        </w:rPr>
        <w:t>cultivate</w:t>
      </w:r>
      <w:r w:rsidR="00737E89" w:rsidRPr="00A671BF">
        <w:rPr>
          <w:szCs w:val="22"/>
        </w:rPr>
        <w:t xml:space="preserve"> specific</w:t>
      </w:r>
      <w:r w:rsidR="00E662E0" w:rsidRPr="00A671BF">
        <w:rPr>
          <w:szCs w:val="22"/>
        </w:rPr>
        <w:t xml:space="preserve"> intellectual and social </w:t>
      </w:r>
      <w:proofErr w:type="spellStart"/>
      <w:r w:rsidR="0088083C" w:rsidRPr="00A671BF">
        <w:rPr>
          <w:szCs w:val="22"/>
        </w:rPr>
        <w:t>milieux</w:t>
      </w:r>
      <w:proofErr w:type="spellEnd"/>
      <w:r w:rsidR="00737E89" w:rsidRPr="00A671BF">
        <w:rPr>
          <w:szCs w:val="22"/>
        </w:rPr>
        <w:t xml:space="preserve"> in France</w:t>
      </w:r>
      <w:r w:rsidR="0007023D" w:rsidRPr="00A671BF">
        <w:rPr>
          <w:szCs w:val="22"/>
        </w:rPr>
        <w:t xml:space="preserve">, thanks in no small part to the </w:t>
      </w:r>
      <w:r w:rsidR="0007023D" w:rsidRPr="00A671BF">
        <w:t xml:space="preserve">intellectual influence in France in the 1920s and </w:t>
      </w:r>
      <w:r w:rsidR="00E11228" w:rsidRPr="00A671BF">
        <w:t>early</w:t>
      </w:r>
      <w:r w:rsidR="00A429AA" w:rsidRPr="00A671BF">
        <w:t xml:space="preserve"> </w:t>
      </w:r>
      <w:r w:rsidR="0007023D" w:rsidRPr="00A671BF">
        <w:t>1930s of Gandhi’s</w:t>
      </w:r>
      <w:r w:rsidR="00AF1901" w:rsidRPr="00A671BF">
        <w:t xml:space="preserve"> </w:t>
      </w:r>
      <w:r w:rsidR="00AF1901" w:rsidRPr="00A671BF">
        <w:rPr>
          <w:i/>
        </w:rPr>
        <w:t>Swaraj</w:t>
      </w:r>
      <w:r w:rsidR="00AF1901" w:rsidRPr="00A671BF">
        <w:t xml:space="preserve"> (self-rule) </w:t>
      </w:r>
      <w:r w:rsidR="0007023D" w:rsidRPr="00A671BF">
        <w:t>movement</w:t>
      </w:r>
      <w:r w:rsidR="00737E89" w:rsidRPr="00A671BF">
        <w:rPr>
          <w:szCs w:val="22"/>
        </w:rPr>
        <w:t xml:space="preserve">. </w:t>
      </w:r>
      <w:r w:rsidR="00E662E0" w:rsidRPr="00A671BF">
        <w:rPr>
          <w:szCs w:val="22"/>
        </w:rPr>
        <w:t xml:space="preserve">In </w:t>
      </w:r>
      <w:r w:rsidR="00E139B9" w:rsidRPr="00A671BF">
        <w:rPr>
          <w:szCs w:val="22"/>
        </w:rPr>
        <w:t>making this argument</w:t>
      </w:r>
      <w:r w:rsidR="00737E89" w:rsidRPr="00A671BF">
        <w:rPr>
          <w:szCs w:val="22"/>
        </w:rPr>
        <w:t>,</w:t>
      </w:r>
      <w:r w:rsidR="00E662E0" w:rsidRPr="00A671BF">
        <w:rPr>
          <w:szCs w:val="22"/>
        </w:rPr>
        <w:t xml:space="preserve"> the article throws into relief the vexed political and inter</w:t>
      </w:r>
      <w:r w:rsidR="00734FE4" w:rsidRPr="00A671BF">
        <w:rPr>
          <w:szCs w:val="22"/>
        </w:rPr>
        <w:t>-</w:t>
      </w:r>
      <w:r w:rsidR="00E662E0" w:rsidRPr="00A671BF">
        <w:rPr>
          <w:szCs w:val="22"/>
        </w:rPr>
        <w:t>imperial relationship between Britain and France where India was conc</w:t>
      </w:r>
      <w:r w:rsidR="00396B7A" w:rsidRPr="00A671BF">
        <w:rPr>
          <w:szCs w:val="22"/>
        </w:rPr>
        <w:t>erned</w:t>
      </w:r>
      <w:r w:rsidR="00E139B9" w:rsidRPr="00A671BF">
        <w:rPr>
          <w:szCs w:val="22"/>
        </w:rPr>
        <w:t>,</w:t>
      </w:r>
      <w:r w:rsidR="00396B7A" w:rsidRPr="00A671BF">
        <w:rPr>
          <w:szCs w:val="22"/>
        </w:rPr>
        <w:t xml:space="preserve"> and the consequences which it had for </w:t>
      </w:r>
      <w:r w:rsidR="00AF2713" w:rsidRPr="00A671BF">
        <w:rPr>
          <w:szCs w:val="22"/>
        </w:rPr>
        <w:t xml:space="preserve">travelling </w:t>
      </w:r>
      <w:r w:rsidR="00396B7A" w:rsidRPr="00A671BF">
        <w:rPr>
          <w:szCs w:val="22"/>
        </w:rPr>
        <w:t>imperial subjects.</w:t>
      </w:r>
    </w:p>
    <w:p w:rsidR="007C0C63" w:rsidRPr="00A671BF" w:rsidRDefault="007C0C63" w:rsidP="0038784E">
      <w:pPr>
        <w:spacing w:line="360" w:lineRule="auto"/>
        <w:ind w:firstLine="720"/>
        <w:rPr>
          <w:szCs w:val="22"/>
        </w:rPr>
      </w:pPr>
    </w:p>
    <w:p w:rsidR="002E0EDC" w:rsidRPr="00A671BF" w:rsidRDefault="002E0EDC" w:rsidP="0038784E">
      <w:pPr>
        <w:spacing w:line="360" w:lineRule="auto"/>
        <w:rPr>
          <w:szCs w:val="22"/>
        </w:rPr>
      </w:pPr>
      <w:r w:rsidRPr="00A671BF">
        <w:rPr>
          <w:szCs w:val="22"/>
        </w:rPr>
        <w:t>Indians in France</w:t>
      </w:r>
    </w:p>
    <w:p w:rsidR="00B809F1" w:rsidRPr="00A671BF" w:rsidRDefault="00535A49" w:rsidP="0038784E">
      <w:pPr>
        <w:spacing w:line="360" w:lineRule="auto"/>
      </w:pPr>
      <w:r w:rsidRPr="00A671BF">
        <w:rPr>
          <w:szCs w:val="22"/>
        </w:rPr>
        <w:t xml:space="preserve">Establishing </w:t>
      </w:r>
      <w:r w:rsidR="00F9428C" w:rsidRPr="00A671BF">
        <w:rPr>
          <w:szCs w:val="22"/>
        </w:rPr>
        <w:t>a reasonably accurate figure for the population</w:t>
      </w:r>
      <w:r w:rsidRPr="00A671BF">
        <w:rPr>
          <w:szCs w:val="22"/>
        </w:rPr>
        <w:t xml:space="preserve"> of British Indians </w:t>
      </w:r>
      <w:r w:rsidR="00F9428C" w:rsidRPr="00A671BF">
        <w:rPr>
          <w:szCs w:val="22"/>
        </w:rPr>
        <w:t xml:space="preserve">residing </w:t>
      </w:r>
      <w:r w:rsidRPr="00A671BF">
        <w:rPr>
          <w:szCs w:val="22"/>
        </w:rPr>
        <w:t xml:space="preserve">in France </w:t>
      </w:r>
      <w:r w:rsidR="00F9428C" w:rsidRPr="00A671BF">
        <w:rPr>
          <w:szCs w:val="22"/>
        </w:rPr>
        <w:t xml:space="preserve">during the interwar period </w:t>
      </w:r>
      <w:r w:rsidRPr="00A671BF">
        <w:rPr>
          <w:szCs w:val="22"/>
        </w:rPr>
        <w:t xml:space="preserve">is </w:t>
      </w:r>
      <w:r w:rsidR="00641F10" w:rsidRPr="00A671BF">
        <w:rPr>
          <w:szCs w:val="22"/>
        </w:rPr>
        <w:t xml:space="preserve">complicated by the fact that </w:t>
      </w:r>
      <w:r w:rsidR="009E2E23" w:rsidRPr="00A671BF">
        <w:rPr>
          <w:szCs w:val="22"/>
        </w:rPr>
        <w:t>official</w:t>
      </w:r>
      <w:r w:rsidR="00641F10" w:rsidRPr="00A671BF">
        <w:rPr>
          <w:szCs w:val="22"/>
        </w:rPr>
        <w:t xml:space="preserve"> reports</w:t>
      </w:r>
      <w:r w:rsidR="006538B7" w:rsidRPr="00A671BF">
        <w:rPr>
          <w:szCs w:val="22"/>
        </w:rPr>
        <w:t xml:space="preserve"> </w:t>
      </w:r>
      <w:r w:rsidR="004C32B8" w:rsidRPr="00A671BF">
        <w:rPr>
          <w:szCs w:val="22"/>
        </w:rPr>
        <w:t>tend to be incomplete and contradictory</w:t>
      </w:r>
      <w:r w:rsidR="00F3428B" w:rsidRPr="00A671BF">
        <w:rPr>
          <w:szCs w:val="22"/>
        </w:rPr>
        <w:t xml:space="preserve"> (Fabry, 1927; Goebel, 2015: 26)</w:t>
      </w:r>
      <w:r w:rsidRPr="00A671BF">
        <w:rPr>
          <w:szCs w:val="22"/>
        </w:rPr>
        <w:t xml:space="preserve">. </w:t>
      </w:r>
      <w:r w:rsidR="004609FA" w:rsidRPr="00A671BF">
        <w:rPr>
          <w:szCs w:val="22"/>
        </w:rPr>
        <w:t>In 1925, a police report estimated that</w:t>
      </w:r>
      <w:r w:rsidR="00E159C9" w:rsidRPr="00A671BF">
        <w:rPr>
          <w:szCs w:val="22"/>
        </w:rPr>
        <w:t xml:space="preserve"> </w:t>
      </w:r>
      <w:r w:rsidR="00E159C9" w:rsidRPr="00A671BF">
        <w:t>roughly 500 British Indian subjects</w:t>
      </w:r>
      <w:r w:rsidR="0044602E" w:rsidRPr="00A671BF">
        <w:t xml:space="preserve"> lived</w:t>
      </w:r>
      <w:r w:rsidR="00E159C9" w:rsidRPr="00A671BF">
        <w:t xml:space="preserve"> in Pari</w:t>
      </w:r>
      <w:r w:rsidR="0044602E" w:rsidRPr="00A671BF">
        <w:t>s</w:t>
      </w:r>
      <w:r w:rsidR="00165EAD" w:rsidRPr="00A671BF">
        <w:t>.</w:t>
      </w:r>
      <w:r w:rsidR="0044602E" w:rsidRPr="00A671BF">
        <w:t xml:space="preserve"> </w:t>
      </w:r>
      <w:r w:rsidR="00165EAD" w:rsidRPr="00A671BF">
        <w:rPr>
          <w:lang w:val="fr-FR"/>
        </w:rPr>
        <w:t xml:space="preserve">The </w:t>
      </w:r>
      <w:proofErr w:type="spellStart"/>
      <w:r w:rsidR="00165EAD" w:rsidRPr="00A671BF">
        <w:rPr>
          <w:lang w:val="fr-FR"/>
        </w:rPr>
        <w:t>same</w:t>
      </w:r>
      <w:proofErr w:type="spellEnd"/>
      <w:r w:rsidR="00165EAD" w:rsidRPr="00A671BF">
        <w:rPr>
          <w:lang w:val="fr-FR"/>
        </w:rPr>
        <w:t xml:space="preserve"> report </w:t>
      </w:r>
      <w:proofErr w:type="spellStart"/>
      <w:r w:rsidR="00165EAD" w:rsidRPr="00A671BF">
        <w:rPr>
          <w:lang w:val="fr-FR"/>
        </w:rPr>
        <w:t>added</w:t>
      </w:r>
      <w:proofErr w:type="spellEnd"/>
      <w:r w:rsidR="00165EAD" w:rsidRPr="00A671BF">
        <w:rPr>
          <w:lang w:val="fr-FR"/>
        </w:rPr>
        <w:t xml:space="preserve"> </w:t>
      </w:r>
      <w:proofErr w:type="spellStart"/>
      <w:r w:rsidR="00165EAD" w:rsidRPr="00A671BF">
        <w:rPr>
          <w:lang w:val="fr-FR"/>
        </w:rPr>
        <w:t>that</w:t>
      </w:r>
      <w:proofErr w:type="spellEnd"/>
      <w:r w:rsidR="00165EAD" w:rsidRPr="00A671BF">
        <w:rPr>
          <w:lang w:val="fr-FR"/>
        </w:rPr>
        <w:t xml:space="preserve">, </w:t>
      </w:r>
      <w:r w:rsidR="0044602E" w:rsidRPr="00A671BF">
        <w:rPr>
          <w:lang w:val="fr-FR"/>
        </w:rPr>
        <w:t xml:space="preserve">in </w:t>
      </w:r>
      <w:proofErr w:type="spellStart"/>
      <w:r w:rsidR="0044602E" w:rsidRPr="00A671BF">
        <w:rPr>
          <w:lang w:val="fr-FR"/>
        </w:rPr>
        <w:t>contrast</w:t>
      </w:r>
      <w:proofErr w:type="spellEnd"/>
      <w:r w:rsidR="0044602E" w:rsidRPr="00A671BF">
        <w:rPr>
          <w:lang w:val="fr-FR"/>
        </w:rPr>
        <w:t xml:space="preserve"> </w:t>
      </w:r>
      <w:proofErr w:type="spellStart"/>
      <w:r w:rsidR="0044602E" w:rsidRPr="00A671BF">
        <w:rPr>
          <w:lang w:val="fr-FR"/>
        </w:rPr>
        <w:t>with</w:t>
      </w:r>
      <w:proofErr w:type="spellEnd"/>
      <w:r w:rsidR="0044602E" w:rsidRPr="00A671BF">
        <w:rPr>
          <w:lang w:val="fr-FR"/>
        </w:rPr>
        <w:t xml:space="preserve"> </w:t>
      </w:r>
      <w:proofErr w:type="spellStart"/>
      <w:r w:rsidR="0044602E" w:rsidRPr="00A671BF">
        <w:rPr>
          <w:lang w:val="fr-FR"/>
        </w:rPr>
        <w:t>poor</w:t>
      </w:r>
      <w:proofErr w:type="spellEnd"/>
      <w:r w:rsidR="0044602E" w:rsidRPr="00A671BF">
        <w:rPr>
          <w:lang w:val="fr-FR"/>
        </w:rPr>
        <w:t xml:space="preserve"> colonial </w:t>
      </w:r>
      <w:proofErr w:type="spellStart"/>
      <w:r w:rsidR="0044602E" w:rsidRPr="00A671BF">
        <w:rPr>
          <w:lang w:val="fr-FR"/>
        </w:rPr>
        <w:t>workers</w:t>
      </w:r>
      <w:proofErr w:type="spellEnd"/>
      <w:r w:rsidR="0044602E" w:rsidRPr="00A671BF">
        <w:rPr>
          <w:lang w:val="fr-FR"/>
        </w:rPr>
        <w:t xml:space="preserve"> </w:t>
      </w:r>
      <w:proofErr w:type="spellStart"/>
      <w:r w:rsidR="0044602E" w:rsidRPr="00A671BF">
        <w:rPr>
          <w:lang w:val="fr-FR"/>
        </w:rPr>
        <w:t>from</w:t>
      </w:r>
      <w:proofErr w:type="spellEnd"/>
      <w:r w:rsidR="0044602E" w:rsidRPr="00A671BF">
        <w:rPr>
          <w:lang w:val="fr-FR"/>
        </w:rPr>
        <w:t xml:space="preserve"> </w:t>
      </w:r>
      <w:proofErr w:type="spellStart"/>
      <w:r w:rsidR="0044602E" w:rsidRPr="00A671BF">
        <w:rPr>
          <w:lang w:val="fr-FR"/>
        </w:rPr>
        <w:t>Indochina</w:t>
      </w:r>
      <w:proofErr w:type="spellEnd"/>
      <w:r w:rsidR="0044602E" w:rsidRPr="00A671BF">
        <w:rPr>
          <w:lang w:val="fr-FR"/>
        </w:rPr>
        <w:t xml:space="preserve"> or Algeria,</w:t>
      </w:r>
      <w:r w:rsidR="00165EAD" w:rsidRPr="00A671BF">
        <w:rPr>
          <w:lang w:val="fr-FR"/>
        </w:rPr>
        <w:t xml:space="preserve"> </w:t>
      </w:r>
      <w:proofErr w:type="spellStart"/>
      <w:r w:rsidR="00165EAD" w:rsidRPr="00A671BF">
        <w:rPr>
          <w:lang w:val="fr-FR"/>
        </w:rPr>
        <w:t>these</w:t>
      </w:r>
      <w:proofErr w:type="spellEnd"/>
      <w:r w:rsidR="00165EAD" w:rsidRPr="00A671BF">
        <w:rPr>
          <w:lang w:val="fr-FR"/>
        </w:rPr>
        <w:t xml:space="preserve"> British </w:t>
      </w:r>
      <w:proofErr w:type="spellStart"/>
      <w:r w:rsidR="00165EAD" w:rsidRPr="00A671BF">
        <w:rPr>
          <w:lang w:val="fr-FR"/>
        </w:rPr>
        <w:t>Indian</w:t>
      </w:r>
      <w:proofErr w:type="spellEnd"/>
      <w:r w:rsidR="00165EAD" w:rsidRPr="00A671BF">
        <w:rPr>
          <w:lang w:val="fr-FR"/>
        </w:rPr>
        <w:t xml:space="preserve"> </w:t>
      </w:r>
      <w:proofErr w:type="spellStart"/>
      <w:r w:rsidR="00165EAD" w:rsidRPr="00A671BF">
        <w:rPr>
          <w:lang w:val="fr-FR"/>
        </w:rPr>
        <w:t>subjects</w:t>
      </w:r>
      <w:proofErr w:type="spellEnd"/>
      <w:r w:rsidR="0044602E" w:rsidRPr="00A671BF">
        <w:rPr>
          <w:lang w:val="fr-FR"/>
        </w:rPr>
        <w:t xml:space="preserve"> </w:t>
      </w:r>
      <w:r w:rsidR="00832775" w:rsidRPr="00A671BF">
        <w:rPr>
          <w:lang w:val="fr-FR"/>
        </w:rPr>
        <w:t>‘sont pour la plupart des jeunes gens fortunés venus faire leurs études dans nos facultés, ou des négociants installés à demeure et spécialisés dans le commerce des bijoux et des perles fines</w:t>
      </w:r>
      <w:r w:rsidR="00663CA9" w:rsidRPr="00A671BF">
        <w:rPr>
          <w:lang w:val="fr-FR"/>
        </w:rPr>
        <w:t xml:space="preserve">’, and </w:t>
      </w:r>
      <w:proofErr w:type="spellStart"/>
      <w:r w:rsidR="00663CA9" w:rsidRPr="00A671BF">
        <w:rPr>
          <w:lang w:val="fr-FR"/>
        </w:rPr>
        <w:t>that</w:t>
      </w:r>
      <w:proofErr w:type="spellEnd"/>
      <w:r w:rsidR="00663CA9" w:rsidRPr="00A671BF">
        <w:rPr>
          <w:lang w:val="fr-FR"/>
        </w:rPr>
        <w:t xml:space="preserve"> the</w:t>
      </w:r>
      <w:r w:rsidR="00FD7792" w:rsidRPr="00A671BF">
        <w:rPr>
          <w:lang w:val="fr-FR"/>
        </w:rPr>
        <w:t xml:space="preserve"> </w:t>
      </w:r>
      <w:proofErr w:type="spellStart"/>
      <w:r w:rsidR="00FD7792" w:rsidRPr="00A671BF">
        <w:rPr>
          <w:lang w:val="fr-FR"/>
        </w:rPr>
        <w:t>socio-economic</w:t>
      </w:r>
      <w:proofErr w:type="spellEnd"/>
      <w:r w:rsidR="00FD7792" w:rsidRPr="00A671BF">
        <w:rPr>
          <w:lang w:val="fr-FR"/>
        </w:rPr>
        <w:t xml:space="preserve"> profile of </w:t>
      </w:r>
      <w:proofErr w:type="spellStart"/>
      <w:r w:rsidR="00FD7792" w:rsidRPr="00A671BF">
        <w:rPr>
          <w:lang w:val="fr-FR"/>
        </w:rPr>
        <w:t>this</w:t>
      </w:r>
      <w:proofErr w:type="spellEnd"/>
      <w:r w:rsidR="00FD7792" w:rsidRPr="00A671BF">
        <w:rPr>
          <w:lang w:val="fr-FR"/>
        </w:rPr>
        <w:t xml:space="preserve"> </w:t>
      </w:r>
      <w:proofErr w:type="spellStart"/>
      <w:r w:rsidR="00FD7792" w:rsidRPr="00A671BF">
        <w:rPr>
          <w:lang w:val="fr-FR"/>
        </w:rPr>
        <w:t>established</w:t>
      </w:r>
      <w:proofErr w:type="spellEnd"/>
      <w:r w:rsidR="00FD7792" w:rsidRPr="00A671BF">
        <w:rPr>
          <w:lang w:val="fr-FR"/>
        </w:rPr>
        <w:t xml:space="preserve"> </w:t>
      </w:r>
      <w:proofErr w:type="spellStart"/>
      <w:r w:rsidR="00FD7792" w:rsidRPr="00A671BF">
        <w:rPr>
          <w:lang w:val="fr-FR"/>
        </w:rPr>
        <w:t>Indian</w:t>
      </w:r>
      <w:proofErr w:type="spellEnd"/>
      <w:r w:rsidR="00FD7792" w:rsidRPr="00A671BF">
        <w:rPr>
          <w:lang w:val="fr-FR"/>
        </w:rPr>
        <w:t xml:space="preserve"> </w:t>
      </w:r>
      <w:proofErr w:type="spellStart"/>
      <w:r w:rsidR="00FD7792" w:rsidRPr="00A671BF">
        <w:rPr>
          <w:lang w:val="fr-FR"/>
        </w:rPr>
        <w:t>community</w:t>
      </w:r>
      <w:proofErr w:type="spellEnd"/>
      <w:r w:rsidR="00FD7792" w:rsidRPr="00A671BF">
        <w:rPr>
          <w:lang w:val="fr-FR"/>
        </w:rPr>
        <w:t xml:space="preserve"> </w:t>
      </w:r>
      <w:proofErr w:type="spellStart"/>
      <w:r w:rsidR="00563920" w:rsidRPr="00A671BF">
        <w:rPr>
          <w:lang w:val="fr-FR"/>
        </w:rPr>
        <w:t>was</w:t>
      </w:r>
      <w:proofErr w:type="spellEnd"/>
      <w:r w:rsidR="00563920" w:rsidRPr="00A671BF">
        <w:rPr>
          <w:lang w:val="fr-FR"/>
        </w:rPr>
        <w:t xml:space="preserve"> </w:t>
      </w:r>
      <w:proofErr w:type="spellStart"/>
      <w:r w:rsidR="00FD7792" w:rsidRPr="00A671BF">
        <w:rPr>
          <w:lang w:val="fr-FR"/>
        </w:rPr>
        <w:t>such</w:t>
      </w:r>
      <w:proofErr w:type="spellEnd"/>
      <w:r w:rsidR="00FD7792" w:rsidRPr="00A671BF">
        <w:rPr>
          <w:lang w:val="fr-FR"/>
        </w:rPr>
        <w:t xml:space="preserve"> </w:t>
      </w:r>
      <w:proofErr w:type="spellStart"/>
      <w:r w:rsidR="00B976B0" w:rsidRPr="00A671BF">
        <w:rPr>
          <w:lang w:val="fr-FR"/>
        </w:rPr>
        <w:t>that</w:t>
      </w:r>
      <w:proofErr w:type="spellEnd"/>
      <w:r w:rsidR="00FD7792" w:rsidRPr="00A671BF">
        <w:rPr>
          <w:lang w:val="fr-FR"/>
        </w:rPr>
        <w:t xml:space="preserve"> ‘</w:t>
      </w:r>
      <w:r w:rsidR="00B976B0" w:rsidRPr="00A671BF">
        <w:rPr>
          <w:lang w:val="fr-FR"/>
        </w:rPr>
        <w:t xml:space="preserve">ils se désintéressent en général </w:t>
      </w:r>
      <w:r w:rsidR="001F0267" w:rsidRPr="00A671BF">
        <w:rPr>
          <w:lang w:val="fr-FR"/>
        </w:rPr>
        <w:t xml:space="preserve">de la </w:t>
      </w:r>
      <w:r w:rsidR="00FD7792" w:rsidRPr="00A671BF">
        <w:rPr>
          <w:lang w:val="fr-FR"/>
        </w:rPr>
        <w:t>politique et on conçoit mal, dans ces conditions, l’intérêt d’une agitation conduite dans ce milieu pour l</w:t>
      </w:r>
      <w:r w:rsidR="00A32785" w:rsidRPr="00A671BF">
        <w:rPr>
          <w:lang w:val="fr-FR"/>
        </w:rPr>
        <w:t>’émancipation du peuple Hindou’ (</w:t>
      </w:r>
      <w:r w:rsidR="00F52B70" w:rsidRPr="00A671BF">
        <w:rPr>
          <w:lang w:val="fr-FR"/>
        </w:rPr>
        <w:t>Préfet de Police, 1925)</w:t>
      </w:r>
      <w:r w:rsidR="00A32785" w:rsidRPr="00A671BF">
        <w:rPr>
          <w:lang w:val="fr-FR"/>
        </w:rPr>
        <w:t>.</w:t>
      </w:r>
      <w:r w:rsidR="00FD7792" w:rsidRPr="00A671BF">
        <w:rPr>
          <w:lang w:val="fr-FR"/>
        </w:rPr>
        <w:t xml:space="preserve"> </w:t>
      </w:r>
      <w:r w:rsidR="004609FA" w:rsidRPr="00A671BF">
        <w:t xml:space="preserve">A tiny enclave of sixteen Indians was also noted </w:t>
      </w:r>
      <w:r w:rsidR="004609FA" w:rsidRPr="00A671BF">
        <w:rPr>
          <w:szCs w:val="22"/>
        </w:rPr>
        <w:t>living in Marseille</w:t>
      </w:r>
      <w:r w:rsidR="004C32B8" w:rsidRPr="00A671BF">
        <w:rPr>
          <w:szCs w:val="22"/>
        </w:rPr>
        <w:t>,</w:t>
      </w:r>
      <w:r w:rsidR="004C32B8" w:rsidRPr="00A671BF">
        <w:t xml:space="preserve"> the natural port of entry to the metropole</w:t>
      </w:r>
      <w:r w:rsidR="004C32B8" w:rsidRPr="00A671BF">
        <w:rPr>
          <w:szCs w:val="22"/>
        </w:rPr>
        <w:t xml:space="preserve"> from India</w:t>
      </w:r>
      <w:r w:rsidR="00A32785" w:rsidRPr="00A671BF">
        <w:rPr>
          <w:szCs w:val="22"/>
        </w:rPr>
        <w:t xml:space="preserve"> (</w:t>
      </w:r>
      <w:r w:rsidR="00364AA5" w:rsidRPr="00A671BF">
        <w:rPr>
          <w:szCs w:val="22"/>
        </w:rPr>
        <w:t>CAI</w:t>
      </w:r>
      <w:r w:rsidR="00A32785" w:rsidRPr="00A671BF">
        <w:rPr>
          <w:szCs w:val="22"/>
        </w:rPr>
        <w:t>, 19</w:t>
      </w:r>
      <w:r w:rsidR="00364AA5" w:rsidRPr="00A671BF">
        <w:rPr>
          <w:szCs w:val="22"/>
        </w:rPr>
        <w:t>25a</w:t>
      </w:r>
      <w:r w:rsidR="00A32785" w:rsidRPr="00A671BF">
        <w:rPr>
          <w:szCs w:val="22"/>
        </w:rPr>
        <w:t>)</w:t>
      </w:r>
      <w:r w:rsidR="004609FA" w:rsidRPr="00A671BF">
        <w:rPr>
          <w:szCs w:val="22"/>
        </w:rPr>
        <w:t>.</w:t>
      </w:r>
      <w:r w:rsidR="00766C26" w:rsidRPr="00A671BF">
        <w:rPr>
          <w:szCs w:val="22"/>
        </w:rPr>
        <w:t xml:space="preserve"> </w:t>
      </w:r>
      <w:r w:rsidR="00823D17" w:rsidRPr="00A671BF">
        <w:rPr>
          <w:szCs w:val="22"/>
        </w:rPr>
        <w:t>These reports</w:t>
      </w:r>
      <w:r w:rsidR="004C32B8" w:rsidRPr="00A671BF">
        <w:rPr>
          <w:szCs w:val="22"/>
        </w:rPr>
        <w:t xml:space="preserve"> </w:t>
      </w:r>
      <w:r w:rsidR="00823D17" w:rsidRPr="00A671BF">
        <w:rPr>
          <w:szCs w:val="22"/>
        </w:rPr>
        <w:t>are limited in terms of what they reveal about</w:t>
      </w:r>
      <w:r w:rsidR="00A34BC2" w:rsidRPr="00A671BF">
        <w:rPr>
          <w:szCs w:val="22"/>
        </w:rPr>
        <w:t xml:space="preserve"> the overall</w:t>
      </w:r>
      <w:r w:rsidR="00823D17" w:rsidRPr="00A671BF">
        <w:rPr>
          <w:szCs w:val="22"/>
        </w:rPr>
        <w:t xml:space="preserve"> Indian</w:t>
      </w:r>
      <w:r w:rsidR="00A34BC2" w:rsidRPr="00A671BF">
        <w:rPr>
          <w:szCs w:val="22"/>
        </w:rPr>
        <w:t xml:space="preserve"> population</w:t>
      </w:r>
      <w:r w:rsidR="00823D17" w:rsidRPr="00A671BF">
        <w:rPr>
          <w:szCs w:val="22"/>
        </w:rPr>
        <w:t xml:space="preserve"> in France, making</w:t>
      </w:r>
      <w:r w:rsidR="00FD7792" w:rsidRPr="00A671BF">
        <w:rPr>
          <w:szCs w:val="22"/>
        </w:rPr>
        <w:t xml:space="preserve"> no mention </w:t>
      </w:r>
      <w:r w:rsidR="003B062E" w:rsidRPr="00A671BF">
        <w:rPr>
          <w:szCs w:val="22"/>
        </w:rPr>
        <w:t xml:space="preserve">of the small numbers of Indians who </w:t>
      </w:r>
      <w:r w:rsidR="008C062A" w:rsidRPr="00A671BF">
        <w:rPr>
          <w:szCs w:val="22"/>
        </w:rPr>
        <w:t>lived</w:t>
      </w:r>
      <w:r w:rsidR="003B062E" w:rsidRPr="00A671BF">
        <w:rPr>
          <w:szCs w:val="22"/>
        </w:rPr>
        <w:t xml:space="preserve">, </w:t>
      </w:r>
      <w:r w:rsidR="004C32B8" w:rsidRPr="00A671BF">
        <w:rPr>
          <w:szCs w:val="22"/>
        </w:rPr>
        <w:t>often</w:t>
      </w:r>
      <w:r w:rsidR="003B062E" w:rsidRPr="00A671BF">
        <w:rPr>
          <w:szCs w:val="22"/>
        </w:rPr>
        <w:t xml:space="preserve"> clandestinely, in the port cities of Bordeaux, Nantes, Lorient and La Rochelle</w:t>
      </w:r>
      <w:r w:rsidR="008C062A" w:rsidRPr="00A671BF">
        <w:rPr>
          <w:szCs w:val="22"/>
        </w:rPr>
        <w:t xml:space="preserve"> where there had been an Indian presence</w:t>
      </w:r>
      <w:r w:rsidR="003B062E" w:rsidRPr="00A671BF">
        <w:rPr>
          <w:szCs w:val="22"/>
        </w:rPr>
        <w:t xml:space="preserve"> since the eighteenth century, </w:t>
      </w:r>
      <w:r w:rsidR="00B976B0" w:rsidRPr="00A671BF">
        <w:rPr>
          <w:szCs w:val="22"/>
        </w:rPr>
        <w:t xml:space="preserve">or </w:t>
      </w:r>
      <w:r w:rsidR="004C32B8" w:rsidRPr="00A671BF">
        <w:rPr>
          <w:szCs w:val="22"/>
        </w:rPr>
        <w:t>troupe</w:t>
      </w:r>
      <w:r w:rsidR="003B062E" w:rsidRPr="00A671BF">
        <w:rPr>
          <w:szCs w:val="22"/>
        </w:rPr>
        <w:t>s of Indian dancers who</w:t>
      </w:r>
      <w:r w:rsidR="00C2222B" w:rsidRPr="00A671BF">
        <w:rPr>
          <w:szCs w:val="22"/>
        </w:rPr>
        <w:t xml:space="preserve"> regularly</w:t>
      </w:r>
      <w:r w:rsidR="003B062E" w:rsidRPr="00A671BF">
        <w:rPr>
          <w:szCs w:val="22"/>
        </w:rPr>
        <w:t xml:space="preserve"> travelled and performed across France and Europe </w:t>
      </w:r>
      <w:r w:rsidR="00F805C4" w:rsidRPr="00A671BF">
        <w:rPr>
          <w:szCs w:val="22"/>
        </w:rPr>
        <w:t>and had done so since the middle of the nineteenth century</w:t>
      </w:r>
      <w:r w:rsidR="00A32785" w:rsidRPr="00A671BF">
        <w:rPr>
          <w:szCs w:val="22"/>
        </w:rPr>
        <w:t xml:space="preserve"> (</w:t>
      </w:r>
      <w:proofErr w:type="spellStart"/>
      <w:r w:rsidR="00A32785" w:rsidRPr="00A671BF">
        <w:t>Servan</w:t>
      </w:r>
      <w:proofErr w:type="spellEnd"/>
      <w:r w:rsidR="00A32785" w:rsidRPr="00A671BF">
        <w:t xml:space="preserve">-Schreiber and </w:t>
      </w:r>
      <w:proofErr w:type="spellStart"/>
      <w:r w:rsidR="00A32785" w:rsidRPr="00A671BF">
        <w:t>Vuddamalay</w:t>
      </w:r>
      <w:proofErr w:type="spellEnd"/>
      <w:r w:rsidR="00A32785" w:rsidRPr="00A671BF">
        <w:t>, 2007: 10)</w:t>
      </w:r>
      <w:r w:rsidR="00823D17" w:rsidRPr="00A671BF">
        <w:rPr>
          <w:szCs w:val="22"/>
        </w:rPr>
        <w:t>.</w:t>
      </w:r>
      <w:r w:rsidR="00B976B0" w:rsidRPr="00A671BF">
        <w:rPr>
          <w:szCs w:val="22"/>
        </w:rPr>
        <w:t xml:space="preserve"> </w:t>
      </w:r>
      <w:r w:rsidR="00C244E2" w:rsidRPr="00A671BF">
        <w:rPr>
          <w:szCs w:val="22"/>
        </w:rPr>
        <w:t>Later police</w:t>
      </w:r>
      <w:r w:rsidR="00FD7792" w:rsidRPr="00A671BF">
        <w:rPr>
          <w:szCs w:val="22"/>
        </w:rPr>
        <w:t xml:space="preserve"> reports, notably at the time of Gandhi’s visit to Paris in December 1931 following the failure of the Round Table </w:t>
      </w:r>
      <w:r w:rsidR="00BC4C1E" w:rsidRPr="00A671BF">
        <w:rPr>
          <w:szCs w:val="22"/>
        </w:rPr>
        <w:t>Conference</w:t>
      </w:r>
      <w:r w:rsidR="00FD7792" w:rsidRPr="00A671BF">
        <w:rPr>
          <w:szCs w:val="22"/>
        </w:rPr>
        <w:t xml:space="preserve"> in London</w:t>
      </w:r>
      <w:r w:rsidR="00823D17" w:rsidRPr="00A671BF">
        <w:rPr>
          <w:szCs w:val="22"/>
        </w:rPr>
        <w:t>,</w:t>
      </w:r>
      <w:r w:rsidR="00FD7792" w:rsidRPr="00A671BF">
        <w:rPr>
          <w:szCs w:val="22"/>
        </w:rPr>
        <w:t xml:space="preserve"> suggest that, as with other </w:t>
      </w:r>
      <w:r w:rsidR="00B906AD" w:rsidRPr="00A671BF">
        <w:rPr>
          <w:szCs w:val="22"/>
        </w:rPr>
        <w:t>migrant communities, the number</w:t>
      </w:r>
      <w:r w:rsidR="00FD7792" w:rsidRPr="00A671BF">
        <w:rPr>
          <w:szCs w:val="22"/>
        </w:rPr>
        <w:t xml:space="preserve"> of Indians in </w:t>
      </w:r>
      <w:r w:rsidR="00FD7AAF" w:rsidRPr="00A671BF">
        <w:rPr>
          <w:szCs w:val="22"/>
        </w:rPr>
        <w:t>Paris</w:t>
      </w:r>
      <w:r w:rsidR="00B976B0" w:rsidRPr="00A671BF">
        <w:rPr>
          <w:szCs w:val="22"/>
        </w:rPr>
        <w:t xml:space="preserve"> remained stable at around 500 during the 1920s before falling in the </w:t>
      </w:r>
      <w:r w:rsidR="00B976B0" w:rsidRPr="00A671BF">
        <w:rPr>
          <w:szCs w:val="22"/>
        </w:rPr>
        <w:lastRenderedPageBreak/>
        <w:t>early 1930s after the economic crisis.</w:t>
      </w:r>
      <w:r w:rsidR="00FD7792" w:rsidRPr="00A671BF">
        <w:rPr>
          <w:szCs w:val="22"/>
        </w:rPr>
        <w:t xml:space="preserve"> A report of 4 December 1931 </w:t>
      </w:r>
      <w:r w:rsidR="00A70817" w:rsidRPr="00A671BF">
        <w:rPr>
          <w:szCs w:val="22"/>
        </w:rPr>
        <w:t>notes</w:t>
      </w:r>
      <w:r w:rsidR="00FD7792" w:rsidRPr="00A671BF">
        <w:rPr>
          <w:szCs w:val="22"/>
        </w:rPr>
        <w:t xml:space="preserve"> that the ‘</w:t>
      </w:r>
      <w:proofErr w:type="spellStart"/>
      <w:r w:rsidR="00FD7792" w:rsidRPr="00A671BF">
        <w:rPr>
          <w:szCs w:val="22"/>
        </w:rPr>
        <w:t>colonie</w:t>
      </w:r>
      <w:proofErr w:type="spellEnd"/>
      <w:r w:rsidR="00FD7792" w:rsidRPr="00A671BF">
        <w:rPr>
          <w:szCs w:val="22"/>
        </w:rPr>
        <w:t xml:space="preserve"> </w:t>
      </w:r>
      <w:proofErr w:type="spellStart"/>
      <w:r w:rsidR="00FD7792" w:rsidRPr="00A671BF">
        <w:rPr>
          <w:szCs w:val="22"/>
        </w:rPr>
        <w:t>hindou</w:t>
      </w:r>
      <w:r w:rsidR="00C244E2" w:rsidRPr="00A671BF">
        <w:rPr>
          <w:szCs w:val="22"/>
        </w:rPr>
        <w:t>e</w:t>
      </w:r>
      <w:proofErr w:type="spellEnd"/>
      <w:r w:rsidR="00FD7792" w:rsidRPr="00A671BF">
        <w:rPr>
          <w:szCs w:val="22"/>
        </w:rPr>
        <w:t>’</w:t>
      </w:r>
      <w:r w:rsidR="00C244E2" w:rsidRPr="00A671BF">
        <w:rPr>
          <w:szCs w:val="22"/>
        </w:rPr>
        <w:t xml:space="preserve"> (</w:t>
      </w:r>
      <w:r w:rsidR="00FD7AAF" w:rsidRPr="00A671BF">
        <w:rPr>
          <w:szCs w:val="22"/>
        </w:rPr>
        <w:t xml:space="preserve">the terminology used to </w:t>
      </w:r>
      <w:r w:rsidR="003E2E41" w:rsidRPr="00A671BF">
        <w:rPr>
          <w:szCs w:val="22"/>
        </w:rPr>
        <w:t>classify</w:t>
      </w:r>
      <w:r w:rsidR="00FD7AAF" w:rsidRPr="00A671BF">
        <w:rPr>
          <w:szCs w:val="22"/>
        </w:rPr>
        <w:t xml:space="preserve"> Indians no matter </w:t>
      </w:r>
      <w:r w:rsidR="00B906AD" w:rsidRPr="00A671BF">
        <w:rPr>
          <w:szCs w:val="22"/>
        </w:rPr>
        <w:t xml:space="preserve">what </w:t>
      </w:r>
      <w:r w:rsidR="00FD7AAF" w:rsidRPr="00A671BF">
        <w:rPr>
          <w:szCs w:val="22"/>
        </w:rPr>
        <w:t>their religion</w:t>
      </w:r>
      <w:r w:rsidR="00C244E2" w:rsidRPr="00A671BF">
        <w:t xml:space="preserve">) </w:t>
      </w:r>
      <w:r w:rsidR="00FD7792" w:rsidRPr="00A671BF">
        <w:rPr>
          <w:szCs w:val="22"/>
        </w:rPr>
        <w:t>by this point number</w:t>
      </w:r>
      <w:r w:rsidR="00FD7AAF" w:rsidRPr="00A671BF">
        <w:rPr>
          <w:szCs w:val="22"/>
        </w:rPr>
        <w:t>ed</w:t>
      </w:r>
      <w:r w:rsidR="00FD7792" w:rsidRPr="00A671BF">
        <w:rPr>
          <w:szCs w:val="22"/>
        </w:rPr>
        <w:t xml:space="preserve"> approximately 200</w:t>
      </w:r>
      <w:r w:rsidR="00A32785" w:rsidRPr="00A671BF">
        <w:rPr>
          <w:szCs w:val="22"/>
        </w:rPr>
        <w:t xml:space="preserve"> (Directeur, 1931</w:t>
      </w:r>
      <w:r w:rsidR="00E74255" w:rsidRPr="00A671BF">
        <w:rPr>
          <w:szCs w:val="22"/>
        </w:rPr>
        <w:t>a</w:t>
      </w:r>
      <w:r w:rsidR="00A32785" w:rsidRPr="00A671BF">
        <w:rPr>
          <w:szCs w:val="22"/>
        </w:rPr>
        <w:t>)</w:t>
      </w:r>
      <w:r w:rsidR="00FD7792" w:rsidRPr="00A671BF">
        <w:rPr>
          <w:szCs w:val="22"/>
        </w:rPr>
        <w:t>.</w:t>
      </w:r>
    </w:p>
    <w:p w:rsidR="00E159C9" w:rsidRPr="00A671BF" w:rsidRDefault="00766C26" w:rsidP="0038784E">
      <w:pPr>
        <w:spacing w:line="360" w:lineRule="auto"/>
        <w:ind w:firstLine="720"/>
        <w:rPr>
          <w:szCs w:val="22"/>
        </w:rPr>
      </w:pPr>
      <w:r w:rsidRPr="00A671BF">
        <w:rPr>
          <w:szCs w:val="22"/>
        </w:rPr>
        <w:t>The arrival of Indian migrants in Paris after 1919 was</w:t>
      </w:r>
      <w:r w:rsidR="00C244E2" w:rsidRPr="00A671BF">
        <w:rPr>
          <w:szCs w:val="22"/>
        </w:rPr>
        <w:t xml:space="preserve"> </w:t>
      </w:r>
      <w:r w:rsidRPr="00A671BF">
        <w:rPr>
          <w:szCs w:val="22"/>
        </w:rPr>
        <w:t>due</w:t>
      </w:r>
      <w:r w:rsidR="0083409A" w:rsidRPr="00A671BF">
        <w:rPr>
          <w:szCs w:val="22"/>
        </w:rPr>
        <w:t xml:space="preserve"> in part</w:t>
      </w:r>
      <w:r w:rsidR="00C244E2" w:rsidRPr="00A671BF">
        <w:rPr>
          <w:szCs w:val="22"/>
        </w:rPr>
        <w:t xml:space="preserve"> </w:t>
      </w:r>
      <w:r w:rsidRPr="00A671BF">
        <w:rPr>
          <w:szCs w:val="22"/>
        </w:rPr>
        <w:t xml:space="preserve">to the political and geographical factors that made the city into </w:t>
      </w:r>
      <w:r w:rsidR="009F2714" w:rsidRPr="00A671BF">
        <w:t>a global centre for anti</w:t>
      </w:r>
      <w:r w:rsidR="0044602E" w:rsidRPr="00A671BF">
        <w:t>colonial a</w:t>
      </w:r>
      <w:r w:rsidR="00FD7AAF" w:rsidRPr="00A671BF">
        <w:t>nd revolutionary activity</w:t>
      </w:r>
      <w:r w:rsidR="00B26E00" w:rsidRPr="00A671BF">
        <w:t xml:space="preserve">, not least </w:t>
      </w:r>
      <w:r w:rsidR="00663CA9" w:rsidRPr="00A671BF">
        <w:t xml:space="preserve">the ‘Wilsonian moment’ at the peace conference of 1919 </w:t>
      </w:r>
      <w:r w:rsidR="00B26E00" w:rsidRPr="00A671BF">
        <w:t xml:space="preserve">that </w:t>
      </w:r>
      <w:r w:rsidR="00663CA9" w:rsidRPr="00A671BF">
        <w:t>had appeared to sanction the right to national self-determination</w:t>
      </w:r>
      <w:r w:rsidR="00766E75" w:rsidRPr="00A671BF">
        <w:t xml:space="preserve"> (</w:t>
      </w:r>
      <w:proofErr w:type="spellStart"/>
      <w:r w:rsidR="00766E75" w:rsidRPr="00A671BF">
        <w:t>Liauzu</w:t>
      </w:r>
      <w:proofErr w:type="spellEnd"/>
      <w:r w:rsidR="00766E75" w:rsidRPr="00A671BF">
        <w:t>, 1982: 102; Manuela, 2007)</w:t>
      </w:r>
      <w:r w:rsidR="00663CA9" w:rsidRPr="00A671BF">
        <w:t>.</w:t>
      </w:r>
      <w:r w:rsidR="00AF1901" w:rsidRPr="00A671BF">
        <w:rPr>
          <w:rStyle w:val="FootnoteReference"/>
        </w:rPr>
        <w:t xml:space="preserve"> </w:t>
      </w:r>
      <w:r w:rsidR="00A30101" w:rsidRPr="00A671BF">
        <w:rPr>
          <w:szCs w:val="22"/>
        </w:rPr>
        <w:t>The importance of Paris as a sympathetic home for Indian nationalists, however, predated 1914.</w:t>
      </w:r>
      <w:r w:rsidR="000060C0" w:rsidRPr="00A671BF">
        <w:rPr>
          <w:szCs w:val="22"/>
        </w:rPr>
        <w:t xml:space="preserve"> </w:t>
      </w:r>
      <w:r w:rsidR="00061752" w:rsidRPr="00A671BF">
        <w:rPr>
          <w:szCs w:val="22"/>
        </w:rPr>
        <w:t>The Paris Indian Society was established in 1905</w:t>
      </w:r>
      <w:r w:rsidR="009F2714" w:rsidRPr="00A671BF">
        <w:rPr>
          <w:szCs w:val="22"/>
        </w:rPr>
        <w:t>.</w:t>
      </w:r>
      <w:r w:rsidR="000060C0" w:rsidRPr="00A671BF">
        <w:rPr>
          <w:szCs w:val="22"/>
        </w:rPr>
        <w:t xml:space="preserve"> </w:t>
      </w:r>
      <w:r w:rsidR="009F2714" w:rsidRPr="00A671BF">
        <w:rPr>
          <w:szCs w:val="22"/>
        </w:rPr>
        <w:t>I</w:t>
      </w:r>
      <w:r w:rsidR="00061752" w:rsidRPr="00A671BF">
        <w:rPr>
          <w:szCs w:val="22"/>
        </w:rPr>
        <w:t xml:space="preserve">ts </w:t>
      </w:r>
      <w:r w:rsidR="009F2714" w:rsidRPr="00A671BF">
        <w:rPr>
          <w:szCs w:val="22"/>
        </w:rPr>
        <w:t>creator</w:t>
      </w:r>
      <w:r w:rsidR="00061752" w:rsidRPr="00A671BF">
        <w:rPr>
          <w:szCs w:val="22"/>
        </w:rPr>
        <w:t xml:space="preserve">, S. R. Rana, </w:t>
      </w:r>
      <w:r w:rsidR="009F2714" w:rsidRPr="00A671BF">
        <w:rPr>
          <w:szCs w:val="22"/>
        </w:rPr>
        <w:t>was also</w:t>
      </w:r>
      <w:r w:rsidR="00061752" w:rsidRPr="00A671BF">
        <w:rPr>
          <w:szCs w:val="22"/>
        </w:rPr>
        <w:t xml:space="preserve"> the </w:t>
      </w:r>
      <w:r w:rsidR="00A30101" w:rsidRPr="00A671BF">
        <w:rPr>
          <w:szCs w:val="22"/>
        </w:rPr>
        <w:t>v</w:t>
      </w:r>
      <w:r w:rsidR="00061752" w:rsidRPr="00A671BF">
        <w:rPr>
          <w:szCs w:val="22"/>
        </w:rPr>
        <w:t>ice-</w:t>
      </w:r>
      <w:r w:rsidR="00A30101" w:rsidRPr="00A671BF">
        <w:rPr>
          <w:szCs w:val="22"/>
        </w:rPr>
        <w:t>p</w:t>
      </w:r>
      <w:r w:rsidR="00061752" w:rsidRPr="00A671BF">
        <w:rPr>
          <w:szCs w:val="22"/>
        </w:rPr>
        <w:t>resident of the Home Rule Society of London, a secret society which</w:t>
      </w:r>
      <w:r w:rsidR="008F7133" w:rsidRPr="00A671BF">
        <w:rPr>
          <w:szCs w:val="22"/>
        </w:rPr>
        <w:t>,</w:t>
      </w:r>
      <w:r w:rsidR="00061752" w:rsidRPr="00A671BF">
        <w:rPr>
          <w:szCs w:val="22"/>
        </w:rPr>
        <w:t xml:space="preserve"> </w:t>
      </w:r>
      <w:r w:rsidR="001D6EE5" w:rsidRPr="00A671BF">
        <w:rPr>
          <w:szCs w:val="22"/>
        </w:rPr>
        <w:t>inspired by the Irish example and in the wake of the partition of Bengal</w:t>
      </w:r>
      <w:r w:rsidR="003535F3" w:rsidRPr="00A671BF">
        <w:rPr>
          <w:szCs w:val="22"/>
        </w:rPr>
        <w:t xml:space="preserve"> (1905)</w:t>
      </w:r>
      <w:r w:rsidR="001D6EE5" w:rsidRPr="00A671BF">
        <w:rPr>
          <w:szCs w:val="22"/>
        </w:rPr>
        <w:t xml:space="preserve">, argued for a complete withdrawal of the British from India. Founded by </w:t>
      </w:r>
      <w:proofErr w:type="spellStart"/>
      <w:r w:rsidR="001D6EE5" w:rsidRPr="00A671BF">
        <w:rPr>
          <w:szCs w:val="22"/>
        </w:rPr>
        <w:t>Shyam</w:t>
      </w:r>
      <w:proofErr w:type="spellEnd"/>
      <w:r w:rsidR="001D6EE5" w:rsidRPr="00A671BF">
        <w:rPr>
          <w:szCs w:val="22"/>
        </w:rPr>
        <w:t xml:space="preserve"> </w:t>
      </w:r>
      <w:proofErr w:type="spellStart"/>
      <w:r w:rsidR="001D6EE5" w:rsidRPr="00A671BF">
        <w:rPr>
          <w:szCs w:val="22"/>
        </w:rPr>
        <w:t>K</w:t>
      </w:r>
      <w:r w:rsidR="005D6321" w:rsidRPr="00A671BF">
        <w:rPr>
          <w:szCs w:val="22"/>
        </w:rPr>
        <w:t>rishnavarma</w:t>
      </w:r>
      <w:proofErr w:type="spellEnd"/>
      <w:r w:rsidR="00D82F78" w:rsidRPr="00A671BF">
        <w:rPr>
          <w:szCs w:val="22"/>
        </w:rPr>
        <w:t xml:space="preserve"> in the same year that</w:t>
      </w:r>
      <w:r w:rsidR="001D6EE5" w:rsidRPr="00A671BF">
        <w:rPr>
          <w:szCs w:val="22"/>
        </w:rPr>
        <w:t xml:space="preserve"> he </w:t>
      </w:r>
      <w:r w:rsidR="00F805C4" w:rsidRPr="00A671BF">
        <w:rPr>
          <w:szCs w:val="22"/>
        </w:rPr>
        <w:t>started</w:t>
      </w:r>
      <w:r w:rsidR="001D6EE5" w:rsidRPr="00A671BF">
        <w:rPr>
          <w:szCs w:val="22"/>
        </w:rPr>
        <w:t xml:space="preserve"> the </w:t>
      </w:r>
      <w:r w:rsidR="00FB28C4" w:rsidRPr="00A671BF">
        <w:rPr>
          <w:szCs w:val="22"/>
        </w:rPr>
        <w:t xml:space="preserve">nationalist journal the </w:t>
      </w:r>
      <w:r w:rsidR="001D6EE5" w:rsidRPr="00A671BF">
        <w:rPr>
          <w:i/>
          <w:szCs w:val="22"/>
        </w:rPr>
        <w:t>Indian Sociologist</w:t>
      </w:r>
      <w:r w:rsidR="001D6EE5" w:rsidRPr="00A671BF">
        <w:rPr>
          <w:szCs w:val="22"/>
        </w:rPr>
        <w:t>, it became the focal point of a more</w:t>
      </w:r>
      <w:r w:rsidR="00CC28D5" w:rsidRPr="00A671BF">
        <w:rPr>
          <w:szCs w:val="22"/>
        </w:rPr>
        <w:t xml:space="preserve"> radical</w:t>
      </w:r>
      <w:r w:rsidR="001D6EE5" w:rsidRPr="00A671BF">
        <w:rPr>
          <w:szCs w:val="22"/>
        </w:rPr>
        <w:t xml:space="preserve"> approach to the British occupation of India, linked </w:t>
      </w:r>
      <w:r w:rsidR="005D6321" w:rsidRPr="00A671BF">
        <w:rPr>
          <w:szCs w:val="22"/>
        </w:rPr>
        <w:t>with</w:t>
      </w:r>
      <w:r w:rsidR="001D6EE5" w:rsidRPr="00A671BF">
        <w:rPr>
          <w:szCs w:val="22"/>
        </w:rPr>
        <w:t xml:space="preserve"> the faction in India </w:t>
      </w:r>
      <w:r w:rsidR="005D6321" w:rsidRPr="00A671BF">
        <w:rPr>
          <w:szCs w:val="22"/>
        </w:rPr>
        <w:t>that</w:t>
      </w:r>
      <w:r w:rsidR="001D6EE5" w:rsidRPr="00A671BF">
        <w:rPr>
          <w:szCs w:val="22"/>
        </w:rPr>
        <w:t xml:space="preserve"> launched a nationwide agitation movement for </w:t>
      </w:r>
      <w:r w:rsidR="001D6EE5" w:rsidRPr="00A671BF">
        <w:rPr>
          <w:i/>
          <w:szCs w:val="22"/>
        </w:rPr>
        <w:t>Swadeshi</w:t>
      </w:r>
      <w:r w:rsidR="00FB28C4" w:rsidRPr="00A671BF">
        <w:rPr>
          <w:szCs w:val="22"/>
        </w:rPr>
        <w:t xml:space="preserve"> (self-sufficiency outside of British rule</w:t>
      </w:r>
      <w:r w:rsidR="005D6321" w:rsidRPr="00A671BF">
        <w:rPr>
          <w:szCs w:val="22"/>
        </w:rPr>
        <w:t xml:space="preserve">) in contrast to the peaceful approach to </w:t>
      </w:r>
      <w:r w:rsidR="002D2B2A" w:rsidRPr="00A671BF">
        <w:rPr>
          <w:szCs w:val="22"/>
        </w:rPr>
        <w:t xml:space="preserve">the </w:t>
      </w:r>
      <w:r w:rsidR="005D6321" w:rsidRPr="00A671BF">
        <w:rPr>
          <w:szCs w:val="22"/>
        </w:rPr>
        <w:t xml:space="preserve">partition </w:t>
      </w:r>
      <w:r w:rsidR="002D2B2A" w:rsidRPr="00A671BF">
        <w:rPr>
          <w:szCs w:val="22"/>
        </w:rPr>
        <w:t xml:space="preserve">of Bengal </w:t>
      </w:r>
      <w:r w:rsidR="005D6321" w:rsidRPr="00A671BF">
        <w:rPr>
          <w:szCs w:val="22"/>
        </w:rPr>
        <w:t>favoured by the Indian National Congress</w:t>
      </w:r>
      <w:r w:rsidR="00766E75" w:rsidRPr="00A671BF">
        <w:rPr>
          <w:szCs w:val="22"/>
        </w:rPr>
        <w:t xml:space="preserve"> (</w:t>
      </w:r>
      <w:proofErr w:type="spellStart"/>
      <w:r w:rsidR="00766E75" w:rsidRPr="00A671BF">
        <w:t>Bakhle</w:t>
      </w:r>
      <w:proofErr w:type="spellEnd"/>
      <w:r w:rsidR="00766E75" w:rsidRPr="00A671BF">
        <w:t>, 2010: 53)</w:t>
      </w:r>
      <w:r w:rsidR="001D6EE5" w:rsidRPr="00A671BF">
        <w:rPr>
          <w:szCs w:val="22"/>
        </w:rPr>
        <w:t>.</w:t>
      </w:r>
      <w:r w:rsidR="001D6EE5" w:rsidRPr="00A671BF">
        <w:rPr>
          <w:i/>
          <w:szCs w:val="22"/>
        </w:rPr>
        <w:t xml:space="preserve"> </w:t>
      </w:r>
      <w:proofErr w:type="spellStart"/>
      <w:r w:rsidR="001D6EE5" w:rsidRPr="00A671BF">
        <w:rPr>
          <w:szCs w:val="22"/>
        </w:rPr>
        <w:t>Krishnavarma’s</w:t>
      </w:r>
      <w:proofErr w:type="spellEnd"/>
      <w:r w:rsidR="001D6EE5" w:rsidRPr="00A671BF">
        <w:rPr>
          <w:szCs w:val="22"/>
        </w:rPr>
        <w:t xml:space="preserve"> house in Highgate</w:t>
      </w:r>
      <w:r w:rsidR="003535F3" w:rsidRPr="00A671BF">
        <w:rPr>
          <w:szCs w:val="22"/>
        </w:rPr>
        <w:t>,</w:t>
      </w:r>
      <w:r w:rsidR="001D6EE5" w:rsidRPr="00A671BF">
        <w:rPr>
          <w:szCs w:val="22"/>
        </w:rPr>
        <w:t xml:space="preserve"> called ‘India House’</w:t>
      </w:r>
      <w:r w:rsidR="003535F3" w:rsidRPr="00A671BF">
        <w:rPr>
          <w:szCs w:val="22"/>
        </w:rPr>
        <w:t>,</w:t>
      </w:r>
      <w:r w:rsidR="001D6EE5" w:rsidRPr="00A671BF">
        <w:rPr>
          <w:szCs w:val="22"/>
        </w:rPr>
        <w:t xml:space="preserve"> served as a meeting place and hostel for Indi</w:t>
      </w:r>
      <w:r w:rsidR="008F7133" w:rsidRPr="00A671BF">
        <w:rPr>
          <w:szCs w:val="22"/>
        </w:rPr>
        <w:t xml:space="preserve">an students studying in London, </w:t>
      </w:r>
      <w:r w:rsidR="003438DA" w:rsidRPr="00A671BF">
        <w:rPr>
          <w:szCs w:val="22"/>
        </w:rPr>
        <w:t>and</w:t>
      </w:r>
      <w:r w:rsidR="008F7133" w:rsidRPr="00A671BF">
        <w:rPr>
          <w:szCs w:val="22"/>
        </w:rPr>
        <w:t xml:space="preserve"> was viewed by the authorities as the </w:t>
      </w:r>
      <w:r w:rsidR="005D6321" w:rsidRPr="00A671BF">
        <w:rPr>
          <w:szCs w:val="22"/>
        </w:rPr>
        <w:t>British</w:t>
      </w:r>
      <w:r w:rsidR="00563920" w:rsidRPr="00A671BF">
        <w:rPr>
          <w:szCs w:val="22"/>
        </w:rPr>
        <w:t xml:space="preserve"> </w:t>
      </w:r>
      <w:r w:rsidR="008F7133" w:rsidRPr="00A671BF">
        <w:rPr>
          <w:szCs w:val="22"/>
        </w:rPr>
        <w:t>centre of Indian revolutionary activity</w:t>
      </w:r>
      <w:r w:rsidR="00766E75" w:rsidRPr="00A671BF">
        <w:rPr>
          <w:szCs w:val="22"/>
        </w:rPr>
        <w:t xml:space="preserve"> (</w:t>
      </w:r>
      <w:proofErr w:type="spellStart"/>
      <w:r w:rsidR="00766E75" w:rsidRPr="00A671BF">
        <w:t>Bakhle</w:t>
      </w:r>
      <w:proofErr w:type="spellEnd"/>
      <w:r w:rsidR="00766E75" w:rsidRPr="00A671BF">
        <w:t>, 2010: 52)</w:t>
      </w:r>
      <w:r w:rsidR="00AD1B4A" w:rsidRPr="00A671BF">
        <w:rPr>
          <w:szCs w:val="22"/>
        </w:rPr>
        <w:t>.</w:t>
      </w:r>
      <w:r w:rsidR="00766E75" w:rsidRPr="00A671BF">
        <w:rPr>
          <w:szCs w:val="22"/>
        </w:rPr>
        <w:t xml:space="preserve"> </w:t>
      </w:r>
      <w:r w:rsidR="008F7133" w:rsidRPr="00A671BF">
        <w:rPr>
          <w:szCs w:val="22"/>
        </w:rPr>
        <w:t xml:space="preserve">As police surveillance of Indian revolutionaries </w:t>
      </w:r>
      <w:r w:rsidR="001D6EE5" w:rsidRPr="00A671BF">
        <w:rPr>
          <w:szCs w:val="22"/>
        </w:rPr>
        <w:t>intensified</w:t>
      </w:r>
      <w:r w:rsidR="00FB788F" w:rsidRPr="00A671BF">
        <w:rPr>
          <w:szCs w:val="22"/>
        </w:rPr>
        <w:t xml:space="preserve">, </w:t>
      </w:r>
      <w:proofErr w:type="spellStart"/>
      <w:r w:rsidR="00FB788F" w:rsidRPr="00A671BF">
        <w:rPr>
          <w:szCs w:val="22"/>
        </w:rPr>
        <w:t>Krishnavarma</w:t>
      </w:r>
      <w:proofErr w:type="spellEnd"/>
      <w:r w:rsidR="00FB788F" w:rsidRPr="00A671BF">
        <w:rPr>
          <w:szCs w:val="22"/>
        </w:rPr>
        <w:t xml:space="preserve"> moved to Paris to escape prosecution</w:t>
      </w:r>
      <w:r w:rsidR="004834D9" w:rsidRPr="00A671BF">
        <w:rPr>
          <w:szCs w:val="22"/>
        </w:rPr>
        <w:t>,</w:t>
      </w:r>
      <w:r w:rsidR="00FB788F" w:rsidRPr="00A671BF">
        <w:rPr>
          <w:szCs w:val="22"/>
        </w:rPr>
        <w:t xml:space="preserve"> and Paris became the centre of anti-British activities, </w:t>
      </w:r>
      <w:r w:rsidR="008F7133" w:rsidRPr="00A671BF">
        <w:rPr>
          <w:szCs w:val="22"/>
        </w:rPr>
        <w:t xml:space="preserve">be they violent — with bomb-making learned from </w:t>
      </w:r>
      <w:r w:rsidR="00FB788F" w:rsidRPr="00A671BF">
        <w:rPr>
          <w:szCs w:val="22"/>
        </w:rPr>
        <w:t>Russian exiles</w:t>
      </w:r>
      <w:r w:rsidR="00D82F78" w:rsidRPr="00A671BF">
        <w:rPr>
          <w:szCs w:val="22"/>
        </w:rPr>
        <w:t xml:space="preserve"> — or</w:t>
      </w:r>
      <w:r w:rsidR="008F7133" w:rsidRPr="00A671BF">
        <w:rPr>
          <w:szCs w:val="22"/>
        </w:rPr>
        <w:t xml:space="preserve"> nonviolent</w:t>
      </w:r>
      <w:r w:rsidR="006845FD" w:rsidRPr="00A671BF">
        <w:rPr>
          <w:szCs w:val="22"/>
        </w:rPr>
        <w:t xml:space="preserve">. </w:t>
      </w:r>
      <w:proofErr w:type="spellStart"/>
      <w:r w:rsidR="006845FD" w:rsidRPr="00A671BF">
        <w:rPr>
          <w:szCs w:val="22"/>
        </w:rPr>
        <w:t>Krishnavarma</w:t>
      </w:r>
      <w:proofErr w:type="spellEnd"/>
      <w:r w:rsidR="006845FD" w:rsidRPr="00A671BF">
        <w:rPr>
          <w:szCs w:val="22"/>
        </w:rPr>
        <w:t>,</w:t>
      </w:r>
      <w:r w:rsidR="005258E6" w:rsidRPr="00A671BF">
        <w:rPr>
          <w:szCs w:val="22"/>
        </w:rPr>
        <w:t xml:space="preserve"> for example, </w:t>
      </w:r>
      <w:r w:rsidR="006845FD" w:rsidRPr="00A671BF">
        <w:rPr>
          <w:szCs w:val="22"/>
        </w:rPr>
        <w:t>effectively subverted the</w:t>
      </w:r>
      <w:r w:rsidR="005258E6" w:rsidRPr="00A671BF">
        <w:rPr>
          <w:szCs w:val="22"/>
        </w:rPr>
        <w:t xml:space="preserve"> P</w:t>
      </w:r>
      <w:r w:rsidR="00FB788F" w:rsidRPr="00A671BF">
        <w:rPr>
          <w:szCs w:val="22"/>
        </w:rPr>
        <w:t xml:space="preserve">ress Act of 1910 </w:t>
      </w:r>
      <w:r w:rsidR="008F7133" w:rsidRPr="00A671BF">
        <w:rPr>
          <w:szCs w:val="22"/>
        </w:rPr>
        <w:t xml:space="preserve">by </w:t>
      </w:r>
      <w:r w:rsidR="00FB788F" w:rsidRPr="00A671BF">
        <w:rPr>
          <w:szCs w:val="22"/>
        </w:rPr>
        <w:t>printing revolutionary literature</w:t>
      </w:r>
      <w:r w:rsidR="006845FD" w:rsidRPr="00A671BF">
        <w:rPr>
          <w:szCs w:val="22"/>
        </w:rPr>
        <w:t xml:space="preserve"> in France</w:t>
      </w:r>
      <w:r w:rsidR="00FB788F" w:rsidRPr="00A671BF">
        <w:rPr>
          <w:szCs w:val="22"/>
        </w:rPr>
        <w:t xml:space="preserve"> and then </w:t>
      </w:r>
      <w:r w:rsidR="008F7133" w:rsidRPr="00A671BF">
        <w:rPr>
          <w:szCs w:val="22"/>
        </w:rPr>
        <w:t>shipping</w:t>
      </w:r>
      <w:r w:rsidR="00FB788F" w:rsidRPr="00A671BF">
        <w:rPr>
          <w:szCs w:val="22"/>
        </w:rPr>
        <w:t xml:space="preserve"> it </w:t>
      </w:r>
      <w:r w:rsidR="008F7133" w:rsidRPr="00A671BF">
        <w:rPr>
          <w:szCs w:val="22"/>
        </w:rPr>
        <w:t>from Marseille to</w:t>
      </w:r>
      <w:r w:rsidR="0022426B" w:rsidRPr="00A671BF">
        <w:rPr>
          <w:szCs w:val="22"/>
        </w:rPr>
        <w:t xml:space="preserve"> the French Indian enclave of</w:t>
      </w:r>
      <w:r w:rsidR="008F7133" w:rsidRPr="00A671BF">
        <w:rPr>
          <w:szCs w:val="22"/>
        </w:rPr>
        <w:t xml:space="preserve"> </w:t>
      </w:r>
      <w:r w:rsidR="00E771E8" w:rsidRPr="00A671BF">
        <w:rPr>
          <w:szCs w:val="22"/>
        </w:rPr>
        <w:t>Pondicherry</w:t>
      </w:r>
      <w:r w:rsidR="00FB788F" w:rsidRPr="00A671BF">
        <w:rPr>
          <w:szCs w:val="22"/>
        </w:rPr>
        <w:t xml:space="preserve"> for distribution </w:t>
      </w:r>
      <w:r w:rsidR="00A34BC2" w:rsidRPr="00A671BF">
        <w:rPr>
          <w:szCs w:val="22"/>
        </w:rPr>
        <w:t>across</w:t>
      </w:r>
      <w:r w:rsidR="00FB788F" w:rsidRPr="00A671BF">
        <w:rPr>
          <w:szCs w:val="22"/>
        </w:rPr>
        <w:t xml:space="preserve"> India</w:t>
      </w:r>
      <w:r w:rsidR="00766E75" w:rsidRPr="00A671BF">
        <w:rPr>
          <w:szCs w:val="22"/>
        </w:rPr>
        <w:t xml:space="preserve"> (</w:t>
      </w:r>
      <w:proofErr w:type="spellStart"/>
      <w:r w:rsidR="00766E75" w:rsidRPr="00A671BF">
        <w:rPr>
          <w:szCs w:val="22"/>
        </w:rPr>
        <w:t>Sareen</w:t>
      </w:r>
      <w:proofErr w:type="spellEnd"/>
      <w:r w:rsidR="00766E75" w:rsidRPr="00A671BF">
        <w:rPr>
          <w:szCs w:val="22"/>
        </w:rPr>
        <w:t>, 1979: 40–42)</w:t>
      </w:r>
      <w:r w:rsidR="00FB788F" w:rsidRPr="00A671BF">
        <w:rPr>
          <w:szCs w:val="22"/>
        </w:rPr>
        <w:t xml:space="preserve">. </w:t>
      </w:r>
      <w:r w:rsidR="00D82F78" w:rsidRPr="00A671BF">
        <w:rPr>
          <w:i/>
          <w:szCs w:val="22"/>
        </w:rPr>
        <w:t>The Times</w:t>
      </w:r>
      <w:r w:rsidR="00D82F78" w:rsidRPr="00A671BF">
        <w:rPr>
          <w:szCs w:val="22"/>
        </w:rPr>
        <w:t xml:space="preserve">, during its reporting of </w:t>
      </w:r>
      <w:r w:rsidR="00F805C4" w:rsidRPr="00A671BF">
        <w:rPr>
          <w:szCs w:val="22"/>
        </w:rPr>
        <w:t xml:space="preserve">the </w:t>
      </w:r>
      <w:r w:rsidR="00D82F78" w:rsidRPr="00A671BF">
        <w:rPr>
          <w:i/>
          <w:szCs w:val="22"/>
        </w:rPr>
        <w:t>affaire Savarkar</w:t>
      </w:r>
      <w:r w:rsidR="009F2714" w:rsidRPr="00A671BF">
        <w:rPr>
          <w:szCs w:val="22"/>
        </w:rPr>
        <w:t xml:space="preserve"> (1910)</w:t>
      </w:r>
      <w:r w:rsidR="00D82F78" w:rsidRPr="00A671BF">
        <w:rPr>
          <w:szCs w:val="22"/>
        </w:rPr>
        <w:t xml:space="preserve">, which is discussed below, was trenchant in its assessment of this grouping of Indians in Paris, urging its </w:t>
      </w:r>
      <w:r w:rsidR="003438DA" w:rsidRPr="00A671BF">
        <w:rPr>
          <w:szCs w:val="22"/>
        </w:rPr>
        <w:t>readers</w:t>
      </w:r>
      <w:r w:rsidR="00D82F78" w:rsidRPr="00A671BF">
        <w:rPr>
          <w:szCs w:val="22"/>
        </w:rPr>
        <w:t xml:space="preserve"> to remember that ‘</w:t>
      </w:r>
      <w:r w:rsidR="00A20E40" w:rsidRPr="00A671BF">
        <w:rPr>
          <w:szCs w:val="22"/>
        </w:rPr>
        <w:t xml:space="preserve">there is a small but very active colony of disaffected Hindus in </w:t>
      </w:r>
      <w:r w:rsidR="00D82F78" w:rsidRPr="00A671BF">
        <w:rPr>
          <w:szCs w:val="22"/>
        </w:rPr>
        <w:t>Paris under the leadership of Mr</w:t>
      </w:r>
      <w:r w:rsidR="00A20E40" w:rsidRPr="00A671BF">
        <w:rPr>
          <w:szCs w:val="22"/>
        </w:rPr>
        <w:t xml:space="preserve"> </w:t>
      </w:r>
      <w:proofErr w:type="spellStart"/>
      <w:r w:rsidR="00A20E40" w:rsidRPr="00A671BF">
        <w:rPr>
          <w:szCs w:val="22"/>
        </w:rPr>
        <w:t>Krishnavarma</w:t>
      </w:r>
      <w:proofErr w:type="spellEnd"/>
      <w:r w:rsidR="00A20E40" w:rsidRPr="00A671BF">
        <w:rPr>
          <w:szCs w:val="22"/>
        </w:rPr>
        <w:t>’</w:t>
      </w:r>
      <w:r w:rsidR="00766E75" w:rsidRPr="00A671BF">
        <w:rPr>
          <w:szCs w:val="22"/>
        </w:rPr>
        <w:t xml:space="preserve"> (</w:t>
      </w:r>
      <w:r w:rsidR="00766E75" w:rsidRPr="00A671BF">
        <w:rPr>
          <w:i/>
          <w:szCs w:val="22"/>
        </w:rPr>
        <w:t>Times</w:t>
      </w:r>
      <w:r w:rsidR="00766E75" w:rsidRPr="00A671BF">
        <w:rPr>
          <w:szCs w:val="22"/>
        </w:rPr>
        <w:t>, 1910).</w:t>
      </w:r>
    </w:p>
    <w:p w:rsidR="007E3767" w:rsidRPr="00A671BF" w:rsidRDefault="007E3767" w:rsidP="0038784E">
      <w:pPr>
        <w:spacing w:line="360" w:lineRule="auto"/>
        <w:rPr>
          <w:szCs w:val="22"/>
        </w:rPr>
      </w:pPr>
      <w:r w:rsidRPr="00A671BF">
        <w:rPr>
          <w:szCs w:val="22"/>
        </w:rPr>
        <w:tab/>
      </w:r>
      <w:r w:rsidR="00966330" w:rsidRPr="00A671BF">
        <w:rPr>
          <w:szCs w:val="22"/>
        </w:rPr>
        <w:t>Despite</w:t>
      </w:r>
      <w:r w:rsidR="003438DA" w:rsidRPr="00A671BF">
        <w:rPr>
          <w:szCs w:val="22"/>
        </w:rPr>
        <w:t xml:space="preserve"> the longevity of an Indian presence in Paris, </w:t>
      </w:r>
      <w:r w:rsidR="002C3203" w:rsidRPr="00A671BF">
        <w:rPr>
          <w:szCs w:val="22"/>
        </w:rPr>
        <w:t>British</w:t>
      </w:r>
      <w:r w:rsidR="003438DA" w:rsidRPr="00A671BF">
        <w:rPr>
          <w:szCs w:val="22"/>
        </w:rPr>
        <w:t xml:space="preserve"> Indian subjects were to find that they were </w:t>
      </w:r>
      <w:r w:rsidR="002C3203" w:rsidRPr="00A671BF">
        <w:rPr>
          <w:szCs w:val="22"/>
        </w:rPr>
        <w:t>in something of an anomalous position</w:t>
      </w:r>
      <w:r w:rsidR="006538B7" w:rsidRPr="00A671BF">
        <w:rPr>
          <w:szCs w:val="22"/>
        </w:rPr>
        <w:t xml:space="preserve"> and their rights, or lack of them, reflected the uneven imperial power relationship between Britain and France in India</w:t>
      </w:r>
      <w:r w:rsidR="002C3203" w:rsidRPr="00A671BF">
        <w:rPr>
          <w:szCs w:val="22"/>
        </w:rPr>
        <w:t xml:space="preserve">. </w:t>
      </w:r>
      <w:r w:rsidR="002D0B84" w:rsidRPr="00A671BF">
        <w:rPr>
          <w:szCs w:val="22"/>
        </w:rPr>
        <w:t>T</w:t>
      </w:r>
      <w:r w:rsidR="002C3203" w:rsidRPr="00A671BF">
        <w:rPr>
          <w:szCs w:val="22"/>
        </w:rPr>
        <w:t xml:space="preserve">hey were not French colonial subjects, </w:t>
      </w:r>
      <w:r w:rsidR="002C3203" w:rsidRPr="00A671BF">
        <w:rPr>
          <w:i/>
          <w:szCs w:val="22"/>
        </w:rPr>
        <w:t>protégés</w:t>
      </w:r>
      <w:r w:rsidR="002C3203" w:rsidRPr="00A671BF">
        <w:rPr>
          <w:szCs w:val="22"/>
        </w:rPr>
        <w:t xml:space="preserve"> or French citizens,</w:t>
      </w:r>
      <w:r w:rsidR="002C3203" w:rsidRPr="00A671BF">
        <w:rPr>
          <w:rStyle w:val="FootnoteReference"/>
          <w:szCs w:val="22"/>
        </w:rPr>
        <w:footnoteReference w:id="5"/>
      </w:r>
      <w:r w:rsidRPr="00A671BF">
        <w:rPr>
          <w:szCs w:val="22"/>
        </w:rPr>
        <w:t xml:space="preserve"> </w:t>
      </w:r>
      <w:r w:rsidR="002C3203" w:rsidRPr="00A671BF">
        <w:rPr>
          <w:szCs w:val="22"/>
        </w:rPr>
        <w:t xml:space="preserve">and </w:t>
      </w:r>
      <w:r w:rsidR="002D0B84" w:rsidRPr="00A671BF">
        <w:rPr>
          <w:szCs w:val="22"/>
        </w:rPr>
        <w:t xml:space="preserve">were </w:t>
      </w:r>
      <w:r w:rsidR="002C3203" w:rsidRPr="00A671BF">
        <w:rPr>
          <w:szCs w:val="22"/>
        </w:rPr>
        <w:t xml:space="preserve">therefore, like Egyptians, classified </w:t>
      </w:r>
      <w:r w:rsidR="002C3203" w:rsidRPr="00A671BF">
        <w:rPr>
          <w:szCs w:val="22"/>
        </w:rPr>
        <w:lastRenderedPageBreak/>
        <w:t>by th</w:t>
      </w:r>
      <w:r w:rsidR="00563402" w:rsidRPr="00A671BF">
        <w:rPr>
          <w:szCs w:val="22"/>
        </w:rPr>
        <w:t xml:space="preserve">e French authorities as foreign, </w:t>
      </w:r>
      <w:r w:rsidR="002D0B84" w:rsidRPr="00A671BF">
        <w:rPr>
          <w:szCs w:val="22"/>
        </w:rPr>
        <w:t xml:space="preserve">rendering them </w:t>
      </w:r>
      <w:r w:rsidR="00563402" w:rsidRPr="00A671BF">
        <w:rPr>
          <w:szCs w:val="22"/>
        </w:rPr>
        <w:t xml:space="preserve">subject to surveillance such as that of </w:t>
      </w:r>
      <w:r w:rsidR="00195084" w:rsidRPr="00A671BF">
        <w:rPr>
          <w:szCs w:val="22"/>
        </w:rPr>
        <w:t xml:space="preserve">the Surveillance </w:t>
      </w:r>
      <w:proofErr w:type="spellStart"/>
      <w:r w:rsidR="00195084" w:rsidRPr="00A671BF">
        <w:rPr>
          <w:szCs w:val="22"/>
        </w:rPr>
        <w:t>Spéciale</w:t>
      </w:r>
      <w:proofErr w:type="spellEnd"/>
      <w:r w:rsidR="00195084" w:rsidRPr="00A671BF">
        <w:rPr>
          <w:szCs w:val="22"/>
        </w:rPr>
        <w:t xml:space="preserve"> des </w:t>
      </w:r>
      <w:proofErr w:type="spellStart"/>
      <w:r w:rsidR="00195084" w:rsidRPr="00A671BF">
        <w:rPr>
          <w:szCs w:val="22"/>
        </w:rPr>
        <w:t>Etrangers</w:t>
      </w:r>
      <w:proofErr w:type="spellEnd"/>
      <w:r w:rsidR="00195084" w:rsidRPr="00A671BF">
        <w:rPr>
          <w:szCs w:val="22"/>
        </w:rPr>
        <w:t xml:space="preserve"> dans les </w:t>
      </w:r>
      <w:proofErr w:type="spellStart"/>
      <w:r w:rsidR="00195084" w:rsidRPr="00A671BF">
        <w:rPr>
          <w:szCs w:val="22"/>
        </w:rPr>
        <w:t>Hôtels</w:t>
      </w:r>
      <w:proofErr w:type="spellEnd"/>
      <w:r w:rsidR="00195084" w:rsidRPr="00A671BF">
        <w:rPr>
          <w:szCs w:val="22"/>
        </w:rPr>
        <w:t xml:space="preserve"> de Paris</w:t>
      </w:r>
      <w:r w:rsidR="002D0B84" w:rsidRPr="00A671BF">
        <w:rPr>
          <w:szCs w:val="22"/>
        </w:rPr>
        <w:t xml:space="preserve">. </w:t>
      </w:r>
      <w:r w:rsidR="00173641" w:rsidRPr="00A671BF">
        <w:rPr>
          <w:szCs w:val="22"/>
        </w:rPr>
        <w:t xml:space="preserve">Yet they </w:t>
      </w:r>
      <w:r w:rsidR="002C3203" w:rsidRPr="00A671BF">
        <w:rPr>
          <w:szCs w:val="22"/>
        </w:rPr>
        <w:t>were</w:t>
      </w:r>
      <w:r w:rsidR="002503A2" w:rsidRPr="00A671BF">
        <w:rPr>
          <w:szCs w:val="22"/>
        </w:rPr>
        <w:t xml:space="preserve"> </w:t>
      </w:r>
      <w:r w:rsidR="002C3203" w:rsidRPr="00A671BF">
        <w:rPr>
          <w:szCs w:val="22"/>
        </w:rPr>
        <w:t>not entitled to the same level of diplomatic representation as</w:t>
      </w:r>
      <w:r w:rsidR="002503A2" w:rsidRPr="00A671BF">
        <w:rPr>
          <w:szCs w:val="22"/>
        </w:rPr>
        <w:t xml:space="preserve"> ‘foreigners’</w:t>
      </w:r>
      <w:r w:rsidR="002C3203" w:rsidRPr="00A671BF">
        <w:rPr>
          <w:szCs w:val="22"/>
        </w:rPr>
        <w:t xml:space="preserve"> from</w:t>
      </w:r>
      <w:r w:rsidR="00625468" w:rsidRPr="00A671BF">
        <w:rPr>
          <w:szCs w:val="22"/>
        </w:rPr>
        <w:t xml:space="preserve"> </w:t>
      </w:r>
      <w:r w:rsidR="00173641" w:rsidRPr="00A671BF">
        <w:rPr>
          <w:szCs w:val="22"/>
        </w:rPr>
        <w:t>such</w:t>
      </w:r>
      <w:r w:rsidR="002C3203" w:rsidRPr="00A671BF">
        <w:rPr>
          <w:szCs w:val="22"/>
        </w:rPr>
        <w:t xml:space="preserve"> sovereign states </w:t>
      </w:r>
      <w:r w:rsidR="00173641" w:rsidRPr="00A671BF">
        <w:rPr>
          <w:szCs w:val="22"/>
        </w:rPr>
        <w:t>as</w:t>
      </w:r>
      <w:r w:rsidR="002C3203" w:rsidRPr="00A671BF">
        <w:rPr>
          <w:szCs w:val="22"/>
        </w:rPr>
        <w:t xml:space="preserve"> China </w:t>
      </w:r>
      <w:r w:rsidR="00173641" w:rsidRPr="00A671BF">
        <w:rPr>
          <w:szCs w:val="22"/>
        </w:rPr>
        <w:t>or</w:t>
      </w:r>
      <w:r w:rsidR="009F2714" w:rsidRPr="00A671BF">
        <w:rPr>
          <w:szCs w:val="22"/>
        </w:rPr>
        <w:t xml:space="preserve"> </w:t>
      </w:r>
      <w:r w:rsidR="002C3203" w:rsidRPr="00A671BF">
        <w:rPr>
          <w:szCs w:val="22"/>
        </w:rPr>
        <w:t>Latin America</w:t>
      </w:r>
      <w:r w:rsidR="005258E6" w:rsidRPr="00A671BF">
        <w:rPr>
          <w:szCs w:val="22"/>
        </w:rPr>
        <w:t>n countries</w:t>
      </w:r>
      <w:r w:rsidR="002D0B84" w:rsidRPr="00A671BF">
        <w:rPr>
          <w:szCs w:val="22"/>
        </w:rPr>
        <w:t>,</w:t>
      </w:r>
      <w:r w:rsidR="00966330" w:rsidRPr="00A671BF">
        <w:rPr>
          <w:szCs w:val="22"/>
        </w:rPr>
        <w:t xml:space="preserve"> for they were British subjects</w:t>
      </w:r>
      <w:r w:rsidR="002C3203" w:rsidRPr="00A671BF">
        <w:rPr>
          <w:szCs w:val="22"/>
        </w:rPr>
        <w:t>.</w:t>
      </w:r>
      <w:r w:rsidR="00625468" w:rsidRPr="00A671BF">
        <w:rPr>
          <w:szCs w:val="22"/>
        </w:rPr>
        <w:t xml:space="preserve"> </w:t>
      </w:r>
      <w:r w:rsidR="002503A2" w:rsidRPr="00A671BF">
        <w:rPr>
          <w:szCs w:val="22"/>
        </w:rPr>
        <w:t xml:space="preserve">Indeed, </w:t>
      </w:r>
      <w:r w:rsidR="003535F3" w:rsidRPr="00A671BF">
        <w:rPr>
          <w:szCs w:val="22"/>
        </w:rPr>
        <w:t>Indians</w:t>
      </w:r>
      <w:r w:rsidR="00625468" w:rsidRPr="00A671BF">
        <w:rPr>
          <w:szCs w:val="22"/>
        </w:rPr>
        <w:t xml:space="preserve"> were the recipients of an even </w:t>
      </w:r>
      <w:r w:rsidR="002D0B84" w:rsidRPr="00A671BF">
        <w:rPr>
          <w:szCs w:val="22"/>
        </w:rPr>
        <w:t>greater</w:t>
      </w:r>
      <w:r w:rsidR="00625468" w:rsidRPr="00A671BF">
        <w:rPr>
          <w:szCs w:val="22"/>
        </w:rPr>
        <w:t xml:space="preserve"> degree of scrutiny </w:t>
      </w:r>
      <w:r w:rsidR="002D0B84" w:rsidRPr="00A671BF">
        <w:rPr>
          <w:szCs w:val="22"/>
        </w:rPr>
        <w:t xml:space="preserve">by state agencies </w:t>
      </w:r>
      <w:r w:rsidR="00625468" w:rsidRPr="00A671BF">
        <w:rPr>
          <w:szCs w:val="22"/>
        </w:rPr>
        <w:t xml:space="preserve">than </w:t>
      </w:r>
      <w:r w:rsidR="002D0B84" w:rsidRPr="00A671BF">
        <w:rPr>
          <w:szCs w:val="22"/>
        </w:rPr>
        <w:t>were other migrants</w:t>
      </w:r>
      <w:r w:rsidR="00625468" w:rsidRPr="00A671BF">
        <w:rPr>
          <w:szCs w:val="22"/>
        </w:rPr>
        <w:t xml:space="preserve"> after 1908, </w:t>
      </w:r>
      <w:r w:rsidR="00167B2C" w:rsidRPr="00A671BF">
        <w:rPr>
          <w:szCs w:val="22"/>
        </w:rPr>
        <w:t>when the</w:t>
      </w:r>
      <w:r w:rsidR="00625468" w:rsidRPr="00A671BF">
        <w:rPr>
          <w:szCs w:val="22"/>
        </w:rPr>
        <w:t xml:space="preserve"> British and French authorities</w:t>
      </w:r>
      <w:r w:rsidR="00EF3723" w:rsidRPr="00A671BF">
        <w:rPr>
          <w:szCs w:val="22"/>
        </w:rPr>
        <w:t xml:space="preserve"> began </w:t>
      </w:r>
      <w:r w:rsidR="00167B2C" w:rsidRPr="00A671BF">
        <w:rPr>
          <w:szCs w:val="22"/>
        </w:rPr>
        <w:t>to cooperate on the issue</w:t>
      </w:r>
      <w:r w:rsidR="00625468" w:rsidRPr="00A671BF">
        <w:rPr>
          <w:szCs w:val="22"/>
        </w:rPr>
        <w:t xml:space="preserve">. </w:t>
      </w:r>
      <w:r w:rsidR="009075A0" w:rsidRPr="00A671BF">
        <w:rPr>
          <w:szCs w:val="22"/>
        </w:rPr>
        <w:t>V</w:t>
      </w:r>
      <w:r w:rsidR="00327CA5" w:rsidRPr="00A671BF">
        <w:rPr>
          <w:szCs w:val="22"/>
        </w:rPr>
        <w:t xml:space="preserve">ia the British Embassy in Paris, </w:t>
      </w:r>
      <w:r w:rsidR="009075A0" w:rsidRPr="00A671BF">
        <w:rPr>
          <w:szCs w:val="22"/>
        </w:rPr>
        <w:t xml:space="preserve">British authorities </w:t>
      </w:r>
      <w:r w:rsidR="00625468" w:rsidRPr="00A671BF">
        <w:rPr>
          <w:szCs w:val="22"/>
        </w:rPr>
        <w:t>made use of contact</w:t>
      </w:r>
      <w:r w:rsidR="007716A8" w:rsidRPr="00A671BF">
        <w:rPr>
          <w:szCs w:val="22"/>
        </w:rPr>
        <w:t xml:space="preserve"> with the French </w:t>
      </w:r>
      <w:proofErr w:type="spellStart"/>
      <w:r w:rsidR="007716A8" w:rsidRPr="00A671BF">
        <w:rPr>
          <w:szCs w:val="22"/>
        </w:rPr>
        <w:t>Sûreté</w:t>
      </w:r>
      <w:proofErr w:type="spellEnd"/>
      <w:r w:rsidR="007716A8" w:rsidRPr="00A671BF">
        <w:rPr>
          <w:szCs w:val="22"/>
        </w:rPr>
        <w:t xml:space="preserve"> Géné</w:t>
      </w:r>
      <w:r w:rsidR="00327CA5" w:rsidRPr="00A671BF">
        <w:rPr>
          <w:szCs w:val="22"/>
        </w:rPr>
        <w:t>rale</w:t>
      </w:r>
      <w:r w:rsidR="00625468" w:rsidRPr="00A671BF">
        <w:rPr>
          <w:szCs w:val="22"/>
        </w:rPr>
        <w:t xml:space="preserve"> to ensure that any </w:t>
      </w:r>
      <w:r w:rsidR="00B26E00" w:rsidRPr="00A671BF">
        <w:rPr>
          <w:szCs w:val="22"/>
        </w:rPr>
        <w:t>‘</w:t>
      </w:r>
      <w:r w:rsidR="00625468" w:rsidRPr="00A671BF">
        <w:rPr>
          <w:szCs w:val="22"/>
        </w:rPr>
        <w:t>revolutionary</w:t>
      </w:r>
      <w:r w:rsidR="00B26E00" w:rsidRPr="00A671BF">
        <w:rPr>
          <w:szCs w:val="22"/>
        </w:rPr>
        <w:t>’</w:t>
      </w:r>
      <w:r w:rsidR="00625468" w:rsidRPr="00A671BF">
        <w:rPr>
          <w:szCs w:val="22"/>
        </w:rPr>
        <w:t xml:space="preserve"> activity by Indians resident in Paris was scrupulously monitored</w:t>
      </w:r>
      <w:r w:rsidR="007716A8" w:rsidRPr="00A671BF">
        <w:rPr>
          <w:szCs w:val="22"/>
        </w:rPr>
        <w:t>. In May 1908</w:t>
      </w:r>
      <w:r w:rsidR="003535F3" w:rsidRPr="00A671BF">
        <w:rPr>
          <w:szCs w:val="22"/>
        </w:rPr>
        <w:t>, for example,</w:t>
      </w:r>
      <w:r w:rsidR="007716A8" w:rsidRPr="00A671BF">
        <w:rPr>
          <w:szCs w:val="22"/>
        </w:rPr>
        <w:t xml:space="preserve"> the British police, by means of the British Embassy</w:t>
      </w:r>
      <w:r w:rsidR="003535F3" w:rsidRPr="00A671BF">
        <w:rPr>
          <w:szCs w:val="22"/>
        </w:rPr>
        <w:t>,</w:t>
      </w:r>
      <w:r w:rsidR="007716A8" w:rsidRPr="00A671BF">
        <w:rPr>
          <w:szCs w:val="22"/>
        </w:rPr>
        <w:t xml:space="preserve"> requested that</w:t>
      </w:r>
      <w:r w:rsidR="00125919" w:rsidRPr="00A671BF">
        <w:rPr>
          <w:szCs w:val="22"/>
        </w:rPr>
        <w:t xml:space="preserve"> their counterparts in Paris </w:t>
      </w:r>
      <w:r w:rsidR="007716A8" w:rsidRPr="00A671BF">
        <w:rPr>
          <w:szCs w:val="22"/>
        </w:rPr>
        <w:t>ke</w:t>
      </w:r>
      <w:r w:rsidR="00F46FB6" w:rsidRPr="00A671BF">
        <w:rPr>
          <w:szCs w:val="22"/>
        </w:rPr>
        <w:t>ep</w:t>
      </w:r>
      <w:r w:rsidR="00125919" w:rsidRPr="00A671BF">
        <w:rPr>
          <w:szCs w:val="22"/>
        </w:rPr>
        <w:t xml:space="preserve"> track of the movements of </w:t>
      </w:r>
      <w:r w:rsidR="00EB0D2C" w:rsidRPr="00A671BF">
        <w:rPr>
          <w:szCs w:val="22"/>
        </w:rPr>
        <w:t>R. D. Tata, who ran the Tata commercial presence which had been establishe</w:t>
      </w:r>
      <w:r w:rsidR="007716A8" w:rsidRPr="00A671BF">
        <w:rPr>
          <w:szCs w:val="22"/>
        </w:rPr>
        <w:t>d at</w:t>
      </w:r>
      <w:r w:rsidR="003535F3" w:rsidRPr="00A671BF">
        <w:rPr>
          <w:szCs w:val="22"/>
        </w:rPr>
        <w:t xml:space="preserve"> 47</w:t>
      </w:r>
      <w:r w:rsidR="00EB0D2C" w:rsidRPr="00A671BF">
        <w:rPr>
          <w:szCs w:val="22"/>
        </w:rPr>
        <w:t xml:space="preserve"> rue Lafitte, </w:t>
      </w:r>
      <w:r w:rsidR="007716A8" w:rsidRPr="00A671BF">
        <w:rPr>
          <w:szCs w:val="22"/>
        </w:rPr>
        <w:t xml:space="preserve">Paris, </w:t>
      </w:r>
      <w:r w:rsidR="005258E6" w:rsidRPr="00A671BF">
        <w:rPr>
          <w:szCs w:val="22"/>
        </w:rPr>
        <w:t>in 1898, although t</w:t>
      </w:r>
      <w:r w:rsidR="007716A8" w:rsidRPr="00A671BF">
        <w:rPr>
          <w:szCs w:val="22"/>
        </w:rPr>
        <w:t xml:space="preserve">he </w:t>
      </w:r>
      <w:r w:rsidR="00212F5F" w:rsidRPr="00A671BF">
        <w:rPr>
          <w:szCs w:val="22"/>
        </w:rPr>
        <w:t xml:space="preserve">resulting report delivered to </w:t>
      </w:r>
      <w:r w:rsidR="007716A8" w:rsidRPr="00A671BF">
        <w:rPr>
          <w:szCs w:val="22"/>
        </w:rPr>
        <w:t xml:space="preserve">the Directeur of the </w:t>
      </w:r>
      <w:proofErr w:type="spellStart"/>
      <w:r w:rsidR="007716A8" w:rsidRPr="00A671BF">
        <w:rPr>
          <w:szCs w:val="22"/>
        </w:rPr>
        <w:t>Sûreté</w:t>
      </w:r>
      <w:proofErr w:type="spellEnd"/>
      <w:r w:rsidR="007716A8" w:rsidRPr="00A671BF">
        <w:rPr>
          <w:szCs w:val="22"/>
        </w:rPr>
        <w:t xml:space="preserve"> Générale revealed that </w:t>
      </w:r>
      <w:r w:rsidR="005519B9" w:rsidRPr="00A671BF">
        <w:rPr>
          <w:szCs w:val="22"/>
        </w:rPr>
        <w:t>Tata’s</w:t>
      </w:r>
      <w:r w:rsidR="007716A8" w:rsidRPr="00A671BF">
        <w:rPr>
          <w:szCs w:val="22"/>
        </w:rPr>
        <w:t xml:space="preserve"> associates were all business contacts or acquaintances whom he had made thanks to his French wife</w:t>
      </w:r>
      <w:r w:rsidR="00766E75" w:rsidRPr="00A671BF">
        <w:rPr>
          <w:szCs w:val="22"/>
        </w:rPr>
        <w:t xml:space="preserve"> (</w:t>
      </w:r>
      <w:proofErr w:type="spellStart"/>
      <w:r w:rsidR="00ED712C" w:rsidRPr="00A671BF">
        <w:rPr>
          <w:szCs w:val="22"/>
        </w:rPr>
        <w:t>Sûreté</w:t>
      </w:r>
      <w:proofErr w:type="spellEnd"/>
      <w:r w:rsidR="00ED712C" w:rsidRPr="00A671BF">
        <w:rPr>
          <w:szCs w:val="22"/>
        </w:rPr>
        <w:t xml:space="preserve"> Générale, 1908a; </w:t>
      </w:r>
      <w:proofErr w:type="spellStart"/>
      <w:r w:rsidR="00ED712C" w:rsidRPr="00A671BF">
        <w:rPr>
          <w:szCs w:val="22"/>
        </w:rPr>
        <w:t>Sûreté</w:t>
      </w:r>
      <w:proofErr w:type="spellEnd"/>
      <w:r w:rsidR="00ED712C" w:rsidRPr="00A671BF">
        <w:rPr>
          <w:szCs w:val="22"/>
        </w:rPr>
        <w:t xml:space="preserve"> Générale, 1908b; </w:t>
      </w:r>
      <w:proofErr w:type="spellStart"/>
      <w:r w:rsidR="00ED712C" w:rsidRPr="00A671BF">
        <w:rPr>
          <w:szCs w:val="22"/>
        </w:rPr>
        <w:t>Sûreté</w:t>
      </w:r>
      <w:proofErr w:type="spellEnd"/>
      <w:r w:rsidR="00ED712C" w:rsidRPr="00A671BF">
        <w:rPr>
          <w:szCs w:val="22"/>
        </w:rPr>
        <w:t xml:space="preserve"> Générale, 1909</w:t>
      </w:r>
      <w:r w:rsidR="00766E75" w:rsidRPr="00A671BF">
        <w:rPr>
          <w:szCs w:val="22"/>
        </w:rPr>
        <w:t>)</w:t>
      </w:r>
      <w:r w:rsidR="007716A8" w:rsidRPr="00A671BF">
        <w:rPr>
          <w:szCs w:val="22"/>
        </w:rPr>
        <w:t>.</w:t>
      </w:r>
      <w:r w:rsidR="001930AC" w:rsidRPr="00A671BF">
        <w:rPr>
          <w:szCs w:val="22"/>
        </w:rPr>
        <w:t xml:space="preserve"> </w:t>
      </w:r>
      <w:proofErr w:type="spellStart"/>
      <w:r w:rsidR="00F341FD" w:rsidRPr="00A671BF">
        <w:t>Brückenhaus’s</w:t>
      </w:r>
      <w:proofErr w:type="spellEnd"/>
      <w:r w:rsidR="00F341FD" w:rsidRPr="00A671BF">
        <w:t xml:space="preserve"> study of policing </w:t>
      </w:r>
      <w:r w:rsidR="00966330" w:rsidRPr="00A671BF">
        <w:t>provides insight</w:t>
      </w:r>
      <w:r w:rsidR="009327E4" w:rsidRPr="00A671BF">
        <w:t>s</w:t>
      </w:r>
      <w:r w:rsidR="00966330" w:rsidRPr="00A671BF">
        <w:t xml:space="preserve"> into the types of official and unofficial co</w:t>
      </w:r>
      <w:r w:rsidR="009E7433" w:rsidRPr="00A671BF">
        <w:t>-</w:t>
      </w:r>
      <w:r w:rsidR="00966330" w:rsidRPr="00A671BF">
        <w:t xml:space="preserve">operation which occurred between the </w:t>
      </w:r>
      <w:r w:rsidR="00BC132A" w:rsidRPr="00A671BF">
        <w:t>governments</w:t>
      </w:r>
      <w:r w:rsidR="009075A0" w:rsidRPr="00A671BF">
        <w:t xml:space="preserve"> of western Europe; </w:t>
      </w:r>
      <w:r w:rsidR="00F805C4" w:rsidRPr="00A671BF">
        <w:rPr>
          <w:bCs/>
          <w:szCs w:val="22"/>
        </w:rPr>
        <w:t>w</w:t>
      </w:r>
      <w:r w:rsidR="004D36C0" w:rsidRPr="00A671BF">
        <w:rPr>
          <w:bCs/>
          <w:szCs w:val="22"/>
        </w:rPr>
        <w:t xml:space="preserve">here Indian </w:t>
      </w:r>
      <w:r w:rsidR="00C2222B" w:rsidRPr="00A671BF">
        <w:rPr>
          <w:bCs/>
          <w:szCs w:val="22"/>
        </w:rPr>
        <w:t>‘revolutionaries’</w:t>
      </w:r>
      <w:r w:rsidR="004D36C0" w:rsidRPr="00A671BF">
        <w:rPr>
          <w:bCs/>
          <w:szCs w:val="22"/>
        </w:rPr>
        <w:t xml:space="preserve"> were concerned</w:t>
      </w:r>
      <w:r w:rsidR="009075A0" w:rsidRPr="00A671BF">
        <w:rPr>
          <w:bCs/>
          <w:szCs w:val="22"/>
        </w:rPr>
        <w:t>,</w:t>
      </w:r>
      <w:r w:rsidR="004D36C0" w:rsidRPr="00A671BF">
        <w:rPr>
          <w:bCs/>
          <w:szCs w:val="22"/>
        </w:rPr>
        <w:t xml:space="preserve"> </w:t>
      </w:r>
      <w:r w:rsidR="009075A0" w:rsidRPr="00A671BF">
        <w:rPr>
          <w:bCs/>
          <w:szCs w:val="22"/>
        </w:rPr>
        <w:t xml:space="preserve">however, </w:t>
      </w:r>
      <w:r w:rsidR="004D36C0" w:rsidRPr="00A671BF">
        <w:rPr>
          <w:bCs/>
          <w:szCs w:val="22"/>
        </w:rPr>
        <w:t>the factors behind French co</w:t>
      </w:r>
      <w:r w:rsidR="009E7433" w:rsidRPr="00A671BF">
        <w:rPr>
          <w:bCs/>
          <w:szCs w:val="22"/>
        </w:rPr>
        <w:t>-</w:t>
      </w:r>
      <w:r w:rsidR="004D36C0" w:rsidRPr="00A671BF">
        <w:rPr>
          <w:bCs/>
          <w:szCs w:val="22"/>
        </w:rPr>
        <w:t>operation wer</w:t>
      </w:r>
      <w:r w:rsidR="000763F4" w:rsidRPr="00A671BF">
        <w:rPr>
          <w:bCs/>
          <w:szCs w:val="22"/>
        </w:rPr>
        <w:t xml:space="preserve">e not as simple </w:t>
      </w:r>
      <w:r w:rsidR="00303226" w:rsidRPr="00A671BF">
        <w:rPr>
          <w:bCs/>
          <w:szCs w:val="22"/>
        </w:rPr>
        <w:t>as might first appear</w:t>
      </w:r>
      <w:r w:rsidR="009075A0" w:rsidRPr="00A671BF">
        <w:rPr>
          <w:bCs/>
          <w:szCs w:val="22"/>
        </w:rPr>
        <w:t>.</w:t>
      </w:r>
      <w:r w:rsidR="00C2222B" w:rsidRPr="00A671BF">
        <w:rPr>
          <w:bCs/>
          <w:szCs w:val="22"/>
        </w:rPr>
        <w:t xml:space="preserve"> Indians found themselves the object of attention in ways that Egyptian nationalists (also British subjects) did not</w:t>
      </w:r>
      <w:r w:rsidR="00135C1E" w:rsidRPr="00A671BF">
        <w:rPr>
          <w:bCs/>
          <w:szCs w:val="22"/>
        </w:rPr>
        <w:t xml:space="preserve"> (</w:t>
      </w:r>
      <w:proofErr w:type="spellStart"/>
      <w:r w:rsidR="00135C1E" w:rsidRPr="00A671BF">
        <w:rPr>
          <w:bCs/>
          <w:szCs w:val="22"/>
        </w:rPr>
        <w:t>Brückenhaus</w:t>
      </w:r>
      <w:proofErr w:type="spellEnd"/>
      <w:r w:rsidR="00135C1E" w:rsidRPr="00A671BF">
        <w:rPr>
          <w:bCs/>
          <w:szCs w:val="22"/>
        </w:rPr>
        <w:t>, 2015: 171).</w:t>
      </w:r>
      <w:r w:rsidR="00303226" w:rsidRPr="00A671BF">
        <w:rPr>
          <w:bCs/>
          <w:szCs w:val="22"/>
        </w:rPr>
        <w:t xml:space="preserve"> </w:t>
      </w:r>
      <w:r w:rsidR="00EA6DB5" w:rsidRPr="00A671BF">
        <w:rPr>
          <w:bCs/>
          <w:szCs w:val="22"/>
        </w:rPr>
        <w:t>A</w:t>
      </w:r>
      <w:r w:rsidR="00303226" w:rsidRPr="00A671BF">
        <w:rPr>
          <w:bCs/>
          <w:szCs w:val="22"/>
        </w:rPr>
        <w:t xml:space="preserve">s </w:t>
      </w:r>
      <w:proofErr w:type="spellStart"/>
      <w:r w:rsidR="00303226" w:rsidRPr="00A671BF">
        <w:rPr>
          <w:bCs/>
          <w:szCs w:val="22"/>
        </w:rPr>
        <w:t>Brückenhaus</w:t>
      </w:r>
      <w:proofErr w:type="spellEnd"/>
      <w:r w:rsidR="00303226" w:rsidRPr="00A671BF">
        <w:rPr>
          <w:bCs/>
          <w:szCs w:val="22"/>
        </w:rPr>
        <w:t xml:space="preserve"> has </w:t>
      </w:r>
      <w:r w:rsidR="00EA6DB5" w:rsidRPr="00A671BF">
        <w:rPr>
          <w:bCs/>
          <w:szCs w:val="22"/>
        </w:rPr>
        <w:t>observed</w:t>
      </w:r>
      <w:r w:rsidR="00303226" w:rsidRPr="00A671BF">
        <w:rPr>
          <w:bCs/>
          <w:szCs w:val="22"/>
        </w:rPr>
        <w:t xml:space="preserve">, co-operation was frequently </w:t>
      </w:r>
      <w:r w:rsidR="00AE5275" w:rsidRPr="00A671BF">
        <w:rPr>
          <w:bCs/>
          <w:szCs w:val="22"/>
        </w:rPr>
        <w:t>recorded</w:t>
      </w:r>
      <w:r w:rsidR="00303226" w:rsidRPr="00A671BF">
        <w:rPr>
          <w:bCs/>
          <w:szCs w:val="22"/>
        </w:rPr>
        <w:t xml:space="preserve"> by the French authorities as being in the Fr</w:t>
      </w:r>
      <w:r w:rsidR="00FB28C4" w:rsidRPr="00A671BF">
        <w:rPr>
          <w:bCs/>
          <w:szCs w:val="22"/>
        </w:rPr>
        <w:t>ench imperial i</w:t>
      </w:r>
      <w:r w:rsidR="00EA6DB5" w:rsidRPr="00A671BF">
        <w:rPr>
          <w:bCs/>
          <w:szCs w:val="22"/>
        </w:rPr>
        <w:t>nterest</w:t>
      </w:r>
      <w:r w:rsidR="007C6CBE" w:rsidRPr="00A671BF">
        <w:rPr>
          <w:bCs/>
          <w:szCs w:val="22"/>
        </w:rPr>
        <w:t xml:space="preserve"> even if </w:t>
      </w:r>
      <w:r w:rsidR="00EA6DB5" w:rsidRPr="00A671BF">
        <w:rPr>
          <w:bCs/>
          <w:szCs w:val="22"/>
        </w:rPr>
        <w:t>the</w:t>
      </w:r>
      <w:r w:rsidR="00303226" w:rsidRPr="00A671BF">
        <w:rPr>
          <w:bCs/>
          <w:szCs w:val="22"/>
        </w:rPr>
        <w:t xml:space="preserve"> </w:t>
      </w:r>
      <w:r w:rsidR="00DC1CDC" w:rsidRPr="00A671BF">
        <w:rPr>
          <w:bCs/>
          <w:szCs w:val="22"/>
        </w:rPr>
        <w:t xml:space="preserve">arguments </w:t>
      </w:r>
      <w:r w:rsidR="00EA6DB5" w:rsidRPr="00A671BF">
        <w:rPr>
          <w:bCs/>
          <w:szCs w:val="22"/>
        </w:rPr>
        <w:t>positing</w:t>
      </w:r>
      <w:r w:rsidR="00DC1CDC" w:rsidRPr="00A671BF">
        <w:rPr>
          <w:bCs/>
          <w:szCs w:val="22"/>
        </w:rPr>
        <w:t xml:space="preserve"> this interest had </w:t>
      </w:r>
      <w:r w:rsidR="00EA6DB5" w:rsidRPr="00A671BF">
        <w:rPr>
          <w:bCs/>
          <w:szCs w:val="22"/>
        </w:rPr>
        <w:t xml:space="preserve">often </w:t>
      </w:r>
      <w:r w:rsidR="00DC1CDC" w:rsidRPr="00A671BF">
        <w:rPr>
          <w:bCs/>
          <w:szCs w:val="22"/>
        </w:rPr>
        <w:t>bee</w:t>
      </w:r>
      <w:r w:rsidR="00135C1E" w:rsidRPr="00A671BF">
        <w:rPr>
          <w:bCs/>
          <w:szCs w:val="22"/>
        </w:rPr>
        <w:t>n provided by British officials (</w:t>
      </w:r>
      <w:r w:rsidR="002B7DE1" w:rsidRPr="00A671BF">
        <w:t>IOR</w:t>
      </w:r>
      <w:r w:rsidR="00135C1E" w:rsidRPr="00A671BF">
        <w:t>, 1925</w:t>
      </w:r>
      <w:r w:rsidR="002B7DE1" w:rsidRPr="00A671BF">
        <w:t>b</w:t>
      </w:r>
      <w:r w:rsidR="00135C1E" w:rsidRPr="00A671BF">
        <w:t>).</w:t>
      </w:r>
      <w:r w:rsidR="007C6CBE" w:rsidRPr="00A671BF">
        <w:rPr>
          <w:bCs/>
          <w:szCs w:val="22"/>
        </w:rPr>
        <w:t xml:space="preserve"> This is certainly the impression which emerges from the British archives.</w:t>
      </w:r>
      <w:r w:rsidR="00291B82" w:rsidRPr="00A671BF">
        <w:rPr>
          <w:bCs/>
          <w:szCs w:val="22"/>
        </w:rPr>
        <w:t xml:space="preserve"> </w:t>
      </w:r>
      <w:r w:rsidR="00B431A8" w:rsidRPr="00A671BF">
        <w:rPr>
          <w:bCs/>
          <w:szCs w:val="22"/>
        </w:rPr>
        <w:t xml:space="preserve">But </w:t>
      </w:r>
      <w:r w:rsidR="005534CA" w:rsidRPr="00A671BF">
        <w:rPr>
          <w:bCs/>
          <w:szCs w:val="22"/>
        </w:rPr>
        <w:t>when</w:t>
      </w:r>
      <w:r w:rsidR="00DC1CDC" w:rsidRPr="00A671BF">
        <w:rPr>
          <w:bCs/>
          <w:szCs w:val="22"/>
        </w:rPr>
        <w:t xml:space="preserve"> t</w:t>
      </w:r>
      <w:r w:rsidR="00132E9A" w:rsidRPr="00A671BF">
        <w:rPr>
          <w:bCs/>
          <w:szCs w:val="22"/>
        </w:rPr>
        <w:t>he French colonial archives</w:t>
      </w:r>
      <w:r w:rsidR="00195084" w:rsidRPr="00A671BF">
        <w:rPr>
          <w:bCs/>
          <w:szCs w:val="22"/>
        </w:rPr>
        <w:t xml:space="preserve"> and those of the </w:t>
      </w:r>
      <w:proofErr w:type="spellStart"/>
      <w:r w:rsidR="00195084" w:rsidRPr="00A671BF">
        <w:rPr>
          <w:bCs/>
          <w:szCs w:val="22"/>
        </w:rPr>
        <w:t>Préfecture</w:t>
      </w:r>
      <w:proofErr w:type="spellEnd"/>
      <w:r w:rsidR="00195084" w:rsidRPr="00A671BF">
        <w:rPr>
          <w:bCs/>
          <w:szCs w:val="22"/>
        </w:rPr>
        <w:t xml:space="preserve"> de Police</w:t>
      </w:r>
      <w:r w:rsidR="005534CA" w:rsidRPr="00A671BF">
        <w:rPr>
          <w:bCs/>
          <w:szCs w:val="22"/>
        </w:rPr>
        <w:t xml:space="preserve"> are interrogated in tandem with those of the British</w:t>
      </w:r>
      <w:r w:rsidR="00291B82" w:rsidRPr="00A671BF">
        <w:rPr>
          <w:bCs/>
          <w:szCs w:val="22"/>
        </w:rPr>
        <w:t>,</w:t>
      </w:r>
      <w:r w:rsidR="00132E9A" w:rsidRPr="00A671BF">
        <w:rPr>
          <w:bCs/>
          <w:szCs w:val="22"/>
        </w:rPr>
        <w:t xml:space="preserve"> </w:t>
      </w:r>
      <w:r w:rsidR="00291B82" w:rsidRPr="00A671BF">
        <w:rPr>
          <w:bCs/>
          <w:szCs w:val="22"/>
        </w:rPr>
        <w:t xml:space="preserve">what emerges (aside from practical concerns about law and order in Paris) </w:t>
      </w:r>
      <w:r w:rsidR="00132E9A" w:rsidRPr="00A671BF">
        <w:rPr>
          <w:bCs/>
          <w:szCs w:val="22"/>
        </w:rPr>
        <w:t>is the crucial role played by t</w:t>
      </w:r>
      <w:r w:rsidR="00DC1CDC" w:rsidRPr="00A671BF">
        <w:rPr>
          <w:bCs/>
          <w:szCs w:val="22"/>
        </w:rPr>
        <w:t xml:space="preserve">he geographical reality of </w:t>
      </w:r>
      <w:r w:rsidR="00EF3723" w:rsidRPr="00A671BF">
        <w:rPr>
          <w:bCs/>
          <w:szCs w:val="22"/>
        </w:rPr>
        <w:t>the French</w:t>
      </w:r>
      <w:r w:rsidR="003535F3" w:rsidRPr="00A671BF">
        <w:rPr>
          <w:bCs/>
          <w:szCs w:val="22"/>
        </w:rPr>
        <w:t xml:space="preserve"> colonial presence in </w:t>
      </w:r>
      <w:r w:rsidR="00DC1CDC" w:rsidRPr="00A671BF">
        <w:rPr>
          <w:bCs/>
          <w:szCs w:val="22"/>
        </w:rPr>
        <w:t>India</w:t>
      </w:r>
      <w:r w:rsidR="00291B82" w:rsidRPr="00A671BF">
        <w:rPr>
          <w:bCs/>
          <w:szCs w:val="22"/>
        </w:rPr>
        <w:t>, which</w:t>
      </w:r>
      <w:r w:rsidR="00EF3723" w:rsidRPr="00A671BF">
        <w:rPr>
          <w:bCs/>
          <w:szCs w:val="22"/>
        </w:rPr>
        <w:t xml:space="preserve"> </w:t>
      </w:r>
      <w:r w:rsidR="00291B82" w:rsidRPr="00A671BF">
        <w:rPr>
          <w:bCs/>
          <w:szCs w:val="22"/>
        </w:rPr>
        <w:t>stimulated</w:t>
      </w:r>
      <w:r w:rsidR="004453F0" w:rsidRPr="00A671BF">
        <w:rPr>
          <w:bCs/>
          <w:szCs w:val="22"/>
        </w:rPr>
        <w:t xml:space="preserve"> </w:t>
      </w:r>
      <w:r w:rsidR="005534CA" w:rsidRPr="00A671BF">
        <w:rPr>
          <w:bCs/>
          <w:szCs w:val="22"/>
        </w:rPr>
        <w:t>anxiety about</w:t>
      </w:r>
      <w:r w:rsidR="004453F0" w:rsidRPr="00A671BF">
        <w:rPr>
          <w:bCs/>
          <w:szCs w:val="22"/>
        </w:rPr>
        <w:t xml:space="preserve"> British Indian</w:t>
      </w:r>
      <w:r w:rsidR="00A70817" w:rsidRPr="00A671BF">
        <w:rPr>
          <w:bCs/>
          <w:szCs w:val="22"/>
        </w:rPr>
        <w:t>s</w:t>
      </w:r>
      <w:r w:rsidR="004453F0" w:rsidRPr="00A671BF">
        <w:rPr>
          <w:bCs/>
          <w:szCs w:val="22"/>
        </w:rPr>
        <w:t xml:space="preserve"> </w:t>
      </w:r>
      <w:r w:rsidR="005534CA" w:rsidRPr="00A671BF">
        <w:rPr>
          <w:bCs/>
          <w:szCs w:val="22"/>
        </w:rPr>
        <w:t xml:space="preserve">and the threat that they could pose to </w:t>
      </w:r>
      <w:r w:rsidR="005534CA" w:rsidRPr="00A671BF">
        <w:rPr>
          <w:bCs/>
          <w:i/>
          <w:szCs w:val="22"/>
        </w:rPr>
        <w:t xml:space="preserve">la plus </w:t>
      </w:r>
      <w:proofErr w:type="spellStart"/>
      <w:r w:rsidR="005534CA" w:rsidRPr="00A671BF">
        <w:rPr>
          <w:bCs/>
          <w:i/>
          <w:szCs w:val="22"/>
        </w:rPr>
        <w:t>grande</w:t>
      </w:r>
      <w:proofErr w:type="spellEnd"/>
      <w:r w:rsidR="005534CA" w:rsidRPr="00A671BF">
        <w:rPr>
          <w:bCs/>
          <w:i/>
          <w:szCs w:val="22"/>
        </w:rPr>
        <w:t xml:space="preserve"> France</w:t>
      </w:r>
      <w:r w:rsidR="00195084" w:rsidRPr="00A671BF">
        <w:rPr>
          <w:bCs/>
          <w:szCs w:val="22"/>
        </w:rPr>
        <w:t>.</w:t>
      </w:r>
      <w:r w:rsidR="00897569" w:rsidRPr="00A671BF">
        <w:rPr>
          <w:bCs/>
          <w:szCs w:val="22"/>
        </w:rPr>
        <w:t xml:space="preserve"> To</w:t>
      </w:r>
      <w:r w:rsidR="004453F0" w:rsidRPr="00A671BF">
        <w:rPr>
          <w:bCs/>
          <w:szCs w:val="22"/>
        </w:rPr>
        <w:t xml:space="preserve"> view inter</w:t>
      </w:r>
      <w:r w:rsidR="0083732E" w:rsidRPr="00A671BF">
        <w:rPr>
          <w:bCs/>
          <w:szCs w:val="22"/>
        </w:rPr>
        <w:t>-</w:t>
      </w:r>
      <w:r w:rsidR="004453F0" w:rsidRPr="00A671BF">
        <w:rPr>
          <w:bCs/>
          <w:szCs w:val="22"/>
        </w:rPr>
        <w:t>imperial co</w:t>
      </w:r>
      <w:r w:rsidR="009E7433" w:rsidRPr="00A671BF">
        <w:rPr>
          <w:bCs/>
          <w:szCs w:val="22"/>
        </w:rPr>
        <w:t>-</w:t>
      </w:r>
      <w:r w:rsidR="004453F0" w:rsidRPr="00A671BF">
        <w:rPr>
          <w:bCs/>
          <w:szCs w:val="22"/>
        </w:rPr>
        <w:t>operation</w:t>
      </w:r>
      <w:r w:rsidR="00212F5F" w:rsidRPr="00A671BF">
        <w:rPr>
          <w:bCs/>
          <w:szCs w:val="22"/>
        </w:rPr>
        <w:t xml:space="preserve"> as being driven </w:t>
      </w:r>
      <w:r w:rsidR="00FD79FB" w:rsidRPr="00A671BF">
        <w:rPr>
          <w:bCs/>
          <w:szCs w:val="22"/>
        </w:rPr>
        <w:t>at</w:t>
      </w:r>
      <w:r w:rsidR="00212F5F" w:rsidRPr="00A671BF">
        <w:rPr>
          <w:bCs/>
          <w:szCs w:val="22"/>
        </w:rPr>
        <w:t xml:space="preserve"> the behest of the British</w:t>
      </w:r>
      <w:r w:rsidR="001F0267" w:rsidRPr="00A671BF">
        <w:rPr>
          <w:bCs/>
          <w:szCs w:val="22"/>
        </w:rPr>
        <w:t xml:space="preserve">, as </w:t>
      </w:r>
      <w:proofErr w:type="spellStart"/>
      <w:r w:rsidR="001F0267" w:rsidRPr="00A671BF">
        <w:rPr>
          <w:bCs/>
          <w:szCs w:val="22"/>
        </w:rPr>
        <w:t>Brückenhaus</w:t>
      </w:r>
      <w:proofErr w:type="spellEnd"/>
      <w:r w:rsidR="001F0267" w:rsidRPr="00A671BF">
        <w:rPr>
          <w:bCs/>
          <w:szCs w:val="22"/>
        </w:rPr>
        <w:t xml:space="preserve"> </w:t>
      </w:r>
      <w:r w:rsidR="00AD1B4A" w:rsidRPr="00A671BF">
        <w:rPr>
          <w:bCs/>
          <w:szCs w:val="22"/>
        </w:rPr>
        <w:t xml:space="preserve">(2015) </w:t>
      </w:r>
      <w:r w:rsidR="001F0267" w:rsidRPr="00A671BF">
        <w:rPr>
          <w:bCs/>
          <w:szCs w:val="22"/>
        </w:rPr>
        <w:t xml:space="preserve">implies, </w:t>
      </w:r>
      <w:r w:rsidR="004453F0" w:rsidRPr="00A671BF">
        <w:rPr>
          <w:bCs/>
          <w:szCs w:val="22"/>
        </w:rPr>
        <w:t xml:space="preserve">is to overlook the reality of </w:t>
      </w:r>
      <w:r w:rsidR="00966330" w:rsidRPr="00A671BF">
        <w:rPr>
          <w:bCs/>
          <w:szCs w:val="22"/>
        </w:rPr>
        <w:t xml:space="preserve">imperial security </w:t>
      </w:r>
      <w:r w:rsidR="00FD79FB" w:rsidRPr="00A671BF">
        <w:rPr>
          <w:bCs/>
          <w:szCs w:val="22"/>
        </w:rPr>
        <w:t xml:space="preserve">issues </w:t>
      </w:r>
      <w:r w:rsidR="00966330" w:rsidRPr="00A671BF">
        <w:rPr>
          <w:bCs/>
          <w:szCs w:val="22"/>
        </w:rPr>
        <w:t xml:space="preserve">as they were </w:t>
      </w:r>
      <w:r w:rsidR="005534CA" w:rsidRPr="00A671BF">
        <w:rPr>
          <w:bCs/>
          <w:szCs w:val="22"/>
        </w:rPr>
        <w:t>understood</w:t>
      </w:r>
      <w:r w:rsidR="00966330" w:rsidRPr="00A671BF">
        <w:rPr>
          <w:bCs/>
          <w:szCs w:val="22"/>
        </w:rPr>
        <w:t xml:space="preserve"> by officials throughout the French empire</w:t>
      </w:r>
      <w:r w:rsidR="005534CA" w:rsidRPr="00A671BF">
        <w:rPr>
          <w:bCs/>
          <w:szCs w:val="22"/>
        </w:rPr>
        <w:t xml:space="preserve"> during the </w:t>
      </w:r>
      <w:r w:rsidR="0083732E" w:rsidRPr="00A671BF">
        <w:rPr>
          <w:bCs/>
          <w:szCs w:val="22"/>
        </w:rPr>
        <w:t>wider</w:t>
      </w:r>
      <w:r w:rsidR="00A34BC2" w:rsidRPr="00A671BF">
        <w:rPr>
          <w:bCs/>
          <w:szCs w:val="22"/>
        </w:rPr>
        <w:t xml:space="preserve"> </w:t>
      </w:r>
      <w:r w:rsidR="005534CA" w:rsidRPr="00A671BF">
        <w:rPr>
          <w:bCs/>
          <w:szCs w:val="22"/>
        </w:rPr>
        <w:t>interwar period</w:t>
      </w:r>
      <w:r w:rsidR="00966330" w:rsidRPr="00A671BF">
        <w:rPr>
          <w:bCs/>
          <w:szCs w:val="22"/>
        </w:rPr>
        <w:t xml:space="preserve">. </w:t>
      </w:r>
    </w:p>
    <w:p w:rsidR="00E155FE" w:rsidRPr="00A671BF" w:rsidRDefault="004453F0" w:rsidP="0038784E">
      <w:pPr>
        <w:spacing w:line="360" w:lineRule="auto"/>
        <w:ind w:firstLine="720"/>
        <w:rPr>
          <w:szCs w:val="22"/>
        </w:rPr>
      </w:pPr>
      <w:r w:rsidRPr="00A671BF">
        <w:rPr>
          <w:szCs w:val="22"/>
        </w:rPr>
        <w:lastRenderedPageBreak/>
        <w:t>By the twentieth century the French presence in India was small</w:t>
      </w:r>
      <w:r w:rsidR="00FD79FB" w:rsidRPr="00A671BF">
        <w:rPr>
          <w:szCs w:val="22"/>
        </w:rPr>
        <w:t>, comprising</w:t>
      </w:r>
      <w:r w:rsidR="0056178A" w:rsidRPr="00A671BF">
        <w:rPr>
          <w:szCs w:val="22"/>
        </w:rPr>
        <w:t xml:space="preserve"> the</w:t>
      </w:r>
      <w:r w:rsidR="00966330" w:rsidRPr="00A671BF">
        <w:rPr>
          <w:szCs w:val="22"/>
        </w:rPr>
        <w:t xml:space="preserve"> territorial remains of </w:t>
      </w:r>
      <w:r w:rsidR="00897569" w:rsidRPr="00A671BF">
        <w:rPr>
          <w:szCs w:val="22"/>
        </w:rPr>
        <w:t xml:space="preserve">trade and colonial activities </w:t>
      </w:r>
      <w:r w:rsidR="00195084" w:rsidRPr="00A671BF">
        <w:rPr>
          <w:szCs w:val="22"/>
        </w:rPr>
        <w:t>prior to the end of the Seven Years’ War</w:t>
      </w:r>
      <w:r w:rsidR="00897569" w:rsidRPr="00A671BF">
        <w:rPr>
          <w:szCs w:val="22"/>
        </w:rPr>
        <w:t xml:space="preserve">. </w:t>
      </w:r>
      <w:r w:rsidR="0056178A" w:rsidRPr="00A671BF">
        <w:rPr>
          <w:szCs w:val="22"/>
        </w:rPr>
        <w:t>During the eighteenth century there had</w:t>
      </w:r>
      <w:r w:rsidR="002E0EDC" w:rsidRPr="00A671BF">
        <w:rPr>
          <w:szCs w:val="22"/>
        </w:rPr>
        <w:t xml:space="preserve"> been </w:t>
      </w:r>
      <w:r w:rsidR="00FD79FB" w:rsidRPr="00A671BF">
        <w:rPr>
          <w:szCs w:val="22"/>
        </w:rPr>
        <w:t>a</w:t>
      </w:r>
      <w:r w:rsidR="002E0EDC" w:rsidRPr="00A671BF">
        <w:rPr>
          <w:szCs w:val="22"/>
        </w:rPr>
        <w:t xml:space="preserve"> strong possibility that India would succ</w:t>
      </w:r>
      <w:r w:rsidR="00897569" w:rsidRPr="00A671BF">
        <w:rPr>
          <w:szCs w:val="22"/>
        </w:rPr>
        <w:t>um</w:t>
      </w:r>
      <w:r w:rsidR="0056178A" w:rsidRPr="00A671BF">
        <w:rPr>
          <w:szCs w:val="22"/>
        </w:rPr>
        <w:t>b to the control of the French</w:t>
      </w:r>
      <w:r w:rsidR="00FD79FB" w:rsidRPr="00A671BF">
        <w:rPr>
          <w:szCs w:val="22"/>
        </w:rPr>
        <w:t>;</w:t>
      </w:r>
      <w:r w:rsidR="0056178A" w:rsidRPr="00A671BF">
        <w:rPr>
          <w:szCs w:val="22"/>
        </w:rPr>
        <w:t xml:space="preserve"> </w:t>
      </w:r>
      <w:r w:rsidR="00CF3B56" w:rsidRPr="00A671BF">
        <w:rPr>
          <w:szCs w:val="22"/>
        </w:rPr>
        <w:t>nevertheless,</w:t>
      </w:r>
      <w:r w:rsidR="0056178A" w:rsidRPr="00A671BF">
        <w:rPr>
          <w:szCs w:val="22"/>
        </w:rPr>
        <w:t xml:space="preserve"> </w:t>
      </w:r>
      <w:r w:rsidR="002E0EDC" w:rsidRPr="00A671BF">
        <w:rPr>
          <w:szCs w:val="22"/>
        </w:rPr>
        <w:t xml:space="preserve">the </w:t>
      </w:r>
      <w:r w:rsidR="00FD79FB" w:rsidRPr="00A671BF">
        <w:rPr>
          <w:szCs w:val="22"/>
        </w:rPr>
        <w:t xml:space="preserve">terms of the </w:t>
      </w:r>
      <w:r w:rsidR="002E0EDC" w:rsidRPr="00A671BF">
        <w:rPr>
          <w:szCs w:val="22"/>
        </w:rPr>
        <w:t>Treaty of Paris of 1763</w:t>
      </w:r>
      <w:r w:rsidR="00FD79FB" w:rsidRPr="00A671BF">
        <w:rPr>
          <w:szCs w:val="22"/>
        </w:rPr>
        <w:t>, which</w:t>
      </w:r>
      <w:r w:rsidR="002E0EDC" w:rsidRPr="00A671BF">
        <w:rPr>
          <w:szCs w:val="22"/>
        </w:rPr>
        <w:t xml:space="preserve"> </w:t>
      </w:r>
      <w:r w:rsidR="00FD79FB" w:rsidRPr="00A671BF">
        <w:rPr>
          <w:szCs w:val="22"/>
        </w:rPr>
        <w:t>ended</w:t>
      </w:r>
      <w:r w:rsidR="00195084" w:rsidRPr="00A671BF">
        <w:rPr>
          <w:szCs w:val="22"/>
        </w:rPr>
        <w:t xml:space="preserve"> the Seven Years’ War </w:t>
      </w:r>
      <w:r w:rsidR="00FD79FB" w:rsidRPr="00A671BF">
        <w:rPr>
          <w:szCs w:val="22"/>
        </w:rPr>
        <w:t>(and whose terms</w:t>
      </w:r>
      <w:r w:rsidR="002E0EDC" w:rsidRPr="00A671BF">
        <w:rPr>
          <w:szCs w:val="22"/>
        </w:rPr>
        <w:t xml:space="preserve"> were reconfirmed by the Peace of Paris of 1814–15</w:t>
      </w:r>
      <w:r w:rsidR="00FD79FB" w:rsidRPr="00A671BF">
        <w:rPr>
          <w:szCs w:val="22"/>
        </w:rPr>
        <w:t>),</w:t>
      </w:r>
      <w:r w:rsidR="0056178A" w:rsidRPr="00A671BF">
        <w:rPr>
          <w:szCs w:val="22"/>
        </w:rPr>
        <w:t xml:space="preserve"> </w:t>
      </w:r>
      <w:r w:rsidR="00E055FC" w:rsidRPr="00A671BF">
        <w:rPr>
          <w:szCs w:val="22"/>
        </w:rPr>
        <w:t>reduced the French empire to</w:t>
      </w:r>
      <w:r w:rsidR="000665C0" w:rsidRPr="00A671BF">
        <w:rPr>
          <w:szCs w:val="22"/>
        </w:rPr>
        <w:t xml:space="preserve"> ‘islands’ of French authority isolated on the peripheries of a British-dominated territory. The five French </w:t>
      </w:r>
      <w:proofErr w:type="spellStart"/>
      <w:r w:rsidR="000665C0" w:rsidRPr="00A671BF">
        <w:rPr>
          <w:i/>
          <w:szCs w:val="22"/>
        </w:rPr>
        <w:t>Établissements</w:t>
      </w:r>
      <w:proofErr w:type="spellEnd"/>
      <w:r w:rsidR="000665C0" w:rsidRPr="00A671BF">
        <w:rPr>
          <w:szCs w:val="22"/>
        </w:rPr>
        <w:t xml:space="preserve">, or </w:t>
      </w:r>
      <w:proofErr w:type="spellStart"/>
      <w:r w:rsidR="000665C0" w:rsidRPr="00A671BF">
        <w:rPr>
          <w:i/>
          <w:szCs w:val="22"/>
        </w:rPr>
        <w:t>comptoirs</w:t>
      </w:r>
      <w:proofErr w:type="spellEnd"/>
      <w:r w:rsidR="00F805C4" w:rsidRPr="00A671BF">
        <w:rPr>
          <w:szCs w:val="22"/>
        </w:rPr>
        <w:t xml:space="preserve"> </w:t>
      </w:r>
      <w:r w:rsidR="000665C0" w:rsidRPr="00A671BF">
        <w:rPr>
          <w:szCs w:val="22"/>
        </w:rPr>
        <w:t xml:space="preserve">as they were more popularly known, </w:t>
      </w:r>
      <w:r w:rsidR="00E771E8" w:rsidRPr="00A671BF">
        <w:rPr>
          <w:szCs w:val="22"/>
        </w:rPr>
        <w:t>Pondicherry</w:t>
      </w:r>
      <w:r w:rsidR="000665C0" w:rsidRPr="00A671BF">
        <w:rPr>
          <w:szCs w:val="22"/>
        </w:rPr>
        <w:t xml:space="preserve">, </w:t>
      </w:r>
      <w:proofErr w:type="spellStart"/>
      <w:r w:rsidR="000665C0" w:rsidRPr="00A671BF">
        <w:rPr>
          <w:szCs w:val="22"/>
        </w:rPr>
        <w:t>Karikal</w:t>
      </w:r>
      <w:proofErr w:type="spellEnd"/>
      <w:r w:rsidR="000665C0" w:rsidRPr="00A671BF">
        <w:rPr>
          <w:szCs w:val="22"/>
        </w:rPr>
        <w:t xml:space="preserve">, </w:t>
      </w:r>
      <w:proofErr w:type="spellStart"/>
      <w:r w:rsidR="000665C0" w:rsidRPr="00A671BF">
        <w:rPr>
          <w:szCs w:val="22"/>
        </w:rPr>
        <w:t>Mahé</w:t>
      </w:r>
      <w:proofErr w:type="spellEnd"/>
      <w:r w:rsidR="000665C0" w:rsidRPr="00A671BF">
        <w:rPr>
          <w:szCs w:val="22"/>
        </w:rPr>
        <w:t xml:space="preserve">, </w:t>
      </w:r>
      <w:proofErr w:type="spellStart"/>
      <w:r w:rsidR="000665C0" w:rsidRPr="00A671BF">
        <w:rPr>
          <w:szCs w:val="22"/>
        </w:rPr>
        <w:t>Yanaom</w:t>
      </w:r>
      <w:proofErr w:type="spellEnd"/>
      <w:r w:rsidR="000665C0" w:rsidRPr="00A671BF">
        <w:rPr>
          <w:szCs w:val="22"/>
        </w:rPr>
        <w:t xml:space="preserve"> and </w:t>
      </w:r>
      <w:proofErr w:type="spellStart"/>
      <w:r w:rsidR="000665C0" w:rsidRPr="00A671BF">
        <w:rPr>
          <w:szCs w:val="22"/>
        </w:rPr>
        <w:t>Chandernagor</w:t>
      </w:r>
      <w:proofErr w:type="spellEnd"/>
      <w:r w:rsidR="000665C0" w:rsidRPr="00A671BF">
        <w:rPr>
          <w:szCs w:val="22"/>
        </w:rPr>
        <w:t>, were small enclaves with</w:t>
      </w:r>
      <w:r w:rsidR="00E055FC" w:rsidRPr="00A671BF">
        <w:rPr>
          <w:szCs w:val="22"/>
        </w:rPr>
        <w:t xml:space="preserve"> a surface area totalling 515</w:t>
      </w:r>
      <w:r w:rsidR="00173641" w:rsidRPr="00A671BF">
        <w:rPr>
          <w:szCs w:val="22"/>
        </w:rPr>
        <w:t xml:space="preserve"> </w:t>
      </w:r>
      <w:r w:rsidR="00E055FC" w:rsidRPr="00A671BF">
        <w:rPr>
          <w:szCs w:val="22"/>
        </w:rPr>
        <w:t>km</w:t>
      </w:r>
      <w:r w:rsidR="00E055FC" w:rsidRPr="00A671BF">
        <w:rPr>
          <w:szCs w:val="22"/>
          <w:vertAlign w:val="superscript"/>
        </w:rPr>
        <w:t>2</w:t>
      </w:r>
      <w:r w:rsidR="000665C0" w:rsidRPr="00A671BF">
        <w:rPr>
          <w:szCs w:val="22"/>
        </w:rPr>
        <w:t xml:space="preserve"> and with a combined population recorded officially in 1936 as 298,851 inhabitants</w:t>
      </w:r>
      <w:r w:rsidR="00135C1E" w:rsidRPr="00A671BF">
        <w:rPr>
          <w:szCs w:val="22"/>
        </w:rPr>
        <w:t xml:space="preserve"> (</w:t>
      </w:r>
      <w:proofErr w:type="spellStart"/>
      <w:r w:rsidR="00135C1E" w:rsidRPr="00A671BF">
        <w:t>Meile</w:t>
      </w:r>
      <w:proofErr w:type="spellEnd"/>
      <w:r w:rsidR="00135C1E" w:rsidRPr="00A671BF">
        <w:t>, 1948: 143)</w:t>
      </w:r>
      <w:r w:rsidR="000665C0" w:rsidRPr="00A671BF">
        <w:rPr>
          <w:szCs w:val="22"/>
        </w:rPr>
        <w:t>.</w:t>
      </w:r>
      <w:r w:rsidR="00844969" w:rsidRPr="00A671BF">
        <w:rPr>
          <w:szCs w:val="22"/>
        </w:rPr>
        <w:t xml:space="preserve"> </w:t>
      </w:r>
      <w:r w:rsidR="000665C0" w:rsidRPr="00A671BF">
        <w:rPr>
          <w:szCs w:val="22"/>
        </w:rPr>
        <w:t xml:space="preserve">The </w:t>
      </w:r>
      <w:r w:rsidR="000665C0" w:rsidRPr="00A671BF">
        <w:rPr>
          <w:i/>
          <w:szCs w:val="22"/>
        </w:rPr>
        <w:t>chef-lieu</w:t>
      </w:r>
      <w:r w:rsidR="000665C0" w:rsidRPr="00A671BF">
        <w:rPr>
          <w:szCs w:val="22"/>
        </w:rPr>
        <w:t xml:space="preserve">, </w:t>
      </w:r>
      <w:r w:rsidR="00E771E8" w:rsidRPr="00A671BF">
        <w:rPr>
          <w:szCs w:val="22"/>
        </w:rPr>
        <w:t>Pondicherry</w:t>
      </w:r>
      <w:r w:rsidR="000665C0" w:rsidRPr="00A671BF">
        <w:rPr>
          <w:szCs w:val="22"/>
        </w:rPr>
        <w:t xml:space="preserve">, was not a cohesive unit, consisting of outlying </w:t>
      </w:r>
      <w:r w:rsidR="000665C0" w:rsidRPr="00A671BF">
        <w:t xml:space="preserve">hamlets which were effectively stranded in the neighbouring British territory, and all the </w:t>
      </w:r>
      <w:proofErr w:type="spellStart"/>
      <w:r w:rsidR="000665C0" w:rsidRPr="00A671BF">
        <w:rPr>
          <w:i/>
        </w:rPr>
        <w:t>comptoirs</w:t>
      </w:r>
      <w:proofErr w:type="spellEnd"/>
      <w:r w:rsidR="000665C0" w:rsidRPr="00A671BF">
        <w:t xml:space="preserve"> were dependent upon the surrounding British Indian towns for essential supplies and communications.</w:t>
      </w:r>
      <w:r w:rsidR="00FD79FB" w:rsidRPr="00A671BF">
        <w:t xml:space="preserve"> </w:t>
      </w:r>
      <w:r w:rsidR="001B449B" w:rsidRPr="00A671BF">
        <w:t xml:space="preserve">Circumscribed territorially, and </w:t>
      </w:r>
      <w:r w:rsidR="002E0EDC" w:rsidRPr="00A671BF">
        <w:t>geographic</w:t>
      </w:r>
      <w:r w:rsidR="001B449B" w:rsidRPr="00A671BF">
        <w:t>ally disparate</w:t>
      </w:r>
      <w:r w:rsidR="002E0EDC" w:rsidRPr="00A671BF">
        <w:t xml:space="preserve">, </w:t>
      </w:r>
      <w:r w:rsidR="00B431A8" w:rsidRPr="00A671BF">
        <w:t xml:space="preserve">the </w:t>
      </w:r>
      <w:proofErr w:type="spellStart"/>
      <w:r w:rsidR="00B431A8" w:rsidRPr="00A671BF">
        <w:rPr>
          <w:i/>
        </w:rPr>
        <w:t>comptoirs</w:t>
      </w:r>
      <w:proofErr w:type="spellEnd"/>
      <w:r w:rsidR="00B431A8" w:rsidRPr="00A671BF">
        <w:t xml:space="preserve"> (particularly </w:t>
      </w:r>
      <w:proofErr w:type="spellStart"/>
      <w:r w:rsidR="00B431A8" w:rsidRPr="00A671BF">
        <w:t>Chandernagor</w:t>
      </w:r>
      <w:proofErr w:type="spellEnd"/>
      <w:r w:rsidR="00B431A8" w:rsidRPr="00A671BF">
        <w:t xml:space="preserve">, which was little more than a suburb of Calcutta) had </w:t>
      </w:r>
      <w:r w:rsidR="001B449B" w:rsidRPr="00A671BF">
        <w:t>porous borders</w:t>
      </w:r>
      <w:r w:rsidR="00B431A8" w:rsidRPr="00A671BF">
        <w:t xml:space="preserve"> which </w:t>
      </w:r>
      <w:r w:rsidR="001B449B" w:rsidRPr="00A671BF">
        <w:t xml:space="preserve">allowed </w:t>
      </w:r>
      <w:r w:rsidR="00B862A6" w:rsidRPr="00A671BF">
        <w:t xml:space="preserve">the </w:t>
      </w:r>
      <w:r w:rsidR="001B449B" w:rsidRPr="00A671BF">
        <w:t>smuggling of people, arms and goods</w:t>
      </w:r>
      <w:r w:rsidR="00135C1E" w:rsidRPr="00A671BF">
        <w:t xml:space="preserve"> (Marsh, 2007: </w:t>
      </w:r>
      <w:r w:rsidR="00135C1E" w:rsidRPr="00A671BF">
        <w:rPr>
          <w:bCs/>
        </w:rPr>
        <w:t xml:space="preserve">35–36; </w:t>
      </w:r>
      <w:proofErr w:type="spellStart"/>
      <w:r w:rsidR="002B7DE1" w:rsidRPr="00A671BF">
        <w:t>Pitoëff</w:t>
      </w:r>
      <w:proofErr w:type="spellEnd"/>
      <w:r w:rsidR="002B7DE1" w:rsidRPr="00A671BF">
        <w:t xml:space="preserve">, 1991; </w:t>
      </w:r>
      <w:r w:rsidR="00135C1E" w:rsidRPr="00A671BF">
        <w:rPr>
          <w:bCs/>
        </w:rPr>
        <w:t>Yechury, 2015</w:t>
      </w:r>
      <w:r w:rsidR="002B7DE1" w:rsidRPr="00A671BF">
        <w:rPr>
          <w:bCs/>
        </w:rPr>
        <w:t>)</w:t>
      </w:r>
      <w:r w:rsidR="00135C1E" w:rsidRPr="00A671BF">
        <w:rPr>
          <w:bCs/>
        </w:rPr>
        <w:t>.</w:t>
      </w:r>
      <w:r w:rsidR="001B449B" w:rsidRPr="00A671BF">
        <w:t xml:space="preserve"> </w:t>
      </w:r>
      <w:r w:rsidR="00E155FE" w:rsidRPr="00A671BF">
        <w:t xml:space="preserve">Moreover, the French enjoyed </w:t>
      </w:r>
      <w:r w:rsidR="00195084" w:rsidRPr="00A671BF">
        <w:t>a</w:t>
      </w:r>
      <w:r w:rsidR="00E155FE" w:rsidRPr="00A671BF">
        <w:t xml:space="preserve"> politically ambival</w:t>
      </w:r>
      <w:r w:rsidR="008E2CB5" w:rsidRPr="00A671BF">
        <w:t>ent status in India. T</w:t>
      </w:r>
      <w:r w:rsidR="00E155FE" w:rsidRPr="00A671BF">
        <w:t xml:space="preserve">hey were an </w:t>
      </w:r>
      <w:r w:rsidR="00A633CB" w:rsidRPr="00A671BF">
        <w:t>independent imperial</w:t>
      </w:r>
      <w:r w:rsidR="00A633CB" w:rsidRPr="00A671BF">
        <w:rPr>
          <w:szCs w:val="22"/>
        </w:rPr>
        <w:t xml:space="preserve"> power but </w:t>
      </w:r>
      <w:r w:rsidR="00E155FE" w:rsidRPr="00A671BF">
        <w:rPr>
          <w:szCs w:val="22"/>
        </w:rPr>
        <w:t>strategically subordinate to their larger neighbour, the British</w:t>
      </w:r>
      <w:r w:rsidR="00440CAC" w:rsidRPr="00A671BF">
        <w:rPr>
          <w:szCs w:val="22"/>
        </w:rPr>
        <w:t>,</w:t>
      </w:r>
      <w:r w:rsidR="008E2CB5" w:rsidRPr="00A671BF">
        <w:rPr>
          <w:szCs w:val="22"/>
        </w:rPr>
        <w:t xml:space="preserve"> with</w:t>
      </w:r>
      <w:r w:rsidR="00A633CB" w:rsidRPr="00A671BF">
        <w:rPr>
          <w:szCs w:val="22"/>
        </w:rPr>
        <w:t xml:space="preserve"> t</w:t>
      </w:r>
      <w:r w:rsidR="006F3111" w:rsidRPr="00A671BF">
        <w:rPr>
          <w:szCs w:val="22"/>
        </w:rPr>
        <w:t xml:space="preserve">he treaties of 1814/15 and 1876 giving </w:t>
      </w:r>
      <w:r w:rsidR="00A34BC2" w:rsidRPr="00A671BF">
        <w:rPr>
          <w:szCs w:val="22"/>
        </w:rPr>
        <w:t xml:space="preserve">the </w:t>
      </w:r>
      <w:r w:rsidR="006F3111" w:rsidRPr="00A671BF">
        <w:t>widest possible powers of extradition to the Government of India,</w:t>
      </w:r>
      <w:r w:rsidR="00E155FE" w:rsidRPr="00A671BF">
        <w:rPr>
          <w:szCs w:val="22"/>
        </w:rPr>
        <w:t xml:space="preserve"> a status that would become</w:t>
      </w:r>
      <w:r w:rsidR="00897569" w:rsidRPr="00A671BF">
        <w:rPr>
          <w:szCs w:val="22"/>
        </w:rPr>
        <w:t xml:space="preserve"> particularly problematic</w:t>
      </w:r>
      <w:r w:rsidR="00E155FE" w:rsidRPr="00A671BF">
        <w:rPr>
          <w:szCs w:val="22"/>
        </w:rPr>
        <w:t xml:space="preserve"> as Bengal became the home to the </w:t>
      </w:r>
      <w:r w:rsidR="00E155FE" w:rsidRPr="00A671BF">
        <w:rPr>
          <w:i/>
          <w:szCs w:val="22"/>
        </w:rPr>
        <w:t>Swadeshi</w:t>
      </w:r>
      <w:r w:rsidR="00E155FE" w:rsidRPr="00A671BF">
        <w:rPr>
          <w:szCs w:val="22"/>
        </w:rPr>
        <w:t xml:space="preserve"> movement after 1905</w:t>
      </w:r>
      <w:r w:rsidR="00354C6E" w:rsidRPr="00A671BF">
        <w:rPr>
          <w:szCs w:val="22"/>
        </w:rPr>
        <w:t xml:space="preserve"> (David, 1991)</w:t>
      </w:r>
      <w:r w:rsidR="00E155FE" w:rsidRPr="00A671BF">
        <w:rPr>
          <w:szCs w:val="22"/>
        </w:rPr>
        <w:t>.</w:t>
      </w:r>
    </w:p>
    <w:p w:rsidR="000B3B45" w:rsidRPr="00A671BF" w:rsidRDefault="00E155FE" w:rsidP="0038784E">
      <w:pPr>
        <w:spacing w:line="360" w:lineRule="auto"/>
        <w:ind w:firstLine="720"/>
      </w:pPr>
      <w:r w:rsidRPr="00A671BF">
        <w:rPr>
          <w:szCs w:val="22"/>
        </w:rPr>
        <w:t>The case of</w:t>
      </w:r>
      <w:r w:rsidR="001B449B" w:rsidRPr="00A671BF">
        <w:rPr>
          <w:szCs w:val="22"/>
        </w:rPr>
        <w:t xml:space="preserve"> </w:t>
      </w:r>
      <w:proofErr w:type="spellStart"/>
      <w:r w:rsidR="001B449B" w:rsidRPr="00A671BF">
        <w:rPr>
          <w:szCs w:val="22"/>
        </w:rPr>
        <w:t>Charu</w:t>
      </w:r>
      <w:proofErr w:type="spellEnd"/>
      <w:r w:rsidR="001B449B" w:rsidRPr="00A671BF">
        <w:rPr>
          <w:szCs w:val="22"/>
        </w:rPr>
        <w:t xml:space="preserve"> Chandra Roy</w:t>
      </w:r>
      <w:r w:rsidR="007119DA" w:rsidRPr="00A671BF">
        <w:rPr>
          <w:szCs w:val="22"/>
        </w:rPr>
        <w:t>,</w:t>
      </w:r>
      <w:r w:rsidRPr="00A671BF">
        <w:rPr>
          <w:szCs w:val="22"/>
        </w:rPr>
        <w:t xml:space="preserve"> </w:t>
      </w:r>
      <w:r w:rsidR="007119DA" w:rsidRPr="00A671BF">
        <w:rPr>
          <w:szCs w:val="22"/>
        </w:rPr>
        <w:t xml:space="preserve">Vice-Principal of Dupleix </w:t>
      </w:r>
      <w:proofErr w:type="spellStart"/>
      <w:r w:rsidR="007119DA" w:rsidRPr="00A671BF">
        <w:rPr>
          <w:szCs w:val="22"/>
        </w:rPr>
        <w:t>collège</w:t>
      </w:r>
      <w:proofErr w:type="spellEnd"/>
      <w:r w:rsidR="007119DA" w:rsidRPr="00A671BF">
        <w:rPr>
          <w:szCs w:val="22"/>
        </w:rPr>
        <w:t xml:space="preserve"> in </w:t>
      </w:r>
      <w:proofErr w:type="spellStart"/>
      <w:r w:rsidR="007119DA" w:rsidRPr="00A671BF">
        <w:rPr>
          <w:szCs w:val="22"/>
        </w:rPr>
        <w:t>Chandernagor</w:t>
      </w:r>
      <w:proofErr w:type="spellEnd"/>
      <w:r w:rsidR="007119DA" w:rsidRPr="00A671BF">
        <w:rPr>
          <w:szCs w:val="22"/>
        </w:rPr>
        <w:t xml:space="preserve">, </w:t>
      </w:r>
      <w:r w:rsidRPr="00A671BF">
        <w:rPr>
          <w:szCs w:val="22"/>
        </w:rPr>
        <w:t xml:space="preserve">demonstrates the precarious </w:t>
      </w:r>
      <w:r w:rsidR="00897569" w:rsidRPr="00A671BF">
        <w:rPr>
          <w:szCs w:val="22"/>
        </w:rPr>
        <w:t>position</w:t>
      </w:r>
      <w:r w:rsidRPr="00A671BF">
        <w:rPr>
          <w:szCs w:val="22"/>
        </w:rPr>
        <w:t xml:space="preserve"> of French imperial </w:t>
      </w:r>
      <w:r w:rsidR="0083732E" w:rsidRPr="00A671BF">
        <w:rPr>
          <w:szCs w:val="22"/>
        </w:rPr>
        <w:t>rule</w:t>
      </w:r>
      <w:r w:rsidRPr="00A671BF">
        <w:rPr>
          <w:szCs w:val="22"/>
        </w:rPr>
        <w:t xml:space="preserve"> in India.</w:t>
      </w:r>
      <w:r w:rsidR="00CE5E15" w:rsidRPr="00A671BF">
        <w:rPr>
          <w:szCs w:val="22"/>
        </w:rPr>
        <w:t xml:space="preserve"> </w:t>
      </w:r>
      <w:r w:rsidR="007119DA" w:rsidRPr="00A671BF">
        <w:rPr>
          <w:szCs w:val="22"/>
        </w:rPr>
        <w:t xml:space="preserve">Accused of an act of terrorism </w:t>
      </w:r>
      <w:r w:rsidR="006A64C5" w:rsidRPr="00A671BF">
        <w:rPr>
          <w:szCs w:val="22"/>
        </w:rPr>
        <w:t>and identified</w:t>
      </w:r>
      <w:r w:rsidR="00041EB4" w:rsidRPr="00A671BF">
        <w:rPr>
          <w:szCs w:val="22"/>
        </w:rPr>
        <w:t xml:space="preserve"> by the British as taking refuge in the French colony, </w:t>
      </w:r>
      <w:r w:rsidR="006A64C5" w:rsidRPr="00A671BF">
        <w:rPr>
          <w:szCs w:val="22"/>
        </w:rPr>
        <w:t>Roy was arrested in 1908 after</w:t>
      </w:r>
      <w:r w:rsidR="00041EB4" w:rsidRPr="00A671BF">
        <w:rPr>
          <w:szCs w:val="22"/>
        </w:rPr>
        <w:t xml:space="preserve"> </w:t>
      </w:r>
      <w:r w:rsidR="00CA3D3E" w:rsidRPr="00A671BF">
        <w:rPr>
          <w:szCs w:val="22"/>
        </w:rPr>
        <w:t>co</w:t>
      </w:r>
      <w:r w:rsidR="009E7433" w:rsidRPr="00A671BF">
        <w:rPr>
          <w:szCs w:val="22"/>
        </w:rPr>
        <w:t>-</w:t>
      </w:r>
      <w:r w:rsidR="00CA3D3E" w:rsidRPr="00A671BF">
        <w:rPr>
          <w:szCs w:val="22"/>
        </w:rPr>
        <w:t>operation</w:t>
      </w:r>
      <w:r w:rsidR="00041EB4" w:rsidRPr="00A671BF">
        <w:rPr>
          <w:szCs w:val="22"/>
        </w:rPr>
        <w:t xml:space="preserve"> between the French and the British</w:t>
      </w:r>
      <w:r w:rsidR="00563920" w:rsidRPr="00A671BF">
        <w:rPr>
          <w:szCs w:val="22"/>
        </w:rPr>
        <w:t xml:space="preserve"> authorities. The arrest</w:t>
      </w:r>
      <w:r w:rsidR="0000612E" w:rsidRPr="00A671BF">
        <w:rPr>
          <w:szCs w:val="22"/>
        </w:rPr>
        <w:t xml:space="preserve"> </w:t>
      </w:r>
      <w:r w:rsidR="0056178A" w:rsidRPr="00A671BF">
        <w:rPr>
          <w:szCs w:val="22"/>
        </w:rPr>
        <w:t xml:space="preserve">provoked something of an </w:t>
      </w:r>
      <w:r w:rsidR="00271F98" w:rsidRPr="00A671BF">
        <w:rPr>
          <w:szCs w:val="22"/>
        </w:rPr>
        <w:t>uproar in mainland France</w:t>
      </w:r>
      <w:r w:rsidR="00354C6E" w:rsidRPr="00A671BF">
        <w:rPr>
          <w:szCs w:val="22"/>
        </w:rPr>
        <w:t xml:space="preserve"> (</w:t>
      </w:r>
      <w:r w:rsidR="00217CB1" w:rsidRPr="00A671BF">
        <w:rPr>
          <w:szCs w:val="22"/>
        </w:rPr>
        <w:t xml:space="preserve">noted by </w:t>
      </w:r>
      <w:r w:rsidR="00354C6E" w:rsidRPr="00A671BF">
        <w:rPr>
          <w:szCs w:val="22"/>
        </w:rPr>
        <w:t>Duke, 1908)</w:t>
      </w:r>
      <w:r w:rsidR="00041EB4" w:rsidRPr="00A671BF">
        <w:rPr>
          <w:szCs w:val="22"/>
        </w:rPr>
        <w:t>.</w:t>
      </w:r>
      <w:r w:rsidR="001B449B" w:rsidRPr="00A671BF">
        <w:rPr>
          <w:szCs w:val="22"/>
        </w:rPr>
        <w:t xml:space="preserve"> </w:t>
      </w:r>
      <w:r w:rsidR="00041EB4" w:rsidRPr="00A671BF">
        <w:rPr>
          <w:szCs w:val="22"/>
        </w:rPr>
        <w:t xml:space="preserve">The </w:t>
      </w:r>
      <w:r w:rsidR="0083732E" w:rsidRPr="00A671BF">
        <w:rPr>
          <w:szCs w:val="22"/>
        </w:rPr>
        <w:t>chauvinist</w:t>
      </w:r>
      <w:r w:rsidR="00413FFD" w:rsidRPr="00A671BF">
        <w:rPr>
          <w:szCs w:val="22"/>
        </w:rPr>
        <w:t xml:space="preserve"> Paris-based</w:t>
      </w:r>
      <w:r w:rsidR="00041EB4" w:rsidRPr="00A671BF">
        <w:rPr>
          <w:szCs w:val="22"/>
        </w:rPr>
        <w:t xml:space="preserve"> newspaper, </w:t>
      </w:r>
      <w:r w:rsidR="00041EB4" w:rsidRPr="00A671BF">
        <w:rPr>
          <w:i/>
          <w:szCs w:val="22"/>
        </w:rPr>
        <w:t xml:space="preserve">La Politique </w:t>
      </w:r>
      <w:proofErr w:type="spellStart"/>
      <w:r w:rsidR="0000612E" w:rsidRPr="00A671BF">
        <w:rPr>
          <w:i/>
          <w:szCs w:val="22"/>
        </w:rPr>
        <w:t>colonial</w:t>
      </w:r>
      <w:r w:rsidR="001F0267" w:rsidRPr="00A671BF">
        <w:rPr>
          <w:i/>
          <w:szCs w:val="22"/>
        </w:rPr>
        <w:t>e</w:t>
      </w:r>
      <w:proofErr w:type="spellEnd"/>
      <w:r w:rsidR="0000612E" w:rsidRPr="00A671BF">
        <w:rPr>
          <w:szCs w:val="22"/>
        </w:rPr>
        <w:t>,</w:t>
      </w:r>
      <w:r w:rsidR="00EF3723" w:rsidRPr="00A671BF">
        <w:rPr>
          <w:szCs w:val="22"/>
        </w:rPr>
        <w:t xml:space="preserve"> objected vehemently </w:t>
      </w:r>
      <w:r w:rsidR="00F50D05" w:rsidRPr="00A671BF">
        <w:rPr>
          <w:szCs w:val="22"/>
        </w:rPr>
        <w:t xml:space="preserve">with a headline </w:t>
      </w:r>
      <w:r w:rsidR="00041EB4" w:rsidRPr="00A671BF">
        <w:rPr>
          <w:szCs w:val="22"/>
        </w:rPr>
        <w:t>asking ‘</w:t>
      </w:r>
      <w:proofErr w:type="spellStart"/>
      <w:r w:rsidR="00041EB4" w:rsidRPr="00A671BF">
        <w:rPr>
          <w:szCs w:val="22"/>
        </w:rPr>
        <w:t>Sommes</w:t>
      </w:r>
      <w:proofErr w:type="spellEnd"/>
      <w:r w:rsidR="00041EB4" w:rsidRPr="00A671BF">
        <w:rPr>
          <w:szCs w:val="22"/>
        </w:rPr>
        <w:t xml:space="preserve">-nous chez nous dans </w:t>
      </w:r>
      <w:proofErr w:type="spellStart"/>
      <w:r w:rsidR="00041EB4" w:rsidRPr="00A671BF">
        <w:rPr>
          <w:szCs w:val="22"/>
        </w:rPr>
        <w:t>l’Inde</w:t>
      </w:r>
      <w:proofErr w:type="spellEnd"/>
      <w:r w:rsidR="00041EB4" w:rsidRPr="00A671BF">
        <w:rPr>
          <w:szCs w:val="22"/>
        </w:rPr>
        <w:t xml:space="preserve"> </w:t>
      </w:r>
      <w:proofErr w:type="spellStart"/>
      <w:r w:rsidR="00041EB4" w:rsidRPr="00A671BF">
        <w:rPr>
          <w:szCs w:val="22"/>
        </w:rPr>
        <w:t>française</w:t>
      </w:r>
      <w:proofErr w:type="spellEnd"/>
      <w:r w:rsidR="00041EB4" w:rsidRPr="00A671BF">
        <w:rPr>
          <w:szCs w:val="22"/>
        </w:rPr>
        <w:t xml:space="preserve">? </w:t>
      </w:r>
      <w:r w:rsidR="00041EB4" w:rsidRPr="00A671BF">
        <w:rPr>
          <w:szCs w:val="22"/>
          <w:lang w:val="fr-FR"/>
        </w:rPr>
        <w:t>Une extradition illégale’</w:t>
      </w:r>
      <w:r w:rsidR="00354C6E" w:rsidRPr="00A671BF">
        <w:rPr>
          <w:szCs w:val="22"/>
          <w:lang w:val="fr-FR"/>
        </w:rPr>
        <w:t xml:space="preserve"> (</w:t>
      </w:r>
      <w:r w:rsidR="00354C6E" w:rsidRPr="00A671BF">
        <w:rPr>
          <w:i/>
          <w:szCs w:val="22"/>
          <w:lang w:val="fr-FR"/>
        </w:rPr>
        <w:t>La Politique coloniale</w:t>
      </w:r>
      <w:r w:rsidR="00354C6E" w:rsidRPr="00A671BF">
        <w:rPr>
          <w:szCs w:val="22"/>
          <w:lang w:val="fr-FR"/>
        </w:rPr>
        <w:t>, 1908),</w:t>
      </w:r>
      <w:r w:rsidR="004E4B04" w:rsidRPr="00A671BF">
        <w:rPr>
          <w:szCs w:val="22"/>
          <w:lang w:val="fr-FR"/>
        </w:rPr>
        <w:t xml:space="preserve"> </w:t>
      </w:r>
      <w:proofErr w:type="spellStart"/>
      <w:r w:rsidR="0000612E" w:rsidRPr="00A671BF">
        <w:rPr>
          <w:szCs w:val="22"/>
          <w:lang w:val="fr-FR"/>
        </w:rPr>
        <w:t>while</w:t>
      </w:r>
      <w:proofErr w:type="spellEnd"/>
      <w:r w:rsidR="004E4B04" w:rsidRPr="00A671BF">
        <w:rPr>
          <w:szCs w:val="22"/>
          <w:lang w:val="fr-FR"/>
        </w:rPr>
        <w:t xml:space="preserve"> the Ligue des Droits de l’homme</w:t>
      </w:r>
      <w:r w:rsidR="0000612E" w:rsidRPr="00A671BF">
        <w:rPr>
          <w:szCs w:val="22"/>
          <w:lang w:val="fr-FR"/>
        </w:rPr>
        <w:t xml:space="preserve"> (</w:t>
      </w:r>
      <w:proofErr w:type="spellStart"/>
      <w:r w:rsidR="00413FFD" w:rsidRPr="00A671BF">
        <w:rPr>
          <w:szCs w:val="22"/>
          <w:lang w:val="fr-FR"/>
        </w:rPr>
        <w:t>founded</w:t>
      </w:r>
      <w:proofErr w:type="spellEnd"/>
      <w:r w:rsidR="00413FFD" w:rsidRPr="00A671BF">
        <w:rPr>
          <w:szCs w:val="22"/>
          <w:lang w:val="fr-FR"/>
        </w:rPr>
        <w:t xml:space="preserve"> </w:t>
      </w:r>
      <w:proofErr w:type="spellStart"/>
      <w:r w:rsidR="00413FFD" w:rsidRPr="00A671BF">
        <w:rPr>
          <w:szCs w:val="22"/>
          <w:lang w:val="fr-FR"/>
        </w:rPr>
        <w:t>in</w:t>
      </w:r>
      <w:proofErr w:type="spellEnd"/>
      <w:r w:rsidR="00413FFD" w:rsidRPr="00A671BF">
        <w:rPr>
          <w:szCs w:val="22"/>
          <w:lang w:val="fr-FR"/>
        </w:rPr>
        <w:t xml:space="preserve"> 1898</w:t>
      </w:r>
      <w:r w:rsidR="0000612E" w:rsidRPr="00A671BF">
        <w:rPr>
          <w:szCs w:val="22"/>
          <w:lang w:val="fr-FR"/>
        </w:rPr>
        <w:t>)</w:t>
      </w:r>
      <w:r w:rsidR="004E4B04" w:rsidRPr="00A671BF">
        <w:rPr>
          <w:szCs w:val="22"/>
          <w:lang w:val="fr-FR"/>
        </w:rPr>
        <w:t xml:space="preserve"> </w:t>
      </w:r>
      <w:proofErr w:type="spellStart"/>
      <w:r w:rsidR="004E4B04" w:rsidRPr="00A671BF">
        <w:rPr>
          <w:szCs w:val="22"/>
          <w:lang w:val="fr-FR"/>
        </w:rPr>
        <w:t>wrote</w:t>
      </w:r>
      <w:proofErr w:type="spellEnd"/>
      <w:r w:rsidR="004E4B04" w:rsidRPr="00A671BF">
        <w:rPr>
          <w:szCs w:val="22"/>
          <w:lang w:val="fr-FR"/>
        </w:rPr>
        <w:t xml:space="preserve"> to the </w:t>
      </w:r>
      <w:r w:rsidR="005F20C9" w:rsidRPr="00A671BF">
        <w:rPr>
          <w:szCs w:val="22"/>
          <w:lang w:val="fr-FR"/>
        </w:rPr>
        <w:t>M</w:t>
      </w:r>
      <w:r w:rsidR="007539ED" w:rsidRPr="00A671BF">
        <w:rPr>
          <w:szCs w:val="22"/>
          <w:lang w:val="fr-FR"/>
        </w:rPr>
        <w:t>inistre des Colonies</w:t>
      </w:r>
      <w:r w:rsidR="0000612E" w:rsidRPr="00A671BF">
        <w:rPr>
          <w:szCs w:val="22"/>
          <w:lang w:val="fr-FR"/>
        </w:rPr>
        <w:t>,</w:t>
      </w:r>
      <w:r w:rsidR="004E4B04" w:rsidRPr="00A671BF">
        <w:rPr>
          <w:szCs w:val="22"/>
          <w:lang w:val="fr-FR"/>
        </w:rPr>
        <w:t xml:space="preserve"> </w:t>
      </w:r>
      <w:proofErr w:type="spellStart"/>
      <w:r w:rsidR="000B3B45" w:rsidRPr="00A671BF">
        <w:rPr>
          <w:szCs w:val="22"/>
          <w:lang w:val="fr-FR"/>
        </w:rPr>
        <w:t>protesting</w:t>
      </w:r>
      <w:proofErr w:type="spellEnd"/>
      <w:r w:rsidR="000B3B45" w:rsidRPr="00A671BF">
        <w:rPr>
          <w:szCs w:val="22"/>
          <w:lang w:val="fr-FR"/>
        </w:rPr>
        <w:t xml:space="preserve"> </w:t>
      </w:r>
      <w:proofErr w:type="spellStart"/>
      <w:r w:rsidR="000B3B45" w:rsidRPr="00A671BF">
        <w:rPr>
          <w:szCs w:val="22"/>
          <w:lang w:val="fr-FR"/>
        </w:rPr>
        <w:t>against</w:t>
      </w:r>
      <w:proofErr w:type="spellEnd"/>
      <w:r w:rsidR="004E4B04" w:rsidRPr="00A671BF">
        <w:rPr>
          <w:szCs w:val="22"/>
          <w:lang w:val="fr-FR"/>
        </w:rPr>
        <w:t xml:space="preserve"> the ‘violation monstrueuse de notre droit et même du droit des gens’</w:t>
      </w:r>
      <w:r w:rsidR="00354C6E" w:rsidRPr="00A671BF">
        <w:rPr>
          <w:szCs w:val="22"/>
          <w:lang w:val="fr-FR"/>
        </w:rPr>
        <w:t xml:space="preserve"> (Président, 1908)</w:t>
      </w:r>
      <w:r w:rsidR="004E4B04" w:rsidRPr="00A671BF">
        <w:rPr>
          <w:szCs w:val="22"/>
          <w:lang w:val="fr-FR"/>
        </w:rPr>
        <w:t xml:space="preserve">. </w:t>
      </w:r>
      <w:r w:rsidR="004E4B04" w:rsidRPr="00A671BF">
        <w:rPr>
          <w:szCs w:val="22"/>
        </w:rPr>
        <w:t xml:space="preserve">As it happened, the </w:t>
      </w:r>
      <w:r w:rsidR="003C2C6E" w:rsidRPr="00A671BF">
        <w:rPr>
          <w:szCs w:val="22"/>
        </w:rPr>
        <w:t xml:space="preserve">charge </w:t>
      </w:r>
      <w:r w:rsidR="004E4B04" w:rsidRPr="00A671BF">
        <w:rPr>
          <w:szCs w:val="22"/>
        </w:rPr>
        <w:t xml:space="preserve">against </w:t>
      </w:r>
      <w:proofErr w:type="spellStart"/>
      <w:r w:rsidR="004E4B04" w:rsidRPr="00A671BF">
        <w:rPr>
          <w:szCs w:val="22"/>
        </w:rPr>
        <w:t>Charu</w:t>
      </w:r>
      <w:proofErr w:type="spellEnd"/>
      <w:r w:rsidR="004E4B04" w:rsidRPr="00A671BF">
        <w:rPr>
          <w:szCs w:val="22"/>
        </w:rPr>
        <w:t xml:space="preserve"> Chandra Roy </w:t>
      </w:r>
      <w:r w:rsidR="003C2C6E" w:rsidRPr="00A671BF">
        <w:rPr>
          <w:szCs w:val="22"/>
        </w:rPr>
        <w:t xml:space="preserve">was changed from murder to political conspiracy and the entire case then </w:t>
      </w:r>
      <w:r w:rsidR="004E4B04" w:rsidRPr="00A671BF">
        <w:rPr>
          <w:szCs w:val="22"/>
        </w:rPr>
        <w:t xml:space="preserve">collapsed </w:t>
      </w:r>
      <w:r w:rsidR="0036722E" w:rsidRPr="00A671BF">
        <w:rPr>
          <w:szCs w:val="22"/>
        </w:rPr>
        <w:t>because of</w:t>
      </w:r>
      <w:r w:rsidR="004E4B04" w:rsidRPr="00A671BF">
        <w:rPr>
          <w:szCs w:val="22"/>
        </w:rPr>
        <w:t xml:space="preserve"> lack of evidence</w:t>
      </w:r>
      <w:r w:rsidR="000B3B45" w:rsidRPr="00A671BF">
        <w:rPr>
          <w:szCs w:val="22"/>
        </w:rPr>
        <w:t>, but the exchanges between the French embassy and the Foreign Office demonstrate how beholden France felt</w:t>
      </w:r>
      <w:r w:rsidR="00897569" w:rsidRPr="00A671BF">
        <w:rPr>
          <w:szCs w:val="22"/>
        </w:rPr>
        <w:t xml:space="preserve"> to its larger imperial neighbour</w:t>
      </w:r>
      <w:r w:rsidR="000B3B45" w:rsidRPr="00A671BF">
        <w:rPr>
          <w:szCs w:val="22"/>
        </w:rPr>
        <w:t xml:space="preserve">, even if it was against normal diplomatic behaviour to extradite citizens on </w:t>
      </w:r>
      <w:r w:rsidR="004A2E9A" w:rsidRPr="00A671BF">
        <w:rPr>
          <w:szCs w:val="22"/>
        </w:rPr>
        <w:t xml:space="preserve">the </w:t>
      </w:r>
      <w:r w:rsidR="000B3B45" w:rsidRPr="00A671BF">
        <w:rPr>
          <w:szCs w:val="22"/>
        </w:rPr>
        <w:t>grounds of political actions. On 12 October</w:t>
      </w:r>
      <w:r w:rsidR="00151AFF" w:rsidRPr="00A671BF">
        <w:rPr>
          <w:szCs w:val="22"/>
        </w:rPr>
        <w:t xml:space="preserve"> 1908</w:t>
      </w:r>
      <w:r w:rsidR="000B3B45" w:rsidRPr="00A671BF">
        <w:rPr>
          <w:szCs w:val="22"/>
        </w:rPr>
        <w:t xml:space="preserve">, the French Ambassador </w:t>
      </w:r>
      <w:r w:rsidR="000B3B45" w:rsidRPr="00A671BF">
        <w:rPr>
          <w:szCs w:val="22"/>
        </w:rPr>
        <w:lastRenderedPageBreak/>
        <w:t xml:space="preserve">contacted the Foreign Office </w:t>
      </w:r>
      <w:r w:rsidR="004A2E9A" w:rsidRPr="00A671BF">
        <w:rPr>
          <w:szCs w:val="22"/>
        </w:rPr>
        <w:t>to ask</w:t>
      </w:r>
      <w:r w:rsidR="000B3B45" w:rsidRPr="00A671BF">
        <w:rPr>
          <w:szCs w:val="22"/>
        </w:rPr>
        <w:t xml:space="preserve"> if </w:t>
      </w:r>
      <w:r w:rsidR="00563920" w:rsidRPr="00A671BF">
        <w:rPr>
          <w:szCs w:val="22"/>
        </w:rPr>
        <w:t xml:space="preserve">references to the affair as </w:t>
      </w:r>
      <w:r w:rsidR="001F0267" w:rsidRPr="00A671BF">
        <w:rPr>
          <w:szCs w:val="22"/>
        </w:rPr>
        <w:t xml:space="preserve">a </w:t>
      </w:r>
      <w:r w:rsidR="00563920" w:rsidRPr="00A671BF">
        <w:rPr>
          <w:szCs w:val="22"/>
        </w:rPr>
        <w:t>political</w:t>
      </w:r>
      <w:r w:rsidR="001F0267" w:rsidRPr="00A671BF">
        <w:rPr>
          <w:szCs w:val="22"/>
        </w:rPr>
        <w:t xml:space="preserve"> one</w:t>
      </w:r>
      <w:r w:rsidR="00563920" w:rsidRPr="00A671BF">
        <w:rPr>
          <w:szCs w:val="22"/>
        </w:rPr>
        <w:t xml:space="preserve"> could be dropped</w:t>
      </w:r>
      <w:r w:rsidR="000B3B45" w:rsidRPr="00A671BF">
        <w:rPr>
          <w:szCs w:val="22"/>
        </w:rPr>
        <w:t xml:space="preserve"> </w:t>
      </w:r>
      <w:r w:rsidR="00CF3B60" w:rsidRPr="00A671BF">
        <w:rPr>
          <w:szCs w:val="22"/>
        </w:rPr>
        <w:t>in order to avoid objections in France</w:t>
      </w:r>
      <w:r w:rsidR="001F0267" w:rsidRPr="00A671BF">
        <w:rPr>
          <w:szCs w:val="22"/>
        </w:rPr>
        <w:t>. In doing so, he</w:t>
      </w:r>
      <w:r w:rsidR="00897569" w:rsidRPr="00A671BF">
        <w:rPr>
          <w:szCs w:val="22"/>
        </w:rPr>
        <w:t xml:space="preserve"> neatly obfuscat</w:t>
      </w:r>
      <w:r w:rsidR="001F0267" w:rsidRPr="00A671BF">
        <w:rPr>
          <w:szCs w:val="22"/>
        </w:rPr>
        <w:t>ed</w:t>
      </w:r>
      <w:r w:rsidR="00897569" w:rsidRPr="00A671BF">
        <w:rPr>
          <w:szCs w:val="22"/>
        </w:rPr>
        <w:t xml:space="preserve"> </w:t>
      </w:r>
      <w:proofErr w:type="spellStart"/>
      <w:r w:rsidR="00897569" w:rsidRPr="00A671BF">
        <w:rPr>
          <w:szCs w:val="22"/>
        </w:rPr>
        <w:t>Charu</w:t>
      </w:r>
      <w:proofErr w:type="spellEnd"/>
      <w:r w:rsidR="00897569" w:rsidRPr="00A671BF">
        <w:rPr>
          <w:szCs w:val="22"/>
        </w:rPr>
        <w:t xml:space="preserve"> Chandra Roy’s legal status as a French </w:t>
      </w:r>
      <w:proofErr w:type="spellStart"/>
      <w:r w:rsidR="00897569" w:rsidRPr="00A671BF">
        <w:rPr>
          <w:i/>
          <w:szCs w:val="22"/>
        </w:rPr>
        <w:t>citoyen</w:t>
      </w:r>
      <w:proofErr w:type="spellEnd"/>
      <w:r w:rsidR="00897569" w:rsidRPr="00A671BF">
        <w:rPr>
          <w:szCs w:val="22"/>
        </w:rPr>
        <w:t xml:space="preserve"> by</w:t>
      </w:r>
      <w:r w:rsidR="000B3B45" w:rsidRPr="00A671BF">
        <w:rPr>
          <w:szCs w:val="22"/>
        </w:rPr>
        <w:t xml:space="preserve"> </w:t>
      </w:r>
      <w:r w:rsidR="00897569" w:rsidRPr="00A671BF">
        <w:rPr>
          <w:szCs w:val="22"/>
        </w:rPr>
        <w:t>stressing that he</w:t>
      </w:r>
      <w:r w:rsidR="000B3B45" w:rsidRPr="00A671BF">
        <w:rPr>
          <w:szCs w:val="22"/>
        </w:rPr>
        <w:t xml:space="preserve"> was </w:t>
      </w:r>
      <w:r w:rsidR="00E27F26" w:rsidRPr="00A671BF">
        <w:rPr>
          <w:szCs w:val="22"/>
        </w:rPr>
        <w:t>‘</w:t>
      </w:r>
      <w:r w:rsidR="000B3B45" w:rsidRPr="00A671BF">
        <w:rPr>
          <w:szCs w:val="22"/>
        </w:rPr>
        <w:t xml:space="preserve">un </w:t>
      </w:r>
      <w:proofErr w:type="spellStart"/>
      <w:r w:rsidR="000B3B45" w:rsidRPr="00A671BF">
        <w:rPr>
          <w:szCs w:val="22"/>
        </w:rPr>
        <w:t>sujet</w:t>
      </w:r>
      <w:proofErr w:type="spellEnd"/>
      <w:r w:rsidR="000B3B45" w:rsidRPr="00A671BF">
        <w:rPr>
          <w:szCs w:val="22"/>
        </w:rPr>
        <w:t xml:space="preserve"> </w:t>
      </w:r>
      <w:proofErr w:type="spellStart"/>
      <w:r w:rsidR="000B3B45" w:rsidRPr="00A671BF">
        <w:rPr>
          <w:szCs w:val="22"/>
        </w:rPr>
        <w:t>indig</w:t>
      </w:r>
      <w:r w:rsidR="00E27F26" w:rsidRPr="00A671BF">
        <w:rPr>
          <w:szCs w:val="22"/>
        </w:rPr>
        <w:t>è</w:t>
      </w:r>
      <w:r w:rsidR="000B3B45" w:rsidRPr="00A671BF">
        <w:rPr>
          <w:szCs w:val="22"/>
        </w:rPr>
        <w:t>ne</w:t>
      </w:r>
      <w:proofErr w:type="spellEnd"/>
      <w:r w:rsidR="00E27F26" w:rsidRPr="00A671BF">
        <w:rPr>
          <w:szCs w:val="22"/>
        </w:rPr>
        <w:t>’</w:t>
      </w:r>
      <w:r w:rsidR="000B3B45" w:rsidRPr="00A671BF">
        <w:rPr>
          <w:szCs w:val="22"/>
        </w:rPr>
        <w:t xml:space="preserve"> </w:t>
      </w:r>
      <w:r w:rsidR="00195084" w:rsidRPr="00A671BF">
        <w:rPr>
          <w:szCs w:val="22"/>
        </w:rPr>
        <w:t xml:space="preserve">(technically </w:t>
      </w:r>
      <w:r w:rsidR="00E27F26" w:rsidRPr="00A671BF">
        <w:rPr>
          <w:szCs w:val="22"/>
        </w:rPr>
        <w:t>an elector</w:t>
      </w:r>
      <w:r w:rsidR="00B650FF" w:rsidRPr="00A671BF">
        <w:rPr>
          <w:szCs w:val="22"/>
        </w:rPr>
        <w:t>,</w:t>
      </w:r>
      <w:r w:rsidR="00E27F26" w:rsidRPr="00A671BF">
        <w:rPr>
          <w:szCs w:val="22"/>
        </w:rPr>
        <w:t xml:space="preserve"> </w:t>
      </w:r>
      <w:r w:rsidR="00195084" w:rsidRPr="00A671BF">
        <w:rPr>
          <w:szCs w:val="22"/>
        </w:rPr>
        <w:t xml:space="preserve">but </w:t>
      </w:r>
      <w:r w:rsidR="00B650FF" w:rsidRPr="00A671BF">
        <w:rPr>
          <w:szCs w:val="22"/>
        </w:rPr>
        <w:t>one who</w:t>
      </w:r>
      <w:r w:rsidR="00E27F26" w:rsidRPr="00A671BF">
        <w:rPr>
          <w:szCs w:val="22"/>
        </w:rPr>
        <w:t xml:space="preserve"> had not</w:t>
      </w:r>
      <w:r w:rsidR="000B3B45" w:rsidRPr="00A671BF">
        <w:rPr>
          <w:szCs w:val="22"/>
        </w:rPr>
        <w:t xml:space="preserve"> </w:t>
      </w:r>
      <w:r w:rsidR="00E27F26" w:rsidRPr="00A671BF">
        <w:rPr>
          <w:szCs w:val="22"/>
        </w:rPr>
        <w:t>renounced</w:t>
      </w:r>
      <w:r w:rsidR="000B3B45" w:rsidRPr="00A671BF">
        <w:rPr>
          <w:szCs w:val="22"/>
        </w:rPr>
        <w:t xml:space="preserve"> his </w:t>
      </w:r>
      <w:r w:rsidR="00E27F26" w:rsidRPr="00A671BF">
        <w:rPr>
          <w:szCs w:val="22"/>
        </w:rPr>
        <w:t xml:space="preserve">personal </w:t>
      </w:r>
      <w:r w:rsidR="000B3B45" w:rsidRPr="00A671BF">
        <w:rPr>
          <w:szCs w:val="22"/>
        </w:rPr>
        <w:t xml:space="preserve">status to </w:t>
      </w:r>
      <w:r w:rsidR="00E27F26" w:rsidRPr="00A671BF">
        <w:rPr>
          <w:szCs w:val="22"/>
        </w:rPr>
        <w:t>become</w:t>
      </w:r>
      <w:r w:rsidR="000B3B45" w:rsidRPr="00A671BF">
        <w:rPr>
          <w:szCs w:val="22"/>
        </w:rPr>
        <w:t xml:space="preserve"> a full citizen</w:t>
      </w:r>
      <w:r w:rsidR="00195084" w:rsidRPr="00A671BF">
        <w:rPr>
          <w:szCs w:val="22"/>
        </w:rPr>
        <w:t>)</w:t>
      </w:r>
      <w:r w:rsidR="00354C6E" w:rsidRPr="00A671BF">
        <w:rPr>
          <w:szCs w:val="22"/>
        </w:rPr>
        <w:t xml:space="preserve"> (</w:t>
      </w:r>
      <w:proofErr w:type="spellStart"/>
      <w:r w:rsidR="00354C6E" w:rsidRPr="00A671BF">
        <w:rPr>
          <w:szCs w:val="22"/>
        </w:rPr>
        <w:t>Ambassade</w:t>
      </w:r>
      <w:proofErr w:type="spellEnd"/>
      <w:r w:rsidR="00354C6E" w:rsidRPr="00A671BF">
        <w:rPr>
          <w:szCs w:val="22"/>
        </w:rPr>
        <w:t>, 1908)</w:t>
      </w:r>
      <w:r w:rsidR="000B3B45" w:rsidRPr="00A671BF">
        <w:rPr>
          <w:szCs w:val="22"/>
        </w:rPr>
        <w:t xml:space="preserve">. Meanwhile, </w:t>
      </w:r>
      <w:r w:rsidR="00B650FF" w:rsidRPr="00A671BF">
        <w:rPr>
          <w:szCs w:val="22"/>
        </w:rPr>
        <w:t xml:space="preserve">the </w:t>
      </w:r>
      <w:r w:rsidR="00B650FF" w:rsidRPr="00A671BF">
        <w:t>Chief Secretary to the Government of Bengal</w:t>
      </w:r>
      <w:r w:rsidR="00B650FF" w:rsidRPr="00A671BF">
        <w:rPr>
          <w:szCs w:val="22"/>
        </w:rPr>
        <w:t xml:space="preserve"> had </w:t>
      </w:r>
      <w:r w:rsidR="00B650FF" w:rsidRPr="00A671BF">
        <w:t xml:space="preserve">made it clear in </w:t>
      </w:r>
      <w:r w:rsidR="000B3B45" w:rsidRPr="00A671BF">
        <w:rPr>
          <w:szCs w:val="22"/>
        </w:rPr>
        <w:t xml:space="preserve">a confidential letter </w:t>
      </w:r>
      <w:r w:rsidR="00195084" w:rsidRPr="00A671BF">
        <w:t>to the Secretary to the Government</w:t>
      </w:r>
      <w:r w:rsidR="000B3B45" w:rsidRPr="00A671BF">
        <w:t xml:space="preserve"> of India that it would be ‘</w:t>
      </w:r>
      <w:r w:rsidR="00E27F26" w:rsidRPr="00A671BF">
        <w:t>intolerable</w:t>
      </w:r>
      <w:r w:rsidR="00151AFF" w:rsidRPr="00A671BF">
        <w:t xml:space="preserve">’ </w:t>
      </w:r>
      <w:r w:rsidR="00B650FF" w:rsidRPr="00A671BF">
        <w:t xml:space="preserve">if </w:t>
      </w:r>
      <w:r w:rsidR="0036722E" w:rsidRPr="00A671BF">
        <w:t>it wa</w:t>
      </w:r>
      <w:r w:rsidR="000B3B45" w:rsidRPr="00A671BF">
        <w:t xml:space="preserve">s </w:t>
      </w:r>
      <w:r w:rsidR="0036722E" w:rsidRPr="00A671BF">
        <w:t>‘</w:t>
      </w:r>
      <w:r w:rsidR="000B3B45" w:rsidRPr="00A671BF">
        <w:t>to be contended that persons waging war in any form against the British Government were not subject to extradition</w:t>
      </w:r>
      <w:r w:rsidR="00AB6F1A" w:rsidRPr="00A671BF">
        <w:t>’</w:t>
      </w:r>
      <w:r w:rsidR="000B3B45" w:rsidRPr="00A671BF">
        <w:t xml:space="preserve">, </w:t>
      </w:r>
      <w:r w:rsidR="00AB6F1A" w:rsidRPr="00A671BF">
        <w:t>and proposed</w:t>
      </w:r>
      <w:r w:rsidR="00563920" w:rsidRPr="00A671BF">
        <w:t>, as an act of retaliation,</w:t>
      </w:r>
      <w:r w:rsidR="00AB6F1A" w:rsidRPr="00A671BF">
        <w:t xml:space="preserve"> that </w:t>
      </w:r>
      <w:proofErr w:type="spellStart"/>
      <w:r w:rsidR="00AB6F1A" w:rsidRPr="00A671BF">
        <w:t>Chandernagor</w:t>
      </w:r>
      <w:proofErr w:type="spellEnd"/>
      <w:r w:rsidR="00AB6F1A" w:rsidRPr="00A671BF">
        <w:t xml:space="preserve"> be surrounded by a cordon of police</w:t>
      </w:r>
      <w:r w:rsidR="00551B46" w:rsidRPr="00A671BF">
        <w:t xml:space="preserve"> (Duke, 1908)</w:t>
      </w:r>
      <w:r w:rsidR="00AB6F1A" w:rsidRPr="00A671BF">
        <w:t>.</w:t>
      </w:r>
      <w:r w:rsidR="00897569" w:rsidRPr="00A671BF">
        <w:t xml:space="preserve"> The threatened blockade did not materialize</w:t>
      </w:r>
      <w:r w:rsidR="00B650FF" w:rsidRPr="00A671BF">
        <w:t>,</w:t>
      </w:r>
      <w:r w:rsidR="00897569" w:rsidRPr="00A671BF">
        <w:t xml:space="preserve"> </w:t>
      </w:r>
      <w:r w:rsidR="00CF3B56" w:rsidRPr="00A671BF">
        <w:t>yet</w:t>
      </w:r>
      <w:r w:rsidR="00897569" w:rsidRPr="00A671BF">
        <w:t xml:space="preserve"> the </w:t>
      </w:r>
      <w:r w:rsidR="00B650FF" w:rsidRPr="00A671BF">
        <w:t xml:space="preserve">precariousness </w:t>
      </w:r>
      <w:r w:rsidR="00897569" w:rsidRPr="00A671BF">
        <w:t xml:space="preserve">of </w:t>
      </w:r>
      <w:r w:rsidR="00CF3B60" w:rsidRPr="00A671BF">
        <w:t xml:space="preserve">the </w:t>
      </w:r>
      <w:r w:rsidR="00897569" w:rsidRPr="00A671BF">
        <w:t xml:space="preserve">French status was clear. </w:t>
      </w:r>
    </w:p>
    <w:p w:rsidR="001E66A8" w:rsidRPr="00A671BF" w:rsidRDefault="004E4B04" w:rsidP="0038784E">
      <w:pPr>
        <w:spacing w:line="360" w:lineRule="auto"/>
        <w:rPr>
          <w:szCs w:val="22"/>
        </w:rPr>
      </w:pPr>
      <w:r w:rsidRPr="00A671BF">
        <w:rPr>
          <w:szCs w:val="22"/>
        </w:rPr>
        <w:t xml:space="preserve"> </w:t>
      </w:r>
      <w:r w:rsidR="00E155FE" w:rsidRPr="00A671BF">
        <w:rPr>
          <w:szCs w:val="22"/>
        </w:rPr>
        <w:tab/>
      </w:r>
      <w:r w:rsidR="007823D8" w:rsidRPr="00A671BF">
        <w:rPr>
          <w:szCs w:val="22"/>
        </w:rPr>
        <w:t>Although its st</w:t>
      </w:r>
      <w:r w:rsidR="00897569" w:rsidRPr="00A671BF">
        <w:rPr>
          <w:szCs w:val="22"/>
        </w:rPr>
        <w:t xml:space="preserve">atus was politically ambivalent, </w:t>
      </w:r>
      <w:proofErr w:type="spellStart"/>
      <w:r w:rsidR="007823D8" w:rsidRPr="00A671BF">
        <w:rPr>
          <w:i/>
          <w:szCs w:val="22"/>
        </w:rPr>
        <w:t>l’Inde</w:t>
      </w:r>
      <w:proofErr w:type="spellEnd"/>
      <w:r w:rsidR="007823D8" w:rsidRPr="00A671BF">
        <w:rPr>
          <w:i/>
          <w:szCs w:val="22"/>
        </w:rPr>
        <w:t xml:space="preserve"> </w:t>
      </w:r>
      <w:proofErr w:type="spellStart"/>
      <w:r w:rsidR="007823D8" w:rsidRPr="00A671BF">
        <w:rPr>
          <w:i/>
          <w:szCs w:val="22"/>
        </w:rPr>
        <w:t>française</w:t>
      </w:r>
      <w:proofErr w:type="spellEnd"/>
      <w:r w:rsidR="007823D8" w:rsidRPr="00A671BF">
        <w:rPr>
          <w:szCs w:val="22"/>
        </w:rPr>
        <w:t xml:space="preserve"> played a strategically important role, disproportionate to its territorial size</w:t>
      </w:r>
      <w:r w:rsidR="00897569" w:rsidRPr="00A671BF">
        <w:rPr>
          <w:szCs w:val="22"/>
        </w:rPr>
        <w:t>,</w:t>
      </w:r>
      <w:r w:rsidR="007823D8" w:rsidRPr="00A671BF">
        <w:rPr>
          <w:szCs w:val="22"/>
        </w:rPr>
        <w:t xml:space="preserve"> in the functioning of the French overseas empire during the nineteenth century</w:t>
      </w:r>
      <w:r w:rsidR="00413FFD" w:rsidRPr="00A671BF">
        <w:rPr>
          <w:szCs w:val="22"/>
        </w:rPr>
        <w:t xml:space="preserve"> and the early twentieth century</w:t>
      </w:r>
      <w:r w:rsidR="00551B46" w:rsidRPr="00A671BF">
        <w:rPr>
          <w:szCs w:val="22"/>
        </w:rPr>
        <w:t xml:space="preserve"> (Weber, 1991, 1996).</w:t>
      </w:r>
      <w:r w:rsidR="007823D8" w:rsidRPr="00A671BF">
        <w:rPr>
          <w:i/>
          <w:szCs w:val="22"/>
        </w:rPr>
        <w:t xml:space="preserve"> </w:t>
      </w:r>
      <w:r w:rsidR="00E771E8" w:rsidRPr="00A671BF">
        <w:rPr>
          <w:szCs w:val="22"/>
        </w:rPr>
        <w:t>Pondicherry</w:t>
      </w:r>
      <w:r w:rsidR="0056178A" w:rsidRPr="00A671BF">
        <w:rPr>
          <w:szCs w:val="22"/>
        </w:rPr>
        <w:t xml:space="preserve"> was a vital</w:t>
      </w:r>
      <w:r w:rsidR="007965E0" w:rsidRPr="00A671BF">
        <w:rPr>
          <w:szCs w:val="22"/>
        </w:rPr>
        <w:t xml:space="preserve"> </w:t>
      </w:r>
      <w:r w:rsidR="00DC3EA7" w:rsidRPr="00A671BF">
        <w:rPr>
          <w:szCs w:val="22"/>
        </w:rPr>
        <w:t xml:space="preserve">port of call </w:t>
      </w:r>
      <w:r w:rsidR="006644AA" w:rsidRPr="00A671BF">
        <w:rPr>
          <w:szCs w:val="22"/>
        </w:rPr>
        <w:t xml:space="preserve">on the route </w:t>
      </w:r>
      <w:r w:rsidR="00A31BDE" w:rsidRPr="00A671BF">
        <w:rPr>
          <w:szCs w:val="22"/>
        </w:rPr>
        <w:t xml:space="preserve">to </w:t>
      </w:r>
      <w:r w:rsidR="0056178A" w:rsidRPr="00A671BF">
        <w:rPr>
          <w:szCs w:val="22"/>
        </w:rPr>
        <w:t xml:space="preserve">French </w:t>
      </w:r>
      <w:r w:rsidR="00A31BDE" w:rsidRPr="00A671BF">
        <w:rPr>
          <w:szCs w:val="22"/>
        </w:rPr>
        <w:t>Indochina</w:t>
      </w:r>
      <w:r w:rsidR="00212F5F" w:rsidRPr="00A671BF">
        <w:rPr>
          <w:szCs w:val="22"/>
        </w:rPr>
        <w:t xml:space="preserve">. </w:t>
      </w:r>
      <w:r w:rsidR="006644AA" w:rsidRPr="00A671BF">
        <w:rPr>
          <w:szCs w:val="22"/>
        </w:rPr>
        <w:t>It</w:t>
      </w:r>
      <w:r w:rsidR="00212F5F" w:rsidRPr="00A671BF">
        <w:rPr>
          <w:szCs w:val="22"/>
        </w:rPr>
        <w:t xml:space="preserve"> had been </w:t>
      </w:r>
      <w:r w:rsidR="0056178A" w:rsidRPr="00A671BF">
        <w:rPr>
          <w:szCs w:val="22"/>
        </w:rPr>
        <w:t>crucial</w:t>
      </w:r>
      <w:r w:rsidR="00212F5F" w:rsidRPr="00A671BF">
        <w:rPr>
          <w:szCs w:val="22"/>
        </w:rPr>
        <w:t xml:space="preserve"> in the conquest of the </w:t>
      </w:r>
      <w:r w:rsidR="00B05E79" w:rsidRPr="00A671BF">
        <w:rPr>
          <w:szCs w:val="22"/>
        </w:rPr>
        <w:t>region</w:t>
      </w:r>
      <w:r w:rsidR="0056178A" w:rsidRPr="00A671BF">
        <w:rPr>
          <w:szCs w:val="22"/>
        </w:rPr>
        <w:t xml:space="preserve">, with the </w:t>
      </w:r>
      <w:proofErr w:type="spellStart"/>
      <w:r w:rsidR="0056178A" w:rsidRPr="00A671BF">
        <w:rPr>
          <w:i/>
          <w:szCs w:val="22"/>
        </w:rPr>
        <w:t>comptoir</w:t>
      </w:r>
      <w:proofErr w:type="spellEnd"/>
      <w:r w:rsidR="0056178A" w:rsidRPr="00A671BF">
        <w:rPr>
          <w:i/>
          <w:szCs w:val="22"/>
        </w:rPr>
        <w:t xml:space="preserve"> </w:t>
      </w:r>
      <w:r w:rsidR="0056178A" w:rsidRPr="00A671BF">
        <w:rPr>
          <w:szCs w:val="22"/>
        </w:rPr>
        <w:t xml:space="preserve">supplying </w:t>
      </w:r>
      <w:r w:rsidR="0056178A" w:rsidRPr="00A671BF">
        <w:t xml:space="preserve">literate </w:t>
      </w:r>
      <w:proofErr w:type="spellStart"/>
      <w:r w:rsidR="0056178A" w:rsidRPr="00A671BF">
        <w:rPr>
          <w:i/>
        </w:rPr>
        <w:t>magasinisers</w:t>
      </w:r>
      <w:proofErr w:type="spellEnd"/>
      <w:r w:rsidR="0056178A" w:rsidRPr="00A671BF">
        <w:t xml:space="preserve"> (storemen managing military supplies) and men further down the social scale who served as soldiers in the French occupation</w:t>
      </w:r>
      <w:r w:rsidR="00551B46" w:rsidRPr="00A671BF">
        <w:t xml:space="preserve"> (</w:t>
      </w:r>
      <w:proofErr w:type="spellStart"/>
      <w:r w:rsidR="00551B46" w:rsidRPr="00A671BF">
        <w:t>Pairaudeau</w:t>
      </w:r>
      <w:proofErr w:type="spellEnd"/>
      <w:r w:rsidR="00551B46" w:rsidRPr="00A671BF">
        <w:t>, 2016: 1–4)</w:t>
      </w:r>
      <w:r w:rsidR="008D105B" w:rsidRPr="00A671BF">
        <w:t>.</w:t>
      </w:r>
      <w:r w:rsidR="00551B46" w:rsidRPr="00A671BF">
        <w:rPr>
          <w:szCs w:val="22"/>
        </w:rPr>
        <w:t xml:space="preserve"> </w:t>
      </w:r>
      <w:r w:rsidR="008D105B" w:rsidRPr="00A671BF">
        <w:rPr>
          <w:szCs w:val="22"/>
        </w:rPr>
        <w:t xml:space="preserve">After 1919, it </w:t>
      </w:r>
      <w:r w:rsidR="006644AA" w:rsidRPr="00A671BF">
        <w:rPr>
          <w:szCs w:val="22"/>
        </w:rPr>
        <w:t>became again</w:t>
      </w:r>
      <w:r w:rsidR="008D105B" w:rsidRPr="00A671BF">
        <w:rPr>
          <w:szCs w:val="22"/>
        </w:rPr>
        <w:t xml:space="preserve"> an important port of call between the metropole and Indochina, the </w:t>
      </w:r>
      <w:proofErr w:type="spellStart"/>
      <w:r w:rsidR="005F20C9" w:rsidRPr="00A671BF">
        <w:rPr>
          <w:szCs w:val="22"/>
        </w:rPr>
        <w:t>M</w:t>
      </w:r>
      <w:r w:rsidR="007539ED" w:rsidRPr="00A671BF">
        <w:rPr>
          <w:szCs w:val="22"/>
        </w:rPr>
        <w:t>inistre</w:t>
      </w:r>
      <w:proofErr w:type="spellEnd"/>
      <w:r w:rsidR="007539ED" w:rsidRPr="00A671BF">
        <w:rPr>
          <w:szCs w:val="22"/>
        </w:rPr>
        <w:t xml:space="preserve"> des Colonies</w:t>
      </w:r>
      <w:r w:rsidR="008D105B" w:rsidRPr="00A671BF">
        <w:rPr>
          <w:szCs w:val="22"/>
        </w:rPr>
        <w:t xml:space="preserve"> </w:t>
      </w:r>
      <w:r w:rsidR="006644AA" w:rsidRPr="00A671BF">
        <w:rPr>
          <w:szCs w:val="22"/>
        </w:rPr>
        <w:t xml:space="preserve">now </w:t>
      </w:r>
      <w:r w:rsidR="008D105B" w:rsidRPr="00A671BF">
        <w:rPr>
          <w:szCs w:val="22"/>
        </w:rPr>
        <w:t>identifying F</w:t>
      </w:r>
      <w:r w:rsidR="00E155FE" w:rsidRPr="00A671BF">
        <w:rPr>
          <w:bCs/>
          <w:szCs w:val="22"/>
        </w:rPr>
        <w:t xml:space="preserve">rench territories in India </w:t>
      </w:r>
      <w:r w:rsidR="0056178A" w:rsidRPr="00A671BF">
        <w:rPr>
          <w:bCs/>
          <w:szCs w:val="22"/>
        </w:rPr>
        <w:t>as</w:t>
      </w:r>
      <w:r w:rsidR="00E155FE" w:rsidRPr="00A671BF">
        <w:rPr>
          <w:bCs/>
          <w:szCs w:val="22"/>
        </w:rPr>
        <w:t xml:space="preserve"> playing a key role in the transportation of anticoloni</w:t>
      </w:r>
      <w:r w:rsidR="00551B46" w:rsidRPr="00A671BF">
        <w:rPr>
          <w:bCs/>
          <w:szCs w:val="22"/>
        </w:rPr>
        <w:t>al material to French Indochina (</w:t>
      </w:r>
      <w:proofErr w:type="spellStart"/>
      <w:r w:rsidR="00551B46" w:rsidRPr="00A671BF">
        <w:rPr>
          <w:bCs/>
          <w:szCs w:val="22"/>
        </w:rPr>
        <w:t>Ministre</w:t>
      </w:r>
      <w:proofErr w:type="spellEnd"/>
      <w:r w:rsidR="00551B46" w:rsidRPr="00A671BF">
        <w:rPr>
          <w:bCs/>
          <w:szCs w:val="22"/>
        </w:rPr>
        <w:t xml:space="preserve"> des Colonies, 1924).</w:t>
      </w:r>
      <w:r w:rsidR="007965E0" w:rsidRPr="00A671BF">
        <w:rPr>
          <w:szCs w:val="22"/>
        </w:rPr>
        <w:t xml:space="preserve"> </w:t>
      </w:r>
      <w:r w:rsidR="00212F5F" w:rsidRPr="00A671BF">
        <w:rPr>
          <w:szCs w:val="22"/>
        </w:rPr>
        <w:t xml:space="preserve">As a result, </w:t>
      </w:r>
      <w:r w:rsidR="006644AA" w:rsidRPr="00A671BF">
        <w:rPr>
          <w:szCs w:val="22"/>
        </w:rPr>
        <w:t xml:space="preserve">and independently of London, the </w:t>
      </w:r>
      <w:r w:rsidR="007965E0" w:rsidRPr="00A671BF">
        <w:rPr>
          <w:szCs w:val="22"/>
        </w:rPr>
        <w:t xml:space="preserve">French authorities </w:t>
      </w:r>
      <w:r w:rsidR="006644AA" w:rsidRPr="00A671BF">
        <w:rPr>
          <w:szCs w:val="22"/>
        </w:rPr>
        <w:t>took steps to</w:t>
      </w:r>
      <w:r w:rsidR="007965E0" w:rsidRPr="00A671BF">
        <w:rPr>
          <w:szCs w:val="22"/>
        </w:rPr>
        <w:t xml:space="preserve"> </w:t>
      </w:r>
      <w:r w:rsidR="008064BB" w:rsidRPr="00A671BF">
        <w:rPr>
          <w:szCs w:val="22"/>
        </w:rPr>
        <w:t>prevent internati</w:t>
      </w:r>
      <w:r w:rsidR="00271F98" w:rsidRPr="00A671BF">
        <w:rPr>
          <w:szCs w:val="22"/>
        </w:rPr>
        <w:t xml:space="preserve">onal </w:t>
      </w:r>
      <w:r w:rsidR="001F0267" w:rsidRPr="00A671BF">
        <w:rPr>
          <w:szCs w:val="22"/>
        </w:rPr>
        <w:t>c</w:t>
      </w:r>
      <w:r w:rsidR="00271F98" w:rsidRPr="00A671BF">
        <w:rPr>
          <w:szCs w:val="22"/>
        </w:rPr>
        <w:t>ommunist revolutionaries</w:t>
      </w:r>
      <w:r w:rsidR="00173641" w:rsidRPr="00A671BF">
        <w:rPr>
          <w:szCs w:val="22"/>
        </w:rPr>
        <w:t xml:space="preserve"> from</w:t>
      </w:r>
      <w:r w:rsidR="00271F98" w:rsidRPr="00A671BF">
        <w:rPr>
          <w:szCs w:val="22"/>
        </w:rPr>
        <w:t xml:space="preserve"> </w:t>
      </w:r>
      <w:r w:rsidR="008064BB" w:rsidRPr="00A671BF">
        <w:rPr>
          <w:szCs w:val="22"/>
        </w:rPr>
        <w:t xml:space="preserve">using the port to </w:t>
      </w:r>
      <w:r w:rsidR="00B05E79" w:rsidRPr="00A671BF">
        <w:rPr>
          <w:szCs w:val="22"/>
        </w:rPr>
        <w:t>export</w:t>
      </w:r>
      <w:r w:rsidR="008064BB" w:rsidRPr="00A671BF">
        <w:rPr>
          <w:szCs w:val="22"/>
        </w:rPr>
        <w:t xml:space="preserve"> dangerous anticolonial tracts. On 1 December 1</w:t>
      </w:r>
      <w:r w:rsidR="00212F5F" w:rsidRPr="00A671BF">
        <w:rPr>
          <w:szCs w:val="22"/>
        </w:rPr>
        <w:t>923, for example, before the British government requested it</w:t>
      </w:r>
      <w:r w:rsidR="008064BB" w:rsidRPr="00A671BF">
        <w:rPr>
          <w:szCs w:val="22"/>
        </w:rPr>
        <w:t xml:space="preserve">, the </w:t>
      </w:r>
      <w:r w:rsidR="006D1AA4" w:rsidRPr="00A671BF">
        <w:rPr>
          <w:szCs w:val="22"/>
        </w:rPr>
        <w:t xml:space="preserve">French authorities </w:t>
      </w:r>
      <w:r w:rsidR="008064BB" w:rsidRPr="00A671BF">
        <w:rPr>
          <w:szCs w:val="22"/>
        </w:rPr>
        <w:t>banned</w:t>
      </w:r>
      <w:r w:rsidR="00212F5F" w:rsidRPr="00A671BF">
        <w:rPr>
          <w:szCs w:val="22"/>
        </w:rPr>
        <w:t xml:space="preserve"> the importation </w:t>
      </w:r>
      <w:r w:rsidR="00065A95" w:rsidRPr="00A671BF">
        <w:rPr>
          <w:szCs w:val="22"/>
        </w:rPr>
        <w:t xml:space="preserve">into </w:t>
      </w:r>
      <w:r w:rsidR="00E771E8" w:rsidRPr="00A671BF">
        <w:rPr>
          <w:szCs w:val="22"/>
        </w:rPr>
        <w:t>Pondicherry</w:t>
      </w:r>
      <w:r w:rsidR="00065A95" w:rsidRPr="00A671BF">
        <w:rPr>
          <w:szCs w:val="22"/>
        </w:rPr>
        <w:t xml:space="preserve"> </w:t>
      </w:r>
      <w:r w:rsidR="00212F5F" w:rsidRPr="00A671BF">
        <w:rPr>
          <w:szCs w:val="22"/>
        </w:rPr>
        <w:t>of</w:t>
      </w:r>
      <w:r w:rsidR="008064BB" w:rsidRPr="00A671BF">
        <w:rPr>
          <w:szCs w:val="22"/>
        </w:rPr>
        <w:t xml:space="preserve"> </w:t>
      </w:r>
      <w:r w:rsidR="00065A95" w:rsidRPr="00A671BF">
        <w:rPr>
          <w:bCs/>
          <w:szCs w:val="22"/>
        </w:rPr>
        <w:t>the</w:t>
      </w:r>
      <w:r w:rsidR="00A32572" w:rsidRPr="00A671BF">
        <w:rPr>
          <w:bCs/>
          <w:szCs w:val="22"/>
        </w:rPr>
        <w:t xml:space="preserve"> activist M. N. Roy’s </w:t>
      </w:r>
      <w:r w:rsidR="00065A95" w:rsidRPr="00A671BF">
        <w:rPr>
          <w:szCs w:val="22"/>
        </w:rPr>
        <w:t>émigré Indian communist party</w:t>
      </w:r>
      <w:r w:rsidR="00065A95" w:rsidRPr="00A671BF">
        <w:rPr>
          <w:bCs/>
          <w:szCs w:val="22"/>
        </w:rPr>
        <w:t xml:space="preserve"> </w:t>
      </w:r>
      <w:r w:rsidR="00A32572" w:rsidRPr="00A671BF">
        <w:rPr>
          <w:bCs/>
          <w:szCs w:val="22"/>
        </w:rPr>
        <w:t xml:space="preserve">newspaper </w:t>
      </w:r>
      <w:r w:rsidR="008064BB" w:rsidRPr="00A671BF">
        <w:rPr>
          <w:i/>
          <w:szCs w:val="22"/>
        </w:rPr>
        <w:t>Vanguard</w:t>
      </w:r>
      <w:r w:rsidR="00065A95" w:rsidRPr="00A671BF">
        <w:rPr>
          <w:szCs w:val="22"/>
        </w:rPr>
        <w:t>,</w:t>
      </w:r>
      <w:r w:rsidR="008064BB" w:rsidRPr="00A671BF">
        <w:rPr>
          <w:szCs w:val="22"/>
        </w:rPr>
        <w:t xml:space="preserve"> along with the </w:t>
      </w:r>
      <w:r w:rsidR="008064BB" w:rsidRPr="00A671BF">
        <w:rPr>
          <w:i/>
          <w:szCs w:val="22"/>
        </w:rPr>
        <w:t>International Press Correspondence</w:t>
      </w:r>
      <w:r w:rsidR="00551B46" w:rsidRPr="00A671BF">
        <w:rPr>
          <w:szCs w:val="22"/>
        </w:rPr>
        <w:t xml:space="preserve"> (</w:t>
      </w:r>
      <w:r w:rsidR="00551B46" w:rsidRPr="00A671BF">
        <w:rPr>
          <w:i/>
          <w:szCs w:val="22"/>
        </w:rPr>
        <w:t xml:space="preserve">Journal </w:t>
      </w:r>
      <w:proofErr w:type="spellStart"/>
      <w:r w:rsidR="00551B46" w:rsidRPr="00A671BF">
        <w:rPr>
          <w:i/>
          <w:szCs w:val="22"/>
        </w:rPr>
        <w:t>Officiel</w:t>
      </w:r>
      <w:proofErr w:type="spellEnd"/>
      <w:r w:rsidR="00551B46" w:rsidRPr="00A671BF">
        <w:rPr>
          <w:szCs w:val="22"/>
        </w:rPr>
        <w:t>, 1923).</w:t>
      </w:r>
      <w:r w:rsidR="008064BB" w:rsidRPr="00A671BF">
        <w:rPr>
          <w:rStyle w:val="FootnoteReference"/>
          <w:szCs w:val="22"/>
        </w:rPr>
        <w:footnoteReference w:id="6"/>
      </w:r>
      <w:r w:rsidR="008064BB" w:rsidRPr="00A671BF">
        <w:rPr>
          <w:szCs w:val="22"/>
        </w:rPr>
        <w:t xml:space="preserve"> </w:t>
      </w:r>
    </w:p>
    <w:p w:rsidR="00A31BDE" w:rsidRPr="00A671BF" w:rsidRDefault="00613CB8" w:rsidP="0038784E">
      <w:pPr>
        <w:spacing w:line="360" w:lineRule="auto"/>
        <w:ind w:firstLine="720"/>
        <w:rPr>
          <w:szCs w:val="22"/>
        </w:rPr>
      </w:pPr>
      <w:r w:rsidRPr="00A671BF">
        <w:rPr>
          <w:szCs w:val="22"/>
        </w:rPr>
        <w:t xml:space="preserve">The existence of </w:t>
      </w:r>
      <w:r w:rsidR="006D1AA4" w:rsidRPr="00A671BF">
        <w:rPr>
          <w:szCs w:val="22"/>
        </w:rPr>
        <w:t>this</w:t>
      </w:r>
      <w:r w:rsidRPr="00A671BF">
        <w:rPr>
          <w:szCs w:val="22"/>
        </w:rPr>
        <w:t xml:space="preserve"> </w:t>
      </w:r>
      <w:r w:rsidR="006D1AA4" w:rsidRPr="00A671BF">
        <w:rPr>
          <w:szCs w:val="22"/>
        </w:rPr>
        <w:t>French</w:t>
      </w:r>
      <w:r w:rsidRPr="00A671BF">
        <w:rPr>
          <w:szCs w:val="22"/>
        </w:rPr>
        <w:t xml:space="preserve"> colonial presence in I</w:t>
      </w:r>
      <w:r w:rsidR="00D9323B" w:rsidRPr="00A671BF">
        <w:rPr>
          <w:szCs w:val="22"/>
        </w:rPr>
        <w:t>ndia provided</w:t>
      </w:r>
      <w:r w:rsidR="006D1AA4" w:rsidRPr="00A671BF">
        <w:rPr>
          <w:szCs w:val="22"/>
        </w:rPr>
        <w:t xml:space="preserve"> British Indian subjects pursued by the authorities </w:t>
      </w:r>
      <w:r w:rsidR="00830CC2" w:rsidRPr="00A671BF">
        <w:rPr>
          <w:szCs w:val="22"/>
        </w:rPr>
        <w:t xml:space="preserve">not only with </w:t>
      </w:r>
      <w:r w:rsidR="006D1AA4" w:rsidRPr="00A671BF">
        <w:rPr>
          <w:szCs w:val="22"/>
        </w:rPr>
        <w:t>a literal refuge</w:t>
      </w:r>
      <w:r w:rsidR="002503A2" w:rsidRPr="00A671BF">
        <w:rPr>
          <w:szCs w:val="22"/>
        </w:rPr>
        <w:t xml:space="preserve"> </w:t>
      </w:r>
      <w:r w:rsidR="00832DAD" w:rsidRPr="00A671BF">
        <w:rPr>
          <w:szCs w:val="22"/>
        </w:rPr>
        <w:t>(</w:t>
      </w:r>
      <w:r w:rsidR="009E7433" w:rsidRPr="00A671BF">
        <w:rPr>
          <w:szCs w:val="22"/>
        </w:rPr>
        <w:t xml:space="preserve">such as </w:t>
      </w:r>
      <w:proofErr w:type="spellStart"/>
      <w:r w:rsidR="009E7433" w:rsidRPr="00A671BF">
        <w:rPr>
          <w:szCs w:val="22"/>
        </w:rPr>
        <w:t>Charu</w:t>
      </w:r>
      <w:proofErr w:type="spellEnd"/>
      <w:r w:rsidR="009E7433" w:rsidRPr="00A671BF">
        <w:rPr>
          <w:szCs w:val="22"/>
        </w:rPr>
        <w:t xml:space="preserve"> Chandra Roy had </w:t>
      </w:r>
      <w:r w:rsidR="009E7433" w:rsidRPr="00A671BF">
        <w:t>attempted to use to his advantage in 1908</w:t>
      </w:r>
      <w:r w:rsidR="00832DAD" w:rsidRPr="00A671BF">
        <w:rPr>
          <w:bCs/>
          <w:szCs w:val="22"/>
        </w:rPr>
        <w:t>)</w:t>
      </w:r>
      <w:r w:rsidR="00D9323B" w:rsidRPr="00A671BF">
        <w:rPr>
          <w:szCs w:val="22"/>
        </w:rPr>
        <w:t>,</w:t>
      </w:r>
      <w:r w:rsidR="006D1AA4" w:rsidRPr="00A671BF">
        <w:rPr>
          <w:szCs w:val="22"/>
        </w:rPr>
        <w:t xml:space="preserve"> but </w:t>
      </w:r>
      <w:r w:rsidR="00830CC2" w:rsidRPr="00A671BF">
        <w:rPr>
          <w:szCs w:val="22"/>
        </w:rPr>
        <w:t xml:space="preserve">also </w:t>
      </w:r>
      <w:r w:rsidR="00065A95" w:rsidRPr="00A671BF">
        <w:rPr>
          <w:szCs w:val="22"/>
        </w:rPr>
        <w:t xml:space="preserve">with </w:t>
      </w:r>
      <w:r w:rsidR="00830CC2" w:rsidRPr="00A671BF">
        <w:rPr>
          <w:szCs w:val="22"/>
        </w:rPr>
        <w:t>a</w:t>
      </w:r>
      <w:r w:rsidR="006D1AA4" w:rsidRPr="00A671BF">
        <w:rPr>
          <w:szCs w:val="22"/>
        </w:rPr>
        <w:t xml:space="preserve"> rhetorical means </w:t>
      </w:r>
      <w:r w:rsidR="00830CC2" w:rsidRPr="00A671BF">
        <w:rPr>
          <w:szCs w:val="22"/>
        </w:rPr>
        <w:t>of challenging</w:t>
      </w:r>
      <w:r w:rsidR="00551B46" w:rsidRPr="00A671BF">
        <w:rPr>
          <w:szCs w:val="22"/>
        </w:rPr>
        <w:t xml:space="preserve"> British rule. </w:t>
      </w:r>
      <w:r w:rsidR="00830CC2" w:rsidRPr="00A671BF">
        <w:rPr>
          <w:szCs w:val="22"/>
        </w:rPr>
        <w:t xml:space="preserve">Like the inhabitants of France’s former slave colonies (Guadeloupe, Martinique, </w:t>
      </w:r>
      <w:r w:rsidR="003F13ED" w:rsidRPr="00A671BF">
        <w:rPr>
          <w:szCs w:val="22"/>
        </w:rPr>
        <w:t>French Guiana</w:t>
      </w:r>
      <w:r w:rsidR="00830CC2" w:rsidRPr="00A671BF">
        <w:rPr>
          <w:szCs w:val="22"/>
        </w:rPr>
        <w:t xml:space="preserve"> and Réunion) and the Quatre </w:t>
      </w:r>
      <w:r w:rsidR="00310CF6" w:rsidRPr="00A671BF">
        <w:rPr>
          <w:szCs w:val="22"/>
        </w:rPr>
        <w:t>C</w:t>
      </w:r>
      <w:r w:rsidR="00830CC2" w:rsidRPr="00A671BF">
        <w:rPr>
          <w:szCs w:val="22"/>
        </w:rPr>
        <w:t xml:space="preserve">ommunes of Senegal, </w:t>
      </w:r>
      <w:proofErr w:type="spellStart"/>
      <w:r w:rsidR="00830CC2" w:rsidRPr="00A671BF">
        <w:rPr>
          <w:i/>
          <w:szCs w:val="22"/>
        </w:rPr>
        <w:t>i</w:t>
      </w:r>
      <w:r w:rsidRPr="00A671BF">
        <w:rPr>
          <w:i/>
          <w:szCs w:val="22"/>
        </w:rPr>
        <w:t>ndigènes</w:t>
      </w:r>
      <w:proofErr w:type="spellEnd"/>
      <w:r w:rsidR="00DF5218" w:rsidRPr="00A671BF">
        <w:rPr>
          <w:i/>
          <w:szCs w:val="22"/>
        </w:rPr>
        <w:t xml:space="preserve"> </w:t>
      </w:r>
      <w:r w:rsidRPr="00A671BF">
        <w:rPr>
          <w:szCs w:val="22"/>
        </w:rPr>
        <w:t xml:space="preserve">of the </w:t>
      </w:r>
      <w:proofErr w:type="spellStart"/>
      <w:r w:rsidRPr="00A671BF">
        <w:rPr>
          <w:i/>
          <w:szCs w:val="22"/>
        </w:rPr>
        <w:t>comptoirs</w:t>
      </w:r>
      <w:proofErr w:type="spellEnd"/>
      <w:r w:rsidRPr="00A671BF">
        <w:rPr>
          <w:szCs w:val="22"/>
        </w:rPr>
        <w:t xml:space="preserve"> had been granted</w:t>
      </w:r>
      <w:r w:rsidR="00D9323B" w:rsidRPr="00A671BF">
        <w:rPr>
          <w:szCs w:val="22"/>
        </w:rPr>
        <w:t xml:space="preserve"> the</w:t>
      </w:r>
      <w:r w:rsidRPr="00A671BF">
        <w:rPr>
          <w:szCs w:val="22"/>
        </w:rPr>
        <w:t xml:space="preserve"> political franchise in 1848. </w:t>
      </w:r>
      <w:r w:rsidR="00534782" w:rsidRPr="00A671BF">
        <w:rPr>
          <w:szCs w:val="22"/>
        </w:rPr>
        <w:t>But</w:t>
      </w:r>
      <w:r w:rsidR="009959E8" w:rsidRPr="00A671BF">
        <w:rPr>
          <w:szCs w:val="22"/>
        </w:rPr>
        <w:t xml:space="preserve"> </w:t>
      </w:r>
      <w:proofErr w:type="spellStart"/>
      <w:r w:rsidR="00267442" w:rsidRPr="00A671BF">
        <w:rPr>
          <w:i/>
          <w:szCs w:val="22"/>
        </w:rPr>
        <w:t>indigènes</w:t>
      </w:r>
      <w:proofErr w:type="spellEnd"/>
      <w:r w:rsidR="00267442" w:rsidRPr="00A671BF">
        <w:rPr>
          <w:szCs w:val="22"/>
        </w:rPr>
        <w:t xml:space="preserve"> </w:t>
      </w:r>
      <w:r w:rsidR="00534782" w:rsidRPr="00A671BF">
        <w:rPr>
          <w:szCs w:val="22"/>
        </w:rPr>
        <w:t>as</w:t>
      </w:r>
      <w:r w:rsidR="00267442" w:rsidRPr="00A671BF">
        <w:rPr>
          <w:szCs w:val="22"/>
        </w:rPr>
        <w:t xml:space="preserve"> </w:t>
      </w:r>
      <w:proofErr w:type="spellStart"/>
      <w:r w:rsidR="00267442" w:rsidRPr="00A671BF">
        <w:rPr>
          <w:i/>
          <w:szCs w:val="22"/>
        </w:rPr>
        <w:t>electeurs</w:t>
      </w:r>
      <w:proofErr w:type="spellEnd"/>
      <w:r w:rsidR="009959E8" w:rsidRPr="00A671BF">
        <w:rPr>
          <w:szCs w:val="22"/>
        </w:rPr>
        <w:t xml:space="preserve"> did not enjoy all the rights of</w:t>
      </w:r>
      <w:r w:rsidR="00267442" w:rsidRPr="00A671BF">
        <w:rPr>
          <w:szCs w:val="22"/>
        </w:rPr>
        <w:t xml:space="preserve"> </w:t>
      </w:r>
      <w:proofErr w:type="spellStart"/>
      <w:r w:rsidR="00267442" w:rsidRPr="00A671BF">
        <w:rPr>
          <w:i/>
          <w:szCs w:val="22"/>
        </w:rPr>
        <w:t>citoyens</w:t>
      </w:r>
      <w:proofErr w:type="spellEnd"/>
      <w:r w:rsidR="00534782" w:rsidRPr="00A671BF">
        <w:rPr>
          <w:szCs w:val="22"/>
        </w:rPr>
        <w:t>;</w:t>
      </w:r>
      <w:r w:rsidR="009959E8" w:rsidRPr="00A671BF">
        <w:rPr>
          <w:szCs w:val="22"/>
        </w:rPr>
        <w:t xml:space="preserve"> they </w:t>
      </w:r>
      <w:r w:rsidR="00267442" w:rsidRPr="00A671BF">
        <w:rPr>
          <w:szCs w:val="22"/>
        </w:rPr>
        <w:t xml:space="preserve">were not made subject to the French Civil Code </w:t>
      </w:r>
      <w:r w:rsidR="00830CC2" w:rsidRPr="00A671BF">
        <w:rPr>
          <w:szCs w:val="22"/>
        </w:rPr>
        <w:t>as</w:t>
      </w:r>
      <w:r w:rsidR="00267442" w:rsidRPr="00A671BF">
        <w:rPr>
          <w:szCs w:val="22"/>
        </w:rPr>
        <w:t xml:space="preserve"> the authorities </w:t>
      </w:r>
      <w:r w:rsidR="00830CC2" w:rsidRPr="00A671BF">
        <w:rPr>
          <w:szCs w:val="22"/>
        </w:rPr>
        <w:t xml:space="preserve">feared </w:t>
      </w:r>
      <w:r w:rsidR="00267442" w:rsidRPr="00A671BF">
        <w:rPr>
          <w:szCs w:val="22"/>
        </w:rPr>
        <w:t xml:space="preserve">that </w:t>
      </w:r>
      <w:r w:rsidR="00267442" w:rsidRPr="00A671BF">
        <w:rPr>
          <w:szCs w:val="22"/>
        </w:rPr>
        <w:lastRenderedPageBreak/>
        <w:t>interference with religious and caste structur</w:t>
      </w:r>
      <w:r w:rsidR="009959E8" w:rsidRPr="00A671BF">
        <w:rPr>
          <w:szCs w:val="22"/>
        </w:rPr>
        <w:t xml:space="preserve">es would provoke social unrest. Full citizenship became available to </w:t>
      </w:r>
      <w:proofErr w:type="spellStart"/>
      <w:r w:rsidR="009959E8" w:rsidRPr="00A671BF">
        <w:rPr>
          <w:i/>
          <w:szCs w:val="22"/>
        </w:rPr>
        <w:t>indigènes</w:t>
      </w:r>
      <w:proofErr w:type="spellEnd"/>
      <w:r w:rsidR="009959E8" w:rsidRPr="00A671BF">
        <w:rPr>
          <w:szCs w:val="22"/>
        </w:rPr>
        <w:t xml:space="preserve"> </w:t>
      </w:r>
      <w:r w:rsidR="00830CC2" w:rsidRPr="00A671BF">
        <w:rPr>
          <w:szCs w:val="22"/>
        </w:rPr>
        <w:t xml:space="preserve">only </w:t>
      </w:r>
      <w:r w:rsidR="00267442" w:rsidRPr="00A671BF">
        <w:rPr>
          <w:szCs w:val="22"/>
        </w:rPr>
        <w:t xml:space="preserve">after a decree on renunciation was introduced in </w:t>
      </w:r>
      <w:proofErr w:type="spellStart"/>
      <w:r w:rsidR="00267442" w:rsidRPr="00A671BF">
        <w:rPr>
          <w:i/>
          <w:szCs w:val="22"/>
        </w:rPr>
        <w:t>l’Inde</w:t>
      </w:r>
      <w:proofErr w:type="spellEnd"/>
      <w:r w:rsidR="00267442" w:rsidRPr="00A671BF">
        <w:rPr>
          <w:i/>
          <w:szCs w:val="22"/>
        </w:rPr>
        <w:t xml:space="preserve"> </w:t>
      </w:r>
      <w:proofErr w:type="spellStart"/>
      <w:r w:rsidR="00267442" w:rsidRPr="00A671BF">
        <w:rPr>
          <w:i/>
          <w:szCs w:val="22"/>
        </w:rPr>
        <w:t>française</w:t>
      </w:r>
      <w:proofErr w:type="spellEnd"/>
      <w:r w:rsidR="00551B46" w:rsidRPr="00A671BF">
        <w:rPr>
          <w:szCs w:val="22"/>
        </w:rPr>
        <w:t xml:space="preserve"> on 21 September 1881 (</w:t>
      </w:r>
      <w:proofErr w:type="spellStart"/>
      <w:r w:rsidR="00551B46" w:rsidRPr="00A671BF">
        <w:t>Pairaudeau</w:t>
      </w:r>
      <w:proofErr w:type="spellEnd"/>
      <w:r w:rsidR="00551B46" w:rsidRPr="00A671BF">
        <w:t>, 2016: 34–43).</w:t>
      </w:r>
      <w:r w:rsidR="009C346D" w:rsidRPr="00A671BF">
        <w:rPr>
          <w:szCs w:val="22"/>
        </w:rPr>
        <w:t xml:space="preserve"> Nevertheless,</w:t>
      </w:r>
      <w:r w:rsidR="00267442" w:rsidRPr="00A671BF">
        <w:rPr>
          <w:szCs w:val="22"/>
        </w:rPr>
        <w:t xml:space="preserve"> </w:t>
      </w:r>
      <w:r w:rsidR="00CF3B60" w:rsidRPr="00A671BF">
        <w:rPr>
          <w:szCs w:val="22"/>
        </w:rPr>
        <w:t>the step towards enfranchisement</w:t>
      </w:r>
      <w:r w:rsidR="00267442" w:rsidRPr="00A671BF">
        <w:rPr>
          <w:szCs w:val="22"/>
        </w:rPr>
        <w:t xml:space="preserve"> </w:t>
      </w:r>
      <w:r w:rsidR="009959E8" w:rsidRPr="00A671BF">
        <w:rPr>
          <w:szCs w:val="22"/>
        </w:rPr>
        <w:t xml:space="preserve">which 1848 </w:t>
      </w:r>
      <w:r w:rsidR="00B05E79" w:rsidRPr="00A671BF">
        <w:rPr>
          <w:szCs w:val="22"/>
        </w:rPr>
        <w:t>constituted</w:t>
      </w:r>
      <w:r w:rsidR="009959E8" w:rsidRPr="00A671BF">
        <w:rPr>
          <w:szCs w:val="22"/>
        </w:rPr>
        <w:t xml:space="preserve"> </w:t>
      </w:r>
      <w:r w:rsidR="00267442" w:rsidRPr="00A671BF">
        <w:rPr>
          <w:szCs w:val="22"/>
        </w:rPr>
        <w:t xml:space="preserve">was </w:t>
      </w:r>
      <w:r w:rsidR="008D105B" w:rsidRPr="00A671BF">
        <w:rPr>
          <w:szCs w:val="22"/>
        </w:rPr>
        <w:t>exploited discursively</w:t>
      </w:r>
      <w:r w:rsidR="00EF3723" w:rsidRPr="00A671BF">
        <w:rPr>
          <w:szCs w:val="22"/>
        </w:rPr>
        <w:t xml:space="preserve"> by Indian </w:t>
      </w:r>
      <w:r w:rsidR="00A270D2" w:rsidRPr="00A671BF">
        <w:rPr>
          <w:szCs w:val="22"/>
        </w:rPr>
        <w:t>n</w:t>
      </w:r>
      <w:r w:rsidR="00EF3723" w:rsidRPr="00A671BF">
        <w:rPr>
          <w:szCs w:val="22"/>
        </w:rPr>
        <w:t>ationalists</w:t>
      </w:r>
      <w:r w:rsidR="00267442" w:rsidRPr="00A671BF">
        <w:rPr>
          <w:szCs w:val="22"/>
        </w:rPr>
        <w:t xml:space="preserve"> as a means of contrasting </w:t>
      </w:r>
      <w:r w:rsidR="00EF3723" w:rsidRPr="00A671BF">
        <w:rPr>
          <w:szCs w:val="22"/>
        </w:rPr>
        <w:t>a ‘</w:t>
      </w:r>
      <w:r w:rsidR="00267442" w:rsidRPr="00A671BF">
        <w:rPr>
          <w:szCs w:val="22"/>
        </w:rPr>
        <w:t>benevolent</w:t>
      </w:r>
      <w:r w:rsidR="00EF3723" w:rsidRPr="00A671BF">
        <w:rPr>
          <w:szCs w:val="22"/>
        </w:rPr>
        <w:t>’</w:t>
      </w:r>
      <w:r w:rsidR="00267442" w:rsidRPr="00A671BF">
        <w:rPr>
          <w:szCs w:val="22"/>
        </w:rPr>
        <w:t xml:space="preserve"> French republican colonial rule with that of the British. So-called universal male suffrage in </w:t>
      </w:r>
      <w:proofErr w:type="spellStart"/>
      <w:r w:rsidR="00267442" w:rsidRPr="00A671BF">
        <w:rPr>
          <w:i/>
          <w:szCs w:val="22"/>
        </w:rPr>
        <w:t>l’Inde</w:t>
      </w:r>
      <w:proofErr w:type="spellEnd"/>
      <w:r w:rsidR="00267442" w:rsidRPr="00A671BF">
        <w:rPr>
          <w:i/>
          <w:szCs w:val="22"/>
        </w:rPr>
        <w:t xml:space="preserve"> </w:t>
      </w:r>
      <w:proofErr w:type="spellStart"/>
      <w:r w:rsidR="00267442" w:rsidRPr="00A671BF">
        <w:rPr>
          <w:i/>
          <w:szCs w:val="22"/>
        </w:rPr>
        <w:t>française</w:t>
      </w:r>
      <w:proofErr w:type="spellEnd"/>
      <w:r w:rsidR="00267442" w:rsidRPr="00A671BF">
        <w:rPr>
          <w:szCs w:val="22"/>
        </w:rPr>
        <w:t xml:space="preserve">, even if it was anything but </w:t>
      </w:r>
      <w:r w:rsidR="00830CC2" w:rsidRPr="00A671BF">
        <w:rPr>
          <w:szCs w:val="22"/>
        </w:rPr>
        <w:t xml:space="preserve">universal </w:t>
      </w:r>
      <w:r w:rsidR="00267442" w:rsidRPr="00A671BF">
        <w:rPr>
          <w:szCs w:val="22"/>
        </w:rPr>
        <w:t xml:space="preserve">in reality, was held up </w:t>
      </w:r>
      <w:r w:rsidR="00830CC2" w:rsidRPr="00A671BF">
        <w:rPr>
          <w:szCs w:val="22"/>
        </w:rPr>
        <w:t xml:space="preserve">by Aurobindo Ghose in 1893 </w:t>
      </w:r>
      <w:r w:rsidR="00267442" w:rsidRPr="00A671BF">
        <w:rPr>
          <w:szCs w:val="22"/>
        </w:rPr>
        <w:t xml:space="preserve">as </w:t>
      </w:r>
      <w:r w:rsidR="00BA07D4" w:rsidRPr="00A671BF">
        <w:rPr>
          <w:szCs w:val="22"/>
        </w:rPr>
        <w:t xml:space="preserve">a model </w:t>
      </w:r>
      <w:r w:rsidR="002632ED" w:rsidRPr="00A671BF">
        <w:rPr>
          <w:szCs w:val="22"/>
        </w:rPr>
        <w:t xml:space="preserve">example </w:t>
      </w:r>
      <w:r w:rsidR="00BA07D4" w:rsidRPr="00A671BF">
        <w:rPr>
          <w:szCs w:val="22"/>
        </w:rPr>
        <w:t xml:space="preserve">of progress that Indians </w:t>
      </w:r>
      <w:r w:rsidR="004D1972" w:rsidRPr="00A671BF">
        <w:rPr>
          <w:szCs w:val="22"/>
        </w:rPr>
        <w:t>should follow</w:t>
      </w:r>
      <w:r w:rsidR="00217CB1" w:rsidRPr="00A671BF">
        <w:rPr>
          <w:szCs w:val="22"/>
        </w:rPr>
        <w:t xml:space="preserve"> (</w:t>
      </w:r>
      <w:proofErr w:type="spellStart"/>
      <w:r w:rsidR="00217CB1" w:rsidRPr="00A671BF">
        <w:rPr>
          <w:szCs w:val="22"/>
        </w:rPr>
        <w:t>Heehs</w:t>
      </w:r>
      <w:proofErr w:type="spellEnd"/>
      <w:r w:rsidR="00217CB1" w:rsidRPr="00A671BF">
        <w:rPr>
          <w:szCs w:val="22"/>
        </w:rPr>
        <w:t>, 2005: 118)</w:t>
      </w:r>
      <w:r w:rsidR="004D1972" w:rsidRPr="00A671BF">
        <w:rPr>
          <w:szCs w:val="22"/>
        </w:rPr>
        <w:t xml:space="preserve">, and </w:t>
      </w:r>
      <w:r w:rsidR="002632ED" w:rsidRPr="00A671BF">
        <w:rPr>
          <w:szCs w:val="22"/>
        </w:rPr>
        <w:t xml:space="preserve">it </w:t>
      </w:r>
      <w:r w:rsidR="004D1972" w:rsidRPr="00A671BF">
        <w:rPr>
          <w:szCs w:val="22"/>
        </w:rPr>
        <w:t xml:space="preserve">would be a leitmotif </w:t>
      </w:r>
      <w:r w:rsidR="002632ED" w:rsidRPr="00A671BF">
        <w:rPr>
          <w:szCs w:val="22"/>
        </w:rPr>
        <w:t>in</w:t>
      </w:r>
      <w:r w:rsidR="004D1972" w:rsidRPr="00A671BF">
        <w:rPr>
          <w:szCs w:val="22"/>
        </w:rPr>
        <w:t xml:space="preserve"> various </w:t>
      </w:r>
      <w:r w:rsidR="008D105B" w:rsidRPr="00A671BF">
        <w:rPr>
          <w:szCs w:val="22"/>
        </w:rPr>
        <w:t xml:space="preserve">Indian </w:t>
      </w:r>
      <w:r w:rsidR="004D1972" w:rsidRPr="00A671BF">
        <w:rPr>
          <w:szCs w:val="22"/>
        </w:rPr>
        <w:t xml:space="preserve">nationalist </w:t>
      </w:r>
      <w:r w:rsidR="008D105B" w:rsidRPr="00A671BF">
        <w:rPr>
          <w:szCs w:val="22"/>
        </w:rPr>
        <w:t>tracts</w:t>
      </w:r>
      <w:r w:rsidR="004D1972" w:rsidRPr="00A671BF">
        <w:rPr>
          <w:szCs w:val="22"/>
        </w:rPr>
        <w:t xml:space="preserve"> throughout the </w:t>
      </w:r>
      <w:r w:rsidR="00CF69FE" w:rsidRPr="00A671BF">
        <w:rPr>
          <w:szCs w:val="22"/>
        </w:rPr>
        <w:t xml:space="preserve">first half of the </w:t>
      </w:r>
      <w:r w:rsidR="004D1972" w:rsidRPr="00A671BF">
        <w:rPr>
          <w:szCs w:val="22"/>
        </w:rPr>
        <w:t>twentieth century</w:t>
      </w:r>
      <w:r w:rsidR="00217CB1" w:rsidRPr="00A671BF">
        <w:rPr>
          <w:szCs w:val="22"/>
        </w:rPr>
        <w:t xml:space="preserve">. </w:t>
      </w:r>
      <w:proofErr w:type="spellStart"/>
      <w:r w:rsidR="0019197C" w:rsidRPr="00A671BF">
        <w:rPr>
          <w:szCs w:val="22"/>
          <w:lang w:val="fr-FR"/>
        </w:rPr>
        <w:t>In</w:t>
      </w:r>
      <w:proofErr w:type="spellEnd"/>
      <w:r w:rsidR="0019197C" w:rsidRPr="00A671BF">
        <w:rPr>
          <w:szCs w:val="22"/>
          <w:lang w:val="fr-FR"/>
        </w:rPr>
        <w:t xml:space="preserve"> 1936 Gandhi </w:t>
      </w:r>
      <w:proofErr w:type="spellStart"/>
      <w:r w:rsidR="00D9323B" w:rsidRPr="00A671BF">
        <w:rPr>
          <w:szCs w:val="22"/>
          <w:lang w:val="fr-FR"/>
        </w:rPr>
        <w:t>evoked</w:t>
      </w:r>
      <w:proofErr w:type="spellEnd"/>
      <w:r w:rsidR="0019197C" w:rsidRPr="00A671BF">
        <w:rPr>
          <w:szCs w:val="22"/>
          <w:lang w:val="fr-FR"/>
        </w:rPr>
        <w:t xml:space="preserve"> </w:t>
      </w:r>
      <w:proofErr w:type="spellStart"/>
      <w:r w:rsidR="00E771E8" w:rsidRPr="00A671BF">
        <w:rPr>
          <w:szCs w:val="22"/>
          <w:lang w:val="fr-FR"/>
        </w:rPr>
        <w:t>Pondicherry</w:t>
      </w:r>
      <w:proofErr w:type="spellEnd"/>
      <w:r w:rsidR="0019197C" w:rsidRPr="00A671BF">
        <w:rPr>
          <w:szCs w:val="22"/>
          <w:lang w:val="fr-FR"/>
        </w:rPr>
        <w:t xml:space="preserve"> as an </w:t>
      </w:r>
      <w:proofErr w:type="spellStart"/>
      <w:r w:rsidR="0019197C" w:rsidRPr="00A671BF">
        <w:rPr>
          <w:szCs w:val="22"/>
          <w:lang w:val="fr-FR"/>
        </w:rPr>
        <w:t>icon</w:t>
      </w:r>
      <w:proofErr w:type="spellEnd"/>
      <w:r w:rsidR="0019197C" w:rsidRPr="00A671BF">
        <w:rPr>
          <w:szCs w:val="22"/>
          <w:lang w:val="fr-FR"/>
        </w:rPr>
        <w:t xml:space="preserve"> of </w:t>
      </w:r>
      <w:proofErr w:type="spellStart"/>
      <w:r w:rsidR="0019197C" w:rsidRPr="00A671BF">
        <w:rPr>
          <w:szCs w:val="22"/>
          <w:lang w:val="fr-FR"/>
        </w:rPr>
        <w:t>freedom</w:t>
      </w:r>
      <w:proofErr w:type="spellEnd"/>
      <w:r w:rsidR="003B3D8B" w:rsidRPr="00A671BF">
        <w:rPr>
          <w:szCs w:val="22"/>
          <w:lang w:val="fr-FR"/>
        </w:rPr>
        <w:t xml:space="preserve">, </w:t>
      </w:r>
      <w:proofErr w:type="spellStart"/>
      <w:r w:rsidR="003B3D8B" w:rsidRPr="00A671BF">
        <w:rPr>
          <w:szCs w:val="22"/>
          <w:lang w:val="fr-FR"/>
        </w:rPr>
        <w:t>stating</w:t>
      </w:r>
      <w:proofErr w:type="spellEnd"/>
      <w:r w:rsidR="003B3D8B" w:rsidRPr="00A671BF">
        <w:rPr>
          <w:szCs w:val="22"/>
          <w:lang w:val="fr-FR"/>
        </w:rPr>
        <w:t xml:space="preserve"> on </w:t>
      </w:r>
      <w:proofErr w:type="spellStart"/>
      <w:r w:rsidR="003B3D8B" w:rsidRPr="00A671BF">
        <w:rPr>
          <w:szCs w:val="22"/>
          <w:lang w:val="fr-FR"/>
        </w:rPr>
        <w:t>his</w:t>
      </w:r>
      <w:proofErr w:type="spellEnd"/>
      <w:r w:rsidR="003B3D8B" w:rsidRPr="00A671BF">
        <w:rPr>
          <w:szCs w:val="22"/>
          <w:lang w:val="fr-FR"/>
        </w:rPr>
        <w:t xml:space="preserve"> </w:t>
      </w:r>
      <w:proofErr w:type="spellStart"/>
      <w:r w:rsidR="003B3D8B" w:rsidRPr="00A671BF">
        <w:rPr>
          <w:szCs w:val="22"/>
          <w:lang w:val="fr-FR"/>
        </w:rPr>
        <w:t>visit</w:t>
      </w:r>
      <w:proofErr w:type="spellEnd"/>
      <w:r w:rsidR="003B3D8B" w:rsidRPr="00A671BF">
        <w:rPr>
          <w:szCs w:val="22"/>
          <w:lang w:val="fr-FR"/>
        </w:rPr>
        <w:t xml:space="preserve"> to the </w:t>
      </w:r>
      <w:proofErr w:type="spellStart"/>
      <w:proofErr w:type="gramStart"/>
      <w:r w:rsidR="003B3D8B" w:rsidRPr="00A671BF">
        <w:rPr>
          <w:szCs w:val="22"/>
          <w:lang w:val="fr-FR"/>
        </w:rPr>
        <w:t>town</w:t>
      </w:r>
      <w:proofErr w:type="spellEnd"/>
      <w:r w:rsidR="0019197C" w:rsidRPr="00A671BF">
        <w:rPr>
          <w:szCs w:val="22"/>
          <w:lang w:val="fr-FR"/>
        </w:rPr>
        <w:t>:</w:t>
      </w:r>
      <w:proofErr w:type="gramEnd"/>
      <w:r w:rsidR="0019197C" w:rsidRPr="00A671BF">
        <w:rPr>
          <w:szCs w:val="22"/>
          <w:lang w:val="fr-FR"/>
        </w:rPr>
        <w:t xml:space="preserve"> ‘Je suis surpris et heureux de constater que les libertés pour lesquelles nous luttons aux Indes depuis tant d’années sont déjà depuis longtemps </w:t>
      </w:r>
      <w:r w:rsidR="008B2885" w:rsidRPr="00A671BF">
        <w:rPr>
          <w:szCs w:val="22"/>
          <w:lang w:val="fr-FR"/>
        </w:rPr>
        <w:t>accordées aux Indes françaises’ (</w:t>
      </w:r>
      <w:proofErr w:type="spellStart"/>
      <w:r w:rsidR="008B2885" w:rsidRPr="00A671BF">
        <w:rPr>
          <w:szCs w:val="22"/>
          <w:lang w:val="fr-FR"/>
        </w:rPr>
        <w:t>Raingeard</w:t>
      </w:r>
      <w:proofErr w:type="spellEnd"/>
      <w:r w:rsidR="008B2885" w:rsidRPr="00A671BF">
        <w:rPr>
          <w:szCs w:val="22"/>
          <w:lang w:val="fr-FR"/>
        </w:rPr>
        <w:t>, 1954: 4035).</w:t>
      </w:r>
      <w:r w:rsidR="0019197C" w:rsidRPr="00A671BF">
        <w:rPr>
          <w:szCs w:val="22"/>
          <w:lang w:val="fr-FR"/>
        </w:rPr>
        <w:t xml:space="preserve"> </w:t>
      </w:r>
      <w:r w:rsidR="0019197C" w:rsidRPr="00A671BF">
        <w:rPr>
          <w:szCs w:val="22"/>
        </w:rPr>
        <w:t xml:space="preserve">For British Indians who travelled to France, the </w:t>
      </w:r>
      <w:r w:rsidR="002632ED" w:rsidRPr="00A671BF">
        <w:rPr>
          <w:szCs w:val="22"/>
        </w:rPr>
        <w:t xml:space="preserve">political </w:t>
      </w:r>
      <w:r w:rsidR="0019197C" w:rsidRPr="00A671BF">
        <w:rPr>
          <w:szCs w:val="22"/>
        </w:rPr>
        <w:t xml:space="preserve">reality </w:t>
      </w:r>
      <w:r w:rsidR="00D9323B" w:rsidRPr="00A671BF">
        <w:rPr>
          <w:szCs w:val="22"/>
        </w:rPr>
        <w:t>of the metropole</w:t>
      </w:r>
      <w:r w:rsidR="0019197C" w:rsidRPr="00A671BF">
        <w:rPr>
          <w:szCs w:val="22"/>
        </w:rPr>
        <w:t xml:space="preserve"> would t</w:t>
      </w:r>
      <w:r w:rsidR="00A37C2D" w:rsidRPr="00A671BF">
        <w:rPr>
          <w:szCs w:val="22"/>
        </w:rPr>
        <w:t>est the</w:t>
      </w:r>
      <w:r w:rsidR="0019197C" w:rsidRPr="00A671BF">
        <w:rPr>
          <w:szCs w:val="22"/>
        </w:rPr>
        <w:t xml:space="preserve"> </w:t>
      </w:r>
      <w:r w:rsidR="002632ED" w:rsidRPr="00A671BF">
        <w:rPr>
          <w:szCs w:val="22"/>
        </w:rPr>
        <w:t>notion that France offered</w:t>
      </w:r>
      <w:r w:rsidR="00A37C2D" w:rsidRPr="00A671BF">
        <w:rPr>
          <w:szCs w:val="22"/>
        </w:rPr>
        <w:t xml:space="preserve"> </w:t>
      </w:r>
      <w:r w:rsidR="003B3D8B" w:rsidRPr="00A671BF">
        <w:rPr>
          <w:szCs w:val="22"/>
        </w:rPr>
        <w:t>the</w:t>
      </w:r>
      <w:r w:rsidR="00A37C2D" w:rsidRPr="00A671BF">
        <w:rPr>
          <w:szCs w:val="22"/>
        </w:rPr>
        <w:t xml:space="preserve"> alternative </w:t>
      </w:r>
      <w:r w:rsidR="00D9323B" w:rsidRPr="00A671BF">
        <w:rPr>
          <w:szCs w:val="22"/>
        </w:rPr>
        <w:t xml:space="preserve">and more benign </w:t>
      </w:r>
      <w:r w:rsidR="00A37C2D" w:rsidRPr="00A671BF">
        <w:rPr>
          <w:szCs w:val="22"/>
        </w:rPr>
        <w:t>version of</w:t>
      </w:r>
      <w:r w:rsidR="00CF69FE" w:rsidRPr="00A671BF">
        <w:rPr>
          <w:szCs w:val="22"/>
        </w:rPr>
        <w:t xml:space="preserve"> imperialism </w:t>
      </w:r>
      <w:r w:rsidR="0019197C" w:rsidRPr="00A671BF">
        <w:rPr>
          <w:szCs w:val="22"/>
        </w:rPr>
        <w:t xml:space="preserve">which </w:t>
      </w:r>
      <w:r w:rsidR="008A71B6" w:rsidRPr="00A671BF">
        <w:rPr>
          <w:szCs w:val="22"/>
        </w:rPr>
        <w:t>they and their compatriots had</w:t>
      </w:r>
      <w:r w:rsidR="0019197C" w:rsidRPr="00A671BF">
        <w:rPr>
          <w:szCs w:val="22"/>
        </w:rPr>
        <w:t xml:space="preserve"> idealized in India</w:t>
      </w:r>
      <w:r w:rsidR="008A71B6" w:rsidRPr="00A671BF">
        <w:rPr>
          <w:szCs w:val="22"/>
        </w:rPr>
        <w:t xml:space="preserve">. </w:t>
      </w:r>
      <w:r w:rsidR="0019197C" w:rsidRPr="00A671BF">
        <w:rPr>
          <w:szCs w:val="22"/>
        </w:rPr>
        <w:t xml:space="preserve">It would </w:t>
      </w:r>
      <w:r w:rsidR="007808C2" w:rsidRPr="00A671BF">
        <w:rPr>
          <w:szCs w:val="22"/>
        </w:rPr>
        <w:t>also</w:t>
      </w:r>
      <w:r w:rsidR="0019197C" w:rsidRPr="00A671BF">
        <w:rPr>
          <w:szCs w:val="22"/>
        </w:rPr>
        <w:t xml:space="preserve"> reveal that the imperial settlement in India had consequences for </w:t>
      </w:r>
      <w:r w:rsidR="006D1AA4" w:rsidRPr="00A671BF">
        <w:rPr>
          <w:szCs w:val="22"/>
        </w:rPr>
        <w:t xml:space="preserve">how Indians </w:t>
      </w:r>
      <w:r w:rsidR="00CF69FE" w:rsidRPr="00A671BF">
        <w:rPr>
          <w:szCs w:val="22"/>
        </w:rPr>
        <w:t>in France were viewed by the French and British authorities.</w:t>
      </w:r>
    </w:p>
    <w:p w:rsidR="0019197C" w:rsidRPr="00A671BF" w:rsidRDefault="0019197C" w:rsidP="0038784E">
      <w:pPr>
        <w:spacing w:line="360" w:lineRule="auto"/>
        <w:rPr>
          <w:szCs w:val="22"/>
        </w:rPr>
      </w:pPr>
    </w:p>
    <w:p w:rsidR="005204FA" w:rsidRPr="00A671BF" w:rsidRDefault="00413FFD" w:rsidP="0038784E">
      <w:pPr>
        <w:spacing w:line="360" w:lineRule="auto"/>
        <w:rPr>
          <w:szCs w:val="22"/>
        </w:rPr>
      </w:pPr>
      <w:r w:rsidRPr="00A671BF">
        <w:rPr>
          <w:szCs w:val="22"/>
        </w:rPr>
        <w:t>Political asylum in France,</w:t>
      </w:r>
      <w:r w:rsidR="00E13702" w:rsidRPr="00A671BF">
        <w:rPr>
          <w:szCs w:val="22"/>
        </w:rPr>
        <w:t xml:space="preserve"> 1900–1914</w:t>
      </w:r>
    </w:p>
    <w:p w:rsidR="000776FD" w:rsidRPr="00A671BF" w:rsidRDefault="005204FA" w:rsidP="0038784E">
      <w:pPr>
        <w:spacing w:line="360" w:lineRule="auto"/>
        <w:rPr>
          <w:szCs w:val="22"/>
        </w:rPr>
      </w:pPr>
      <w:r w:rsidRPr="00A671BF">
        <w:rPr>
          <w:szCs w:val="22"/>
        </w:rPr>
        <w:t xml:space="preserve">On 1 February 1910, </w:t>
      </w:r>
      <w:proofErr w:type="spellStart"/>
      <w:r w:rsidRPr="00A671BF">
        <w:rPr>
          <w:i/>
          <w:szCs w:val="22"/>
        </w:rPr>
        <w:t>L’Humanité</w:t>
      </w:r>
      <w:proofErr w:type="spellEnd"/>
      <w:r w:rsidRPr="00A671BF">
        <w:rPr>
          <w:szCs w:val="22"/>
        </w:rPr>
        <w:t xml:space="preserve">, the </w:t>
      </w:r>
      <w:r w:rsidR="0064111F" w:rsidRPr="00A671BF">
        <w:rPr>
          <w:szCs w:val="22"/>
        </w:rPr>
        <w:t xml:space="preserve">socialist </w:t>
      </w:r>
      <w:r w:rsidRPr="00A671BF">
        <w:rPr>
          <w:szCs w:val="22"/>
        </w:rPr>
        <w:t xml:space="preserve">daily newspaper, </w:t>
      </w:r>
      <w:r w:rsidR="000D45D7" w:rsidRPr="00A671BF">
        <w:rPr>
          <w:szCs w:val="22"/>
        </w:rPr>
        <w:t>re</w:t>
      </w:r>
      <w:r w:rsidRPr="00A671BF">
        <w:rPr>
          <w:szCs w:val="22"/>
        </w:rPr>
        <w:t xml:space="preserve">printed a letter </w:t>
      </w:r>
      <w:r w:rsidR="000D45D7" w:rsidRPr="00A671BF">
        <w:rPr>
          <w:szCs w:val="22"/>
        </w:rPr>
        <w:t>which,</w:t>
      </w:r>
      <w:r w:rsidRPr="00A671BF">
        <w:rPr>
          <w:szCs w:val="22"/>
        </w:rPr>
        <w:t xml:space="preserve"> </w:t>
      </w:r>
      <w:r w:rsidR="000D45D7" w:rsidRPr="00A671BF">
        <w:rPr>
          <w:szCs w:val="22"/>
        </w:rPr>
        <w:t>accompanied by a cheque for 5000</w:t>
      </w:r>
      <w:r w:rsidR="009E7433" w:rsidRPr="00A671BF">
        <w:rPr>
          <w:szCs w:val="22"/>
        </w:rPr>
        <w:t xml:space="preserve"> </w:t>
      </w:r>
      <w:proofErr w:type="spellStart"/>
      <w:r w:rsidR="000D45D7" w:rsidRPr="00A671BF">
        <w:rPr>
          <w:szCs w:val="22"/>
        </w:rPr>
        <w:t>frs</w:t>
      </w:r>
      <w:proofErr w:type="spellEnd"/>
      <w:r w:rsidR="000D45D7" w:rsidRPr="00A671BF">
        <w:rPr>
          <w:szCs w:val="22"/>
        </w:rPr>
        <w:t xml:space="preserve"> for the victims of the recent Parisian floods, </w:t>
      </w:r>
      <w:r w:rsidRPr="00A671BF">
        <w:rPr>
          <w:szCs w:val="22"/>
        </w:rPr>
        <w:t xml:space="preserve">had been sent </w:t>
      </w:r>
      <w:r w:rsidR="000D45D7" w:rsidRPr="00A671BF">
        <w:rPr>
          <w:szCs w:val="22"/>
        </w:rPr>
        <w:t xml:space="preserve">by </w:t>
      </w:r>
      <w:proofErr w:type="spellStart"/>
      <w:r w:rsidR="000D45D7" w:rsidRPr="00A671BF">
        <w:rPr>
          <w:szCs w:val="22"/>
        </w:rPr>
        <w:t>Shyam</w:t>
      </w:r>
      <w:proofErr w:type="spellEnd"/>
      <w:r w:rsidR="000D45D7" w:rsidRPr="00A671BF">
        <w:rPr>
          <w:szCs w:val="22"/>
        </w:rPr>
        <w:t xml:space="preserve"> </w:t>
      </w:r>
      <w:proofErr w:type="spellStart"/>
      <w:r w:rsidR="000D45D7" w:rsidRPr="00A671BF">
        <w:rPr>
          <w:szCs w:val="22"/>
        </w:rPr>
        <w:t>Krishnavarma</w:t>
      </w:r>
      <w:proofErr w:type="spellEnd"/>
      <w:r w:rsidR="000D45D7" w:rsidRPr="00A671BF">
        <w:rPr>
          <w:szCs w:val="22"/>
        </w:rPr>
        <w:t xml:space="preserve"> </w:t>
      </w:r>
      <w:r w:rsidRPr="00A671BF">
        <w:rPr>
          <w:szCs w:val="22"/>
        </w:rPr>
        <w:t xml:space="preserve">to the President of the Republic. </w:t>
      </w:r>
      <w:proofErr w:type="spellStart"/>
      <w:r w:rsidR="000D45D7" w:rsidRPr="00A671BF">
        <w:rPr>
          <w:szCs w:val="22"/>
          <w:lang w:val="fr-FR"/>
        </w:rPr>
        <w:t>Krishnavarma</w:t>
      </w:r>
      <w:proofErr w:type="spellEnd"/>
      <w:r w:rsidR="000D45D7" w:rsidRPr="00A671BF">
        <w:rPr>
          <w:szCs w:val="22"/>
          <w:lang w:val="fr-FR"/>
        </w:rPr>
        <w:t xml:space="preserve"> </w:t>
      </w:r>
      <w:proofErr w:type="spellStart"/>
      <w:r w:rsidRPr="00A671BF">
        <w:rPr>
          <w:szCs w:val="22"/>
          <w:lang w:val="fr-FR"/>
        </w:rPr>
        <w:t>ended</w:t>
      </w:r>
      <w:proofErr w:type="spellEnd"/>
      <w:r w:rsidRPr="00A671BF">
        <w:rPr>
          <w:szCs w:val="22"/>
          <w:lang w:val="fr-FR"/>
        </w:rPr>
        <w:t xml:space="preserve"> </w:t>
      </w:r>
      <w:r w:rsidR="000D45D7" w:rsidRPr="00A671BF">
        <w:rPr>
          <w:szCs w:val="22"/>
          <w:lang w:val="fr-FR"/>
        </w:rPr>
        <w:t>by</w:t>
      </w:r>
      <w:r w:rsidRPr="00A671BF">
        <w:rPr>
          <w:szCs w:val="22"/>
          <w:lang w:val="fr-FR"/>
        </w:rPr>
        <w:t xml:space="preserve"> </w:t>
      </w:r>
      <w:proofErr w:type="spellStart"/>
      <w:r w:rsidRPr="00A671BF">
        <w:rPr>
          <w:szCs w:val="22"/>
          <w:lang w:val="fr-FR"/>
        </w:rPr>
        <w:t>thanking</w:t>
      </w:r>
      <w:proofErr w:type="spellEnd"/>
      <w:r w:rsidRPr="00A671BF">
        <w:rPr>
          <w:szCs w:val="22"/>
          <w:lang w:val="fr-FR"/>
        </w:rPr>
        <w:t xml:space="preserve"> the </w:t>
      </w:r>
      <w:proofErr w:type="spellStart"/>
      <w:r w:rsidRPr="00A671BF">
        <w:rPr>
          <w:szCs w:val="22"/>
          <w:lang w:val="fr-FR"/>
        </w:rPr>
        <w:t>President</w:t>
      </w:r>
      <w:proofErr w:type="spellEnd"/>
      <w:r w:rsidRPr="00A671BF">
        <w:rPr>
          <w:szCs w:val="22"/>
          <w:lang w:val="fr-FR"/>
        </w:rPr>
        <w:t xml:space="preserve"> for the warm </w:t>
      </w:r>
      <w:proofErr w:type="spellStart"/>
      <w:r w:rsidRPr="00A671BF">
        <w:rPr>
          <w:szCs w:val="22"/>
          <w:lang w:val="fr-FR"/>
        </w:rPr>
        <w:t>welcome</w:t>
      </w:r>
      <w:proofErr w:type="spellEnd"/>
      <w:r w:rsidRPr="00A671BF">
        <w:rPr>
          <w:szCs w:val="22"/>
          <w:lang w:val="fr-FR"/>
        </w:rPr>
        <w:t xml:space="preserve"> </w:t>
      </w:r>
      <w:proofErr w:type="spellStart"/>
      <w:r w:rsidRPr="00A671BF">
        <w:rPr>
          <w:szCs w:val="22"/>
          <w:lang w:val="fr-FR"/>
        </w:rPr>
        <w:t>that</w:t>
      </w:r>
      <w:proofErr w:type="spellEnd"/>
      <w:r w:rsidRPr="00A671BF">
        <w:rPr>
          <w:szCs w:val="22"/>
          <w:lang w:val="fr-FR"/>
        </w:rPr>
        <w:t xml:space="preserve"> </w:t>
      </w:r>
      <w:proofErr w:type="spellStart"/>
      <w:r w:rsidRPr="00A671BF">
        <w:rPr>
          <w:szCs w:val="22"/>
          <w:lang w:val="fr-FR"/>
        </w:rPr>
        <w:t>he</w:t>
      </w:r>
      <w:proofErr w:type="spellEnd"/>
      <w:r w:rsidRPr="00A671BF">
        <w:rPr>
          <w:szCs w:val="22"/>
          <w:lang w:val="fr-FR"/>
        </w:rPr>
        <w:t xml:space="preserve"> </w:t>
      </w:r>
      <w:proofErr w:type="spellStart"/>
      <w:r w:rsidRPr="00A671BF">
        <w:rPr>
          <w:szCs w:val="22"/>
          <w:lang w:val="fr-FR"/>
        </w:rPr>
        <w:t>had</w:t>
      </w:r>
      <w:proofErr w:type="spellEnd"/>
      <w:r w:rsidRPr="00A671BF">
        <w:rPr>
          <w:szCs w:val="22"/>
          <w:lang w:val="fr-FR"/>
        </w:rPr>
        <w:t xml:space="preserve"> </w:t>
      </w:r>
      <w:proofErr w:type="spellStart"/>
      <w:r w:rsidRPr="00A671BF">
        <w:rPr>
          <w:szCs w:val="22"/>
          <w:lang w:val="fr-FR"/>
        </w:rPr>
        <w:t>received</w:t>
      </w:r>
      <w:proofErr w:type="spellEnd"/>
      <w:r w:rsidRPr="00A671BF">
        <w:rPr>
          <w:szCs w:val="22"/>
          <w:lang w:val="fr-FR"/>
        </w:rPr>
        <w:t xml:space="preserve"> as a </w:t>
      </w:r>
      <w:proofErr w:type="spellStart"/>
      <w:r w:rsidRPr="00A671BF">
        <w:rPr>
          <w:szCs w:val="22"/>
          <w:lang w:val="fr-FR"/>
        </w:rPr>
        <w:t>political</w:t>
      </w:r>
      <w:proofErr w:type="spellEnd"/>
      <w:r w:rsidRPr="00A671BF">
        <w:rPr>
          <w:szCs w:val="22"/>
          <w:lang w:val="fr-FR"/>
        </w:rPr>
        <w:t xml:space="preserve"> </w:t>
      </w:r>
      <w:proofErr w:type="gramStart"/>
      <w:r w:rsidRPr="00A671BF">
        <w:rPr>
          <w:szCs w:val="22"/>
          <w:lang w:val="fr-FR"/>
        </w:rPr>
        <w:t>exile</w:t>
      </w:r>
      <w:r w:rsidR="00E13702" w:rsidRPr="00A671BF">
        <w:rPr>
          <w:szCs w:val="22"/>
          <w:lang w:val="fr-FR"/>
        </w:rPr>
        <w:t>:</w:t>
      </w:r>
      <w:proofErr w:type="gramEnd"/>
      <w:r w:rsidR="00E13702" w:rsidRPr="00A671BF">
        <w:rPr>
          <w:szCs w:val="22"/>
          <w:lang w:val="fr-FR"/>
        </w:rPr>
        <w:t xml:space="preserve"> ‘J’ai trouvé sur le sol de votre pays si dévoué à la cause de la liberté un asile et une hospitalité généreuse’</w:t>
      </w:r>
      <w:r w:rsidR="008B2885" w:rsidRPr="00A671BF">
        <w:rPr>
          <w:szCs w:val="22"/>
          <w:lang w:val="fr-FR"/>
        </w:rPr>
        <w:t xml:space="preserve"> (</w:t>
      </w:r>
      <w:r w:rsidR="008B2885" w:rsidRPr="00A671BF">
        <w:rPr>
          <w:i/>
          <w:szCs w:val="22"/>
          <w:lang w:val="fr-FR"/>
        </w:rPr>
        <w:t>L’Humanité</w:t>
      </w:r>
      <w:r w:rsidR="008B2885" w:rsidRPr="00A671BF">
        <w:rPr>
          <w:szCs w:val="22"/>
          <w:lang w:val="fr-FR"/>
        </w:rPr>
        <w:t>, 1910</w:t>
      </w:r>
      <w:r w:rsidR="00917414" w:rsidRPr="00A671BF">
        <w:rPr>
          <w:szCs w:val="22"/>
          <w:lang w:val="fr-FR"/>
        </w:rPr>
        <w:t>a</w:t>
      </w:r>
      <w:r w:rsidR="008B2885" w:rsidRPr="00A671BF">
        <w:rPr>
          <w:szCs w:val="22"/>
          <w:lang w:val="fr-FR"/>
        </w:rPr>
        <w:t>)</w:t>
      </w:r>
      <w:r w:rsidR="00E13702" w:rsidRPr="00A671BF">
        <w:rPr>
          <w:szCs w:val="22"/>
          <w:lang w:val="fr-FR"/>
        </w:rPr>
        <w:t>.</w:t>
      </w:r>
      <w:r w:rsidRPr="00A671BF">
        <w:rPr>
          <w:szCs w:val="22"/>
          <w:lang w:val="fr-FR"/>
        </w:rPr>
        <w:t xml:space="preserve"> </w:t>
      </w:r>
      <w:r w:rsidR="000D45D7" w:rsidRPr="00A671BF">
        <w:rPr>
          <w:szCs w:val="22"/>
        </w:rPr>
        <w:t xml:space="preserve">Since its creation in 1904, </w:t>
      </w:r>
      <w:proofErr w:type="spellStart"/>
      <w:r w:rsidR="00C2222B" w:rsidRPr="00A671BF">
        <w:rPr>
          <w:i/>
          <w:szCs w:val="22"/>
        </w:rPr>
        <w:t>L’Humanité</w:t>
      </w:r>
      <w:proofErr w:type="spellEnd"/>
      <w:r w:rsidR="00C2222B" w:rsidRPr="00A671BF">
        <w:rPr>
          <w:szCs w:val="22"/>
        </w:rPr>
        <w:t xml:space="preserve"> had actively support</w:t>
      </w:r>
      <w:r w:rsidR="000D45D7" w:rsidRPr="00A671BF">
        <w:rPr>
          <w:szCs w:val="22"/>
        </w:rPr>
        <w:t>ed the Indian nationalist cause;</w:t>
      </w:r>
      <w:r w:rsidR="00C2222B" w:rsidRPr="00A671BF">
        <w:rPr>
          <w:szCs w:val="22"/>
        </w:rPr>
        <w:t xml:space="preserve"> the regular contributor Jean </w:t>
      </w:r>
      <w:proofErr w:type="spellStart"/>
      <w:r w:rsidR="00C2222B" w:rsidRPr="00A671BF">
        <w:rPr>
          <w:szCs w:val="22"/>
        </w:rPr>
        <w:t>Longuet</w:t>
      </w:r>
      <w:proofErr w:type="spellEnd"/>
      <w:r w:rsidR="00C2222B" w:rsidRPr="00A671BF">
        <w:rPr>
          <w:szCs w:val="22"/>
        </w:rPr>
        <w:t xml:space="preserve"> (Karl Marx’s grandson and a socialist lawyer</w:t>
      </w:r>
      <w:r w:rsidR="000776FD" w:rsidRPr="00A671BF">
        <w:rPr>
          <w:szCs w:val="22"/>
        </w:rPr>
        <w:t>)</w:t>
      </w:r>
      <w:r w:rsidR="000D45D7" w:rsidRPr="00A671BF">
        <w:rPr>
          <w:szCs w:val="22"/>
        </w:rPr>
        <w:t xml:space="preserve"> had published</w:t>
      </w:r>
      <w:r w:rsidR="00C2222B" w:rsidRPr="00A671BF">
        <w:rPr>
          <w:szCs w:val="22"/>
        </w:rPr>
        <w:t xml:space="preserve"> a</w:t>
      </w:r>
      <w:r w:rsidR="000776FD" w:rsidRPr="00A671BF">
        <w:rPr>
          <w:szCs w:val="22"/>
        </w:rPr>
        <w:t xml:space="preserve"> laudatory</w:t>
      </w:r>
      <w:r w:rsidRPr="00A671BF">
        <w:rPr>
          <w:szCs w:val="22"/>
        </w:rPr>
        <w:t xml:space="preserve"> interview with </w:t>
      </w:r>
      <w:proofErr w:type="spellStart"/>
      <w:r w:rsidRPr="00A671BF">
        <w:rPr>
          <w:szCs w:val="22"/>
        </w:rPr>
        <w:t>Krishnavarma</w:t>
      </w:r>
      <w:proofErr w:type="spellEnd"/>
      <w:r w:rsidRPr="00A671BF">
        <w:rPr>
          <w:szCs w:val="22"/>
        </w:rPr>
        <w:t xml:space="preserve"> in February 1909</w:t>
      </w:r>
      <w:r w:rsidR="000D45D7" w:rsidRPr="00A671BF">
        <w:rPr>
          <w:szCs w:val="22"/>
        </w:rPr>
        <w:t>,</w:t>
      </w:r>
      <w:r w:rsidR="00E604C0" w:rsidRPr="00A671BF">
        <w:rPr>
          <w:szCs w:val="22"/>
        </w:rPr>
        <w:t xml:space="preserve"> </w:t>
      </w:r>
      <w:r w:rsidR="000D45D7" w:rsidRPr="00A671BF">
        <w:rPr>
          <w:szCs w:val="22"/>
        </w:rPr>
        <w:t>concluding with the description of</w:t>
      </w:r>
      <w:r w:rsidR="00E604C0" w:rsidRPr="00A671BF">
        <w:rPr>
          <w:szCs w:val="22"/>
        </w:rPr>
        <w:t xml:space="preserve"> </w:t>
      </w:r>
      <w:proofErr w:type="spellStart"/>
      <w:r w:rsidR="00E604C0" w:rsidRPr="00A671BF">
        <w:rPr>
          <w:szCs w:val="22"/>
        </w:rPr>
        <w:t>Krishnavarma</w:t>
      </w:r>
      <w:proofErr w:type="spellEnd"/>
      <w:r w:rsidR="00E604C0" w:rsidRPr="00A671BF">
        <w:rPr>
          <w:szCs w:val="22"/>
        </w:rPr>
        <w:t xml:space="preserve"> </w:t>
      </w:r>
      <w:r w:rsidR="000D45D7" w:rsidRPr="00A671BF">
        <w:rPr>
          <w:szCs w:val="22"/>
        </w:rPr>
        <w:t xml:space="preserve">as </w:t>
      </w:r>
      <w:r w:rsidR="00E604C0" w:rsidRPr="00A671BF">
        <w:rPr>
          <w:szCs w:val="22"/>
        </w:rPr>
        <w:t>‘</w:t>
      </w:r>
      <w:proofErr w:type="spellStart"/>
      <w:r w:rsidR="00E604C0" w:rsidRPr="00A671BF">
        <w:rPr>
          <w:szCs w:val="22"/>
        </w:rPr>
        <w:t>l’un</w:t>
      </w:r>
      <w:proofErr w:type="spellEnd"/>
      <w:r w:rsidR="00E604C0" w:rsidRPr="00A671BF">
        <w:rPr>
          <w:szCs w:val="22"/>
        </w:rPr>
        <w:t xml:space="preserve"> des plus </w:t>
      </w:r>
      <w:proofErr w:type="spellStart"/>
      <w:r w:rsidR="00E604C0" w:rsidRPr="00A671BF">
        <w:rPr>
          <w:szCs w:val="22"/>
        </w:rPr>
        <w:t>irréductibles</w:t>
      </w:r>
      <w:proofErr w:type="spellEnd"/>
      <w:r w:rsidR="00E604C0" w:rsidRPr="00A671BF">
        <w:rPr>
          <w:szCs w:val="22"/>
        </w:rPr>
        <w:t xml:space="preserve"> </w:t>
      </w:r>
      <w:proofErr w:type="spellStart"/>
      <w:r w:rsidR="00E604C0" w:rsidRPr="00A671BF">
        <w:rPr>
          <w:szCs w:val="22"/>
        </w:rPr>
        <w:t>adversaires</w:t>
      </w:r>
      <w:proofErr w:type="spellEnd"/>
      <w:r w:rsidR="00E604C0" w:rsidRPr="00A671BF">
        <w:rPr>
          <w:szCs w:val="22"/>
        </w:rPr>
        <w:t xml:space="preserve"> du plus puissant empire du monde’</w:t>
      </w:r>
      <w:r w:rsidR="008B2885" w:rsidRPr="00A671BF">
        <w:rPr>
          <w:szCs w:val="22"/>
        </w:rPr>
        <w:t xml:space="preserve"> (</w:t>
      </w:r>
      <w:proofErr w:type="spellStart"/>
      <w:r w:rsidR="008B2885" w:rsidRPr="00A671BF">
        <w:rPr>
          <w:szCs w:val="22"/>
        </w:rPr>
        <w:t>Longuet</w:t>
      </w:r>
      <w:proofErr w:type="spellEnd"/>
      <w:r w:rsidR="008B2885" w:rsidRPr="00A671BF">
        <w:rPr>
          <w:szCs w:val="22"/>
        </w:rPr>
        <w:t>, 1909).</w:t>
      </w:r>
      <w:r w:rsidRPr="00A671BF">
        <w:rPr>
          <w:szCs w:val="22"/>
        </w:rPr>
        <w:t xml:space="preserve"> </w:t>
      </w:r>
      <w:r w:rsidR="009F21F4" w:rsidRPr="00A671BF">
        <w:rPr>
          <w:szCs w:val="22"/>
        </w:rPr>
        <w:t>Five</w:t>
      </w:r>
      <w:r w:rsidR="00A37C2D" w:rsidRPr="00A671BF">
        <w:rPr>
          <w:szCs w:val="22"/>
        </w:rPr>
        <w:t xml:space="preserve"> months </w:t>
      </w:r>
      <w:r w:rsidR="000776FD" w:rsidRPr="00A671BF">
        <w:rPr>
          <w:szCs w:val="22"/>
        </w:rPr>
        <w:t xml:space="preserve">after </w:t>
      </w:r>
      <w:proofErr w:type="spellStart"/>
      <w:r w:rsidR="000776FD" w:rsidRPr="00A671BF">
        <w:rPr>
          <w:szCs w:val="22"/>
        </w:rPr>
        <w:t>Krishnavarma</w:t>
      </w:r>
      <w:proofErr w:type="spellEnd"/>
      <w:r w:rsidR="000776FD" w:rsidRPr="00A671BF">
        <w:rPr>
          <w:szCs w:val="22"/>
        </w:rPr>
        <w:t xml:space="preserve"> praised </w:t>
      </w:r>
      <w:r w:rsidR="000D45D7" w:rsidRPr="00A671BF">
        <w:rPr>
          <w:szCs w:val="22"/>
        </w:rPr>
        <w:t xml:space="preserve">France’s generous </w:t>
      </w:r>
      <w:r w:rsidR="000776FD" w:rsidRPr="00A671BF">
        <w:rPr>
          <w:szCs w:val="22"/>
        </w:rPr>
        <w:t>hospitality</w:t>
      </w:r>
      <w:r w:rsidR="00A37C2D" w:rsidRPr="00A671BF">
        <w:rPr>
          <w:szCs w:val="22"/>
        </w:rPr>
        <w:t>,</w:t>
      </w:r>
      <w:r w:rsidR="000776FD" w:rsidRPr="00A671BF">
        <w:rPr>
          <w:szCs w:val="22"/>
        </w:rPr>
        <w:t xml:space="preserve"> </w:t>
      </w:r>
      <w:r w:rsidR="00870DC3" w:rsidRPr="00A671BF">
        <w:rPr>
          <w:szCs w:val="22"/>
        </w:rPr>
        <w:t>the case of</w:t>
      </w:r>
      <w:r w:rsidR="0082368F" w:rsidRPr="00A671BF">
        <w:rPr>
          <w:szCs w:val="22"/>
        </w:rPr>
        <w:t xml:space="preserve"> Vinayak </w:t>
      </w:r>
      <w:proofErr w:type="spellStart"/>
      <w:r w:rsidR="0082368F" w:rsidRPr="00A671BF">
        <w:rPr>
          <w:szCs w:val="22"/>
        </w:rPr>
        <w:t>Damodar</w:t>
      </w:r>
      <w:proofErr w:type="spellEnd"/>
      <w:r w:rsidR="0082368F" w:rsidRPr="00A671BF">
        <w:rPr>
          <w:szCs w:val="22"/>
        </w:rPr>
        <w:t xml:space="preserve"> Savarkar</w:t>
      </w:r>
      <w:r w:rsidR="000776FD" w:rsidRPr="00A671BF">
        <w:rPr>
          <w:szCs w:val="22"/>
        </w:rPr>
        <w:t xml:space="preserve"> would call into question </w:t>
      </w:r>
      <w:r w:rsidR="000D45D7" w:rsidRPr="00A671BF">
        <w:rPr>
          <w:szCs w:val="22"/>
        </w:rPr>
        <w:t>the country’s</w:t>
      </w:r>
      <w:r w:rsidR="00A37C2D" w:rsidRPr="00A671BF">
        <w:rPr>
          <w:szCs w:val="22"/>
        </w:rPr>
        <w:t xml:space="preserve"> status as </w:t>
      </w:r>
      <w:r w:rsidR="000D45D7" w:rsidRPr="00A671BF">
        <w:rPr>
          <w:szCs w:val="22"/>
        </w:rPr>
        <w:t>a haven</w:t>
      </w:r>
      <w:r w:rsidR="00A37C2D" w:rsidRPr="00A671BF">
        <w:rPr>
          <w:szCs w:val="22"/>
        </w:rPr>
        <w:t xml:space="preserve"> for Indian nationalists</w:t>
      </w:r>
      <w:r w:rsidR="00D9323B" w:rsidRPr="00A671BF">
        <w:rPr>
          <w:szCs w:val="22"/>
        </w:rPr>
        <w:t>.</w:t>
      </w:r>
    </w:p>
    <w:p w:rsidR="00706429" w:rsidRPr="00A671BF" w:rsidRDefault="0082368F" w:rsidP="0038784E">
      <w:pPr>
        <w:spacing w:line="360" w:lineRule="auto"/>
        <w:ind w:firstLine="720"/>
        <w:rPr>
          <w:szCs w:val="22"/>
        </w:rPr>
      </w:pPr>
      <w:r w:rsidRPr="00A671BF">
        <w:rPr>
          <w:szCs w:val="22"/>
        </w:rPr>
        <w:t>On 8 July 1910,</w:t>
      </w:r>
      <w:r w:rsidR="00D40B81" w:rsidRPr="00A671BF">
        <w:rPr>
          <w:szCs w:val="22"/>
        </w:rPr>
        <w:t xml:space="preserve"> </w:t>
      </w:r>
      <w:r w:rsidR="00D9323B" w:rsidRPr="00A671BF">
        <w:rPr>
          <w:szCs w:val="22"/>
        </w:rPr>
        <w:t>while the steamer</w:t>
      </w:r>
      <w:r w:rsidR="00D40B81" w:rsidRPr="00A671BF">
        <w:rPr>
          <w:szCs w:val="22"/>
        </w:rPr>
        <w:t xml:space="preserve"> the </w:t>
      </w:r>
      <w:r w:rsidR="00D40B81" w:rsidRPr="00A671BF">
        <w:rPr>
          <w:i/>
          <w:szCs w:val="22"/>
        </w:rPr>
        <w:t>Morea</w:t>
      </w:r>
      <w:r w:rsidR="00D40B81" w:rsidRPr="00A671BF">
        <w:rPr>
          <w:szCs w:val="22"/>
        </w:rPr>
        <w:t xml:space="preserve"> was </w:t>
      </w:r>
      <w:r w:rsidR="00A37C2D" w:rsidRPr="00A671BF">
        <w:rPr>
          <w:szCs w:val="22"/>
        </w:rPr>
        <w:t xml:space="preserve">docked briefly in Marseille, Vinayak </w:t>
      </w:r>
      <w:proofErr w:type="spellStart"/>
      <w:r w:rsidR="00A37C2D" w:rsidRPr="00A671BF">
        <w:rPr>
          <w:szCs w:val="22"/>
        </w:rPr>
        <w:t>Damador</w:t>
      </w:r>
      <w:proofErr w:type="spellEnd"/>
      <w:r w:rsidR="00A37C2D" w:rsidRPr="00A671BF">
        <w:rPr>
          <w:szCs w:val="22"/>
        </w:rPr>
        <w:t xml:space="preserve"> Savarkar </w:t>
      </w:r>
      <w:r w:rsidR="00D40B81" w:rsidRPr="00A671BF">
        <w:rPr>
          <w:szCs w:val="22"/>
        </w:rPr>
        <w:t>climbed through the porthole of a bathroom window and swam to sho</w:t>
      </w:r>
      <w:r w:rsidR="008B2885" w:rsidRPr="00A671BF">
        <w:rPr>
          <w:szCs w:val="22"/>
        </w:rPr>
        <w:t>re in an attempt to seek asylum (Parker and Quinn, 1910).</w:t>
      </w:r>
      <w:r w:rsidR="00D40B81" w:rsidRPr="00A671BF">
        <w:rPr>
          <w:szCs w:val="22"/>
        </w:rPr>
        <w:t xml:space="preserve"> </w:t>
      </w:r>
      <w:r w:rsidR="00CA3B0A" w:rsidRPr="00A671BF">
        <w:rPr>
          <w:szCs w:val="22"/>
        </w:rPr>
        <w:t>The</w:t>
      </w:r>
      <w:r w:rsidRPr="00A671BF">
        <w:rPr>
          <w:szCs w:val="22"/>
        </w:rPr>
        <w:t xml:space="preserve"> you</w:t>
      </w:r>
      <w:r w:rsidR="00870DC3" w:rsidRPr="00A671BF">
        <w:rPr>
          <w:szCs w:val="22"/>
        </w:rPr>
        <w:t xml:space="preserve">ng Indian </w:t>
      </w:r>
      <w:r w:rsidR="00A270D2" w:rsidRPr="00A671BF">
        <w:rPr>
          <w:szCs w:val="22"/>
        </w:rPr>
        <w:t>n</w:t>
      </w:r>
      <w:r w:rsidR="00870DC3" w:rsidRPr="00A671BF">
        <w:rPr>
          <w:szCs w:val="22"/>
        </w:rPr>
        <w:t>ationalist</w:t>
      </w:r>
      <w:r w:rsidR="00156F72" w:rsidRPr="00A671BF">
        <w:rPr>
          <w:szCs w:val="22"/>
        </w:rPr>
        <w:t xml:space="preserve"> was being transported to India </w:t>
      </w:r>
      <w:r w:rsidR="00CA3B0A" w:rsidRPr="00A671BF">
        <w:rPr>
          <w:szCs w:val="22"/>
        </w:rPr>
        <w:t xml:space="preserve">to be put on trial, </w:t>
      </w:r>
      <w:r w:rsidR="00156F72" w:rsidRPr="00A671BF">
        <w:rPr>
          <w:szCs w:val="22"/>
        </w:rPr>
        <w:t>having</w:t>
      </w:r>
      <w:r w:rsidR="00870DC3" w:rsidRPr="00A671BF">
        <w:rPr>
          <w:szCs w:val="22"/>
        </w:rPr>
        <w:t xml:space="preserve"> </w:t>
      </w:r>
      <w:r w:rsidR="008C353B" w:rsidRPr="00A671BF">
        <w:rPr>
          <w:szCs w:val="22"/>
        </w:rPr>
        <w:t xml:space="preserve">been arrested in London for his links </w:t>
      </w:r>
      <w:r w:rsidR="00CA3B0A" w:rsidRPr="00A671BF">
        <w:rPr>
          <w:szCs w:val="22"/>
        </w:rPr>
        <w:t>with</w:t>
      </w:r>
      <w:r w:rsidR="008C353B" w:rsidRPr="00A671BF">
        <w:rPr>
          <w:szCs w:val="22"/>
        </w:rPr>
        <w:t xml:space="preserve"> the </w:t>
      </w:r>
      <w:r w:rsidR="008C353B" w:rsidRPr="00A671BF">
        <w:rPr>
          <w:szCs w:val="22"/>
        </w:rPr>
        <w:lastRenderedPageBreak/>
        <w:t>revolutionar</w:t>
      </w:r>
      <w:r w:rsidR="00A37C2D" w:rsidRPr="00A671BF">
        <w:rPr>
          <w:szCs w:val="22"/>
        </w:rPr>
        <w:t xml:space="preserve">y </w:t>
      </w:r>
      <w:r w:rsidR="00156F72" w:rsidRPr="00A671BF">
        <w:rPr>
          <w:szCs w:val="22"/>
        </w:rPr>
        <w:t xml:space="preserve">activities of India House. </w:t>
      </w:r>
      <w:r w:rsidR="00CA3B0A" w:rsidRPr="00A671BF">
        <w:rPr>
          <w:szCs w:val="22"/>
        </w:rPr>
        <w:t xml:space="preserve">Savarkar </w:t>
      </w:r>
      <w:r w:rsidR="00156F72" w:rsidRPr="00A671BF">
        <w:rPr>
          <w:szCs w:val="22"/>
        </w:rPr>
        <w:t xml:space="preserve">had </w:t>
      </w:r>
      <w:r w:rsidR="005841EE" w:rsidRPr="00A671BF">
        <w:rPr>
          <w:szCs w:val="22"/>
        </w:rPr>
        <w:t xml:space="preserve">previously </w:t>
      </w:r>
      <w:r w:rsidR="006D1AA4" w:rsidRPr="00A671BF">
        <w:rPr>
          <w:szCs w:val="22"/>
        </w:rPr>
        <w:t xml:space="preserve">attained some notoriety with </w:t>
      </w:r>
      <w:r w:rsidR="000B6E5D" w:rsidRPr="00A671BF">
        <w:rPr>
          <w:szCs w:val="22"/>
        </w:rPr>
        <w:t xml:space="preserve">his 1909 publication </w:t>
      </w:r>
      <w:r w:rsidR="000B6E5D" w:rsidRPr="00A671BF">
        <w:rPr>
          <w:bCs/>
          <w:i/>
          <w:iCs/>
          <w:szCs w:val="22"/>
        </w:rPr>
        <w:t>The Indian War of Independence</w:t>
      </w:r>
      <w:r w:rsidR="000B6E5D" w:rsidRPr="00A671BF">
        <w:rPr>
          <w:bCs/>
          <w:iCs/>
          <w:szCs w:val="22"/>
        </w:rPr>
        <w:t xml:space="preserve"> which offered a history of the </w:t>
      </w:r>
      <w:r w:rsidR="009A11DE" w:rsidRPr="00A671BF">
        <w:rPr>
          <w:szCs w:val="22"/>
        </w:rPr>
        <w:t xml:space="preserve">uprising </w:t>
      </w:r>
      <w:r w:rsidR="00A37C2D" w:rsidRPr="00A671BF">
        <w:rPr>
          <w:szCs w:val="22"/>
        </w:rPr>
        <w:t>of 1857</w:t>
      </w:r>
      <w:r w:rsidR="000B6E5D" w:rsidRPr="00A671BF">
        <w:rPr>
          <w:szCs w:val="22"/>
        </w:rPr>
        <w:t xml:space="preserve"> from an Indian </w:t>
      </w:r>
      <w:r w:rsidR="00A270D2" w:rsidRPr="00A671BF">
        <w:rPr>
          <w:szCs w:val="22"/>
        </w:rPr>
        <w:t>n</w:t>
      </w:r>
      <w:r w:rsidR="000B6E5D" w:rsidRPr="00A671BF">
        <w:rPr>
          <w:szCs w:val="22"/>
        </w:rPr>
        <w:t>ationalist perspective</w:t>
      </w:r>
      <w:r w:rsidR="008B2885" w:rsidRPr="00A671BF">
        <w:rPr>
          <w:szCs w:val="22"/>
        </w:rPr>
        <w:t xml:space="preserve"> (Dirks, 2001: 127).</w:t>
      </w:r>
      <w:r w:rsidR="008C353B" w:rsidRPr="00A671BF">
        <w:rPr>
          <w:szCs w:val="22"/>
        </w:rPr>
        <w:t xml:space="preserve"> Accounts of </w:t>
      </w:r>
      <w:r w:rsidR="00156F72" w:rsidRPr="00A671BF">
        <w:rPr>
          <w:szCs w:val="22"/>
        </w:rPr>
        <w:t>what exactly happened when he escaped from his police escort and swam to shore differ</w:t>
      </w:r>
      <w:r w:rsidR="006B375E" w:rsidRPr="00A671BF">
        <w:rPr>
          <w:szCs w:val="22"/>
        </w:rPr>
        <w:t>ed</w:t>
      </w:r>
      <w:r w:rsidR="00156F72" w:rsidRPr="00A671BF">
        <w:rPr>
          <w:szCs w:val="22"/>
        </w:rPr>
        <w:t xml:space="preserve"> between those offered by the accompanying British police</w:t>
      </w:r>
      <w:r w:rsidR="008C353B" w:rsidRPr="00A671BF">
        <w:rPr>
          <w:szCs w:val="22"/>
        </w:rPr>
        <w:t xml:space="preserve"> and </w:t>
      </w:r>
      <w:r w:rsidR="00D9323B" w:rsidRPr="00A671BF">
        <w:rPr>
          <w:szCs w:val="22"/>
        </w:rPr>
        <w:t xml:space="preserve">that of </w:t>
      </w:r>
      <w:r w:rsidR="008C353B" w:rsidRPr="00A671BF">
        <w:rPr>
          <w:szCs w:val="22"/>
        </w:rPr>
        <w:t xml:space="preserve">the </w:t>
      </w:r>
      <w:r w:rsidR="00A270D2" w:rsidRPr="00A671BF">
        <w:rPr>
          <w:i/>
          <w:szCs w:val="22"/>
        </w:rPr>
        <w:t xml:space="preserve">gendarme </w:t>
      </w:r>
      <w:r w:rsidR="008C353B" w:rsidRPr="00A671BF">
        <w:rPr>
          <w:szCs w:val="22"/>
        </w:rPr>
        <w:t>who</w:t>
      </w:r>
      <w:r w:rsidR="00CA3B0A" w:rsidRPr="00A671BF">
        <w:rPr>
          <w:szCs w:val="22"/>
        </w:rPr>
        <w:t>m he approached on the dockside,</w:t>
      </w:r>
      <w:r w:rsidR="008C353B" w:rsidRPr="00A671BF">
        <w:rPr>
          <w:szCs w:val="22"/>
        </w:rPr>
        <w:t xml:space="preserve"> but the </w:t>
      </w:r>
      <w:r w:rsidR="008C353B" w:rsidRPr="00A671BF">
        <w:rPr>
          <w:i/>
          <w:szCs w:val="22"/>
        </w:rPr>
        <w:t>gendarme</w:t>
      </w:r>
      <w:r w:rsidR="008C353B" w:rsidRPr="00A671BF">
        <w:rPr>
          <w:szCs w:val="22"/>
        </w:rPr>
        <w:t>, failing to understand what was said to him</w:t>
      </w:r>
      <w:r w:rsidR="005841EE" w:rsidRPr="00A671BF">
        <w:rPr>
          <w:szCs w:val="22"/>
        </w:rPr>
        <w:t xml:space="preserve"> (</w:t>
      </w:r>
      <w:r w:rsidR="00156F72" w:rsidRPr="00A671BF">
        <w:rPr>
          <w:szCs w:val="22"/>
        </w:rPr>
        <w:t xml:space="preserve">and </w:t>
      </w:r>
      <w:r w:rsidR="005841EE" w:rsidRPr="00A671BF">
        <w:rPr>
          <w:szCs w:val="22"/>
        </w:rPr>
        <w:t xml:space="preserve">possibly </w:t>
      </w:r>
      <w:r w:rsidR="00CA3B0A" w:rsidRPr="00A671BF">
        <w:rPr>
          <w:szCs w:val="22"/>
        </w:rPr>
        <w:t xml:space="preserve">being </w:t>
      </w:r>
      <w:r w:rsidR="005841EE" w:rsidRPr="00A671BF">
        <w:rPr>
          <w:szCs w:val="22"/>
        </w:rPr>
        <w:t>under the impression that Savarkar was a deserting sailor</w:t>
      </w:r>
      <w:r w:rsidR="00526AED" w:rsidRPr="00A671BF">
        <w:rPr>
          <w:rStyle w:val="FootnoteReference"/>
          <w:szCs w:val="22"/>
        </w:rPr>
        <w:footnoteReference w:id="7"/>
      </w:r>
      <w:r w:rsidR="0064111F" w:rsidRPr="00A671BF">
        <w:rPr>
          <w:szCs w:val="22"/>
        </w:rPr>
        <w:t>)</w:t>
      </w:r>
      <w:r w:rsidR="008C353B" w:rsidRPr="00A671BF">
        <w:rPr>
          <w:szCs w:val="22"/>
        </w:rPr>
        <w:t>, handed Savark</w:t>
      </w:r>
      <w:r w:rsidR="00CA3B0A" w:rsidRPr="00A671BF">
        <w:rPr>
          <w:szCs w:val="22"/>
        </w:rPr>
        <w:t>ar back to the police escort which</w:t>
      </w:r>
      <w:r w:rsidR="008C353B" w:rsidRPr="00A671BF">
        <w:rPr>
          <w:szCs w:val="22"/>
        </w:rPr>
        <w:t xml:space="preserve"> had given</w:t>
      </w:r>
      <w:r w:rsidR="005841EE" w:rsidRPr="00A671BF">
        <w:rPr>
          <w:szCs w:val="22"/>
        </w:rPr>
        <w:t xml:space="preserve"> chase</w:t>
      </w:r>
      <w:r w:rsidR="008C353B" w:rsidRPr="00A671BF">
        <w:rPr>
          <w:szCs w:val="22"/>
        </w:rPr>
        <w:t xml:space="preserve">. The next day the steamer continued on its journey to India. </w:t>
      </w:r>
      <w:r w:rsidR="001C40BD" w:rsidRPr="00A671BF">
        <w:rPr>
          <w:szCs w:val="22"/>
        </w:rPr>
        <w:t xml:space="preserve">The incident </w:t>
      </w:r>
      <w:r w:rsidR="000776FD" w:rsidRPr="00A671BF">
        <w:rPr>
          <w:szCs w:val="22"/>
        </w:rPr>
        <w:t xml:space="preserve">initially excited little interest in </w:t>
      </w:r>
      <w:r w:rsidR="0064111F" w:rsidRPr="00A671BF">
        <w:rPr>
          <w:szCs w:val="22"/>
        </w:rPr>
        <w:t>Britain</w:t>
      </w:r>
      <w:r w:rsidR="000776FD" w:rsidRPr="00A671BF">
        <w:rPr>
          <w:szCs w:val="22"/>
        </w:rPr>
        <w:t>, the</w:t>
      </w:r>
      <w:r w:rsidR="001C40BD" w:rsidRPr="00A671BF">
        <w:rPr>
          <w:szCs w:val="22"/>
        </w:rPr>
        <w:t xml:space="preserve"> </w:t>
      </w:r>
      <w:r w:rsidR="001C40BD" w:rsidRPr="00A671BF">
        <w:rPr>
          <w:i/>
          <w:szCs w:val="22"/>
        </w:rPr>
        <w:t>Daily Mail</w:t>
      </w:r>
      <w:r w:rsidR="001C40BD" w:rsidRPr="00A671BF">
        <w:rPr>
          <w:szCs w:val="22"/>
        </w:rPr>
        <w:t xml:space="preserve"> </w:t>
      </w:r>
      <w:r w:rsidR="000776FD" w:rsidRPr="00A671BF">
        <w:rPr>
          <w:szCs w:val="22"/>
        </w:rPr>
        <w:t xml:space="preserve">very briefly reporting the events </w:t>
      </w:r>
      <w:r w:rsidR="001C40BD" w:rsidRPr="00A671BF">
        <w:rPr>
          <w:szCs w:val="22"/>
        </w:rPr>
        <w:t>on 11 July</w:t>
      </w:r>
      <w:r w:rsidR="008B2885" w:rsidRPr="00A671BF">
        <w:rPr>
          <w:szCs w:val="22"/>
        </w:rPr>
        <w:t xml:space="preserve"> (</w:t>
      </w:r>
      <w:r w:rsidR="008B2885" w:rsidRPr="00A671BF">
        <w:rPr>
          <w:i/>
          <w:szCs w:val="22"/>
        </w:rPr>
        <w:t>Daily Mail</w:t>
      </w:r>
      <w:r w:rsidR="008B2885" w:rsidRPr="00A671BF">
        <w:rPr>
          <w:szCs w:val="22"/>
        </w:rPr>
        <w:t>, 1910)</w:t>
      </w:r>
      <w:r w:rsidR="001C40BD" w:rsidRPr="00A671BF">
        <w:rPr>
          <w:szCs w:val="22"/>
        </w:rPr>
        <w:t>,</w:t>
      </w:r>
      <w:r w:rsidR="000776FD" w:rsidRPr="00A671BF">
        <w:rPr>
          <w:szCs w:val="22"/>
        </w:rPr>
        <w:t xml:space="preserve"> </w:t>
      </w:r>
      <w:r w:rsidR="001C40BD" w:rsidRPr="00A671BF">
        <w:rPr>
          <w:szCs w:val="22"/>
        </w:rPr>
        <w:t>but</w:t>
      </w:r>
      <w:r w:rsidR="000776FD" w:rsidRPr="00A671BF">
        <w:rPr>
          <w:szCs w:val="22"/>
        </w:rPr>
        <w:t xml:space="preserve"> </w:t>
      </w:r>
      <w:r w:rsidR="00AF7B5D" w:rsidRPr="00A671BF">
        <w:rPr>
          <w:szCs w:val="22"/>
        </w:rPr>
        <w:t xml:space="preserve">in France </w:t>
      </w:r>
      <w:r w:rsidR="000776FD" w:rsidRPr="00A671BF">
        <w:rPr>
          <w:szCs w:val="22"/>
        </w:rPr>
        <w:t>the story was picked up b</w:t>
      </w:r>
      <w:r w:rsidR="001C40BD" w:rsidRPr="00A671BF">
        <w:rPr>
          <w:szCs w:val="22"/>
        </w:rPr>
        <w:t xml:space="preserve">y </w:t>
      </w:r>
      <w:proofErr w:type="spellStart"/>
      <w:r w:rsidR="001C40BD" w:rsidRPr="00A671BF">
        <w:rPr>
          <w:i/>
          <w:szCs w:val="22"/>
        </w:rPr>
        <w:t>L’Humanité</w:t>
      </w:r>
      <w:proofErr w:type="spellEnd"/>
      <w:r w:rsidR="00AF7B5D" w:rsidRPr="00A671BF">
        <w:rPr>
          <w:szCs w:val="22"/>
        </w:rPr>
        <w:t xml:space="preserve">, where </w:t>
      </w:r>
      <w:r w:rsidR="00706429" w:rsidRPr="00A671BF">
        <w:rPr>
          <w:szCs w:val="22"/>
        </w:rPr>
        <w:t xml:space="preserve">Jean </w:t>
      </w:r>
      <w:proofErr w:type="spellStart"/>
      <w:r w:rsidR="00706429" w:rsidRPr="00A671BF">
        <w:rPr>
          <w:szCs w:val="22"/>
        </w:rPr>
        <w:t>Longuet</w:t>
      </w:r>
      <w:proofErr w:type="spellEnd"/>
      <w:r w:rsidR="00706429" w:rsidRPr="00A671BF">
        <w:rPr>
          <w:szCs w:val="22"/>
        </w:rPr>
        <w:t xml:space="preserve"> published his own </w:t>
      </w:r>
      <w:r w:rsidR="005841EE" w:rsidRPr="00A671BF">
        <w:rPr>
          <w:szCs w:val="22"/>
        </w:rPr>
        <w:t xml:space="preserve">account </w:t>
      </w:r>
      <w:r w:rsidR="00AF7B5D" w:rsidRPr="00A671BF">
        <w:rPr>
          <w:szCs w:val="22"/>
        </w:rPr>
        <w:t>in</w:t>
      </w:r>
      <w:r w:rsidR="00706429" w:rsidRPr="00A671BF">
        <w:rPr>
          <w:szCs w:val="22"/>
        </w:rPr>
        <w:t xml:space="preserve"> </w:t>
      </w:r>
      <w:r w:rsidR="00AF7B5D" w:rsidRPr="00A671BF">
        <w:rPr>
          <w:szCs w:val="22"/>
        </w:rPr>
        <w:t>a front-</w:t>
      </w:r>
      <w:r w:rsidR="000776FD" w:rsidRPr="00A671BF">
        <w:rPr>
          <w:szCs w:val="22"/>
        </w:rPr>
        <w:t>page</w:t>
      </w:r>
      <w:r w:rsidR="00AF7B5D" w:rsidRPr="00A671BF">
        <w:rPr>
          <w:szCs w:val="22"/>
        </w:rPr>
        <w:t xml:space="preserve"> article </w:t>
      </w:r>
      <w:r w:rsidR="00621514" w:rsidRPr="00A671BF">
        <w:rPr>
          <w:szCs w:val="22"/>
        </w:rPr>
        <w:t>under</w:t>
      </w:r>
      <w:r w:rsidR="00706429" w:rsidRPr="00A671BF">
        <w:rPr>
          <w:szCs w:val="22"/>
        </w:rPr>
        <w:t xml:space="preserve"> </w:t>
      </w:r>
      <w:r w:rsidR="00AF7B5D" w:rsidRPr="00A671BF">
        <w:rPr>
          <w:szCs w:val="22"/>
        </w:rPr>
        <w:t>an</w:t>
      </w:r>
      <w:r w:rsidR="001C40BD" w:rsidRPr="00A671BF">
        <w:rPr>
          <w:szCs w:val="22"/>
        </w:rPr>
        <w:t xml:space="preserve"> unequivocal</w:t>
      </w:r>
      <w:r w:rsidR="00706429" w:rsidRPr="00A671BF">
        <w:rPr>
          <w:szCs w:val="22"/>
        </w:rPr>
        <w:t xml:space="preserve"> title</w:t>
      </w:r>
      <w:r w:rsidR="009A11DE" w:rsidRPr="00A671BF">
        <w:rPr>
          <w:szCs w:val="22"/>
        </w:rPr>
        <w:t xml:space="preserve"> that posited the actions of the British as an attack on human rights</w:t>
      </w:r>
      <w:r w:rsidR="00E13702" w:rsidRPr="00A671BF">
        <w:rPr>
          <w:szCs w:val="22"/>
        </w:rPr>
        <w:t xml:space="preserve"> and classified Savarkar as a political refugee</w:t>
      </w:r>
      <w:r w:rsidR="009A11DE" w:rsidRPr="00A671BF">
        <w:rPr>
          <w:szCs w:val="22"/>
        </w:rPr>
        <w:t>:</w:t>
      </w:r>
      <w:r w:rsidR="00706429" w:rsidRPr="00A671BF">
        <w:rPr>
          <w:szCs w:val="22"/>
        </w:rPr>
        <w:t xml:space="preserve"> ‘Un attentat aux droits des gens: On a </w:t>
      </w:r>
      <w:proofErr w:type="spellStart"/>
      <w:r w:rsidR="00706429" w:rsidRPr="00A671BF">
        <w:rPr>
          <w:szCs w:val="22"/>
        </w:rPr>
        <w:t>livré</w:t>
      </w:r>
      <w:proofErr w:type="spellEnd"/>
      <w:r w:rsidR="00706429" w:rsidRPr="00A671BF">
        <w:rPr>
          <w:szCs w:val="22"/>
        </w:rPr>
        <w:t xml:space="preserve"> un </w:t>
      </w:r>
      <w:proofErr w:type="spellStart"/>
      <w:r w:rsidR="00706429" w:rsidRPr="00A671BF">
        <w:rPr>
          <w:szCs w:val="22"/>
        </w:rPr>
        <w:t>réfugié</w:t>
      </w:r>
      <w:proofErr w:type="spellEnd"/>
      <w:r w:rsidR="00706429" w:rsidRPr="00A671BF">
        <w:rPr>
          <w:szCs w:val="22"/>
        </w:rPr>
        <w:t xml:space="preserve"> politique’</w:t>
      </w:r>
      <w:r w:rsidR="00D358D1" w:rsidRPr="00A671BF">
        <w:rPr>
          <w:szCs w:val="22"/>
        </w:rPr>
        <w:t xml:space="preserve"> (</w:t>
      </w:r>
      <w:proofErr w:type="spellStart"/>
      <w:r w:rsidR="00D358D1" w:rsidRPr="00A671BF">
        <w:rPr>
          <w:szCs w:val="22"/>
        </w:rPr>
        <w:t>Longuet</w:t>
      </w:r>
      <w:proofErr w:type="spellEnd"/>
      <w:r w:rsidR="00D358D1" w:rsidRPr="00A671BF">
        <w:rPr>
          <w:szCs w:val="22"/>
        </w:rPr>
        <w:t>, 1910a)</w:t>
      </w:r>
      <w:r w:rsidR="00706429" w:rsidRPr="00A671BF">
        <w:rPr>
          <w:szCs w:val="22"/>
        </w:rPr>
        <w:t>.</w:t>
      </w:r>
    </w:p>
    <w:p w:rsidR="00C519E5" w:rsidRPr="00A671BF" w:rsidRDefault="00621514" w:rsidP="00917414">
      <w:pPr>
        <w:spacing w:line="360" w:lineRule="auto"/>
      </w:pPr>
      <w:r w:rsidRPr="00A671BF">
        <w:rPr>
          <w:szCs w:val="22"/>
        </w:rPr>
        <w:tab/>
        <w:t xml:space="preserve">Following the publication of </w:t>
      </w:r>
      <w:proofErr w:type="spellStart"/>
      <w:r w:rsidRPr="00A671BF">
        <w:rPr>
          <w:szCs w:val="22"/>
        </w:rPr>
        <w:t>Longuet’s</w:t>
      </w:r>
      <w:proofErr w:type="spellEnd"/>
      <w:r w:rsidRPr="00A671BF">
        <w:rPr>
          <w:szCs w:val="22"/>
        </w:rPr>
        <w:t xml:space="preserve"> </w:t>
      </w:r>
      <w:r w:rsidR="004A535F" w:rsidRPr="00A671BF">
        <w:rPr>
          <w:szCs w:val="22"/>
        </w:rPr>
        <w:t>castigating</w:t>
      </w:r>
      <w:r w:rsidRPr="00A671BF">
        <w:rPr>
          <w:szCs w:val="22"/>
        </w:rPr>
        <w:t xml:space="preserve"> account</w:t>
      </w:r>
      <w:r w:rsidR="005841EE" w:rsidRPr="00A671BF">
        <w:rPr>
          <w:szCs w:val="22"/>
        </w:rPr>
        <w:t xml:space="preserve">, </w:t>
      </w:r>
      <w:proofErr w:type="spellStart"/>
      <w:r w:rsidR="005841EE" w:rsidRPr="00A671BF">
        <w:rPr>
          <w:i/>
          <w:szCs w:val="22"/>
        </w:rPr>
        <w:t>L’Humanité</w:t>
      </w:r>
      <w:proofErr w:type="spellEnd"/>
      <w:r w:rsidR="005841EE" w:rsidRPr="00A671BF">
        <w:rPr>
          <w:i/>
          <w:szCs w:val="22"/>
        </w:rPr>
        <w:t xml:space="preserve"> </w:t>
      </w:r>
      <w:r w:rsidR="005841EE" w:rsidRPr="00A671BF">
        <w:rPr>
          <w:szCs w:val="22"/>
        </w:rPr>
        <w:t xml:space="preserve">ensured that the story remained </w:t>
      </w:r>
      <w:r w:rsidR="009D4499" w:rsidRPr="00A671BF">
        <w:rPr>
          <w:szCs w:val="22"/>
        </w:rPr>
        <w:t>in the news, frequently on the front page</w:t>
      </w:r>
      <w:r w:rsidR="0064111F" w:rsidRPr="00A671BF">
        <w:rPr>
          <w:szCs w:val="22"/>
        </w:rPr>
        <w:t>,</w:t>
      </w:r>
      <w:r w:rsidR="009D4499" w:rsidRPr="00A671BF">
        <w:rPr>
          <w:szCs w:val="22"/>
        </w:rPr>
        <w:t xml:space="preserve"> throughout July, </w:t>
      </w:r>
      <w:r w:rsidR="001C40BD" w:rsidRPr="00A671BF">
        <w:rPr>
          <w:szCs w:val="22"/>
        </w:rPr>
        <w:t>August</w:t>
      </w:r>
      <w:r w:rsidR="009D4499" w:rsidRPr="00A671BF">
        <w:rPr>
          <w:szCs w:val="22"/>
        </w:rPr>
        <w:t xml:space="preserve"> and September, with articles by Je</w:t>
      </w:r>
      <w:r w:rsidR="00917414" w:rsidRPr="00A671BF">
        <w:rPr>
          <w:szCs w:val="22"/>
        </w:rPr>
        <w:t xml:space="preserve">an </w:t>
      </w:r>
      <w:proofErr w:type="spellStart"/>
      <w:r w:rsidR="00917414" w:rsidRPr="00A671BF">
        <w:rPr>
          <w:szCs w:val="22"/>
        </w:rPr>
        <w:t>Longuet</w:t>
      </w:r>
      <w:proofErr w:type="spellEnd"/>
      <w:r w:rsidR="00917414" w:rsidRPr="00A671BF">
        <w:rPr>
          <w:szCs w:val="22"/>
        </w:rPr>
        <w:t xml:space="preserve"> and by Jean </w:t>
      </w:r>
      <w:proofErr w:type="spellStart"/>
      <w:r w:rsidR="00917414" w:rsidRPr="00A671BF">
        <w:rPr>
          <w:szCs w:val="22"/>
        </w:rPr>
        <w:t>Jaurès</w:t>
      </w:r>
      <w:proofErr w:type="spellEnd"/>
      <w:r w:rsidR="00917414" w:rsidRPr="00A671BF">
        <w:rPr>
          <w:szCs w:val="22"/>
        </w:rPr>
        <w:t xml:space="preserve"> — l</w:t>
      </w:r>
      <w:r w:rsidR="009D4499" w:rsidRPr="00A671BF">
        <w:rPr>
          <w:szCs w:val="22"/>
        </w:rPr>
        <w:t xml:space="preserve">eader of the </w:t>
      </w:r>
      <w:r w:rsidR="009A11DE" w:rsidRPr="00A671BF">
        <w:rPr>
          <w:i/>
          <w:iCs/>
          <w:szCs w:val="22"/>
        </w:rPr>
        <w:t xml:space="preserve">Section </w:t>
      </w:r>
      <w:proofErr w:type="spellStart"/>
      <w:r w:rsidR="009A11DE" w:rsidRPr="00A671BF">
        <w:rPr>
          <w:i/>
          <w:iCs/>
          <w:szCs w:val="22"/>
        </w:rPr>
        <w:t>Française</w:t>
      </w:r>
      <w:proofErr w:type="spellEnd"/>
      <w:r w:rsidR="009A11DE" w:rsidRPr="00A671BF">
        <w:rPr>
          <w:i/>
          <w:iCs/>
          <w:szCs w:val="22"/>
        </w:rPr>
        <w:t xml:space="preserve"> de </w:t>
      </w:r>
      <w:proofErr w:type="spellStart"/>
      <w:r w:rsidR="009A11DE" w:rsidRPr="00A671BF">
        <w:rPr>
          <w:i/>
          <w:iCs/>
          <w:szCs w:val="22"/>
        </w:rPr>
        <w:t>l’Internationale</w:t>
      </w:r>
      <w:proofErr w:type="spellEnd"/>
      <w:r w:rsidR="009A11DE" w:rsidRPr="00A671BF">
        <w:rPr>
          <w:i/>
          <w:iCs/>
          <w:szCs w:val="22"/>
        </w:rPr>
        <w:t xml:space="preserve"> </w:t>
      </w:r>
      <w:proofErr w:type="spellStart"/>
      <w:r w:rsidR="009A11DE" w:rsidRPr="00A671BF">
        <w:rPr>
          <w:i/>
          <w:iCs/>
          <w:szCs w:val="22"/>
        </w:rPr>
        <w:t>Ouvrière</w:t>
      </w:r>
      <w:proofErr w:type="spellEnd"/>
      <w:r w:rsidR="009A11DE" w:rsidRPr="00A671BF">
        <w:rPr>
          <w:szCs w:val="22"/>
        </w:rPr>
        <w:t>, </w:t>
      </w:r>
      <w:r w:rsidR="009A11DE" w:rsidRPr="00A671BF">
        <w:rPr>
          <w:bCs/>
          <w:szCs w:val="22"/>
        </w:rPr>
        <w:t>SFIO</w:t>
      </w:r>
      <w:r w:rsidR="009D4499" w:rsidRPr="00A671BF">
        <w:rPr>
          <w:szCs w:val="22"/>
        </w:rPr>
        <w:t>, the French Socialist Party</w:t>
      </w:r>
      <w:r w:rsidR="000B6E5D" w:rsidRPr="00A671BF">
        <w:rPr>
          <w:szCs w:val="22"/>
        </w:rPr>
        <w:t>,</w:t>
      </w:r>
      <w:r w:rsidR="009D4499" w:rsidRPr="00A671BF">
        <w:rPr>
          <w:szCs w:val="22"/>
        </w:rPr>
        <w:t xml:space="preserve"> and founding editor of </w:t>
      </w:r>
      <w:proofErr w:type="spellStart"/>
      <w:r w:rsidR="009D4499" w:rsidRPr="00A671BF">
        <w:rPr>
          <w:i/>
          <w:szCs w:val="22"/>
        </w:rPr>
        <w:t>L’Humanité</w:t>
      </w:r>
      <w:proofErr w:type="spellEnd"/>
      <w:r w:rsidR="00917414" w:rsidRPr="00A671BF">
        <w:rPr>
          <w:szCs w:val="22"/>
        </w:rPr>
        <w:t xml:space="preserve"> (</w:t>
      </w:r>
      <w:proofErr w:type="spellStart"/>
      <w:r w:rsidR="00917414" w:rsidRPr="00A671BF">
        <w:rPr>
          <w:szCs w:val="22"/>
        </w:rPr>
        <w:t>Longuet</w:t>
      </w:r>
      <w:proofErr w:type="spellEnd"/>
      <w:r w:rsidR="00917414" w:rsidRPr="00A671BF">
        <w:rPr>
          <w:szCs w:val="22"/>
        </w:rPr>
        <w:t xml:space="preserve">, 1910b; </w:t>
      </w:r>
      <w:proofErr w:type="spellStart"/>
      <w:r w:rsidR="00917414" w:rsidRPr="00A671BF">
        <w:rPr>
          <w:szCs w:val="22"/>
        </w:rPr>
        <w:t>Longuet</w:t>
      </w:r>
      <w:proofErr w:type="spellEnd"/>
      <w:r w:rsidR="009327E4" w:rsidRPr="00A671BF">
        <w:rPr>
          <w:szCs w:val="22"/>
        </w:rPr>
        <w:t>,</w:t>
      </w:r>
      <w:r w:rsidR="00917414" w:rsidRPr="00A671BF">
        <w:rPr>
          <w:szCs w:val="22"/>
        </w:rPr>
        <w:t xml:space="preserve"> 1910c; </w:t>
      </w:r>
      <w:proofErr w:type="spellStart"/>
      <w:r w:rsidR="00917414" w:rsidRPr="00A671BF">
        <w:rPr>
          <w:szCs w:val="22"/>
        </w:rPr>
        <w:t>Jaurès</w:t>
      </w:r>
      <w:proofErr w:type="spellEnd"/>
      <w:r w:rsidR="00917414" w:rsidRPr="00A671BF">
        <w:rPr>
          <w:szCs w:val="22"/>
        </w:rPr>
        <w:t xml:space="preserve">, 1910a; </w:t>
      </w:r>
      <w:proofErr w:type="spellStart"/>
      <w:r w:rsidR="00917414" w:rsidRPr="00A671BF">
        <w:rPr>
          <w:szCs w:val="22"/>
        </w:rPr>
        <w:t>Jaurès</w:t>
      </w:r>
      <w:proofErr w:type="spellEnd"/>
      <w:r w:rsidR="00917414" w:rsidRPr="00A671BF">
        <w:rPr>
          <w:szCs w:val="22"/>
        </w:rPr>
        <w:t xml:space="preserve">, 1910b; </w:t>
      </w:r>
      <w:proofErr w:type="spellStart"/>
      <w:r w:rsidR="00917414" w:rsidRPr="00A671BF">
        <w:rPr>
          <w:szCs w:val="22"/>
        </w:rPr>
        <w:t>Cama</w:t>
      </w:r>
      <w:proofErr w:type="spellEnd"/>
      <w:r w:rsidR="00917414" w:rsidRPr="00A671BF">
        <w:rPr>
          <w:szCs w:val="22"/>
        </w:rPr>
        <w:t xml:space="preserve">, 1910; </w:t>
      </w:r>
      <w:proofErr w:type="spellStart"/>
      <w:r w:rsidR="00917414" w:rsidRPr="00A671BF">
        <w:rPr>
          <w:i/>
        </w:rPr>
        <w:t>L’Humanité</w:t>
      </w:r>
      <w:proofErr w:type="spellEnd"/>
      <w:r w:rsidR="00917414" w:rsidRPr="00A671BF">
        <w:rPr>
          <w:szCs w:val="22"/>
        </w:rPr>
        <w:t xml:space="preserve">, 1910b; </w:t>
      </w:r>
      <w:proofErr w:type="spellStart"/>
      <w:r w:rsidR="00917414" w:rsidRPr="00A671BF">
        <w:rPr>
          <w:i/>
        </w:rPr>
        <w:t>L’Humanité</w:t>
      </w:r>
      <w:proofErr w:type="spellEnd"/>
      <w:r w:rsidR="00917414" w:rsidRPr="00A671BF">
        <w:t xml:space="preserve">, 1910c; </w:t>
      </w:r>
      <w:proofErr w:type="spellStart"/>
      <w:r w:rsidR="00917414" w:rsidRPr="00A671BF">
        <w:rPr>
          <w:i/>
        </w:rPr>
        <w:t>L’Humanité</w:t>
      </w:r>
      <w:proofErr w:type="spellEnd"/>
      <w:r w:rsidR="00917414" w:rsidRPr="00A671BF">
        <w:t xml:space="preserve">, </w:t>
      </w:r>
      <w:r w:rsidR="00322175" w:rsidRPr="00A671BF">
        <w:t>1910e</w:t>
      </w:r>
      <w:r w:rsidR="00917414" w:rsidRPr="00A671BF">
        <w:t xml:space="preserve">; </w:t>
      </w:r>
      <w:proofErr w:type="spellStart"/>
      <w:r w:rsidR="00917414" w:rsidRPr="00A671BF">
        <w:rPr>
          <w:i/>
        </w:rPr>
        <w:t>L’Humanité</w:t>
      </w:r>
      <w:proofErr w:type="spellEnd"/>
      <w:r w:rsidR="00917414" w:rsidRPr="00A671BF">
        <w:t>, 1910</w:t>
      </w:r>
      <w:r w:rsidR="00322175" w:rsidRPr="00A671BF">
        <w:t>f</w:t>
      </w:r>
      <w:r w:rsidR="00917414" w:rsidRPr="00A671BF">
        <w:t>).</w:t>
      </w:r>
      <w:r w:rsidR="001C40BD" w:rsidRPr="00A671BF">
        <w:rPr>
          <w:szCs w:val="22"/>
        </w:rPr>
        <w:t xml:space="preserve"> Protests were not confined to the left-wing press. On 23 July 1908, </w:t>
      </w:r>
      <w:r w:rsidR="001C40BD" w:rsidRPr="00A671BF">
        <w:rPr>
          <w:i/>
          <w:szCs w:val="22"/>
        </w:rPr>
        <w:t>Le Temps</w:t>
      </w:r>
      <w:r w:rsidR="001C40BD" w:rsidRPr="00A671BF">
        <w:rPr>
          <w:szCs w:val="22"/>
        </w:rPr>
        <w:t xml:space="preserve">, </w:t>
      </w:r>
      <w:r w:rsidR="00963423" w:rsidRPr="00A671BF">
        <w:rPr>
          <w:szCs w:val="22"/>
        </w:rPr>
        <w:t>the newspaper of record</w:t>
      </w:r>
      <w:r w:rsidR="009D5275" w:rsidRPr="00A671BF">
        <w:rPr>
          <w:szCs w:val="22"/>
        </w:rPr>
        <w:t>,</w:t>
      </w:r>
      <w:r w:rsidR="00922EF6" w:rsidRPr="00A671BF">
        <w:rPr>
          <w:szCs w:val="22"/>
        </w:rPr>
        <w:t xml:space="preserve"> </w:t>
      </w:r>
      <w:r w:rsidR="009D5275" w:rsidRPr="00A671BF">
        <w:rPr>
          <w:szCs w:val="22"/>
        </w:rPr>
        <w:t xml:space="preserve">questioned the right of the British steamer to enter French territorial waters without having </w:t>
      </w:r>
      <w:r w:rsidR="002D307C" w:rsidRPr="00A671BF">
        <w:rPr>
          <w:szCs w:val="22"/>
        </w:rPr>
        <w:t xml:space="preserve">first </w:t>
      </w:r>
      <w:r w:rsidR="009D5275" w:rsidRPr="00A671BF">
        <w:rPr>
          <w:szCs w:val="22"/>
        </w:rPr>
        <w:t>notified the French government</w:t>
      </w:r>
      <w:r w:rsidR="00922EF6" w:rsidRPr="00A671BF">
        <w:rPr>
          <w:szCs w:val="22"/>
        </w:rPr>
        <w:t>,</w:t>
      </w:r>
      <w:r w:rsidR="009D5275" w:rsidRPr="00A671BF">
        <w:rPr>
          <w:szCs w:val="22"/>
        </w:rPr>
        <w:t xml:space="preserve"> and asked pointedly</w:t>
      </w:r>
      <w:r w:rsidR="00E371AA" w:rsidRPr="00A671BF">
        <w:rPr>
          <w:szCs w:val="22"/>
        </w:rPr>
        <w:t>:</w:t>
      </w:r>
      <w:r w:rsidR="000776FD" w:rsidRPr="00A671BF">
        <w:t xml:space="preserve"> ‘</w:t>
      </w:r>
      <w:r w:rsidR="009D5275" w:rsidRPr="00A671BF">
        <w:t xml:space="preserve">Savarkar </w:t>
      </w:r>
      <w:proofErr w:type="spellStart"/>
      <w:r w:rsidR="009D5275" w:rsidRPr="00A671BF">
        <w:t>ayant</w:t>
      </w:r>
      <w:proofErr w:type="spellEnd"/>
      <w:r w:rsidR="009D5275" w:rsidRPr="00A671BF">
        <w:t xml:space="preserve"> </w:t>
      </w:r>
      <w:proofErr w:type="spellStart"/>
      <w:r w:rsidR="009D5275" w:rsidRPr="00A671BF">
        <w:t>abordé</w:t>
      </w:r>
      <w:proofErr w:type="spellEnd"/>
      <w:r w:rsidR="009D5275" w:rsidRPr="00A671BF">
        <w:t xml:space="preserve"> sur le sol </w:t>
      </w:r>
      <w:proofErr w:type="spellStart"/>
      <w:r w:rsidR="009D5275" w:rsidRPr="00A671BF">
        <w:t>français</w:t>
      </w:r>
      <w:proofErr w:type="spellEnd"/>
      <w:r w:rsidR="009D5275" w:rsidRPr="00A671BF">
        <w:t xml:space="preserve">, </w:t>
      </w:r>
      <w:proofErr w:type="spellStart"/>
      <w:r w:rsidR="009D5275" w:rsidRPr="00A671BF">
        <w:t>n’était-il</w:t>
      </w:r>
      <w:proofErr w:type="spellEnd"/>
      <w:r w:rsidR="009D5275" w:rsidRPr="00A671BF">
        <w:t xml:space="preserve"> pas </w:t>
      </w:r>
      <w:proofErr w:type="spellStart"/>
      <w:r w:rsidR="009D5275" w:rsidRPr="00A671BF">
        <w:t>immédiatement</w:t>
      </w:r>
      <w:proofErr w:type="spellEnd"/>
      <w:r w:rsidR="009D5275" w:rsidRPr="00A671BF">
        <w:t xml:space="preserve"> </w:t>
      </w:r>
      <w:proofErr w:type="spellStart"/>
      <w:r w:rsidR="009D5275" w:rsidRPr="00A671BF">
        <w:t>couvert</w:t>
      </w:r>
      <w:proofErr w:type="spellEnd"/>
      <w:r w:rsidR="009D5275" w:rsidRPr="00A671BF">
        <w:t xml:space="preserve"> par le droit </w:t>
      </w:r>
      <w:proofErr w:type="spellStart"/>
      <w:r w:rsidR="009D5275" w:rsidRPr="00A671BF">
        <w:t>d’asile</w:t>
      </w:r>
      <w:proofErr w:type="spellEnd"/>
      <w:r w:rsidR="009D5275" w:rsidRPr="00A671BF">
        <w:t>?’</w:t>
      </w:r>
      <w:r w:rsidR="00917414" w:rsidRPr="00A671BF">
        <w:t xml:space="preserve"> (</w:t>
      </w:r>
      <w:r w:rsidR="00917414" w:rsidRPr="00A671BF">
        <w:rPr>
          <w:i/>
        </w:rPr>
        <w:t>Le Temps</w:t>
      </w:r>
      <w:r w:rsidR="00917414" w:rsidRPr="00A671BF">
        <w:t>, 1910).</w:t>
      </w:r>
      <w:r w:rsidR="00716E1A" w:rsidRPr="00A671BF">
        <w:t xml:space="preserve"> </w:t>
      </w:r>
      <w:r w:rsidR="00D9323B" w:rsidRPr="00A671BF">
        <w:t xml:space="preserve">Regional newspapers, such as the influential </w:t>
      </w:r>
      <w:proofErr w:type="spellStart"/>
      <w:r w:rsidR="00D9323B" w:rsidRPr="00A671BF">
        <w:rPr>
          <w:i/>
        </w:rPr>
        <w:t>L’Ouest</w:t>
      </w:r>
      <w:proofErr w:type="spellEnd"/>
      <w:r w:rsidR="00D9323B" w:rsidRPr="00A671BF">
        <w:rPr>
          <w:i/>
        </w:rPr>
        <w:t>-Éclair</w:t>
      </w:r>
      <w:r w:rsidR="00D9323B" w:rsidRPr="00A671BF">
        <w:t xml:space="preserve">, </w:t>
      </w:r>
      <w:r w:rsidR="00922EF6" w:rsidRPr="00A671BF">
        <w:t xml:space="preserve">warned that France’s status as the bastion of </w:t>
      </w:r>
      <w:r w:rsidR="00D9323B" w:rsidRPr="00A671BF">
        <w:rPr>
          <w:i/>
        </w:rPr>
        <w:t xml:space="preserve">les </w:t>
      </w:r>
      <w:r w:rsidR="00922EF6" w:rsidRPr="00A671BF">
        <w:rPr>
          <w:i/>
        </w:rPr>
        <w:t xml:space="preserve">droits de </w:t>
      </w:r>
      <w:proofErr w:type="spellStart"/>
      <w:r w:rsidR="00922EF6" w:rsidRPr="00A671BF">
        <w:rPr>
          <w:i/>
        </w:rPr>
        <w:t>l’homme</w:t>
      </w:r>
      <w:proofErr w:type="spellEnd"/>
      <w:r w:rsidR="00E371AA" w:rsidRPr="00A671BF">
        <w:t xml:space="preserve"> was under threat</w:t>
      </w:r>
      <w:r w:rsidR="00217CB1" w:rsidRPr="00A671BF">
        <w:t xml:space="preserve"> (</w:t>
      </w:r>
      <w:proofErr w:type="spellStart"/>
      <w:r w:rsidR="00217CB1" w:rsidRPr="00A671BF">
        <w:rPr>
          <w:i/>
        </w:rPr>
        <w:t>L’Ouest</w:t>
      </w:r>
      <w:proofErr w:type="spellEnd"/>
      <w:r w:rsidR="00217CB1" w:rsidRPr="00A671BF">
        <w:t>, 1910)</w:t>
      </w:r>
      <w:r w:rsidR="00E371AA" w:rsidRPr="00A671BF">
        <w:t xml:space="preserve">; </w:t>
      </w:r>
      <w:r w:rsidR="00922EF6" w:rsidRPr="00A671BF">
        <w:t xml:space="preserve">politicians, notably </w:t>
      </w:r>
      <w:proofErr w:type="spellStart"/>
      <w:r w:rsidR="00922EF6" w:rsidRPr="00A671BF">
        <w:t>Jaurès</w:t>
      </w:r>
      <w:proofErr w:type="spellEnd"/>
      <w:r w:rsidR="00D9323B" w:rsidRPr="00A671BF">
        <w:t>,</w:t>
      </w:r>
      <w:r w:rsidR="00922EF6" w:rsidRPr="00A671BF">
        <w:t xml:space="preserve"> challenged the </w:t>
      </w:r>
      <w:proofErr w:type="spellStart"/>
      <w:r w:rsidR="00922EF6" w:rsidRPr="00A671BF">
        <w:t>Min</w:t>
      </w:r>
      <w:r w:rsidR="005519B9" w:rsidRPr="00A671BF">
        <w:t>i</w:t>
      </w:r>
      <w:r w:rsidR="00922EF6" w:rsidRPr="00A671BF">
        <w:t>stre</w:t>
      </w:r>
      <w:proofErr w:type="spellEnd"/>
      <w:r w:rsidR="00922EF6" w:rsidRPr="00A671BF">
        <w:t xml:space="preserve"> des Aff</w:t>
      </w:r>
      <w:r w:rsidR="00D9323B" w:rsidRPr="00A671BF">
        <w:t xml:space="preserve">aires </w:t>
      </w:r>
      <w:proofErr w:type="spellStart"/>
      <w:r w:rsidR="00D9323B" w:rsidRPr="00A671BF">
        <w:t>Etrangè</w:t>
      </w:r>
      <w:r w:rsidR="00922EF6" w:rsidRPr="00A671BF">
        <w:t>res</w:t>
      </w:r>
      <w:proofErr w:type="spellEnd"/>
      <w:r w:rsidR="00D9323B" w:rsidRPr="00A671BF">
        <w:t xml:space="preserve"> to intervene</w:t>
      </w:r>
      <w:r w:rsidR="00217CB1" w:rsidRPr="00A671BF">
        <w:t>.</w:t>
      </w:r>
      <w:r w:rsidR="002B24D5" w:rsidRPr="00A671BF">
        <w:t xml:space="preserve"> </w:t>
      </w:r>
      <w:r w:rsidR="00E371AA" w:rsidRPr="00A671BF">
        <w:t>T</w:t>
      </w:r>
      <w:r w:rsidR="00716E1A" w:rsidRPr="00A671BF">
        <w:t xml:space="preserve">he French Ambassador wrote to the </w:t>
      </w:r>
      <w:r w:rsidR="00552A17" w:rsidRPr="00A671BF">
        <w:t xml:space="preserve">British </w:t>
      </w:r>
      <w:r w:rsidR="00716E1A" w:rsidRPr="00A671BF">
        <w:t xml:space="preserve">Foreign Secretary, Edward Grey, </w:t>
      </w:r>
      <w:r w:rsidR="00DE2CEA" w:rsidRPr="00A671BF">
        <w:t>requesting</w:t>
      </w:r>
      <w:r w:rsidR="00716E1A" w:rsidRPr="00A671BF">
        <w:t xml:space="preserve"> that</w:t>
      </w:r>
      <w:r w:rsidR="00D9323B" w:rsidRPr="00A671BF">
        <w:t xml:space="preserve"> Savarkar be returned to France and informing him that</w:t>
      </w:r>
      <w:r w:rsidR="00716E1A" w:rsidRPr="00A671BF">
        <w:t xml:space="preserve"> </w:t>
      </w:r>
    </w:p>
    <w:p w:rsidR="00C519E5" w:rsidRPr="00A671BF" w:rsidRDefault="00C519E5" w:rsidP="00917414">
      <w:pPr>
        <w:spacing w:line="360" w:lineRule="auto"/>
      </w:pPr>
    </w:p>
    <w:p w:rsidR="003574EF" w:rsidRPr="00A671BF" w:rsidRDefault="00D9323B" w:rsidP="003574EF">
      <w:pPr>
        <w:spacing w:line="360" w:lineRule="auto"/>
        <w:ind w:left="284"/>
      </w:pPr>
      <w:r w:rsidRPr="00A671BF">
        <w:rPr>
          <w:lang w:val="fr-FR"/>
        </w:rPr>
        <w:t xml:space="preserve">Il est aujourd’hui reconnu que le Gouvernement de la République n’avait reçu du Gouvernement de Sa Majesté le Roi aucune demande d’extradition ni d’arrestation provisoire concernant le Nommé Damodar </w:t>
      </w:r>
      <w:proofErr w:type="spellStart"/>
      <w:r w:rsidRPr="00A671BF">
        <w:rPr>
          <w:lang w:val="fr-FR"/>
        </w:rPr>
        <w:t>Savarkar</w:t>
      </w:r>
      <w:proofErr w:type="spellEnd"/>
      <w:r w:rsidR="00F4421D" w:rsidRPr="00A671BF">
        <w:rPr>
          <w:lang w:val="fr-FR"/>
        </w:rPr>
        <w:t xml:space="preserve"> [</w:t>
      </w:r>
      <w:r w:rsidR="00F4421D" w:rsidRPr="00A671BF">
        <w:rPr>
          <w:i/>
          <w:lang w:val="fr-FR"/>
        </w:rPr>
        <w:t>sic</w:t>
      </w:r>
      <w:r w:rsidR="00F4421D" w:rsidRPr="00A671BF">
        <w:rPr>
          <w:lang w:val="fr-FR"/>
        </w:rPr>
        <w:t>]</w:t>
      </w:r>
      <w:r w:rsidRPr="00A671BF">
        <w:rPr>
          <w:lang w:val="fr-FR"/>
        </w:rPr>
        <w:t xml:space="preserve">, qu’il n’existait aucun mandat judiciaire autorisant l’arrestation de cet individu sur le territoire français […] qu’enfin son arrestation et </w:t>
      </w:r>
      <w:r w:rsidRPr="00A671BF">
        <w:rPr>
          <w:lang w:val="fr-FR"/>
        </w:rPr>
        <w:lastRenderedPageBreak/>
        <w:t>sa remise aux autorités du paquebot anglais par un agent subalterne sont irrégulières</w:t>
      </w:r>
      <w:r w:rsidR="00F50D05" w:rsidRPr="00A671BF">
        <w:rPr>
          <w:lang w:val="fr-FR"/>
        </w:rPr>
        <w:t xml:space="preserve"> </w:t>
      </w:r>
      <w:r w:rsidR="002D07A5" w:rsidRPr="00A671BF">
        <w:rPr>
          <w:lang w:val="fr-FR"/>
        </w:rPr>
        <w:t>— aussi bien au point de vue du droit françai</w:t>
      </w:r>
      <w:r w:rsidR="002B24D5" w:rsidRPr="00A671BF">
        <w:rPr>
          <w:lang w:val="fr-FR"/>
        </w:rPr>
        <w:t>s qu’à celui du droit des gens</w:t>
      </w:r>
      <w:r w:rsidR="003574EF" w:rsidRPr="00A671BF">
        <w:rPr>
          <w:lang w:val="fr-FR"/>
        </w:rPr>
        <w:t>.</w:t>
      </w:r>
      <w:r w:rsidR="002B24D5" w:rsidRPr="00A671BF">
        <w:rPr>
          <w:lang w:val="fr-FR"/>
        </w:rPr>
        <w:t xml:space="preserve"> </w:t>
      </w:r>
      <w:r w:rsidR="002B24D5" w:rsidRPr="00A671BF">
        <w:t>(</w:t>
      </w:r>
      <w:proofErr w:type="spellStart"/>
      <w:r w:rsidR="002B24D5" w:rsidRPr="00A671BF">
        <w:t>Cambon</w:t>
      </w:r>
      <w:proofErr w:type="spellEnd"/>
      <w:r w:rsidR="002B24D5" w:rsidRPr="00A671BF">
        <w:t>, 1910)</w:t>
      </w:r>
      <w:r w:rsidR="00EB6E3C" w:rsidRPr="00A671BF">
        <w:t xml:space="preserve"> </w:t>
      </w:r>
    </w:p>
    <w:p w:rsidR="003574EF" w:rsidRPr="00A671BF" w:rsidRDefault="003574EF" w:rsidP="00917414">
      <w:pPr>
        <w:spacing w:line="360" w:lineRule="auto"/>
      </w:pPr>
    </w:p>
    <w:p w:rsidR="00716E1A" w:rsidRPr="00A671BF" w:rsidRDefault="00716E1A" w:rsidP="00917414">
      <w:pPr>
        <w:spacing w:line="360" w:lineRule="auto"/>
      </w:pPr>
      <w:r w:rsidRPr="00A671BF">
        <w:t xml:space="preserve">The British contested this claim, pointing out that </w:t>
      </w:r>
      <w:r w:rsidR="0064111F" w:rsidRPr="00A671BF">
        <w:t xml:space="preserve">the Director of the </w:t>
      </w:r>
      <w:proofErr w:type="spellStart"/>
      <w:r w:rsidR="0064111F" w:rsidRPr="00A671BF">
        <w:t>S</w:t>
      </w:r>
      <w:r w:rsidR="002D07A5" w:rsidRPr="00A671BF">
        <w:t>ûre</w:t>
      </w:r>
      <w:r w:rsidR="00EB6E3C" w:rsidRPr="00A671BF">
        <w:t>té</w:t>
      </w:r>
      <w:proofErr w:type="spellEnd"/>
      <w:r w:rsidR="00EB6E3C" w:rsidRPr="00A671BF">
        <w:t xml:space="preserve"> Générale </w:t>
      </w:r>
      <w:r w:rsidR="007666B0" w:rsidRPr="00A671BF">
        <w:t>in Paris</w:t>
      </w:r>
      <w:r w:rsidR="00A270D2" w:rsidRPr="00A671BF">
        <w:t xml:space="preserve"> </w:t>
      </w:r>
      <w:r w:rsidR="00EB6E3C" w:rsidRPr="00A671BF">
        <w:t xml:space="preserve">had been warned </w:t>
      </w:r>
      <w:r w:rsidRPr="00A671BF">
        <w:t xml:space="preserve">in </w:t>
      </w:r>
      <w:r w:rsidR="000E75D3" w:rsidRPr="00A671BF">
        <w:t>June</w:t>
      </w:r>
      <w:r w:rsidRPr="00A671BF">
        <w:t xml:space="preserve"> of the docking of the </w:t>
      </w:r>
      <w:r w:rsidRPr="00A671BF">
        <w:rPr>
          <w:i/>
        </w:rPr>
        <w:t>Morea</w:t>
      </w:r>
      <w:r w:rsidRPr="00A671BF">
        <w:t xml:space="preserve"> in Marseille</w:t>
      </w:r>
      <w:r w:rsidR="00B45AC4" w:rsidRPr="00A671BF">
        <w:t>, that he</w:t>
      </w:r>
      <w:r w:rsidR="00EB6E3C" w:rsidRPr="00A671BF">
        <w:t xml:space="preserve"> </w:t>
      </w:r>
      <w:r w:rsidR="002D307C" w:rsidRPr="00A671BF">
        <w:t xml:space="preserve">had </w:t>
      </w:r>
      <w:r w:rsidR="00EB6E3C" w:rsidRPr="00A671BF">
        <w:t>agreed</w:t>
      </w:r>
      <w:r w:rsidR="00B45AC4" w:rsidRPr="00A671BF">
        <w:t>,</w:t>
      </w:r>
      <w:r w:rsidR="00EB6E3C" w:rsidRPr="00A671BF">
        <w:t xml:space="preserve"> </w:t>
      </w:r>
      <w:r w:rsidR="00B45AC4" w:rsidRPr="00A671BF">
        <w:t xml:space="preserve">in response to fears expressed by the Head of the Police in London, </w:t>
      </w:r>
      <w:r w:rsidR="00EB6E3C" w:rsidRPr="00A671BF">
        <w:t>to</w:t>
      </w:r>
      <w:r w:rsidR="008A71B6" w:rsidRPr="00A671BF">
        <w:t xml:space="preserve"> help</w:t>
      </w:r>
      <w:r w:rsidR="00EB6E3C" w:rsidRPr="00A671BF">
        <w:t xml:space="preserve"> ‘avoid any incident</w:t>
      </w:r>
      <w:r w:rsidR="00021766" w:rsidRPr="00A671BF">
        <w:t xml:space="preserve"> of </w:t>
      </w:r>
      <w:r w:rsidRPr="00A671BF">
        <w:t>Hindus in France</w:t>
      </w:r>
      <w:r w:rsidR="00A270D2" w:rsidRPr="00A671BF">
        <w:t>’</w:t>
      </w:r>
      <w:r w:rsidRPr="00A671BF">
        <w:t xml:space="preserve"> trying to stage a rescue attempt</w:t>
      </w:r>
      <w:r w:rsidR="002B24D5" w:rsidRPr="00A671BF">
        <w:t xml:space="preserve"> (Henry, 1910; </w:t>
      </w:r>
      <w:proofErr w:type="spellStart"/>
      <w:r w:rsidR="002B24D5" w:rsidRPr="00A671BF">
        <w:t>Hennion</w:t>
      </w:r>
      <w:proofErr w:type="spellEnd"/>
      <w:r w:rsidR="002B24D5" w:rsidRPr="00A671BF">
        <w:t>, 1910; French, 1910)</w:t>
      </w:r>
      <w:r w:rsidR="00B45AC4" w:rsidRPr="00A671BF">
        <w:t>,</w:t>
      </w:r>
      <w:r w:rsidR="00DE2CEA" w:rsidRPr="00A671BF">
        <w:t xml:space="preserve"> and that it was a French </w:t>
      </w:r>
      <w:r w:rsidR="00A270D2" w:rsidRPr="00A671BF">
        <w:t>police officer</w:t>
      </w:r>
      <w:r w:rsidR="00DE2CEA" w:rsidRPr="00A671BF">
        <w:t xml:space="preserve"> who had ret</w:t>
      </w:r>
      <w:r w:rsidR="000E75D3" w:rsidRPr="00A671BF">
        <w:t xml:space="preserve">urned Savarkar to the steamer. </w:t>
      </w:r>
      <w:r w:rsidR="00B45AC4" w:rsidRPr="00A671BF">
        <w:t>T</w:t>
      </w:r>
      <w:r w:rsidR="00DE2CEA" w:rsidRPr="00A671BF">
        <w:t xml:space="preserve">he detailed </w:t>
      </w:r>
      <w:r w:rsidR="00EB6E3C" w:rsidRPr="00A671BF">
        <w:t>exchanges</w:t>
      </w:r>
      <w:r w:rsidR="00DE2CEA" w:rsidRPr="00A671BF">
        <w:t xml:space="preserve"> between </w:t>
      </w:r>
      <w:r w:rsidR="000E75D3" w:rsidRPr="00A671BF">
        <w:t xml:space="preserve">Paris, </w:t>
      </w:r>
      <w:r w:rsidR="00DE2CEA" w:rsidRPr="00A671BF">
        <w:t>the India Off</w:t>
      </w:r>
      <w:r w:rsidR="000E75D3" w:rsidRPr="00A671BF">
        <w:t>ice, the Foreign Secretary and</w:t>
      </w:r>
      <w:r w:rsidR="00DE2CEA" w:rsidRPr="00A671BF">
        <w:t xml:space="preserve"> the French Embassy in London reveal the sensitivity and delicacy of the matter</w:t>
      </w:r>
      <w:r w:rsidR="000E75D3" w:rsidRPr="00A671BF">
        <w:t xml:space="preserve"> — a consequence partly </w:t>
      </w:r>
      <w:r w:rsidR="00DE2CEA" w:rsidRPr="00A671BF">
        <w:t xml:space="preserve">of </w:t>
      </w:r>
      <w:r w:rsidR="000E75D3" w:rsidRPr="00A671BF">
        <w:t xml:space="preserve">the </w:t>
      </w:r>
      <w:r w:rsidR="00DE2CEA" w:rsidRPr="00A671BF">
        <w:t>perceived co</w:t>
      </w:r>
      <w:r w:rsidR="009E7433" w:rsidRPr="00A671BF">
        <w:t>-</w:t>
      </w:r>
      <w:r w:rsidR="00DE2CEA" w:rsidRPr="00A671BF">
        <w:t xml:space="preserve">operation </w:t>
      </w:r>
      <w:r w:rsidR="000E75D3" w:rsidRPr="00A671BF">
        <w:t>of</w:t>
      </w:r>
      <w:r w:rsidR="00DE2CEA" w:rsidRPr="00A671BF">
        <w:t xml:space="preserve"> the </w:t>
      </w:r>
      <w:r w:rsidR="00DE2CEA" w:rsidRPr="00A671BF">
        <w:rPr>
          <w:i/>
        </w:rPr>
        <w:t>gendarmerie</w:t>
      </w:r>
      <w:r w:rsidR="00DE2CEA" w:rsidRPr="00A671BF">
        <w:t xml:space="preserve"> with the British police</w:t>
      </w:r>
      <w:r w:rsidR="000E75D3" w:rsidRPr="00A671BF">
        <w:t>,</w:t>
      </w:r>
      <w:r w:rsidR="00DE2CEA" w:rsidRPr="00A671BF">
        <w:t xml:space="preserve"> and </w:t>
      </w:r>
      <w:r w:rsidR="000E75D3" w:rsidRPr="00A671BF">
        <w:t xml:space="preserve">partly of </w:t>
      </w:r>
      <w:r w:rsidR="00DE2CEA" w:rsidRPr="00A671BF">
        <w:t>the fragile</w:t>
      </w:r>
      <w:r w:rsidR="002D07A5" w:rsidRPr="00A671BF">
        <w:t xml:space="preserve"> state of the</w:t>
      </w:r>
      <w:r w:rsidR="00DE2CEA" w:rsidRPr="00A671BF">
        <w:t xml:space="preserve"> Entente cordiale</w:t>
      </w:r>
      <w:r w:rsidR="002D07A5" w:rsidRPr="00A671BF">
        <w:t xml:space="preserve"> between Britain and France</w:t>
      </w:r>
      <w:r w:rsidR="00DE2CEA" w:rsidRPr="00A671BF">
        <w:t>.</w:t>
      </w:r>
      <w:r w:rsidR="00EB6E3C" w:rsidRPr="00A671BF">
        <w:t xml:space="preserve"> As the Home Secretary, </w:t>
      </w:r>
      <w:r w:rsidR="00DF5218" w:rsidRPr="00A671BF">
        <w:t xml:space="preserve">Winston </w:t>
      </w:r>
      <w:r w:rsidR="00EB6E3C" w:rsidRPr="00A671BF">
        <w:t>Churchill, warned on 29 July: ‘The utmost respect must be shown for the principles of international law, especially when those afford rights and advantages to individuals. Nothing is of greater consequence in this case than that Great Britain should maintain an attitude of dignity and of dispassionate submission to the law of nations. The petty annoyance of a crimina</w:t>
      </w:r>
      <w:r w:rsidR="00DD676F" w:rsidRPr="00A671BF">
        <w:t>l escaping may have to be borne</w:t>
      </w:r>
      <w:r w:rsidR="00EB6E3C" w:rsidRPr="00A671BF">
        <w:t>’</w:t>
      </w:r>
      <w:r w:rsidR="00DD676F" w:rsidRPr="00A671BF">
        <w:t xml:space="preserve"> (Churchill, 1910).</w:t>
      </w:r>
      <w:r w:rsidR="00EB6E3C" w:rsidRPr="00A671BF">
        <w:t xml:space="preserve"> </w:t>
      </w:r>
      <w:r w:rsidR="005A72AC" w:rsidRPr="00A671BF">
        <w:t xml:space="preserve">In October 1910 the French and British governments agreed to take the case to </w:t>
      </w:r>
      <w:r w:rsidR="00C9505E" w:rsidRPr="00A671BF">
        <w:t>the Court of Arbitration in The Hague. On 24 February 1911, The Hague tribunal decided that the return of Savarkar to the ship by the French police had occurred in accordance with</w:t>
      </w:r>
      <w:r w:rsidR="008A1890" w:rsidRPr="00A671BF">
        <w:t xml:space="preserve"> the</w:t>
      </w:r>
      <w:r w:rsidR="00C9505E" w:rsidRPr="00A671BF">
        <w:t xml:space="preserve"> e</w:t>
      </w:r>
      <w:r w:rsidR="002D07A5" w:rsidRPr="00A671BF">
        <w:t xml:space="preserve">arlier agreement in which the </w:t>
      </w:r>
      <w:proofErr w:type="spellStart"/>
      <w:r w:rsidR="002D07A5" w:rsidRPr="00A671BF">
        <w:t>Sûreté</w:t>
      </w:r>
      <w:proofErr w:type="spellEnd"/>
      <w:r w:rsidR="00C9505E" w:rsidRPr="00A671BF">
        <w:t xml:space="preserve"> had promised their assistance in preventing attempt</w:t>
      </w:r>
      <w:r w:rsidR="000E5566" w:rsidRPr="00A671BF">
        <w:t>s to free Savarkar in Marseille;</w:t>
      </w:r>
      <w:r w:rsidR="00C9505E" w:rsidRPr="00A671BF">
        <w:t xml:space="preserve"> in other words</w:t>
      </w:r>
      <w:r w:rsidR="002D07A5" w:rsidRPr="00A671BF">
        <w:t>,</w:t>
      </w:r>
      <w:r w:rsidR="002D307C" w:rsidRPr="00A671BF">
        <w:t xml:space="preserve"> an </w:t>
      </w:r>
      <w:r w:rsidR="00C9505E" w:rsidRPr="00A671BF">
        <w:t xml:space="preserve">agreement of transnational policing </w:t>
      </w:r>
      <w:r w:rsidR="007666B0" w:rsidRPr="00A671BF">
        <w:t xml:space="preserve">was </w:t>
      </w:r>
      <w:r w:rsidR="002D307C" w:rsidRPr="00A671BF">
        <w:t xml:space="preserve">perceived to </w:t>
      </w:r>
      <w:r w:rsidR="000E75D3" w:rsidRPr="00A671BF">
        <w:t>have been in operation</w:t>
      </w:r>
      <w:r w:rsidR="002D307C" w:rsidRPr="00A671BF">
        <w:t xml:space="preserve">. </w:t>
      </w:r>
      <w:r w:rsidR="000E75D3" w:rsidRPr="00A671BF">
        <w:t>T</w:t>
      </w:r>
      <w:r w:rsidR="002D307C" w:rsidRPr="00A671BF">
        <w:t xml:space="preserve">he tribunal rejected </w:t>
      </w:r>
      <w:r w:rsidR="00C9505E" w:rsidRPr="00A671BF">
        <w:t xml:space="preserve">French claims that the June agreement related </w:t>
      </w:r>
      <w:r w:rsidR="000E75D3" w:rsidRPr="00A671BF">
        <w:t xml:space="preserve">only </w:t>
      </w:r>
      <w:r w:rsidR="00C9505E" w:rsidRPr="00A671BF">
        <w:t xml:space="preserve">to an attempt to free Savarkar (not </w:t>
      </w:r>
      <w:r w:rsidR="005B1FAC" w:rsidRPr="00A671BF">
        <w:t xml:space="preserve">to </w:t>
      </w:r>
      <w:r w:rsidR="00C9505E" w:rsidRPr="00A671BF">
        <w:t xml:space="preserve">him escaping) and that the </w:t>
      </w:r>
      <w:r w:rsidR="005B1FAC" w:rsidRPr="00A671BF">
        <w:t>police officer</w:t>
      </w:r>
      <w:r w:rsidR="00C9505E" w:rsidRPr="00A671BF">
        <w:t xml:space="preserve"> had not reali</w:t>
      </w:r>
      <w:r w:rsidR="00DD676F" w:rsidRPr="00A671BF">
        <w:t>zed the identity of the escapee (Arbitral Tribunal, 1911).</w:t>
      </w:r>
      <w:r w:rsidR="008A1890" w:rsidRPr="00A671BF">
        <w:t xml:space="preserve"> Savarkar was found guilty </w:t>
      </w:r>
      <w:r w:rsidR="002D07A5" w:rsidRPr="00A671BF">
        <w:t xml:space="preserve">in </w:t>
      </w:r>
      <w:r w:rsidR="008A1890" w:rsidRPr="00A671BF">
        <w:t>an Indian court and sentenced to fifty years</w:t>
      </w:r>
      <w:r w:rsidR="000E75D3" w:rsidRPr="00A671BF">
        <w:t>’</w:t>
      </w:r>
      <w:r w:rsidR="008A1890" w:rsidRPr="00A671BF">
        <w:t xml:space="preserve"> impr</w:t>
      </w:r>
      <w:r w:rsidR="00DD676F" w:rsidRPr="00A671BF">
        <w:t>isonment on the Andaman Islands (</w:t>
      </w:r>
      <w:proofErr w:type="spellStart"/>
      <w:r w:rsidR="00DD676F" w:rsidRPr="00A671BF">
        <w:t>Brückenhaus</w:t>
      </w:r>
      <w:proofErr w:type="spellEnd"/>
      <w:r w:rsidR="00DD676F" w:rsidRPr="00A671BF">
        <w:rPr>
          <w:rStyle w:val="FootnoteReference"/>
          <w:vertAlign w:val="baseline"/>
        </w:rPr>
        <w:t>, 2015: 176).</w:t>
      </w:r>
    </w:p>
    <w:p w:rsidR="00E4779E" w:rsidRPr="00A671BF" w:rsidRDefault="00BD7CF2" w:rsidP="0038784E">
      <w:pPr>
        <w:spacing w:line="360" w:lineRule="auto"/>
        <w:rPr>
          <w:szCs w:val="22"/>
        </w:rPr>
      </w:pPr>
      <w:r w:rsidRPr="00A671BF">
        <w:rPr>
          <w:szCs w:val="22"/>
        </w:rPr>
        <w:tab/>
      </w:r>
      <w:r w:rsidR="00E14E70" w:rsidRPr="00A671BF">
        <w:rPr>
          <w:szCs w:val="22"/>
        </w:rPr>
        <w:t xml:space="preserve">The different </w:t>
      </w:r>
      <w:r w:rsidR="0057137E" w:rsidRPr="00A671BF">
        <w:rPr>
          <w:szCs w:val="22"/>
        </w:rPr>
        <w:t>interpretations of events</w:t>
      </w:r>
      <w:r w:rsidR="00E14E70" w:rsidRPr="00A671BF">
        <w:rPr>
          <w:szCs w:val="22"/>
        </w:rPr>
        <w:t xml:space="preserve"> put forward by the British and French governments are not of primary interest here</w:t>
      </w:r>
      <w:r w:rsidR="00E27E18" w:rsidRPr="00A671BF">
        <w:rPr>
          <w:szCs w:val="22"/>
        </w:rPr>
        <w:t>; the diplomatic wrangling</w:t>
      </w:r>
      <w:r w:rsidR="0057137E" w:rsidRPr="00A671BF">
        <w:rPr>
          <w:szCs w:val="22"/>
        </w:rPr>
        <w:t xml:space="preserve"> which attempted to define co</w:t>
      </w:r>
      <w:r w:rsidR="009E7433" w:rsidRPr="00A671BF">
        <w:rPr>
          <w:szCs w:val="22"/>
        </w:rPr>
        <w:t>-</w:t>
      </w:r>
      <w:r w:rsidR="0057137E" w:rsidRPr="00A671BF">
        <w:rPr>
          <w:szCs w:val="22"/>
        </w:rPr>
        <w:t xml:space="preserve">operation in policing, with direct consequences for Savarkar, </w:t>
      </w:r>
      <w:r w:rsidR="00DF5218" w:rsidRPr="00A671BF">
        <w:rPr>
          <w:szCs w:val="22"/>
        </w:rPr>
        <w:t>has</w:t>
      </w:r>
      <w:r w:rsidR="0057137E" w:rsidRPr="00A671BF">
        <w:rPr>
          <w:szCs w:val="22"/>
        </w:rPr>
        <w:t xml:space="preserve"> been explored </w:t>
      </w:r>
      <w:r w:rsidR="00E27E18" w:rsidRPr="00A671BF">
        <w:rPr>
          <w:szCs w:val="22"/>
        </w:rPr>
        <w:t xml:space="preserve">already </w:t>
      </w:r>
      <w:r w:rsidR="0057137E" w:rsidRPr="00A671BF">
        <w:rPr>
          <w:szCs w:val="22"/>
        </w:rPr>
        <w:t xml:space="preserve">by </w:t>
      </w:r>
      <w:proofErr w:type="spellStart"/>
      <w:r w:rsidR="0057137E" w:rsidRPr="00A671BF">
        <w:t>Brückenhaus</w:t>
      </w:r>
      <w:proofErr w:type="spellEnd"/>
      <w:r w:rsidR="00697654" w:rsidRPr="00A671BF">
        <w:t xml:space="preserve"> (2015)</w:t>
      </w:r>
      <w:r w:rsidR="0057137E" w:rsidRPr="00A671BF">
        <w:rPr>
          <w:szCs w:val="22"/>
        </w:rPr>
        <w:t>.</w:t>
      </w:r>
      <w:r w:rsidR="00E14E70" w:rsidRPr="00A671BF">
        <w:rPr>
          <w:szCs w:val="22"/>
        </w:rPr>
        <w:t xml:space="preserve"> </w:t>
      </w:r>
      <w:r w:rsidR="00E27E18" w:rsidRPr="00A671BF">
        <w:rPr>
          <w:szCs w:val="22"/>
        </w:rPr>
        <w:t>What is</w:t>
      </w:r>
      <w:r w:rsidR="0057137E" w:rsidRPr="00A671BF">
        <w:rPr>
          <w:szCs w:val="22"/>
        </w:rPr>
        <w:t xml:space="preserve"> of significance </w:t>
      </w:r>
      <w:r w:rsidR="00E27E18" w:rsidRPr="00A671BF">
        <w:rPr>
          <w:szCs w:val="22"/>
        </w:rPr>
        <w:t xml:space="preserve">to the present analysis is </w:t>
      </w:r>
      <w:r w:rsidR="00E14E70" w:rsidRPr="00A671BF">
        <w:rPr>
          <w:szCs w:val="22"/>
        </w:rPr>
        <w:t xml:space="preserve">how the close-knit Indian </w:t>
      </w:r>
      <w:r w:rsidR="00F4421D" w:rsidRPr="00A671BF">
        <w:rPr>
          <w:szCs w:val="22"/>
        </w:rPr>
        <w:t>s</w:t>
      </w:r>
      <w:r w:rsidR="00E14E70" w:rsidRPr="00A671BF">
        <w:rPr>
          <w:szCs w:val="22"/>
        </w:rPr>
        <w:t xml:space="preserve">ociety in Paris made use of imperial rivalry </w:t>
      </w:r>
      <w:r w:rsidR="002D07A5" w:rsidRPr="00A671BF">
        <w:rPr>
          <w:szCs w:val="22"/>
        </w:rPr>
        <w:t xml:space="preserve">in order to </w:t>
      </w:r>
      <w:r w:rsidR="002D307C" w:rsidRPr="00A671BF">
        <w:rPr>
          <w:szCs w:val="22"/>
        </w:rPr>
        <w:t>guarantee that</w:t>
      </w:r>
      <w:r w:rsidR="002D07A5" w:rsidRPr="00A671BF">
        <w:rPr>
          <w:szCs w:val="22"/>
        </w:rPr>
        <w:t xml:space="preserve"> the </w:t>
      </w:r>
      <w:r w:rsidR="00E14E70" w:rsidRPr="00A671BF">
        <w:rPr>
          <w:szCs w:val="22"/>
        </w:rPr>
        <w:t>Savarkar</w:t>
      </w:r>
      <w:r w:rsidR="002D07A5" w:rsidRPr="00A671BF">
        <w:rPr>
          <w:szCs w:val="22"/>
        </w:rPr>
        <w:t xml:space="preserve"> case </w:t>
      </w:r>
      <w:r w:rsidR="002D307C" w:rsidRPr="00A671BF">
        <w:rPr>
          <w:szCs w:val="22"/>
        </w:rPr>
        <w:t xml:space="preserve">became </w:t>
      </w:r>
      <w:r w:rsidR="002D07A5" w:rsidRPr="00A671BF">
        <w:rPr>
          <w:szCs w:val="22"/>
        </w:rPr>
        <w:t>headline news in France</w:t>
      </w:r>
      <w:r w:rsidR="001213A9" w:rsidRPr="00A671BF">
        <w:rPr>
          <w:szCs w:val="22"/>
        </w:rPr>
        <w:t xml:space="preserve"> —</w:t>
      </w:r>
      <w:r w:rsidR="002D07A5" w:rsidRPr="00A671BF">
        <w:rPr>
          <w:szCs w:val="22"/>
        </w:rPr>
        <w:t xml:space="preserve"> </w:t>
      </w:r>
      <w:r w:rsidR="00F87558" w:rsidRPr="00A671BF">
        <w:rPr>
          <w:szCs w:val="22"/>
        </w:rPr>
        <w:t>galvaniz</w:t>
      </w:r>
      <w:r w:rsidR="0057137E" w:rsidRPr="00A671BF">
        <w:rPr>
          <w:szCs w:val="22"/>
        </w:rPr>
        <w:t>ing</w:t>
      </w:r>
      <w:r w:rsidR="002D07A5" w:rsidRPr="00A671BF">
        <w:rPr>
          <w:szCs w:val="22"/>
        </w:rPr>
        <w:t xml:space="preserve"> support</w:t>
      </w:r>
      <w:r w:rsidR="001213A9" w:rsidRPr="00A671BF">
        <w:rPr>
          <w:szCs w:val="22"/>
        </w:rPr>
        <w:t xml:space="preserve"> from, and exploiting intellectual contacts with, civil liberties and socialist groupings </w:t>
      </w:r>
      <w:r w:rsidR="00021766" w:rsidRPr="00A671BF">
        <w:rPr>
          <w:szCs w:val="22"/>
        </w:rPr>
        <w:t xml:space="preserve">with whom the Indian activists shared agendas </w:t>
      </w:r>
      <w:r w:rsidR="001213A9" w:rsidRPr="00A671BF">
        <w:rPr>
          <w:szCs w:val="22"/>
        </w:rPr>
        <w:t>in France, Britain and more widely</w:t>
      </w:r>
      <w:r w:rsidR="00E14E70" w:rsidRPr="00A671BF">
        <w:rPr>
          <w:szCs w:val="22"/>
        </w:rPr>
        <w:t xml:space="preserve">. </w:t>
      </w:r>
      <w:r w:rsidR="001213A9" w:rsidRPr="00A671BF">
        <w:rPr>
          <w:szCs w:val="22"/>
        </w:rPr>
        <w:t>Beginning in France, t</w:t>
      </w:r>
      <w:r w:rsidRPr="00A671BF">
        <w:rPr>
          <w:szCs w:val="22"/>
        </w:rPr>
        <w:t>he intens</w:t>
      </w:r>
      <w:r w:rsidR="001213A9" w:rsidRPr="00A671BF">
        <w:rPr>
          <w:szCs w:val="22"/>
        </w:rPr>
        <w:t>iv</w:t>
      </w:r>
      <w:r w:rsidRPr="00A671BF">
        <w:rPr>
          <w:szCs w:val="22"/>
        </w:rPr>
        <w:t xml:space="preserve">e press campaign travelled </w:t>
      </w:r>
      <w:r w:rsidRPr="00A671BF">
        <w:rPr>
          <w:szCs w:val="22"/>
        </w:rPr>
        <w:lastRenderedPageBreak/>
        <w:t xml:space="preserve">across the Channel, the left-wing activist Guy </w:t>
      </w:r>
      <w:proofErr w:type="spellStart"/>
      <w:r w:rsidRPr="00A671BF">
        <w:rPr>
          <w:szCs w:val="22"/>
        </w:rPr>
        <w:t>Aldred</w:t>
      </w:r>
      <w:proofErr w:type="spellEnd"/>
      <w:r w:rsidRPr="00A671BF">
        <w:rPr>
          <w:szCs w:val="22"/>
        </w:rPr>
        <w:t xml:space="preserve"> </w:t>
      </w:r>
      <w:r w:rsidR="001213A9" w:rsidRPr="00A671BF">
        <w:rPr>
          <w:szCs w:val="22"/>
        </w:rPr>
        <w:t xml:space="preserve">using his paper, the </w:t>
      </w:r>
      <w:r w:rsidR="001213A9" w:rsidRPr="00A671BF">
        <w:rPr>
          <w:i/>
          <w:szCs w:val="22"/>
        </w:rPr>
        <w:t>Herald of Revolt</w:t>
      </w:r>
      <w:r w:rsidR="001213A9" w:rsidRPr="00A671BF">
        <w:rPr>
          <w:szCs w:val="22"/>
        </w:rPr>
        <w:t>, to call</w:t>
      </w:r>
      <w:r w:rsidRPr="00A671BF">
        <w:rPr>
          <w:szCs w:val="22"/>
        </w:rPr>
        <w:t xml:space="preserve"> on the British proletariat to support Savarkar</w:t>
      </w:r>
      <w:r w:rsidR="00697654" w:rsidRPr="00A671BF">
        <w:rPr>
          <w:szCs w:val="22"/>
        </w:rPr>
        <w:t xml:space="preserve"> (</w:t>
      </w:r>
      <w:proofErr w:type="spellStart"/>
      <w:r w:rsidR="00697654" w:rsidRPr="00A671BF">
        <w:t>Brückenhaus</w:t>
      </w:r>
      <w:proofErr w:type="spellEnd"/>
      <w:r w:rsidR="00697654" w:rsidRPr="00A671BF">
        <w:rPr>
          <w:rStyle w:val="FootnoteReference"/>
          <w:vertAlign w:val="baseline"/>
        </w:rPr>
        <w:t>, 2015: 175)</w:t>
      </w:r>
      <w:r w:rsidRPr="00A671BF">
        <w:rPr>
          <w:szCs w:val="22"/>
        </w:rPr>
        <w:t xml:space="preserve">. </w:t>
      </w:r>
      <w:r w:rsidR="001213A9" w:rsidRPr="00A671BF">
        <w:rPr>
          <w:szCs w:val="22"/>
        </w:rPr>
        <w:t>The campaign</w:t>
      </w:r>
      <w:r w:rsidRPr="00A671BF">
        <w:rPr>
          <w:szCs w:val="22"/>
        </w:rPr>
        <w:t xml:space="preserve"> was also given backing by the International Socialist Congress in September 1910. </w:t>
      </w:r>
      <w:r w:rsidR="00C9505E" w:rsidRPr="00A671BF">
        <w:rPr>
          <w:szCs w:val="22"/>
        </w:rPr>
        <w:t xml:space="preserve">Central to </w:t>
      </w:r>
      <w:r w:rsidR="00D7638A" w:rsidRPr="00A671BF">
        <w:rPr>
          <w:szCs w:val="22"/>
        </w:rPr>
        <w:t xml:space="preserve">the visibility </w:t>
      </w:r>
      <w:r w:rsidR="00081513" w:rsidRPr="00A671BF">
        <w:rPr>
          <w:szCs w:val="22"/>
        </w:rPr>
        <w:t xml:space="preserve">of </w:t>
      </w:r>
      <w:r w:rsidR="00D7638A" w:rsidRPr="00A671BF">
        <w:rPr>
          <w:szCs w:val="22"/>
        </w:rPr>
        <w:t xml:space="preserve">the story </w:t>
      </w:r>
      <w:r w:rsidR="00081513" w:rsidRPr="00A671BF">
        <w:rPr>
          <w:szCs w:val="22"/>
        </w:rPr>
        <w:t>in</w:t>
      </w:r>
      <w:r w:rsidR="00D7638A" w:rsidRPr="00A671BF">
        <w:rPr>
          <w:szCs w:val="22"/>
        </w:rPr>
        <w:t xml:space="preserve"> French newspapers </w:t>
      </w:r>
      <w:r w:rsidR="00081513" w:rsidRPr="00A671BF">
        <w:rPr>
          <w:szCs w:val="22"/>
        </w:rPr>
        <w:t>during</w:t>
      </w:r>
      <w:r w:rsidR="00D7638A" w:rsidRPr="00A671BF">
        <w:rPr>
          <w:szCs w:val="22"/>
        </w:rPr>
        <w:t xml:space="preserve"> the summer months </w:t>
      </w:r>
      <w:r w:rsidR="0057137E" w:rsidRPr="00A671BF">
        <w:rPr>
          <w:szCs w:val="22"/>
        </w:rPr>
        <w:t>were</w:t>
      </w:r>
      <w:r w:rsidR="00C9505E" w:rsidRPr="00A671BF">
        <w:rPr>
          <w:szCs w:val="22"/>
        </w:rPr>
        <w:t xml:space="preserve"> the links that Indian </w:t>
      </w:r>
      <w:r w:rsidR="00A270D2" w:rsidRPr="00A671BF">
        <w:rPr>
          <w:szCs w:val="22"/>
        </w:rPr>
        <w:t>n</w:t>
      </w:r>
      <w:r w:rsidR="00C9505E" w:rsidRPr="00A671BF">
        <w:rPr>
          <w:szCs w:val="22"/>
        </w:rPr>
        <w:t xml:space="preserve">ationalists had established with </w:t>
      </w:r>
      <w:proofErr w:type="spellStart"/>
      <w:r w:rsidR="00C9505E" w:rsidRPr="00A671BF">
        <w:rPr>
          <w:i/>
          <w:szCs w:val="22"/>
        </w:rPr>
        <w:t>L’Humanité</w:t>
      </w:r>
      <w:proofErr w:type="spellEnd"/>
      <w:r w:rsidR="00081513" w:rsidRPr="00A671BF">
        <w:rPr>
          <w:szCs w:val="22"/>
        </w:rPr>
        <w:t xml:space="preserve">, and with Jean </w:t>
      </w:r>
      <w:proofErr w:type="spellStart"/>
      <w:r w:rsidR="00081513" w:rsidRPr="00A671BF">
        <w:rPr>
          <w:szCs w:val="22"/>
        </w:rPr>
        <w:t>Longuet</w:t>
      </w:r>
      <w:proofErr w:type="spellEnd"/>
      <w:r w:rsidR="00081513" w:rsidRPr="00A671BF">
        <w:rPr>
          <w:szCs w:val="22"/>
        </w:rPr>
        <w:t xml:space="preserve"> in particular</w:t>
      </w:r>
      <w:r w:rsidR="005519B9" w:rsidRPr="00A671BF">
        <w:rPr>
          <w:szCs w:val="22"/>
        </w:rPr>
        <w:t>.</w:t>
      </w:r>
      <w:r w:rsidR="00C9505E" w:rsidRPr="00A671BF">
        <w:rPr>
          <w:szCs w:val="22"/>
        </w:rPr>
        <w:t xml:space="preserve"> </w:t>
      </w:r>
      <w:r w:rsidR="00353019" w:rsidRPr="00A671BF">
        <w:t>Although, as British Intelligence reported, t</w:t>
      </w:r>
      <w:r w:rsidR="00353019" w:rsidRPr="00A671BF">
        <w:rPr>
          <w:szCs w:val="22"/>
        </w:rPr>
        <w:t>he Indian Society in Paris was aware that French support for Savarkar was motivated</w:t>
      </w:r>
      <w:r w:rsidR="00697654" w:rsidRPr="00A671BF">
        <w:rPr>
          <w:szCs w:val="22"/>
        </w:rPr>
        <w:t xml:space="preserve">, as had been seen with the intervention by the </w:t>
      </w:r>
      <w:r w:rsidR="00697654" w:rsidRPr="00A671BF">
        <w:rPr>
          <w:i/>
          <w:szCs w:val="22"/>
        </w:rPr>
        <w:t xml:space="preserve">Ligue des droits de </w:t>
      </w:r>
      <w:proofErr w:type="spellStart"/>
      <w:r w:rsidR="00697654" w:rsidRPr="00A671BF">
        <w:rPr>
          <w:i/>
          <w:szCs w:val="22"/>
        </w:rPr>
        <w:t>l’homme</w:t>
      </w:r>
      <w:proofErr w:type="spellEnd"/>
      <w:r w:rsidR="00697654" w:rsidRPr="00A671BF">
        <w:rPr>
          <w:szCs w:val="22"/>
        </w:rPr>
        <w:t xml:space="preserve"> in the case of </w:t>
      </w:r>
      <w:proofErr w:type="spellStart"/>
      <w:r w:rsidR="00697654" w:rsidRPr="00A671BF">
        <w:rPr>
          <w:szCs w:val="22"/>
        </w:rPr>
        <w:t>Chara</w:t>
      </w:r>
      <w:proofErr w:type="spellEnd"/>
      <w:r w:rsidR="00697654" w:rsidRPr="00A671BF">
        <w:rPr>
          <w:szCs w:val="22"/>
        </w:rPr>
        <w:t xml:space="preserve"> Chandra Roy, </w:t>
      </w:r>
      <w:r w:rsidR="00353019" w:rsidRPr="00A671BF">
        <w:rPr>
          <w:szCs w:val="22"/>
        </w:rPr>
        <w:t>more by ‘national pride than from any desire to help Savarkar’</w:t>
      </w:r>
      <w:r w:rsidR="00697654" w:rsidRPr="00A671BF">
        <w:rPr>
          <w:szCs w:val="22"/>
        </w:rPr>
        <w:t xml:space="preserve"> (Criminal Intelligence, 1910)</w:t>
      </w:r>
      <w:r w:rsidR="00353019" w:rsidRPr="00A671BF">
        <w:rPr>
          <w:szCs w:val="22"/>
        </w:rPr>
        <w:t>, this did not prevent the nationalists from effectively exploiting French pragmatic self-interest.</w:t>
      </w:r>
      <w:r w:rsidR="00A31D78" w:rsidRPr="00A671BF">
        <w:rPr>
          <w:szCs w:val="22"/>
        </w:rPr>
        <w:t xml:space="preserve"> </w:t>
      </w:r>
      <w:proofErr w:type="spellStart"/>
      <w:r w:rsidR="00AC70BF" w:rsidRPr="00A671BF">
        <w:rPr>
          <w:szCs w:val="22"/>
        </w:rPr>
        <w:t>Bhikhaiji</w:t>
      </w:r>
      <w:proofErr w:type="spellEnd"/>
      <w:r w:rsidR="00AC70BF" w:rsidRPr="00A671BF">
        <w:rPr>
          <w:szCs w:val="22"/>
        </w:rPr>
        <w:t xml:space="preserve"> Rustom </w:t>
      </w:r>
      <w:proofErr w:type="spellStart"/>
      <w:r w:rsidR="00AC70BF" w:rsidRPr="00A671BF">
        <w:rPr>
          <w:szCs w:val="22"/>
        </w:rPr>
        <w:t>Cama</w:t>
      </w:r>
      <w:proofErr w:type="spellEnd"/>
      <w:r w:rsidR="00AC70BF" w:rsidRPr="00A671BF">
        <w:rPr>
          <w:szCs w:val="22"/>
        </w:rPr>
        <w:t xml:space="preserve"> (‘</w:t>
      </w:r>
      <w:r w:rsidR="00AC70BF" w:rsidRPr="00A671BF">
        <w:t xml:space="preserve">Madame </w:t>
      </w:r>
      <w:proofErr w:type="spellStart"/>
      <w:r w:rsidR="00AC70BF" w:rsidRPr="00A671BF">
        <w:t>Cama</w:t>
      </w:r>
      <w:proofErr w:type="spellEnd"/>
      <w:r w:rsidR="00AC70BF" w:rsidRPr="00A671BF">
        <w:t>’)</w:t>
      </w:r>
      <w:r w:rsidR="00161740" w:rsidRPr="00A671BF">
        <w:rPr>
          <w:szCs w:val="22"/>
        </w:rPr>
        <w:t xml:space="preserve">, a member of the </w:t>
      </w:r>
      <w:r w:rsidR="009A11DE" w:rsidRPr="00A671BF">
        <w:rPr>
          <w:szCs w:val="22"/>
        </w:rPr>
        <w:t>Paris Indian Society and</w:t>
      </w:r>
      <w:r w:rsidR="00984F91" w:rsidRPr="00A671BF">
        <w:rPr>
          <w:szCs w:val="22"/>
        </w:rPr>
        <w:t xml:space="preserve"> founding editor of the nationalist newspaper the </w:t>
      </w:r>
      <w:proofErr w:type="spellStart"/>
      <w:r w:rsidR="00984F91" w:rsidRPr="00A671BF">
        <w:rPr>
          <w:i/>
          <w:szCs w:val="22"/>
        </w:rPr>
        <w:t>Bande</w:t>
      </w:r>
      <w:proofErr w:type="spellEnd"/>
      <w:r w:rsidR="00984F91" w:rsidRPr="00A671BF">
        <w:rPr>
          <w:i/>
          <w:szCs w:val="22"/>
        </w:rPr>
        <w:t xml:space="preserve"> </w:t>
      </w:r>
      <w:proofErr w:type="spellStart"/>
      <w:r w:rsidR="00984F91" w:rsidRPr="00A671BF">
        <w:rPr>
          <w:i/>
          <w:szCs w:val="22"/>
        </w:rPr>
        <w:t>Mataram</w:t>
      </w:r>
      <w:proofErr w:type="spellEnd"/>
      <w:r w:rsidR="00984F91" w:rsidRPr="00A671BF">
        <w:rPr>
          <w:szCs w:val="22"/>
        </w:rPr>
        <w:t xml:space="preserve">, wrote to </w:t>
      </w:r>
      <w:proofErr w:type="spellStart"/>
      <w:r w:rsidR="00984F91" w:rsidRPr="00A671BF">
        <w:rPr>
          <w:i/>
          <w:szCs w:val="22"/>
        </w:rPr>
        <w:t>L’Humanité</w:t>
      </w:r>
      <w:proofErr w:type="spellEnd"/>
      <w:r w:rsidR="00984F91" w:rsidRPr="00A671BF">
        <w:rPr>
          <w:szCs w:val="22"/>
        </w:rPr>
        <w:t xml:space="preserve"> </w:t>
      </w:r>
      <w:r w:rsidR="00C9505E" w:rsidRPr="00A671BF">
        <w:rPr>
          <w:szCs w:val="22"/>
        </w:rPr>
        <w:t xml:space="preserve">to advance </w:t>
      </w:r>
      <w:r w:rsidR="00081513" w:rsidRPr="00A671BF">
        <w:rPr>
          <w:szCs w:val="22"/>
        </w:rPr>
        <w:t xml:space="preserve">Savarkar’s </w:t>
      </w:r>
      <w:r w:rsidR="00C9505E" w:rsidRPr="00A671BF">
        <w:rPr>
          <w:szCs w:val="22"/>
        </w:rPr>
        <w:t>cause.</w:t>
      </w:r>
      <w:r w:rsidR="00984F91" w:rsidRPr="00A671BF">
        <w:rPr>
          <w:szCs w:val="22"/>
        </w:rPr>
        <w:t xml:space="preserve"> In a carefully crafted letter</w:t>
      </w:r>
      <w:r w:rsidR="00081513" w:rsidRPr="00A671BF">
        <w:rPr>
          <w:szCs w:val="22"/>
        </w:rPr>
        <w:t>,</w:t>
      </w:r>
      <w:r w:rsidR="00984F91" w:rsidRPr="00A671BF">
        <w:rPr>
          <w:szCs w:val="22"/>
        </w:rPr>
        <w:t xml:space="preserve"> published in full on</w:t>
      </w:r>
      <w:r w:rsidR="002D307C" w:rsidRPr="00A671BF">
        <w:rPr>
          <w:szCs w:val="22"/>
        </w:rPr>
        <w:t xml:space="preserve"> the front page of</w:t>
      </w:r>
      <w:r w:rsidR="00081513" w:rsidRPr="00A671BF">
        <w:rPr>
          <w:szCs w:val="22"/>
        </w:rPr>
        <w:t xml:space="preserve"> the</w:t>
      </w:r>
      <w:r w:rsidR="00984F91" w:rsidRPr="00A671BF">
        <w:rPr>
          <w:szCs w:val="22"/>
        </w:rPr>
        <w:t xml:space="preserve"> 23 September 1910</w:t>
      </w:r>
      <w:r w:rsidR="002D307C" w:rsidRPr="00A671BF">
        <w:rPr>
          <w:szCs w:val="22"/>
        </w:rPr>
        <w:t xml:space="preserve"> edition</w:t>
      </w:r>
      <w:r w:rsidR="00984F91" w:rsidRPr="00A671BF">
        <w:rPr>
          <w:szCs w:val="22"/>
        </w:rPr>
        <w:t xml:space="preserve">, </w:t>
      </w:r>
      <w:r w:rsidR="004D2D50" w:rsidRPr="00A671BF">
        <w:rPr>
          <w:szCs w:val="22"/>
        </w:rPr>
        <w:t xml:space="preserve">she aligned </w:t>
      </w:r>
      <w:r w:rsidR="00081513" w:rsidRPr="00A671BF">
        <w:rPr>
          <w:szCs w:val="22"/>
        </w:rPr>
        <w:t xml:space="preserve">Savarkar’s </w:t>
      </w:r>
      <w:r w:rsidR="004D2D50" w:rsidRPr="00A671BF">
        <w:rPr>
          <w:szCs w:val="22"/>
        </w:rPr>
        <w:t xml:space="preserve">case with key arguments of the SFIO. </w:t>
      </w:r>
      <w:r w:rsidR="0057137E" w:rsidRPr="00A671BF">
        <w:rPr>
          <w:szCs w:val="22"/>
        </w:rPr>
        <w:t xml:space="preserve">Playing </w:t>
      </w:r>
      <w:r w:rsidR="004D2D50" w:rsidRPr="00A671BF">
        <w:rPr>
          <w:szCs w:val="22"/>
        </w:rPr>
        <w:t xml:space="preserve">on fears of </w:t>
      </w:r>
      <w:r w:rsidR="0057137E" w:rsidRPr="00A671BF">
        <w:rPr>
          <w:szCs w:val="22"/>
        </w:rPr>
        <w:t xml:space="preserve">the </w:t>
      </w:r>
      <w:r w:rsidR="004D2D50" w:rsidRPr="00A671BF">
        <w:rPr>
          <w:szCs w:val="22"/>
        </w:rPr>
        <w:t>erosion of national sovereignty in the wake of the Entente cordiale</w:t>
      </w:r>
      <w:r w:rsidR="00081513" w:rsidRPr="00A671BF">
        <w:rPr>
          <w:szCs w:val="22"/>
        </w:rPr>
        <w:t>,</w:t>
      </w:r>
      <w:r w:rsidR="004D2D50" w:rsidRPr="00A671BF">
        <w:rPr>
          <w:szCs w:val="22"/>
        </w:rPr>
        <w:t xml:space="preserve"> and </w:t>
      </w:r>
      <w:r w:rsidR="00081513" w:rsidRPr="00A671BF">
        <w:rPr>
          <w:szCs w:val="22"/>
        </w:rPr>
        <w:t xml:space="preserve">on </w:t>
      </w:r>
      <w:r w:rsidR="004D2D50" w:rsidRPr="00A671BF">
        <w:rPr>
          <w:szCs w:val="22"/>
        </w:rPr>
        <w:t>French pride in civil liberties</w:t>
      </w:r>
      <w:r w:rsidR="00CA4E17" w:rsidRPr="00A671BF">
        <w:rPr>
          <w:szCs w:val="22"/>
        </w:rPr>
        <w:t xml:space="preserve"> and </w:t>
      </w:r>
      <w:r w:rsidR="00CA4E17" w:rsidRPr="00A671BF">
        <w:rPr>
          <w:i/>
          <w:szCs w:val="22"/>
        </w:rPr>
        <w:t>civilisation</w:t>
      </w:r>
      <w:r w:rsidR="0057137E" w:rsidRPr="00A671BF">
        <w:rPr>
          <w:szCs w:val="22"/>
        </w:rPr>
        <w:t>, she asserted:</w:t>
      </w:r>
      <w:r w:rsidR="004D2D50" w:rsidRPr="00A671BF">
        <w:rPr>
          <w:szCs w:val="22"/>
        </w:rPr>
        <w:t xml:space="preserve"> </w:t>
      </w:r>
    </w:p>
    <w:p w:rsidR="00E4779E" w:rsidRPr="00A671BF" w:rsidRDefault="00E4779E" w:rsidP="00E4779E">
      <w:pPr>
        <w:spacing w:line="360" w:lineRule="auto"/>
        <w:ind w:left="284"/>
        <w:rPr>
          <w:szCs w:val="22"/>
        </w:rPr>
      </w:pPr>
    </w:p>
    <w:p w:rsidR="00E4779E" w:rsidRPr="00A671BF" w:rsidRDefault="004D2D50" w:rsidP="00E4779E">
      <w:pPr>
        <w:spacing w:line="360" w:lineRule="auto"/>
        <w:ind w:left="284"/>
        <w:rPr>
          <w:szCs w:val="22"/>
          <w:lang w:val="fr-FR"/>
        </w:rPr>
      </w:pPr>
      <w:r w:rsidRPr="00A671BF">
        <w:rPr>
          <w:lang w:val="fr-FR"/>
        </w:rPr>
        <w:t>On sait bien que la situation internationale dans laquelle se trouve la France est très délicate. Mais le gouvernement français ne droit pas céder à l’Angleterre dans une affaire qui porte sur l’honneur du pays et sur les droits fondamentaux de l’homme. L’entente cordiale droit faciliter sa tâche au lieu de baisser son prestige aux yeux du monde civilisé.</w:t>
      </w:r>
      <w:r w:rsidR="00697654" w:rsidRPr="00A671BF">
        <w:rPr>
          <w:lang w:val="fr-FR"/>
        </w:rPr>
        <w:t xml:space="preserve"> (Cama, 1910)</w:t>
      </w:r>
      <w:r w:rsidR="00CA4E17" w:rsidRPr="00A671BF">
        <w:rPr>
          <w:szCs w:val="22"/>
          <w:lang w:val="fr-FR"/>
        </w:rPr>
        <w:t xml:space="preserve"> </w:t>
      </w:r>
    </w:p>
    <w:p w:rsidR="00E4779E" w:rsidRPr="00A671BF" w:rsidRDefault="00E4779E" w:rsidP="0038784E">
      <w:pPr>
        <w:spacing w:line="360" w:lineRule="auto"/>
        <w:rPr>
          <w:szCs w:val="22"/>
          <w:lang w:val="fr-FR"/>
        </w:rPr>
      </w:pPr>
    </w:p>
    <w:p w:rsidR="0007023D" w:rsidRPr="00A671BF" w:rsidRDefault="00CA4E17" w:rsidP="0038784E">
      <w:pPr>
        <w:spacing w:line="360" w:lineRule="auto"/>
        <w:rPr>
          <w:szCs w:val="22"/>
          <w:lang w:val="fr-FR"/>
        </w:rPr>
      </w:pPr>
      <w:proofErr w:type="spellStart"/>
      <w:r w:rsidRPr="00A671BF">
        <w:rPr>
          <w:szCs w:val="22"/>
          <w:lang w:val="fr-FR"/>
        </w:rPr>
        <w:t>Moreover</w:t>
      </w:r>
      <w:proofErr w:type="spellEnd"/>
      <w:r w:rsidR="00081513" w:rsidRPr="00A671BF">
        <w:rPr>
          <w:szCs w:val="22"/>
          <w:lang w:val="fr-FR"/>
        </w:rPr>
        <w:t>,</w:t>
      </w:r>
      <w:r w:rsidRPr="00A671BF">
        <w:rPr>
          <w:szCs w:val="22"/>
          <w:lang w:val="fr-FR"/>
        </w:rPr>
        <w:t xml:space="preserve"> </w:t>
      </w:r>
      <w:proofErr w:type="spellStart"/>
      <w:r w:rsidRPr="00A671BF">
        <w:rPr>
          <w:szCs w:val="22"/>
          <w:lang w:val="fr-FR"/>
        </w:rPr>
        <w:t>she</w:t>
      </w:r>
      <w:proofErr w:type="spellEnd"/>
      <w:r w:rsidRPr="00A671BF">
        <w:rPr>
          <w:szCs w:val="22"/>
          <w:lang w:val="fr-FR"/>
        </w:rPr>
        <w:t xml:space="preserve"> </w:t>
      </w:r>
      <w:proofErr w:type="spellStart"/>
      <w:r w:rsidR="00081513" w:rsidRPr="00A671BF">
        <w:rPr>
          <w:szCs w:val="22"/>
          <w:lang w:val="fr-FR"/>
        </w:rPr>
        <w:t>ridiculed</w:t>
      </w:r>
      <w:proofErr w:type="spellEnd"/>
      <w:r w:rsidR="00081513" w:rsidRPr="00A671BF">
        <w:rPr>
          <w:szCs w:val="22"/>
          <w:lang w:val="fr-FR"/>
        </w:rPr>
        <w:t xml:space="preserve"> </w:t>
      </w:r>
      <w:r w:rsidRPr="00A671BF">
        <w:rPr>
          <w:i/>
          <w:szCs w:val="22"/>
          <w:lang w:val="fr-FR"/>
        </w:rPr>
        <w:t>Le Temps</w:t>
      </w:r>
      <w:r w:rsidR="00D7638A" w:rsidRPr="00A671BF">
        <w:rPr>
          <w:szCs w:val="22"/>
          <w:lang w:val="fr-FR"/>
        </w:rPr>
        <w:t xml:space="preserve">, a </w:t>
      </w:r>
      <w:proofErr w:type="spellStart"/>
      <w:r w:rsidR="00D7638A" w:rsidRPr="00A671BF">
        <w:rPr>
          <w:szCs w:val="22"/>
          <w:lang w:val="fr-FR"/>
        </w:rPr>
        <w:t>frequent</w:t>
      </w:r>
      <w:proofErr w:type="spellEnd"/>
      <w:r w:rsidR="00D7638A" w:rsidRPr="00A671BF">
        <w:rPr>
          <w:szCs w:val="22"/>
          <w:lang w:val="fr-FR"/>
        </w:rPr>
        <w:t xml:space="preserve"> </w:t>
      </w:r>
      <w:proofErr w:type="spellStart"/>
      <w:r w:rsidR="00D7638A" w:rsidRPr="00A671BF">
        <w:rPr>
          <w:szCs w:val="22"/>
          <w:lang w:val="fr-FR"/>
        </w:rPr>
        <w:t>target</w:t>
      </w:r>
      <w:proofErr w:type="spellEnd"/>
      <w:r w:rsidR="00D7638A" w:rsidRPr="00A671BF">
        <w:rPr>
          <w:szCs w:val="22"/>
          <w:lang w:val="fr-FR"/>
        </w:rPr>
        <w:t xml:space="preserve"> of </w:t>
      </w:r>
      <w:proofErr w:type="spellStart"/>
      <w:r w:rsidR="00D7638A" w:rsidRPr="00A671BF">
        <w:rPr>
          <w:szCs w:val="22"/>
          <w:lang w:val="fr-FR"/>
        </w:rPr>
        <w:t>journalists</w:t>
      </w:r>
      <w:proofErr w:type="spellEnd"/>
      <w:r w:rsidR="00D7638A" w:rsidRPr="00A671BF">
        <w:rPr>
          <w:szCs w:val="22"/>
          <w:lang w:val="fr-FR"/>
        </w:rPr>
        <w:t xml:space="preserve"> of </w:t>
      </w:r>
      <w:r w:rsidR="00D7638A" w:rsidRPr="00A671BF">
        <w:rPr>
          <w:i/>
          <w:szCs w:val="22"/>
          <w:lang w:val="fr-FR"/>
        </w:rPr>
        <w:t>L’Humanité</w:t>
      </w:r>
      <w:r w:rsidR="00D7638A" w:rsidRPr="00A671BF">
        <w:rPr>
          <w:szCs w:val="22"/>
          <w:lang w:val="fr-FR"/>
        </w:rPr>
        <w:t>,</w:t>
      </w:r>
      <w:r w:rsidRPr="00A671BF">
        <w:rPr>
          <w:i/>
          <w:szCs w:val="22"/>
          <w:lang w:val="fr-FR"/>
        </w:rPr>
        <w:t xml:space="preserve"> </w:t>
      </w:r>
      <w:r w:rsidR="00081513" w:rsidRPr="00A671BF">
        <w:rPr>
          <w:szCs w:val="22"/>
          <w:lang w:val="fr-FR"/>
        </w:rPr>
        <w:t xml:space="preserve">as </w:t>
      </w:r>
      <w:proofErr w:type="spellStart"/>
      <w:r w:rsidR="00081513" w:rsidRPr="00A671BF">
        <w:rPr>
          <w:szCs w:val="22"/>
          <w:lang w:val="fr-FR"/>
        </w:rPr>
        <w:t>being</w:t>
      </w:r>
      <w:proofErr w:type="spellEnd"/>
      <w:r w:rsidRPr="00A671BF">
        <w:rPr>
          <w:szCs w:val="22"/>
          <w:lang w:val="fr-FR"/>
        </w:rPr>
        <w:t xml:space="preserve"> </w:t>
      </w:r>
      <w:proofErr w:type="spellStart"/>
      <w:r w:rsidRPr="00A671BF">
        <w:rPr>
          <w:szCs w:val="22"/>
          <w:lang w:val="fr-FR"/>
        </w:rPr>
        <w:t>complicit</w:t>
      </w:r>
      <w:proofErr w:type="spellEnd"/>
      <w:r w:rsidRPr="00A671BF">
        <w:rPr>
          <w:szCs w:val="22"/>
          <w:lang w:val="fr-FR"/>
        </w:rPr>
        <w:t xml:space="preserve"> in</w:t>
      </w:r>
      <w:r w:rsidR="008A1890" w:rsidRPr="00A671BF">
        <w:rPr>
          <w:szCs w:val="22"/>
          <w:lang w:val="fr-FR"/>
        </w:rPr>
        <w:t xml:space="preserve"> </w:t>
      </w:r>
      <w:r w:rsidRPr="00A671BF">
        <w:rPr>
          <w:szCs w:val="22"/>
          <w:lang w:val="fr-FR"/>
        </w:rPr>
        <w:t xml:space="preserve">a </w:t>
      </w:r>
      <w:proofErr w:type="spellStart"/>
      <w:r w:rsidRPr="00A671BF">
        <w:rPr>
          <w:szCs w:val="22"/>
          <w:lang w:val="fr-FR"/>
        </w:rPr>
        <w:t>government</w:t>
      </w:r>
      <w:proofErr w:type="spellEnd"/>
      <w:r w:rsidRPr="00A671BF">
        <w:rPr>
          <w:szCs w:val="22"/>
          <w:lang w:val="fr-FR"/>
        </w:rPr>
        <w:t xml:space="preserve"> cover-up (</w:t>
      </w:r>
      <w:r w:rsidR="00E14E70" w:rsidRPr="00A671BF">
        <w:rPr>
          <w:szCs w:val="22"/>
          <w:lang w:val="fr-FR"/>
        </w:rPr>
        <w:t>‘</w:t>
      </w:r>
      <w:r w:rsidRPr="00A671BF">
        <w:rPr>
          <w:lang w:val="fr-FR"/>
        </w:rPr>
        <w:t xml:space="preserve">L’argumentation du </w:t>
      </w:r>
      <w:r w:rsidRPr="00A671BF">
        <w:rPr>
          <w:i/>
          <w:lang w:val="fr-FR"/>
        </w:rPr>
        <w:t xml:space="preserve">Temps </w:t>
      </w:r>
      <w:r w:rsidRPr="00A671BF">
        <w:rPr>
          <w:lang w:val="fr-FR"/>
        </w:rPr>
        <w:t>est donc un prétexte puéril pour esquiver les difficultés de cette question’)</w:t>
      </w:r>
      <w:r w:rsidR="00081513" w:rsidRPr="00A671BF">
        <w:rPr>
          <w:lang w:val="fr-FR"/>
        </w:rPr>
        <w:t>,</w:t>
      </w:r>
      <w:r w:rsidRPr="00A671BF">
        <w:rPr>
          <w:lang w:val="fr-FR"/>
        </w:rPr>
        <w:t xml:space="preserve"> </w:t>
      </w:r>
      <w:r w:rsidR="00081513" w:rsidRPr="00A671BF">
        <w:rPr>
          <w:lang w:val="fr-FR"/>
        </w:rPr>
        <w:t xml:space="preserve">a claim </w:t>
      </w:r>
      <w:proofErr w:type="spellStart"/>
      <w:r w:rsidR="00081513" w:rsidRPr="00A671BF">
        <w:rPr>
          <w:lang w:val="fr-FR"/>
        </w:rPr>
        <w:t>reinforced</w:t>
      </w:r>
      <w:proofErr w:type="spellEnd"/>
      <w:r w:rsidR="00081513" w:rsidRPr="00A671BF">
        <w:rPr>
          <w:lang w:val="fr-FR"/>
        </w:rPr>
        <w:t xml:space="preserve"> b</w:t>
      </w:r>
      <w:r w:rsidRPr="00A671BF">
        <w:rPr>
          <w:lang w:val="fr-FR"/>
        </w:rPr>
        <w:t xml:space="preserve">y the </w:t>
      </w:r>
      <w:proofErr w:type="spellStart"/>
      <w:r w:rsidRPr="00A671BF">
        <w:rPr>
          <w:lang w:val="fr-FR"/>
        </w:rPr>
        <w:t>paratextual</w:t>
      </w:r>
      <w:proofErr w:type="spellEnd"/>
      <w:r w:rsidRPr="00A671BF">
        <w:rPr>
          <w:lang w:val="fr-FR"/>
        </w:rPr>
        <w:t xml:space="preserve"> </w:t>
      </w:r>
      <w:proofErr w:type="spellStart"/>
      <w:r w:rsidRPr="00A671BF">
        <w:rPr>
          <w:lang w:val="fr-FR"/>
        </w:rPr>
        <w:t>comments</w:t>
      </w:r>
      <w:proofErr w:type="spellEnd"/>
      <w:r w:rsidRPr="00A671BF">
        <w:rPr>
          <w:lang w:val="fr-FR"/>
        </w:rPr>
        <w:t xml:space="preserve"> </w:t>
      </w:r>
      <w:proofErr w:type="spellStart"/>
      <w:r w:rsidRPr="00A671BF">
        <w:rPr>
          <w:lang w:val="fr-FR"/>
        </w:rPr>
        <w:t>accompanying</w:t>
      </w:r>
      <w:proofErr w:type="spellEnd"/>
      <w:r w:rsidRPr="00A671BF">
        <w:rPr>
          <w:lang w:val="fr-FR"/>
        </w:rPr>
        <w:t xml:space="preserve"> the </w:t>
      </w:r>
      <w:proofErr w:type="spellStart"/>
      <w:r w:rsidRPr="00A671BF">
        <w:rPr>
          <w:lang w:val="fr-FR"/>
        </w:rPr>
        <w:t>letter</w:t>
      </w:r>
      <w:proofErr w:type="spellEnd"/>
      <w:r w:rsidR="008A1890" w:rsidRPr="00A671BF">
        <w:rPr>
          <w:szCs w:val="22"/>
          <w:lang w:val="fr-FR"/>
        </w:rPr>
        <w:t xml:space="preserve">, </w:t>
      </w:r>
      <w:proofErr w:type="spellStart"/>
      <w:r w:rsidR="00081513" w:rsidRPr="00A671BF">
        <w:rPr>
          <w:szCs w:val="22"/>
          <w:lang w:val="fr-FR"/>
        </w:rPr>
        <w:t>which</w:t>
      </w:r>
      <w:proofErr w:type="spellEnd"/>
      <w:r w:rsidR="00081513" w:rsidRPr="00A671BF">
        <w:rPr>
          <w:szCs w:val="22"/>
          <w:lang w:val="fr-FR"/>
        </w:rPr>
        <w:t xml:space="preserve"> </w:t>
      </w:r>
      <w:proofErr w:type="spellStart"/>
      <w:r w:rsidR="00081513" w:rsidRPr="00A671BF">
        <w:rPr>
          <w:szCs w:val="22"/>
          <w:lang w:val="fr-FR"/>
        </w:rPr>
        <w:t>called</w:t>
      </w:r>
      <w:proofErr w:type="spellEnd"/>
      <w:r w:rsidR="00F90DFC" w:rsidRPr="00A671BF">
        <w:rPr>
          <w:szCs w:val="22"/>
          <w:lang w:val="fr-FR"/>
        </w:rPr>
        <w:t xml:space="preserve"> </w:t>
      </w:r>
      <w:r w:rsidR="00F90DFC" w:rsidRPr="00A671BF">
        <w:rPr>
          <w:i/>
          <w:szCs w:val="22"/>
          <w:lang w:val="fr-FR"/>
        </w:rPr>
        <w:t>Le</w:t>
      </w:r>
      <w:r w:rsidR="008A1890" w:rsidRPr="00A671BF">
        <w:rPr>
          <w:i/>
          <w:szCs w:val="22"/>
          <w:lang w:val="fr-FR"/>
        </w:rPr>
        <w:t xml:space="preserve"> Temps </w:t>
      </w:r>
      <w:r w:rsidR="0072583B" w:rsidRPr="00A671BF">
        <w:rPr>
          <w:szCs w:val="22"/>
          <w:lang w:val="fr-FR"/>
        </w:rPr>
        <w:t>‘le journal officieux du gouvernement</w:t>
      </w:r>
      <w:r w:rsidR="00BF042E" w:rsidRPr="00A671BF">
        <w:rPr>
          <w:szCs w:val="22"/>
          <w:lang w:val="fr-FR"/>
        </w:rPr>
        <w:t>’</w:t>
      </w:r>
      <w:r w:rsidR="00697654" w:rsidRPr="00A671BF">
        <w:rPr>
          <w:szCs w:val="22"/>
          <w:lang w:val="fr-FR"/>
        </w:rPr>
        <w:t xml:space="preserve"> (Cama, 1910)</w:t>
      </w:r>
      <w:r w:rsidR="008A1890" w:rsidRPr="00A671BF">
        <w:rPr>
          <w:szCs w:val="22"/>
          <w:lang w:val="fr-FR"/>
        </w:rPr>
        <w:t>.</w:t>
      </w:r>
    </w:p>
    <w:p w:rsidR="00F25A12" w:rsidRPr="00A671BF" w:rsidRDefault="00867B5D" w:rsidP="0038784E">
      <w:pPr>
        <w:spacing w:line="360" w:lineRule="auto"/>
      </w:pPr>
      <w:r w:rsidRPr="00A671BF">
        <w:rPr>
          <w:szCs w:val="22"/>
          <w:lang w:val="fr-FR"/>
        </w:rPr>
        <w:tab/>
      </w:r>
      <w:r w:rsidR="00CA4E17" w:rsidRPr="00A671BF">
        <w:rPr>
          <w:szCs w:val="22"/>
        </w:rPr>
        <w:t>While Mme de Cama’s letter shows how French rhetoric could be mobilized by Indian nationalists</w:t>
      </w:r>
      <w:r w:rsidR="00D7638A" w:rsidRPr="00A671BF">
        <w:rPr>
          <w:szCs w:val="22"/>
        </w:rPr>
        <w:t xml:space="preserve"> to advance their cause</w:t>
      </w:r>
      <w:r w:rsidR="00CA4E17" w:rsidRPr="00A671BF">
        <w:rPr>
          <w:szCs w:val="22"/>
        </w:rPr>
        <w:t xml:space="preserve">, interventions by </w:t>
      </w:r>
      <w:proofErr w:type="spellStart"/>
      <w:r w:rsidR="00CA4E17" w:rsidRPr="00A671BF">
        <w:rPr>
          <w:szCs w:val="22"/>
        </w:rPr>
        <w:t>Jaurès</w:t>
      </w:r>
      <w:proofErr w:type="spellEnd"/>
      <w:r w:rsidR="00CA4E17" w:rsidRPr="00A671BF">
        <w:rPr>
          <w:szCs w:val="22"/>
        </w:rPr>
        <w:t xml:space="preserve"> and </w:t>
      </w:r>
      <w:proofErr w:type="spellStart"/>
      <w:r w:rsidR="00CA4E17" w:rsidRPr="00A671BF">
        <w:rPr>
          <w:szCs w:val="22"/>
        </w:rPr>
        <w:t>Longuet</w:t>
      </w:r>
      <w:proofErr w:type="spellEnd"/>
      <w:r w:rsidR="0057137E" w:rsidRPr="00A671BF">
        <w:rPr>
          <w:szCs w:val="22"/>
        </w:rPr>
        <w:t xml:space="preserve"> </w:t>
      </w:r>
      <w:r w:rsidR="00E11320" w:rsidRPr="00A671BF">
        <w:rPr>
          <w:szCs w:val="22"/>
        </w:rPr>
        <w:t xml:space="preserve">conversely </w:t>
      </w:r>
      <w:r w:rsidR="009665E4" w:rsidRPr="00A671BF">
        <w:rPr>
          <w:szCs w:val="22"/>
        </w:rPr>
        <w:t>reveal</w:t>
      </w:r>
      <w:r w:rsidR="00E11320" w:rsidRPr="00A671BF">
        <w:rPr>
          <w:szCs w:val="22"/>
        </w:rPr>
        <w:t xml:space="preserve"> </w:t>
      </w:r>
      <w:r w:rsidR="00CA4E17" w:rsidRPr="00A671BF">
        <w:rPr>
          <w:szCs w:val="22"/>
        </w:rPr>
        <w:t xml:space="preserve">how neatly the Indian cause could </w:t>
      </w:r>
      <w:r w:rsidR="009665E4" w:rsidRPr="00A671BF">
        <w:rPr>
          <w:szCs w:val="22"/>
        </w:rPr>
        <w:t xml:space="preserve">be subsumed under particular French </w:t>
      </w:r>
      <w:r w:rsidR="00E11320" w:rsidRPr="00A671BF">
        <w:rPr>
          <w:szCs w:val="22"/>
        </w:rPr>
        <w:t xml:space="preserve">national and political </w:t>
      </w:r>
      <w:r w:rsidR="009665E4" w:rsidRPr="00A671BF">
        <w:rPr>
          <w:szCs w:val="22"/>
        </w:rPr>
        <w:t>agendas.</w:t>
      </w:r>
      <w:r w:rsidR="00610C0D" w:rsidRPr="00A671BF">
        <w:rPr>
          <w:szCs w:val="22"/>
        </w:rPr>
        <w:t xml:space="preserve"> </w:t>
      </w:r>
      <w:proofErr w:type="spellStart"/>
      <w:r w:rsidR="00610C0D" w:rsidRPr="00A671BF">
        <w:rPr>
          <w:szCs w:val="22"/>
        </w:rPr>
        <w:t>Longuet</w:t>
      </w:r>
      <w:proofErr w:type="spellEnd"/>
      <w:r w:rsidR="00064861" w:rsidRPr="00A671BF">
        <w:rPr>
          <w:szCs w:val="22"/>
        </w:rPr>
        <w:t xml:space="preserve"> </w:t>
      </w:r>
      <w:r w:rsidR="00D7638A" w:rsidRPr="00A671BF">
        <w:rPr>
          <w:szCs w:val="22"/>
        </w:rPr>
        <w:t>adopted</w:t>
      </w:r>
      <w:r w:rsidR="00610C0D" w:rsidRPr="00A671BF">
        <w:rPr>
          <w:szCs w:val="22"/>
        </w:rPr>
        <w:t xml:space="preserve"> a</w:t>
      </w:r>
      <w:r w:rsidR="00E11320" w:rsidRPr="00A671BF">
        <w:rPr>
          <w:szCs w:val="22"/>
        </w:rPr>
        <w:t>n</w:t>
      </w:r>
      <w:r w:rsidR="00610C0D" w:rsidRPr="00A671BF">
        <w:rPr>
          <w:szCs w:val="22"/>
        </w:rPr>
        <w:t xml:space="preserve"> </w:t>
      </w:r>
      <w:r w:rsidR="00E11320" w:rsidRPr="00A671BF">
        <w:rPr>
          <w:szCs w:val="22"/>
        </w:rPr>
        <w:t xml:space="preserve">explicitly </w:t>
      </w:r>
      <w:r w:rsidR="00610C0D" w:rsidRPr="00A671BF">
        <w:rPr>
          <w:szCs w:val="22"/>
        </w:rPr>
        <w:t>universalist rhetoric</w:t>
      </w:r>
      <w:r w:rsidR="00E11320" w:rsidRPr="00A671BF">
        <w:rPr>
          <w:szCs w:val="22"/>
        </w:rPr>
        <w:t>, emphasizing the rights of man and</w:t>
      </w:r>
      <w:r w:rsidR="00610C0D" w:rsidRPr="00A671BF">
        <w:rPr>
          <w:szCs w:val="22"/>
        </w:rPr>
        <w:t xml:space="preserve"> viewing the </w:t>
      </w:r>
      <w:r w:rsidR="00E11320" w:rsidRPr="00A671BF">
        <w:rPr>
          <w:szCs w:val="22"/>
        </w:rPr>
        <w:t xml:space="preserve">Savarkar case </w:t>
      </w:r>
      <w:r w:rsidR="00610C0D" w:rsidRPr="00A671BF">
        <w:rPr>
          <w:szCs w:val="22"/>
        </w:rPr>
        <w:t>as ‘</w:t>
      </w:r>
      <w:r w:rsidR="00697654" w:rsidRPr="00A671BF">
        <w:rPr>
          <w:szCs w:val="22"/>
        </w:rPr>
        <w:t>Un attentat aux droits des gens</w:t>
      </w:r>
      <w:r w:rsidR="00610C0D" w:rsidRPr="00A671BF">
        <w:rPr>
          <w:szCs w:val="22"/>
        </w:rPr>
        <w:t>’</w:t>
      </w:r>
      <w:r w:rsidR="00697654" w:rsidRPr="00A671BF">
        <w:rPr>
          <w:szCs w:val="22"/>
        </w:rPr>
        <w:t xml:space="preserve"> (</w:t>
      </w:r>
      <w:proofErr w:type="spellStart"/>
      <w:r w:rsidR="00697654" w:rsidRPr="00A671BF">
        <w:rPr>
          <w:szCs w:val="22"/>
        </w:rPr>
        <w:t>Longuet</w:t>
      </w:r>
      <w:proofErr w:type="spellEnd"/>
      <w:r w:rsidR="00697654" w:rsidRPr="00A671BF">
        <w:rPr>
          <w:szCs w:val="22"/>
        </w:rPr>
        <w:t>, 1910a).</w:t>
      </w:r>
      <w:r w:rsidR="009665E4" w:rsidRPr="00A671BF">
        <w:rPr>
          <w:szCs w:val="22"/>
        </w:rPr>
        <w:t xml:space="preserve"> </w:t>
      </w:r>
      <w:r w:rsidR="00E14E70" w:rsidRPr="00A671BF">
        <w:rPr>
          <w:szCs w:val="22"/>
        </w:rPr>
        <w:t xml:space="preserve">The events of Marseille concerned not only India but civilization more widely, </w:t>
      </w:r>
      <w:r w:rsidR="00A60126" w:rsidRPr="00A671BF">
        <w:rPr>
          <w:szCs w:val="22"/>
        </w:rPr>
        <w:t>an argument</w:t>
      </w:r>
      <w:r w:rsidR="00E11320" w:rsidRPr="00A671BF">
        <w:rPr>
          <w:szCs w:val="22"/>
        </w:rPr>
        <w:t xml:space="preserve"> </w:t>
      </w:r>
      <w:r w:rsidR="00A60126" w:rsidRPr="00A671BF">
        <w:rPr>
          <w:szCs w:val="22"/>
        </w:rPr>
        <w:t xml:space="preserve">which </w:t>
      </w:r>
      <w:r w:rsidR="00E11320" w:rsidRPr="00A671BF">
        <w:rPr>
          <w:szCs w:val="22"/>
        </w:rPr>
        <w:t>relied</w:t>
      </w:r>
      <w:r w:rsidR="00A60126" w:rsidRPr="00A671BF">
        <w:rPr>
          <w:szCs w:val="22"/>
        </w:rPr>
        <w:t xml:space="preserve"> on the implicit belief that France was</w:t>
      </w:r>
      <w:r w:rsidR="00E14E70" w:rsidRPr="00A671BF">
        <w:rPr>
          <w:szCs w:val="22"/>
        </w:rPr>
        <w:t xml:space="preserve"> the birthplace of such rights. </w:t>
      </w:r>
      <w:r w:rsidR="009665E4" w:rsidRPr="00A671BF">
        <w:rPr>
          <w:szCs w:val="22"/>
        </w:rPr>
        <w:t>For</w:t>
      </w:r>
      <w:r w:rsidR="00D7638A" w:rsidRPr="00A671BF">
        <w:rPr>
          <w:szCs w:val="22"/>
        </w:rPr>
        <w:t xml:space="preserve"> </w:t>
      </w:r>
      <w:proofErr w:type="spellStart"/>
      <w:r w:rsidR="009665E4" w:rsidRPr="00A671BF">
        <w:rPr>
          <w:szCs w:val="22"/>
        </w:rPr>
        <w:t>Jaurès</w:t>
      </w:r>
      <w:proofErr w:type="spellEnd"/>
      <w:r w:rsidR="00316085" w:rsidRPr="00A671BF">
        <w:rPr>
          <w:szCs w:val="22"/>
        </w:rPr>
        <w:t xml:space="preserve"> writing in October 1910</w:t>
      </w:r>
      <w:r w:rsidR="009665E4" w:rsidRPr="00A671BF">
        <w:rPr>
          <w:szCs w:val="22"/>
        </w:rPr>
        <w:t>,</w:t>
      </w:r>
      <w:r w:rsidR="00BF042E" w:rsidRPr="00A671BF">
        <w:rPr>
          <w:szCs w:val="22"/>
        </w:rPr>
        <w:t xml:space="preserve"> the lack of respect for Savarkar’s rights which the affair had revealed was a cause of great </w:t>
      </w:r>
      <w:r w:rsidR="00BF042E" w:rsidRPr="00A671BF">
        <w:rPr>
          <w:szCs w:val="22"/>
        </w:rPr>
        <w:lastRenderedPageBreak/>
        <w:t>concern</w:t>
      </w:r>
      <w:r w:rsidR="002A544A" w:rsidRPr="00A671BF">
        <w:rPr>
          <w:szCs w:val="22"/>
        </w:rPr>
        <w:t>, although t</w:t>
      </w:r>
      <w:r w:rsidR="00440C45" w:rsidRPr="00A671BF">
        <w:rPr>
          <w:szCs w:val="22"/>
        </w:rPr>
        <w:t>he real aim of his article</w:t>
      </w:r>
      <w:r w:rsidR="00AD3B65" w:rsidRPr="00A671BF">
        <w:rPr>
          <w:szCs w:val="22"/>
        </w:rPr>
        <w:t xml:space="preserve"> ‘</w:t>
      </w:r>
      <w:proofErr w:type="spellStart"/>
      <w:r w:rsidR="00AD3B65" w:rsidRPr="00A671BF">
        <w:rPr>
          <w:szCs w:val="22"/>
        </w:rPr>
        <w:t>Déplorable</w:t>
      </w:r>
      <w:proofErr w:type="spellEnd"/>
      <w:r w:rsidR="00AD3B65" w:rsidRPr="00A671BF">
        <w:rPr>
          <w:szCs w:val="22"/>
        </w:rPr>
        <w:t xml:space="preserve"> affaire’</w:t>
      </w:r>
      <w:r w:rsidR="002A544A" w:rsidRPr="00A671BF">
        <w:rPr>
          <w:szCs w:val="22"/>
        </w:rPr>
        <w:t xml:space="preserve"> was</w:t>
      </w:r>
      <w:r w:rsidR="00440C45" w:rsidRPr="00A671BF">
        <w:rPr>
          <w:szCs w:val="22"/>
        </w:rPr>
        <w:t xml:space="preserve"> </w:t>
      </w:r>
      <w:r w:rsidR="00316085" w:rsidRPr="00A671BF">
        <w:rPr>
          <w:szCs w:val="22"/>
        </w:rPr>
        <w:t xml:space="preserve">to instrumentalize the affair </w:t>
      </w:r>
      <w:r w:rsidR="002A544A" w:rsidRPr="00A671BF">
        <w:rPr>
          <w:szCs w:val="22"/>
        </w:rPr>
        <w:t>as a means of</w:t>
      </w:r>
      <w:r w:rsidR="00316085" w:rsidRPr="00A671BF">
        <w:rPr>
          <w:szCs w:val="22"/>
        </w:rPr>
        <w:t xml:space="preserve"> promulgat</w:t>
      </w:r>
      <w:r w:rsidR="002A544A" w:rsidRPr="00A671BF">
        <w:rPr>
          <w:szCs w:val="22"/>
        </w:rPr>
        <w:t>ing</w:t>
      </w:r>
      <w:r w:rsidR="00316085" w:rsidRPr="00A671BF">
        <w:rPr>
          <w:szCs w:val="22"/>
        </w:rPr>
        <w:t xml:space="preserve"> his vision of France as a bastion of socialist civilization</w:t>
      </w:r>
      <w:r w:rsidR="002A544A" w:rsidRPr="00A671BF">
        <w:rPr>
          <w:szCs w:val="22"/>
        </w:rPr>
        <w:t xml:space="preserve"> —</w:t>
      </w:r>
      <w:r w:rsidR="007539ED" w:rsidRPr="00A671BF">
        <w:rPr>
          <w:szCs w:val="22"/>
        </w:rPr>
        <w:t xml:space="preserve"> a </w:t>
      </w:r>
      <w:r w:rsidR="000829A8" w:rsidRPr="00A671BF">
        <w:rPr>
          <w:szCs w:val="22"/>
        </w:rPr>
        <w:t>vision</w:t>
      </w:r>
      <w:r w:rsidR="007539ED" w:rsidRPr="00A671BF">
        <w:rPr>
          <w:szCs w:val="22"/>
        </w:rPr>
        <w:t xml:space="preserve"> </w:t>
      </w:r>
      <w:r w:rsidR="000829A8" w:rsidRPr="00A671BF">
        <w:rPr>
          <w:szCs w:val="22"/>
        </w:rPr>
        <w:t>that also compelled the inveterate antimilitarist to voice</w:t>
      </w:r>
      <w:r w:rsidR="007539ED" w:rsidRPr="00A671BF">
        <w:rPr>
          <w:szCs w:val="22"/>
        </w:rPr>
        <w:t xml:space="preserve"> </w:t>
      </w:r>
      <w:r w:rsidR="00B05E79" w:rsidRPr="00A671BF">
        <w:rPr>
          <w:szCs w:val="22"/>
        </w:rPr>
        <w:t xml:space="preserve">his </w:t>
      </w:r>
      <w:r w:rsidR="007539ED" w:rsidRPr="00A671BF">
        <w:rPr>
          <w:szCs w:val="22"/>
        </w:rPr>
        <w:t>support for</w:t>
      </w:r>
      <w:r w:rsidR="00BF042E" w:rsidRPr="00A671BF">
        <w:rPr>
          <w:szCs w:val="22"/>
        </w:rPr>
        <w:t xml:space="preserve"> the Entente cordiale</w:t>
      </w:r>
      <w:r w:rsidR="000829A8" w:rsidRPr="00A671BF">
        <w:rPr>
          <w:szCs w:val="22"/>
        </w:rPr>
        <w:t>,</w:t>
      </w:r>
      <w:r w:rsidR="00BF042E" w:rsidRPr="00A671BF">
        <w:rPr>
          <w:szCs w:val="22"/>
        </w:rPr>
        <w:t xml:space="preserve"> </w:t>
      </w:r>
      <w:r w:rsidR="007539ED" w:rsidRPr="00A671BF">
        <w:rPr>
          <w:szCs w:val="22"/>
        </w:rPr>
        <w:t xml:space="preserve">which </w:t>
      </w:r>
      <w:r w:rsidR="00B05E79" w:rsidRPr="00A671BF">
        <w:rPr>
          <w:szCs w:val="22"/>
        </w:rPr>
        <w:t>he</w:t>
      </w:r>
      <w:r w:rsidR="00BF042E" w:rsidRPr="00A671BF">
        <w:rPr>
          <w:szCs w:val="22"/>
        </w:rPr>
        <w:t xml:space="preserve"> postulated as a necessary bulwark against German sabre-rattling</w:t>
      </w:r>
      <w:r w:rsidR="00697654" w:rsidRPr="00A671BF">
        <w:rPr>
          <w:szCs w:val="22"/>
        </w:rPr>
        <w:t xml:space="preserve"> (</w:t>
      </w:r>
      <w:proofErr w:type="spellStart"/>
      <w:r w:rsidR="00697654" w:rsidRPr="00A671BF">
        <w:rPr>
          <w:szCs w:val="22"/>
        </w:rPr>
        <w:t>Jaurès</w:t>
      </w:r>
      <w:proofErr w:type="spellEnd"/>
      <w:r w:rsidR="00697654" w:rsidRPr="00A671BF">
        <w:rPr>
          <w:szCs w:val="22"/>
        </w:rPr>
        <w:t>, 1910a)</w:t>
      </w:r>
      <w:r w:rsidR="00316085" w:rsidRPr="00A671BF">
        <w:rPr>
          <w:szCs w:val="22"/>
        </w:rPr>
        <w:t>.</w:t>
      </w:r>
      <w:r w:rsidR="00440C45" w:rsidRPr="00A671BF">
        <w:rPr>
          <w:szCs w:val="22"/>
        </w:rPr>
        <w:t xml:space="preserve"> </w:t>
      </w:r>
      <w:r w:rsidR="00316085" w:rsidRPr="00A671BF">
        <w:rPr>
          <w:szCs w:val="22"/>
        </w:rPr>
        <w:t>It was not only the Indian nationalist cause that</w:t>
      </w:r>
      <w:r w:rsidR="00316085" w:rsidRPr="00A671BF">
        <w:rPr>
          <w:i/>
          <w:szCs w:val="22"/>
        </w:rPr>
        <w:t xml:space="preserve"> </w:t>
      </w:r>
      <w:proofErr w:type="spellStart"/>
      <w:r w:rsidR="00610C0D" w:rsidRPr="00A671BF">
        <w:rPr>
          <w:i/>
          <w:szCs w:val="22"/>
        </w:rPr>
        <w:t>L’Humanité</w:t>
      </w:r>
      <w:proofErr w:type="spellEnd"/>
      <w:r w:rsidR="00610C0D" w:rsidRPr="00A671BF">
        <w:rPr>
          <w:i/>
          <w:szCs w:val="22"/>
        </w:rPr>
        <w:t xml:space="preserve"> </w:t>
      </w:r>
      <w:r w:rsidR="00610C0D" w:rsidRPr="00A671BF">
        <w:rPr>
          <w:szCs w:val="22"/>
        </w:rPr>
        <w:t>espouse</w:t>
      </w:r>
      <w:r w:rsidR="00316085" w:rsidRPr="00A671BF">
        <w:rPr>
          <w:szCs w:val="22"/>
        </w:rPr>
        <w:t>d</w:t>
      </w:r>
      <w:r w:rsidR="00610C0D" w:rsidRPr="00A671BF">
        <w:rPr>
          <w:szCs w:val="22"/>
        </w:rPr>
        <w:t xml:space="preserve">. The </w:t>
      </w:r>
      <w:r w:rsidR="00F25A12" w:rsidRPr="00A671BF">
        <w:rPr>
          <w:szCs w:val="22"/>
        </w:rPr>
        <w:t>decision</w:t>
      </w:r>
      <w:r w:rsidR="00610C0D" w:rsidRPr="00A671BF">
        <w:rPr>
          <w:szCs w:val="22"/>
        </w:rPr>
        <w:t xml:space="preserve"> by the French government to </w:t>
      </w:r>
      <w:r w:rsidR="00BA1BB4" w:rsidRPr="00A671BF">
        <w:rPr>
          <w:szCs w:val="22"/>
        </w:rPr>
        <w:t>prevent</w:t>
      </w:r>
      <w:r w:rsidR="00F25A12" w:rsidRPr="00A671BF">
        <w:rPr>
          <w:szCs w:val="22"/>
        </w:rPr>
        <w:t xml:space="preserve"> the Egyptian Nationalist Congress</w:t>
      </w:r>
      <w:r w:rsidR="00BA1BB4" w:rsidRPr="00A671BF">
        <w:rPr>
          <w:szCs w:val="22"/>
        </w:rPr>
        <w:t xml:space="preserve"> from holding its meeting in Paris</w:t>
      </w:r>
      <w:r w:rsidR="00F25A12" w:rsidRPr="00A671BF">
        <w:rPr>
          <w:szCs w:val="22"/>
        </w:rPr>
        <w:t xml:space="preserve"> in 1910</w:t>
      </w:r>
      <w:r w:rsidR="00BA1BB4" w:rsidRPr="00A671BF">
        <w:rPr>
          <w:szCs w:val="22"/>
        </w:rPr>
        <w:t xml:space="preserve"> (a decision in part taken so as not to antagonize the British in the wake of the </w:t>
      </w:r>
      <w:r w:rsidR="00BA1BB4" w:rsidRPr="00A671BF">
        <w:rPr>
          <w:i/>
          <w:szCs w:val="22"/>
        </w:rPr>
        <w:t xml:space="preserve">affaire </w:t>
      </w:r>
      <w:proofErr w:type="spellStart"/>
      <w:r w:rsidR="00BA1BB4" w:rsidRPr="00A671BF">
        <w:rPr>
          <w:i/>
          <w:szCs w:val="22"/>
        </w:rPr>
        <w:t>Sanakar</w:t>
      </w:r>
      <w:proofErr w:type="spellEnd"/>
      <w:r w:rsidR="00064861" w:rsidRPr="00A671BF">
        <w:rPr>
          <w:szCs w:val="22"/>
        </w:rPr>
        <w:t>)</w:t>
      </w:r>
      <w:r w:rsidR="00DF322A" w:rsidRPr="00A671BF">
        <w:rPr>
          <w:szCs w:val="22"/>
        </w:rPr>
        <w:t xml:space="preserve"> </w:t>
      </w:r>
      <w:r w:rsidR="00F25A12" w:rsidRPr="00A671BF">
        <w:rPr>
          <w:szCs w:val="22"/>
        </w:rPr>
        <w:t xml:space="preserve">was interpreted by </w:t>
      </w:r>
      <w:proofErr w:type="spellStart"/>
      <w:r w:rsidR="00F25A12" w:rsidRPr="00A671BF">
        <w:rPr>
          <w:i/>
          <w:szCs w:val="22"/>
        </w:rPr>
        <w:t>L’Humanité</w:t>
      </w:r>
      <w:proofErr w:type="spellEnd"/>
      <w:r w:rsidR="00F25A12" w:rsidRPr="00A671BF">
        <w:rPr>
          <w:i/>
          <w:szCs w:val="22"/>
        </w:rPr>
        <w:t xml:space="preserve"> </w:t>
      </w:r>
      <w:r w:rsidR="00F25A12" w:rsidRPr="00A671BF">
        <w:rPr>
          <w:szCs w:val="22"/>
        </w:rPr>
        <w:t xml:space="preserve">as another sign of the </w:t>
      </w:r>
      <w:r w:rsidR="00BF042E" w:rsidRPr="00A671BF">
        <w:rPr>
          <w:szCs w:val="22"/>
        </w:rPr>
        <w:t>pernicious</w:t>
      </w:r>
      <w:r w:rsidR="00F25A12" w:rsidRPr="00A671BF">
        <w:rPr>
          <w:szCs w:val="22"/>
        </w:rPr>
        <w:t xml:space="preserve"> </w:t>
      </w:r>
      <w:r w:rsidR="008A1890" w:rsidRPr="00A671BF">
        <w:rPr>
          <w:szCs w:val="22"/>
        </w:rPr>
        <w:t>influence</w:t>
      </w:r>
      <w:r w:rsidR="00F25A12" w:rsidRPr="00A671BF">
        <w:rPr>
          <w:szCs w:val="22"/>
        </w:rPr>
        <w:t xml:space="preserve"> of </w:t>
      </w:r>
      <w:r w:rsidR="00BA1BB4" w:rsidRPr="00A671BF">
        <w:rPr>
          <w:szCs w:val="22"/>
        </w:rPr>
        <w:t>what it termed the</w:t>
      </w:r>
      <w:r w:rsidR="00F25A12" w:rsidRPr="00A671BF">
        <w:rPr>
          <w:szCs w:val="22"/>
        </w:rPr>
        <w:t xml:space="preserve"> British </w:t>
      </w:r>
      <w:r w:rsidR="00BA1BB4" w:rsidRPr="00A671BF">
        <w:rPr>
          <w:szCs w:val="22"/>
        </w:rPr>
        <w:t>‘</w:t>
      </w:r>
      <w:r w:rsidR="00F25A12" w:rsidRPr="00A671BF">
        <w:rPr>
          <w:szCs w:val="22"/>
        </w:rPr>
        <w:t>political police</w:t>
      </w:r>
      <w:r w:rsidR="00BA1BB4" w:rsidRPr="00A671BF">
        <w:rPr>
          <w:szCs w:val="22"/>
        </w:rPr>
        <w:t>’</w:t>
      </w:r>
      <w:r w:rsidR="00DF322A" w:rsidRPr="00A671BF">
        <w:rPr>
          <w:szCs w:val="22"/>
        </w:rPr>
        <w:t xml:space="preserve"> </w:t>
      </w:r>
      <w:r w:rsidR="00F25A12" w:rsidRPr="00A671BF">
        <w:rPr>
          <w:szCs w:val="22"/>
        </w:rPr>
        <w:t xml:space="preserve">in French </w:t>
      </w:r>
      <w:r w:rsidR="008A2B21" w:rsidRPr="00A671BF">
        <w:rPr>
          <w:szCs w:val="22"/>
        </w:rPr>
        <w:t>affairs</w:t>
      </w:r>
      <w:r w:rsidR="00F25A12" w:rsidRPr="00A671BF">
        <w:rPr>
          <w:szCs w:val="22"/>
        </w:rPr>
        <w:t xml:space="preserve">. Publishing </w:t>
      </w:r>
      <w:r w:rsidR="00BC2CD5" w:rsidRPr="00A671BF">
        <w:rPr>
          <w:szCs w:val="22"/>
        </w:rPr>
        <w:t>open letter</w:t>
      </w:r>
      <w:r w:rsidR="00DF322A" w:rsidRPr="00A671BF">
        <w:rPr>
          <w:szCs w:val="22"/>
        </w:rPr>
        <w:t>s</w:t>
      </w:r>
      <w:r w:rsidR="00BC2CD5" w:rsidRPr="00A671BF">
        <w:rPr>
          <w:szCs w:val="22"/>
        </w:rPr>
        <w:t xml:space="preserve"> by </w:t>
      </w:r>
      <w:r w:rsidR="00DF322A" w:rsidRPr="00A671BF">
        <w:rPr>
          <w:szCs w:val="22"/>
        </w:rPr>
        <w:t xml:space="preserve">both </w:t>
      </w:r>
      <w:r w:rsidR="00BC2CD5" w:rsidRPr="00A671BF">
        <w:rPr>
          <w:szCs w:val="22"/>
        </w:rPr>
        <w:t xml:space="preserve">the </w:t>
      </w:r>
      <w:proofErr w:type="spellStart"/>
      <w:r w:rsidR="00F25A12" w:rsidRPr="00A671BF">
        <w:t>Comité</w:t>
      </w:r>
      <w:proofErr w:type="spellEnd"/>
      <w:r w:rsidR="00F25A12" w:rsidRPr="00A671BF">
        <w:t xml:space="preserve"> </w:t>
      </w:r>
      <w:proofErr w:type="spellStart"/>
      <w:r w:rsidR="00F25A12" w:rsidRPr="00A671BF">
        <w:t>organisateur</w:t>
      </w:r>
      <w:proofErr w:type="spellEnd"/>
      <w:r w:rsidR="00BC2CD5" w:rsidRPr="00A671BF">
        <w:t xml:space="preserve"> du </w:t>
      </w:r>
      <w:proofErr w:type="spellStart"/>
      <w:r w:rsidR="00BC2CD5" w:rsidRPr="00A671BF">
        <w:t>Congrès</w:t>
      </w:r>
      <w:proofErr w:type="spellEnd"/>
      <w:r w:rsidR="00BC2CD5" w:rsidRPr="00A671BF">
        <w:t xml:space="preserve"> national </w:t>
      </w:r>
      <w:proofErr w:type="spellStart"/>
      <w:r w:rsidR="00BC2CD5" w:rsidRPr="00A671BF">
        <w:t>égyptien</w:t>
      </w:r>
      <w:proofErr w:type="spellEnd"/>
      <w:r w:rsidR="00BC2CD5" w:rsidRPr="00A671BF">
        <w:t xml:space="preserve"> </w:t>
      </w:r>
      <w:r w:rsidR="00F25A12" w:rsidRPr="00A671BF">
        <w:t>and</w:t>
      </w:r>
      <w:r w:rsidR="00BC2CD5" w:rsidRPr="00A671BF">
        <w:t xml:space="preserve"> </w:t>
      </w:r>
      <w:r w:rsidR="002D07A5" w:rsidRPr="00A671BF">
        <w:t>Farid Bey</w:t>
      </w:r>
      <w:r w:rsidR="00B342F7" w:rsidRPr="00A671BF">
        <w:t>, head of the Egyptian National Party</w:t>
      </w:r>
      <w:r w:rsidR="002D07A5" w:rsidRPr="00A671BF">
        <w:t>,</w:t>
      </w:r>
      <w:r w:rsidR="008A2B21" w:rsidRPr="00A671BF">
        <w:t xml:space="preserve"> </w:t>
      </w:r>
      <w:r w:rsidR="00BF042E" w:rsidRPr="00A671BF">
        <w:t xml:space="preserve">both of </w:t>
      </w:r>
      <w:r w:rsidR="000829A8" w:rsidRPr="00A671BF">
        <w:t>whom</w:t>
      </w:r>
      <w:r w:rsidR="00DF322A" w:rsidRPr="00A671BF">
        <w:t xml:space="preserve"> character</w:t>
      </w:r>
      <w:r w:rsidR="008A1890" w:rsidRPr="00A671BF">
        <w:t>ized the decision as an ‘</w:t>
      </w:r>
      <w:proofErr w:type="spellStart"/>
      <w:r w:rsidR="008A1890" w:rsidRPr="00A671BF">
        <w:t>atteinte</w:t>
      </w:r>
      <w:proofErr w:type="spellEnd"/>
      <w:r w:rsidR="008A1890" w:rsidRPr="00A671BF">
        <w:t xml:space="preserve"> à la </w:t>
      </w:r>
      <w:proofErr w:type="spellStart"/>
      <w:r w:rsidR="008A1890" w:rsidRPr="00A671BF">
        <w:t>liberté</w:t>
      </w:r>
      <w:proofErr w:type="spellEnd"/>
      <w:r w:rsidR="008A1890" w:rsidRPr="00A671BF">
        <w:t xml:space="preserve">’, </w:t>
      </w:r>
      <w:proofErr w:type="spellStart"/>
      <w:r w:rsidR="009A11DE" w:rsidRPr="00A671BF">
        <w:rPr>
          <w:i/>
        </w:rPr>
        <w:t>L’Humanité</w:t>
      </w:r>
      <w:proofErr w:type="spellEnd"/>
      <w:r w:rsidR="008A1890" w:rsidRPr="00A671BF">
        <w:t xml:space="preserve"> endorsed </w:t>
      </w:r>
      <w:r w:rsidR="008A2B21" w:rsidRPr="00A671BF">
        <w:t xml:space="preserve">Bey’s </w:t>
      </w:r>
      <w:r w:rsidR="008A1890" w:rsidRPr="00A671BF">
        <w:t>claim</w:t>
      </w:r>
      <w:r w:rsidR="008A2B21" w:rsidRPr="00A671BF">
        <w:t xml:space="preserve"> that the </w:t>
      </w:r>
      <w:r w:rsidR="00353019" w:rsidRPr="00A671BF">
        <w:t xml:space="preserve">published </w:t>
      </w:r>
      <w:r w:rsidR="00D6062A" w:rsidRPr="00A671BF">
        <w:t>justification</w:t>
      </w:r>
      <w:r w:rsidR="008A1890" w:rsidRPr="00A671BF">
        <w:t xml:space="preserve"> </w:t>
      </w:r>
      <w:r w:rsidR="00353019" w:rsidRPr="00A671BF">
        <w:t>for</w:t>
      </w:r>
      <w:r w:rsidR="008A1890" w:rsidRPr="00A671BF">
        <w:t xml:space="preserve"> the governmental decision</w:t>
      </w:r>
      <w:r w:rsidR="008A2B21" w:rsidRPr="00A671BF">
        <w:t xml:space="preserve"> </w:t>
      </w:r>
      <w:r w:rsidR="00353019" w:rsidRPr="00A671BF">
        <w:t>resonated with</w:t>
      </w:r>
      <w:r w:rsidR="006F058A" w:rsidRPr="00A671BF">
        <w:t xml:space="preserve"> </w:t>
      </w:r>
      <w:r w:rsidR="008A2B21" w:rsidRPr="00A671BF">
        <w:t>‘</w:t>
      </w:r>
      <w:proofErr w:type="spellStart"/>
      <w:r w:rsidR="008A2B21" w:rsidRPr="00A671BF">
        <w:t>en</w:t>
      </w:r>
      <w:proofErr w:type="spellEnd"/>
      <w:r w:rsidR="008A2B21" w:rsidRPr="00A671BF">
        <w:t xml:space="preserve"> substance </w:t>
      </w:r>
      <w:proofErr w:type="spellStart"/>
      <w:r w:rsidR="008A2B21" w:rsidRPr="00A671BF">
        <w:t>toutes</w:t>
      </w:r>
      <w:proofErr w:type="spellEnd"/>
      <w:r w:rsidR="008A2B21" w:rsidRPr="00A671BF">
        <w:t xml:space="preserve"> les accusations </w:t>
      </w:r>
      <w:proofErr w:type="spellStart"/>
      <w:r w:rsidR="008A2B21" w:rsidRPr="00A671BF">
        <w:t>portées</w:t>
      </w:r>
      <w:proofErr w:type="spellEnd"/>
      <w:r w:rsidR="008A2B21" w:rsidRPr="00A671BF">
        <w:t xml:space="preserve"> </w:t>
      </w:r>
      <w:proofErr w:type="spellStart"/>
      <w:r w:rsidR="008A2B21" w:rsidRPr="00A671BF">
        <w:t>contre</w:t>
      </w:r>
      <w:proofErr w:type="spellEnd"/>
      <w:r w:rsidR="008A2B21" w:rsidRPr="00A671BF">
        <w:t xml:space="preserve"> </w:t>
      </w:r>
      <w:r w:rsidR="00353019" w:rsidRPr="00A671BF">
        <w:t xml:space="preserve">[le </w:t>
      </w:r>
      <w:proofErr w:type="spellStart"/>
      <w:r w:rsidR="00353019" w:rsidRPr="00A671BF">
        <w:t>Congrés</w:t>
      </w:r>
      <w:proofErr w:type="spellEnd"/>
      <w:r w:rsidR="00353019" w:rsidRPr="00A671BF">
        <w:t xml:space="preserve"> national </w:t>
      </w:r>
      <w:proofErr w:type="spellStart"/>
      <w:r w:rsidR="00353019" w:rsidRPr="00A671BF">
        <w:t>égyptien</w:t>
      </w:r>
      <w:proofErr w:type="spellEnd"/>
      <w:r w:rsidR="00353019" w:rsidRPr="00A671BF">
        <w:t>]</w:t>
      </w:r>
      <w:r w:rsidR="00697654" w:rsidRPr="00A671BF">
        <w:t xml:space="preserve"> par Sir Edward Grey’ (</w:t>
      </w:r>
      <w:proofErr w:type="spellStart"/>
      <w:r w:rsidR="00697654" w:rsidRPr="00A671BF">
        <w:rPr>
          <w:i/>
        </w:rPr>
        <w:t>L’Humanité</w:t>
      </w:r>
      <w:proofErr w:type="spellEnd"/>
      <w:r w:rsidR="00697654" w:rsidRPr="00A671BF">
        <w:t>, 1910d).</w:t>
      </w:r>
      <w:r w:rsidR="008A2B21" w:rsidRPr="00A671BF">
        <w:t xml:space="preserve"> </w:t>
      </w:r>
      <w:r w:rsidR="00AF3445" w:rsidRPr="00A671BF">
        <w:t>There was r</w:t>
      </w:r>
      <w:r w:rsidR="00353019" w:rsidRPr="00A671BF">
        <w:t xml:space="preserve">obust support for Egyptian nationalism in </w:t>
      </w:r>
      <w:proofErr w:type="spellStart"/>
      <w:r w:rsidR="00353019" w:rsidRPr="00A671BF">
        <w:rPr>
          <w:i/>
        </w:rPr>
        <w:t>L’Humanité</w:t>
      </w:r>
      <w:proofErr w:type="spellEnd"/>
      <w:r w:rsidR="00353019" w:rsidRPr="00A671BF">
        <w:t xml:space="preserve"> during the febrile</w:t>
      </w:r>
      <w:r w:rsidR="00883414" w:rsidRPr="00A671BF">
        <w:t xml:space="preserve"> atmosphere of the</w:t>
      </w:r>
      <w:r w:rsidR="00353019" w:rsidRPr="00A671BF">
        <w:t xml:space="preserve"> summer months following Savarkar’s failed escape, </w:t>
      </w:r>
      <w:r w:rsidR="00AF3445" w:rsidRPr="00A671BF">
        <w:t xml:space="preserve">but it was </w:t>
      </w:r>
      <w:r w:rsidR="00D6062A" w:rsidRPr="00A671BF">
        <w:t>the</w:t>
      </w:r>
      <w:r w:rsidR="008A1890" w:rsidRPr="00A671BF">
        <w:t xml:space="preserve"> </w:t>
      </w:r>
      <w:r w:rsidR="006F058A" w:rsidRPr="00A671BF">
        <w:t>alignment</w:t>
      </w:r>
      <w:r w:rsidR="008A1890" w:rsidRPr="00A671BF">
        <w:t xml:space="preserve"> of socialist and republican </w:t>
      </w:r>
      <w:r w:rsidR="00BC2CD5" w:rsidRPr="00A671BF">
        <w:t>ideals</w:t>
      </w:r>
      <w:r w:rsidR="008A1890" w:rsidRPr="00A671BF">
        <w:t xml:space="preserve"> </w:t>
      </w:r>
      <w:r w:rsidR="006A54EE" w:rsidRPr="00A671BF">
        <w:t>behind Indian</w:t>
      </w:r>
      <w:r w:rsidR="00BA0B35" w:rsidRPr="00A671BF">
        <w:t xml:space="preserve"> nationalism —</w:t>
      </w:r>
      <w:r w:rsidR="006A54EE" w:rsidRPr="00A671BF">
        <w:t xml:space="preserve"> or</w:t>
      </w:r>
      <w:r w:rsidR="00BA0B35" w:rsidRPr="00A671BF">
        <w:t>,</w:t>
      </w:r>
      <w:r w:rsidR="006A54EE" w:rsidRPr="00A671BF">
        <w:t xml:space="preserve"> to be more accurate, </w:t>
      </w:r>
      <w:r w:rsidR="00BA0B35" w:rsidRPr="00A671BF">
        <w:t>the subsuming of</w:t>
      </w:r>
      <w:r w:rsidR="006A54EE" w:rsidRPr="00A671BF">
        <w:t xml:space="preserve"> the Indian narrativ</w:t>
      </w:r>
      <w:r w:rsidR="00BA0B35" w:rsidRPr="00A671BF">
        <w:t>e under a French republican one —</w:t>
      </w:r>
      <w:r w:rsidR="008A1890" w:rsidRPr="00A671BF">
        <w:t xml:space="preserve"> </w:t>
      </w:r>
      <w:r w:rsidR="00AF3445" w:rsidRPr="00A671BF">
        <w:t xml:space="preserve">which proved the more enduring connection. </w:t>
      </w:r>
      <w:r w:rsidR="009A4F93" w:rsidRPr="00A671BF">
        <w:t>This</w:t>
      </w:r>
      <w:r w:rsidR="008A1890" w:rsidRPr="00A671BF">
        <w:t xml:space="preserve"> peculiar sympathy within intellectual </w:t>
      </w:r>
      <w:proofErr w:type="spellStart"/>
      <w:r w:rsidR="008A1890" w:rsidRPr="00A671BF">
        <w:t>milieu</w:t>
      </w:r>
      <w:r w:rsidR="006A54EE" w:rsidRPr="00A671BF">
        <w:t>x</w:t>
      </w:r>
      <w:proofErr w:type="spellEnd"/>
      <w:r w:rsidR="008A1890" w:rsidRPr="00A671BF">
        <w:t xml:space="preserve"> towards the Indian nationalist cause </w:t>
      </w:r>
      <w:r w:rsidR="009A4F93" w:rsidRPr="00A671BF">
        <w:t>was to burgeon further</w:t>
      </w:r>
      <w:r w:rsidR="006A54EE" w:rsidRPr="00A671BF">
        <w:t xml:space="preserve"> after 1919</w:t>
      </w:r>
      <w:r w:rsidR="00BA0B35" w:rsidRPr="00A671BF">
        <w:t xml:space="preserve">, </w:t>
      </w:r>
      <w:r w:rsidR="009A4F93" w:rsidRPr="00A671BF">
        <w:t>during a period in which</w:t>
      </w:r>
      <w:r w:rsidR="008E475B" w:rsidRPr="00A671BF">
        <w:t xml:space="preserve"> </w:t>
      </w:r>
      <w:r w:rsidR="008A2B21" w:rsidRPr="00A671BF">
        <w:t>other nationalist causes</w:t>
      </w:r>
      <w:r w:rsidR="008E475B" w:rsidRPr="00A671BF">
        <w:t xml:space="preserve"> </w:t>
      </w:r>
      <w:r w:rsidR="00D26990" w:rsidRPr="00A671BF">
        <w:t>received less attention</w:t>
      </w:r>
      <w:r w:rsidR="008A2B21" w:rsidRPr="00A671BF">
        <w:t>.</w:t>
      </w:r>
    </w:p>
    <w:p w:rsidR="00E4779E" w:rsidRPr="00A671BF" w:rsidRDefault="00155F69" w:rsidP="0038784E">
      <w:pPr>
        <w:spacing w:line="360" w:lineRule="auto"/>
      </w:pPr>
      <w:r w:rsidRPr="00A671BF">
        <w:rPr>
          <w:szCs w:val="22"/>
        </w:rPr>
        <w:tab/>
      </w:r>
      <w:r w:rsidR="006A54EE" w:rsidRPr="00A671BF">
        <w:rPr>
          <w:szCs w:val="22"/>
        </w:rPr>
        <w:t>The</w:t>
      </w:r>
      <w:r w:rsidR="004F4597" w:rsidRPr="00A671BF">
        <w:rPr>
          <w:szCs w:val="22"/>
        </w:rPr>
        <w:t xml:space="preserve"> </w:t>
      </w:r>
      <w:r w:rsidR="00B07AF5" w:rsidRPr="00A671BF">
        <w:rPr>
          <w:i/>
          <w:szCs w:val="22"/>
        </w:rPr>
        <w:t>a</w:t>
      </w:r>
      <w:r w:rsidR="00F15DA6" w:rsidRPr="00A671BF">
        <w:rPr>
          <w:i/>
          <w:szCs w:val="22"/>
        </w:rPr>
        <w:t>ffaire Savarkar</w:t>
      </w:r>
      <w:r w:rsidR="004F4597" w:rsidRPr="00A671BF">
        <w:rPr>
          <w:szCs w:val="22"/>
        </w:rPr>
        <w:t xml:space="preserve"> was </w:t>
      </w:r>
      <w:r w:rsidR="006A54EE" w:rsidRPr="00A671BF">
        <w:rPr>
          <w:szCs w:val="22"/>
        </w:rPr>
        <w:t xml:space="preserve">ultimately </w:t>
      </w:r>
      <w:r w:rsidR="00F15DA6" w:rsidRPr="00A671BF">
        <w:rPr>
          <w:szCs w:val="22"/>
        </w:rPr>
        <w:t>decided</w:t>
      </w:r>
      <w:r w:rsidR="004F4597" w:rsidRPr="00A671BF">
        <w:rPr>
          <w:szCs w:val="22"/>
        </w:rPr>
        <w:t xml:space="preserve"> by </w:t>
      </w:r>
      <w:r w:rsidR="00F15DA6" w:rsidRPr="00A671BF">
        <w:rPr>
          <w:szCs w:val="22"/>
        </w:rPr>
        <w:t>international</w:t>
      </w:r>
      <w:r w:rsidR="004F4597" w:rsidRPr="00A671BF">
        <w:rPr>
          <w:szCs w:val="22"/>
        </w:rPr>
        <w:t xml:space="preserve"> </w:t>
      </w:r>
      <w:r w:rsidR="00F15DA6" w:rsidRPr="00A671BF">
        <w:rPr>
          <w:szCs w:val="22"/>
        </w:rPr>
        <w:t>arbitration</w:t>
      </w:r>
      <w:r w:rsidR="004F4597" w:rsidRPr="00A671BF">
        <w:rPr>
          <w:szCs w:val="22"/>
        </w:rPr>
        <w:t>,</w:t>
      </w:r>
      <w:r w:rsidR="006A54EE" w:rsidRPr="00A671BF">
        <w:rPr>
          <w:szCs w:val="22"/>
        </w:rPr>
        <w:t xml:space="preserve"> but</w:t>
      </w:r>
      <w:r w:rsidR="004F4597" w:rsidRPr="00A671BF">
        <w:rPr>
          <w:szCs w:val="22"/>
        </w:rPr>
        <w:t xml:space="preserve"> </w:t>
      </w:r>
      <w:r w:rsidR="00C91671" w:rsidRPr="00A671BF">
        <w:rPr>
          <w:szCs w:val="22"/>
        </w:rPr>
        <w:t xml:space="preserve">not before </w:t>
      </w:r>
      <w:r w:rsidR="00C7120B" w:rsidRPr="00A671BF">
        <w:rPr>
          <w:szCs w:val="22"/>
        </w:rPr>
        <w:t>officia</w:t>
      </w:r>
      <w:r w:rsidR="00C91671" w:rsidRPr="00A671BF">
        <w:rPr>
          <w:szCs w:val="22"/>
        </w:rPr>
        <w:t>ls in London and Paris had created a diplomatic impasse by their attempts</w:t>
      </w:r>
      <w:r w:rsidR="00C7120B" w:rsidRPr="00A671BF">
        <w:rPr>
          <w:szCs w:val="22"/>
        </w:rPr>
        <w:t xml:space="preserve"> to parry the demands of their respective counterparts</w:t>
      </w:r>
      <w:r w:rsidR="0051260A" w:rsidRPr="00A671BF">
        <w:rPr>
          <w:szCs w:val="22"/>
        </w:rPr>
        <w:t>.</w:t>
      </w:r>
      <w:r w:rsidR="004F4597" w:rsidRPr="00A671BF">
        <w:rPr>
          <w:szCs w:val="22"/>
        </w:rPr>
        <w:t xml:space="preserve"> In an attempt to find a quick solution to </w:t>
      </w:r>
      <w:r w:rsidR="00B05E79" w:rsidRPr="00A671BF">
        <w:rPr>
          <w:szCs w:val="22"/>
        </w:rPr>
        <w:t>this</w:t>
      </w:r>
      <w:r w:rsidR="004F4597" w:rsidRPr="00A671BF">
        <w:rPr>
          <w:szCs w:val="22"/>
        </w:rPr>
        <w:t xml:space="preserve"> impasse during the summer </w:t>
      </w:r>
      <w:r w:rsidR="00C91671" w:rsidRPr="00A671BF">
        <w:rPr>
          <w:szCs w:val="22"/>
        </w:rPr>
        <w:t xml:space="preserve">of </w:t>
      </w:r>
      <w:r w:rsidR="004F4597" w:rsidRPr="00A671BF">
        <w:rPr>
          <w:szCs w:val="22"/>
        </w:rPr>
        <w:t xml:space="preserve">1910, </w:t>
      </w:r>
      <w:r w:rsidR="004F4597" w:rsidRPr="00A671BF">
        <w:t>W</w:t>
      </w:r>
      <w:r w:rsidR="00F15DA6" w:rsidRPr="00A671BF">
        <w:t>illiam</w:t>
      </w:r>
      <w:r w:rsidR="004F4597" w:rsidRPr="00A671BF">
        <w:t xml:space="preserve"> Lee</w:t>
      </w:r>
      <w:r w:rsidR="00F15DA6" w:rsidRPr="00A671BF">
        <w:t>-</w:t>
      </w:r>
      <w:r w:rsidR="004F4597" w:rsidRPr="00A671BF">
        <w:t>Warner</w:t>
      </w:r>
      <w:r w:rsidR="00F15DA6" w:rsidRPr="00A671BF">
        <w:t xml:space="preserve">, an administrator in the Indian Civil Service, proposed that </w:t>
      </w:r>
      <w:r w:rsidR="0022073B" w:rsidRPr="00A671BF">
        <w:t xml:space="preserve">the </w:t>
      </w:r>
      <w:r w:rsidR="00F15DA6" w:rsidRPr="00A671BF">
        <w:t>Treaty of Paris</w:t>
      </w:r>
      <w:r w:rsidR="00C7120B" w:rsidRPr="00A671BF">
        <w:t xml:space="preserve"> </w:t>
      </w:r>
      <w:r w:rsidR="00A31D78" w:rsidRPr="00A671BF">
        <w:t xml:space="preserve">(1815) </w:t>
      </w:r>
      <w:r w:rsidR="00C7120B" w:rsidRPr="00A671BF">
        <w:t>be used to expedite the matter. The Treaty</w:t>
      </w:r>
      <w:r w:rsidR="00F15DA6" w:rsidRPr="00A671BF">
        <w:t xml:space="preserve"> </w:t>
      </w:r>
      <w:r w:rsidR="00EF0367" w:rsidRPr="00A671BF">
        <w:t xml:space="preserve">had </w:t>
      </w:r>
      <w:r w:rsidR="0022073B" w:rsidRPr="00A671BF">
        <w:t xml:space="preserve">returned the </w:t>
      </w:r>
      <w:proofErr w:type="spellStart"/>
      <w:r w:rsidR="0022073B" w:rsidRPr="00A671BF">
        <w:rPr>
          <w:i/>
        </w:rPr>
        <w:t>comptoirs</w:t>
      </w:r>
      <w:proofErr w:type="spellEnd"/>
      <w:r w:rsidR="0022073B" w:rsidRPr="00A671BF">
        <w:t xml:space="preserve"> to the control of France with strict stipulations that France could neither maintain troops nor erect fortifications in any part of the </w:t>
      </w:r>
      <w:r w:rsidR="0022073B" w:rsidRPr="00A671BF">
        <w:rPr>
          <w:i/>
          <w:iCs/>
        </w:rPr>
        <w:t>subah</w:t>
      </w:r>
      <w:r w:rsidR="0022073B" w:rsidRPr="00A671BF">
        <w:t xml:space="preserve"> of Bengal, </w:t>
      </w:r>
      <w:r w:rsidR="00C7120B" w:rsidRPr="00A671BF">
        <w:t>and had set</w:t>
      </w:r>
      <w:r w:rsidR="0022073B" w:rsidRPr="00A671BF">
        <w:t xml:space="preserve"> terms </w:t>
      </w:r>
      <w:r w:rsidR="00C7120B" w:rsidRPr="00A671BF">
        <w:t>for the</w:t>
      </w:r>
      <w:r w:rsidR="0022073B" w:rsidRPr="00A671BF">
        <w:t xml:space="preserve"> extradition of Europeans </w:t>
      </w:r>
      <w:r w:rsidR="00C7120B" w:rsidRPr="00A671BF">
        <w:t xml:space="preserve">which </w:t>
      </w:r>
      <w:r w:rsidR="0022073B" w:rsidRPr="00A671BF">
        <w:t>enshrin</w:t>
      </w:r>
      <w:r w:rsidR="00C7120B" w:rsidRPr="00A671BF">
        <w:t>ed</w:t>
      </w:r>
      <w:r w:rsidR="0022073B" w:rsidRPr="00A671BF">
        <w:t xml:space="preserve"> t</w:t>
      </w:r>
      <w:r w:rsidR="00C7120B" w:rsidRPr="00A671BF">
        <w:t>he predominance of British rule</w:t>
      </w:r>
      <w:r w:rsidR="00322175" w:rsidRPr="00A671BF">
        <w:t xml:space="preserve"> (First Treaty of Paris, 1814)</w:t>
      </w:r>
      <w:r w:rsidR="00C7120B" w:rsidRPr="00A671BF">
        <w:t>.</w:t>
      </w:r>
      <w:r w:rsidR="00EF0367" w:rsidRPr="00A671BF">
        <w:t xml:space="preserve"> In a memorandum dated 26 July 1910</w:t>
      </w:r>
      <w:r w:rsidR="00C7120B" w:rsidRPr="00A671BF">
        <w:t>, Lee-Warner</w:t>
      </w:r>
      <w:r w:rsidR="00EF0367" w:rsidRPr="00A671BF">
        <w:t xml:space="preserve"> </w:t>
      </w:r>
      <w:r w:rsidR="002A15C3" w:rsidRPr="00A671BF">
        <w:t>speculated</w:t>
      </w:r>
      <w:r w:rsidR="00EF0367" w:rsidRPr="00A671BF">
        <w:t>:</w:t>
      </w:r>
      <w:r w:rsidR="00F15DA6" w:rsidRPr="00A671BF">
        <w:t xml:space="preserve"> </w:t>
      </w:r>
    </w:p>
    <w:p w:rsidR="00E4779E" w:rsidRPr="00A671BF" w:rsidRDefault="00E4779E" w:rsidP="0038784E">
      <w:pPr>
        <w:spacing w:line="360" w:lineRule="auto"/>
      </w:pPr>
    </w:p>
    <w:p w:rsidR="00E4779E" w:rsidRPr="00A671BF" w:rsidRDefault="004F4597" w:rsidP="00E4779E">
      <w:pPr>
        <w:spacing w:line="360" w:lineRule="auto"/>
        <w:ind w:left="284"/>
      </w:pPr>
      <w:r w:rsidRPr="00A671BF">
        <w:t>May we not further reply that, according to the spirit of Article IX. of the Convention of 7</w:t>
      </w:r>
      <w:r w:rsidRPr="00A671BF">
        <w:rPr>
          <w:vertAlign w:val="superscript"/>
        </w:rPr>
        <w:t>th</w:t>
      </w:r>
      <w:r w:rsidRPr="00A671BF">
        <w:t xml:space="preserve"> March 1815, which arranged for the prompt extradition of Europeans and others whatsoever against whom judicial proceedings shall be instituted within the settlements of India for offences committed or for debts contracted, Savarkar, who is charged with abetment of </w:t>
      </w:r>
      <w:r w:rsidRPr="00A671BF">
        <w:lastRenderedPageBreak/>
        <w:t xml:space="preserve">murder in the Bombay Presidency, and who took </w:t>
      </w:r>
      <w:r w:rsidR="002A15C3" w:rsidRPr="00A671BF">
        <w:t>‘</w:t>
      </w:r>
      <w:r w:rsidRPr="00A671BF">
        <w:t>refuge out of the settlements,</w:t>
      </w:r>
      <w:r w:rsidR="002A15C3" w:rsidRPr="00A671BF">
        <w:t>’</w:t>
      </w:r>
      <w:r w:rsidR="009A4F93" w:rsidRPr="00A671BF">
        <w:t>[</w:t>
      </w:r>
      <w:r w:rsidR="009A4F93" w:rsidRPr="00A671BF">
        <w:rPr>
          <w:i/>
        </w:rPr>
        <w:t>sic</w:t>
      </w:r>
      <w:r w:rsidR="009A4F93" w:rsidRPr="00A671BF">
        <w:t>]</w:t>
      </w:r>
      <w:r w:rsidR="009A4F93" w:rsidRPr="00A671BF">
        <w:rPr>
          <w:i/>
        </w:rPr>
        <w:t xml:space="preserve"> </w:t>
      </w:r>
      <w:r w:rsidRPr="00A671BF">
        <w:t>ought to be extradited without difficulties, especially under the circumstances, even though his extradition is not literally from the French Settlements in India</w:t>
      </w:r>
      <w:r w:rsidR="001C0972" w:rsidRPr="00A671BF">
        <w:t>?</w:t>
      </w:r>
      <w:r w:rsidR="00322175" w:rsidRPr="00A671BF">
        <w:t xml:space="preserve"> (Lee-Warner, 1910)</w:t>
      </w:r>
      <w:r w:rsidR="00F15DA6" w:rsidRPr="00A671BF">
        <w:t xml:space="preserve"> </w:t>
      </w:r>
    </w:p>
    <w:p w:rsidR="00E4779E" w:rsidRPr="00A671BF" w:rsidRDefault="00E4779E" w:rsidP="0038784E">
      <w:pPr>
        <w:spacing w:line="360" w:lineRule="auto"/>
      </w:pPr>
    </w:p>
    <w:p w:rsidR="00155F69" w:rsidRPr="00A671BF" w:rsidRDefault="00C41589" w:rsidP="0038784E">
      <w:pPr>
        <w:spacing w:line="360" w:lineRule="auto"/>
      </w:pPr>
      <w:r w:rsidRPr="00A671BF">
        <w:t xml:space="preserve">Lee-Warner’s </w:t>
      </w:r>
      <w:r w:rsidR="002A15C3" w:rsidRPr="00A671BF">
        <w:t xml:space="preserve">proposition </w:t>
      </w:r>
      <w:r w:rsidR="00F15DA6" w:rsidRPr="00A671BF">
        <w:t xml:space="preserve">was </w:t>
      </w:r>
      <w:r w:rsidRPr="00A671BF">
        <w:t>not taken up</w:t>
      </w:r>
      <w:r w:rsidR="00C7120B" w:rsidRPr="00A671BF">
        <w:t>,</w:t>
      </w:r>
      <w:r w:rsidRPr="00A671BF">
        <w:t xml:space="preserve"> but </w:t>
      </w:r>
      <w:r w:rsidR="00100024" w:rsidRPr="00A671BF">
        <w:t xml:space="preserve">the fact </w:t>
      </w:r>
      <w:r w:rsidRPr="00A671BF">
        <w:t>that the settlement was evoked shows how</w:t>
      </w:r>
      <w:r w:rsidR="0022073B" w:rsidRPr="00A671BF">
        <w:t xml:space="preserve"> the reality of a French political presence in India </w:t>
      </w:r>
      <w:r w:rsidRPr="00A671BF">
        <w:t>could be</w:t>
      </w:r>
      <w:r w:rsidR="0022073B" w:rsidRPr="00A671BF">
        <w:t xml:space="preserve"> </w:t>
      </w:r>
      <w:r w:rsidR="00100024" w:rsidRPr="00A671BF">
        <w:t>a consideration in</w:t>
      </w:r>
      <w:r w:rsidR="0022073B" w:rsidRPr="00A671BF">
        <w:t xml:space="preserve"> </w:t>
      </w:r>
      <w:r w:rsidR="00100024" w:rsidRPr="00A671BF">
        <w:t>the treatment of</w:t>
      </w:r>
      <w:r w:rsidR="0022073B" w:rsidRPr="00A671BF">
        <w:t xml:space="preserve"> British Indians </w:t>
      </w:r>
      <w:r w:rsidR="00100024" w:rsidRPr="00A671BF">
        <w:t xml:space="preserve">— </w:t>
      </w:r>
      <w:r w:rsidR="0022073B" w:rsidRPr="00A671BF">
        <w:t>whether on French soil in India</w:t>
      </w:r>
      <w:r w:rsidR="00100024" w:rsidRPr="00A671BF">
        <w:t>,</w:t>
      </w:r>
      <w:r w:rsidR="0022073B" w:rsidRPr="00A671BF">
        <w:t xml:space="preserve"> or </w:t>
      </w:r>
      <w:r w:rsidR="00100024" w:rsidRPr="00A671BF">
        <w:t xml:space="preserve">in </w:t>
      </w:r>
      <w:r w:rsidR="0022073B" w:rsidRPr="00A671BF">
        <w:t>Europe</w:t>
      </w:r>
      <w:r w:rsidR="00B01653" w:rsidRPr="00A671BF">
        <w:t xml:space="preserve"> —</w:t>
      </w:r>
      <w:r w:rsidR="0022073B" w:rsidRPr="00A671BF">
        <w:t xml:space="preserve"> by </w:t>
      </w:r>
      <w:r w:rsidR="00100024" w:rsidRPr="00A671BF">
        <w:t xml:space="preserve">Whitehall </w:t>
      </w:r>
      <w:r w:rsidR="00F15DA6" w:rsidRPr="00A671BF">
        <w:t>administrators.</w:t>
      </w:r>
    </w:p>
    <w:p w:rsidR="00C76A02" w:rsidRPr="00A671BF" w:rsidRDefault="00C76A02" w:rsidP="0038784E">
      <w:pPr>
        <w:spacing w:line="360" w:lineRule="auto"/>
      </w:pPr>
    </w:p>
    <w:p w:rsidR="009E7433" w:rsidRPr="00A671BF" w:rsidRDefault="009E7433" w:rsidP="0038784E">
      <w:pPr>
        <w:spacing w:line="360" w:lineRule="auto"/>
      </w:pPr>
      <w:r w:rsidRPr="00A671BF">
        <w:t>‘</w:t>
      </w:r>
      <w:r w:rsidR="008A2B21" w:rsidRPr="00A671BF">
        <w:t xml:space="preserve">The Right of </w:t>
      </w:r>
      <w:r w:rsidR="001A46C8" w:rsidRPr="00A671BF">
        <w:t>Asylum</w:t>
      </w:r>
      <w:r w:rsidR="008A2B21" w:rsidRPr="00A671BF">
        <w:t xml:space="preserve"> for Indian Political Refugees</w:t>
      </w:r>
      <w:r w:rsidRPr="00A671BF">
        <w:t>’</w:t>
      </w:r>
      <w:r w:rsidR="008A2B21" w:rsidRPr="00A671BF">
        <w:rPr>
          <w:rStyle w:val="FootnoteReference"/>
        </w:rPr>
        <w:footnoteReference w:id="8"/>
      </w:r>
      <w:r w:rsidR="005B4B1B" w:rsidRPr="00A671BF">
        <w:t xml:space="preserve"> </w:t>
      </w:r>
    </w:p>
    <w:p w:rsidR="0001430E" w:rsidRPr="00A671BF" w:rsidRDefault="008A2B21" w:rsidP="0038784E">
      <w:pPr>
        <w:spacing w:line="360" w:lineRule="auto"/>
        <w:rPr>
          <w:rFonts w:eastAsia="Calibri" w:cs="Times New Roman"/>
        </w:rPr>
      </w:pPr>
      <w:r w:rsidRPr="00A671BF">
        <w:t>The Sa</w:t>
      </w:r>
      <w:r w:rsidR="001A46C8" w:rsidRPr="00A671BF">
        <w:t xml:space="preserve">varkar case had revealed the </w:t>
      </w:r>
      <w:r w:rsidR="0022073B" w:rsidRPr="00A671BF">
        <w:t>realities of</w:t>
      </w:r>
      <w:r w:rsidR="001A46C8" w:rsidRPr="00A671BF">
        <w:t xml:space="preserve"> inter-imperial co-operation</w:t>
      </w:r>
      <w:r w:rsidR="0022073B" w:rsidRPr="00A671BF">
        <w:t xml:space="preserve"> in Europe</w:t>
      </w:r>
      <w:r w:rsidR="001A46C8" w:rsidRPr="00A671BF">
        <w:t xml:space="preserve"> and thrown into question </w:t>
      </w:r>
      <w:r w:rsidR="00E14E70" w:rsidRPr="00A671BF">
        <w:t xml:space="preserve">how </w:t>
      </w:r>
      <w:r w:rsidR="00C41589" w:rsidRPr="00A671BF">
        <w:t>far France constituted a safe haven</w:t>
      </w:r>
      <w:r w:rsidR="00E14E70" w:rsidRPr="00A671BF">
        <w:t xml:space="preserve"> for British Indian subjects.</w:t>
      </w:r>
      <w:r w:rsidR="001A46C8" w:rsidRPr="00A671BF">
        <w:t xml:space="preserve"> By the outbreak of </w:t>
      </w:r>
      <w:r w:rsidR="0022073B" w:rsidRPr="00A671BF">
        <w:t xml:space="preserve">the </w:t>
      </w:r>
      <w:r w:rsidR="001A46C8" w:rsidRPr="00A671BF">
        <w:t xml:space="preserve">First World War, </w:t>
      </w:r>
      <w:r w:rsidR="001102DD" w:rsidRPr="00A671BF">
        <w:t xml:space="preserve">the Paris Indian Society had largely disbanded; only Mme </w:t>
      </w:r>
      <w:proofErr w:type="spellStart"/>
      <w:r w:rsidR="001102DD" w:rsidRPr="00A671BF">
        <w:t>Cama</w:t>
      </w:r>
      <w:proofErr w:type="spellEnd"/>
      <w:r w:rsidR="001102DD" w:rsidRPr="00A671BF">
        <w:t xml:space="preserve"> and S.</w:t>
      </w:r>
      <w:r w:rsidR="00911F6F" w:rsidRPr="00A671BF">
        <w:t xml:space="preserve"> </w:t>
      </w:r>
      <w:r w:rsidR="001102DD" w:rsidRPr="00A671BF">
        <w:t>R. Rana remained active in the capital. T</w:t>
      </w:r>
      <w:r w:rsidR="00AC70BF" w:rsidRPr="00A671BF">
        <w:t xml:space="preserve">he French authorities resisted British pressure to extradite Mme </w:t>
      </w:r>
      <w:proofErr w:type="spellStart"/>
      <w:r w:rsidR="00AC70BF" w:rsidRPr="00A671BF">
        <w:t>Cama</w:t>
      </w:r>
      <w:proofErr w:type="spellEnd"/>
      <w:r w:rsidR="00AC70BF" w:rsidRPr="00A671BF">
        <w:t xml:space="preserve">, correctly anticipating </w:t>
      </w:r>
      <w:r w:rsidR="001102DD" w:rsidRPr="00A671BF">
        <w:t>a major</w:t>
      </w:r>
      <w:r w:rsidR="00AC70BF" w:rsidRPr="00A671BF">
        <w:t xml:space="preserve"> </w:t>
      </w:r>
      <w:r w:rsidR="00D413E4" w:rsidRPr="00A671BF">
        <w:t xml:space="preserve">public </w:t>
      </w:r>
      <w:r w:rsidR="00AC70BF" w:rsidRPr="00A671BF">
        <w:t>outcry</w:t>
      </w:r>
      <w:r w:rsidR="00091209" w:rsidRPr="00A671BF">
        <w:t xml:space="preserve"> if they were to do so</w:t>
      </w:r>
      <w:r w:rsidR="001102DD" w:rsidRPr="00A671BF">
        <w:t>. But</w:t>
      </w:r>
      <w:r w:rsidR="00AC70BF" w:rsidRPr="00A671BF">
        <w:t xml:space="preserve"> </w:t>
      </w:r>
      <w:r w:rsidR="001102DD" w:rsidRPr="00A671BF">
        <w:t>after</w:t>
      </w:r>
      <w:r w:rsidR="00AC70BF" w:rsidRPr="00A671BF">
        <w:t xml:space="preserve"> her attempts to share ‘seditious</w:t>
      </w:r>
      <w:r w:rsidR="00091209" w:rsidRPr="00A671BF">
        <w:t>’</w:t>
      </w:r>
      <w:r w:rsidR="00AC70BF" w:rsidRPr="00A671BF">
        <w:t xml:space="preserve"> literature with Punjabi troops freshly arrived in Marseille</w:t>
      </w:r>
      <w:r w:rsidR="001102DD" w:rsidRPr="00A671BF">
        <w:t xml:space="preserve"> at the beginning of the war</w:t>
      </w:r>
      <w:r w:rsidR="00AC70BF" w:rsidRPr="00A671BF">
        <w:t xml:space="preserve">, she was interned in Vichy between October 1914 and </w:t>
      </w:r>
      <w:r w:rsidR="00D413E4" w:rsidRPr="00A671BF">
        <w:t>November 1917, an internment</w:t>
      </w:r>
      <w:r w:rsidR="00911F6F" w:rsidRPr="00A671BF">
        <w:t xml:space="preserve"> against</w:t>
      </w:r>
      <w:r w:rsidR="00D413E4" w:rsidRPr="00A671BF">
        <w:t xml:space="preserve"> which the Ligue des droits de </w:t>
      </w:r>
      <w:proofErr w:type="spellStart"/>
      <w:r w:rsidR="00D413E4" w:rsidRPr="00A671BF">
        <w:t>l’homme</w:t>
      </w:r>
      <w:proofErr w:type="spellEnd"/>
      <w:r w:rsidR="00D413E4" w:rsidRPr="00A671BF">
        <w:t xml:space="preserve"> </w:t>
      </w:r>
      <w:r w:rsidR="00DB6E74" w:rsidRPr="00A671BF">
        <w:t>(notably the Bordeaux branch) protested</w:t>
      </w:r>
      <w:r w:rsidR="00322175" w:rsidRPr="00A671BF">
        <w:t xml:space="preserve"> (</w:t>
      </w:r>
      <w:r w:rsidR="00F42143" w:rsidRPr="00A671BF">
        <w:t>Commissaire</w:t>
      </w:r>
      <w:r w:rsidR="00322175" w:rsidRPr="00A671BF">
        <w:t>, 1914)</w:t>
      </w:r>
      <w:r w:rsidR="00D413E4" w:rsidRPr="00A671BF">
        <w:t>.</w:t>
      </w:r>
      <w:r w:rsidR="002529A4" w:rsidRPr="00A671BF">
        <w:t xml:space="preserve"> S.</w:t>
      </w:r>
      <w:r w:rsidR="00911F6F" w:rsidRPr="00A671BF">
        <w:t xml:space="preserve"> </w:t>
      </w:r>
      <w:r w:rsidR="002529A4" w:rsidRPr="00A671BF">
        <w:t xml:space="preserve">R. Rana and his family were deported to Martinique, a deportation which was </w:t>
      </w:r>
      <w:r w:rsidR="00C41589" w:rsidRPr="00A671BF">
        <w:t xml:space="preserve">also </w:t>
      </w:r>
      <w:r w:rsidR="002529A4" w:rsidRPr="00A671BF">
        <w:t xml:space="preserve">vehemently criticized by the Ligue des droits de </w:t>
      </w:r>
      <w:proofErr w:type="spellStart"/>
      <w:r w:rsidR="002529A4" w:rsidRPr="00A671BF">
        <w:t>l’homme</w:t>
      </w:r>
      <w:proofErr w:type="spellEnd"/>
      <w:r w:rsidR="00322175" w:rsidRPr="00A671BF">
        <w:t xml:space="preserve"> (</w:t>
      </w:r>
      <w:proofErr w:type="spellStart"/>
      <w:r w:rsidR="00322175" w:rsidRPr="00A671BF">
        <w:t>Sareen</w:t>
      </w:r>
      <w:proofErr w:type="spellEnd"/>
      <w:r w:rsidR="00322175" w:rsidRPr="00A671BF">
        <w:t>, 1979: 47).</w:t>
      </w:r>
      <w:r w:rsidR="00F868ED" w:rsidRPr="00A671BF">
        <w:rPr>
          <w:rFonts w:eastAsia="Calibri" w:cs="Times New Roman"/>
        </w:rPr>
        <w:t xml:space="preserve"> </w:t>
      </w:r>
      <w:r w:rsidR="000F7D6F" w:rsidRPr="00A671BF">
        <w:rPr>
          <w:rFonts w:eastAsia="Calibri" w:cs="Times New Roman"/>
        </w:rPr>
        <w:t xml:space="preserve">After 1919, when Indians, along with other colonized peoples (Afghans, Egyptians, Africans, and peoples of African descent) once more returned to France, those British Indians who resided in Paris were to find that the ambivalence of their position which had been revealed pre-1914 </w:t>
      </w:r>
      <w:r w:rsidR="00091209" w:rsidRPr="00A671BF">
        <w:rPr>
          <w:rFonts w:eastAsia="Calibri" w:cs="Times New Roman"/>
        </w:rPr>
        <w:t>became more</w:t>
      </w:r>
      <w:r w:rsidR="00E14E70" w:rsidRPr="00A671BF">
        <w:rPr>
          <w:rFonts w:eastAsia="Calibri" w:cs="Times New Roman"/>
        </w:rPr>
        <w:t xml:space="preserve"> pronounced. British Indian subjects were closely monitored and liable to find their movement curtailed as a result of double </w:t>
      </w:r>
      <w:r w:rsidR="0008600B" w:rsidRPr="00A671BF">
        <w:rPr>
          <w:rFonts w:eastAsia="Calibri" w:cs="Times New Roman"/>
        </w:rPr>
        <w:t>surveillance</w:t>
      </w:r>
      <w:r w:rsidR="00E14E70" w:rsidRPr="00A671BF">
        <w:rPr>
          <w:rFonts w:eastAsia="Calibri" w:cs="Times New Roman"/>
        </w:rPr>
        <w:t xml:space="preserve"> and a tacit inter-imperial co</w:t>
      </w:r>
      <w:r w:rsidR="009E7433" w:rsidRPr="00A671BF">
        <w:rPr>
          <w:rFonts w:eastAsia="Calibri" w:cs="Times New Roman"/>
        </w:rPr>
        <w:t>-</w:t>
      </w:r>
      <w:r w:rsidR="00E14E70" w:rsidRPr="00A671BF">
        <w:rPr>
          <w:rFonts w:eastAsia="Calibri" w:cs="Times New Roman"/>
        </w:rPr>
        <w:t xml:space="preserve">operation. At the same time, the Indian nationalist cause became </w:t>
      </w:r>
      <w:r w:rsidR="009F5C8E" w:rsidRPr="00A671BF">
        <w:rPr>
          <w:rFonts w:eastAsia="Calibri" w:cs="Times New Roman"/>
        </w:rPr>
        <w:t>di</w:t>
      </w:r>
      <w:r w:rsidR="001102DD" w:rsidRPr="00A671BF">
        <w:rPr>
          <w:rFonts w:eastAsia="Calibri" w:cs="Times New Roman"/>
        </w:rPr>
        <w:t xml:space="preserve">stilled into one discrete story, </w:t>
      </w:r>
      <w:r w:rsidR="00E14E70" w:rsidRPr="00A671BF">
        <w:rPr>
          <w:rFonts w:eastAsia="Calibri" w:cs="Times New Roman"/>
        </w:rPr>
        <w:t>Gandhi</w:t>
      </w:r>
      <w:r w:rsidR="0008600B" w:rsidRPr="00A671BF">
        <w:rPr>
          <w:rFonts w:eastAsia="Calibri" w:cs="Times New Roman"/>
        </w:rPr>
        <w:t xml:space="preserve"> and </w:t>
      </w:r>
      <w:r w:rsidR="0008600B" w:rsidRPr="00A671BF">
        <w:rPr>
          <w:rFonts w:eastAsia="Calibri" w:cs="Times New Roman"/>
          <w:i/>
        </w:rPr>
        <w:t xml:space="preserve">le </w:t>
      </w:r>
      <w:proofErr w:type="spellStart"/>
      <w:r w:rsidR="0008600B" w:rsidRPr="00A671BF">
        <w:rPr>
          <w:rFonts w:eastAsia="Calibri" w:cs="Times New Roman"/>
          <w:i/>
        </w:rPr>
        <w:t>gandhisme</w:t>
      </w:r>
      <w:proofErr w:type="spellEnd"/>
      <w:r w:rsidR="001102DD" w:rsidRPr="00A671BF">
        <w:rPr>
          <w:rFonts w:eastAsia="Calibri" w:cs="Times New Roman"/>
        </w:rPr>
        <w:t>, gaining</w:t>
      </w:r>
      <w:r w:rsidR="00E14E70" w:rsidRPr="00A671BF">
        <w:rPr>
          <w:rFonts w:eastAsia="Calibri" w:cs="Times New Roman"/>
        </w:rPr>
        <w:t xml:space="preserve"> </w:t>
      </w:r>
      <w:r w:rsidR="001102DD" w:rsidRPr="00A671BF">
        <w:rPr>
          <w:rFonts w:eastAsia="Calibri" w:cs="Times New Roman"/>
        </w:rPr>
        <w:t>levels of</w:t>
      </w:r>
      <w:r w:rsidR="00E14E70" w:rsidRPr="00A671BF">
        <w:rPr>
          <w:rFonts w:eastAsia="Calibri" w:cs="Times New Roman"/>
        </w:rPr>
        <w:t xml:space="preserve"> support and sympathy</w:t>
      </w:r>
      <w:r w:rsidR="009F5C8E" w:rsidRPr="00A671BF">
        <w:rPr>
          <w:rFonts w:eastAsia="Calibri" w:cs="Times New Roman"/>
        </w:rPr>
        <w:t xml:space="preserve"> in the 1920s</w:t>
      </w:r>
      <w:r w:rsidR="00E14E70" w:rsidRPr="00A671BF">
        <w:rPr>
          <w:rFonts w:eastAsia="Calibri" w:cs="Times New Roman"/>
        </w:rPr>
        <w:t xml:space="preserve"> </w:t>
      </w:r>
      <w:r w:rsidR="00DB6E74" w:rsidRPr="00A671BF">
        <w:rPr>
          <w:rFonts w:eastAsia="Calibri" w:cs="Times New Roman"/>
        </w:rPr>
        <w:t>which</w:t>
      </w:r>
      <w:r w:rsidR="00E14E70" w:rsidRPr="00A671BF">
        <w:rPr>
          <w:rFonts w:eastAsia="Calibri" w:cs="Times New Roman"/>
        </w:rPr>
        <w:t xml:space="preserve"> </w:t>
      </w:r>
      <w:r w:rsidR="00DB6E74" w:rsidRPr="00A671BF">
        <w:rPr>
          <w:rFonts w:eastAsia="Calibri" w:cs="Times New Roman"/>
        </w:rPr>
        <w:t>quite surpassed those</w:t>
      </w:r>
      <w:r w:rsidR="00E14E70" w:rsidRPr="00A671BF">
        <w:rPr>
          <w:rFonts w:eastAsia="Calibri" w:cs="Times New Roman"/>
        </w:rPr>
        <w:t xml:space="preserve"> </w:t>
      </w:r>
      <w:r w:rsidR="00DB6E74" w:rsidRPr="00A671BF">
        <w:rPr>
          <w:rFonts w:eastAsia="Calibri" w:cs="Times New Roman"/>
        </w:rPr>
        <w:t>attracted</w:t>
      </w:r>
      <w:r w:rsidR="00091209" w:rsidRPr="00A671BF">
        <w:rPr>
          <w:rFonts w:eastAsia="Calibri" w:cs="Times New Roman"/>
        </w:rPr>
        <w:t xml:space="preserve"> by</w:t>
      </w:r>
      <w:r w:rsidR="00E14E70" w:rsidRPr="00A671BF">
        <w:rPr>
          <w:rFonts w:eastAsia="Calibri" w:cs="Times New Roman"/>
        </w:rPr>
        <w:t xml:space="preserve"> other nationalist causes caught up in the </w:t>
      </w:r>
      <w:r w:rsidR="000579A7" w:rsidRPr="00A671BF">
        <w:rPr>
          <w:rFonts w:eastAsia="Calibri" w:cs="Times New Roman"/>
        </w:rPr>
        <w:t>‘</w:t>
      </w:r>
      <w:r w:rsidR="00E14E70" w:rsidRPr="00A671BF">
        <w:rPr>
          <w:rFonts w:eastAsia="Calibri" w:cs="Times New Roman"/>
        </w:rPr>
        <w:t>Wilsonian moment</w:t>
      </w:r>
      <w:r w:rsidR="000579A7" w:rsidRPr="00A671BF">
        <w:rPr>
          <w:rFonts w:eastAsia="Calibri" w:cs="Times New Roman"/>
        </w:rPr>
        <w:t>’</w:t>
      </w:r>
      <w:r w:rsidR="00E14E70" w:rsidRPr="00A671BF">
        <w:rPr>
          <w:rFonts w:eastAsia="Calibri" w:cs="Times New Roman"/>
        </w:rPr>
        <w:t xml:space="preserve"> in Paris</w:t>
      </w:r>
      <w:r w:rsidR="00322175" w:rsidRPr="00A671BF">
        <w:rPr>
          <w:rFonts w:eastAsia="Calibri" w:cs="Times New Roman"/>
        </w:rPr>
        <w:t xml:space="preserve"> (</w:t>
      </w:r>
      <w:proofErr w:type="spellStart"/>
      <w:r w:rsidR="00322175" w:rsidRPr="00A671BF">
        <w:rPr>
          <w:rFonts w:eastAsia="Calibri" w:cs="Times New Roman"/>
        </w:rPr>
        <w:t>Latronche</w:t>
      </w:r>
      <w:proofErr w:type="spellEnd"/>
      <w:r w:rsidR="00322175" w:rsidRPr="00A671BF">
        <w:rPr>
          <w:rFonts w:eastAsia="Calibri" w:cs="Times New Roman"/>
        </w:rPr>
        <w:t xml:space="preserve">, 1999; </w:t>
      </w:r>
      <w:proofErr w:type="spellStart"/>
      <w:r w:rsidR="006732BE" w:rsidRPr="00A671BF">
        <w:rPr>
          <w:rFonts w:eastAsia="Calibri" w:cs="Times New Roman"/>
        </w:rPr>
        <w:t>Markovits</w:t>
      </w:r>
      <w:proofErr w:type="spellEnd"/>
      <w:r w:rsidR="006732BE" w:rsidRPr="00A671BF">
        <w:rPr>
          <w:rFonts w:eastAsia="Calibri" w:cs="Times New Roman"/>
        </w:rPr>
        <w:t xml:space="preserve">, 2000; </w:t>
      </w:r>
      <w:r w:rsidR="00F42143" w:rsidRPr="00A671BF">
        <w:rPr>
          <w:rFonts w:eastAsia="Calibri" w:cs="Times New Roman"/>
        </w:rPr>
        <w:t>Marsh, 2007</w:t>
      </w:r>
      <w:r w:rsidR="00322175" w:rsidRPr="00A671BF">
        <w:rPr>
          <w:rFonts w:eastAsia="Calibri" w:cs="Times New Roman"/>
        </w:rPr>
        <w:t>)</w:t>
      </w:r>
      <w:r w:rsidR="00E14E70" w:rsidRPr="00A671BF">
        <w:rPr>
          <w:rFonts w:eastAsia="Calibri" w:cs="Times New Roman"/>
        </w:rPr>
        <w:t>.</w:t>
      </w:r>
      <w:r w:rsidR="00D5574A" w:rsidRPr="00A671BF">
        <w:rPr>
          <w:rFonts w:eastAsia="Calibri" w:cs="Times New Roman"/>
        </w:rPr>
        <w:t xml:space="preserve"> </w:t>
      </w:r>
    </w:p>
    <w:p w:rsidR="001F78E4" w:rsidRPr="00A671BF" w:rsidRDefault="00F868ED" w:rsidP="0038784E">
      <w:pPr>
        <w:spacing w:line="360" w:lineRule="auto"/>
        <w:rPr>
          <w:rFonts w:eastAsia="Calibri" w:cs="Times New Roman"/>
        </w:rPr>
      </w:pPr>
      <w:r w:rsidRPr="00A671BF">
        <w:rPr>
          <w:rFonts w:eastAsia="Calibri" w:cs="Times New Roman"/>
        </w:rPr>
        <w:tab/>
        <w:t>British agents monitored the activities of Indians in Paris</w:t>
      </w:r>
      <w:r w:rsidR="00A01189" w:rsidRPr="00A671BF">
        <w:rPr>
          <w:rFonts w:eastAsia="Calibri" w:cs="Times New Roman"/>
        </w:rPr>
        <w:t>,</w:t>
      </w:r>
      <w:r w:rsidRPr="00A671BF">
        <w:rPr>
          <w:rFonts w:eastAsia="Calibri" w:cs="Times New Roman"/>
        </w:rPr>
        <w:t xml:space="preserve"> as</w:t>
      </w:r>
      <w:r w:rsidR="00A01189" w:rsidRPr="00A671BF">
        <w:rPr>
          <w:rFonts w:eastAsia="Calibri" w:cs="Times New Roman"/>
        </w:rPr>
        <w:t xml:space="preserve"> </w:t>
      </w:r>
      <w:r w:rsidR="0008600B" w:rsidRPr="00A671BF">
        <w:rPr>
          <w:rFonts w:eastAsia="Calibri" w:cs="Times New Roman"/>
        </w:rPr>
        <w:t xml:space="preserve">did </w:t>
      </w:r>
      <w:r w:rsidR="00F12A88" w:rsidRPr="00A671BF">
        <w:rPr>
          <w:rFonts w:eastAsia="Calibri" w:cs="Times New Roman"/>
        </w:rPr>
        <w:t xml:space="preserve">officers of the </w:t>
      </w:r>
      <w:proofErr w:type="spellStart"/>
      <w:r w:rsidR="00F12A88" w:rsidRPr="00A671BF">
        <w:rPr>
          <w:rFonts w:eastAsia="Calibri" w:cs="Times New Roman"/>
        </w:rPr>
        <w:t>Préfecture</w:t>
      </w:r>
      <w:proofErr w:type="spellEnd"/>
      <w:r w:rsidR="00F12A88" w:rsidRPr="00A671BF">
        <w:rPr>
          <w:rFonts w:eastAsia="Calibri" w:cs="Times New Roman"/>
        </w:rPr>
        <w:t xml:space="preserve"> de Police de Paris</w:t>
      </w:r>
      <w:r w:rsidR="00A01189" w:rsidRPr="00A671BF">
        <w:rPr>
          <w:rFonts w:eastAsia="Calibri" w:cs="Times New Roman"/>
        </w:rPr>
        <w:t>; w</w:t>
      </w:r>
      <w:r w:rsidR="0001430E" w:rsidRPr="00A671BF">
        <w:rPr>
          <w:rFonts w:eastAsia="Calibri" w:cs="Times New Roman"/>
        </w:rPr>
        <w:t>hen Indians interacted with French colonial subjects, French agents of the CAI</w:t>
      </w:r>
      <w:r w:rsidR="00A01189" w:rsidRPr="00A671BF">
        <w:rPr>
          <w:rFonts w:eastAsia="Calibri" w:cs="Times New Roman"/>
        </w:rPr>
        <w:t xml:space="preserve"> became involved. C</w:t>
      </w:r>
      <w:r w:rsidR="0008600B" w:rsidRPr="00A671BF">
        <w:rPr>
          <w:rFonts w:eastAsia="Calibri" w:cs="Times New Roman"/>
        </w:rPr>
        <w:t>ollectively</w:t>
      </w:r>
      <w:r w:rsidR="00A01189" w:rsidRPr="00A671BF">
        <w:rPr>
          <w:rFonts w:eastAsia="Calibri" w:cs="Times New Roman"/>
        </w:rPr>
        <w:t>,</w:t>
      </w:r>
      <w:r w:rsidR="0008600B" w:rsidRPr="00A671BF">
        <w:rPr>
          <w:rFonts w:eastAsia="Calibri" w:cs="Times New Roman"/>
        </w:rPr>
        <w:t xml:space="preserve"> </w:t>
      </w:r>
      <w:r w:rsidR="00A01189" w:rsidRPr="00A671BF">
        <w:rPr>
          <w:rFonts w:eastAsia="Calibri" w:cs="Times New Roman"/>
        </w:rPr>
        <w:t>the reports of these agencies</w:t>
      </w:r>
      <w:r w:rsidR="0008600B" w:rsidRPr="00A671BF">
        <w:rPr>
          <w:rFonts w:eastAsia="Calibri" w:cs="Times New Roman"/>
        </w:rPr>
        <w:t xml:space="preserve"> </w:t>
      </w:r>
      <w:r w:rsidR="00A01189" w:rsidRPr="00A671BF">
        <w:rPr>
          <w:rFonts w:eastAsia="Calibri" w:cs="Times New Roman"/>
        </w:rPr>
        <w:t>provide</w:t>
      </w:r>
      <w:r w:rsidR="0008600B" w:rsidRPr="00A671BF">
        <w:rPr>
          <w:rFonts w:eastAsia="Calibri" w:cs="Times New Roman"/>
        </w:rPr>
        <w:t xml:space="preserve"> a </w:t>
      </w:r>
      <w:r w:rsidR="00524D7A" w:rsidRPr="00A671BF">
        <w:rPr>
          <w:rFonts w:eastAsia="Calibri" w:cs="Times New Roman"/>
        </w:rPr>
        <w:t>detailed picture of the small group of British Indian subjects who made Paris their home</w:t>
      </w:r>
      <w:r w:rsidR="00A01189" w:rsidRPr="00A671BF">
        <w:rPr>
          <w:rFonts w:eastAsia="Calibri" w:cs="Times New Roman"/>
        </w:rPr>
        <w:t xml:space="preserve">, but also </w:t>
      </w:r>
      <w:r w:rsidR="00A01189" w:rsidRPr="00A671BF">
        <w:rPr>
          <w:rFonts w:eastAsia="Calibri" w:cs="Times New Roman"/>
        </w:rPr>
        <w:lastRenderedPageBreak/>
        <w:t xml:space="preserve">generate a somewhat chaotic impression of </w:t>
      </w:r>
      <w:r w:rsidR="001F78E4" w:rsidRPr="00A671BF">
        <w:rPr>
          <w:rFonts w:eastAsia="Calibri" w:cs="Times New Roman"/>
        </w:rPr>
        <w:t>intense scrutiny</w:t>
      </w:r>
      <w:r w:rsidR="00A01189" w:rsidRPr="00A671BF">
        <w:rPr>
          <w:rFonts w:eastAsia="Calibri" w:cs="Times New Roman"/>
        </w:rPr>
        <w:t xml:space="preserve"> compromised by</w:t>
      </w:r>
      <w:r w:rsidR="005E58CA" w:rsidRPr="00A671BF">
        <w:rPr>
          <w:rFonts w:eastAsia="Calibri" w:cs="Times New Roman"/>
        </w:rPr>
        <w:t xml:space="preserve"> overlapping jurisdictions and contradictory information.</w:t>
      </w:r>
      <w:r w:rsidR="001F78E4" w:rsidRPr="00A671BF">
        <w:rPr>
          <w:rFonts w:eastAsia="Calibri" w:cs="Times New Roman"/>
        </w:rPr>
        <w:t xml:space="preserve"> Inter-imperial </w:t>
      </w:r>
      <w:r w:rsidR="00DB1D42" w:rsidRPr="00A671BF">
        <w:rPr>
          <w:rFonts w:eastAsia="Calibri" w:cs="Times New Roman"/>
        </w:rPr>
        <w:t>co</w:t>
      </w:r>
      <w:r w:rsidR="009E7433" w:rsidRPr="00A671BF">
        <w:rPr>
          <w:rFonts w:eastAsia="Calibri" w:cs="Times New Roman"/>
        </w:rPr>
        <w:t>-</w:t>
      </w:r>
      <w:r w:rsidR="00DB1D42" w:rsidRPr="00A671BF">
        <w:rPr>
          <w:rFonts w:eastAsia="Calibri" w:cs="Times New Roman"/>
        </w:rPr>
        <w:t xml:space="preserve">operation </w:t>
      </w:r>
      <w:r w:rsidR="001F78E4" w:rsidRPr="00A671BF">
        <w:rPr>
          <w:rFonts w:eastAsia="Calibri" w:cs="Times New Roman"/>
        </w:rPr>
        <w:t>existed</w:t>
      </w:r>
      <w:r w:rsidR="005E58CA" w:rsidRPr="00A671BF">
        <w:rPr>
          <w:rFonts w:eastAsia="Calibri" w:cs="Times New Roman"/>
        </w:rPr>
        <w:t>, result</w:t>
      </w:r>
      <w:r w:rsidR="00147237" w:rsidRPr="00A671BF">
        <w:rPr>
          <w:rFonts w:eastAsia="Calibri" w:cs="Times New Roman"/>
        </w:rPr>
        <w:t>ing</w:t>
      </w:r>
      <w:r w:rsidR="005E58CA" w:rsidRPr="00A671BF">
        <w:rPr>
          <w:rFonts w:eastAsia="Calibri" w:cs="Times New Roman"/>
        </w:rPr>
        <w:t xml:space="preserve"> in expulsions that were </w:t>
      </w:r>
      <w:r w:rsidR="00147237" w:rsidRPr="00A671BF">
        <w:rPr>
          <w:rFonts w:eastAsia="Calibri" w:cs="Times New Roman"/>
        </w:rPr>
        <w:t>advantageous</w:t>
      </w:r>
      <w:r w:rsidR="005E58CA" w:rsidRPr="00A671BF">
        <w:rPr>
          <w:rFonts w:eastAsia="Calibri" w:cs="Times New Roman"/>
        </w:rPr>
        <w:t xml:space="preserve"> to both the British and </w:t>
      </w:r>
      <w:r w:rsidR="00147237" w:rsidRPr="00A671BF">
        <w:rPr>
          <w:rFonts w:eastAsia="Calibri" w:cs="Times New Roman"/>
        </w:rPr>
        <w:t xml:space="preserve">the </w:t>
      </w:r>
      <w:r w:rsidR="005E58CA" w:rsidRPr="00A671BF">
        <w:rPr>
          <w:rFonts w:eastAsia="Calibri" w:cs="Times New Roman"/>
        </w:rPr>
        <w:t xml:space="preserve">French </w:t>
      </w:r>
      <w:r w:rsidR="00147237" w:rsidRPr="00A671BF">
        <w:rPr>
          <w:rFonts w:eastAsia="Calibri" w:cs="Times New Roman"/>
        </w:rPr>
        <w:t xml:space="preserve">authorities </w:t>
      </w:r>
      <w:r w:rsidR="005E58CA" w:rsidRPr="00A671BF">
        <w:rPr>
          <w:rFonts w:eastAsia="Calibri" w:cs="Times New Roman"/>
        </w:rPr>
        <w:t xml:space="preserve">(as will be seen </w:t>
      </w:r>
      <w:r w:rsidR="00147237" w:rsidRPr="00A671BF">
        <w:rPr>
          <w:rFonts w:eastAsia="Calibri" w:cs="Times New Roman"/>
        </w:rPr>
        <w:t>in</w:t>
      </w:r>
      <w:r w:rsidR="005E58CA" w:rsidRPr="00A671BF">
        <w:rPr>
          <w:rFonts w:eastAsia="Calibri" w:cs="Times New Roman"/>
        </w:rPr>
        <w:t xml:space="preserve"> the case of M. N. Roy)</w:t>
      </w:r>
      <w:r w:rsidR="00147237" w:rsidRPr="00A671BF">
        <w:rPr>
          <w:rFonts w:eastAsia="Calibri" w:cs="Times New Roman"/>
        </w:rPr>
        <w:t>,</w:t>
      </w:r>
      <w:r w:rsidR="001F78E4" w:rsidRPr="00A671BF">
        <w:rPr>
          <w:rFonts w:eastAsia="Calibri" w:cs="Times New Roman"/>
        </w:rPr>
        <w:t xml:space="preserve"> but it </w:t>
      </w:r>
      <w:r w:rsidR="00147237" w:rsidRPr="00A671BF">
        <w:rPr>
          <w:rFonts w:eastAsia="Calibri" w:cs="Times New Roman"/>
        </w:rPr>
        <w:t>could be</w:t>
      </w:r>
      <w:r w:rsidR="001F78E4" w:rsidRPr="00A671BF">
        <w:rPr>
          <w:rFonts w:eastAsia="Calibri" w:cs="Times New Roman"/>
        </w:rPr>
        <w:t xml:space="preserve"> haphazard and frequently produced unintended conseq</w:t>
      </w:r>
      <w:r w:rsidR="00DB1D42" w:rsidRPr="00A671BF">
        <w:rPr>
          <w:rFonts w:eastAsia="Calibri" w:cs="Times New Roman"/>
        </w:rPr>
        <w:t>uences. More</w:t>
      </w:r>
      <w:r w:rsidR="00A16A97" w:rsidRPr="00A671BF">
        <w:rPr>
          <w:rFonts w:eastAsia="Calibri" w:cs="Times New Roman"/>
        </w:rPr>
        <w:t xml:space="preserve">over, even when stringent legislation existed for </w:t>
      </w:r>
      <w:r w:rsidR="00F1629F" w:rsidRPr="00A671BF">
        <w:rPr>
          <w:rFonts w:eastAsia="Calibri" w:cs="Times New Roman"/>
        </w:rPr>
        <w:t>expelling</w:t>
      </w:r>
      <w:r w:rsidR="00A16A97" w:rsidRPr="00A671BF">
        <w:rPr>
          <w:rFonts w:eastAsia="Calibri" w:cs="Times New Roman"/>
        </w:rPr>
        <w:t xml:space="preserve"> revolutionaries </w:t>
      </w:r>
      <w:r w:rsidR="00F1629F" w:rsidRPr="00A671BF">
        <w:rPr>
          <w:rFonts w:eastAsia="Calibri" w:cs="Times New Roman"/>
        </w:rPr>
        <w:t xml:space="preserve">whom the French </w:t>
      </w:r>
      <w:r w:rsidR="00A16A97" w:rsidRPr="00A671BF">
        <w:rPr>
          <w:rFonts w:eastAsia="Calibri" w:cs="Times New Roman"/>
        </w:rPr>
        <w:t xml:space="preserve">deemed a threat, </w:t>
      </w:r>
      <w:r w:rsidR="00DB1D42" w:rsidRPr="00A671BF">
        <w:rPr>
          <w:rFonts w:eastAsia="Calibri" w:cs="Times New Roman"/>
        </w:rPr>
        <w:t>this was not backed up by systematic action</w:t>
      </w:r>
      <w:r w:rsidR="00322175" w:rsidRPr="00A671BF">
        <w:rPr>
          <w:rFonts w:eastAsia="Calibri" w:cs="Times New Roman"/>
        </w:rPr>
        <w:t xml:space="preserve"> (Gordon, 2005: 227)</w:t>
      </w:r>
      <w:r w:rsidR="00DB1D42" w:rsidRPr="00A671BF">
        <w:rPr>
          <w:rFonts w:eastAsia="Calibri" w:cs="Times New Roman"/>
        </w:rPr>
        <w:t xml:space="preserve">. </w:t>
      </w:r>
    </w:p>
    <w:p w:rsidR="00874C1E" w:rsidRPr="00A671BF" w:rsidRDefault="00524D7A" w:rsidP="0038784E">
      <w:pPr>
        <w:spacing w:line="360" w:lineRule="auto"/>
        <w:ind w:firstLine="720"/>
        <w:rPr>
          <w:rFonts w:eastAsia="Calibri" w:cs="Times New Roman"/>
        </w:rPr>
      </w:pPr>
      <w:r w:rsidRPr="00A671BF">
        <w:rPr>
          <w:rFonts w:eastAsia="Calibri" w:cs="Times New Roman"/>
        </w:rPr>
        <w:t xml:space="preserve"> Unlike the majority of migrants from France’s colonies, those Indians who were subjected to surveillance </w:t>
      </w:r>
      <w:r w:rsidR="00EE446D" w:rsidRPr="00A671BF">
        <w:rPr>
          <w:rFonts w:eastAsia="Calibri" w:cs="Times New Roman"/>
        </w:rPr>
        <w:t>tended to be at least moderately secure in</w:t>
      </w:r>
      <w:r w:rsidRPr="00A671BF">
        <w:rPr>
          <w:rFonts w:eastAsia="Calibri" w:cs="Times New Roman"/>
        </w:rPr>
        <w:t xml:space="preserve"> economic </w:t>
      </w:r>
      <w:r w:rsidR="00EE446D" w:rsidRPr="00A671BF">
        <w:rPr>
          <w:rFonts w:eastAsia="Calibri" w:cs="Times New Roman"/>
        </w:rPr>
        <w:t>terms</w:t>
      </w:r>
      <w:r w:rsidRPr="00A671BF">
        <w:rPr>
          <w:rFonts w:eastAsia="Calibri" w:cs="Times New Roman"/>
        </w:rPr>
        <w:t>,</w:t>
      </w:r>
      <w:r w:rsidR="00F12A88" w:rsidRPr="00A671BF">
        <w:rPr>
          <w:rFonts w:eastAsia="Calibri" w:cs="Times New Roman"/>
        </w:rPr>
        <w:t xml:space="preserve"> being</w:t>
      </w:r>
      <w:r w:rsidRPr="00A671BF">
        <w:rPr>
          <w:rFonts w:eastAsia="Calibri" w:cs="Times New Roman"/>
        </w:rPr>
        <w:t xml:space="preserve"> overwhelmingly </w:t>
      </w:r>
      <w:r w:rsidR="00EE446D" w:rsidRPr="00A671BF">
        <w:rPr>
          <w:rFonts w:eastAsia="Calibri" w:cs="Times New Roman"/>
        </w:rPr>
        <w:t xml:space="preserve">either </w:t>
      </w:r>
      <w:r w:rsidRPr="00A671BF">
        <w:rPr>
          <w:rFonts w:eastAsia="Calibri" w:cs="Times New Roman"/>
        </w:rPr>
        <w:t>students</w:t>
      </w:r>
      <w:r w:rsidR="001F78E4" w:rsidRPr="00A671BF">
        <w:rPr>
          <w:rFonts w:eastAsia="Calibri" w:cs="Times New Roman"/>
        </w:rPr>
        <w:t xml:space="preserve"> from bourgeois backgrounds</w:t>
      </w:r>
      <w:r w:rsidRPr="00A671BF">
        <w:rPr>
          <w:rFonts w:eastAsia="Calibri" w:cs="Times New Roman"/>
        </w:rPr>
        <w:t xml:space="preserve"> or merchants. </w:t>
      </w:r>
      <w:r w:rsidR="00EE446D" w:rsidRPr="00A671BF">
        <w:rPr>
          <w:rFonts w:eastAsia="Calibri" w:cs="Times New Roman"/>
        </w:rPr>
        <w:t>Nearly all</w:t>
      </w:r>
      <w:r w:rsidRPr="00A671BF">
        <w:rPr>
          <w:rFonts w:eastAsia="Calibri" w:cs="Times New Roman"/>
        </w:rPr>
        <w:t xml:space="preserve"> were male.</w:t>
      </w:r>
      <w:r w:rsidR="00EE446D" w:rsidRPr="00A671BF">
        <w:rPr>
          <w:rFonts w:eastAsia="Calibri" w:cs="Times New Roman"/>
        </w:rPr>
        <w:t xml:space="preserve"> </w:t>
      </w:r>
      <w:r w:rsidR="00F12A88" w:rsidRPr="00A671BF">
        <w:rPr>
          <w:rFonts w:eastAsia="Calibri" w:cs="Times New Roman"/>
        </w:rPr>
        <w:t xml:space="preserve">A report by </w:t>
      </w:r>
      <w:r w:rsidR="00322175" w:rsidRPr="00A671BF">
        <w:rPr>
          <w:rFonts w:eastAsia="Calibri" w:cs="Times New Roman"/>
        </w:rPr>
        <w:t>the</w:t>
      </w:r>
      <w:r w:rsidR="00F12A88" w:rsidRPr="00A671BF">
        <w:rPr>
          <w:rFonts w:eastAsia="Calibri" w:cs="Times New Roman"/>
        </w:rPr>
        <w:t xml:space="preserve"> </w:t>
      </w:r>
      <w:r w:rsidR="00F27ABD" w:rsidRPr="00A671BF">
        <w:rPr>
          <w:rFonts w:eastAsia="Calibri" w:cs="Times New Roman"/>
        </w:rPr>
        <w:t>C</w:t>
      </w:r>
      <w:r w:rsidR="00F12A88" w:rsidRPr="00A671BF">
        <w:rPr>
          <w:rFonts w:eastAsia="Calibri" w:cs="Times New Roman"/>
        </w:rPr>
        <w:t xml:space="preserve">hef du </w:t>
      </w:r>
      <w:r w:rsidR="00F27ABD" w:rsidRPr="00A671BF">
        <w:rPr>
          <w:rFonts w:eastAsia="Calibri" w:cs="Times New Roman"/>
        </w:rPr>
        <w:t>S</w:t>
      </w:r>
      <w:r w:rsidR="00F12A88" w:rsidRPr="00A671BF">
        <w:rPr>
          <w:rFonts w:eastAsia="Calibri" w:cs="Times New Roman"/>
        </w:rPr>
        <w:t xml:space="preserve">ervice des </w:t>
      </w:r>
      <w:proofErr w:type="spellStart"/>
      <w:r w:rsidR="00F12A88" w:rsidRPr="00A671BF">
        <w:rPr>
          <w:rFonts w:eastAsia="Calibri" w:cs="Times New Roman"/>
        </w:rPr>
        <w:t>ren</w:t>
      </w:r>
      <w:r w:rsidR="00A16A97" w:rsidRPr="00A671BF">
        <w:rPr>
          <w:rFonts w:eastAsia="Calibri" w:cs="Times New Roman"/>
        </w:rPr>
        <w:t>seignements</w:t>
      </w:r>
      <w:proofErr w:type="spellEnd"/>
      <w:r w:rsidR="00A16A97" w:rsidRPr="00A671BF">
        <w:rPr>
          <w:rFonts w:eastAsia="Calibri" w:cs="Times New Roman"/>
        </w:rPr>
        <w:t xml:space="preserve"> </w:t>
      </w:r>
      <w:proofErr w:type="spellStart"/>
      <w:r w:rsidR="00322175" w:rsidRPr="00A671BF">
        <w:rPr>
          <w:rFonts w:eastAsia="Calibri" w:cs="Times New Roman"/>
        </w:rPr>
        <w:t>généraux</w:t>
      </w:r>
      <w:proofErr w:type="spellEnd"/>
      <w:r w:rsidR="00A16A97" w:rsidRPr="00A671BF">
        <w:rPr>
          <w:rFonts w:eastAsia="Calibri" w:cs="Times New Roman"/>
        </w:rPr>
        <w:t xml:space="preserve"> to the</w:t>
      </w:r>
      <w:r w:rsidR="00297F3E" w:rsidRPr="00A671BF">
        <w:rPr>
          <w:rFonts w:eastAsia="Calibri" w:cs="Times New Roman"/>
        </w:rPr>
        <w:t xml:space="preserve"> </w:t>
      </w:r>
      <w:proofErr w:type="spellStart"/>
      <w:r w:rsidR="00297F3E" w:rsidRPr="00A671BF">
        <w:rPr>
          <w:rFonts w:eastAsia="Calibri" w:cs="Times New Roman"/>
        </w:rPr>
        <w:t>Préfet</w:t>
      </w:r>
      <w:proofErr w:type="spellEnd"/>
      <w:r w:rsidR="00297F3E" w:rsidRPr="00A671BF">
        <w:rPr>
          <w:rFonts w:eastAsia="Calibri" w:cs="Times New Roman"/>
        </w:rPr>
        <w:t xml:space="preserve"> de Police in</w:t>
      </w:r>
      <w:r w:rsidR="00F12A88" w:rsidRPr="00A671BF">
        <w:rPr>
          <w:rFonts w:eastAsia="Calibri" w:cs="Times New Roman"/>
        </w:rPr>
        <w:t xml:space="preserve"> November 1921 includes biographical </w:t>
      </w:r>
      <w:proofErr w:type="spellStart"/>
      <w:r w:rsidR="00F12A88" w:rsidRPr="00A671BF">
        <w:rPr>
          <w:rFonts w:eastAsia="Calibri" w:cs="Times New Roman"/>
          <w:i/>
        </w:rPr>
        <w:t>aperçus</w:t>
      </w:r>
      <w:proofErr w:type="spellEnd"/>
      <w:r w:rsidR="00F12A88" w:rsidRPr="00A671BF">
        <w:rPr>
          <w:rFonts w:eastAsia="Calibri" w:cs="Times New Roman"/>
        </w:rPr>
        <w:t xml:space="preserve"> of </w:t>
      </w:r>
      <w:r w:rsidR="009E48B1" w:rsidRPr="00A671BF">
        <w:rPr>
          <w:rFonts w:eastAsia="Calibri" w:cs="Times New Roman"/>
        </w:rPr>
        <w:t xml:space="preserve">fifteen men </w:t>
      </w:r>
      <w:r w:rsidR="004C2733" w:rsidRPr="00A671BF">
        <w:rPr>
          <w:rFonts w:eastAsia="Calibri" w:cs="Times New Roman"/>
        </w:rPr>
        <w:t xml:space="preserve">whom it identifies as leaders of two ‘Hindu’ associations in Paris, </w:t>
      </w:r>
      <w:r w:rsidR="001F78E4" w:rsidRPr="00A671BF">
        <w:rPr>
          <w:rFonts w:eastAsia="Calibri" w:cs="Times New Roman"/>
        </w:rPr>
        <w:t>‘</w:t>
      </w:r>
      <w:proofErr w:type="spellStart"/>
      <w:r w:rsidR="004C2733" w:rsidRPr="00A671BF">
        <w:rPr>
          <w:rFonts w:eastAsia="Calibri" w:cs="Times New Roman"/>
        </w:rPr>
        <w:t>l’Association</w:t>
      </w:r>
      <w:proofErr w:type="spellEnd"/>
      <w:r w:rsidR="004C2733" w:rsidRPr="00A671BF">
        <w:rPr>
          <w:rFonts w:eastAsia="Calibri" w:cs="Times New Roman"/>
        </w:rPr>
        <w:t xml:space="preserve"> des </w:t>
      </w:r>
      <w:proofErr w:type="spellStart"/>
      <w:r w:rsidR="004C2733" w:rsidRPr="00A671BF">
        <w:rPr>
          <w:rFonts w:eastAsia="Calibri" w:cs="Times New Roman"/>
        </w:rPr>
        <w:t>Hindous</w:t>
      </w:r>
      <w:proofErr w:type="spellEnd"/>
      <w:r w:rsidR="004C2733" w:rsidRPr="00A671BF">
        <w:rPr>
          <w:rFonts w:eastAsia="Calibri" w:cs="Times New Roman"/>
        </w:rPr>
        <w:t xml:space="preserve"> de Paris’ and the </w:t>
      </w:r>
      <w:r w:rsidR="00A5288E" w:rsidRPr="00A671BF">
        <w:rPr>
          <w:rFonts w:eastAsia="Calibri" w:cs="Times New Roman"/>
        </w:rPr>
        <w:t>‘</w:t>
      </w:r>
      <w:proofErr w:type="spellStart"/>
      <w:r w:rsidR="004C2733" w:rsidRPr="00A671BF">
        <w:rPr>
          <w:rFonts w:eastAsia="Calibri" w:cs="Times New Roman"/>
        </w:rPr>
        <w:t>Chambre</w:t>
      </w:r>
      <w:proofErr w:type="spellEnd"/>
      <w:r w:rsidR="004C2733" w:rsidRPr="00A671BF">
        <w:rPr>
          <w:rFonts w:eastAsia="Calibri" w:cs="Times New Roman"/>
        </w:rPr>
        <w:t xml:space="preserve"> de Commerce </w:t>
      </w:r>
      <w:proofErr w:type="spellStart"/>
      <w:r w:rsidR="004C2733" w:rsidRPr="00A671BF">
        <w:rPr>
          <w:rFonts w:eastAsia="Calibri" w:cs="Times New Roman"/>
        </w:rPr>
        <w:t>hindoue</w:t>
      </w:r>
      <w:proofErr w:type="spellEnd"/>
      <w:r w:rsidR="004C2733" w:rsidRPr="00A671BF">
        <w:rPr>
          <w:rFonts w:eastAsia="Calibri" w:cs="Times New Roman"/>
        </w:rPr>
        <w:t xml:space="preserve"> </w:t>
      </w:r>
      <w:proofErr w:type="spellStart"/>
      <w:r w:rsidR="004C2733" w:rsidRPr="00A671BF">
        <w:rPr>
          <w:rFonts w:eastAsia="Calibri" w:cs="Times New Roman"/>
        </w:rPr>
        <w:t>en</w:t>
      </w:r>
      <w:proofErr w:type="spellEnd"/>
      <w:r w:rsidR="004C2733" w:rsidRPr="00A671BF">
        <w:rPr>
          <w:rFonts w:eastAsia="Calibri" w:cs="Times New Roman"/>
        </w:rPr>
        <w:t xml:space="preserve"> France</w:t>
      </w:r>
      <w:r w:rsidR="00A5288E" w:rsidRPr="00A671BF">
        <w:rPr>
          <w:rFonts w:eastAsia="Calibri" w:cs="Times New Roman"/>
        </w:rPr>
        <w:t>’</w:t>
      </w:r>
      <w:r w:rsidR="00322175" w:rsidRPr="00A671BF">
        <w:rPr>
          <w:rFonts w:eastAsia="Calibri" w:cs="Times New Roman"/>
        </w:rPr>
        <w:t xml:space="preserve"> (</w:t>
      </w:r>
      <w:r w:rsidR="00F27ABD" w:rsidRPr="00A671BF">
        <w:rPr>
          <w:rFonts w:eastAsia="Calibri" w:cs="Times New Roman"/>
        </w:rPr>
        <w:t>Chef du Service</w:t>
      </w:r>
      <w:r w:rsidR="00322175" w:rsidRPr="00A671BF">
        <w:rPr>
          <w:rFonts w:eastAsia="Calibri" w:cs="Times New Roman"/>
        </w:rPr>
        <w:t>, 1921)</w:t>
      </w:r>
      <w:r w:rsidR="004C2733" w:rsidRPr="00A671BF">
        <w:rPr>
          <w:rFonts w:eastAsia="Calibri" w:cs="Times New Roman"/>
        </w:rPr>
        <w:t>.</w:t>
      </w:r>
      <w:r w:rsidR="00E73661" w:rsidRPr="00A671BF">
        <w:rPr>
          <w:rFonts w:eastAsia="Calibri" w:cs="Times New Roman"/>
        </w:rPr>
        <w:t xml:space="preserve"> </w:t>
      </w:r>
      <w:r w:rsidR="00790C70" w:rsidRPr="00A671BF">
        <w:rPr>
          <w:rFonts w:eastAsia="Calibri" w:cs="Times New Roman"/>
        </w:rPr>
        <w:t>The term ‘</w:t>
      </w:r>
      <w:proofErr w:type="spellStart"/>
      <w:r w:rsidR="00790C70" w:rsidRPr="00A671BF">
        <w:rPr>
          <w:rFonts w:eastAsia="Calibri" w:cs="Times New Roman"/>
        </w:rPr>
        <w:t>Hindou</w:t>
      </w:r>
      <w:proofErr w:type="spellEnd"/>
      <w:r w:rsidR="00790C70" w:rsidRPr="00A671BF">
        <w:rPr>
          <w:rFonts w:eastAsia="Calibri" w:cs="Times New Roman"/>
        </w:rPr>
        <w:t xml:space="preserve">’ is somewhat slippery: </w:t>
      </w:r>
      <w:r w:rsidR="00A31D78" w:rsidRPr="00A671BF">
        <w:rPr>
          <w:rFonts w:eastAsia="Calibri" w:cs="Times New Roman"/>
        </w:rPr>
        <w:t>although it was</w:t>
      </w:r>
      <w:r w:rsidR="00790C70" w:rsidRPr="00A671BF">
        <w:rPr>
          <w:rFonts w:eastAsia="Calibri" w:cs="Times New Roman"/>
        </w:rPr>
        <w:t xml:space="preserve"> used by some officers to denote the religion of the subjects </w:t>
      </w:r>
      <w:r w:rsidR="00A31D78" w:rsidRPr="00A671BF">
        <w:rPr>
          <w:rFonts w:eastAsia="Calibri" w:cs="Times New Roman"/>
        </w:rPr>
        <w:t>under surveillance</w:t>
      </w:r>
      <w:r w:rsidR="00E73661" w:rsidRPr="00A671BF">
        <w:rPr>
          <w:rFonts w:eastAsia="Calibri" w:cs="Times New Roman"/>
        </w:rPr>
        <w:t>,</w:t>
      </w:r>
      <w:r w:rsidR="00A31D78" w:rsidRPr="00A671BF">
        <w:rPr>
          <w:rFonts w:eastAsia="Calibri" w:cs="Times New Roman"/>
        </w:rPr>
        <w:t xml:space="preserve"> it was</w:t>
      </w:r>
      <w:r w:rsidR="00790C70" w:rsidRPr="00A671BF">
        <w:rPr>
          <w:rFonts w:eastAsia="Calibri" w:cs="Times New Roman"/>
        </w:rPr>
        <w:t xml:space="preserve"> </w:t>
      </w:r>
      <w:r w:rsidR="00E73661" w:rsidRPr="00A671BF">
        <w:rPr>
          <w:rFonts w:eastAsia="Calibri" w:cs="Times New Roman"/>
        </w:rPr>
        <w:t>generally</w:t>
      </w:r>
      <w:r w:rsidR="00790C70" w:rsidRPr="00A671BF">
        <w:rPr>
          <w:rFonts w:eastAsia="Calibri" w:cs="Times New Roman"/>
        </w:rPr>
        <w:t xml:space="preserve"> a synonym for </w:t>
      </w:r>
      <w:r w:rsidR="00E73661" w:rsidRPr="00A671BF">
        <w:rPr>
          <w:rFonts w:eastAsia="Calibri" w:cs="Times New Roman"/>
        </w:rPr>
        <w:t>‘</w:t>
      </w:r>
      <w:r w:rsidR="00790C70" w:rsidRPr="00A671BF">
        <w:rPr>
          <w:rFonts w:eastAsia="Calibri" w:cs="Times New Roman"/>
        </w:rPr>
        <w:t>Indian</w:t>
      </w:r>
      <w:r w:rsidR="00E73661" w:rsidRPr="00A671BF">
        <w:rPr>
          <w:rFonts w:eastAsia="Calibri" w:cs="Times New Roman"/>
        </w:rPr>
        <w:t>’</w:t>
      </w:r>
      <w:r w:rsidR="00790C70" w:rsidRPr="00A671BF">
        <w:rPr>
          <w:rFonts w:eastAsia="Calibri" w:cs="Times New Roman"/>
        </w:rPr>
        <w:t xml:space="preserve">. </w:t>
      </w:r>
      <w:r w:rsidR="004C2733" w:rsidRPr="00A671BF">
        <w:rPr>
          <w:rFonts w:eastAsia="Calibri" w:cs="Times New Roman"/>
        </w:rPr>
        <w:t>Of these fifteen men</w:t>
      </w:r>
      <w:r w:rsidR="0001430E" w:rsidRPr="00A671BF">
        <w:rPr>
          <w:rFonts w:eastAsia="Calibri" w:cs="Times New Roman"/>
        </w:rPr>
        <w:t>,</w:t>
      </w:r>
      <w:r w:rsidR="004C2733" w:rsidRPr="00A671BF">
        <w:rPr>
          <w:rFonts w:eastAsia="Calibri" w:cs="Times New Roman"/>
        </w:rPr>
        <w:t xml:space="preserve"> nine were dealers in jewels or pearls, three were students, one a teacher who had travelled t</w:t>
      </w:r>
      <w:r w:rsidR="00DB1D42" w:rsidRPr="00A671BF">
        <w:rPr>
          <w:rFonts w:eastAsia="Calibri" w:cs="Times New Roman"/>
        </w:rPr>
        <w:t>o France to perfect his French</w:t>
      </w:r>
      <w:r w:rsidR="00297F3E" w:rsidRPr="00A671BF">
        <w:rPr>
          <w:rFonts w:eastAsia="Calibri" w:cs="Times New Roman"/>
        </w:rPr>
        <w:t>,</w:t>
      </w:r>
      <w:r w:rsidR="00DB1D42" w:rsidRPr="00A671BF">
        <w:rPr>
          <w:rFonts w:eastAsia="Calibri" w:cs="Times New Roman"/>
        </w:rPr>
        <w:t xml:space="preserve"> and o</w:t>
      </w:r>
      <w:r w:rsidR="00A16A97" w:rsidRPr="00A671BF">
        <w:rPr>
          <w:rFonts w:eastAsia="Calibri" w:cs="Times New Roman"/>
        </w:rPr>
        <w:t xml:space="preserve">ne </w:t>
      </w:r>
      <w:r w:rsidR="00297F3E" w:rsidRPr="00A671BF">
        <w:rPr>
          <w:rFonts w:eastAsia="Calibri" w:cs="Times New Roman"/>
        </w:rPr>
        <w:t>a worker</w:t>
      </w:r>
      <w:r w:rsidR="00A16A97" w:rsidRPr="00A671BF">
        <w:rPr>
          <w:rFonts w:eastAsia="Calibri" w:cs="Times New Roman"/>
        </w:rPr>
        <w:t xml:space="preserve"> for Tata. The fifteenth,</w:t>
      </w:r>
      <w:r w:rsidR="004C2733" w:rsidRPr="00A671BF">
        <w:rPr>
          <w:rFonts w:eastAsia="Calibri" w:cs="Times New Roman"/>
        </w:rPr>
        <w:t xml:space="preserve"> </w:t>
      </w:r>
      <w:r w:rsidR="00874C1E" w:rsidRPr="00A671BF">
        <w:rPr>
          <w:rFonts w:eastAsia="Calibri" w:cs="Times New Roman"/>
        </w:rPr>
        <w:t>Amitabha Ghose</w:t>
      </w:r>
      <w:r w:rsidR="00A16A97" w:rsidRPr="00A671BF">
        <w:rPr>
          <w:rFonts w:eastAsia="Calibri" w:cs="Times New Roman"/>
        </w:rPr>
        <w:t>,</w:t>
      </w:r>
      <w:r w:rsidR="00874C1E" w:rsidRPr="00A671BF">
        <w:rPr>
          <w:rFonts w:eastAsia="Calibri" w:cs="Times New Roman"/>
        </w:rPr>
        <w:t xml:space="preserve"> </w:t>
      </w:r>
      <w:r w:rsidR="00510E96" w:rsidRPr="00A671BF">
        <w:rPr>
          <w:rFonts w:eastAsia="Calibri" w:cs="Times New Roman"/>
        </w:rPr>
        <w:t xml:space="preserve">founder of a trading company, </w:t>
      </w:r>
      <w:r w:rsidR="00874C1E" w:rsidRPr="00A671BF">
        <w:rPr>
          <w:rFonts w:eastAsia="Calibri" w:cs="Times New Roman"/>
        </w:rPr>
        <w:t xml:space="preserve">is </w:t>
      </w:r>
      <w:r w:rsidR="00510E96" w:rsidRPr="00A671BF">
        <w:rPr>
          <w:rFonts w:eastAsia="Calibri" w:cs="Times New Roman"/>
        </w:rPr>
        <w:t>singled</w:t>
      </w:r>
      <w:r w:rsidR="00874C1E" w:rsidRPr="00A671BF">
        <w:rPr>
          <w:rFonts w:eastAsia="Calibri" w:cs="Times New Roman"/>
        </w:rPr>
        <w:t xml:space="preserve"> out </w:t>
      </w:r>
      <w:r w:rsidR="004C2733" w:rsidRPr="00A671BF">
        <w:rPr>
          <w:rFonts w:eastAsia="Calibri" w:cs="Times New Roman"/>
        </w:rPr>
        <w:t xml:space="preserve">as the most active member of the Association des </w:t>
      </w:r>
      <w:proofErr w:type="spellStart"/>
      <w:r w:rsidR="004C2733" w:rsidRPr="00A671BF">
        <w:rPr>
          <w:rFonts w:eastAsia="Calibri" w:cs="Times New Roman"/>
        </w:rPr>
        <w:t>Hindous</w:t>
      </w:r>
      <w:proofErr w:type="spellEnd"/>
      <w:r w:rsidR="004C2733" w:rsidRPr="00A671BF">
        <w:rPr>
          <w:rFonts w:eastAsia="Calibri" w:cs="Times New Roman"/>
        </w:rPr>
        <w:t>.</w:t>
      </w:r>
      <w:r w:rsidR="00A16A97" w:rsidRPr="00A671BF">
        <w:rPr>
          <w:rFonts w:eastAsia="Calibri" w:cs="Times New Roman"/>
        </w:rPr>
        <w:t xml:space="preserve"> </w:t>
      </w:r>
      <w:r w:rsidR="00A16A97" w:rsidRPr="00A671BF">
        <w:t xml:space="preserve">Ghose, an Indian nationalist from Calcutta, had fought at Verdun with the </w:t>
      </w:r>
      <w:r w:rsidR="00E771E8" w:rsidRPr="00A671BF">
        <w:t>Pondicherry</w:t>
      </w:r>
      <w:r w:rsidR="00A16A97" w:rsidRPr="00A671BF">
        <w:t xml:space="preserve"> regiment which had been exceptionally created in 1916</w:t>
      </w:r>
      <w:r w:rsidR="0092408F" w:rsidRPr="00A671BF">
        <w:t xml:space="preserve"> (</w:t>
      </w:r>
      <w:r w:rsidR="00F27ABD" w:rsidRPr="00A671BF">
        <w:rPr>
          <w:rFonts w:eastAsia="Calibri" w:cs="Times New Roman"/>
        </w:rPr>
        <w:t>Chef du Service</w:t>
      </w:r>
      <w:r w:rsidR="0092408F" w:rsidRPr="00A671BF">
        <w:rPr>
          <w:rFonts w:eastAsia="Calibri" w:cs="Times New Roman"/>
        </w:rPr>
        <w:t>, 1921)</w:t>
      </w:r>
      <w:r w:rsidR="00A16A97" w:rsidRPr="00A671BF">
        <w:t>.</w:t>
      </w:r>
      <w:r w:rsidR="00790C70" w:rsidRPr="00A671BF">
        <w:t xml:space="preserve"> </w:t>
      </w:r>
      <w:r w:rsidR="003D4DF5" w:rsidRPr="00A671BF">
        <w:rPr>
          <w:rFonts w:eastAsia="Calibri" w:cs="Times New Roman"/>
        </w:rPr>
        <w:t xml:space="preserve">Investigations into the activities of Indian nationalists had been sparked </w:t>
      </w:r>
      <w:r w:rsidR="002F6FC6" w:rsidRPr="00A671BF">
        <w:rPr>
          <w:rFonts w:eastAsia="Calibri" w:cs="Times New Roman"/>
        </w:rPr>
        <w:t xml:space="preserve">by an </w:t>
      </w:r>
      <w:r w:rsidR="00A16A97" w:rsidRPr="00A671BF">
        <w:rPr>
          <w:rFonts w:eastAsia="Calibri" w:cs="Times New Roman"/>
        </w:rPr>
        <w:t>interview which</w:t>
      </w:r>
      <w:r w:rsidR="003D4DF5" w:rsidRPr="00A671BF">
        <w:rPr>
          <w:rFonts w:eastAsia="Calibri" w:cs="Times New Roman"/>
        </w:rPr>
        <w:t xml:space="preserve"> </w:t>
      </w:r>
      <w:r w:rsidR="00E73661" w:rsidRPr="00A671BF">
        <w:rPr>
          <w:rFonts w:eastAsia="Calibri" w:cs="Times New Roman"/>
        </w:rPr>
        <w:t>he</w:t>
      </w:r>
      <w:r w:rsidR="00A16A97" w:rsidRPr="00A671BF">
        <w:rPr>
          <w:rFonts w:eastAsia="Calibri" w:cs="Times New Roman"/>
        </w:rPr>
        <w:t xml:space="preserve"> had given</w:t>
      </w:r>
      <w:r w:rsidR="003D4DF5" w:rsidRPr="00A671BF">
        <w:rPr>
          <w:rFonts w:eastAsia="Calibri" w:cs="Times New Roman"/>
        </w:rPr>
        <w:t xml:space="preserve"> to Marcel Pays in the </w:t>
      </w:r>
      <w:r w:rsidR="003D4DF5" w:rsidRPr="00A671BF">
        <w:rPr>
          <w:rFonts w:eastAsia="Calibri" w:cs="Times New Roman"/>
          <w:i/>
        </w:rPr>
        <w:t>Excelsior</w:t>
      </w:r>
      <w:r w:rsidR="003D4DF5" w:rsidRPr="00A671BF">
        <w:rPr>
          <w:rFonts w:eastAsia="Calibri" w:cs="Times New Roman"/>
        </w:rPr>
        <w:t xml:space="preserve"> newspaper on 31 August 1921. Entitled </w:t>
      </w:r>
      <w:r w:rsidR="00763BEC" w:rsidRPr="00A671BF">
        <w:rPr>
          <w:rFonts w:eastAsia="Calibri" w:cs="Times New Roman"/>
        </w:rPr>
        <w:t>‘“</w:t>
      </w:r>
      <w:proofErr w:type="spellStart"/>
      <w:r w:rsidR="003D4DF5" w:rsidRPr="00A671BF">
        <w:t>Swa</w:t>
      </w:r>
      <w:proofErr w:type="spellEnd"/>
      <w:r w:rsidR="003D4DF5" w:rsidRPr="00A671BF">
        <w:t>-raj</w:t>
      </w:r>
      <w:r w:rsidR="00763BEC" w:rsidRPr="00A671BF">
        <w:t>” </w:t>
      </w:r>
      <w:r w:rsidR="003D4DF5" w:rsidRPr="00A671BF">
        <w:t>après Sinn-Fein</w:t>
      </w:r>
      <w:r w:rsidR="00790C70" w:rsidRPr="00A671BF">
        <w:t xml:space="preserve">’, the article provides French readers with an overview of the nationalist movement in India by creating a direct analogy with the situation in Ireland </w:t>
      </w:r>
      <w:r w:rsidR="00D11C62" w:rsidRPr="00A671BF">
        <w:t xml:space="preserve">(which in August 1921 was gripped by a bloody guerrilla war between the Irish Republican Army and the British security forces). </w:t>
      </w:r>
      <w:r w:rsidR="00D11C62" w:rsidRPr="00A671BF">
        <w:rPr>
          <w:lang w:val="fr-FR"/>
        </w:rPr>
        <w:t>T</w:t>
      </w:r>
      <w:r w:rsidR="003D4DF5" w:rsidRPr="00A671BF">
        <w:rPr>
          <w:lang w:val="fr-FR"/>
        </w:rPr>
        <w:t xml:space="preserve">he interview ends </w:t>
      </w:r>
      <w:proofErr w:type="spellStart"/>
      <w:r w:rsidR="003D4DF5" w:rsidRPr="00A671BF">
        <w:rPr>
          <w:lang w:val="fr-FR"/>
        </w:rPr>
        <w:t>with</w:t>
      </w:r>
      <w:proofErr w:type="spellEnd"/>
      <w:r w:rsidR="003D4DF5" w:rsidRPr="00A671BF">
        <w:rPr>
          <w:lang w:val="fr-FR"/>
        </w:rPr>
        <w:t xml:space="preserve"> a</w:t>
      </w:r>
      <w:r w:rsidR="00923581" w:rsidRPr="00A671BF">
        <w:rPr>
          <w:lang w:val="fr-FR"/>
        </w:rPr>
        <w:t xml:space="preserve">n </w:t>
      </w:r>
      <w:proofErr w:type="spellStart"/>
      <w:r w:rsidR="00923581" w:rsidRPr="00A671BF">
        <w:rPr>
          <w:lang w:val="fr-FR"/>
        </w:rPr>
        <w:t>editorial</w:t>
      </w:r>
      <w:proofErr w:type="spellEnd"/>
      <w:r w:rsidR="003D4DF5" w:rsidRPr="00A671BF">
        <w:rPr>
          <w:lang w:val="fr-FR"/>
        </w:rPr>
        <w:t xml:space="preserve"> disclaimer </w:t>
      </w:r>
      <w:proofErr w:type="spellStart"/>
      <w:r w:rsidR="003D4DF5" w:rsidRPr="00A671BF">
        <w:rPr>
          <w:lang w:val="fr-FR"/>
        </w:rPr>
        <w:t>that</w:t>
      </w:r>
      <w:proofErr w:type="spellEnd"/>
      <w:r w:rsidR="003D4DF5" w:rsidRPr="00A671BF">
        <w:rPr>
          <w:lang w:val="fr-FR"/>
        </w:rPr>
        <w:t xml:space="preserve"> distances the </w:t>
      </w:r>
      <w:proofErr w:type="spellStart"/>
      <w:r w:rsidR="003D4DF5" w:rsidRPr="00A671BF">
        <w:rPr>
          <w:lang w:val="fr-FR"/>
        </w:rPr>
        <w:t>newspaper</w:t>
      </w:r>
      <w:proofErr w:type="spellEnd"/>
      <w:r w:rsidR="003D4DF5" w:rsidRPr="00A671BF">
        <w:rPr>
          <w:lang w:val="fr-FR"/>
        </w:rPr>
        <w:t xml:space="preserve"> </w:t>
      </w:r>
      <w:proofErr w:type="spellStart"/>
      <w:r w:rsidR="003D4DF5" w:rsidRPr="00A671BF">
        <w:rPr>
          <w:lang w:val="fr-FR"/>
        </w:rPr>
        <w:t>from</w:t>
      </w:r>
      <w:proofErr w:type="spellEnd"/>
      <w:r w:rsidR="003D4DF5" w:rsidRPr="00A671BF">
        <w:rPr>
          <w:lang w:val="fr-FR"/>
        </w:rPr>
        <w:t xml:space="preserve"> </w:t>
      </w:r>
      <w:proofErr w:type="spellStart"/>
      <w:r w:rsidR="003D4DF5" w:rsidRPr="00A671BF">
        <w:rPr>
          <w:lang w:val="fr-FR"/>
        </w:rPr>
        <w:t>Ghose’s</w:t>
      </w:r>
      <w:proofErr w:type="spellEnd"/>
      <w:r w:rsidR="003D4DF5" w:rsidRPr="00A671BF">
        <w:rPr>
          <w:lang w:val="fr-FR"/>
        </w:rPr>
        <w:t xml:space="preserve"> anti-British </w:t>
      </w:r>
      <w:proofErr w:type="spellStart"/>
      <w:r w:rsidR="003D4DF5" w:rsidRPr="00A671BF">
        <w:rPr>
          <w:lang w:val="fr-FR"/>
        </w:rPr>
        <w:t>rhetoric</w:t>
      </w:r>
      <w:proofErr w:type="spellEnd"/>
      <w:r w:rsidR="003D4DF5" w:rsidRPr="00A671BF">
        <w:rPr>
          <w:lang w:val="fr-FR"/>
        </w:rPr>
        <w:t xml:space="preserve">: ‘Ainsi parla M. Amitabha </w:t>
      </w:r>
      <w:proofErr w:type="spellStart"/>
      <w:r w:rsidR="003D4DF5" w:rsidRPr="00A671BF">
        <w:rPr>
          <w:lang w:val="fr-FR"/>
        </w:rPr>
        <w:t>Ghose</w:t>
      </w:r>
      <w:proofErr w:type="spellEnd"/>
      <w:r w:rsidR="003D4DF5" w:rsidRPr="00A671BF">
        <w:rPr>
          <w:lang w:val="fr-FR"/>
        </w:rPr>
        <w:t>, dont nous enregistrons impartialement les déclarations, en nous abstenant de tout commentaire, car il s’agit d’une grande puissance amie et allié, qui fut, en somme l’initiatrice de l’Inde à la civilisation et aux idées occidentales’</w:t>
      </w:r>
      <w:r w:rsidR="0092408F" w:rsidRPr="00A671BF">
        <w:rPr>
          <w:lang w:val="fr-FR"/>
        </w:rPr>
        <w:t xml:space="preserve"> (Pays, 1921).</w:t>
      </w:r>
      <w:r w:rsidR="003D4DF5" w:rsidRPr="00A671BF">
        <w:rPr>
          <w:lang w:val="fr-FR"/>
        </w:rPr>
        <w:t xml:space="preserve"> </w:t>
      </w:r>
      <w:r w:rsidR="003D4DF5" w:rsidRPr="00A671BF">
        <w:t xml:space="preserve">In the confidential police report, management of </w:t>
      </w:r>
      <w:r w:rsidR="00824BBD" w:rsidRPr="00A671BF">
        <w:t xml:space="preserve">British prestige was not necessary. </w:t>
      </w:r>
      <w:r w:rsidR="00824BBD" w:rsidRPr="00A671BF">
        <w:rPr>
          <w:lang w:val="fr-FR"/>
        </w:rPr>
        <w:t>I</w:t>
      </w:r>
      <w:r w:rsidR="001F78E4" w:rsidRPr="00A671BF">
        <w:rPr>
          <w:lang w:val="fr-FR"/>
        </w:rPr>
        <w:t xml:space="preserve">n </w:t>
      </w:r>
      <w:proofErr w:type="spellStart"/>
      <w:r w:rsidR="001F78E4" w:rsidRPr="00A671BF">
        <w:rPr>
          <w:lang w:val="fr-FR"/>
        </w:rPr>
        <w:t>terms</w:t>
      </w:r>
      <w:proofErr w:type="spellEnd"/>
      <w:r w:rsidR="001F78E4" w:rsidRPr="00A671BF">
        <w:rPr>
          <w:lang w:val="fr-FR"/>
        </w:rPr>
        <w:t xml:space="preserve"> of </w:t>
      </w:r>
      <w:r w:rsidR="00A16A97" w:rsidRPr="00A671BF">
        <w:rPr>
          <w:lang w:val="fr-FR"/>
        </w:rPr>
        <w:t xml:space="preserve">French </w:t>
      </w:r>
      <w:proofErr w:type="spellStart"/>
      <w:r w:rsidR="001F78E4" w:rsidRPr="00A671BF">
        <w:rPr>
          <w:lang w:val="fr-FR"/>
        </w:rPr>
        <w:t>security</w:t>
      </w:r>
      <w:proofErr w:type="spellEnd"/>
      <w:r w:rsidR="001F78E4" w:rsidRPr="00A671BF">
        <w:rPr>
          <w:lang w:val="fr-FR"/>
        </w:rPr>
        <w:t xml:space="preserve">, the </w:t>
      </w:r>
      <w:proofErr w:type="spellStart"/>
      <w:r w:rsidR="001F78E4" w:rsidRPr="00A671BF">
        <w:rPr>
          <w:lang w:val="fr-FR"/>
        </w:rPr>
        <w:t>fifteen</w:t>
      </w:r>
      <w:proofErr w:type="spellEnd"/>
      <w:r w:rsidR="00824BBD" w:rsidRPr="00A671BF">
        <w:rPr>
          <w:lang w:val="fr-FR"/>
        </w:rPr>
        <w:t xml:space="preserve"> men </w:t>
      </w:r>
      <w:proofErr w:type="spellStart"/>
      <w:r w:rsidR="008B5066" w:rsidRPr="00A671BF">
        <w:rPr>
          <w:lang w:val="fr-FR"/>
        </w:rPr>
        <w:t>were</w:t>
      </w:r>
      <w:proofErr w:type="spellEnd"/>
      <w:r w:rsidR="00824BBD" w:rsidRPr="00A671BF">
        <w:rPr>
          <w:lang w:val="fr-FR"/>
        </w:rPr>
        <w:t xml:space="preserve"> not </w:t>
      </w:r>
      <w:proofErr w:type="spellStart"/>
      <w:r w:rsidR="00824BBD" w:rsidRPr="00A671BF">
        <w:rPr>
          <w:lang w:val="fr-FR"/>
        </w:rPr>
        <w:t>deemed</w:t>
      </w:r>
      <w:proofErr w:type="spellEnd"/>
      <w:r w:rsidR="00824BBD" w:rsidRPr="00A671BF">
        <w:rPr>
          <w:lang w:val="fr-FR"/>
        </w:rPr>
        <w:t xml:space="preserve"> </w:t>
      </w:r>
      <w:proofErr w:type="spellStart"/>
      <w:r w:rsidR="00824BBD" w:rsidRPr="00A671BF">
        <w:rPr>
          <w:lang w:val="fr-FR"/>
        </w:rPr>
        <w:t>problematic</w:t>
      </w:r>
      <w:proofErr w:type="spellEnd"/>
      <w:r w:rsidR="00824BBD" w:rsidRPr="00A671BF">
        <w:rPr>
          <w:lang w:val="fr-FR"/>
        </w:rPr>
        <w:t>: ‘Les renseignements recueillis sur l’honorabilité, la conduite et la moralité des Hindous dont il vient d’être parlé sont favorables en tous points. Par ailleurs ces étrangers sont tous représentés comme an</w:t>
      </w:r>
      <w:r w:rsidR="0092408F" w:rsidRPr="00A671BF">
        <w:rPr>
          <w:lang w:val="fr-FR"/>
        </w:rPr>
        <w:t>imés de sentiments francophiles</w:t>
      </w:r>
      <w:r w:rsidR="00824BBD" w:rsidRPr="00A671BF">
        <w:rPr>
          <w:lang w:val="fr-FR"/>
        </w:rPr>
        <w:t>’</w:t>
      </w:r>
      <w:r w:rsidR="0092408F" w:rsidRPr="00A671BF">
        <w:rPr>
          <w:lang w:val="fr-FR"/>
        </w:rPr>
        <w:t xml:space="preserve"> (</w:t>
      </w:r>
      <w:r w:rsidR="008749FF" w:rsidRPr="00A671BF">
        <w:rPr>
          <w:rFonts w:eastAsia="Calibri" w:cs="Times New Roman"/>
          <w:lang w:val="fr-FR"/>
        </w:rPr>
        <w:t>Chef du Service</w:t>
      </w:r>
      <w:r w:rsidR="0092408F" w:rsidRPr="00A671BF">
        <w:rPr>
          <w:rFonts w:eastAsia="Calibri" w:cs="Times New Roman"/>
          <w:lang w:val="fr-FR"/>
        </w:rPr>
        <w:t xml:space="preserve">, </w:t>
      </w:r>
      <w:r w:rsidR="0092408F" w:rsidRPr="00A671BF">
        <w:rPr>
          <w:rFonts w:eastAsia="Calibri" w:cs="Times New Roman"/>
          <w:lang w:val="fr-FR"/>
        </w:rPr>
        <w:lastRenderedPageBreak/>
        <w:t>1921)</w:t>
      </w:r>
      <w:r w:rsidR="0092408F" w:rsidRPr="00A671BF">
        <w:rPr>
          <w:lang w:val="fr-FR"/>
        </w:rPr>
        <w:t>.</w:t>
      </w:r>
      <w:r w:rsidR="008B5066" w:rsidRPr="00A671BF">
        <w:rPr>
          <w:lang w:val="fr-FR"/>
        </w:rPr>
        <w:t xml:space="preserve"> </w:t>
      </w:r>
      <w:r w:rsidR="00A16A97" w:rsidRPr="00A671BF">
        <w:t xml:space="preserve">Observing </w:t>
      </w:r>
      <w:r w:rsidR="008B5066" w:rsidRPr="00A671BF">
        <w:t xml:space="preserve">that the Association des </w:t>
      </w:r>
      <w:proofErr w:type="spellStart"/>
      <w:r w:rsidR="008B5066" w:rsidRPr="00A671BF">
        <w:t>Hindous</w:t>
      </w:r>
      <w:proofErr w:type="spellEnd"/>
      <w:r w:rsidR="008B5066" w:rsidRPr="00A671BF">
        <w:t xml:space="preserve"> comprised ardent nationalists and produced its own newspaper in France, the </w:t>
      </w:r>
      <w:r w:rsidR="008B5066" w:rsidRPr="00A671BF">
        <w:rPr>
          <w:i/>
        </w:rPr>
        <w:t xml:space="preserve">Bulletin </w:t>
      </w:r>
      <w:proofErr w:type="spellStart"/>
      <w:r w:rsidR="008B5066" w:rsidRPr="00A671BF">
        <w:rPr>
          <w:i/>
        </w:rPr>
        <w:t>indien</w:t>
      </w:r>
      <w:proofErr w:type="spellEnd"/>
      <w:r w:rsidR="008B5066" w:rsidRPr="00A671BF">
        <w:t xml:space="preserve">, </w:t>
      </w:r>
      <w:r w:rsidR="00AD043A" w:rsidRPr="00A671BF">
        <w:t>which</w:t>
      </w:r>
      <w:r w:rsidR="008B5066" w:rsidRPr="00A671BF">
        <w:t xml:space="preserve"> was shipped regular</w:t>
      </w:r>
      <w:r w:rsidR="00A16A97" w:rsidRPr="00A671BF">
        <w:t xml:space="preserve">ly to </w:t>
      </w:r>
      <w:r w:rsidR="00E771E8" w:rsidRPr="00A671BF">
        <w:t>Pondicherry</w:t>
      </w:r>
      <w:r w:rsidR="00A16A97" w:rsidRPr="00A671BF">
        <w:t>, the police initially</w:t>
      </w:r>
      <w:r w:rsidR="008B5066" w:rsidRPr="00A671BF">
        <w:t xml:space="preserve"> dismissed the organization as being a Brit</w:t>
      </w:r>
      <w:r w:rsidR="00AD043A" w:rsidRPr="00A671BF">
        <w:t xml:space="preserve">ish problem. </w:t>
      </w:r>
      <w:r w:rsidR="00AD043A" w:rsidRPr="00A671BF">
        <w:rPr>
          <w:lang w:val="fr-FR"/>
        </w:rPr>
        <w:t>As</w:t>
      </w:r>
      <w:r w:rsidR="008B5066" w:rsidRPr="00A671BF">
        <w:rPr>
          <w:lang w:val="fr-FR"/>
        </w:rPr>
        <w:t xml:space="preserve"> the </w:t>
      </w:r>
      <w:proofErr w:type="spellStart"/>
      <w:r w:rsidR="008B5066" w:rsidRPr="00A671BF">
        <w:rPr>
          <w:lang w:val="fr-FR"/>
        </w:rPr>
        <w:t>unidentified</w:t>
      </w:r>
      <w:proofErr w:type="spellEnd"/>
      <w:r w:rsidR="008B5066" w:rsidRPr="00A671BF">
        <w:rPr>
          <w:lang w:val="fr-FR"/>
        </w:rPr>
        <w:t xml:space="preserve"> </w:t>
      </w:r>
      <w:proofErr w:type="spellStart"/>
      <w:r w:rsidR="008B5066" w:rsidRPr="00A671BF">
        <w:rPr>
          <w:lang w:val="fr-FR"/>
        </w:rPr>
        <w:t>officer</w:t>
      </w:r>
      <w:proofErr w:type="spellEnd"/>
      <w:r w:rsidR="008B5066" w:rsidRPr="00A671BF">
        <w:rPr>
          <w:lang w:val="fr-FR"/>
        </w:rPr>
        <w:t xml:space="preserve"> </w:t>
      </w:r>
      <w:proofErr w:type="spellStart"/>
      <w:r w:rsidR="008B5066" w:rsidRPr="00A671BF">
        <w:rPr>
          <w:lang w:val="fr-FR"/>
        </w:rPr>
        <w:t>who</w:t>
      </w:r>
      <w:proofErr w:type="spellEnd"/>
      <w:r w:rsidR="008B5066" w:rsidRPr="00A671BF">
        <w:rPr>
          <w:lang w:val="fr-FR"/>
        </w:rPr>
        <w:t xml:space="preserve"> </w:t>
      </w:r>
      <w:proofErr w:type="spellStart"/>
      <w:r w:rsidR="008B5066" w:rsidRPr="00A671BF">
        <w:rPr>
          <w:lang w:val="fr-FR"/>
        </w:rPr>
        <w:t>wrote</w:t>
      </w:r>
      <w:proofErr w:type="spellEnd"/>
      <w:r w:rsidR="008B5066" w:rsidRPr="00A671BF">
        <w:rPr>
          <w:lang w:val="fr-FR"/>
        </w:rPr>
        <w:t xml:space="preserve"> the </w:t>
      </w:r>
      <w:proofErr w:type="spellStart"/>
      <w:r w:rsidR="008B5066" w:rsidRPr="00A671BF">
        <w:rPr>
          <w:lang w:val="fr-FR"/>
        </w:rPr>
        <w:t>November</w:t>
      </w:r>
      <w:proofErr w:type="spellEnd"/>
      <w:r w:rsidR="008B5066" w:rsidRPr="00A671BF">
        <w:rPr>
          <w:lang w:val="fr-FR"/>
        </w:rPr>
        <w:t xml:space="preserve"> 1921 </w:t>
      </w:r>
      <w:r w:rsidR="00AD043A" w:rsidRPr="00A671BF">
        <w:rPr>
          <w:lang w:val="fr-FR"/>
        </w:rPr>
        <w:t xml:space="preserve">report </w:t>
      </w:r>
      <w:proofErr w:type="spellStart"/>
      <w:r w:rsidR="00AD043A" w:rsidRPr="00A671BF">
        <w:rPr>
          <w:lang w:val="fr-FR"/>
        </w:rPr>
        <w:t>added</w:t>
      </w:r>
      <w:proofErr w:type="spellEnd"/>
      <w:r w:rsidR="008B5066" w:rsidRPr="00A671BF">
        <w:rPr>
          <w:lang w:val="fr-FR"/>
        </w:rPr>
        <w:t xml:space="preserve"> in a </w:t>
      </w:r>
      <w:proofErr w:type="spellStart"/>
      <w:r w:rsidR="008B5066" w:rsidRPr="00A671BF">
        <w:rPr>
          <w:lang w:val="fr-FR"/>
        </w:rPr>
        <w:t>handwritten</w:t>
      </w:r>
      <w:proofErr w:type="spellEnd"/>
      <w:r w:rsidR="008B5066" w:rsidRPr="00A671BF">
        <w:rPr>
          <w:lang w:val="fr-FR"/>
        </w:rPr>
        <w:t xml:space="preserve"> note</w:t>
      </w:r>
      <w:r w:rsidR="00AD043A" w:rsidRPr="00A671BF">
        <w:rPr>
          <w:lang w:val="fr-FR"/>
        </w:rPr>
        <w:t>,</w:t>
      </w:r>
      <w:r w:rsidR="008B5066" w:rsidRPr="00A671BF">
        <w:rPr>
          <w:lang w:val="fr-FR"/>
        </w:rPr>
        <w:t xml:space="preserve"> ‘J’ai cru devoir vous transmettre ces renseignements succincts sur</w:t>
      </w:r>
      <w:r w:rsidR="00A16A97" w:rsidRPr="00A671BF">
        <w:rPr>
          <w:lang w:val="fr-FR"/>
        </w:rPr>
        <w:t xml:space="preserve"> l’existence et la disposition </w:t>
      </w:r>
      <w:r w:rsidR="008B5066" w:rsidRPr="00A671BF">
        <w:rPr>
          <w:lang w:val="fr-FR"/>
        </w:rPr>
        <w:t>de ces</w:t>
      </w:r>
      <w:r w:rsidR="00061F88" w:rsidRPr="00A671BF">
        <w:rPr>
          <w:lang w:val="fr-FR"/>
        </w:rPr>
        <w:t xml:space="preserve"> associations</w:t>
      </w:r>
      <w:r w:rsidR="008B5066" w:rsidRPr="00A671BF">
        <w:rPr>
          <w:lang w:val="fr-FR"/>
        </w:rPr>
        <w:t xml:space="preserve"> déclarées d’hindous tous soutenus par l’amour de leur pays d’origine qu’ils voulaient voir délivré du joug anglais, mais qui ne manifestent, par contre, aucun sentiment</w:t>
      </w:r>
      <w:r w:rsidR="0092408F" w:rsidRPr="00A671BF">
        <w:rPr>
          <w:lang w:val="fr-FR"/>
        </w:rPr>
        <w:t xml:space="preserve"> hostile à l’égard de la France</w:t>
      </w:r>
      <w:r w:rsidR="00AD043A" w:rsidRPr="00A671BF">
        <w:rPr>
          <w:lang w:val="fr-FR"/>
        </w:rPr>
        <w:t>’</w:t>
      </w:r>
      <w:r w:rsidR="0092408F" w:rsidRPr="00A671BF">
        <w:rPr>
          <w:lang w:val="fr-FR"/>
        </w:rPr>
        <w:t xml:space="preserve"> (</w:t>
      </w:r>
      <w:r w:rsidR="008749FF" w:rsidRPr="00A671BF">
        <w:rPr>
          <w:rFonts w:eastAsia="Calibri" w:cs="Times New Roman"/>
          <w:lang w:val="fr-FR"/>
        </w:rPr>
        <w:t>Chef du Service</w:t>
      </w:r>
      <w:r w:rsidR="0092408F" w:rsidRPr="00A671BF">
        <w:rPr>
          <w:rFonts w:eastAsia="Calibri" w:cs="Times New Roman"/>
          <w:lang w:val="fr-FR"/>
        </w:rPr>
        <w:t>, 1921)</w:t>
      </w:r>
      <w:r w:rsidR="0092408F" w:rsidRPr="00A671BF">
        <w:rPr>
          <w:lang w:val="fr-FR"/>
        </w:rPr>
        <w:t xml:space="preserve">. </w:t>
      </w:r>
      <w:r w:rsidR="008B5066" w:rsidRPr="00A671BF">
        <w:t xml:space="preserve">Systematic surveillance was initiated only when links were uncovered between Ghose and the Union </w:t>
      </w:r>
      <w:proofErr w:type="spellStart"/>
      <w:r w:rsidR="00AD043A" w:rsidRPr="00A671BF">
        <w:t>Intercoloniale</w:t>
      </w:r>
      <w:proofErr w:type="spellEnd"/>
      <w:r w:rsidR="00AD043A" w:rsidRPr="00A671BF">
        <w:t>. Founded in 1921</w:t>
      </w:r>
      <w:r w:rsidR="008B5066" w:rsidRPr="00A671BF">
        <w:t xml:space="preserve"> by Nguyen Ai Quoc (the future Ho Chi Minh) and other activists with the goal of uniting colonial subjects in a collective struggle for independence from France</w:t>
      </w:r>
      <w:r w:rsidR="00AD043A" w:rsidRPr="00A671BF">
        <w:t xml:space="preserve">, the Union </w:t>
      </w:r>
      <w:proofErr w:type="spellStart"/>
      <w:r w:rsidR="00AD043A" w:rsidRPr="00A671BF">
        <w:t>Intercoloniale</w:t>
      </w:r>
      <w:proofErr w:type="spellEnd"/>
      <w:r w:rsidR="00AD043A" w:rsidRPr="00A671BF">
        <w:t xml:space="preserve"> published a monthly journal</w:t>
      </w:r>
      <w:r w:rsidR="008B5066" w:rsidRPr="00A671BF">
        <w:t xml:space="preserve">, </w:t>
      </w:r>
      <w:r w:rsidR="008B5066" w:rsidRPr="00A671BF">
        <w:rPr>
          <w:i/>
        </w:rPr>
        <w:t xml:space="preserve">Le </w:t>
      </w:r>
      <w:proofErr w:type="spellStart"/>
      <w:r w:rsidR="008B5066" w:rsidRPr="00A671BF">
        <w:rPr>
          <w:i/>
        </w:rPr>
        <w:t>Paria</w:t>
      </w:r>
      <w:proofErr w:type="spellEnd"/>
      <w:r w:rsidR="00AD043A" w:rsidRPr="00A671BF">
        <w:t>,</w:t>
      </w:r>
      <w:r w:rsidR="008B5066" w:rsidRPr="00A671BF">
        <w:t xml:space="preserve"> </w:t>
      </w:r>
      <w:r w:rsidR="00AD043A" w:rsidRPr="00A671BF">
        <w:t xml:space="preserve">which </w:t>
      </w:r>
      <w:r w:rsidR="008B5066" w:rsidRPr="00A671BF">
        <w:t xml:space="preserve">was financed by the </w:t>
      </w:r>
      <w:proofErr w:type="spellStart"/>
      <w:r w:rsidR="008B5066" w:rsidRPr="00A671BF">
        <w:t>P</w:t>
      </w:r>
      <w:r w:rsidR="00D1187E" w:rsidRPr="00A671BF">
        <w:t>arti</w:t>
      </w:r>
      <w:proofErr w:type="spellEnd"/>
      <w:r w:rsidR="00D1187E" w:rsidRPr="00A671BF">
        <w:t xml:space="preserve"> </w:t>
      </w:r>
      <w:proofErr w:type="spellStart"/>
      <w:r w:rsidR="008B5066" w:rsidRPr="00A671BF">
        <w:t>C</w:t>
      </w:r>
      <w:r w:rsidR="00D1187E" w:rsidRPr="00A671BF">
        <w:t>ommuniste</w:t>
      </w:r>
      <w:proofErr w:type="spellEnd"/>
      <w:r w:rsidR="00D1187E" w:rsidRPr="00A671BF">
        <w:t xml:space="preserve"> </w:t>
      </w:r>
      <w:proofErr w:type="spellStart"/>
      <w:r w:rsidR="008B5066" w:rsidRPr="00A671BF">
        <w:t>F</w:t>
      </w:r>
      <w:r w:rsidR="00D1187E" w:rsidRPr="00A671BF">
        <w:t>rançais</w:t>
      </w:r>
      <w:proofErr w:type="spellEnd"/>
      <w:r w:rsidR="00D1187E" w:rsidRPr="00A671BF">
        <w:t xml:space="preserve"> (PCF)</w:t>
      </w:r>
      <w:r w:rsidR="008B5066" w:rsidRPr="00A671BF">
        <w:t xml:space="preserve">. </w:t>
      </w:r>
      <w:r w:rsidR="0040233D" w:rsidRPr="00A671BF">
        <w:t>It was for shipping</w:t>
      </w:r>
      <w:r w:rsidR="00F31522" w:rsidRPr="00A671BF">
        <w:t xml:space="preserve"> </w:t>
      </w:r>
      <w:r w:rsidR="00F31522" w:rsidRPr="00A671BF">
        <w:rPr>
          <w:i/>
        </w:rPr>
        <w:t xml:space="preserve">Le </w:t>
      </w:r>
      <w:proofErr w:type="spellStart"/>
      <w:r w:rsidR="00F31522" w:rsidRPr="00A671BF">
        <w:rPr>
          <w:i/>
        </w:rPr>
        <w:t>Paria</w:t>
      </w:r>
      <w:proofErr w:type="spellEnd"/>
      <w:r w:rsidR="0040233D" w:rsidRPr="00A671BF">
        <w:t xml:space="preserve">, under the auspices of the </w:t>
      </w:r>
      <w:r w:rsidR="000F0C4C" w:rsidRPr="00A671BF">
        <w:t xml:space="preserve">Union </w:t>
      </w:r>
      <w:proofErr w:type="spellStart"/>
      <w:r w:rsidR="000F0C4C" w:rsidRPr="00A671BF">
        <w:t>Intercoloniale</w:t>
      </w:r>
      <w:proofErr w:type="spellEnd"/>
      <w:r w:rsidR="00F31522" w:rsidRPr="00A671BF">
        <w:t xml:space="preserve">, </w:t>
      </w:r>
      <w:r w:rsidR="0040233D" w:rsidRPr="00A671BF">
        <w:t xml:space="preserve">to French West Africa that </w:t>
      </w:r>
      <w:r w:rsidR="008B5066" w:rsidRPr="00A671BF">
        <w:t>Ghose was prosecuted</w:t>
      </w:r>
      <w:r w:rsidR="0040233D" w:rsidRPr="00A671BF">
        <w:t xml:space="preserve"> in 1922</w:t>
      </w:r>
      <w:r w:rsidR="0092408F" w:rsidRPr="00A671BF">
        <w:t xml:space="preserve"> (</w:t>
      </w:r>
      <w:proofErr w:type="spellStart"/>
      <w:r w:rsidR="0092408F" w:rsidRPr="00A671BF">
        <w:rPr>
          <w:bCs/>
        </w:rPr>
        <w:t>Communistes</w:t>
      </w:r>
      <w:proofErr w:type="spellEnd"/>
      <w:r w:rsidR="0092408F" w:rsidRPr="00A671BF">
        <w:rPr>
          <w:bCs/>
        </w:rPr>
        <w:t>, 1922).</w:t>
      </w:r>
      <w:r w:rsidR="008B5066" w:rsidRPr="00A671BF">
        <w:t xml:space="preserve"> </w:t>
      </w:r>
    </w:p>
    <w:p w:rsidR="00524165" w:rsidRPr="00A671BF" w:rsidRDefault="00824BBD" w:rsidP="0038784E">
      <w:pPr>
        <w:spacing w:line="360" w:lineRule="auto"/>
        <w:rPr>
          <w:rFonts w:eastAsia="Calibri" w:cs="Times New Roman"/>
        </w:rPr>
      </w:pPr>
      <w:r w:rsidRPr="00A671BF">
        <w:rPr>
          <w:rFonts w:eastAsia="Calibri" w:cs="Times New Roman"/>
        </w:rPr>
        <w:tab/>
      </w:r>
      <w:r w:rsidR="00F029F4" w:rsidRPr="00A671BF">
        <w:rPr>
          <w:rFonts w:eastAsia="Calibri" w:cs="Times New Roman"/>
        </w:rPr>
        <w:t xml:space="preserve">If the </w:t>
      </w:r>
      <w:r w:rsidR="008B5066" w:rsidRPr="00A671BF">
        <w:rPr>
          <w:rFonts w:eastAsia="Calibri" w:cs="Times New Roman"/>
        </w:rPr>
        <w:t xml:space="preserve">French authorities were </w:t>
      </w:r>
      <w:r w:rsidR="00F029F4" w:rsidRPr="00A671BF">
        <w:rPr>
          <w:rFonts w:eastAsia="Calibri" w:cs="Times New Roman"/>
        </w:rPr>
        <w:t xml:space="preserve">anxious about the links that Ghose was forming with </w:t>
      </w:r>
      <w:proofErr w:type="spellStart"/>
      <w:r w:rsidR="00F029F4" w:rsidRPr="00A671BF">
        <w:rPr>
          <w:rFonts w:eastAsia="Calibri" w:cs="Times New Roman"/>
        </w:rPr>
        <w:t>anticolonialists</w:t>
      </w:r>
      <w:proofErr w:type="spellEnd"/>
      <w:r w:rsidR="00F029F4" w:rsidRPr="00A671BF">
        <w:rPr>
          <w:rFonts w:eastAsia="Calibri" w:cs="Times New Roman"/>
        </w:rPr>
        <w:t xml:space="preserve"> from French colonies, British agents demonstrate</w:t>
      </w:r>
      <w:r w:rsidR="00D01105" w:rsidRPr="00A671BF">
        <w:rPr>
          <w:rFonts w:eastAsia="Calibri" w:cs="Times New Roman"/>
        </w:rPr>
        <w:t>d</w:t>
      </w:r>
      <w:r w:rsidR="00F029F4" w:rsidRPr="00A671BF">
        <w:rPr>
          <w:rFonts w:eastAsia="Calibri" w:cs="Times New Roman"/>
        </w:rPr>
        <w:t xml:space="preserve"> a remarkable lack of interest in Ghose and</w:t>
      </w:r>
      <w:r w:rsidR="008B5066" w:rsidRPr="00A671BF">
        <w:rPr>
          <w:rFonts w:eastAsia="Calibri" w:cs="Times New Roman"/>
        </w:rPr>
        <w:t xml:space="preserve"> the Association des </w:t>
      </w:r>
      <w:proofErr w:type="spellStart"/>
      <w:r w:rsidR="008B5066" w:rsidRPr="00A671BF">
        <w:rPr>
          <w:rFonts w:eastAsia="Calibri" w:cs="Times New Roman"/>
        </w:rPr>
        <w:t>Hindous</w:t>
      </w:r>
      <w:proofErr w:type="spellEnd"/>
      <w:r w:rsidR="00F029F4" w:rsidRPr="00A671BF">
        <w:rPr>
          <w:rFonts w:eastAsia="Calibri" w:cs="Times New Roman"/>
        </w:rPr>
        <w:t>.</w:t>
      </w:r>
      <w:r w:rsidRPr="00A671BF">
        <w:rPr>
          <w:rFonts w:eastAsia="Calibri" w:cs="Times New Roman"/>
        </w:rPr>
        <w:t xml:space="preserve"> </w:t>
      </w:r>
      <w:r w:rsidR="002503A2" w:rsidRPr="00A671BF">
        <w:rPr>
          <w:rFonts w:eastAsia="Calibri" w:cs="Times New Roman"/>
        </w:rPr>
        <w:t>In fact</w:t>
      </w:r>
      <w:r w:rsidR="00A16A97" w:rsidRPr="00A671BF">
        <w:rPr>
          <w:rFonts w:eastAsia="Calibri" w:cs="Times New Roman"/>
        </w:rPr>
        <w:t>, the Association</w:t>
      </w:r>
      <w:r w:rsidR="00F029F4" w:rsidRPr="00A671BF">
        <w:rPr>
          <w:rFonts w:eastAsia="Calibri" w:cs="Times New Roman"/>
        </w:rPr>
        <w:t xml:space="preserve"> is mentioned </w:t>
      </w:r>
      <w:r w:rsidR="00D01105" w:rsidRPr="00A671BF">
        <w:rPr>
          <w:rFonts w:eastAsia="Calibri" w:cs="Times New Roman"/>
        </w:rPr>
        <w:t xml:space="preserve">in the British records </w:t>
      </w:r>
      <w:r w:rsidR="0040233D" w:rsidRPr="00A671BF">
        <w:rPr>
          <w:rFonts w:eastAsia="Calibri" w:cs="Times New Roman"/>
        </w:rPr>
        <w:t xml:space="preserve">only </w:t>
      </w:r>
      <w:r w:rsidR="00F029F4" w:rsidRPr="00A671BF">
        <w:rPr>
          <w:rFonts w:eastAsia="Calibri" w:cs="Times New Roman"/>
        </w:rPr>
        <w:t>in p</w:t>
      </w:r>
      <w:r w:rsidR="00A16A97" w:rsidRPr="00A671BF">
        <w:rPr>
          <w:rFonts w:eastAsia="Calibri" w:cs="Times New Roman"/>
        </w:rPr>
        <w:t>assing</w:t>
      </w:r>
      <w:r w:rsidR="0040233D" w:rsidRPr="00A671BF">
        <w:rPr>
          <w:rFonts w:eastAsia="Calibri" w:cs="Times New Roman"/>
        </w:rPr>
        <w:t>,</w:t>
      </w:r>
      <w:r w:rsidR="00A16A97" w:rsidRPr="00A671BF">
        <w:rPr>
          <w:rFonts w:eastAsia="Calibri" w:cs="Times New Roman"/>
        </w:rPr>
        <w:t xml:space="preserve"> as evidence of a</w:t>
      </w:r>
      <w:r w:rsidR="004A2D1D" w:rsidRPr="00A671BF">
        <w:rPr>
          <w:rFonts w:eastAsia="Calibri" w:cs="Times New Roman"/>
        </w:rPr>
        <w:t xml:space="preserve"> </w:t>
      </w:r>
      <w:r w:rsidR="003E4D69" w:rsidRPr="00A671BF">
        <w:rPr>
          <w:rFonts w:eastAsia="Calibri" w:cs="Times New Roman"/>
        </w:rPr>
        <w:t xml:space="preserve">conspicuous </w:t>
      </w:r>
      <w:r w:rsidR="004A2D1D" w:rsidRPr="00A671BF">
        <w:rPr>
          <w:rFonts w:eastAsia="Calibri" w:cs="Times New Roman"/>
        </w:rPr>
        <w:t>split</w:t>
      </w:r>
      <w:r w:rsidR="00F029F4" w:rsidRPr="00A671BF">
        <w:rPr>
          <w:rFonts w:eastAsia="Calibri" w:cs="Times New Roman"/>
        </w:rPr>
        <w:t xml:space="preserve"> in the Indian community between merchants and students</w:t>
      </w:r>
      <w:r w:rsidR="00725004" w:rsidRPr="00A671BF">
        <w:rPr>
          <w:rFonts w:eastAsia="Calibri" w:cs="Times New Roman"/>
        </w:rPr>
        <w:t xml:space="preserve"> (Indians and Afghans, 1924b)</w:t>
      </w:r>
      <w:r w:rsidR="00F029F4" w:rsidRPr="00A671BF">
        <w:rPr>
          <w:rFonts w:eastAsia="Calibri" w:cs="Times New Roman"/>
        </w:rPr>
        <w:t xml:space="preserve">. </w:t>
      </w:r>
      <w:r w:rsidR="00D01105" w:rsidRPr="00A671BF">
        <w:rPr>
          <w:rFonts w:eastAsia="Calibri" w:cs="Times New Roman"/>
        </w:rPr>
        <w:t xml:space="preserve">As </w:t>
      </w:r>
      <w:r w:rsidRPr="00A671BF">
        <w:rPr>
          <w:rFonts w:eastAsia="Calibri" w:cs="Times New Roman"/>
        </w:rPr>
        <w:t>British agents monitoring</w:t>
      </w:r>
      <w:r w:rsidR="00A35BAD" w:rsidRPr="00A671BF">
        <w:rPr>
          <w:rFonts w:eastAsia="Calibri" w:cs="Times New Roman"/>
        </w:rPr>
        <w:t xml:space="preserve"> Indians in Paris were </w:t>
      </w:r>
      <w:r w:rsidR="00A16A97" w:rsidRPr="00A671BF">
        <w:rPr>
          <w:rFonts w:eastAsia="Calibri" w:cs="Times New Roman"/>
        </w:rPr>
        <w:t xml:space="preserve">concerned </w:t>
      </w:r>
      <w:r w:rsidR="00AF3631" w:rsidRPr="00A671BF">
        <w:rPr>
          <w:rFonts w:eastAsia="Calibri" w:cs="Times New Roman"/>
        </w:rPr>
        <w:t xml:space="preserve">predominantly </w:t>
      </w:r>
      <w:r w:rsidR="00A16A97" w:rsidRPr="00A671BF">
        <w:rPr>
          <w:rFonts w:eastAsia="Calibri" w:cs="Times New Roman"/>
        </w:rPr>
        <w:t>about</w:t>
      </w:r>
      <w:r w:rsidR="00A35BAD" w:rsidRPr="00A671BF">
        <w:rPr>
          <w:rFonts w:eastAsia="Calibri" w:cs="Times New Roman"/>
        </w:rPr>
        <w:t xml:space="preserve"> </w:t>
      </w:r>
      <w:r w:rsidR="00F029F4" w:rsidRPr="00A671BF">
        <w:rPr>
          <w:rFonts w:eastAsia="Calibri" w:cs="Times New Roman"/>
        </w:rPr>
        <w:t>the</w:t>
      </w:r>
      <w:r w:rsidR="008B5066" w:rsidRPr="00A671BF">
        <w:rPr>
          <w:rFonts w:eastAsia="Calibri" w:cs="Times New Roman"/>
        </w:rPr>
        <w:t xml:space="preserve"> revolutionary potential</w:t>
      </w:r>
      <w:r w:rsidR="00F029F4" w:rsidRPr="00A671BF">
        <w:rPr>
          <w:rFonts w:eastAsia="Calibri" w:cs="Times New Roman"/>
        </w:rPr>
        <w:t xml:space="preserve"> of students</w:t>
      </w:r>
      <w:r w:rsidR="00D01105" w:rsidRPr="00A671BF">
        <w:rPr>
          <w:rFonts w:eastAsia="Calibri" w:cs="Times New Roman"/>
        </w:rPr>
        <w:t>,</w:t>
      </w:r>
      <w:r w:rsidR="00CD1A3D" w:rsidRPr="00A671BF">
        <w:rPr>
          <w:rFonts w:eastAsia="Calibri" w:cs="Times New Roman"/>
        </w:rPr>
        <w:t xml:space="preserve"> Ghose’s Association des </w:t>
      </w:r>
      <w:proofErr w:type="spellStart"/>
      <w:r w:rsidR="00CD1A3D" w:rsidRPr="00A671BF">
        <w:rPr>
          <w:rFonts w:eastAsia="Calibri" w:cs="Times New Roman"/>
        </w:rPr>
        <w:t>Hindous</w:t>
      </w:r>
      <w:proofErr w:type="spellEnd"/>
      <w:r w:rsidR="00CD1A3D" w:rsidRPr="00A671BF">
        <w:rPr>
          <w:rFonts w:eastAsia="Calibri" w:cs="Times New Roman"/>
        </w:rPr>
        <w:t xml:space="preserve">, </w:t>
      </w:r>
      <w:r w:rsidR="00D01105" w:rsidRPr="00A671BF">
        <w:rPr>
          <w:rFonts w:eastAsia="Calibri" w:cs="Times New Roman"/>
        </w:rPr>
        <w:t>with its</w:t>
      </w:r>
      <w:r w:rsidR="00CD1A3D" w:rsidRPr="00A671BF">
        <w:rPr>
          <w:rFonts w:eastAsia="Calibri" w:cs="Times New Roman"/>
        </w:rPr>
        <w:t xml:space="preserve"> </w:t>
      </w:r>
      <w:r w:rsidR="00D01105" w:rsidRPr="00A671BF">
        <w:rPr>
          <w:rFonts w:eastAsia="Calibri" w:cs="Times New Roman"/>
        </w:rPr>
        <w:t>preponderance</w:t>
      </w:r>
      <w:r w:rsidR="00CD1A3D" w:rsidRPr="00A671BF">
        <w:rPr>
          <w:rFonts w:eastAsia="Calibri" w:cs="Times New Roman"/>
        </w:rPr>
        <w:t xml:space="preserve"> of jewel merchants</w:t>
      </w:r>
      <w:r w:rsidR="000F0C4C" w:rsidRPr="00A671BF">
        <w:rPr>
          <w:rFonts w:eastAsia="Calibri" w:cs="Times New Roman"/>
        </w:rPr>
        <w:t>,</w:t>
      </w:r>
      <w:r w:rsidR="00CD1A3D" w:rsidRPr="00A671BF">
        <w:rPr>
          <w:rFonts w:eastAsia="Calibri" w:cs="Times New Roman"/>
        </w:rPr>
        <w:t xml:space="preserve"> </w:t>
      </w:r>
      <w:r w:rsidR="00D01105" w:rsidRPr="00A671BF">
        <w:rPr>
          <w:rFonts w:eastAsia="Calibri" w:cs="Times New Roman"/>
        </w:rPr>
        <w:t xml:space="preserve">was dismissed </w:t>
      </w:r>
      <w:r w:rsidR="00CD1A3D" w:rsidRPr="00A671BF">
        <w:rPr>
          <w:rFonts w:eastAsia="Calibri" w:cs="Times New Roman"/>
        </w:rPr>
        <w:t>as unthreatening.</w:t>
      </w:r>
      <w:r w:rsidR="00686C4F" w:rsidRPr="00A671BF">
        <w:rPr>
          <w:rFonts w:eastAsia="Calibri" w:cs="Times New Roman"/>
        </w:rPr>
        <w:t xml:space="preserve"> </w:t>
      </w:r>
      <w:r w:rsidR="00CD1A3D" w:rsidRPr="00A671BF">
        <w:rPr>
          <w:rFonts w:eastAsia="Calibri" w:cs="Times New Roman"/>
        </w:rPr>
        <w:t>Students</w:t>
      </w:r>
      <w:r w:rsidR="00D01105" w:rsidRPr="00A671BF">
        <w:rPr>
          <w:rFonts w:eastAsia="Calibri" w:cs="Times New Roman"/>
        </w:rPr>
        <w:t>,</w:t>
      </w:r>
      <w:r w:rsidR="00CD1A3D" w:rsidRPr="00A671BF">
        <w:rPr>
          <w:rFonts w:eastAsia="Calibri" w:cs="Times New Roman"/>
        </w:rPr>
        <w:t xml:space="preserve"> </w:t>
      </w:r>
      <w:r w:rsidR="00D01105" w:rsidRPr="00A671BF">
        <w:rPr>
          <w:rFonts w:eastAsia="Calibri" w:cs="Times New Roman"/>
        </w:rPr>
        <w:t xml:space="preserve">invariably viewed as politically active by British Intelligence, </w:t>
      </w:r>
      <w:r w:rsidR="00CD1A3D" w:rsidRPr="00A671BF">
        <w:rPr>
          <w:rFonts w:eastAsia="Calibri" w:cs="Times New Roman"/>
        </w:rPr>
        <w:t>were monitored very closely</w:t>
      </w:r>
      <w:r w:rsidR="00D01105" w:rsidRPr="00A671BF">
        <w:rPr>
          <w:rFonts w:eastAsia="Calibri" w:cs="Times New Roman"/>
        </w:rPr>
        <w:t>:</w:t>
      </w:r>
      <w:r w:rsidR="00CD1A3D" w:rsidRPr="00A671BF">
        <w:rPr>
          <w:rFonts w:eastAsia="Calibri" w:cs="Times New Roman"/>
        </w:rPr>
        <w:t xml:space="preserve"> fortnightly bulletins </w:t>
      </w:r>
      <w:r w:rsidR="00D01105" w:rsidRPr="00A671BF">
        <w:rPr>
          <w:rFonts w:eastAsia="Calibri" w:cs="Times New Roman"/>
        </w:rPr>
        <w:t>produced for the Indian Office commented</w:t>
      </w:r>
      <w:r w:rsidR="00CD1A3D" w:rsidRPr="00A671BF">
        <w:rPr>
          <w:rFonts w:eastAsia="Calibri" w:cs="Times New Roman"/>
        </w:rPr>
        <w:t xml:space="preserve"> on how regularly they attended lectures</w:t>
      </w:r>
      <w:r w:rsidR="00D01105" w:rsidRPr="00A671BF">
        <w:rPr>
          <w:rFonts w:eastAsia="Calibri" w:cs="Times New Roman"/>
        </w:rPr>
        <w:t>, and</w:t>
      </w:r>
      <w:r w:rsidR="000F0C4C" w:rsidRPr="00A671BF">
        <w:rPr>
          <w:rFonts w:eastAsia="Calibri" w:cs="Times New Roman"/>
        </w:rPr>
        <w:t xml:space="preserve"> the</w:t>
      </w:r>
      <w:r w:rsidR="00CD1A3D" w:rsidRPr="00A671BF">
        <w:rPr>
          <w:rFonts w:eastAsia="Calibri" w:cs="Times New Roman"/>
        </w:rPr>
        <w:t xml:space="preserve"> </w:t>
      </w:r>
      <w:r w:rsidR="00D01105" w:rsidRPr="00A671BF">
        <w:rPr>
          <w:rFonts w:eastAsia="Calibri" w:cs="Times New Roman"/>
        </w:rPr>
        <w:t xml:space="preserve">seriousness with which they </w:t>
      </w:r>
      <w:r w:rsidR="00AF3631" w:rsidRPr="00A671BF">
        <w:rPr>
          <w:rFonts w:eastAsia="Calibri" w:cs="Times New Roman"/>
        </w:rPr>
        <w:t>applied themselves to</w:t>
      </w:r>
      <w:r w:rsidR="00D01105" w:rsidRPr="00A671BF">
        <w:rPr>
          <w:rFonts w:eastAsia="Calibri" w:cs="Times New Roman"/>
        </w:rPr>
        <w:t xml:space="preserve"> their education</w:t>
      </w:r>
      <w:r w:rsidR="00CD1A3D" w:rsidRPr="00A671BF">
        <w:rPr>
          <w:rFonts w:eastAsia="Calibri" w:cs="Times New Roman"/>
        </w:rPr>
        <w:t xml:space="preserve"> </w:t>
      </w:r>
      <w:r w:rsidR="00D01105" w:rsidRPr="00A671BF">
        <w:rPr>
          <w:rFonts w:eastAsia="Calibri" w:cs="Times New Roman"/>
        </w:rPr>
        <w:t>(</w:t>
      </w:r>
      <w:r w:rsidR="00CD1A3D" w:rsidRPr="00A671BF">
        <w:rPr>
          <w:rFonts w:eastAsia="Calibri" w:cs="Times New Roman"/>
        </w:rPr>
        <w:t xml:space="preserve">no matter </w:t>
      </w:r>
      <w:r w:rsidR="00D01105" w:rsidRPr="00A671BF">
        <w:rPr>
          <w:rFonts w:eastAsia="Calibri" w:cs="Times New Roman"/>
        </w:rPr>
        <w:t>what</w:t>
      </w:r>
      <w:r w:rsidR="00CD1A3D" w:rsidRPr="00A671BF">
        <w:rPr>
          <w:rFonts w:eastAsia="Calibri" w:cs="Times New Roman"/>
        </w:rPr>
        <w:t xml:space="preserve"> subject they studied</w:t>
      </w:r>
      <w:r w:rsidR="00D01105" w:rsidRPr="00A671BF">
        <w:rPr>
          <w:rFonts w:eastAsia="Calibri" w:cs="Times New Roman"/>
        </w:rPr>
        <w:t>)</w:t>
      </w:r>
      <w:r w:rsidR="00CD1A3D" w:rsidRPr="00A671BF">
        <w:rPr>
          <w:rFonts w:eastAsia="Calibri" w:cs="Times New Roman"/>
        </w:rPr>
        <w:t xml:space="preserve"> </w:t>
      </w:r>
      <w:r w:rsidR="00D01105" w:rsidRPr="00A671BF">
        <w:rPr>
          <w:rFonts w:eastAsia="Calibri" w:cs="Times New Roman"/>
        </w:rPr>
        <w:t xml:space="preserve">was </w:t>
      </w:r>
      <w:r w:rsidR="00CD1A3D" w:rsidRPr="00A671BF">
        <w:rPr>
          <w:rFonts w:eastAsia="Calibri" w:cs="Times New Roman"/>
        </w:rPr>
        <w:t>interpreted as a marker of the seriousness of their</w:t>
      </w:r>
      <w:r w:rsidR="00686C4F" w:rsidRPr="00A671BF">
        <w:rPr>
          <w:rFonts w:eastAsia="Calibri" w:cs="Times New Roman"/>
        </w:rPr>
        <w:t xml:space="preserve"> political </w:t>
      </w:r>
      <w:r w:rsidR="00D01105" w:rsidRPr="00A671BF">
        <w:rPr>
          <w:rFonts w:eastAsia="Calibri" w:cs="Times New Roman"/>
        </w:rPr>
        <w:t>intent</w:t>
      </w:r>
      <w:r w:rsidR="00CD1A3D" w:rsidRPr="00A671BF">
        <w:rPr>
          <w:rFonts w:eastAsia="Calibri" w:cs="Times New Roman"/>
        </w:rPr>
        <w:t>.</w:t>
      </w:r>
      <w:r w:rsidR="00686C4F" w:rsidRPr="00A671BF">
        <w:rPr>
          <w:rFonts w:eastAsia="Calibri" w:cs="Times New Roman"/>
        </w:rPr>
        <w:t xml:space="preserve"> </w:t>
      </w:r>
      <w:r w:rsidR="00524D7A" w:rsidRPr="00A671BF">
        <w:rPr>
          <w:rFonts w:eastAsia="Calibri" w:cs="Times New Roman"/>
        </w:rPr>
        <w:t xml:space="preserve">In contrast, </w:t>
      </w:r>
      <w:r w:rsidR="0056388B" w:rsidRPr="00A671BF">
        <w:rPr>
          <w:rFonts w:eastAsia="Calibri" w:cs="Times New Roman"/>
        </w:rPr>
        <w:t>Egyptians</w:t>
      </w:r>
      <w:r w:rsidR="00524D7A" w:rsidRPr="00A671BF">
        <w:rPr>
          <w:rFonts w:eastAsia="Calibri" w:cs="Times New Roman"/>
        </w:rPr>
        <w:t xml:space="preserve"> were characterized as </w:t>
      </w:r>
      <w:r w:rsidR="00382C63" w:rsidRPr="00A671BF">
        <w:rPr>
          <w:rFonts w:eastAsia="Calibri" w:cs="Times New Roman"/>
        </w:rPr>
        <w:t>dilettantes</w:t>
      </w:r>
      <w:r w:rsidR="00725004" w:rsidRPr="00A671BF">
        <w:rPr>
          <w:rFonts w:eastAsia="Calibri" w:cs="Times New Roman"/>
        </w:rPr>
        <w:t xml:space="preserve"> (Indians and Afghans, 1924a)</w:t>
      </w:r>
      <w:r w:rsidR="002529A4" w:rsidRPr="00A671BF">
        <w:rPr>
          <w:rFonts w:eastAsia="Calibri" w:cs="Times New Roman"/>
        </w:rPr>
        <w:t>.</w:t>
      </w:r>
      <w:r w:rsidR="0056388B" w:rsidRPr="00A671BF">
        <w:t xml:space="preserve"> </w:t>
      </w:r>
      <w:r w:rsidR="008B5066" w:rsidRPr="00A671BF">
        <w:t xml:space="preserve">Of particular interest to </w:t>
      </w:r>
      <w:r w:rsidR="00546B81" w:rsidRPr="00A671BF">
        <w:t>London was the ‘</w:t>
      </w:r>
      <w:r w:rsidR="00F029F4" w:rsidRPr="00A671BF">
        <w:t>Assoc</w:t>
      </w:r>
      <w:r w:rsidR="004A2D1D" w:rsidRPr="00A671BF">
        <w:t>iation</w:t>
      </w:r>
      <w:r w:rsidR="00F029F4" w:rsidRPr="00A671BF">
        <w:t xml:space="preserve"> des </w:t>
      </w:r>
      <w:proofErr w:type="spellStart"/>
      <w:r w:rsidR="004A2D1D" w:rsidRPr="00A671BF">
        <w:t>E</w:t>
      </w:r>
      <w:r w:rsidR="00F029F4" w:rsidRPr="00A671BF">
        <w:t>tudiants</w:t>
      </w:r>
      <w:proofErr w:type="spellEnd"/>
      <w:r w:rsidR="00F029F4" w:rsidRPr="00A671BF">
        <w:t xml:space="preserve"> </w:t>
      </w:r>
      <w:proofErr w:type="spellStart"/>
      <w:r w:rsidR="00F029F4" w:rsidRPr="00A671BF">
        <w:t>hindous</w:t>
      </w:r>
      <w:proofErr w:type="spellEnd"/>
      <w:r w:rsidR="00617C60" w:rsidRPr="00A671BF">
        <w:t xml:space="preserve"> de France</w:t>
      </w:r>
      <w:r w:rsidR="00546B81" w:rsidRPr="00A671BF">
        <w:t xml:space="preserve">’ and the work of its secretary, Prabodh Chandra </w:t>
      </w:r>
      <w:proofErr w:type="spellStart"/>
      <w:r w:rsidR="00546B81" w:rsidRPr="00A671BF">
        <w:t>Bagchi</w:t>
      </w:r>
      <w:proofErr w:type="spellEnd"/>
      <w:r w:rsidR="008B5066" w:rsidRPr="00A671BF">
        <w:t>.</w:t>
      </w:r>
      <w:r w:rsidR="00546B81" w:rsidRPr="00A671BF">
        <w:t xml:space="preserve"> </w:t>
      </w:r>
      <w:r w:rsidR="00382C63" w:rsidRPr="00A671BF">
        <w:t>From 1924 onwards</w:t>
      </w:r>
      <w:r w:rsidR="005F35CA" w:rsidRPr="00A671BF">
        <w:t xml:space="preserve"> </w:t>
      </w:r>
      <w:r w:rsidR="00617C60" w:rsidRPr="00A671BF">
        <w:t xml:space="preserve">British </w:t>
      </w:r>
      <w:r w:rsidR="000F7D6F" w:rsidRPr="00A671BF">
        <w:t>I</w:t>
      </w:r>
      <w:r w:rsidR="005F35CA" w:rsidRPr="00A671BF">
        <w:t>ntelligence</w:t>
      </w:r>
      <w:r w:rsidR="00382C63" w:rsidRPr="00A671BF">
        <w:t xml:space="preserve">, </w:t>
      </w:r>
      <w:r w:rsidR="005F35CA" w:rsidRPr="00A671BF">
        <w:t xml:space="preserve">as a consequence of </w:t>
      </w:r>
      <w:r w:rsidR="000F7D6F" w:rsidRPr="00A671BF">
        <w:t>its</w:t>
      </w:r>
      <w:r w:rsidR="005F35CA" w:rsidRPr="00A671BF">
        <w:t xml:space="preserve"> close monitoring of </w:t>
      </w:r>
      <w:proofErr w:type="spellStart"/>
      <w:r w:rsidR="005F35CA" w:rsidRPr="00A671BF">
        <w:t>Bagchi</w:t>
      </w:r>
      <w:proofErr w:type="spellEnd"/>
      <w:r w:rsidR="005F35CA" w:rsidRPr="00A671BF">
        <w:t>, w</w:t>
      </w:r>
      <w:r w:rsidR="000F7D6F" w:rsidRPr="00A671BF">
        <w:t>as</w:t>
      </w:r>
      <w:r w:rsidR="005F35CA" w:rsidRPr="00A671BF">
        <w:t xml:space="preserve"> regularly able to notify </w:t>
      </w:r>
      <w:r w:rsidR="00FE4086" w:rsidRPr="00A671BF">
        <w:t>London of arrivals of</w:t>
      </w:r>
      <w:r w:rsidR="00382C63" w:rsidRPr="00A671BF">
        <w:t xml:space="preserve"> Indian students </w:t>
      </w:r>
      <w:r w:rsidR="00FE4086" w:rsidRPr="00A671BF">
        <w:t>in Paris</w:t>
      </w:r>
      <w:r w:rsidR="00382C63" w:rsidRPr="00A671BF">
        <w:t>.</w:t>
      </w:r>
      <w:r w:rsidR="002529A4" w:rsidRPr="00A671BF">
        <w:t xml:space="preserve"> </w:t>
      </w:r>
      <w:proofErr w:type="spellStart"/>
      <w:r w:rsidR="002529A4" w:rsidRPr="00A671BF">
        <w:t>Bagchi</w:t>
      </w:r>
      <w:proofErr w:type="spellEnd"/>
      <w:r w:rsidR="003C4F95" w:rsidRPr="00A671BF">
        <w:t>, a Si</w:t>
      </w:r>
      <w:r w:rsidR="0098788F" w:rsidRPr="00A671BF">
        <w:t xml:space="preserve">nologist who worked with </w:t>
      </w:r>
      <w:r w:rsidR="005F35CA" w:rsidRPr="00A671BF">
        <w:t xml:space="preserve">the </w:t>
      </w:r>
      <w:r w:rsidR="00FE4086" w:rsidRPr="00A671BF">
        <w:t xml:space="preserve">orientalist and Indologist </w:t>
      </w:r>
      <w:r w:rsidR="0098788F" w:rsidRPr="00A671BF">
        <w:t>Sylvain Lévi and was awar</w:t>
      </w:r>
      <w:r w:rsidR="008A177B" w:rsidRPr="00A671BF">
        <w:t>ded a do</w:t>
      </w:r>
      <w:r w:rsidR="002529A4" w:rsidRPr="00A671BF">
        <w:t xml:space="preserve">ctorate by the Sorbonne, was a noted nationalist who set </w:t>
      </w:r>
      <w:r w:rsidR="008A177B" w:rsidRPr="00A671BF">
        <w:t>up an association to aid Indian students who came to Paris</w:t>
      </w:r>
      <w:r w:rsidR="005F35CA" w:rsidRPr="00A671BF">
        <w:t xml:space="preserve"> and enrolled at the Sorbonne</w:t>
      </w:r>
      <w:r w:rsidR="008A177B" w:rsidRPr="00A671BF">
        <w:t>.</w:t>
      </w:r>
      <w:r w:rsidR="0098788F" w:rsidRPr="00A671BF">
        <w:t xml:space="preserve"> In a report of </w:t>
      </w:r>
      <w:r w:rsidR="00DB34B1" w:rsidRPr="00A671BF">
        <w:t xml:space="preserve">4 </w:t>
      </w:r>
      <w:r w:rsidR="0098788F" w:rsidRPr="00A671BF">
        <w:t xml:space="preserve">September 1924, </w:t>
      </w:r>
      <w:r w:rsidR="00524165" w:rsidRPr="00A671BF">
        <w:t>the activities of the association were described:</w:t>
      </w:r>
    </w:p>
    <w:p w:rsidR="00524165" w:rsidRPr="00A671BF" w:rsidRDefault="00524165" w:rsidP="0038784E">
      <w:pPr>
        <w:spacing w:line="360" w:lineRule="auto"/>
      </w:pPr>
    </w:p>
    <w:p w:rsidR="00524165" w:rsidRPr="00A671BF" w:rsidRDefault="0098788F" w:rsidP="00E4779E">
      <w:pPr>
        <w:spacing w:line="360" w:lineRule="auto"/>
        <w:ind w:left="284"/>
      </w:pPr>
      <w:proofErr w:type="spellStart"/>
      <w:r w:rsidRPr="00A671BF">
        <w:t>Bagchi</w:t>
      </w:r>
      <w:proofErr w:type="spellEnd"/>
      <w:r w:rsidRPr="00A671BF">
        <w:t xml:space="preserve">, the secretary of the Indian Association in Paris is endeavouring to extend his activities. He has arranged to hire a room at 17 rue </w:t>
      </w:r>
      <w:proofErr w:type="spellStart"/>
      <w:r w:rsidRPr="00A671BF">
        <w:t>Sommerard</w:t>
      </w:r>
      <w:proofErr w:type="spellEnd"/>
      <w:r w:rsidRPr="00A671BF">
        <w:t xml:space="preserve"> for the Association. This room will be paid for partly by the students and partly by the merchants, and is to serve as a reading room and meeting place. It might also be used by Indians as a temporary residence while they are looking for rooms in Paris. The majority of the Indian merchants refuse to take any interest in the Association.</w:t>
      </w:r>
      <w:r w:rsidR="00725004" w:rsidRPr="00A671BF">
        <w:t xml:space="preserve"> </w:t>
      </w:r>
      <w:r w:rsidR="00725004" w:rsidRPr="00A671BF">
        <w:rPr>
          <w:rFonts w:eastAsia="Calibri" w:cs="Times New Roman"/>
        </w:rPr>
        <w:t>(Indians and Afghans, 1924b)</w:t>
      </w:r>
      <w:r w:rsidR="00DB4667" w:rsidRPr="00A671BF">
        <w:t xml:space="preserve"> </w:t>
      </w:r>
    </w:p>
    <w:p w:rsidR="00524165" w:rsidRPr="00A671BF" w:rsidRDefault="00524165" w:rsidP="0038784E">
      <w:pPr>
        <w:spacing w:line="360" w:lineRule="auto"/>
      </w:pPr>
    </w:p>
    <w:p w:rsidR="003C4F95" w:rsidRPr="00A671BF" w:rsidRDefault="003C4F95" w:rsidP="00D1187E">
      <w:pPr>
        <w:spacing w:line="360" w:lineRule="auto"/>
        <w:ind w:firstLine="720"/>
        <w:rPr>
          <w:bCs/>
        </w:rPr>
      </w:pPr>
      <w:r w:rsidRPr="00A671BF">
        <w:t>The ‘Indian Association’</w:t>
      </w:r>
      <w:r w:rsidR="00FE4086" w:rsidRPr="00A671BF">
        <w:t xml:space="preserve"> was reported on in fortnightly </w:t>
      </w:r>
      <w:r w:rsidR="00546B81" w:rsidRPr="00A671BF">
        <w:t>bulletins</w:t>
      </w:r>
      <w:r w:rsidR="00FE4086" w:rsidRPr="00A671BF">
        <w:t xml:space="preserve"> produced for the India Office</w:t>
      </w:r>
      <w:r w:rsidR="00841B3E" w:rsidRPr="00A671BF">
        <w:t xml:space="preserve">. </w:t>
      </w:r>
      <w:r w:rsidR="008B5066" w:rsidRPr="00A671BF">
        <w:t>F</w:t>
      </w:r>
      <w:r w:rsidR="00546B81" w:rsidRPr="00A671BF">
        <w:t xml:space="preserve">or all </w:t>
      </w:r>
      <w:r w:rsidR="00DB34B1" w:rsidRPr="00A671BF">
        <w:t>their regularity</w:t>
      </w:r>
      <w:r w:rsidR="00546B81" w:rsidRPr="00A671BF">
        <w:t xml:space="preserve">, </w:t>
      </w:r>
      <w:r w:rsidR="00DB34B1" w:rsidRPr="00A671BF">
        <w:t xml:space="preserve">however, </w:t>
      </w:r>
      <w:r w:rsidR="00546B81" w:rsidRPr="00A671BF">
        <w:t>the British report</w:t>
      </w:r>
      <w:r w:rsidR="00DB34B1" w:rsidRPr="00A671BF">
        <w:t>s</w:t>
      </w:r>
      <w:r w:rsidR="00546B81" w:rsidRPr="00A671BF">
        <w:t xml:space="preserve"> </w:t>
      </w:r>
      <w:r w:rsidR="00DB34B1" w:rsidRPr="00A671BF">
        <w:t>were characterized by the accumulation of largely superficial details, and reveal</w:t>
      </w:r>
      <w:r w:rsidR="00546B81" w:rsidRPr="00A671BF">
        <w:t xml:space="preserve"> how little was known in London </w:t>
      </w:r>
      <w:r w:rsidR="00AF3631" w:rsidRPr="00A671BF">
        <w:t>of things that were</w:t>
      </w:r>
      <w:r w:rsidR="004A2D1D" w:rsidRPr="00A671BF">
        <w:t xml:space="preserve"> common knowledge in the </w:t>
      </w:r>
      <w:proofErr w:type="spellStart"/>
      <w:r w:rsidR="004A2D1D" w:rsidRPr="00A671BF">
        <w:t>Préfecture</w:t>
      </w:r>
      <w:proofErr w:type="spellEnd"/>
      <w:r w:rsidR="004A2D1D" w:rsidRPr="00A671BF">
        <w:t xml:space="preserve"> de Police in </w:t>
      </w:r>
      <w:r w:rsidR="00546B81" w:rsidRPr="00A671BF">
        <w:t>Paris.</w:t>
      </w:r>
      <w:r w:rsidR="00EA485E" w:rsidRPr="00A671BF">
        <w:t xml:space="preserve"> The Association</w:t>
      </w:r>
      <w:r w:rsidR="00F029F4" w:rsidRPr="00A671BF">
        <w:t xml:space="preserve"> had its premises in the same building</w:t>
      </w:r>
      <w:r w:rsidR="00DB34B1" w:rsidRPr="00A671BF">
        <w:t xml:space="preserve"> </w:t>
      </w:r>
      <w:r w:rsidR="00F029F4" w:rsidRPr="00A671BF">
        <w:t xml:space="preserve">as Ghose’s Association des </w:t>
      </w:r>
      <w:proofErr w:type="spellStart"/>
      <w:r w:rsidR="00F029F4" w:rsidRPr="00A671BF">
        <w:t>Hindous</w:t>
      </w:r>
      <w:proofErr w:type="spellEnd"/>
      <w:r w:rsidR="00F029F4" w:rsidRPr="00A671BF">
        <w:t xml:space="preserve"> de Paris</w:t>
      </w:r>
      <w:r w:rsidR="007437E8" w:rsidRPr="00A671BF">
        <w:t>, and</w:t>
      </w:r>
      <w:r w:rsidR="00DB34B1" w:rsidRPr="00A671BF">
        <w:t>,</w:t>
      </w:r>
      <w:r w:rsidR="007437E8" w:rsidRPr="00A671BF">
        <w:t xml:space="preserve"> </w:t>
      </w:r>
      <w:r w:rsidR="00DB34B1" w:rsidRPr="00A671BF">
        <w:t xml:space="preserve">as the Paris police reports make clear, </w:t>
      </w:r>
      <w:r w:rsidR="007437E8" w:rsidRPr="00A671BF">
        <w:t xml:space="preserve">many of </w:t>
      </w:r>
      <w:r w:rsidR="00DB34B1" w:rsidRPr="00A671BF">
        <w:t>the activities of the two associations overlapped</w:t>
      </w:r>
      <w:r w:rsidR="007437E8" w:rsidRPr="00A671BF">
        <w:t xml:space="preserve"> in practice</w:t>
      </w:r>
      <w:r w:rsidR="004A2D1D" w:rsidRPr="00A671BF">
        <w:t xml:space="preserve">. </w:t>
      </w:r>
      <w:r w:rsidR="00DB34B1" w:rsidRPr="00A671BF">
        <w:t>In contrast with the British claim ‘</w:t>
      </w:r>
      <w:r w:rsidR="002A15C3" w:rsidRPr="00A671BF">
        <w:t xml:space="preserve">that the majority of the Indian </w:t>
      </w:r>
      <w:r w:rsidR="00DB34B1" w:rsidRPr="00A671BF">
        <w:t>merchants refuse to take</w:t>
      </w:r>
      <w:r w:rsidR="004A2D1D" w:rsidRPr="00A671BF">
        <w:t xml:space="preserve"> any interest’ in the student association, </w:t>
      </w:r>
      <w:r w:rsidR="007437E8" w:rsidRPr="00A671BF">
        <w:t xml:space="preserve">an image of a close-knit community </w:t>
      </w:r>
      <w:r w:rsidR="006B0958" w:rsidRPr="00A671BF">
        <w:t>emerges</w:t>
      </w:r>
      <w:r w:rsidR="00DB34B1" w:rsidRPr="00A671BF">
        <w:t xml:space="preserve"> from the French reports</w:t>
      </w:r>
      <w:r w:rsidR="00725004" w:rsidRPr="00A671BF">
        <w:t xml:space="preserve"> (</w:t>
      </w:r>
      <w:r w:rsidR="008749FF" w:rsidRPr="00A671BF">
        <w:t>Chef du Service</w:t>
      </w:r>
      <w:r w:rsidR="00725004" w:rsidRPr="00A671BF">
        <w:t xml:space="preserve">, 1921; </w:t>
      </w:r>
      <w:r w:rsidR="0015023A" w:rsidRPr="00A671BF">
        <w:t xml:space="preserve">Direction de la </w:t>
      </w:r>
      <w:proofErr w:type="spellStart"/>
      <w:r w:rsidR="0015023A" w:rsidRPr="00A671BF">
        <w:t>Sûreté</w:t>
      </w:r>
      <w:proofErr w:type="spellEnd"/>
      <w:r w:rsidR="0015023A" w:rsidRPr="00A671BF">
        <w:t xml:space="preserve"> Générale</w:t>
      </w:r>
      <w:r w:rsidR="00725004" w:rsidRPr="00A671BF">
        <w:t>, 1926);</w:t>
      </w:r>
      <w:r w:rsidR="00546B81" w:rsidRPr="00A671BF">
        <w:t xml:space="preserve"> </w:t>
      </w:r>
      <w:r w:rsidR="002503A2" w:rsidRPr="00A671BF">
        <w:t>in reality</w:t>
      </w:r>
      <w:r w:rsidR="008B5066" w:rsidRPr="00A671BF">
        <w:t xml:space="preserve">, 17 </w:t>
      </w:r>
      <w:r w:rsidR="0038553C" w:rsidRPr="00A671BF">
        <w:t xml:space="preserve">rue </w:t>
      </w:r>
      <w:proofErr w:type="spellStart"/>
      <w:r w:rsidR="0038553C" w:rsidRPr="00A671BF">
        <w:t>Sommerard</w:t>
      </w:r>
      <w:proofErr w:type="spellEnd"/>
      <w:r w:rsidR="008B5066" w:rsidRPr="00A671BF">
        <w:t xml:space="preserve"> in the </w:t>
      </w:r>
      <w:r w:rsidR="00EA485E" w:rsidRPr="00A671BF">
        <w:t>fifth arro</w:t>
      </w:r>
      <w:r w:rsidR="0038553C" w:rsidRPr="00A671BF">
        <w:t>ndissement</w:t>
      </w:r>
      <w:r w:rsidR="00EA485E" w:rsidRPr="00A671BF">
        <w:t xml:space="preserve"> became the centre of Indian activity in Paris. </w:t>
      </w:r>
      <w:proofErr w:type="spellStart"/>
      <w:r w:rsidRPr="00A671BF">
        <w:rPr>
          <w:bCs/>
        </w:rPr>
        <w:t>Kavalam</w:t>
      </w:r>
      <w:proofErr w:type="spellEnd"/>
      <w:r w:rsidRPr="00A671BF">
        <w:rPr>
          <w:bCs/>
        </w:rPr>
        <w:t xml:space="preserve"> Madhava </w:t>
      </w:r>
      <w:proofErr w:type="spellStart"/>
      <w:r w:rsidRPr="00A671BF">
        <w:rPr>
          <w:bCs/>
        </w:rPr>
        <w:t>Panikkar</w:t>
      </w:r>
      <w:proofErr w:type="spellEnd"/>
      <w:r w:rsidR="0038553C" w:rsidRPr="00A671BF">
        <w:rPr>
          <w:bCs/>
        </w:rPr>
        <w:t xml:space="preserve">, </w:t>
      </w:r>
      <w:r w:rsidR="004A2D1D" w:rsidRPr="00A671BF">
        <w:rPr>
          <w:bCs/>
        </w:rPr>
        <w:t>the historian and diplomat</w:t>
      </w:r>
      <w:r w:rsidR="0038553C" w:rsidRPr="00A671BF">
        <w:rPr>
          <w:bCs/>
        </w:rPr>
        <w:t>,</w:t>
      </w:r>
      <w:r w:rsidR="004A2D1D" w:rsidRPr="00A671BF">
        <w:rPr>
          <w:bCs/>
        </w:rPr>
        <w:t xml:space="preserve"> illuminates </w:t>
      </w:r>
      <w:r w:rsidR="00400FE0" w:rsidRPr="00A671BF">
        <w:rPr>
          <w:bCs/>
        </w:rPr>
        <w:t xml:space="preserve">the activities of </w:t>
      </w:r>
      <w:r w:rsidR="004A2D1D" w:rsidRPr="00A671BF">
        <w:rPr>
          <w:bCs/>
        </w:rPr>
        <w:t xml:space="preserve">this community in his memoirs, recalling </w:t>
      </w:r>
      <w:r w:rsidRPr="00A671BF">
        <w:rPr>
          <w:bCs/>
        </w:rPr>
        <w:t xml:space="preserve">how the </w:t>
      </w:r>
      <w:r w:rsidR="007437E8" w:rsidRPr="00A671BF">
        <w:rPr>
          <w:bCs/>
        </w:rPr>
        <w:t xml:space="preserve">student </w:t>
      </w:r>
      <w:r w:rsidRPr="00A671BF">
        <w:rPr>
          <w:bCs/>
        </w:rPr>
        <w:t xml:space="preserve">association </w:t>
      </w:r>
      <w:r w:rsidR="0038553C" w:rsidRPr="00A671BF">
        <w:rPr>
          <w:bCs/>
        </w:rPr>
        <w:t>operated</w:t>
      </w:r>
      <w:r w:rsidRPr="00A671BF">
        <w:rPr>
          <w:bCs/>
        </w:rPr>
        <w:t xml:space="preserve"> when he arrived in Paris in 1926:</w:t>
      </w:r>
      <w:r w:rsidR="004A2D1D" w:rsidRPr="00A671BF">
        <w:rPr>
          <w:bCs/>
        </w:rPr>
        <w:t xml:space="preserve"> ‘</w:t>
      </w:r>
      <w:r w:rsidRPr="00A671BF">
        <w:t>There were over twenty Indian students reading</w:t>
      </w:r>
      <w:r w:rsidR="008A177B" w:rsidRPr="00A671BF">
        <w:t xml:space="preserve"> at</w:t>
      </w:r>
      <w:r w:rsidRPr="00A671BF">
        <w:t xml:space="preserve"> the famous Sorbonne University. They had a Hindustan </w:t>
      </w:r>
      <w:proofErr w:type="spellStart"/>
      <w:r w:rsidRPr="00A671BF">
        <w:t>Samaj</w:t>
      </w:r>
      <w:proofErr w:type="spellEnd"/>
      <w:r w:rsidRPr="00A671BF">
        <w:t xml:space="preserve"> [Hindu religious society] to which John [V. K. John] and I turned in o</w:t>
      </w:r>
      <w:r w:rsidR="001225D6" w:rsidRPr="00A671BF">
        <w:t>ur quest for convenient lodging</w:t>
      </w:r>
      <w:r w:rsidR="00E65F70" w:rsidRPr="00A671BF">
        <w:t>’</w:t>
      </w:r>
      <w:r w:rsidR="001225D6" w:rsidRPr="00A671BF">
        <w:t xml:space="preserve"> (1977: 59).</w:t>
      </w:r>
      <w:r w:rsidR="00851004" w:rsidRPr="00A671BF">
        <w:rPr>
          <w:bCs/>
        </w:rPr>
        <w:t xml:space="preserve"> As </w:t>
      </w:r>
      <w:proofErr w:type="spellStart"/>
      <w:r w:rsidR="00851004" w:rsidRPr="00A671BF">
        <w:rPr>
          <w:bCs/>
        </w:rPr>
        <w:t>Panikkar</w:t>
      </w:r>
      <w:proofErr w:type="spellEnd"/>
      <w:r w:rsidR="00851004" w:rsidRPr="00A671BF">
        <w:rPr>
          <w:bCs/>
        </w:rPr>
        <w:t xml:space="preserve"> makes clear, the Association was the obvious first stop for newly arrived Indian students in Paris, providing practical advice,</w:t>
      </w:r>
      <w:r w:rsidR="00E65F70" w:rsidRPr="00A671BF">
        <w:rPr>
          <w:bCs/>
        </w:rPr>
        <w:t xml:space="preserve"> temporary</w:t>
      </w:r>
      <w:r w:rsidR="00851004" w:rsidRPr="00A671BF">
        <w:rPr>
          <w:bCs/>
        </w:rPr>
        <w:t xml:space="preserve"> lodging</w:t>
      </w:r>
      <w:r w:rsidR="00E65F70" w:rsidRPr="00A671BF">
        <w:rPr>
          <w:bCs/>
        </w:rPr>
        <w:t>,</w:t>
      </w:r>
      <w:r w:rsidR="00851004" w:rsidRPr="00A671BF">
        <w:rPr>
          <w:bCs/>
        </w:rPr>
        <w:t xml:space="preserve"> and a means of negotiating the French academic system.</w:t>
      </w:r>
      <w:r w:rsidR="007437E8" w:rsidRPr="00A671BF">
        <w:rPr>
          <w:bCs/>
        </w:rPr>
        <w:t xml:space="preserve"> Of the </w:t>
      </w:r>
      <w:r w:rsidR="00F31522" w:rsidRPr="00A671BF">
        <w:rPr>
          <w:bCs/>
        </w:rPr>
        <w:t>36</w:t>
      </w:r>
      <w:r w:rsidR="007437E8" w:rsidRPr="00A671BF">
        <w:rPr>
          <w:bCs/>
        </w:rPr>
        <w:t xml:space="preserve"> individuals mentioned by name in French and British police reports</w:t>
      </w:r>
      <w:r w:rsidR="0038553C" w:rsidRPr="00A671BF">
        <w:rPr>
          <w:bCs/>
        </w:rPr>
        <w:t>,</w:t>
      </w:r>
      <w:r w:rsidR="007437E8" w:rsidRPr="00A671BF">
        <w:rPr>
          <w:bCs/>
        </w:rPr>
        <w:t xml:space="preserve"> </w:t>
      </w:r>
      <w:r w:rsidR="00F31522" w:rsidRPr="00A671BF">
        <w:rPr>
          <w:bCs/>
        </w:rPr>
        <w:t>23</w:t>
      </w:r>
      <w:r w:rsidR="007437E8" w:rsidRPr="00A671BF">
        <w:rPr>
          <w:bCs/>
        </w:rPr>
        <w:t xml:space="preserve"> lived</w:t>
      </w:r>
      <w:r w:rsidR="0038553C" w:rsidRPr="00A671BF">
        <w:rPr>
          <w:bCs/>
        </w:rPr>
        <w:t xml:space="preserve"> at some point</w:t>
      </w:r>
      <w:r w:rsidR="007437E8" w:rsidRPr="00A671BF">
        <w:rPr>
          <w:bCs/>
        </w:rPr>
        <w:t xml:space="preserve"> at 17 rue </w:t>
      </w:r>
      <w:proofErr w:type="spellStart"/>
      <w:r w:rsidR="007437E8" w:rsidRPr="00A671BF">
        <w:rPr>
          <w:bCs/>
        </w:rPr>
        <w:t>Sommerard</w:t>
      </w:r>
      <w:proofErr w:type="spellEnd"/>
      <w:r w:rsidR="007437E8" w:rsidRPr="00A671BF">
        <w:rPr>
          <w:bCs/>
        </w:rPr>
        <w:t xml:space="preserve"> (including </w:t>
      </w:r>
      <w:proofErr w:type="spellStart"/>
      <w:r w:rsidR="007437E8" w:rsidRPr="00A671BF">
        <w:rPr>
          <w:bCs/>
        </w:rPr>
        <w:t>Pani</w:t>
      </w:r>
      <w:r w:rsidR="002C5362" w:rsidRPr="00A671BF">
        <w:rPr>
          <w:bCs/>
        </w:rPr>
        <w:t>k</w:t>
      </w:r>
      <w:r w:rsidR="007437E8" w:rsidRPr="00A671BF">
        <w:rPr>
          <w:bCs/>
        </w:rPr>
        <w:t>kar</w:t>
      </w:r>
      <w:proofErr w:type="spellEnd"/>
      <w:r w:rsidR="007437E8" w:rsidRPr="00A671BF">
        <w:rPr>
          <w:bCs/>
        </w:rPr>
        <w:t xml:space="preserve"> before he moved to 36 rue des </w:t>
      </w:r>
      <w:proofErr w:type="spellStart"/>
      <w:r w:rsidR="007437E8" w:rsidRPr="00A671BF">
        <w:rPr>
          <w:bCs/>
        </w:rPr>
        <w:t>Ecoles</w:t>
      </w:r>
      <w:proofErr w:type="spellEnd"/>
      <w:r w:rsidR="007437E8" w:rsidRPr="00A671BF">
        <w:rPr>
          <w:bCs/>
        </w:rPr>
        <w:t>).</w:t>
      </w:r>
      <w:r w:rsidR="007437E8" w:rsidRPr="00A671BF">
        <w:rPr>
          <w:rStyle w:val="FootnoteReference"/>
          <w:bCs/>
        </w:rPr>
        <w:footnoteReference w:id="9"/>
      </w:r>
      <w:r w:rsidR="00851004" w:rsidRPr="00A671BF">
        <w:rPr>
          <w:bCs/>
        </w:rPr>
        <w:t xml:space="preserve"> </w:t>
      </w:r>
      <w:r w:rsidR="00851004" w:rsidRPr="00A671BF">
        <w:t>The physicist</w:t>
      </w:r>
      <w:r w:rsidR="00E65F70" w:rsidRPr="00A671BF">
        <w:t xml:space="preserve"> </w:t>
      </w:r>
      <w:r w:rsidR="00E65F70" w:rsidRPr="00A671BF">
        <w:rPr>
          <w:lang w:val="en"/>
        </w:rPr>
        <w:t>Satyendra Nath</w:t>
      </w:r>
      <w:r w:rsidR="00851004" w:rsidRPr="00A671BF">
        <w:t xml:space="preserve"> Bose, who arrived in Paris in 1924</w:t>
      </w:r>
      <w:r w:rsidR="00E65F70" w:rsidRPr="00A671BF">
        <w:t>, similarly</w:t>
      </w:r>
      <w:r w:rsidR="00851004" w:rsidRPr="00A671BF">
        <w:t xml:space="preserve"> </w:t>
      </w:r>
      <w:r w:rsidR="00E65F70" w:rsidRPr="00A671BF">
        <w:t xml:space="preserve">made use of the organization, benefitting </w:t>
      </w:r>
      <w:r w:rsidR="00851004" w:rsidRPr="00A671BF">
        <w:t xml:space="preserve">from an introductory letter to Marie Curie that was provided by Sylvain Lévi at the instigation of </w:t>
      </w:r>
      <w:proofErr w:type="spellStart"/>
      <w:r w:rsidR="00851004" w:rsidRPr="00A671BF">
        <w:t>Ba</w:t>
      </w:r>
      <w:r w:rsidR="00524165" w:rsidRPr="00A671BF">
        <w:t>g</w:t>
      </w:r>
      <w:r w:rsidR="001225D6" w:rsidRPr="00A671BF">
        <w:t>chi</w:t>
      </w:r>
      <w:proofErr w:type="spellEnd"/>
      <w:r w:rsidR="001225D6" w:rsidRPr="00A671BF">
        <w:t xml:space="preserve"> (</w:t>
      </w:r>
      <w:proofErr w:type="spellStart"/>
      <w:r w:rsidR="001225D6" w:rsidRPr="00A671BF">
        <w:t>Wali</w:t>
      </w:r>
      <w:proofErr w:type="spellEnd"/>
      <w:r w:rsidR="001225D6" w:rsidRPr="00A671BF">
        <w:t>, 2009: 279).</w:t>
      </w:r>
      <w:r w:rsidR="008A177B" w:rsidRPr="00A671BF">
        <w:t xml:space="preserve"> </w:t>
      </w:r>
      <w:r w:rsidR="00E65F70" w:rsidRPr="00A671BF">
        <w:t>The</w:t>
      </w:r>
      <w:r w:rsidR="008A177B" w:rsidRPr="00A671BF">
        <w:t xml:space="preserve"> arrival of ‘S</w:t>
      </w:r>
      <w:r w:rsidR="00E65F70" w:rsidRPr="00A671BF">
        <w:t>.</w:t>
      </w:r>
      <w:r w:rsidR="008A177B" w:rsidRPr="00A671BF">
        <w:t xml:space="preserve"> Bose, a Bengali </w:t>
      </w:r>
      <w:r w:rsidR="00524165" w:rsidRPr="00A671BF">
        <w:t>professor</w:t>
      </w:r>
      <w:r w:rsidR="00E65F70" w:rsidRPr="00A671BF">
        <w:t>’ was noted in the report</w:t>
      </w:r>
      <w:r w:rsidR="008B5066" w:rsidRPr="00A671BF">
        <w:t xml:space="preserve"> sent by the British agent in</w:t>
      </w:r>
      <w:r w:rsidR="00E65F70" w:rsidRPr="00A671BF">
        <w:t xml:space="preserve"> </w:t>
      </w:r>
      <w:r w:rsidR="008A177B" w:rsidRPr="00A671BF">
        <w:t>November 1924</w:t>
      </w:r>
      <w:r w:rsidR="001225D6" w:rsidRPr="00A671BF">
        <w:t xml:space="preserve"> (Indians and Afghans, 1924c).</w:t>
      </w:r>
      <w:r w:rsidR="00524165" w:rsidRPr="00A671BF">
        <w:t xml:space="preserve"> Whether or not </w:t>
      </w:r>
      <w:r w:rsidR="00524165" w:rsidRPr="00A671BF">
        <w:lastRenderedPageBreak/>
        <w:t>arriving students were politically active</w:t>
      </w:r>
      <w:r w:rsidR="00400FE0" w:rsidRPr="00A671BF">
        <w:t>,</w:t>
      </w:r>
      <w:r w:rsidR="00524165" w:rsidRPr="00A671BF">
        <w:t xml:space="preserve"> their association with </w:t>
      </w:r>
      <w:proofErr w:type="spellStart"/>
      <w:r w:rsidR="00524165" w:rsidRPr="00A671BF">
        <w:t>Bagchi</w:t>
      </w:r>
      <w:proofErr w:type="spellEnd"/>
      <w:r w:rsidR="00524165" w:rsidRPr="00A671BF">
        <w:t xml:space="preserve"> ensured that they were observed and signalled </w:t>
      </w:r>
      <w:r w:rsidR="00E65F70" w:rsidRPr="00A671BF">
        <w:t xml:space="preserve">as </w:t>
      </w:r>
      <w:r w:rsidR="004A2D1D" w:rsidRPr="00A671BF">
        <w:t>‘</w:t>
      </w:r>
      <w:r w:rsidR="00E65F70" w:rsidRPr="00A671BF">
        <w:t>persons of interest</w:t>
      </w:r>
      <w:r w:rsidR="004A2D1D" w:rsidRPr="00A671BF">
        <w:t>’</w:t>
      </w:r>
      <w:r w:rsidR="00E65F70" w:rsidRPr="00A671BF">
        <w:t xml:space="preserve"> </w:t>
      </w:r>
      <w:r w:rsidR="00AF3631" w:rsidRPr="00A671BF">
        <w:t>to London.</w:t>
      </w:r>
    </w:p>
    <w:p w:rsidR="00C035BC" w:rsidRPr="00A671BF" w:rsidRDefault="005158DA" w:rsidP="0038784E">
      <w:pPr>
        <w:spacing w:line="360" w:lineRule="auto"/>
        <w:ind w:firstLine="720"/>
      </w:pPr>
      <w:r w:rsidRPr="00A671BF">
        <w:t>A comparison of</w:t>
      </w:r>
      <w:r w:rsidR="005279C8" w:rsidRPr="00A671BF">
        <w:t xml:space="preserve"> Parisian police reports with those produced by </w:t>
      </w:r>
      <w:r w:rsidR="00F1629F" w:rsidRPr="00A671BF">
        <w:t>British agents working in Paris</w:t>
      </w:r>
      <w:r w:rsidR="005279C8" w:rsidRPr="00A671BF">
        <w:t xml:space="preserve"> reveal</w:t>
      </w:r>
      <w:r w:rsidRPr="00A671BF">
        <w:t>s</w:t>
      </w:r>
      <w:r w:rsidR="005279C8" w:rsidRPr="00A671BF">
        <w:t xml:space="preserve"> </w:t>
      </w:r>
      <w:r w:rsidRPr="00A671BF">
        <w:t xml:space="preserve">not only </w:t>
      </w:r>
      <w:r w:rsidR="005279C8" w:rsidRPr="00A671BF">
        <w:t xml:space="preserve">the differing national-imperial agendas at play </w:t>
      </w:r>
      <w:r w:rsidRPr="00A671BF">
        <w:t xml:space="preserve">(such </w:t>
      </w:r>
      <w:r w:rsidR="00AF3631" w:rsidRPr="00A671BF">
        <w:t>as the predictable</w:t>
      </w:r>
      <w:r w:rsidR="00464FAC" w:rsidRPr="00A671BF">
        <w:t xml:space="preserve"> </w:t>
      </w:r>
      <w:r w:rsidRPr="00A671BF">
        <w:t>focus</w:t>
      </w:r>
      <w:r w:rsidR="00464FAC" w:rsidRPr="00A671BF">
        <w:t xml:space="preserve"> of </w:t>
      </w:r>
      <w:r w:rsidR="00404231" w:rsidRPr="00A671BF">
        <w:t xml:space="preserve">French agents </w:t>
      </w:r>
      <w:r w:rsidRPr="00A671BF">
        <w:t>on</w:t>
      </w:r>
      <w:r w:rsidR="00404231" w:rsidRPr="00A671BF">
        <w:t xml:space="preserve"> Amitabha Ghose</w:t>
      </w:r>
      <w:r w:rsidR="00464FAC" w:rsidRPr="00A671BF">
        <w:t xml:space="preserve">’s </w:t>
      </w:r>
      <w:r w:rsidR="00404231" w:rsidRPr="00A671BF">
        <w:t>links</w:t>
      </w:r>
      <w:r w:rsidR="00464FAC" w:rsidRPr="00A671BF">
        <w:t xml:space="preserve"> with groups </w:t>
      </w:r>
      <w:r w:rsidRPr="00A671BF">
        <w:t>deemed to threaten</w:t>
      </w:r>
      <w:r w:rsidR="00464FAC" w:rsidRPr="00A671BF">
        <w:t xml:space="preserve"> the stability of France’s empire</w:t>
      </w:r>
      <w:r w:rsidRPr="00A671BF">
        <w:t>),</w:t>
      </w:r>
      <w:r w:rsidR="00464FAC" w:rsidRPr="00A671BF">
        <w:t xml:space="preserve"> </w:t>
      </w:r>
      <w:r w:rsidR="005279C8" w:rsidRPr="00A671BF">
        <w:t xml:space="preserve">but also a </w:t>
      </w:r>
      <w:r w:rsidRPr="00A671BF">
        <w:t>considerable amount</w:t>
      </w:r>
      <w:r w:rsidR="005279C8" w:rsidRPr="00A671BF">
        <w:t xml:space="preserve"> of confusion. </w:t>
      </w:r>
      <w:r w:rsidR="007437E8" w:rsidRPr="00A671BF">
        <w:t xml:space="preserve">This emerges particularly </w:t>
      </w:r>
      <w:r w:rsidR="00095A04" w:rsidRPr="00A671BF">
        <w:t>from</w:t>
      </w:r>
      <w:r w:rsidR="007437E8" w:rsidRPr="00A671BF">
        <w:t xml:space="preserve"> </w:t>
      </w:r>
      <w:r w:rsidRPr="00A671BF">
        <w:t xml:space="preserve">British and French </w:t>
      </w:r>
      <w:r w:rsidR="007437E8" w:rsidRPr="00A671BF">
        <w:t>reports about</w:t>
      </w:r>
      <w:r w:rsidR="00464FAC" w:rsidRPr="00A671BF">
        <w:t xml:space="preserve"> the formation of the</w:t>
      </w:r>
      <w:r w:rsidR="003C52C6" w:rsidRPr="00A671BF">
        <w:t xml:space="preserve"> </w:t>
      </w:r>
      <w:proofErr w:type="spellStart"/>
      <w:r w:rsidR="003C52C6" w:rsidRPr="00A671BF">
        <w:t>Comité</w:t>
      </w:r>
      <w:proofErr w:type="spellEnd"/>
      <w:r w:rsidR="003C52C6" w:rsidRPr="00A671BF">
        <w:t xml:space="preserve"> </w:t>
      </w:r>
      <w:r w:rsidR="00453E06" w:rsidRPr="00A671BF">
        <w:t>P</w:t>
      </w:r>
      <w:r w:rsidR="003C52C6" w:rsidRPr="00A671BF">
        <w:t>ro-</w:t>
      </w:r>
      <w:proofErr w:type="spellStart"/>
      <w:r w:rsidR="003C52C6" w:rsidRPr="00A671BF">
        <w:t>Hindou</w:t>
      </w:r>
      <w:proofErr w:type="spellEnd"/>
      <w:r w:rsidR="0010465F" w:rsidRPr="00A671BF">
        <w:t xml:space="preserve"> in December 1924</w:t>
      </w:r>
      <w:r w:rsidR="00464FAC" w:rsidRPr="00A671BF">
        <w:t>.</w:t>
      </w:r>
      <w:r w:rsidR="00524165" w:rsidRPr="00A671BF">
        <w:t xml:space="preserve"> </w:t>
      </w:r>
      <w:r w:rsidR="00F31522" w:rsidRPr="00A671BF">
        <w:t xml:space="preserve">Led by Henri Barbusse, the author of the </w:t>
      </w:r>
      <w:r w:rsidR="00A9028C" w:rsidRPr="00A671BF">
        <w:t>Goncourt</w:t>
      </w:r>
      <w:r w:rsidR="00F31522" w:rsidRPr="00A671BF">
        <w:t xml:space="preserve">-winning novel </w:t>
      </w:r>
      <w:r w:rsidR="00F31522" w:rsidRPr="00A671BF">
        <w:rPr>
          <w:i/>
        </w:rPr>
        <w:t xml:space="preserve">Le Feu </w:t>
      </w:r>
      <w:r w:rsidR="00F31522" w:rsidRPr="00A671BF">
        <w:t>about the First World War, and a prominent member of the PC</w:t>
      </w:r>
      <w:r w:rsidR="00237DD0" w:rsidRPr="00A671BF">
        <w:t>F</w:t>
      </w:r>
      <w:r w:rsidR="00F31522" w:rsidRPr="00A671BF">
        <w:t>, t</w:t>
      </w:r>
      <w:r w:rsidR="00F82BEC" w:rsidRPr="00A671BF">
        <w:t xml:space="preserve">he </w:t>
      </w:r>
      <w:proofErr w:type="spellStart"/>
      <w:r w:rsidR="00BB12C8" w:rsidRPr="00A671BF">
        <w:t>Comité</w:t>
      </w:r>
      <w:proofErr w:type="spellEnd"/>
      <w:r w:rsidR="00BB12C8" w:rsidRPr="00A671BF">
        <w:t xml:space="preserve"> </w:t>
      </w:r>
      <w:r w:rsidR="00F82BEC" w:rsidRPr="00A671BF">
        <w:t>included the historian François</w:t>
      </w:r>
      <w:r w:rsidR="00617C60" w:rsidRPr="00A671BF">
        <w:t xml:space="preserve">-Alphonse </w:t>
      </w:r>
      <w:proofErr w:type="spellStart"/>
      <w:r w:rsidR="00F82BEC" w:rsidRPr="00A671BF">
        <w:t>Aulard</w:t>
      </w:r>
      <w:proofErr w:type="spellEnd"/>
      <w:r w:rsidR="00F82BEC" w:rsidRPr="00A671BF">
        <w:t xml:space="preserve">, along with Victor </w:t>
      </w:r>
      <w:proofErr w:type="spellStart"/>
      <w:r w:rsidR="00F82BEC" w:rsidRPr="00A671BF">
        <w:t>Basch</w:t>
      </w:r>
      <w:proofErr w:type="spellEnd"/>
      <w:r w:rsidR="00F82BEC" w:rsidRPr="00A671BF">
        <w:t xml:space="preserve"> (President of the Ligue des Droits de </w:t>
      </w:r>
      <w:proofErr w:type="spellStart"/>
      <w:r w:rsidR="00F82BEC" w:rsidRPr="00A671BF">
        <w:t>l’Homme</w:t>
      </w:r>
      <w:proofErr w:type="spellEnd"/>
      <w:r w:rsidR="00F82BEC" w:rsidRPr="00A671BF">
        <w:t xml:space="preserve"> between 1926 and 1944, and member of the League against Imperialism which was created in Brussels in 1927), the novelist Georges Duhamel, and the critic Jean-Richard Bloch</w:t>
      </w:r>
      <w:r w:rsidR="00C001F5" w:rsidRPr="00A671BF">
        <w:t xml:space="preserve"> (a member of the PCF)</w:t>
      </w:r>
      <w:r w:rsidR="00F82BEC" w:rsidRPr="00A671BF">
        <w:t xml:space="preserve">; it published a regular bulletin between 1929 and 1940. </w:t>
      </w:r>
      <w:r w:rsidR="003C52C6" w:rsidRPr="00A671BF">
        <w:t xml:space="preserve">The first assessment </w:t>
      </w:r>
      <w:r w:rsidR="00445F16" w:rsidRPr="00A671BF">
        <w:t xml:space="preserve">of the </w:t>
      </w:r>
      <w:proofErr w:type="spellStart"/>
      <w:r w:rsidR="00445F16" w:rsidRPr="00A671BF">
        <w:t>Comité</w:t>
      </w:r>
      <w:proofErr w:type="spellEnd"/>
      <w:r w:rsidR="00445F16" w:rsidRPr="00A671BF">
        <w:t xml:space="preserve"> </w:t>
      </w:r>
      <w:r w:rsidR="003C52C6" w:rsidRPr="00A671BF">
        <w:t xml:space="preserve">offered by </w:t>
      </w:r>
      <w:r w:rsidRPr="00A671BF">
        <w:t xml:space="preserve">the </w:t>
      </w:r>
      <w:r w:rsidR="003C52C6" w:rsidRPr="00A671BF">
        <w:t>British Ambassador in Paris</w:t>
      </w:r>
      <w:r w:rsidR="00445F16" w:rsidRPr="00A671BF">
        <w:t>, Lord Crewe,</w:t>
      </w:r>
      <w:r w:rsidR="003C52C6" w:rsidRPr="00A671BF">
        <w:t xml:space="preserve"> </w:t>
      </w:r>
      <w:r w:rsidR="00445F16" w:rsidRPr="00A671BF">
        <w:t>wa</w:t>
      </w:r>
      <w:r w:rsidR="006C0AED" w:rsidRPr="00A671BF">
        <w:t xml:space="preserve">s </w:t>
      </w:r>
      <w:r w:rsidR="004A2D1D" w:rsidRPr="00A671BF">
        <w:t>curious</w:t>
      </w:r>
      <w:r w:rsidR="006C0AED" w:rsidRPr="00A671BF">
        <w:t>.</w:t>
      </w:r>
      <w:r w:rsidR="004A2D1D" w:rsidRPr="00A671BF">
        <w:t xml:space="preserve"> </w:t>
      </w:r>
      <w:r w:rsidR="00D1187E" w:rsidRPr="00A671BF">
        <w:t xml:space="preserve">Although </w:t>
      </w:r>
      <w:r w:rsidR="004A2D1D" w:rsidRPr="00A671BF">
        <w:t xml:space="preserve">Crewe </w:t>
      </w:r>
      <w:r w:rsidRPr="00A671BF">
        <w:t>describe</w:t>
      </w:r>
      <w:r w:rsidR="00BB226C" w:rsidRPr="00A671BF">
        <w:t>d</w:t>
      </w:r>
      <w:r w:rsidR="004A2D1D" w:rsidRPr="00A671BF">
        <w:t xml:space="preserve"> Henri Barbusse, the leader of the </w:t>
      </w:r>
      <w:proofErr w:type="spellStart"/>
      <w:r w:rsidR="004A2D1D" w:rsidRPr="00A671BF">
        <w:t>Comité</w:t>
      </w:r>
      <w:proofErr w:type="spellEnd"/>
      <w:r w:rsidRPr="00A671BF">
        <w:t>,</w:t>
      </w:r>
      <w:r w:rsidR="004A2D1D" w:rsidRPr="00A671BF">
        <w:t xml:space="preserve"> as</w:t>
      </w:r>
      <w:r w:rsidR="00E26507" w:rsidRPr="00A671BF">
        <w:t xml:space="preserve"> ‘a pronounced communist’</w:t>
      </w:r>
      <w:r w:rsidR="00524165" w:rsidRPr="00A671BF">
        <w:t>,</w:t>
      </w:r>
      <w:r w:rsidR="00E26507" w:rsidRPr="00A671BF">
        <w:t xml:space="preserve"> </w:t>
      </w:r>
      <w:r w:rsidR="00D1187E" w:rsidRPr="00A671BF">
        <w:t>he</w:t>
      </w:r>
      <w:r w:rsidR="00DA48F9" w:rsidRPr="00A671BF">
        <w:t xml:space="preserve"> </w:t>
      </w:r>
      <w:r w:rsidR="00BB226C" w:rsidRPr="00A671BF">
        <w:t>wa</w:t>
      </w:r>
      <w:r w:rsidR="00DA48F9" w:rsidRPr="00A671BF">
        <w:t xml:space="preserve">s sanguine about the potential of the group to foment </w:t>
      </w:r>
      <w:r w:rsidR="00AF521A" w:rsidRPr="00A671BF">
        <w:t>action in India</w:t>
      </w:r>
      <w:r w:rsidR="00400FE0" w:rsidRPr="00A671BF">
        <w:t>,</w:t>
      </w:r>
      <w:r w:rsidR="00AF521A" w:rsidRPr="00A671BF">
        <w:t xml:space="preserve"> </w:t>
      </w:r>
      <w:r w:rsidRPr="00A671BF">
        <w:t>concluding</w:t>
      </w:r>
      <w:r w:rsidR="00AF521A" w:rsidRPr="00A671BF">
        <w:t xml:space="preserve"> </w:t>
      </w:r>
      <w:r w:rsidR="00E26507" w:rsidRPr="00A671BF">
        <w:t>that the</w:t>
      </w:r>
      <w:r w:rsidR="006C0AED" w:rsidRPr="00A671BF">
        <w:t xml:space="preserve"> </w:t>
      </w:r>
      <w:r w:rsidR="00E26507" w:rsidRPr="00A671BF">
        <w:t>‘</w:t>
      </w:r>
      <w:r w:rsidR="006C0AED" w:rsidRPr="00A671BF">
        <w:t>greater number of the persons mentione</w:t>
      </w:r>
      <w:r w:rsidR="001225D6" w:rsidRPr="00A671BF">
        <w:t>d are of no special importance’ (Crewe</w:t>
      </w:r>
      <w:r w:rsidR="00912909" w:rsidRPr="00A671BF">
        <w:t>-Milnes</w:t>
      </w:r>
      <w:r w:rsidR="001225D6" w:rsidRPr="00A671BF">
        <w:t>, 1924).</w:t>
      </w:r>
      <w:r w:rsidR="00C534DA" w:rsidRPr="00A671BF">
        <w:t xml:space="preserve"> </w:t>
      </w:r>
      <w:r w:rsidR="00D1187E" w:rsidRPr="00A671BF">
        <w:t xml:space="preserve">A </w:t>
      </w:r>
      <w:r w:rsidR="006849B7" w:rsidRPr="00A671BF">
        <w:t>report</w:t>
      </w:r>
      <w:r w:rsidR="003407A7" w:rsidRPr="00A671BF">
        <w:t xml:space="preserve"> from the following month</w:t>
      </w:r>
      <w:r w:rsidR="006849B7" w:rsidRPr="00A671BF">
        <w:t xml:space="preserve">, which </w:t>
      </w:r>
      <w:r w:rsidRPr="00A671BF">
        <w:t>claim</w:t>
      </w:r>
      <w:r w:rsidR="00445F16" w:rsidRPr="00A671BF">
        <w:t>ed</w:t>
      </w:r>
      <w:r w:rsidRPr="00A671BF">
        <w:t xml:space="preserve"> to quote</w:t>
      </w:r>
      <w:r w:rsidR="00464FAC" w:rsidRPr="00A671BF">
        <w:t xml:space="preserve"> Barbusse</w:t>
      </w:r>
      <w:r w:rsidRPr="00A671BF">
        <w:t xml:space="preserve"> directly</w:t>
      </w:r>
      <w:r w:rsidR="00464FAC" w:rsidRPr="00A671BF">
        <w:t xml:space="preserve">, </w:t>
      </w:r>
      <w:r w:rsidR="00D1187E" w:rsidRPr="00A671BF">
        <w:t xml:space="preserve">nevertheless </w:t>
      </w:r>
      <w:r w:rsidR="006849B7" w:rsidRPr="00A671BF">
        <w:t xml:space="preserve">provoked anxiety </w:t>
      </w:r>
      <w:r w:rsidR="003407A7" w:rsidRPr="00A671BF">
        <w:t>in</w:t>
      </w:r>
      <w:r w:rsidR="006849B7" w:rsidRPr="00A671BF">
        <w:t xml:space="preserve"> London</w:t>
      </w:r>
      <w:r w:rsidR="00445F16" w:rsidRPr="00A671BF">
        <w:t xml:space="preserve">. Barbusse </w:t>
      </w:r>
      <w:r w:rsidR="006849B7" w:rsidRPr="00A671BF">
        <w:t>reported</w:t>
      </w:r>
      <w:r w:rsidR="00445F16" w:rsidRPr="00A671BF">
        <w:t>ly expressed the view</w:t>
      </w:r>
      <w:r w:rsidR="006849B7" w:rsidRPr="00A671BF">
        <w:t xml:space="preserve"> that </w:t>
      </w:r>
      <w:r w:rsidR="00445F16" w:rsidRPr="00A671BF">
        <w:t xml:space="preserve">the </w:t>
      </w:r>
      <w:proofErr w:type="spellStart"/>
      <w:r w:rsidR="00445F16" w:rsidRPr="00A671BF">
        <w:t>Comité</w:t>
      </w:r>
      <w:proofErr w:type="spellEnd"/>
      <w:r w:rsidR="006849B7" w:rsidRPr="00A671BF">
        <w:t xml:space="preserve"> </w:t>
      </w:r>
      <w:r w:rsidR="00445F16" w:rsidRPr="00A671BF">
        <w:t>‘</w:t>
      </w:r>
      <w:r w:rsidR="006849B7" w:rsidRPr="00A671BF">
        <w:t>desired international support to all Colonial movements, although he realized that the real unity of exploited people was not a practical proposition. “We are now making our best efforts to start with India”, he stated, “and have formed an association of all sincere and liberty loving intellectuals of France who desire to see Eastern natio</w:t>
      </w:r>
      <w:r w:rsidR="00C534DA" w:rsidRPr="00A671BF">
        <w:t>ns free as they themselves are</w:t>
      </w:r>
      <w:r w:rsidR="006849B7" w:rsidRPr="00A671BF">
        <w:t>”’</w:t>
      </w:r>
      <w:r w:rsidR="00C534DA" w:rsidRPr="00A671BF">
        <w:t xml:space="preserve"> (H.A., 1925</w:t>
      </w:r>
      <w:r w:rsidR="00FF61DF" w:rsidRPr="00A671BF">
        <w:t>a</w:t>
      </w:r>
      <w:r w:rsidR="00C534DA" w:rsidRPr="00A671BF">
        <w:t>).</w:t>
      </w:r>
      <w:r w:rsidR="006849B7" w:rsidRPr="00A671BF">
        <w:t xml:space="preserve"> </w:t>
      </w:r>
      <w:r w:rsidR="00BB226C" w:rsidRPr="00A671BF">
        <w:t>In other words,</w:t>
      </w:r>
      <w:r w:rsidR="00F82BEC" w:rsidRPr="00A671BF">
        <w:t xml:space="preserve"> a French society was </w:t>
      </w:r>
      <w:r w:rsidR="00BB226C" w:rsidRPr="00A671BF">
        <w:t xml:space="preserve">now </w:t>
      </w:r>
      <w:r w:rsidR="00F82BEC" w:rsidRPr="00A671BF">
        <w:t xml:space="preserve">actively seeking decolonization in </w:t>
      </w:r>
      <w:r w:rsidR="00BB226C" w:rsidRPr="00A671BF">
        <w:t xml:space="preserve">British </w:t>
      </w:r>
      <w:r w:rsidR="00F82BEC" w:rsidRPr="00A671BF">
        <w:t xml:space="preserve">India. </w:t>
      </w:r>
      <w:r w:rsidR="0010465F" w:rsidRPr="00A671BF">
        <w:t xml:space="preserve">London was </w:t>
      </w:r>
      <w:r w:rsidR="00BB226C" w:rsidRPr="00A671BF">
        <w:t xml:space="preserve">also </w:t>
      </w:r>
      <w:r w:rsidR="0010465F" w:rsidRPr="00A671BF">
        <w:t xml:space="preserve">alarmed by the anti-British </w:t>
      </w:r>
      <w:r w:rsidR="00524165" w:rsidRPr="00A671BF">
        <w:t>propaganda</w:t>
      </w:r>
      <w:r w:rsidR="0010465F" w:rsidRPr="00A671BF">
        <w:t xml:space="preserve"> about the situation</w:t>
      </w:r>
      <w:r w:rsidR="00524165" w:rsidRPr="00A671BF">
        <w:t xml:space="preserve"> in India</w:t>
      </w:r>
      <w:r w:rsidR="0010465F" w:rsidRPr="00A671BF">
        <w:t xml:space="preserve"> which </w:t>
      </w:r>
      <w:r w:rsidR="00524165" w:rsidRPr="00A671BF">
        <w:t>emanated from the group</w:t>
      </w:r>
      <w:r w:rsidR="00BB226C" w:rsidRPr="00A671BF">
        <w:t>:</w:t>
      </w:r>
      <w:r w:rsidR="00524165" w:rsidRPr="00A671BF">
        <w:t xml:space="preserve"> a condemnatory report </w:t>
      </w:r>
      <w:r w:rsidR="0010465F" w:rsidRPr="00A671BF">
        <w:t>about Brit</w:t>
      </w:r>
      <w:r w:rsidR="00524165" w:rsidRPr="00A671BF">
        <w:t xml:space="preserve">ish violence at Amritsar (1919) </w:t>
      </w:r>
      <w:r w:rsidR="00BB226C" w:rsidRPr="00A671BF">
        <w:t>evoked particular dismay</w:t>
      </w:r>
      <w:r w:rsidR="00727411" w:rsidRPr="00A671BF">
        <w:t xml:space="preserve"> for </w:t>
      </w:r>
      <w:r w:rsidR="00904C09" w:rsidRPr="00A671BF">
        <w:t>its sensationalist representation of British atrocities, as the pencilled exclamation and question marks reveal</w:t>
      </w:r>
      <w:r w:rsidR="00C534DA" w:rsidRPr="00A671BF">
        <w:t xml:space="preserve"> (Memorandum, 1925</w:t>
      </w:r>
      <w:r w:rsidR="00A9028C" w:rsidRPr="00A671BF">
        <w:t xml:space="preserve"> </w:t>
      </w:r>
      <w:r w:rsidR="00C534DA" w:rsidRPr="00A671BF">
        <w:t>[?]).</w:t>
      </w:r>
    </w:p>
    <w:p w:rsidR="006E0B5A" w:rsidRPr="00A671BF" w:rsidRDefault="003407A7" w:rsidP="0038784E">
      <w:pPr>
        <w:spacing w:line="360" w:lineRule="auto"/>
        <w:ind w:firstLine="720"/>
      </w:pPr>
      <w:r w:rsidRPr="00A671BF">
        <w:t>British anxieties about t</w:t>
      </w:r>
      <w:r w:rsidR="00C035BC" w:rsidRPr="00A671BF">
        <w:t xml:space="preserve">he </w:t>
      </w:r>
      <w:proofErr w:type="spellStart"/>
      <w:r w:rsidR="00C035BC" w:rsidRPr="00A671BF">
        <w:t>Comité</w:t>
      </w:r>
      <w:proofErr w:type="spellEnd"/>
      <w:r w:rsidR="00453E06" w:rsidRPr="00A671BF">
        <w:t xml:space="preserve"> </w:t>
      </w:r>
      <w:r w:rsidR="00C035BC" w:rsidRPr="00A671BF">
        <w:t>Pro-</w:t>
      </w:r>
      <w:proofErr w:type="spellStart"/>
      <w:r w:rsidR="00C035BC" w:rsidRPr="00A671BF">
        <w:t>Hindou</w:t>
      </w:r>
      <w:proofErr w:type="spellEnd"/>
      <w:r w:rsidR="00C035BC" w:rsidRPr="00A671BF">
        <w:t xml:space="preserve"> </w:t>
      </w:r>
      <w:r w:rsidR="000A207E" w:rsidRPr="00A671BF">
        <w:t>would</w:t>
      </w:r>
      <w:r w:rsidR="007437E8" w:rsidRPr="00A671BF">
        <w:t xml:space="preserve"> surely</w:t>
      </w:r>
      <w:r w:rsidR="00AF521A" w:rsidRPr="00A671BF">
        <w:t xml:space="preserve"> have </w:t>
      </w:r>
      <w:r w:rsidRPr="00A671BF">
        <w:t>increased still further</w:t>
      </w:r>
      <w:r w:rsidR="00AF521A" w:rsidRPr="00A671BF">
        <w:t xml:space="preserve"> if London</w:t>
      </w:r>
      <w:r w:rsidR="000A207E" w:rsidRPr="00A671BF">
        <w:t xml:space="preserve"> had been privy to French police reports. In May 1925,</w:t>
      </w:r>
      <w:r w:rsidR="005279C8" w:rsidRPr="00A671BF">
        <w:t xml:space="preserve"> in a </w:t>
      </w:r>
      <w:r w:rsidR="006E0B5A" w:rsidRPr="00A671BF">
        <w:t>twenty-six-page</w:t>
      </w:r>
      <w:r w:rsidRPr="00A671BF">
        <w:t xml:space="preserve"> report on the </w:t>
      </w:r>
      <w:proofErr w:type="spellStart"/>
      <w:r w:rsidRPr="00A671BF">
        <w:t>Comité</w:t>
      </w:r>
      <w:proofErr w:type="spellEnd"/>
      <w:r w:rsidRPr="00A671BF">
        <w:t xml:space="preserve">, the </w:t>
      </w:r>
      <w:proofErr w:type="spellStart"/>
      <w:r w:rsidRPr="00A671BF">
        <w:t>Préfecture</w:t>
      </w:r>
      <w:proofErr w:type="spellEnd"/>
      <w:r w:rsidRPr="00A671BF">
        <w:t xml:space="preserve"> de Police</w:t>
      </w:r>
      <w:r w:rsidR="005279C8" w:rsidRPr="00A671BF">
        <w:t xml:space="preserve"> </w:t>
      </w:r>
      <w:r w:rsidR="006E0B5A" w:rsidRPr="00A671BF">
        <w:t xml:space="preserve">defined the organization as anything but a </w:t>
      </w:r>
      <w:r w:rsidR="00237DD0" w:rsidRPr="00A671BF">
        <w:t xml:space="preserve">nonthreatening </w:t>
      </w:r>
      <w:r w:rsidR="006E0B5A" w:rsidRPr="00A671BF">
        <w:t>intellectual group</w:t>
      </w:r>
      <w:r w:rsidRPr="00A671BF">
        <w:t>,</w:t>
      </w:r>
      <w:r w:rsidR="006E0B5A" w:rsidRPr="00A671BF">
        <w:t xml:space="preserve"> positing </w:t>
      </w:r>
      <w:r w:rsidRPr="00A671BF">
        <w:t xml:space="preserve">it </w:t>
      </w:r>
      <w:r w:rsidR="006E0B5A" w:rsidRPr="00A671BF">
        <w:t xml:space="preserve">as </w:t>
      </w:r>
      <w:r w:rsidR="00AF521A" w:rsidRPr="00A671BF">
        <w:t xml:space="preserve">a front for a revolutionary communist organization </w:t>
      </w:r>
      <w:r w:rsidR="007437E8" w:rsidRPr="00A671BF">
        <w:t>instigated</w:t>
      </w:r>
      <w:r w:rsidR="006E0B5A" w:rsidRPr="00A671BF">
        <w:t xml:space="preserve"> by M. N. Roy: ‘</w:t>
      </w:r>
      <w:r w:rsidR="000A207E" w:rsidRPr="00A671BF">
        <w:t xml:space="preserve">On </w:t>
      </w:r>
      <w:proofErr w:type="spellStart"/>
      <w:r w:rsidR="000A207E" w:rsidRPr="00A671BF">
        <w:t>peut</w:t>
      </w:r>
      <w:proofErr w:type="spellEnd"/>
      <w:r w:rsidR="000A207E" w:rsidRPr="00A671BF">
        <w:t xml:space="preserve"> affirmer sans </w:t>
      </w:r>
      <w:proofErr w:type="spellStart"/>
      <w:r w:rsidR="000A207E" w:rsidRPr="00A671BF">
        <w:t>crainte</w:t>
      </w:r>
      <w:proofErr w:type="spellEnd"/>
      <w:r w:rsidR="000A207E" w:rsidRPr="00A671BF">
        <w:t xml:space="preserve"> d’être </w:t>
      </w:r>
      <w:proofErr w:type="spellStart"/>
      <w:r w:rsidR="000A207E" w:rsidRPr="00A671BF">
        <w:t>démenti</w:t>
      </w:r>
      <w:proofErr w:type="spellEnd"/>
      <w:r w:rsidR="000A207E" w:rsidRPr="00A671BF">
        <w:t xml:space="preserve"> que Roy </w:t>
      </w:r>
      <w:proofErr w:type="spellStart"/>
      <w:r w:rsidR="000A207E" w:rsidRPr="00A671BF">
        <w:t>fut</w:t>
      </w:r>
      <w:proofErr w:type="spellEnd"/>
      <w:r w:rsidR="000A207E" w:rsidRPr="00A671BF">
        <w:t xml:space="preserve"> </w:t>
      </w:r>
      <w:proofErr w:type="spellStart"/>
      <w:r w:rsidR="000A207E" w:rsidRPr="00A671BF">
        <w:t>l’instigateur</w:t>
      </w:r>
      <w:proofErr w:type="spellEnd"/>
      <w:r w:rsidR="000A207E" w:rsidRPr="00A671BF">
        <w:t xml:space="preserve"> </w:t>
      </w:r>
      <w:proofErr w:type="spellStart"/>
      <w:r w:rsidR="000A207E" w:rsidRPr="00A671BF">
        <w:t>occulte</w:t>
      </w:r>
      <w:proofErr w:type="spellEnd"/>
      <w:r w:rsidR="000A207E" w:rsidRPr="00A671BF">
        <w:t xml:space="preserve"> de la </w:t>
      </w:r>
      <w:proofErr w:type="spellStart"/>
      <w:r w:rsidR="000A207E" w:rsidRPr="00A671BF">
        <w:t>création</w:t>
      </w:r>
      <w:proofErr w:type="spellEnd"/>
      <w:r w:rsidR="000A207E" w:rsidRPr="00A671BF">
        <w:t xml:space="preserve"> du </w:t>
      </w:r>
      <w:proofErr w:type="spellStart"/>
      <w:r w:rsidR="000A207E" w:rsidRPr="00A671BF">
        <w:t>comité</w:t>
      </w:r>
      <w:proofErr w:type="spellEnd"/>
      <w:r w:rsidR="000A207E" w:rsidRPr="00A671BF">
        <w:t xml:space="preserve"> </w:t>
      </w:r>
      <w:r w:rsidR="00453E06" w:rsidRPr="00A671BF">
        <w:t>“</w:t>
      </w:r>
      <w:r w:rsidR="000A207E" w:rsidRPr="00A671BF">
        <w:t xml:space="preserve">Pro </w:t>
      </w:r>
      <w:proofErr w:type="spellStart"/>
      <w:r w:rsidR="000A207E" w:rsidRPr="00A671BF">
        <w:t>Hindou</w:t>
      </w:r>
      <w:proofErr w:type="spellEnd"/>
      <w:r w:rsidR="00453E06" w:rsidRPr="00A671BF">
        <w:t>”</w:t>
      </w:r>
      <w:r w:rsidR="000A207E" w:rsidRPr="00A671BF">
        <w:t xml:space="preserve"> qui </w:t>
      </w:r>
      <w:r w:rsidR="009D6921" w:rsidRPr="00A671BF">
        <w:t>s</w:t>
      </w:r>
      <w:r w:rsidR="000A207E" w:rsidRPr="00A671BF">
        <w:t xml:space="preserve">e </w:t>
      </w:r>
      <w:proofErr w:type="spellStart"/>
      <w:r w:rsidR="000A207E" w:rsidRPr="00A671BF">
        <w:t>constitua</w:t>
      </w:r>
      <w:proofErr w:type="spellEnd"/>
      <w:r w:rsidR="000A207E" w:rsidRPr="00A671BF">
        <w:t xml:space="preserve"> à Paris au </w:t>
      </w:r>
      <w:proofErr w:type="spellStart"/>
      <w:r w:rsidR="000A207E" w:rsidRPr="00A671BF">
        <w:t>mois</w:t>
      </w:r>
      <w:proofErr w:type="spellEnd"/>
      <w:r w:rsidR="000A207E" w:rsidRPr="00A671BF">
        <w:t xml:space="preserve"> </w:t>
      </w:r>
      <w:proofErr w:type="spellStart"/>
      <w:r w:rsidR="000A207E" w:rsidRPr="00A671BF">
        <w:t>d’Octobre</w:t>
      </w:r>
      <w:proofErr w:type="spellEnd"/>
      <w:r w:rsidR="000A207E" w:rsidRPr="00A671BF">
        <w:t xml:space="preserve"> de </w:t>
      </w:r>
      <w:proofErr w:type="spellStart"/>
      <w:r w:rsidR="000A207E" w:rsidRPr="00A671BF">
        <w:t>l’année</w:t>
      </w:r>
      <w:proofErr w:type="spellEnd"/>
      <w:r w:rsidR="000A207E" w:rsidRPr="00A671BF">
        <w:t xml:space="preserve"> </w:t>
      </w:r>
      <w:proofErr w:type="spellStart"/>
      <w:r w:rsidR="000A207E" w:rsidRPr="00A671BF">
        <w:t>dernière</w:t>
      </w:r>
      <w:proofErr w:type="spellEnd"/>
      <w:r w:rsidR="000A207E" w:rsidRPr="00A671BF">
        <w:t xml:space="preserve">, </w:t>
      </w:r>
      <w:r w:rsidR="000A207E" w:rsidRPr="00A671BF">
        <w:lastRenderedPageBreak/>
        <w:t>sous le patr</w:t>
      </w:r>
      <w:r w:rsidR="00912909" w:rsidRPr="00A671BF">
        <w:t xml:space="preserve">onage official </w:t>
      </w:r>
      <w:proofErr w:type="spellStart"/>
      <w:r w:rsidR="00912909" w:rsidRPr="00A671BF">
        <w:t>d’Henri</w:t>
      </w:r>
      <w:proofErr w:type="spellEnd"/>
      <w:r w:rsidR="00912909" w:rsidRPr="00A671BF">
        <w:t xml:space="preserve"> Barbusse’ (</w:t>
      </w:r>
      <w:proofErr w:type="spellStart"/>
      <w:r w:rsidR="00F52B70" w:rsidRPr="00A671BF">
        <w:t>Préfet</w:t>
      </w:r>
      <w:proofErr w:type="spellEnd"/>
      <w:r w:rsidR="00F52B70" w:rsidRPr="00A671BF">
        <w:t xml:space="preserve"> de Police</w:t>
      </w:r>
      <w:r w:rsidR="00912909" w:rsidRPr="00A671BF">
        <w:t>, 1925).</w:t>
      </w:r>
      <w:r w:rsidR="006E0B5A" w:rsidRPr="00A671BF">
        <w:t xml:space="preserve"> </w:t>
      </w:r>
      <w:r w:rsidRPr="00A671BF">
        <w:rPr>
          <w:szCs w:val="22"/>
        </w:rPr>
        <w:t xml:space="preserve">M. N. Roy </w:t>
      </w:r>
      <w:r w:rsidR="006E0B5A" w:rsidRPr="00A671BF">
        <w:rPr>
          <w:szCs w:val="22"/>
        </w:rPr>
        <w:t xml:space="preserve">had arrived in Paris in 1924. He had started his political career as part of the Calcutta revolutionary movement but </w:t>
      </w:r>
      <w:r w:rsidR="00A95984" w:rsidRPr="00A671BF">
        <w:rPr>
          <w:szCs w:val="22"/>
        </w:rPr>
        <w:t>after leaving India in</w:t>
      </w:r>
      <w:r w:rsidR="006E0B5A" w:rsidRPr="00A671BF">
        <w:rPr>
          <w:szCs w:val="22"/>
        </w:rPr>
        <w:t xml:space="preserve"> 1915</w:t>
      </w:r>
      <w:r w:rsidR="00A95984" w:rsidRPr="00A671BF">
        <w:rPr>
          <w:szCs w:val="22"/>
        </w:rPr>
        <w:t xml:space="preserve"> </w:t>
      </w:r>
      <w:r w:rsidR="006E0B5A" w:rsidRPr="00A671BF">
        <w:rPr>
          <w:szCs w:val="22"/>
        </w:rPr>
        <w:t xml:space="preserve">had been active in the USA, Mexico and various parts of Asia, travelling regularly between Russia and Germany </w:t>
      </w:r>
      <w:r w:rsidR="00A95984" w:rsidRPr="00A671BF">
        <w:rPr>
          <w:szCs w:val="22"/>
        </w:rPr>
        <w:t>after</w:t>
      </w:r>
      <w:r w:rsidR="006E0B5A" w:rsidRPr="00A671BF">
        <w:rPr>
          <w:szCs w:val="22"/>
        </w:rPr>
        <w:t xml:space="preserve"> 1920. From 1922 onwards Berlin became his main headquarters. He made use of Pondicher</w:t>
      </w:r>
      <w:r w:rsidR="007918FA" w:rsidRPr="00A671BF">
        <w:rPr>
          <w:szCs w:val="22"/>
        </w:rPr>
        <w:t>r</w:t>
      </w:r>
      <w:r w:rsidR="006E0B5A" w:rsidRPr="00A671BF">
        <w:rPr>
          <w:szCs w:val="22"/>
        </w:rPr>
        <w:t>y</w:t>
      </w:r>
      <w:r w:rsidR="00A95984" w:rsidRPr="00A671BF">
        <w:rPr>
          <w:szCs w:val="22"/>
        </w:rPr>
        <w:t xml:space="preserve"> to smuggle</w:t>
      </w:r>
      <w:r w:rsidR="006E0B5A" w:rsidRPr="00A671BF">
        <w:rPr>
          <w:szCs w:val="22"/>
        </w:rPr>
        <w:t xml:space="preserve"> his political writings, notably the newspaper the </w:t>
      </w:r>
      <w:r w:rsidR="006E0B5A" w:rsidRPr="00A671BF">
        <w:rPr>
          <w:i/>
          <w:szCs w:val="22"/>
        </w:rPr>
        <w:t>Vanguard of Independence</w:t>
      </w:r>
      <w:r w:rsidR="00A95984" w:rsidRPr="00A671BF">
        <w:rPr>
          <w:szCs w:val="22"/>
        </w:rPr>
        <w:t xml:space="preserve">, into India — </w:t>
      </w:r>
      <w:r w:rsidR="006E0B5A" w:rsidRPr="00A671BF">
        <w:rPr>
          <w:szCs w:val="22"/>
        </w:rPr>
        <w:t>which exercised both the Bri</w:t>
      </w:r>
      <w:r w:rsidR="00A95984" w:rsidRPr="00A671BF">
        <w:rPr>
          <w:szCs w:val="22"/>
        </w:rPr>
        <w:t>tish and the French authorities</w:t>
      </w:r>
      <w:r w:rsidR="006E0B5A" w:rsidRPr="00A671BF">
        <w:rPr>
          <w:szCs w:val="22"/>
        </w:rPr>
        <w:t>. Roy enjoyed protected status in Germany but was increasingly har</w:t>
      </w:r>
      <w:r w:rsidR="00A95984" w:rsidRPr="00A671BF">
        <w:rPr>
          <w:szCs w:val="22"/>
        </w:rPr>
        <w:t>assed by German police officers who were</w:t>
      </w:r>
      <w:r w:rsidR="006E0B5A" w:rsidRPr="00A671BF">
        <w:rPr>
          <w:szCs w:val="22"/>
        </w:rPr>
        <w:t xml:space="preserve"> in all probability acting on information from British sources. Once in Paris, and </w:t>
      </w:r>
      <w:r w:rsidR="006E0B5A" w:rsidRPr="00A671BF">
        <w:t xml:space="preserve">liaising with the Algerian Ben </w:t>
      </w:r>
      <w:proofErr w:type="spellStart"/>
      <w:r w:rsidR="006E0B5A" w:rsidRPr="00A671BF">
        <w:t>Lekhal</w:t>
      </w:r>
      <w:proofErr w:type="spellEnd"/>
      <w:r w:rsidR="006E0B5A" w:rsidRPr="00A671BF">
        <w:t xml:space="preserve"> of the </w:t>
      </w:r>
      <w:r w:rsidR="000F0C4C" w:rsidRPr="00A671BF">
        <w:t xml:space="preserve">Union </w:t>
      </w:r>
      <w:proofErr w:type="spellStart"/>
      <w:r w:rsidR="000F0C4C" w:rsidRPr="00A671BF">
        <w:t>Intercoloniale</w:t>
      </w:r>
      <w:proofErr w:type="spellEnd"/>
      <w:r w:rsidR="00E04A64" w:rsidRPr="00A671BF">
        <w:t>,</w:t>
      </w:r>
      <w:r w:rsidR="006E0B5A" w:rsidRPr="00A671BF">
        <w:t xml:space="preserve"> he set up a colonial bureau for the </w:t>
      </w:r>
      <w:proofErr w:type="spellStart"/>
      <w:r w:rsidR="006E0B5A" w:rsidRPr="00A671BF">
        <w:t>Comintern</w:t>
      </w:r>
      <w:proofErr w:type="spellEnd"/>
      <w:r w:rsidR="006E0B5A" w:rsidRPr="00A671BF">
        <w:t xml:space="preserve"> as well as </w:t>
      </w:r>
      <w:r w:rsidR="00435D17" w:rsidRPr="00A671BF">
        <w:t>the</w:t>
      </w:r>
      <w:r w:rsidR="006E0B5A" w:rsidRPr="00A671BF">
        <w:t xml:space="preserve"> </w:t>
      </w:r>
      <w:proofErr w:type="spellStart"/>
      <w:r w:rsidR="00435D17" w:rsidRPr="00A671BF">
        <w:t>Comité</w:t>
      </w:r>
      <w:proofErr w:type="spellEnd"/>
      <w:r w:rsidR="00435D17" w:rsidRPr="00A671BF">
        <w:t xml:space="preserve"> Pro-</w:t>
      </w:r>
      <w:proofErr w:type="spellStart"/>
      <w:r w:rsidR="00435D17" w:rsidRPr="00A671BF">
        <w:t>Hindou</w:t>
      </w:r>
      <w:proofErr w:type="spellEnd"/>
      <w:r w:rsidR="00E04A64" w:rsidRPr="00A671BF">
        <w:t>.</w:t>
      </w:r>
      <w:r w:rsidR="006E0B5A" w:rsidRPr="00A671BF">
        <w:t xml:space="preserve"> He was expelled</w:t>
      </w:r>
      <w:r w:rsidR="00D77F73" w:rsidRPr="00A671BF">
        <w:t xml:space="preserve"> in January 1925</w:t>
      </w:r>
      <w:r w:rsidR="006E0B5A" w:rsidRPr="00A671BF">
        <w:t>, along with his wife Evelyn Roy</w:t>
      </w:r>
      <w:r w:rsidR="00AF521A" w:rsidRPr="00A671BF">
        <w:t>,</w:t>
      </w:r>
      <w:r w:rsidR="006E0B5A" w:rsidRPr="00A671BF">
        <w:t xml:space="preserve"> </w:t>
      </w:r>
      <w:r w:rsidR="004F2A4D" w:rsidRPr="00A671BF">
        <w:t xml:space="preserve">ostensibly </w:t>
      </w:r>
      <w:r w:rsidR="006E0B5A" w:rsidRPr="00A671BF">
        <w:t>for travelling on a forged passport</w:t>
      </w:r>
      <w:r w:rsidR="00912909" w:rsidRPr="00A671BF">
        <w:t xml:space="preserve"> (IOR, 1925</w:t>
      </w:r>
      <w:r w:rsidR="002B7DE1" w:rsidRPr="00A671BF">
        <w:t>a</w:t>
      </w:r>
      <w:r w:rsidR="00912909" w:rsidRPr="00A671BF">
        <w:t>)</w:t>
      </w:r>
      <w:r w:rsidR="006E0B5A" w:rsidRPr="00A671BF">
        <w:t xml:space="preserve">. While his expulsion was certainly due to British pressure, it was </w:t>
      </w:r>
      <w:r w:rsidR="00CA2C22" w:rsidRPr="00A671BF">
        <w:t xml:space="preserve">judged to be </w:t>
      </w:r>
      <w:r w:rsidR="006E0B5A" w:rsidRPr="00A671BF">
        <w:t>in the French interest. The Chief of the CAI used Roy’s stay in Paris as proof that the</w:t>
      </w:r>
      <w:r w:rsidR="000F0C4C" w:rsidRPr="00A671BF">
        <w:t xml:space="preserve"> Union </w:t>
      </w:r>
      <w:proofErr w:type="spellStart"/>
      <w:r w:rsidR="000F0C4C" w:rsidRPr="00A671BF">
        <w:t>Intercoloniale</w:t>
      </w:r>
      <w:proofErr w:type="spellEnd"/>
      <w:r w:rsidR="00E04A64" w:rsidRPr="00A671BF">
        <w:t xml:space="preserve"> was</w:t>
      </w:r>
      <w:r w:rsidR="006E0B5A" w:rsidRPr="00A671BF">
        <w:t xml:space="preserve"> </w:t>
      </w:r>
      <w:r w:rsidR="00E04A64" w:rsidRPr="00A671BF">
        <w:t>‘</w:t>
      </w:r>
      <w:r w:rsidR="006E0B5A" w:rsidRPr="00A671BF">
        <w:t>seeking rapprochement with all the Oriental revolutionary organizations</w:t>
      </w:r>
      <w:r w:rsidR="00E04A64" w:rsidRPr="00A671BF">
        <w:t>’</w:t>
      </w:r>
      <w:r w:rsidR="006E0B5A" w:rsidRPr="00A671BF">
        <w:t xml:space="preserve"> to prop up the campaign against the Rif War</w:t>
      </w:r>
      <w:r w:rsidR="00912909" w:rsidRPr="00A671BF">
        <w:t xml:space="preserve"> (</w:t>
      </w:r>
      <w:r w:rsidR="00F52B70" w:rsidRPr="00A671BF">
        <w:t>CAI, 1925b</w:t>
      </w:r>
      <w:r w:rsidR="00912909" w:rsidRPr="00A671BF">
        <w:t>)</w:t>
      </w:r>
      <w:r w:rsidR="006E0B5A" w:rsidRPr="00A671BF">
        <w:t xml:space="preserve">. </w:t>
      </w:r>
      <w:r w:rsidR="002503A2" w:rsidRPr="00A671BF">
        <w:t>A</w:t>
      </w:r>
      <w:r w:rsidR="006E0B5A" w:rsidRPr="00A671BF">
        <w:t xml:space="preserve">ccording to a CAI report, a </w:t>
      </w:r>
      <w:r w:rsidR="000F0C4C" w:rsidRPr="00A671BF">
        <w:t xml:space="preserve">Union </w:t>
      </w:r>
      <w:proofErr w:type="spellStart"/>
      <w:r w:rsidR="000F0C4C" w:rsidRPr="00A671BF">
        <w:t>Intercoloniale</w:t>
      </w:r>
      <w:proofErr w:type="spellEnd"/>
      <w:r w:rsidR="000F0C4C" w:rsidRPr="00A671BF">
        <w:t xml:space="preserve"> </w:t>
      </w:r>
      <w:r w:rsidR="006E0B5A" w:rsidRPr="00A671BF">
        <w:t xml:space="preserve">protest in March against Roy’s expulsion drew </w:t>
      </w:r>
      <w:r w:rsidR="007D6838" w:rsidRPr="00A671BF">
        <w:t>400</w:t>
      </w:r>
      <w:r w:rsidR="006E0B5A" w:rsidRPr="00A671BF">
        <w:t xml:space="preserve"> people, including </w:t>
      </w:r>
      <w:r w:rsidR="00E04A64" w:rsidRPr="00A671BF">
        <w:t>‘</w:t>
      </w:r>
      <w:r w:rsidR="006E0B5A" w:rsidRPr="00A671BF">
        <w:t>250 blacks [evidently mostly Antilleans], roughly 50 Arabs, twenty Vietnamese, and ten Malagasies</w:t>
      </w:r>
      <w:r w:rsidR="00E04A64" w:rsidRPr="00A671BF">
        <w:t>’</w:t>
      </w:r>
      <w:r w:rsidR="00912909" w:rsidRPr="00A671BF">
        <w:t xml:space="preserve"> (CAI, 1925</w:t>
      </w:r>
      <w:r w:rsidR="00364AA5" w:rsidRPr="00A671BF">
        <w:t>b</w:t>
      </w:r>
      <w:r w:rsidR="00912909" w:rsidRPr="00A671BF">
        <w:t>)</w:t>
      </w:r>
      <w:r w:rsidR="00E04A64" w:rsidRPr="00A671BF">
        <w:t>.</w:t>
      </w:r>
    </w:p>
    <w:p w:rsidR="009C0D8B" w:rsidRPr="00A671BF" w:rsidRDefault="00AF521A" w:rsidP="0038784E">
      <w:pPr>
        <w:spacing w:line="360" w:lineRule="auto"/>
        <w:ind w:firstLine="720"/>
      </w:pPr>
      <w:r w:rsidRPr="00A671BF">
        <w:t xml:space="preserve">Roy’s expulsion has been </w:t>
      </w:r>
      <w:r w:rsidR="00E04A64" w:rsidRPr="00A671BF">
        <w:t xml:space="preserve">adduced </w:t>
      </w:r>
      <w:r w:rsidR="00825E55" w:rsidRPr="00A671BF">
        <w:t>effectively by</w:t>
      </w:r>
      <w:r w:rsidRPr="00A671BF">
        <w:t xml:space="preserve"> </w:t>
      </w:r>
      <w:proofErr w:type="spellStart"/>
      <w:r w:rsidR="00825E55" w:rsidRPr="00A671BF">
        <w:t>Brückenhaus</w:t>
      </w:r>
      <w:proofErr w:type="spellEnd"/>
      <w:r w:rsidR="00825E55" w:rsidRPr="00A671BF">
        <w:t xml:space="preserve"> </w:t>
      </w:r>
      <w:r w:rsidRPr="00A671BF">
        <w:t>as a</w:t>
      </w:r>
      <w:r w:rsidR="00825E55" w:rsidRPr="00A671BF">
        <w:t>n</w:t>
      </w:r>
      <w:r w:rsidRPr="00A671BF">
        <w:t xml:space="preserve"> example of inter-imperial co</w:t>
      </w:r>
      <w:r w:rsidR="009E7433" w:rsidRPr="00A671BF">
        <w:t>-</w:t>
      </w:r>
      <w:r w:rsidRPr="00A671BF">
        <w:t>operation</w:t>
      </w:r>
      <w:r w:rsidR="00912909" w:rsidRPr="00A671BF">
        <w:t xml:space="preserve"> (2015: 183–84)</w:t>
      </w:r>
      <w:r w:rsidR="00825E55" w:rsidRPr="00A671BF">
        <w:t>,</w:t>
      </w:r>
      <w:r w:rsidR="00912909" w:rsidRPr="00A671BF">
        <w:t xml:space="preserve"> </w:t>
      </w:r>
      <w:r w:rsidRPr="00A671BF">
        <w:t xml:space="preserve">but </w:t>
      </w:r>
      <w:r w:rsidR="002543E9" w:rsidRPr="00A671BF">
        <w:t>the way</w:t>
      </w:r>
      <w:r w:rsidR="0042613F" w:rsidRPr="00A671BF">
        <w:t>s</w:t>
      </w:r>
      <w:r w:rsidR="002543E9" w:rsidRPr="00A671BF">
        <w:t xml:space="preserve"> in which Roy </w:t>
      </w:r>
      <w:r w:rsidR="0042613F" w:rsidRPr="00A671BF">
        <w:t xml:space="preserve">and his supporters </w:t>
      </w:r>
      <w:r w:rsidR="001619DE" w:rsidRPr="00A671BF">
        <w:t>rallied</w:t>
      </w:r>
      <w:r w:rsidRPr="00A671BF">
        <w:t xml:space="preserve"> </w:t>
      </w:r>
      <w:r w:rsidR="00E04A64" w:rsidRPr="00A671BF">
        <w:t>pro-India sentiment in France</w:t>
      </w:r>
      <w:r w:rsidRPr="00A671BF">
        <w:t xml:space="preserve"> </w:t>
      </w:r>
      <w:r w:rsidR="003F2B31" w:rsidRPr="00A671BF">
        <w:t xml:space="preserve">is </w:t>
      </w:r>
      <w:r w:rsidR="00825E55" w:rsidRPr="00A671BF">
        <w:t>of equal interest for what it</w:t>
      </w:r>
      <w:r w:rsidRPr="00A671BF">
        <w:t xml:space="preserve"> reveal</w:t>
      </w:r>
      <w:r w:rsidR="00825E55" w:rsidRPr="00A671BF">
        <w:t>s</w:t>
      </w:r>
      <w:r w:rsidRPr="00A671BF">
        <w:t xml:space="preserve"> </w:t>
      </w:r>
      <w:r w:rsidR="0042613F" w:rsidRPr="00A671BF">
        <w:t>of how Indians</w:t>
      </w:r>
      <w:r w:rsidRPr="00A671BF">
        <w:t xml:space="preserve"> </w:t>
      </w:r>
      <w:r w:rsidR="009C0D8B" w:rsidRPr="00A671BF">
        <w:t>from</w:t>
      </w:r>
      <w:r w:rsidRPr="00A671BF">
        <w:t xml:space="preserve"> a</w:t>
      </w:r>
      <w:r w:rsidR="0042613F" w:rsidRPr="00A671BF">
        <w:t xml:space="preserve"> range of political persuasions</w:t>
      </w:r>
      <w:r w:rsidRPr="00A671BF">
        <w:t xml:space="preserve"> could exploit</w:t>
      </w:r>
      <w:r w:rsidR="009C0D8B" w:rsidRPr="00A671BF">
        <w:t xml:space="preserve"> discourses about French </w:t>
      </w:r>
      <w:r w:rsidRPr="00A671BF">
        <w:t>values.</w:t>
      </w:r>
      <w:r w:rsidR="003F2B31" w:rsidRPr="00A671BF">
        <w:t xml:space="preserve"> While </w:t>
      </w:r>
      <w:r w:rsidR="00825E55" w:rsidRPr="00A671BF">
        <w:t>Roy’s campaign</w:t>
      </w:r>
      <w:r w:rsidR="003F2B31" w:rsidRPr="00A671BF">
        <w:t xml:space="preserve"> </w:t>
      </w:r>
      <w:r w:rsidR="002543E9" w:rsidRPr="00A671BF">
        <w:t>failed to</w:t>
      </w:r>
      <w:r w:rsidR="003F2B31" w:rsidRPr="00A671BF">
        <w:t xml:space="preserve"> </w:t>
      </w:r>
      <w:r w:rsidR="002543E9" w:rsidRPr="00A671BF">
        <w:t>overturn</w:t>
      </w:r>
      <w:r w:rsidR="003F2B31" w:rsidRPr="00A671BF">
        <w:t xml:space="preserve"> </w:t>
      </w:r>
      <w:r w:rsidR="00825E55" w:rsidRPr="00A671BF">
        <w:t>his</w:t>
      </w:r>
      <w:r w:rsidR="00E04A64" w:rsidRPr="00A671BF">
        <w:t xml:space="preserve"> expulsion</w:t>
      </w:r>
      <w:r w:rsidR="003F2B31" w:rsidRPr="00A671BF">
        <w:t>, he</w:t>
      </w:r>
      <w:r w:rsidR="00825E55" w:rsidRPr="00A671BF">
        <w:t xml:space="preserve"> did ensure that</w:t>
      </w:r>
      <w:r w:rsidR="003F2B31" w:rsidRPr="00A671BF">
        <w:t xml:space="preserve"> </w:t>
      </w:r>
      <w:r w:rsidR="002543E9" w:rsidRPr="00A671BF">
        <w:t xml:space="preserve">the </w:t>
      </w:r>
      <w:r w:rsidR="003F2B31" w:rsidRPr="00A671BF">
        <w:t>Indian cause</w:t>
      </w:r>
      <w:r w:rsidR="00825E55" w:rsidRPr="00A671BF">
        <w:t xml:space="preserve"> was publicized</w:t>
      </w:r>
      <w:r w:rsidR="003F2B31" w:rsidRPr="00A671BF">
        <w:t>.</w:t>
      </w:r>
      <w:r w:rsidRPr="00A671BF">
        <w:t xml:space="preserve"> </w:t>
      </w:r>
      <w:r w:rsidR="009C0D8B" w:rsidRPr="00A671BF">
        <w:t>He</w:t>
      </w:r>
      <w:r w:rsidR="006E0B5A" w:rsidRPr="00A671BF">
        <w:t xml:space="preserve"> was not without influential friends</w:t>
      </w:r>
      <w:r w:rsidR="009C0D8B" w:rsidRPr="00A671BF">
        <w:t xml:space="preserve">, and when he appealed to French backers he </w:t>
      </w:r>
      <w:r w:rsidR="007A568D" w:rsidRPr="00A671BF">
        <w:t xml:space="preserve">astutely </w:t>
      </w:r>
      <w:r w:rsidR="007918FA" w:rsidRPr="00A671BF">
        <w:t>mobilized</w:t>
      </w:r>
      <w:r w:rsidR="009C0D8B" w:rsidRPr="00A671BF">
        <w:t xml:space="preserve"> issues </w:t>
      </w:r>
      <w:r w:rsidR="007918FA" w:rsidRPr="00A671BF">
        <w:t>for which</w:t>
      </w:r>
      <w:r w:rsidR="009C0D8B" w:rsidRPr="00A671BF">
        <w:t xml:space="preserve"> they </w:t>
      </w:r>
      <w:r w:rsidR="002543E9" w:rsidRPr="00A671BF">
        <w:t xml:space="preserve">themselves </w:t>
      </w:r>
      <w:r w:rsidR="007918FA" w:rsidRPr="00A671BF">
        <w:t xml:space="preserve">were </w:t>
      </w:r>
      <w:r w:rsidR="002543E9" w:rsidRPr="00A671BF">
        <w:t>campaign</w:t>
      </w:r>
      <w:r w:rsidR="007918FA" w:rsidRPr="00A671BF">
        <w:t>ing.</w:t>
      </w:r>
      <w:r w:rsidR="002543E9" w:rsidRPr="00A671BF">
        <w:t xml:space="preserve"> Thus</w:t>
      </w:r>
      <w:r w:rsidR="009C0D8B" w:rsidRPr="00A671BF">
        <w:t xml:space="preserve"> </w:t>
      </w:r>
      <w:r w:rsidR="006E0B5A" w:rsidRPr="00A671BF">
        <w:t xml:space="preserve">his appeal to the </w:t>
      </w:r>
      <w:r w:rsidR="009C0D8B" w:rsidRPr="00A671BF">
        <w:rPr>
          <w:bCs/>
          <w:iCs/>
        </w:rPr>
        <w:t xml:space="preserve">Ligue des Droits de </w:t>
      </w:r>
      <w:proofErr w:type="spellStart"/>
      <w:r w:rsidR="009C0D8B" w:rsidRPr="00A671BF">
        <w:rPr>
          <w:bCs/>
          <w:iCs/>
        </w:rPr>
        <w:t>l’Homme</w:t>
      </w:r>
      <w:proofErr w:type="spellEnd"/>
      <w:r w:rsidR="009C0D8B" w:rsidRPr="00A671BF">
        <w:rPr>
          <w:bCs/>
          <w:iCs/>
        </w:rPr>
        <w:t xml:space="preserve"> et du </w:t>
      </w:r>
      <w:proofErr w:type="spellStart"/>
      <w:r w:rsidR="009C0D8B" w:rsidRPr="00A671BF">
        <w:rPr>
          <w:bCs/>
          <w:iCs/>
        </w:rPr>
        <w:t>Citoyen</w:t>
      </w:r>
      <w:proofErr w:type="spellEnd"/>
      <w:r w:rsidR="009C0D8B" w:rsidRPr="00A671BF">
        <w:t xml:space="preserve"> (the liberal citizenship association established in 1898 in the wake of the Dreyfus affair) </w:t>
      </w:r>
      <w:r w:rsidR="006E0B5A" w:rsidRPr="00A671BF">
        <w:t>made use o</w:t>
      </w:r>
      <w:r w:rsidRPr="00A671BF">
        <w:t xml:space="preserve">f </w:t>
      </w:r>
      <w:r w:rsidR="00CA2C22" w:rsidRPr="00A671BF">
        <w:t>central</w:t>
      </w:r>
      <w:r w:rsidRPr="00A671BF">
        <w:t xml:space="preserve"> Republican principle</w:t>
      </w:r>
      <w:r w:rsidR="006E0B5A" w:rsidRPr="00A671BF">
        <w:t xml:space="preserve">s </w:t>
      </w:r>
      <w:r w:rsidR="00CA2C22" w:rsidRPr="00A671BF">
        <w:t>regarding</w:t>
      </w:r>
      <w:r w:rsidR="006E0B5A" w:rsidRPr="00A671BF">
        <w:t xml:space="preserve"> the rights of man. Making clear that he had been denied basic rights of legal representation</w:t>
      </w:r>
      <w:r w:rsidR="00CA2C22" w:rsidRPr="00A671BF">
        <w:t>,</w:t>
      </w:r>
      <w:r w:rsidR="006E0B5A" w:rsidRPr="00A671BF">
        <w:t xml:space="preserve"> he stated</w:t>
      </w:r>
      <w:r w:rsidR="009C0D8B" w:rsidRPr="00A671BF">
        <w:t>:</w:t>
      </w:r>
    </w:p>
    <w:p w:rsidR="009C0D8B" w:rsidRPr="00A671BF" w:rsidRDefault="009C0D8B" w:rsidP="0038784E">
      <w:pPr>
        <w:spacing w:line="360" w:lineRule="auto"/>
        <w:ind w:firstLine="720"/>
      </w:pPr>
    </w:p>
    <w:p w:rsidR="006E0B5A" w:rsidRPr="00A671BF" w:rsidRDefault="006E0B5A" w:rsidP="00E4779E">
      <w:pPr>
        <w:spacing w:line="360" w:lineRule="auto"/>
        <w:ind w:left="284"/>
        <w:rPr>
          <w:bCs/>
        </w:rPr>
      </w:pPr>
      <w:r w:rsidRPr="00A671BF">
        <w:rPr>
          <w:bCs/>
        </w:rPr>
        <w:t>On January 30 I was arrested in Paris in fulfilment of an order of expulsion signed by the French Ministry of the Interior on January 3, and was immediately conducted to the frontier, without having been informed of the reasons for my expulsion, and without being given the means to consult a lawyer for my defence.</w:t>
      </w:r>
    </w:p>
    <w:p w:rsidR="009C0D8B" w:rsidRPr="00A671BF" w:rsidRDefault="006E0B5A" w:rsidP="00E4779E">
      <w:pPr>
        <w:spacing w:line="360" w:lineRule="auto"/>
        <w:ind w:left="284" w:firstLine="720"/>
        <w:rPr>
          <w:bCs/>
        </w:rPr>
      </w:pPr>
      <w:r w:rsidRPr="00A671BF">
        <w:rPr>
          <w:bCs/>
        </w:rPr>
        <w:lastRenderedPageBreak/>
        <w:t>Thus, by one stroke of the pen, the right of asylum for Indian political refugees has been destroyed, and with this right, the idea which Indian revolutionaries hold, that France is the home of Liberty and Democracy for all the oppressed peoples of the world.</w:t>
      </w:r>
      <w:r w:rsidR="00912909" w:rsidRPr="00A671BF">
        <w:rPr>
          <w:bCs/>
        </w:rPr>
        <w:t xml:space="preserve"> (quoted in Roy, 1925: 205)</w:t>
      </w:r>
      <w:r w:rsidRPr="00A671BF">
        <w:rPr>
          <w:bCs/>
        </w:rPr>
        <w:t xml:space="preserve"> </w:t>
      </w:r>
    </w:p>
    <w:p w:rsidR="009C0D8B" w:rsidRPr="00A671BF" w:rsidRDefault="009C0D8B" w:rsidP="0038784E">
      <w:pPr>
        <w:spacing w:line="360" w:lineRule="auto"/>
        <w:rPr>
          <w:bCs/>
        </w:rPr>
      </w:pPr>
    </w:p>
    <w:p w:rsidR="009C0D8B" w:rsidRPr="00A671BF" w:rsidRDefault="006E0B5A" w:rsidP="0038784E">
      <w:pPr>
        <w:spacing w:line="360" w:lineRule="auto"/>
        <w:rPr>
          <w:bCs/>
          <w:iCs/>
        </w:rPr>
      </w:pPr>
      <w:r w:rsidRPr="00A671BF">
        <w:rPr>
          <w:bCs/>
        </w:rPr>
        <w:t>This argument was similarly used by his wife</w:t>
      </w:r>
      <w:r w:rsidR="00F50D05" w:rsidRPr="00A671BF">
        <w:rPr>
          <w:bCs/>
        </w:rPr>
        <w:t xml:space="preserve">, </w:t>
      </w:r>
      <w:r w:rsidRPr="00A671BF">
        <w:rPr>
          <w:bCs/>
        </w:rPr>
        <w:t xml:space="preserve">writing </w:t>
      </w:r>
      <w:r w:rsidR="0042613F" w:rsidRPr="00A671BF">
        <w:rPr>
          <w:bCs/>
          <w:iCs/>
        </w:rPr>
        <w:t xml:space="preserve">more trenchantly </w:t>
      </w:r>
      <w:r w:rsidR="007A568D" w:rsidRPr="00A671BF">
        <w:rPr>
          <w:bCs/>
        </w:rPr>
        <w:t>for</w:t>
      </w:r>
      <w:r w:rsidRPr="00A671BF">
        <w:rPr>
          <w:bCs/>
        </w:rPr>
        <w:t xml:space="preserve"> the</w:t>
      </w:r>
      <w:r w:rsidR="007A568D" w:rsidRPr="00A671BF">
        <w:rPr>
          <w:bCs/>
        </w:rPr>
        <w:t xml:space="preserve"> British journal</w:t>
      </w:r>
      <w:r w:rsidRPr="00A671BF">
        <w:rPr>
          <w:bCs/>
        </w:rPr>
        <w:t xml:space="preserve"> </w:t>
      </w:r>
      <w:r w:rsidRPr="00A671BF">
        <w:rPr>
          <w:bCs/>
          <w:i/>
          <w:iCs/>
        </w:rPr>
        <w:t>Labour Monthly</w:t>
      </w:r>
      <w:r w:rsidR="0042613F" w:rsidRPr="00A671BF">
        <w:rPr>
          <w:bCs/>
          <w:iCs/>
        </w:rPr>
        <w:t>. C</w:t>
      </w:r>
      <w:r w:rsidRPr="00A671BF">
        <w:rPr>
          <w:bCs/>
          <w:iCs/>
        </w:rPr>
        <w:t>ontrast</w:t>
      </w:r>
      <w:r w:rsidR="009C0D8B" w:rsidRPr="00A671BF">
        <w:rPr>
          <w:bCs/>
          <w:iCs/>
        </w:rPr>
        <w:t xml:space="preserve">ing </w:t>
      </w:r>
      <w:r w:rsidRPr="00A671BF">
        <w:rPr>
          <w:bCs/>
          <w:iCs/>
        </w:rPr>
        <w:t>British arbitrary power with French notions of libert</w:t>
      </w:r>
      <w:r w:rsidR="009C0D8B" w:rsidRPr="00A671BF">
        <w:rPr>
          <w:bCs/>
          <w:iCs/>
        </w:rPr>
        <w:t>y</w:t>
      </w:r>
      <w:r w:rsidR="0042613F" w:rsidRPr="00A671BF">
        <w:rPr>
          <w:bCs/>
          <w:iCs/>
        </w:rPr>
        <w:t>,</w:t>
      </w:r>
      <w:r w:rsidR="009C0D8B" w:rsidRPr="00A671BF">
        <w:rPr>
          <w:bCs/>
          <w:iCs/>
        </w:rPr>
        <w:t xml:space="preserve"> </w:t>
      </w:r>
      <w:r w:rsidR="0042613F" w:rsidRPr="00A671BF">
        <w:rPr>
          <w:bCs/>
        </w:rPr>
        <w:t>Evelyn Roy ended her</w:t>
      </w:r>
      <w:r w:rsidR="009C0D8B" w:rsidRPr="00A671BF">
        <w:rPr>
          <w:bCs/>
          <w:iCs/>
        </w:rPr>
        <w:t xml:space="preserve"> article with an appeal to French nationalism:</w:t>
      </w:r>
    </w:p>
    <w:p w:rsidR="009C0D8B" w:rsidRPr="00A671BF" w:rsidRDefault="009C0D8B" w:rsidP="0038784E">
      <w:pPr>
        <w:spacing w:line="360" w:lineRule="auto"/>
        <w:rPr>
          <w:bCs/>
          <w:iCs/>
        </w:rPr>
      </w:pPr>
    </w:p>
    <w:p w:rsidR="009C0D8B" w:rsidRPr="00A671BF" w:rsidRDefault="009C0D8B" w:rsidP="00E4779E">
      <w:pPr>
        <w:spacing w:line="360" w:lineRule="auto"/>
        <w:ind w:left="284"/>
        <w:rPr>
          <w:rFonts w:eastAsia="Times New Roman" w:cs="Times New Roman"/>
          <w:color w:val="000000"/>
          <w:lang w:eastAsia="en-GB"/>
        </w:rPr>
      </w:pPr>
      <w:r w:rsidRPr="00A671BF">
        <w:rPr>
          <w:rFonts w:eastAsia="Times New Roman" w:cs="Times New Roman"/>
          <w:color w:val="000000"/>
          <w:lang w:eastAsia="en-GB"/>
        </w:rPr>
        <w:t>We believe that the French people, once aware of these wrongs inflicted upon the sons of India who are struggling to free their country from one of the blackest tyrannies in history, will demand the protection of those exiles who have sought refuge from British persecution on the soil of France or her colonies.</w:t>
      </w:r>
      <w:r w:rsidR="00912909" w:rsidRPr="00A671BF">
        <w:rPr>
          <w:rFonts w:eastAsia="Times New Roman" w:cs="Times New Roman"/>
          <w:color w:val="000000"/>
          <w:lang w:eastAsia="en-GB"/>
        </w:rPr>
        <w:t xml:space="preserve"> (Roy, 1925: </w:t>
      </w:r>
      <w:r w:rsidR="007653BD" w:rsidRPr="00A671BF">
        <w:rPr>
          <w:rFonts w:eastAsia="Times New Roman" w:cs="Times New Roman"/>
          <w:color w:val="000000"/>
          <w:lang w:eastAsia="en-GB"/>
        </w:rPr>
        <w:t>209)</w:t>
      </w:r>
    </w:p>
    <w:p w:rsidR="009C0D8B" w:rsidRPr="00A671BF" w:rsidRDefault="009C0D8B" w:rsidP="0038784E">
      <w:pPr>
        <w:spacing w:line="360" w:lineRule="auto"/>
        <w:rPr>
          <w:bCs/>
          <w:iCs/>
        </w:rPr>
      </w:pPr>
    </w:p>
    <w:p w:rsidR="00744DBB" w:rsidRPr="00A671BF" w:rsidRDefault="003533FD" w:rsidP="0038784E">
      <w:pPr>
        <w:spacing w:line="360" w:lineRule="auto"/>
        <w:ind w:firstLine="720"/>
      </w:pPr>
      <w:r w:rsidRPr="00A671BF">
        <w:rPr>
          <w:bCs/>
          <w:iCs/>
        </w:rPr>
        <w:t>Establishing a binary opposition between</w:t>
      </w:r>
      <w:r w:rsidR="003F2B31" w:rsidRPr="00A671BF">
        <w:rPr>
          <w:bCs/>
          <w:iCs/>
        </w:rPr>
        <w:t xml:space="preserve"> British and French </w:t>
      </w:r>
      <w:r w:rsidRPr="00A671BF">
        <w:rPr>
          <w:bCs/>
          <w:iCs/>
        </w:rPr>
        <w:t xml:space="preserve">conceptions of the </w:t>
      </w:r>
      <w:r w:rsidR="003F2B31" w:rsidRPr="00A671BF">
        <w:rPr>
          <w:bCs/>
          <w:iCs/>
        </w:rPr>
        <w:t>rule</w:t>
      </w:r>
      <w:r w:rsidRPr="00A671BF">
        <w:rPr>
          <w:bCs/>
          <w:iCs/>
        </w:rPr>
        <w:t xml:space="preserve"> of law</w:t>
      </w:r>
      <w:r w:rsidR="003F2B31" w:rsidRPr="00A671BF">
        <w:rPr>
          <w:bCs/>
          <w:iCs/>
        </w:rPr>
        <w:t xml:space="preserve"> might not have </w:t>
      </w:r>
      <w:r w:rsidRPr="00A671BF">
        <w:rPr>
          <w:bCs/>
          <w:iCs/>
        </w:rPr>
        <w:t xml:space="preserve">produced </w:t>
      </w:r>
      <w:r w:rsidR="003F2B31" w:rsidRPr="00A671BF">
        <w:rPr>
          <w:bCs/>
          <w:iCs/>
        </w:rPr>
        <w:t xml:space="preserve">an accurate representation of the realities of </w:t>
      </w:r>
      <w:r w:rsidR="00744DBB" w:rsidRPr="00A671BF">
        <w:rPr>
          <w:bCs/>
          <w:iCs/>
        </w:rPr>
        <w:t>imperial</w:t>
      </w:r>
      <w:r w:rsidR="007A568D" w:rsidRPr="00A671BF">
        <w:rPr>
          <w:bCs/>
          <w:iCs/>
        </w:rPr>
        <w:t>ism</w:t>
      </w:r>
      <w:r w:rsidR="003F2B31" w:rsidRPr="00A671BF">
        <w:rPr>
          <w:bCs/>
          <w:iCs/>
        </w:rPr>
        <w:t>, but it was a convenient rhetorical device</w:t>
      </w:r>
      <w:r w:rsidRPr="00A671BF">
        <w:rPr>
          <w:bCs/>
          <w:iCs/>
        </w:rPr>
        <w:t xml:space="preserve"> which was </w:t>
      </w:r>
      <w:r w:rsidR="003F2B31" w:rsidRPr="00A671BF">
        <w:rPr>
          <w:bCs/>
          <w:iCs/>
        </w:rPr>
        <w:t>also used by</w:t>
      </w:r>
      <w:r w:rsidR="006E0B5A" w:rsidRPr="00A671BF">
        <w:rPr>
          <w:bCs/>
          <w:iCs/>
        </w:rPr>
        <w:t xml:space="preserve"> Barbusse</w:t>
      </w:r>
      <w:r w:rsidR="003F2B31" w:rsidRPr="00A671BF">
        <w:rPr>
          <w:bCs/>
          <w:iCs/>
        </w:rPr>
        <w:t xml:space="preserve"> in </w:t>
      </w:r>
      <w:r w:rsidR="007A568D" w:rsidRPr="00A671BF">
        <w:rPr>
          <w:bCs/>
          <w:iCs/>
        </w:rPr>
        <w:t xml:space="preserve">an article written in </w:t>
      </w:r>
      <w:r w:rsidR="003F2B31" w:rsidRPr="00A671BF">
        <w:rPr>
          <w:bCs/>
          <w:iCs/>
        </w:rPr>
        <w:t>support of Roy</w:t>
      </w:r>
      <w:r w:rsidR="007A568D" w:rsidRPr="00A671BF">
        <w:rPr>
          <w:bCs/>
          <w:iCs/>
        </w:rPr>
        <w:t xml:space="preserve"> for </w:t>
      </w:r>
      <w:r w:rsidR="007A568D" w:rsidRPr="00A671BF">
        <w:rPr>
          <w:bCs/>
          <w:i/>
          <w:iCs/>
        </w:rPr>
        <w:t>Labour Monthly</w:t>
      </w:r>
      <w:r w:rsidR="006E0B5A" w:rsidRPr="00A671BF">
        <w:rPr>
          <w:bCs/>
          <w:iCs/>
        </w:rPr>
        <w:t xml:space="preserve">: </w:t>
      </w:r>
      <w:r w:rsidR="003F2B31" w:rsidRPr="00A671BF">
        <w:rPr>
          <w:bCs/>
          <w:iCs/>
        </w:rPr>
        <w:t>‘</w:t>
      </w:r>
      <w:r w:rsidR="006E0B5A" w:rsidRPr="00A671BF">
        <w:t>In any case, if these are the brutal and inexorable arguments that England employs to rid herself of those who denounce her imperialism, should a Government such as that of France become a partner in such iniquities?</w:t>
      </w:r>
      <w:r w:rsidR="006732BE" w:rsidRPr="00A671BF">
        <w:t>’</w:t>
      </w:r>
      <w:r w:rsidR="007653BD" w:rsidRPr="00A671BF">
        <w:t xml:space="preserve"> (1925: 295).</w:t>
      </w:r>
      <w:r w:rsidR="007A568D" w:rsidRPr="00A671BF">
        <w:t xml:space="preserve"> This was not, of course, the only interpretation offered of the affair by metropolitan commentators.</w:t>
      </w:r>
      <w:r w:rsidR="006E0B5A" w:rsidRPr="00A671BF">
        <w:t xml:space="preserve"> </w:t>
      </w:r>
      <w:r w:rsidRPr="00A671BF">
        <w:t>Characteristically</w:t>
      </w:r>
      <w:r w:rsidR="00744DBB" w:rsidRPr="00A671BF">
        <w:t xml:space="preserve">, </w:t>
      </w:r>
      <w:proofErr w:type="spellStart"/>
      <w:r w:rsidR="006E0B5A" w:rsidRPr="00A671BF">
        <w:rPr>
          <w:i/>
        </w:rPr>
        <w:t>L’Humanité</w:t>
      </w:r>
      <w:proofErr w:type="spellEnd"/>
      <w:r w:rsidR="006E0B5A" w:rsidRPr="00A671BF">
        <w:t xml:space="preserve"> eschewed the discourse of imperial rivalry</w:t>
      </w:r>
      <w:r w:rsidR="00744DBB" w:rsidRPr="00A671BF">
        <w:t xml:space="preserve"> in order</w:t>
      </w:r>
      <w:r w:rsidR="006E0B5A" w:rsidRPr="00A671BF">
        <w:t xml:space="preserve"> to advanc</w:t>
      </w:r>
      <w:r w:rsidR="00744DBB" w:rsidRPr="00A671BF">
        <w:t>e</w:t>
      </w:r>
      <w:r w:rsidR="006E0B5A" w:rsidRPr="00A671BF">
        <w:t xml:space="preserve"> the thesis of</w:t>
      </w:r>
      <w:r w:rsidR="00744DBB" w:rsidRPr="00A671BF">
        <w:t xml:space="preserve"> bourgeois</w:t>
      </w:r>
      <w:r w:rsidR="006E0B5A" w:rsidRPr="00A671BF">
        <w:t xml:space="preserve"> imperial conspiracy</w:t>
      </w:r>
      <w:r w:rsidR="00744DBB" w:rsidRPr="00A671BF">
        <w:t xml:space="preserve">, a conspiracy which could be thwarted </w:t>
      </w:r>
      <w:r w:rsidRPr="00A671BF">
        <w:t xml:space="preserve">only </w:t>
      </w:r>
      <w:r w:rsidR="00744DBB" w:rsidRPr="00A671BF">
        <w:t>by a communist revolution:</w:t>
      </w:r>
      <w:r w:rsidR="006E0B5A" w:rsidRPr="00A671BF">
        <w:t xml:space="preserve"> </w:t>
      </w:r>
    </w:p>
    <w:p w:rsidR="00744DBB" w:rsidRPr="00A671BF" w:rsidRDefault="00744DBB" w:rsidP="0038784E">
      <w:pPr>
        <w:spacing w:line="360" w:lineRule="auto"/>
        <w:ind w:firstLine="720"/>
      </w:pPr>
    </w:p>
    <w:p w:rsidR="006E0B5A" w:rsidRPr="00A671BF" w:rsidRDefault="006E0B5A" w:rsidP="00E4779E">
      <w:pPr>
        <w:spacing w:line="360" w:lineRule="auto"/>
        <w:ind w:left="284"/>
      </w:pPr>
      <w:r w:rsidRPr="00A671BF">
        <w:rPr>
          <w:lang w:val="fr-FR"/>
        </w:rPr>
        <w:t xml:space="preserve">En France et dans ses colonies la police française et anglaise </w:t>
      </w:r>
      <w:proofErr w:type="gramStart"/>
      <w:r w:rsidRPr="00A671BF">
        <w:rPr>
          <w:lang w:val="fr-FR"/>
        </w:rPr>
        <w:t>s’unissent</w:t>
      </w:r>
      <w:proofErr w:type="gramEnd"/>
      <w:r w:rsidRPr="00A671BF">
        <w:rPr>
          <w:lang w:val="fr-FR"/>
        </w:rPr>
        <w:t xml:space="preserve"> pour surveiller et persécuter les militants du mouvement révolutionnaire hindou. Voici comment les politiques, impérialistes de la France et de l’Angleterre, quoique foncièrement hostiles l’une envers l’autre en dernière analyse, se coalisent dans le but immédiat de réprimer, à l’aide de la violence, le mouvement menaçant de révolte contre la domination impérialiste — mouvement qui se dessine dans tous les pays d’Orient et, en particulier, aux Indes.</w:t>
      </w:r>
      <w:r w:rsidR="007653BD" w:rsidRPr="00A671BF">
        <w:rPr>
          <w:lang w:val="fr-FR"/>
        </w:rPr>
        <w:t xml:space="preserve"> </w:t>
      </w:r>
      <w:r w:rsidR="007653BD" w:rsidRPr="00A671BF">
        <w:t>(</w:t>
      </w:r>
      <w:proofErr w:type="spellStart"/>
      <w:r w:rsidR="007653BD" w:rsidRPr="00A671BF">
        <w:t>Fauladi</w:t>
      </w:r>
      <w:proofErr w:type="spellEnd"/>
      <w:r w:rsidR="007653BD" w:rsidRPr="00A671BF">
        <w:t>, 1925)</w:t>
      </w:r>
    </w:p>
    <w:p w:rsidR="00744DBB" w:rsidRPr="00A671BF" w:rsidRDefault="00744DBB" w:rsidP="0038784E">
      <w:pPr>
        <w:spacing w:line="360" w:lineRule="auto"/>
        <w:ind w:firstLine="720"/>
      </w:pPr>
    </w:p>
    <w:p w:rsidR="00E4779E" w:rsidRPr="00A671BF" w:rsidRDefault="00205B56" w:rsidP="006B0019">
      <w:pPr>
        <w:spacing w:line="360" w:lineRule="auto"/>
        <w:ind w:firstLine="720"/>
      </w:pPr>
      <w:r w:rsidRPr="00A671BF">
        <w:t>The reaction to t</w:t>
      </w:r>
      <w:r w:rsidR="003F2B31" w:rsidRPr="00A671BF">
        <w:t xml:space="preserve">he expulsion of Roy </w:t>
      </w:r>
      <w:r w:rsidRPr="00A671BF">
        <w:t>went beyond the</w:t>
      </w:r>
      <w:r w:rsidR="003F2B31" w:rsidRPr="00A671BF">
        <w:t xml:space="preserve"> rhetor</w:t>
      </w:r>
      <w:r w:rsidRPr="00A671BF">
        <w:t>ical exploitation of</w:t>
      </w:r>
      <w:r w:rsidR="003F2B31" w:rsidRPr="00A671BF">
        <w:t xml:space="preserve"> imperial rivalry </w:t>
      </w:r>
      <w:r w:rsidRPr="00A671BF">
        <w:t>as a means of promoting</w:t>
      </w:r>
      <w:r w:rsidR="003F2B31" w:rsidRPr="00A671BF">
        <w:t xml:space="preserve"> Indian nationalism</w:t>
      </w:r>
      <w:r w:rsidRPr="00A671BF">
        <w:t xml:space="preserve"> by Indian nationalists</w:t>
      </w:r>
      <w:r w:rsidR="00744DBB" w:rsidRPr="00A671BF">
        <w:t>; it</w:t>
      </w:r>
      <w:r w:rsidR="00B857F0" w:rsidRPr="00A671BF">
        <w:t xml:space="preserve"> also </w:t>
      </w:r>
      <w:r w:rsidR="001619DE" w:rsidRPr="00A671BF">
        <w:t>stimulated</w:t>
      </w:r>
      <w:r w:rsidR="00A570CD" w:rsidRPr="00A671BF">
        <w:t xml:space="preserve"> a</w:t>
      </w:r>
      <w:r w:rsidR="00B857F0" w:rsidRPr="00A671BF">
        <w:t xml:space="preserve"> marked sympathy among left-wing circles in France for Indian independence. </w:t>
      </w:r>
      <w:r w:rsidR="004F2A4D" w:rsidRPr="00A671BF">
        <w:rPr>
          <w:lang w:val="fr-FR"/>
        </w:rPr>
        <w:t xml:space="preserve">This </w:t>
      </w:r>
      <w:proofErr w:type="spellStart"/>
      <w:r w:rsidR="004F2A4D" w:rsidRPr="00A671BF">
        <w:rPr>
          <w:lang w:val="fr-FR"/>
        </w:rPr>
        <w:t>was</w:t>
      </w:r>
      <w:proofErr w:type="spellEnd"/>
      <w:r w:rsidR="004F2A4D" w:rsidRPr="00A671BF">
        <w:rPr>
          <w:lang w:val="fr-FR"/>
        </w:rPr>
        <w:t xml:space="preserve"> </w:t>
      </w:r>
      <w:proofErr w:type="spellStart"/>
      <w:r w:rsidR="004F2A4D" w:rsidRPr="00A671BF">
        <w:rPr>
          <w:lang w:val="fr-FR"/>
        </w:rPr>
        <w:t>noted</w:t>
      </w:r>
      <w:proofErr w:type="spellEnd"/>
      <w:r w:rsidR="004F2A4D" w:rsidRPr="00A671BF">
        <w:rPr>
          <w:lang w:val="fr-FR"/>
        </w:rPr>
        <w:t xml:space="preserve"> </w:t>
      </w:r>
      <w:proofErr w:type="spellStart"/>
      <w:r w:rsidR="004F2A4D" w:rsidRPr="00A671BF">
        <w:rPr>
          <w:lang w:val="fr-FR"/>
        </w:rPr>
        <w:lastRenderedPageBreak/>
        <w:t>with</w:t>
      </w:r>
      <w:proofErr w:type="spellEnd"/>
      <w:r w:rsidR="004F2A4D" w:rsidRPr="00A671BF">
        <w:rPr>
          <w:lang w:val="fr-FR"/>
        </w:rPr>
        <w:t xml:space="preserve"> </w:t>
      </w:r>
      <w:proofErr w:type="spellStart"/>
      <w:r w:rsidR="004F2A4D" w:rsidRPr="00A671BF">
        <w:rPr>
          <w:lang w:val="fr-FR"/>
        </w:rPr>
        <w:t>concern</w:t>
      </w:r>
      <w:proofErr w:type="spellEnd"/>
      <w:r w:rsidR="004F2A4D" w:rsidRPr="00A671BF">
        <w:rPr>
          <w:lang w:val="fr-FR"/>
        </w:rPr>
        <w:t xml:space="preserve"> in a </w:t>
      </w:r>
      <w:proofErr w:type="spellStart"/>
      <w:r w:rsidR="004F2A4D" w:rsidRPr="00A671BF">
        <w:rPr>
          <w:lang w:val="fr-FR"/>
        </w:rPr>
        <w:t>detailed</w:t>
      </w:r>
      <w:proofErr w:type="spellEnd"/>
      <w:r w:rsidR="00B857F0" w:rsidRPr="00A671BF">
        <w:rPr>
          <w:lang w:val="fr-FR"/>
        </w:rPr>
        <w:t xml:space="preserve"> police report of </w:t>
      </w:r>
      <w:r w:rsidR="00261ED6" w:rsidRPr="00A671BF">
        <w:rPr>
          <w:lang w:val="fr-FR"/>
        </w:rPr>
        <w:t>May</w:t>
      </w:r>
      <w:r w:rsidRPr="00A671BF">
        <w:rPr>
          <w:lang w:val="fr-FR"/>
        </w:rPr>
        <w:t xml:space="preserve"> </w:t>
      </w:r>
      <w:r w:rsidR="00B857F0" w:rsidRPr="00A671BF">
        <w:rPr>
          <w:lang w:val="fr-FR"/>
        </w:rPr>
        <w:t>1925</w:t>
      </w:r>
      <w:r w:rsidR="00486AAF" w:rsidRPr="00A671BF">
        <w:rPr>
          <w:lang w:val="fr-FR"/>
        </w:rPr>
        <w:t xml:space="preserve">: </w:t>
      </w:r>
      <w:r w:rsidR="00116E25" w:rsidRPr="00A671BF">
        <w:rPr>
          <w:lang w:val="fr-FR"/>
        </w:rPr>
        <w:t xml:space="preserve">‘L’expulsion de son leader </w:t>
      </w:r>
      <w:proofErr w:type="spellStart"/>
      <w:r w:rsidR="00116E25" w:rsidRPr="00A671BF">
        <w:rPr>
          <w:lang w:val="fr-FR"/>
        </w:rPr>
        <w:t>Mahandra</w:t>
      </w:r>
      <w:proofErr w:type="spellEnd"/>
      <w:r w:rsidR="00116E25" w:rsidRPr="00A671BF">
        <w:rPr>
          <w:lang w:val="fr-FR"/>
        </w:rPr>
        <w:t xml:space="preserve"> Nat Roy a fait l’objet dans la presse d’extrême gauche de protestations véhémentes qui ont eu des échos dans certains cercles intellectuels français. Ceux-ci ne possédaient sans doute pas tous les éléments d’appréciat</w:t>
      </w:r>
      <w:r w:rsidR="007653BD" w:rsidRPr="00A671BF">
        <w:rPr>
          <w:lang w:val="fr-FR"/>
        </w:rPr>
        <w:t>ion sur son véritable caractère</w:t>
      </w:r>
      <w:r w:rsidR="00116E25" w:rsidRPr="00A671BF">
        <w:rPr>
          <w:lang w:val="fr-FR"/>
        </w:rPr>
        <w:t>’</w:t>
      </w:r>
      <w:r w:rsidR="007653BD" w:rsidRPr="00A671BF">
        <w:rPr>
          <w:lang w:val="fr-FR"/>
        </w:rPr>
        <w:t xml:space="preserve"> (</w:t>
      </w:r>
      <w:r w:rsidR="003D6BC7" w:rsidRPr="00A671BF">
        <w:rPr>
          <w:lang w:val="fr-FR"/>
        </w:rPr>
        <w:t>Préfet de Police</w:t>
      </w:r>
      <w:r w:rsidR="007653BD" w:rsidRPr="00A671BF">
        <w:rPr>
          <w:lang w:val="fr-FR"/>
        </w:rPr>
        <w:t>, 1925).</w:t>
      </w:r>
      <w:r w:rsidR="00B857F0" w:rsidRPr="00A671BF">
        <w:rPr>
          <w:lang w:val="fr-FR"/>
        </w:rPr>
        <w:t xml:space="preserve"> </w:t>
      </w:r>
      <w:r w:rsidR="00ED6428" w:rsidRPr="00A671BF">
        <w:t>Nor was</w:t>
      </w:r>
      <w:r w:rsidR="00B857F0" w:rsidRPr="00A671BF">
        <w:t xml:space="preserve"> interest in ‘India’ confined to left-wing </w:t>
      </w:r>
      <w:proofErr w:type="spellStart"/>
      <w:r w:rsidR="00B857F0" w:rsidRPr="00A671BF">
        <w:t>anticolonialists</w:t>
      </w:r>
      <w:proofErr w:type="spellEnd"/>
      <w:r w:rsidR="00ED6428" w:rsidRPr="00A671BF">
        <w:t>. A</w:t>
      </w:r>
      <w:r w:rsidR="00B857F0" w:rsidRPr="00A671BF">
        <w:t>s the police source added, India</w:t>
      </w:r>
      <w:r w:rsidR="00ED6428" w:rsidRPr="00A671BF">
        <w:t xml:space="preserve"> was</w:t>
      </w:r>
      <w:r w:rsidR="00B857F0" w:rsidRPr="00A671BF">
        <w:t xml:space="preserve"> </w:t>
      </w:r>
      <w:r w:rsidR="004806D9" w:rsidRPr="00A671BF">
        <w:t xml:space="preserve">widely </w:t>
      </w:r>
      <w:r w:rsidR="00B857F0" w:rsidRPr="00A671BF">
        <w:t xml:space="preserve">perceived as a British affair </w:t>
      </w:r>
      <w:r w:rsidR="00ED6428" w:rsidRPr="00A671BF">
        <w:t>and, as far as the public were concerned, Indian nationalism posed</w:t>
      </w:r>
      <w:r w:rsidR="00B857F0" w:rsidRPr="00A671BF">
        <w:t xml:space="preserve"> no </w:t>
      </w:r>
      <w:r w:rsidR="00ED6428" w:rsidRPr="00A671BF">
        <w:t xml:space="preserve">great </w:t>
      </w:r>
      <w:r w:rsidR="00B857F0" w:rsidRPr="00A671BF">
        <w:t>threat to</w:t>
      </w:r>
      <w:r w:rsidR="00116E25" w:rsidRPr="00A671BF">
        <w:t xml:space="preserve"> French colonial sentiment</w:t>
      </w:r>
      <w:r w:rsidR="004F2A4D" w:rsidRPr="00A671BF">
        <w:t>, even if the reality was different</w:t>
      </w:r>
      <w:r w:rsidR="00B857F0" w:rsidRPr="00A671BF">
        <w:t>:</w:t>
      </w:r>
      <w:r w:rsidR="00116E25" w:rsidRPr="00A671BF">
        <w:t xml:space="preserve"> </w:t>
      </w:r>
    </w:p>
    <w:p w:rsidR="00F27A8A" w:rsidRPr="00A671BF" w:rsidRDefault="00F27A8A" w:rsidP="006B0019">
      <w:pPr>
        <w:spacing w:line="360" w:lineRule="auto"/>
        <w:ind w:firstLine="720"/>
      </w:pPr>
    </w:p>
    <w:p w:rsidR="00E4779E" w:rsidRPr="00A671BF" w:rsidRDefault="000A207E" w:rsidP="00E4779E">
      <w:pPr>
        <w:spacing w:line="360" w:lineRule="auto"/>
        <w:ind w:left="284"/>
      </w:pPr>
      <w:r w:rsidRPr="00A671BF">
        <w:rPr>
          <w:lang w:val="fr-FR"/>
        </w:rPr>
        <w:t>Pour le public, le Comité Pro Hindou mène son action au grand jour et d’une manière qui ne saurait menacer nos intérêts nationaux. En réalité le siège de ce comité (26, rue Monnier) a été le lieu de rendez-vous quotidien de révolutionnaires de toutes nationalistes. Des communiste</w:t>
      </w:r>
      <w:r w:rsidR="007A568D" w:rsidRPr="00A671BF">
        <w:rPr>
          <w:lang w:val="fr-FR"/>
        </w:rPr>
        <w:t>s</w:t>
      </w:r>
      <w:r w:rsidRPr="00A671BF">
        <w:rPr>
          <w:lang w:val="fr-FR"/>
        </w:rPr>
        <w:t xml:space="preserve"> français et coloniaux sont délibéré</w:t>
      </w:r>
      <w:r w:rsidR="007A568D" w:rsidRPr="00A671BF">
        <w:rPr>
          <w:lang w:val="fr-FR"/>
        </w:rPr>
        <w:t>s</w:t>
      </w:r>
      <w:r w:rsidRPr="00A671BF">
        <w:rPr>
          <w:lang w:val="fr-FR"/>
        </w:rPr>
        <w:t xml:space="preserve"> sur les moyens de développer, selon les vœux de la Troisième Internationale, la propagande intercoloniale. Des agitateurs hindous et coloniaux y ont échangé des renseignements et des notes.</w:t>
      </w:r>
      <w:r w:rsidR="007653BD" w:rsidRPr="00A671BF">
        <w:rPr>
          <w:lang w:val="fr-FR"/>
        </w:rPr>
        <w:t xml:space="preserve"> </w:t>
      </w:r>
      <w:r w:rsidR="007653BD" w:rsidRPr="00A671BF">
        <w:t>(</w:t>
      </w:r>
      <w:proofErr w:type="spellStart"/>
      <w:r w:rsidR="003D6BC7" w:rsidRPr="00A671BF">
        <w:t>Préfet</w:t>
      </w:r>
      <w:proofErr w:type="spellEnd"/>
      <w:r w:rsidR="003D6BC7" w:rsidRPr="00A671BF">
        <w:t xml:space="preserve"> de Police</w:t>
      </w:r>
      <w:r w:rsidR="007653BD" w:rsidRPr="00A671BF">
        <w:t>, 1925: 15).</w:t>
      </w:r>
      <w:r w:rsidR="00116E25" w:rsidRPr="00A671BF">
        <w:t xml:space="preserve"> </w:t>
      </w:r>
    </w:p>
    <w:p w:rsidR="00E4779E" w:rsidRPr="00A671BF" w:rsidRDefault="00E4779E" w:rsidP="00E4779E">
      <w:pPr>
        <w:spacing w:line="360" w:lineRule="auto"/>
      </w:pPr>
    </w:p>
    <w:p w:rsidR="006B0019" w:rsidRPr="00A671BF" w:rsidRDefault="00261ED6" w:rsidP="00E4779E">
      <w:pPr>
        <w:spacing w:line="360" w:lineRule="auto"/>
      </w:pPr>
      <w:r w:rsidRPr="00A671BF">
        <w:t xml:space="preserve">Substantiating this characterization of public </w:t>
      </w:r>
      <w:r w:rsidR="00051835" w:rsidRPr="00A671BF">
        <w:t xml:space="preserve">opinion </w:t>
      </w:r>
      <w:r w:rsidRPr="00A671BF">
        <w:t>is difficult</w:t>
      </w:r>
      <w:r w:rsidR="00051835" w:rsidRPr="00A671BF">
        <w:t>,</w:t>
      </w:r>
      <w:r w:rsidRPr="00A671BF">
        <w:t xml:space="preserve"> but it is worth noting that r</w:t>
      </w:r>
      <w:r w:rsidR="00163BB9" w:rsidRPr="00A671BF">
        <w:t>eports received in London attested a ‘worrying’ level of French public s</w:t>
      </w:r>
      <w:r w:rsidR="00FF61DF" w:rsidRPr="00A671BF">
        <w:t>ympathy for Indian independence (H.A., 1925b).</w:t>
      </w:r>
      <w:r w:rsidR="00163BB9" w:rsidRPr="00A671BF">
        <w:t xml:space="preserve"> </w:t>
      </w:r>
      <w:r w:rsidR="006B0019" w:rsidRPr="00A671BF">
        <w:t xml:space="preserve">This public sympathy was not, however, simply a passive phenomenon, </w:t>
      </w:r>
      <w:r w:rsidR="002C5362" w:rsidRPr="00A671BF">
        <w:t>exaggerated</w:t>
      </w:r>
      <w:r w:rsidR="006B0019" w:rsidRPr="00A671BF">
        <w:t xml:space="preserve"> in the reporting by agents in Paris and London who were motivated by the twin fears of communism and anti-imperial agitation. Nor was it restricted to left-wing circles. </w:t>
      </w:r>
      <w:proofErr w:type="spellStart"/>
      <w:r w:rsidR="006B0019" w:rsidRPr="00A671BF">
        <w:t>Panikkar</w:t>
      </w:r>
      <w:proofErr w:type="spellEnd"/>
      <w:r w:rsidR="006B0019" w:rsidRPr="00A671BF">
        <w:t xml:space="preserve">, for example, was to find expressions of political sympathy in a variety of popular and intellectual publications, providing him, as it had Roy and </w:t>
      </w:r>
      <w:proofErr w:type="spellStart"/>
      <w:r w:rsidR="006B0019" w:rsidRPr="00A671BF">
        <w:t>Bagchi</w:t>
      </w:r>
      <w:proofErr w:type="spellEnd"/>
      <w:r w:rsidR="006B0019" w:rsidRPr="00A671BF">
        <w:t xml:space="preserve"> before him, with opportunities that were closed to other anticolonial activists from France’s colonies and from other British territories. This sympathy was to diversify and grow with the advent of </w:t>
      </w:r>
      <w:proofErr w:type="spellStart"/>
      <w:r w:rsidR="006B0019" w:rsidRPr="00A671BF">
        <w:rPr>
          <w:i/>
          <w:iCs/>
        </w:rPr>
        <w:t>gandhisme</w:t>
      </w:r>
      <w:proofErr w:type="spellEnd"/>
      <w:r w:rsidR="006B0019" w:rsidRPr="00A671BF">
        <w:t xml:space="preserve"> in the mid-1920s.</w:t>
      </w:r>
    </w:p>
    <w:p w:rsidR="00A527A0" w:rsidRPr="00A671BF" w:rsidRDefault="00A527A0" w:rsidP="0038784E">
      <w:pPr>
        <w:spacing w:line="360" w:lineRule="auto"/>
        <w:ind w:firstLine="720"/>
      </w:pPr>
    </w:p>
    <w:p w:rsidR="00261ED6" w:rsidRPr="00A671BF" w:rsidRDefault="00261ED6" w:rsidP="0038784E">
      <w:pPr>
        <w:spacing w:line="360" w:lineRule="auto"/>
      </w:pPr>
      <w:r w:rsidRPr="00A671BF">
        <w:t>Gandhi and the ‘Indian moment’</w:t>
      </w:r>
    </w:p>
    <w:p w:rsidR="00626E64" w:rsidRPr="00A671BF" w:rsidRDefault="00497E79" w:rsidP="0038784E">
      <w:pPr>
        <w:spacing w:line="360" w:lineRule="auto"/>
      </w:pPr>
      <w:r w:rsidRPr="00A671BF">
        <w:t xml:space="preserve">The growing </w:t>
      </w:r>
      <w:r w:rsidR="00806836" w:rsidRPr="00A671BF">
        <w:t>French interest in</w:t>
      </w:r>
      <w:r w:rsidR="004F2A4D" w:rsidRPr="00A671BF">
        <w:t xml:space="preserve"> British</w:t>
      </w:r>
      <w:r w:rsidR="00806836" w:rsidRPr="00A671BF">
        <w:t xml:space="preserve"> India </w:t>
      </w:r>
      <w:r w:rsidRPr="00A671BF">
        <w:t xml:space="preserve">during the 1920s and early 1930s — </w:t>
      </w:r>
      <w:r w:rsidR="00806836" w:rsidRPr="00A671BF">
        <w:t>evident in literary and intellectual writings</w:t>
      </w:r>
      <w:r w:rsidR="00FF61DF" w:rsidRPr="00A671BF">
        <w:t xml:space="preserve"> (</w:t>
      </w:r>
      <w:proofErr w:type="spellStart"/>
      <w:r w:rsidR="006732BE" w:rsidRPr="00A671BF">
        <w:t>Bridet</w:t>
      </w:r>
      <w:proofErr w:type="spellEnd"/>
      <w:r w:rsidR="009327E4" w:rsidRPr="00A671BF">
        <w:t>,</w:t>
      </w:r>
      <w:r w:rsidR="006732BE" w:rsidRPr="00A671BF">
        <w:t xml:space="preserve"> 2014; </w:t>
      </w:r>
      <w:proofErr w:type="spellStart"/>
      <w:r w:rsidR="00FF61DF" w:rsidRPr="00A671BF">
        <w:t>Latronche</w:t>
      </w:r>
      <w:proofErr w:type="spellEnd"/>
      <w:r w:rsidR="00FF61DF" w:rsidRPr="00A671BF">
        <w:t xml:space="preserve">, 1999; </w:t>
      </w:r>
      <w:proofErr w:type="spellStart"/>
      <w:r w:rsidR="00FF61DF" w:rsidRPr="00A671BF">
        <w:t>Markovits</w:t>
      </w:r>
      <w:proofErr w:type="spellEnd"/>
      <w:r w:rsidR="00FF61DF" w:rsidRPr="00A671BF">
        <w:t>, 2000; Marsh, 2007)</w:t>
      </w:r>
      <w:r w:rsidRPr="00A671BF">
        <w:t>,</w:t>
      </w:r>
      <w:r w:rsidR="00806836" w:rsidRPr="00A671BF">
        <w:t xml:space="preserve"> </w:t>
      </w:r>
      <w:r w:rsidR="00F541D6" w:rsidRPr="00A671BF">
        <w:t>in communist publications (</w:t>
      </w:r>
      <w:proofErr w:type="spellStart"/>
      <w:r w:rsidR="00F541D6" w:rsidRPr="00A671BF">
        <w:rPr>
          <w:i/>
        </w:rPr>
        <w:t>L’Humanité</w:t>
      </w:r>
      <w:proofErr w:type="spellEnd"/>
      <w:r w:rsidR="00F541D6" w:rsidRPr="00A671BF">
        <w:t xml:space="preserve">, </w:t>
      </w:r>
      <w:r w:rsidR="00F541D6" w:rsidRPr="00A671BF">
        <w:rPr>
          <w:i/>
        </w:rPr>
        <w:t>Bulletin</w:t>
      </w:r>
      <w:r w:rsidR="00F541D6" w:rsidRPr="00A671BF">
        <w:t xml:space="preserve"> </w:t>
      </w:r>
      <w:proofErr w:type="spellStart"/>
      <w:r w:rsidR="00FA0C7D" w:rsidRPr="00A671BF">
        <w:rPr>
          <w:i/>
        </w:rPr>
        <w:t>communiste</w:t>
      </w:r>
      <w:proofErr w:type="spellEnd"/>
      <w:r w:rsidR="00435D17" w:rsidRPr="00A671BF">
        <w:t>)</w:t>
      </w:r>
      <w:r w:rsidRPr="00A671BF">
        <w:t>,</w:t>
      </w:r>
      <w:r w:rsidR="00F541D6" w:rsidRPr="00A671BF">
        <w:t xml:space="preserve"> and </w:t>
      </w:r>
      <w:r w:rsidRPr="00A671BF">
        <w:t xml:space="preserve">in </w:t>
      </w:r>
      <w:r w:rsidR="00F541D6" w:rsidRPr="00A671BF">
        <w:t xml:space="preserve">more broadly left-leaning cultural journals such as </w:t>
      </w:r>
      <w:r w:rsidR="00B01136" w:rsidRPr="00A671BF">
        <w:t xml:space="preserve">Romain </w:t>
      </w:r>
      <w:r w:rsidR="00F541D6" w:rsidRPr="00A671BF">
        <w:t xml:space="preserve">Rolland’s </w:t>
      </w:r>
      <w:r w:rsidR="00F541D6" w:rsidRPr="00A671BF">
        <w:rPr>
          <w:i/>
        </w:rPr>
        <w:t>Europe</w:t>
      </w:r>
      <w:r w:rsidR="00012CAF" w:rsidRPr="00A671BF">
        <w:t xml:space="preserve"> </w:t>
      </w:r>
      <w:r w:rsidRPr="00A671BF">
        <w:t xml:space="preserve">— </w:t>
      </w:r>
      <w:r w:rsidR="00012CAF" w:rsidRPr="00A671BF">
        <w:t>contradicts</w:t>
      </w:r>
      <w:r w:rsidR="00F541D6" w:rsidRPr="00A671BF">
        <w:t xml:space="preserve"> the general lack of interest </w:t>
      </w:r>
      <w:r w:rsidR="00012CAF" w:rsidRPr="00A671BF">
        <w:t>posited</w:t>
      </w:r>
      <w:r w:rsidR="00F541D6" w:rsidRPr="00A671BF">
        <w:t xml:space="preserve"> by Goebel, and </w:t>
      </w:r>
      <w:proofErr w:type="spellStart"/>
      <w:r w:rsidR="00F541D6" w:rsidRPr="00A671BF">
        <w:t>Liauzu</w:t>
      </w:r>
      <w:proofErr w:type="spellEnd"/>
      <w:r w:rsidR="00F541D6" w:rsidRPr="00A671BF">
        <w:t xml:space="preserve"> before him, in colonial issues</w:t>
      </w:r>
      <w:r w:rsidR="00FF61DF" w:rsidRPr="00A671BF">
        <w:t xml:space="preserve"> (Goebel, 2015: 183; </w:t>
      </w:r>
      <w:proofErr w:type="spellStart"/>
      <w:r w:rsidR="00FF61DF" w:rsidRPr="00A671BF">
        <w:t>Liauzu</w:t>
      </w:r>
      <w:proofErr w:type="spellEnd"/>
      <w:r w:rsidR="00FF61DF" w:rsidRPr="00A671BF">
        <w:t>, 1982: 96)</w:t>
      </w:r>
      <w:r w:rsidR="00F541D6" w:rsidRPr="00A671BF">
        <w:t xml:space="preserve">. Certainly, </w:t>
      </w:r>
      <w:r w:rsidR="00F541D6" w:rsidRPr="00A671BF">
        <w:rPr>
          <w:i/>
        </w:rPr>
        <w:t xml:space="preserve">Europe </w:t>
      </w:r>
      <w:r w:rsidR="00F541D6" w:rsidRPr="00A671BF">
        <w:t xml:space="preserve">published only </w:t>
      </w:r>
      <w:r w:rsidR="00435D17" w:rsidRPr="00A671BF">
        <w:t>124</w:t>
      </w:r>
      <w:r w:rsidR="00F541D6" w:rsidRPr="00A671BF">
        <w:t xml:space="preserve"> articles on colonial issues</w:t>
      </w:r>
      <w:r w:rsidR="00435D17" w:rsidRPr="00A671BF">
        <w:t xml:space="preserve"> between 1923 and 1938</w:t>
      </w:r>
      <w:r w:rsidR="00F541D6" w:rsidRPr="00A671BF">
        <w:t>, but of these 45 were devoted to Indian nationalism (either directly</w:t>
      </w:r>
      <w:r w:rsidRPr="00A671BF">
        <w:t>,</w:t>
      </w:r>
      <w:r w:rsidR="00F541D6" w:rsidRPr="00A671BF">
        <w:t xml:space="preserve"> or indirectly </w:t>
      </w:r>
      <w:r w:rsidRPr="00A671BF">
        <w:t>through</w:t>
      </w:r>
      <w:r w:rsidR="00F541D6" w:rsidRPr="00A671BF">
        <w:t xml:space="preserve"> discussions of </w:t>
      </w:r>
      <w:r w:rsidR="00F541D6" w:rsidRPr="00A671BF">
        <w:lastRenderedPageBreak/>
        <w:t>Gandhi’s philosophy)</w:t>
      </w:r>
      <w:r w:rsidR="008337D1" w:rsidRPr="00A671BF">
        <w:t>,</w:t>
      </w:r>
      <w:r w:rsidR="00B01136" w:rsidRPr="00A671BF">
        <w:t xml:space="preserve"> making it the most prominent nationalist cause to receive attention</w:t>
      </w:r>
      <w:r w:rsidR="00F541D6" w:rsidRPr="00A671BF">
        <w:t>.</w:t>
      </w:r>
      <w:r w:rsidR="00F541D6" w:rsidRPr="00A671BF">
        <w:rPr>
          <w:rStyle w:val="FootnoteReference"/>
        </w:rPr>
        <w:footnoteReference w:id="10"/>
      </w:r>
      <w:r w:rsidR="00F541D6" w:rsidRPr="00A671BF">
        <w:t xml:space="preserve"> </w:t>
      </w:r>
      <w:r w:rsidR="009E30F2" w:rsidRPr="00A671BF">
        <w:t>One reason</w:t>
      </w:r>
      <w:r w:rsidR="00B01136" w:rsidRPr="00A671BF">
        <w:t xml:space="preserve"> for this marked interest was undoubtedly</w:t>
      </w:r>
      <w:r w:rsidR="009E30F2" w:rsidRPr="00A671BF">
        <w:t xml:space="preserve"> the rise of pacifism</w:t>
      </w:r>
      <w:r w:rsidR="00B01136" w:rsidRPr="00A671BF">
        <w:t xml:space="preserve"> and anti-militarist sentiments in France after the devastation of the First World War</w:t>
      </w:r>
      <w:r w:rsidR="009E30F2" w:rsidRPr="00A671BF">
        <w:t xml:space="preserve"> </w:t>
      </w:r>
      <w:r w:rsidR="001619DE" w:rsidRPr="00A671BF">
        <w:t xml:space="preserve">(Ingram, 1991) </w:t>
      </w:r>
      <w:r w:rsidR="009E30F2" w:rsidRPr="00A671BF">
        <w:t>and</w:t>
      </w:r>
      <w:r w:rsidR="008C1F19" w:rsidRPr="00A671BF">
        <w:t>, thanks to</w:t>
      </w:r>
      <w:r w:rsidR="009E30F2" w:rsidRPr="00A671BF">
        <w:t xml:space="preserve"> Romain Rolland’s hagiographical account of </w:t>
      </w:r>
      <w:r w:rsidR="00F343BB" w:rsidRPr="00A671BF">
        <w:t>Gandhi</w:t>
      </w:r>
      <w:r w:rsidR="009E30F2" w:rsidRPr="00A671BF">
        <w:t xml:space="preserve">, </w:t>
      </w:r>
      <w:r w:rsidR="008C752D" w:rsidRPr="00A671BF">
        <w:t>a</w:t>
      </w:r>
      <w:r w:rsidR="00363A9F" w:rsidRPr="00A671BF">
        <w:t xml:space="preserve"> belief that </w:t>
      </w:r>
      <w:r w:rsidR="00722C52" w:rsidRPr="00A671BF">
        <w:t xml:space="preserve">the </w:t>
      </w:r>
      <w:r w:rsidR="008C1F19" w:rsidRPr="00A671BF">
        <w:t xml:space="preserve">Indian campaign for Home Rule </w:t>
      </w:r>
      <w:r w:rsidR="00012CAF" w:rsidRPr="00A671BF">
        <w:t>presented</w:t>
      </w:r>
      <w:r w:rsidRPr="00A671BF">
        <w:t xml:space="preserve"> a</w:t>
      </w:r>
      <w:r w:rsidR="008C1F19" w:rsidRPr="00A671BF">
        <w:t xml:space="preserve"> </w:t>
      </w:r>
      <w:r w:rsidRPr="00A671BF">
        <w:t>model</w:t>
      </w:r>
      <w:r w:rsidR="008C1F19" w:rsidRPr="00A671BF">
        <w:t xml:space="preserve"> </w:t>
      </w:r>
      <w:r w:rsidR="009E30F2" w:rsidRPr="00A671BF">
        <w:t xml:space="preserve">alternative </w:t>
      </w:r>
      <w:r w:rsidR="008C1F19" w:rsidRPr="00A671BF">
        <w:t xml:space="preserve">to </w:t>
      </w:r>
      <w:r w:rsidR="005F7A5B" w:rsidRPr="00A671BF">
        <w:t>western warfare</w:t>
      </w:r>
      <w:r w:rsidR="001619DE" w:rsidRPr="00A671BF">
        <w:t xml:space="preserve">. </w:t>
      </w:r>
      <w:r w:rsidR="00722C52" w:rsidRPr="00A671BF">
        <w:t>I</w:t>
      </w:r>
      <w:r w:rsidR="008C1F19" w:rsidRPr="00A671BF">
        <w:t>dealization of pacifist solutions was not</w:t>
      </w:r>
      <w:r w:rsidR="00722C52" w:rsidRPr="00A671BF">
        <w:t xml:space="preserve">, </w:t>
      </w:r>
      <w:r w:rsidR="008C752D" w:rsidRPr="00A671BF">
        <w:t>of course</w:t>
      </w:r>
      <w:r w:rsidR="00722C52" w:rsidRPr="00A671BF">
        <w:t xml:space="preserve">, </w:t>
      </w:r>
      <w:r w:rsidR="00F76C6F" w:rsidRPr="00A671BF">
        <w:t>a majority view</w:t>
      </w:r>
      <w:r w:rsidR="00722C52" w:rsidRPr="00A671BF">
        <w:t>;</w:t>
      </w:r>
      <w:r w:rsidR="008C1F19" w:rsidRPr="00A671BF">
        <w:t xml:space="preserve"> nor was Rolland’s interpretation of Gandhi </w:t>
      </w:r>
      <w:r w:rsidR="00464FAC" w:rsidRPr="00A671BF">
        <w:t>universally</w:t>
      </w:r>
      <w:r w:rsidR="008C1F19" w:rsidRPr="00A671BF">
        <w:t xml:space="preserve"> accepted. </w:t>
      </w:r>
      <w:r w:rsidRPr="00A671BF">
        <w:t xml:space="preserve">Rolland’s articles in </w:t>
      </w:r>
      <w:r w:rsidR="00363A9F" w:rsidRPr="00A671BF">
        <w:rPr>
          <w:i/>
        </w:rPr>
        <w:t>Europe</w:t>
      </w:r>
      <w:r w:rsidR="00363A9F" w:rsidRPr="00A671BF">
        <w:t xml:space="preserve"> and Barbusse</w:t>
      </w:r>
      <w:r w:rsidRPr="00A671BF">
        <w:t>’s</w:t>
      </w:r>
      <w:r w:rsidR="00363A9F" w:rsidRPr="00A671BF">
        <w:t xml:space="preserve"> </w:t>
      </w:r>
      <w:r w:rsidRPr="00A671BF">
        <w:t xml:space="preserve">responding articles </w:t>
      </w:r>
      <w:r w:rsidR="00363A9F" w:rsidRPr="00A671BF">
        <w:t xml:space="preserve">in </w:t>
      </w:r>
      <w:proofErr w:type="spellStart"/>
      <w:r w:rsidR="00363A9F" w:rsidRPr="00A671BF">
        <w:rPr>
          <w:i/>
        </w:rPr>
        <w:t>Clarté</w:t>
      </w:r>
      <w:proofErr w:type="spellEnd"/>
      <w:r w:rsidR="00363A9F" w:rsidRPr="00A671BF">
        <w:t xml:space="preserve"> </w:t>
      </w:r>
      <w:r w:rsidR="00435D17" w:rsidRPr="00A671BF">
        <w:t xml:space="preserve">in 1923 </w:t>
      </w:r>
      <w:r w:rsidR="00A4098B" w:rsidRPr="00A671BF">
        <w:t>offered t</w:t>
      </w:r>
      <w:r w:rsidR="008C752D" w:rsidRPr="00A671BF">
        <w:t>wo distinct visions of Gandhi</w:t>
      </w:r>
      <w:r w:rsidRPr="00A671BF">
        <w:t>, generating intense debate</w:t>
      </w:r>
      <w:r w:rsidR="00BB12C8" w:rsidRPr="00A671BF">
        <w:t xml:space="preserve"> in print between the two writers.</w:t>
      </w:r>
      <w:r w:rsidR="008C752D" w:rsidRPr="00A671BF">
        <w:t xml:space="preserve"> F</w:t>
      </w:r>
      <w:r w:rsidR="008C1F19" w:rsidRPr="00A671BF">
        <w:t>or Barbusse, Gandhi was the apotheosis of communism,</w:t>
      </w:r>
      <w:r w:rsidR="00A4098B" w:rsidRPr="00A671BF">
        <w:t xml:space="preserve"> expertly making use of non-violence as one weapon among many to advance the Indian cause: </w:t>
      </w:r>
      <w:r w:rsidR="00A4098B" w:rsidRPr="00A671BF">
        <w:rPr>
          <w:rFonts w:cs="AdvPS94BA"/>
        </w:rPr>
        <w:t>‘</w:t>
      </w:r>
      <w:r w:rsidR="00906A15" w:rsidRPr="00A671BF">
        <w:rPr>
          <w:rFonts w:cs="AdvPS94BA"/>
        </w:rPr>
        <w:t xml:space="preserve">Si </w:t>
      </w:r>
      <w:proofErr w:type="spellStart"/>
      <w:r w:rsidR="00906A15" w:rsidRPr="00A671BF">
        <w:rPr>
          <w:rFonts w:cs="AdvPS94BA"/>
        </w:rPr>
        <w:t>Lé</w:t>
      </w:r>
      <w:r w:rsidR="00A4098B" w:rsidRPr="00A671BF">
        <w:rPr>
          <w:rFonts w:cs="AdvPS94BA"/>
        </w:rPr>
        <w:t>nine</w:t>
      </w:r>
      <w:proofErr w:type="spellEnd"/>
      <w:r w:rsidR="00906A15" w:rsidRPr="00A671BF">
        <w:rPr>
          <w:rFonts w:cs="AdvPS94BA"/>
        </w:rPr>
        <w:t xml:space="preserve"> </w:t>
      </w:r>
      <w:proofErr w:type="spellStart"/>
      <w:r w:rsidR="00906A15" w:rsidRPr="00A671BF">
        <w:rPr>
          <w:rFonts w:cs="AdvPS94BA"/>
        </w:rPr>
        <w:t>s’était</w:t>
      </w:r>
      <w:proofErr w:type="spellEnd"/>
      <w:r w:rsidR="00906A15" w:rsidRPr="00A671BF">
        <w:rPr>
          <w:rFonts w:cs="AdvPS94BA"/>
        </w:rPr>
        <w:t xml:space="preserve"> </w:t>
      </w:r>
      <w:proofErr w:type="spellStart"/>
      <w:r w:rsidR="00906A15" w:rsidRPr="00A671BF">
        <w:rPr>
          <w:rFonts w:cs="AdvPS94BA"/>
        </w:rPr>
        <w:t>trouvé</w:t>
      </w:r>
      <w:proofErr w:type="spellEnd"/>
      <w:r w:rsidR="00906A15" w:rsidRPr="00A671BF">
        <w:rPr>
          <w:rFonts w:cs="AdvPS94BA"/>
        </w:rPr>
        <w:t xml:space="preserve"> à </w:t>
      </w:r>
      <w:r w:rsidR="00A4098B" w:rsidRPr="00A671BF">
        <w:rPr>
          <w:rFonts w:cs="AdvPS94BA"/>
        </w:rPr>
        <w:t>la pl</w:t>
      </w:r>
      <w:r w:rsidR="00906A15" w:rsidRPr="00A671BF">
        <w:rPr>
          <w:rFonts w:cs="AdvPS94BA"/>
        </w:rPr>
        <w:t xml:space="preserve">ace de Gandhi, </w:t>
      </w:r>
      <w:proofErr w:type="spellStart"/>
      <w:r w:rsidR="00906A15" w:rsidRPr="00A671BF">
        <w:rPr>
          <w:rFonts w:cs="AdvPS94BA"/>
        </w:rPr>
        <w:t>il</w:t>
      </w:r>
      <w:proofErr w:type="spellEnd"/>
      <w:r w:rsidR="00906A15" w:rsidRPr="00A671BF">
        <w:rPr>
          <w:rFonts w:cs="AdvPS94BA"/>
        </w:rPr>
        <w:t xml:space="preserve"> </w:t>
      </w:r>
      <w:proofErr w:type="spellStart"/>
      <w:r w:rsidR="00906A15" w:rsidRPr="00A671BF">
        <w:rPr>
          <w:rFonts w:cs="AdvPS94BA"/>
        </w:rPr>
        <w:t>aurait</w:t>
      </w:r>
      <w:proofErr w:type="spellEnd"/>
      <w:r w:rsidR="00906A15" w:rsidRPr="00A671BF">
        <w:rPr>
          <w:rFonts w:cs="AdvPS94BA"/>
        </w:rPr>
        <w:t xml:space="preserve"> </w:t>
      </w:r>
      <w:proofErr w:type="spellStart"/>
      <w:r w:rsidR="00906A15" w:rsidRPr="00A671BF">
        <w:rPr>
          <w:rFonts w:cs="AdvPS94BA"/>
        </w:rPr>
        <w:t>parlé</w:t>
      </w:r>
      <w:proofErr w:type="spellEnd"/>
      <w:r w:rsidR="00906A15" w:rsidRPr="00A671BF">
        <w:rPr>
          <w:rFonts w:cs="AdvPS94BA"/>
        </w:rPr>
        <w:t xml:space="preserve"> </w:t>
      </w:r>
      <w:r w:rsidR="00A4098B" w:rsidRPr="00A671BF">
        <w:rPr>
          <w:rFonts w:cs="AdvPS94BA"/>
        </w:rPr>
        <w:t xml:space="preserve">et </w:t>
      </w:r>
      <w:proofErr w:type="spellStart"/>
      <w:r w:rsidR="00A4098B" w:rsidRPr="00A671BF">
        <w:rPr>
          <w:rFonts w:cs="AdvPS94BA"/>
        </w:rPr>
        <w:t>agi</w:t>
      </w:r>
      <w:proofErr w:type="spellEnd"/>
      <w:r w:rsidR="00A4098B" w:rsidRPr="00A671BF">
        <w:rPr>
          <w:rFonts w:cs="AdvPS94BA"/>
        </w:rPr>
        <w:t xml:space="preserve"> </w:t>
      </w:r>
      <w:proofErr w:type="spellStart"/>
      <w:r w:rsidR="00A4098B" w:rsidRPr="00A671BF">
        <w:rPr>
          <w:rFonts w:cs="AdvPS94BA"/>
        </w:rPr>
        <w:t>comme</w:t>
      </w:r>
      <w:proofErr w:type="spellEnd"/>
      <w:r w:rsidR="00A4098B" w:rsidRPr="00A671BF">
        <w:rPr>
          <w:rFonts w:cs="AdvPS94BA"/>
        </w:rPr>
        <w:t xml:space="preserve"> </w:t>
      </w:r>
      <w:proofErr w:type="spellStart"/>
      <w:r w:rsidR="00A4098B" w:rsidRPr="00A671BF">
        <w:rPr>
          <w:rFonts w:cs="AdvPS94BA"/>
        </w:rPr>
        <w:t>lui</w:t>
      </w:r>
      <w:proofErr w:type="spellEnd"/>
      <w:r w:rsidR="00A4098B" w:rsidRPr="00A671BF">
        <w:rPr>
          <w:rFonts w:cs="AdvPS94BA"/>
        </w:rPr>
        <w:t>’</w:t>
      </w:r>
      <w:r w:rsidR="00FF61DF" w:rsidRPr="00A671BF">
        <w:rPr>
          <w:rFonts w:cs="AdvPS94BA"/>
        </w:rPr>
        <w:t xml:space="preserve"> (Barbusse, 1923: 318)</w:t>
      </w:r>
      <w:r w:rsidR="00A4098B" w:rsidRPr="00A671BF">
        <w:rPr>
          <w:rFonts w:cs="AdvPS94BA"/>
        </w:rPr>
        <w:t xml:space="preserve">. For Rolland, Gandhi was a </w:t>
      </w:r>
      <w:r w:rsidR="00906A15" w:rsidRPr="00A671BF">
        <w:rPr>
          <w:rFonts w:cs="AdvPS94BA"/>
        </w:rPr>
        <w:t>messiah figure, ‘</w:t>
      </w:r>
      <w:r w:rsidR="00A4098B" w:rsidRPr="00A671BF">
        <w:rPr>
          <w:rFonts w:cs="AdvPS94BA"/>
        </w:rPr>
        <w:t>religieu</w:t>
      </w:r>
      <w:r w:rsidR="00906A15" w:rsidRPr="00A671BF">
        <w:rPr>
          <w:rFonts w:cs="AdvPS94BA"/>
        </w:rPr>
        <w:t xml:space="preserve">x par nature, </w:t>
      </w:r>
      <w:proofErr w:type="spellStart"/>
      <w:r w:rsidR="00906A15" w:rsidRPr="00A671BF">
        <w:rPr>
          <w:rFonts w:cs="AdvPS94BA"/>
        </w:rPr>
        <w:t>politicien</w:t>
      </w:r>
      <w:proofErr w:type="spellEnd"/>
      <w:r w:rsidR="00906A15" w:rsidRPr="00A671BF">
        <w:rPr>
          <w:rFonts w:cs="AdvPS94BA"/>
        </w:rPr>
        <w:t xml:space="preserve"> par </w:t>
      </w:r>
      <w:proofErr w:type="spellStart"/>
      <w:r w:rsidR="00906A15" w:rsidRPr="00A671BF">
        <w:rPr>
          <w:rFonts w:cs="AdvPS94BA"/>
        </w:rPr>
        <w:t>nécessité</w:t>
      </w:r>
      <w:proofErr w:type="spellEnd"/>
      <w:r w:rsidR="00A4098B" w:rsidRPr="00A671BF">
        <w:rPr>
          <w:rFonts w:cs="AdvPS94BA"/>
        </w:rPr>
        <w:t>’, set apart from the petty materialism of everyday life</w:t>
      </w:r>
      <w:r w:rsidR="00FF61DF" w:rsidRPr="00A671BF">
        <w:rPr>
          <w:rFonts w:cs="AdvPS94BA"/>
        </w:rPr>
        <w:t xml:space="preserve"> (Rolland, 1993: 28).</w:t>
      </w:r>
      <w:r w:rsidR="00A4098B" w:rsidRPr="00A671BF">
        <w:rPr>
          <w:rFonts w:cs="AdvPS94BA"/>
        </w:rPr>
        <w:t xml:space="preserve"> A third vision of Gandhi </w:t>
      </w:r>
      <w:r w:rsidR="008C752D" w:rsidRPr="00A671BF">
        <w:rPr>
          <w:rFonts w:cs="AdvPS94BA"/>
        </w:rPr>
        <w:t xml:space="preserve">emerged </w:t>
      </w:r>
      <w:r w:rsidR="00A4098B" w:rsidRPr="00A671BF">
        <w:rPr>
          <w:rFonts w:cs="AdvPS94BA"/>
        </w:rPr>
        <w:t>in the communist press</w:t>
      </w:r>
      <w:r w:rsidR="00F541D6" w:rsidRPr="00A671BF">
        <w:rPr>
          <w:rFonts w:cs="AdvPS94BA"/>
        </w:rPr>
        <w:t xml:space="preserve"> in France and in Britain. For writers in </w:t>
      </w:r>
      <w:proofErr w:type="spellStart"/>
      <w:r w:rsidR="00F541D6" w:rsidRPr="00A671BF">
        <w:rPr>
          <w:rFonts w:cs="AdvPS94BA"/>
          <w:i/>
        </w:rPr>
        <w:t>L’Humanité</w:t>
      </w:r>
      <w:proofErr w:type="spellEnd"/>
      <w:r w:rsidR="00F541D6" w:rsidRPr="00A671BF">
        <w:rPr>
          <w:rFonts w:cs="AdvPS94BA"/>
          <w:i/>
        </w:rPr>
        <w:t xml:space="preserve"> </w:t>
      </w:r>
      <w:r w:rsidR="00F541D6" w:rsidRPr="00A671BF">
        <w:rPr>
          <w:rFonts w:cs="AdvPS94BA"/>
        </w:rPr>
        <w:t xml:space="preserve">throughout the 1920s and </w:t>
      </w:r>
      <w:r w:rsidR="006732BE" w:rsidRPr="00A671BF">
        <w:rPr>
          <w:rFonts w:cs="AdvPS94BA"/>
        </w:rPr>
        <w:t xml:space="preserve">early </w:t>
      </w:r>
      <w:r w:rsidR="00F541D6" w:rsidRPr="00A671BF">
        <w:rPr>
          <w:rFonts w:cs="AdvPS94BA"/>
        </w:rPr>
        <w:t xml:space="preserve">1930s, Gandhi and the Indian National Congress epitomized </w:t>
      </w:r>
      <w:r w:rsidR="00830F23" w:rsidRPr="00A671BF">
        <w:rPr>
          <w:rFonts w:cs="AdvPS94BA"/>
        </w:rPr>
        <w:t xml:space="preserve">the </w:t>
      </w:r>
      <w:r w:rsidR="00F541D6" w:rsidRPr="00A671BF">
        <w:rPr>
          <w:rFonts w:cs="AdvPS94BA"/>
        </w:rPr>
        <w:t xml:space="preserve">bourgeois corruption </w:t>
      </w:r>
      <w:r w:rsidR="00830F23" w:rsidRPr="00A671BF">
        <w:rPr>
          <w:rFonts w:cs="AdvPS94BA"/>
        </w:rPr>
        <w:t>that</w:t>
      </w:r>
      <w:r w:rsidR="00F541D6" w:rsidRPr="00A671BF">
        <w:rPr>
          <w:rFonts w:cs="AdvPS94BA"/>
        </w:rPr>
        <w:t xml:space="preserve"> </w:t>
      </w:r>
      <w:r w:rsidR="00830F23" w:rsidRPr="00A671BF">
        <w:rPr>
          <w:rFonts w:cs="AdvPS94BA"/>
        </w:rPr>
        <w:t xml:space="preserve">‘broke’ </w:t>
      </w:r>
      <w:r w:rsidR="00F541D6" w:rsidRPr="00A671BF">
        <w:rPr>
          <w:rFonts w:cs="AdvPS94BA"/>
        </w:rPr>
        <w:t>the revolutionary zeal of the masses</w:t>
      </w:r>
      <w:r w:rsidR="00BB12C8" w:rsidRPr="00A671BF">
        <w:rPr>
          <w:rFonts w:cs="AdvPS94BA"/>
        </w:rPr>
        <w:t>,</w:t>
      </w:r>
      <w:r w:rsidR="00626E64" w:rsidRPr="00A671BF">
        <w:t xml:space="preserve"> </w:t>
      </w:r>
      <w:r w:rsidR="00BB12C8" w:rsidRPr="00A671BF">
        <w:t xml:space="preserve">a trenchant assessment that was repeated in British journals such as the </w:t>
      </w:r>
      <w:r w:rsidR="00FF61DF" w:rsidRPr="00A671BF">
        <w:rPr>
          <w:i/>
        </w:rPr>
        <w:t xml:space="preserve">Labour Monthly </w:t>
      </w:r>
      <w:r w:rsidR="00FF61DF" w:rsidRPr="00A671BF">
        <w:t>(</w:t>
      </w:r>
      <w:proofErr w:type="spellStart"/>
      <w:r w:rsidR="00FF61DF" w:rsidRPr="00A671BF">
        <w:rPr>
          <w:i/>
        </w:rPr>
        <w:t>L’Humanité</w:t>
      </w:r>
      <w:proofErr w:type="spellEnd"/>
      <w:r w:rsidR="00FF61DF" w:rsidRPr="00A671BF">
        <w:t>, 1930; Roy, 1923).</w:t>
      </w:r>
    </w:p>
    <w:p w:rsidR="00E4779E" w:rsidRPr="00A671BF" w:rsidRDefault="00B01136" w:rsidP="0038784E">
      <w:pPr>
        <w:spacing w:line="360" w:lineRule="auto"/>
        <w:ind w:firstLine="720"/>
      </w:pPr>
      <w:r w:rsidRPr="00A671BF">
        <w:t>The popularity of Gandhi in</w:t>
      </w:r>
      <w:r w:rsidR="008337D1" w:rsidRPr="00A671BF">
        <w:t xml:space="preserve"> France was illustrated in 1931</w:t>
      </w:r>
      <w:r w:rsidRPr="00A671BF">
        <w:t xml:space="preserve"> when</w:t>
      </w:r>
      <w:r w:rsidR="008337D1" w:rsidRPr="00A671BF">
        <w:t>,</w:t>
      </w:r>
      <w:r w:rsidRPr="00A671BF">
        <w:t xml:space="preserve"> r</w:t>
      </w:r>
      <w:r w:rsidR="00626E64" w:rsidRPr="00A671BF">
        <w:t xml:space="preserve">eturning from the failed </w:t>
      </w:r>
      <w:r w:rsidR="00BC7304" w:rsidRPr="00A671BF">
        <w:t xml:space="preserve">Second </w:t>
      </w:r>
      <w:r w:rsidR="00626E64" w:rsidRPr="00A671BF">
        <w:t xml:space="preserve">Round Table </w:t>
      </w:r>
      <w:r w:rsidR="00BC7304" w:rsidRPr="00A671BF">
        <w:t>Conference</w:t>
      </w:r>
      <w:r w:rsidR="00626E64" w:rsidRPr="00A671BF">
        <w:t xml:space="preserve"> in London in December</w:t>
      </w:r>
      <w:r w:rsidR="004F2A4D" w:rsidRPr="00A671BF">
        <w:t xml:space="preserve"> of that year</w:t>
      </w:r>
      <w:r w:rsidR="00626E64" w:rsidRPr="00A671BF">
        <w:t xml:space="preserve">, </w:t>
      </w:r>
      <w:r w:rsidR="004F2A4D" w:rsidRPr="00A671BF">
        <w:t>he</w:t>
      </w:r>
      <w:r w:rsidR="00626E64" w:rsidRPr="00A671BF">
        <w:t xml:space="preserve"> stopped briefly in Paris</w:t>
      </w:r>
      <w:r w:rsidR="00062C90" w:rsidRPr="00A671BF">
        <w:t>,</w:t>
      </w:r>
      <w:r w:rsidR="00626E64" w:rsidRPr="00A671BF">
        <w:t xml:space="preserve"> </w:t>
      </w:r>
      <w:r w:rsidR="00F34FD7" w:rsidRPr="00A671BF">
        <w:t>where he</w:t>
      </w:r>
      <w:r w:rsidR="00626E64" w:rsidRPr="00A671BF">
        <w:t xml:space="preserve"> attended a meeting at the Magic</w:t>
      </w:r>
      <w:r w:rsidR="00F541D6" w:rsidRPr="00A671BF">
        <w:t>-</w:t>
      </w:r>
      <w:r w:rsidR="00626E64" w:rsidRPr="00A671BF">
        <w:t>City</w:t>
      </w:r>
      <w:r w:rsidR="00062C90" w:rsidRPr="00A671BF">
        <w:t>,</w:t>
      </w:r>
      <w:r w:rsidR="00626E64" w:rsidRPr="00A671BF">
        <w:t xml:space="preserve"> organized by the Société des Amis. </w:t>
      </w:r>
      <w:r w:rsidR="00E11CEF" w:rsidRPr="00A671BF">
        <w:t xml:space="preserve">Concerned </w:t>
      </w:r>
      <w:r w:rsidR="00AA3393" w:rsidRPr="00A671BF">
        <w:t xml:space="preserve">that the stopover would </w:t>
      </w:r>
      <w:r w:rsidR="00C87B5F" w:rsidRPr="00A671BF">
        <w:t>become a vehicle for</w:t>
      </w:r>
      <w:r w:rsidR="00AA3393" w:rsidRPr="00A671BF">
        <w:t xml:space="preserve"> </w:t>
      </w:r>
      <w:r w:rsidR="00E11CEF" w:rsidRPr="00A671BF">
        <w:t xml:space="preserve">anti-imperial </w:t>
      </w:r>
      <w:r w:rsidR="00AA3393" w:rsidRPr="00A671BF">
        <w:t>opinions</w:t>
      </w:r>
      <w:r w:rsidR="00E11CEF" w:rsidRPr="00A671BF">
        <w:t xml:space="preserve">, </w:t>
      </w:r>
      <w:r w:rsidR="00906A15" w:rsidRPr="00A671BF">
        <w:t xml:space="preserve">the </w:t>
      </w:r>
      <w:proofErr w:type="spellStart"/>
      <w:r w:rsidR="00116E25" w:rsidRPr="00A671BF">
        <w:t>Préfecture</w:t>
      </w:r>
      <w:proofErr w:type="spellEnd"/>
      <w:r w:rsidR="00116E25" w:rsidRPr="00A671BF">
        <w:t xml:space="preserve"> </w:t>
      </w:r>
      <w:r w:rsidR="00B857F0" w:rsidRPr="00A671BF">
        <w:t>d</w:t>
      </w:r>
      <w:r w:rsidR="00116E25" w:rsidRPr="00A671BF">
        <w:t xml:space="preserve">e </w:t>
      </w:r>
      <w:r w:rsidR="00956122" w:rsidRPr="00A671BF">
        <w:t>P</w:t>
      </w:r>
      <w:r w:rsidR="00116E25" w:rsidRPr="00A671BF">
        <w:t>olice</w:t>
      </w:r>
      <w:r w:rsidR="00E11CEF" w:rsidRPr="00A671BF">
        <w:t xml:space="preserve"> </w:t>
      </w:r>
      <w:r w:rsidR="00906A15" w:rsidRPr="00A671BF">
        <w:t xml:space="preserve">monitored the meeting </w:t>
      </w:r>
      <w:r w:rsidR="00B857F0" w:rsidRPr="00A671BF">
        <w:t xml:space="preserve">and Gandhi’s </w:t>
      </w:r>
      <w:r w:rsidR="00AA3393" w:rsidRPr="00A671BF">
        <w:t xml:space="preserve">other </w:t>
      </w:r>
      <w:r w:rsidR="00B857F0" w:rsidRPr="00A671BF">
        <w:t>activities</w:t>
      </w:r>
      <w:r w:rsidR="00AA3393" w:rsidRPr="00A671BF">
        <w:t xml:space="preserve"> throughout his stay</w:t>
      </w:r>
      <w:r w:rsidR="00B857F0" w:rsidRPr="00A671BF">
        <w:t xml:space="preserve">. The reports </w:t>
      </w:r>
      <w:r w:rsidR="00AA3393" w:rsidRPr="00A671BF">
        <w:t>record</w:t>
      </w:r>
      <w:r w:rsidR="00B857F0" w:rsidRPr="00A671BF">
        <w:t xml:space="preserve"> the public acclaim with which his visit was met. </w:t>
      </w:r>
      <w:r w:rsidR="00966E85" w:rsidRPr="00A671BF">
        <w:t xml:space="preserve">Two hundred people blocked the road outside the </w:t>
      </w:r>
      <w:r w:rsidR="005A53C5" w:rsidRPr="00A671BF">
        <w:t>apartment</w:t>
      </w:r>
      <w:r w:rsidR="00966E85" w:rsidRPr="00A671BF">
        <w:t xml:space="preserve"> building where he was spending the night of 6 December, the </w:t>
      </w:r>
      <w:r w:rsidR="00F34FD7" w:rsidRPr="00A671BF">
        <w:t xml:space="preserve">concierge calling the </w:t>
      </w:r>
      <w:r w:rsidR="00966E85" w:rsidRPr="00A671BF">
        <w:t>police to clear the obstruction caused</w:t>
      </w:r>
      <w:r w:rsidR="00E74255" w:rsidRPr="00A671BF">
        <w:t xml:space="preserve"> by gathering journalists (Directeur, 1931a).</w:t>
      </w:r>
      <w:r w:rsidR="00966E85" w:rsidRPr="00A671BF">
        <w:t xml:space="preserve"> </w:t>
      </w:r>
      <w:r w:rsidR="00AA3393" w:rsidRPr="00A671BF">
        <w:t>A</w:t>
      </w:r>
      <w:r w:rsidR="00966E85" w:rsidRPr="00A671BF">
        <w:t>lthough the meeting at the Magic-City</w:t>
      </w:r>
      <w:r w:rsidR="00F34FD7" w:rsidRPr="00A671BF">
        <w:t xml:space="preserve"> </w:t>
      </w:r>
      <w:r w:rsidR="00966E85" w:rsidRPr="00A671BF">
        <w:t xml:space="preserve">was organized at the last minute, it was attended by 2500 </w:t>
      </w:r>
      <w:r w:rsidR="00AA3393" w:rsidRPr="00A671BF">
        <w:t>paying guests</w:t>
      </w:r>
      <w:r w:rsidR="00966E85" w:rsidRPr="00A671BF">
        <w:t>:</w:t>
      </w:r>
      <w:r w:rsidR="00E11CEF" w:rsidRPr="00A671BF">
        <w:t xml:space="preserve"> </w:t>
      </w:r>
    </w:p>
    <w:p w:rsidR="00E4779E" w:rsidRPr="00A671BF" w:rsidRDefault="00E4779E" w:rsidP="0038784E">
      <w:pPr>
        <w:spacing w:line="360" w:lineRule="auto"/>
        <w:ind w:firstLine="720"/>
      </w:pPr>
    </w:p>
    <w:p w:rsidR="00E4779E" w:rsidRPr="00A671BF" w:rsidRDefault="00E11CEF" w:rsidP="00E4779E">
      <w:pPr>
        <w:spacing w:line="360" w:lineRule="auto"/>
        <w:ind w:left="284"/>
        <w:rPr>
          <w:lang w:val="fr-FR"/>
        </w:rPr>
      </w:pPr>
      <w:r w:rsidRPr="00A671BF">
        <w:rPr>
          <w:lang w:val="fr-FR"/>
        </w:rPr>
        <w:t>La séance est ouverte à 21 heures en présence de 2500 personnes environ, ayant acquitté un droit d’entrée de trois francs. Gandhi, dès son arrivée, prend place sur l’est</w:t>
      </w:r>
      <w:r w:rsidR="00AA3393" w:rsidRPr="00A671BF">
        <w:rPr>
          <w:lang w:val="fr-FR"/>
        </w:rPr>
        <w:t>rade entouré de ses secrétaires</w:t>
      </w:r>
      <w:r w:rsidRPr="00A671BF">
        <w:rPr>
          <w:lang w:val="fr-FR"/>
        </w:rPr>
        <w:t>; il est l’objet de longues et vives acclamations.</w:t>
      </w:r>
      <w:r w:rsidR="00E74255" w:rsidRPr="00A671BF">
        <w:rPr>
          <w:lang w:val="fr-FR"/>
        </w:rPr>
        <w:t xml:space="preserve"> (Directeur, 1931b)</w:t>
      </w:r>
      <w:r w:rsidRPr="00A671BF">
        <w:rPr>
          <w:lang w:val="fr-FR"/>
        </w:rPr>
        <w:t xml:space="preserve"> </w:t>
      </w:r>
    </w:p>
    <w:p w:rsidR="004A6E6F" w:rsidRPr="00A671BF" w:rsidRDefault="004A6E6F" w:rsidP="00E4779E">
      <w:pPr>
        <w:spacing w:line="360" w:lineRule="auto"/>
        <w:ind w:left="284"/>
        <w:rPr>
          <w:lang w:val="fr-FR"/>
        </w:rPr>
      </w:pPr>
    </w:p>
    <w:p w:rsidR="00F343BB" w:rsidRPr="00A671BF" w:rsidRDefault="004F2A4D" w:rsidP="00E4779E">
      <w:pPr>
        <w:spacing w:line="360" w:lineRule="auto"/>
        <w:rPr>
          <w:rFonts w:ascii="AdvPS94BA" w:hAnsi="AdvPS94BA" w:cs="AdvPS94BA"/>
          <w:sz w:val="21"/>
          <w:szCs w:val="21"/>
          <w:lang w:val="fr-FR"/>
        </w:rPr>
      </w:pPr>
      <w:proofErr w:type="spellStart"/>
      <w:r w:rsidRPr="00A671BF">
        <w:rPr>
          <w:lang w:val="fr-FR"/>
        </w:rPr>
        <w:lastRenderedPageBreak/>
        <w:t>While</w:t>
      </w:r>
      <w:proofErr w:type="spellEnd"/>
      <w:r w:rsidRPr="00A671BF">
        <w:rPr>
          <w:lang w:val="fr-FR"/>
        </w:rPr>
        <w:t xml:space="preserve"> the meeting </w:t>
      </w:r>
      <w:proofErr w:type="spellStart"/>
      <w:r w:rsidRPr="00A671BF">
        <w:rPr>
          <w:lang w:val="fr-FR"/>
        </w:rPr>
        <w:t>was</w:t>
      </w:r>
      <w:proofErr w:type="spellEnd"/>
      <w:r w:rsidRPr="00A671BF">
        <w:rPr>
          <w:lang w:val="fr-FR"/>
        </w:rPr>
        <w:t xml:space="preserve"> </w:t>
      </w:r>
      <w:proofErr w:type="spellStart"/>
      <w:r w:rsidRPr="00A671BF">
        <w:rPr>
          <w:lang w:val="fr-FR"/>
        </w:rPr>
        <w:t>d</w:t>
      </w:r>
      <w:r w:rsidR="00E11CEF" w:rsidRPr="00A671BF">
        <w:rPr>
          <w:lang w:val="fr-FR"/>
        </w:rPr>
        <w:t>erided</w:t>
      </w:r>
      <w:proofErr w:type="spellEnd"/>
      <w:r w:rsidR="00E11CEF" w:rsidRPr="00A671BF">
        <w:rPr>
          <w:lang w:val="fr-FR"/>
        </w:rPr>
        <w:t xml:space="preserve"> by the </w:t>
      </w:r>
      <w:proofErr w:type="spellStart"/>
      <w:r w:rsidR="00E11CEF" w:rsidRPr="00A671BF">
        <w:rPr>
          <w:lang w:val="fr-FR"/>
        </w:rPr>
        <w:t>journalists</w:t>
      </w:r>
      <w:proofErr w:type="spellEnd"/>
      <w:r w:rsidR="00E11CEF" w:rsidRPr="00A671BF">
        <w:rPr>
          <w:lang w:val="fr-FR"/>
        </w:rPr>
        <w:t xml:space="preserve"> of </w:t>
      </w:r>
      <w:r w:rsidR="00E11CEF" w:rsidRPr="00A671BF">
        <w:rPr>
          <w:i/>
          <w:iCs/>
          <w:lang w:val="fr-FR"/>
        </w:rPr>
        <w:t>L’Humanité</w:t>
      </w:r>
      <w:r w:rsidR="00E11CEF" w:rsidRPr="00A671BF">
        <w:rPr>
          <w:lang w:val="fr-FR"/>
        </w:rPr>
        <w:t xml:space="preserve">, </w:t>
      </w:r>
      <w:proofErr w:type="spellStart"/>
      <w:r w:rsidR="00E11CEF" w:rsidRPr="00A671BF">
        <w:rPr>
          <w:lang w:val="fr-FR"/>
        </w:rPr>
        <w:t>who</w:t>
      </w:r>
      <w:proofErr w:type="spellEnd"/>
      <w:r w:rsidR="007B11FA" w:rsidRPr="00A671BF">
        <w:rPr>
          <w:lang w:val="fr-FR"/>
        </w:rPr>
        <w:t xml:space="preserve"> </w:t>
      </w:r>
      <w:proofErr w:type="spellStart"/>
      <w:r w:rsidR="00E11CEF" w:rsidRPr="00A671BF">
        <w:rPr>
          <w:lang w:val="fr-FR"/>
        </w:rPr>
        <w:t>viewed</w:t>
      </w:r>
      <w:proofErr w:type="spellEnd"/>
      <w:r w:rsidR="00E11CEF" w:rsidRPr="00A671BF">
        <w:rPr>
          <w:lang w:val="fr-FR"/>
        </w:rPr>
        <w:t xml:space="preserve"> Gandhi as a bourgeois </w:t>
      </w:r>
      <w:proofErr w:type="spellStart"/>
      <w:r w:rsidR="00E11CEF" w:rsidRPr="00A671BF">
        <w:rPr>
          <w:lang w:val="fr-FR"/>
        </w:rPr>
        <w:t>traitor</w:t>
      </w:r>
      <w:proofErr w:type="spellEnd"/>
      <w:r w:rsidR="00E11CEF" w:rsidRPr="00A671BF">
        <w:rPr>
          <w:lang w:val="fr-FR"/>
        </w:rPr>
        <w:t xml:space="preserve"> to the </w:t>
      </w:r>
      <w:proofErr w:type="spellStart"/>
      <w:r w:rsidR="00E11CEF" w:rsidRPr="00A671BF">
        <w:rPr>
          <w:lang w:val="fr-FR"/>
        </w:rPr>
        <w:t>communist</w:t>
      </w:r>
      <w:proofErr w:type="spellEnd"/>
      <w:r w:rsidR="00E11CEF" w:rsidRPr="00A671BF">
        <w:rPr>
          <w:lang w:val="fr-FR"/>
        </w:rPr>
        <w:t xml:space="preserve"> </w:t>
      </w:r>
      <w:proofErr w:type="spellStart"/>
      <w:r w:rsidR="00E11CEF" w:rsidRPr="00A671BF">
        <w:rPr>
          <w:lang w:val="fr-FR"/>
        </w:rPr>
        <w:t>revolution</w:t>
      </w:r>
      <w:proofErr w:type="spellEnd"/>
      <w:r w:rsidR="00E11CEF" w:rsidRPr="00A671BF">
        <w:rPr>
          <w:lang w:val="fr-FR"/>
        </w:rPr>
        <w:t xml:space="preserve"> (‘Devant ses dévots le traître Gandhi débite des sornettes’), the </w:t>
      </w:r>
      <w:proofErr w:type="spellStart"/>
      <w:r w:rsidR="00E11CEF" w:rsidRPr="00A671BF">
        <w:rPr>
          <w:lang w:val="fr-FR"/>
        </w:rPr>
        <w:t>event</w:t>
      </w:r>
      <w:proofErr w:type="spellEnd"/>
      <w:r w:rsidR="00E11CEF" w:rsidRPr="00A671BF">
        <w:rPr>
          <w:lang w:val="fr-FR"/>
        </w:rPr>
        <w:t xml:space="preserve"> </w:t>
      </w:r>
      <w:proofErr w:type="spellStart"/>
      <w:r w:rsidR="00E11CEF" w:rsidRPr="00A671BF">
        <w:rPr>
          <w:lang w:val="fr-FR"/>
        </w:rPr>
        <w:t>was</w:t>
      </w:r>
      <w:proofErr w:type="spellEnd"/>
      <w:r w:rsidR="00E11CEF" w:rsidRPr="00A671BF">
        <w:rPr>
          <w:lang w:val="fr-FR"/>
        </w:rPr>
        <w:t xml:space="preserve"> </w:t>
      </w:r>
      <w:proofErr w:type="spellStart"/>
      <w:r w:rsidR="00E11CEF" w:rsidRPr="00A671BF">
        <w:rPr>
          <w:lang w:val="fr-FR"/>
        </w:rPr>
        <w:t>front-page</w:t>
      </w:r>
      <w:proofErr w:type="spellEnd"/>
      <w:r w:rsidR="00E11CEF" w:rsidRPr="00A671BF">
        <w:rPr>
          <w:lang w:val="fr-FR"/>
        </w:rPr>
        <w:t xml:space="preserve"> news in </w:t>
      </w:r>
      <w:r w:rsidR="00E11CEF" w:rsidRPr="00A671BF">
        <w:rPr>
          <w:i/>
          <w:lang w:val="fr-FR"/>
        </w:rPr>
        <w:t xml:space="preserve">Le Figaro </w:t>
      </w:r>
      <w:r w:rsidR="00E11CEF" w:rsidRPr="00A671BF">
        <w:rPr>
          <w:lang w:val="fr-FR"/>
        </w:rPr>
        <w:t xml:space="preserve">and </w:t>
      </w:r>
      <w:r w:rsidR="00E11CEF" w:rsidRPr="00A671BF">
        <w:rPr>
          <w:i/>
          <w:lang w:val="fr-FR"/>
        </w:rPr>
        <w:t>Le Temps</w:t>
      </w:r>
      <w:r w:rsidR="00E74255" w:rsidRPr="00A671BF">
        <w:rPr>
          <w:lang w:val="fr-FR"/>
        </w:rPr>
        <w:t xml:space="preserve"> (</w:t>
      </w:r>
      <w:r w:rsidR="00E74255" w:rsidRPr="00A671BF">
        <w:rPr>
          <w:i/>
          <w:lang w:val="fr-FR"/>
        </w:rPr>
        <w:t>L’Humanité</w:t>
      </w:r>
      <w:r w:rsidR="00E74255" w:rsidRPr="00A671BF">
        <w:rPr>
          <w:lang w:val="fr-FR"/>
        </w:rPr>
        <w:t xml:space="preserve">, </w:t>
      </w:r>
      <w:proofErr w:type="gramStart"/>
      <w:r w:rsidR="00E74255" w:rsidRPr="00A671BF">
        <w:rPr>
          <w:lang w:val="fr-FR"/>
        </w:rPr>
        <w:t>1931;</w:t>
      </w:r>
      <w:proofErr w:type="gramEnd"/>
      <w:r w:rsidR="00E74255" w:rsidRPr="00A671BF">
        <w:rPr>
          <w:lang w:val="fr-FR"/>
        </w:rPr>
        <w:t xml:space="preserve"> </w:t>
      </w:r>
      <w:proofErr w:type="spellStart"/>
      <w:r w:rsidR="00E74255" w:rsidRPr="00A671BF">
        <w:rPr>
          <w:bCs/>
          <w:iCs/>
          <w:lang w:val="fr-FR"/>
        </w:rPr>
        <w:t>Sanvoisin</w:t>
      </w:r>
      <w:proofErr w:type="spellEnd"/>
      <w:r w:rsidR="00E74255" w:rsidRPr="00A671BF">
        <w:rPr>
          <w:lang w:val="fr-FR"/>
        </w:rPr>
        <w:t xml:space="preserve">, 1931; </w:t>
      </w:r>
      <w:r w:rsidR="006732BE" w:rsidRPr="00A671BF">
        <w:rPr>
          <w:lang w:val="fr-FR"/>
        </w:rPr>
        <w:t>Gauthier</w:t>
      </w:r>
      <w:r w:rsidR="00E74255" w:rsidRPr="00A671BF">
        <w:rPr>
          <w:lang w:val="fr-FR"/>
        </w:rPr>
        <w:t>, 1931).</w:t>
      </w:r>
    </w:p>
    <w:p w:rsidR="00E4779E" w:rsidRPr="00A671BF" w:rsidRDefault="00966E85" w:rsidP="0038784E">
      <w:pPr>
        <w:spacing w:line="360" w:lineRule="auto"/>
        <w:ind w:firstLine="720"/>
      </w:pPr>
      <w:r w:rsidRPr="00A671BF">
        <w:t xml:space="preserve">The </w:t>
      </w:r>
      <w:r w:rsidR="00706B59" w:rsidRPr="00A671BF">
        <w:t>French fascination with</w:t>
      </w:r>
      <w:r w:rsidRPr="00A671BF">
        <w:t xml:space="preserve"> </w:t>
      </w:r>
      <w:r w:rsidR="00706B59" w:rsidRPr="00A671BF">
        <w:t xml:space="preserve">Gandhi </w:t>
      </w:r>
      <w:r w:rsidRPr="00A671BF">
        <w:t xml:space="preserve">has been detailed </w:t>
      </w:r>
      <w:r w:rsidR="00AA3393" w:rsidRPr="00A671BF">
        <w:t>elsewhere</w:t>
      </w:r>
      <w:r w:rsidRPr="00A671BF">
        <w:t>, not</w:t>
      </w:r>
      <w:r w:rsidR="00CC6CA9" w:rsidRPr="00A671BF">
        <w:t xml:space="preserve">ably by </w:t>
      </w:r>
      <w:proofErr w:type="spellStart"/>
      <w:r w:rsidR="00CC6CA9" w:rsidRPr="00A671BF">
        <w:t>Latronche</w:t>
      </w:r>
      <w:proofErr w:type="spellEnd"/>
      <w:r w:rsidR="00CC6CA9" w:rsidRPr="00A671BF">
        <w:t xml:space="preserve"> and </w:t>
      </w:r>
      <w:r w:rsidR="00865F69" w:rsidRPr="00A671BF">
        <w:t xml:space="preserve">by </w:t>
      </w:r>
      <w:proofErr w:type="spellStart"/>
      <w:r w:rsidR="00CC6CA9" w:rsidRPr="00A671BF">
        <w:t>Markovits</w:t>
      </w:r>
      <w:proofErr w:type="spellEnd"/>
      <w:r w:rsidR="00CC6CA9" w:rsidRPr="00A671BF">
        <w:t>.</w:t>
      </w:r>
      <w:r w:rsidR="00BE33B7" w:rsidRPr="00A671BF">
        <w:t xml:space="preserve"> </w:t>
      </w:r>
      <w:r w:rsidR="000B2AC4" w:rsidRPr="00A671BF">
        <w:t xml:space="preserve">What has not been discussed is how </w:t>
      </w:r>
      <w:r w:rsidRPr="00A671BF">
        <w:t>Indian nationalist</w:t>
      </w:r>
      <w:r w:rsidR="00744DBB" w:rsidRPr="00A671BF">
        <w:t xml:space="preserve"> students</w:t>
      </w:r>
      <w:r w:rsidRPr="00A671BF">
        <w:t xml:space="preserve"> could make use of this fascination to promote their own agendas and careers</w:t>
      </w:r>
      <w:r w:rsidR="00706B59" w:rsidRPr="00A671BF">
        <w:t>, and</w:t>
      </w:r>
      <w:r w:rsidR="003326B0" w:rsidRPr="00A671BF">
        <w:t xml:space="preserve"> </w:t>
      </w:r>
      <w:proofErr w:type="spellStart"/>
      <w:r w:rsidR="00D07BCD" w:rsidRPr="00A671BF">
        <w:t>Panikkar</w:t>
      </w:r>
      <w:r w:rsidR="00706B59" w:rsidRPr="00A671BF">
        <w:t>’s</w:t>
      </w:r>
      <w:proofErr w:type="spellEnd"/>
      <w:r w:rsidR="00706B59" w:rsidRPr="00A671BF">
        <w:t xml:space="preserve"> </w:t>
      </w:r>
      <w:r w:rsidR="000B2AC4" w:rsidRPr="00A671BF">
        <w:t>autobiography in this respect</w:t>
      </w:r>
      <w:r w:rsidR="00706B59" w:rsidRPr="00A671BF">
        <w:t xml:space="preserve"> is particularly illuminating</w:t>
      </w:r>
      <w:r w:rsidR="00D07BCD" w:rsidRPr="00A671BF">
        <w:t>.</w:t>
      </w:r>
      <w:r w:rsidR="00314669" w:rsidRPr="00A671BF">
        <w:t xml:space="preserve"> At the first meeting of the Hindustan </w:t>
      </w:r>
      <w:proofErr w:type="spellStart"/>
      <w:r w:rsidR="00314669" w:rsidRPr="00A671BF">
        <w:t>Samaj</w:t>
      </w:r>
      <w:proofErr w:type="spellEnd"/>
      <w:r w:rsidR="00314669" w:rsidRPr="00A671BF">
        <w:t xml:space="preserve"> that</w:t>
      </w:r>
      <w:r w:rsidR="00706B59" w:rsidRPr="00A671BF">
        <w:t xml:space="preserve"> he </w:t>
      </w:r>
      <w:r w:rsidR="00314669" w:rsidRPr="00A671BF">
        <w:t xml:space="preserve">attended, </w:t>
      </w:r>
      <w:proofErr w:type="spellStart"/>
      <w:r w:rsidR="00706B59" w:rsidRPr="00A671BF">
        <w:t>Panikkar</w:t>
      </w:r>
      <w:proofErr w:type="spellEnd"/>
      <w:r w:rsidR="00706B59" w:rsidRPr="00A671BF">
        <w:t xml:space="preserve"> notes</w:t>
      </w:r>
      <w:r w:rsidR="00314669" w:rsidRPr="00A671BF">
        <w:t xml:space="preserve"> that attendance was mixed, including sympathetic Europeans and other nationalist leaders: </w:t>
      </w:r>
    </w:p>
    <w:p w:rsidR="00E4779E" w:rsidRPr="00A671BF" w:rsidRDefault="00E4779E" w:rsidP="00E4779E">
      <w:pPr>
        <w:spacing w:line="360" w:lineRule="auto"/>
      </w:pPr>
    </w:p>
    <w:p w:rsidR="00E4779E" w:rsidRPr="00A671BF" w:rsidRDefault="00314669" w:rsidP="00E4779E">
      <w:pPr>
        <w:spacing w:line="360" w:lineRule="auto"/>
        <w:ind w:left="284"/>
      </w:pPr>
      <w:r w:rsidRPr="00A671BF">
        <w:t xml:space="preserve">At the meeting I had an opportunity to meet Germaine </w:t>
      </w:r>
      <w:proofErr w:type="spellStart"/>
      <w:r w:rsidRPr="00A671BF">
        <w:t>Merlange</w:t>
      </w:r>
      <w:proofErr w:type="spellEnd"/>
      <w:r w:rsidRPr="00A671BF">
        <w:t xml:space="preserve">, secretary of the French society, Friends of the Orient; the leader of the Indo-Chinese Freedom Party, Duong van Gia; Mono </w:t>
      </w:r>
      <w:proofErr w:type="spellStart"/>
      <w:r w:rsidRPr="00A671BF">
        <w:t>Nutu</w:t>
      </w:r>
      <w:proofErr w:type="spellEnd"/>
      <w:r w:rsidRPr="00A671BF">
        <w:t xml:space="preserve"> of Java; Chin of the Kuomintang Party from China; the young Frenc</w:t>
      </w:r>
      <w:r w:rsidR="00EB5192" w:rsidRPr="00A671BF">
        <w:t xml:space="preserve">h poet, Jean </w:t>
      </w:r>
      <w:proofErr w:type="spellStart"/>
      <w:r w:rsidR="00EB5192" w:rsidRPr="00A671BF">
        <w:t>Loyson</w:t>
      </w:r>
      <w:proofErr w:type="spellEnd"/>
      <w:r w:rsidR="00EB5192" w:rsidRPr="00A671BF">
        <w:t>, and others. (1977: 59)</w:t>
      </w:r>
      <w:r w:rsidRPr="00A671BF">
        <w:t xml:space="preserve"> </w:t>
      </w:r>
    </w:p>
    <w:p w:rsidR="00E4779E" w:rsidRPr="00A671BF" w:rsidRDefault="00E4779E" w:rsidP="00E4779E">
      <w:pPr>
        <w:spacing w:line="360" w:lineRule="auto"/>
      </w:pPr>
    </w:p>
    <w:p w:rsidR="000E270A" w:rsidRPr="00A671BF" w:rsidRDefault="00314669" w:rsidP="00E4779E">
      <w:pPr>
        <w:spacing w:line="360" w:lineRule="auto"/>
        <w:rPr>
          <w:rFonts w:eastAsia="Calibri" w:cs="Times New Roman"/>
          <w:strike/>
        </w:rPr>
      </w:pPr>
      <w:r w:rsidRPr="00A671BF">
        <w:t xml:space="preserve">For </w:t>
      </w:r>
      <w:proofErr w:type="spellStart"/>
      <w:r w:rsidRPr="00A671BF">
        <w:t>Panikkar</w:t>
      </w:r>
      <w:proofErr w:type="spellEnd"/>
      <w:r w:rsidRPr="00A671BF">
        <w:t xml:space="preserve"> this led to a fruitful working relationship with Germaine </w:t>
      </w:r>
      <w:proofErr w:type="spellStart"/>
      <w:r w:rsidRPr="00A671BF">
        <w:t>Merlange</w:t>
      </w:r>
      <w:proofErr w:type="spellEnd"/>
      <w:r w:rsidRPr="00A671BF">
        <w:t xml:space="preserve">. </w:t>
      </w:r>
      <w:proofErr w:type="spellStart"/>
      <w:r w:rsidRPr="00A671BF">
        <w:t>Panikkar</w:t>
      </w:r>
      <w:proofErr w:type="spellEnd"/>
      <w:r w:rsidRPr="00A671BF">
        <w:t xml:space="preserve"> wanted to write for newspapers and magazines but was unable to write in French</w:t>
      </w:r>
      <w:r w:rsidR="008F29FD" w:rsidRPr="00A671BF">
        <w:t xml:space="preserve">; he and </w:t>
      </w:r>
      <w:proofErr w:type="spellStart"/>
      <w:r w:rsidR="008F29FD" w:rsidRPr="00A671BF">
        <w:t>Merlange</w:t>
      </w:r>
      <w:proofErr w:type="spellEnd"/>
      <w:r w:rsidRPr="00A671BF">
        <w:t xml:space="preserve"> </w:t>
      </w:r>
      <w:r w:rsidR="00AE7816" w:rsidRPr="00A671BF">
        <w:t>came to an arrangement</w:t>
      </w:r>
      <w:r w:rsidRPr="00A671BF">
        <w:t xml:space="preserve"> whereby she would translate his articles into French and deal with the journals for a share of his fees. </w:t>
      </w:r>
      <w:r w:rsidR="008F29FD" w:rsidRPr="00A671BF">
        <w:t>This</w:t>
      </w:r>
      <w:r w:rsidRPr="00A671BF">
        <w:t xml:space="preserve"> ‘journalistic partnership’</w:t>
      </w:r>
      <w:r w:rsidR="008F29FD" w:rsidRPr="00A671BF">
        <w:t>, as he describes it,</w:t>
      </w:r>
      <w:r w:rsidRPr="00A671BF">
        <w:t xml:space="preserve"> gave him the opportunity to write for </w:t>
      </w:r>
      <w:r w:rsidRPr="00A671BF">
        <w:rPr>
          <w:i/>
        </w:rPr>
        <w:t xml:space="preserve">Europe, Europe Nouvelle </w:t>
      </w:r>
      <w:r w:rsidRPr="00A671BF">
        <w:t xml:space="preserve">and </w:t>
      </w:r>
      <w:proofErr w:type="spellStart"/>
      <w:r w:rsidRPr="00A671BF">
        <w:rPr>
          <w:i/>
        </w:rPr>
        <w:t>Littéraire</w:t>
      </w:r>
      <w:proofErr w:type="spellEnd"/>
      <w:r w:rsidR="00EB5192" w:rsidRPr="00A671BF">
        <w:t xml:space="preserve"> (1977: 60).</w:t>
      </w:r>
      <w:r w:rsidRPr="00A671BF">
        <w:t xml:space="preserve"> </w:t>
      </w:r>
      <w:proofErr w:type="spellStart"/>
      <w:r w:rsidRPr="00A671BF">
        <w:t>Panikkar</w:t>
      </w:r>
      <w:proofErr w:type="spellEnd"/>
      <w:r w:rsidRPr="00A671BF">
        <w:t xml:space="preserve"> </w:t>
      </w:r>
      <w:r w:rsidR="008F29FD" w:rsidRPr="00A671BF">
        <w:t>is</w:t>
      </w:r>
      <w:r w:rsidRPr="00A671BF">
        <w:t xml:space="preserve"> explicit</w:t>
      </w:r>
      <w:r w:rsidR="008F29FD" w:rsidRPr="00A671BF">
        <w:t xml:space="preserve">: </w:t>
      </w:r>
      <w:r w:rsidRPr="00A671BF">
        <w:t xml:space="preserve">such opportunities were </w:t>
      </w:r>
      <w:r w:rsidR="00D07BCD" w:rsidRPr="00A671BF">
        <w:t>open to him because of his</w:t>
      </w:r>
      <w:r w:rsidR="007959D9" w:rsidRPr="00A671BF">
        <w:t xml:space="preserve"> perceived</w:t>
      </w:r>
      <w:r w:rsidR="00D07BCD" w:rsidRPr="00A671BF">
        <w:t xml:space="preserve"> link, by virtue of being Indian, with Gandhi</w:t>
      </w:r>
      <w:r w:rsidR="007959D9" w:rsidRPr="00A671BF">
        <w:t>, and</w:t>
      </w:r>
      <w:r w:rsidRPr="00A671BF">
        <w:t xml:space="preserve"> what </w:t>
      </w:r>
      <w:r w:rsidR="008F29FD" w:rsidRPr="00A671BF">
        <w:t>Gandhi</w:t>
      </w:r>
      <w:r w:rsidRPr="00A671BF">
        <w:t xml:space="preserve"> represented to certain intellectuals in France in the 1920s</w:t>
      </w:r>
      <w:r w:rsidR="00AE7816" w:rsidRPr="00A671BF">
        <w:t xml:space="preserve"> —</w:t>
      </w:r>
      <w:r w:rsidR="004F2A4D" w:rsidRPr="00A671BF">
        <w:t xml:space="preserve"> specifically, the </w:t>
      </w:r>
      <w:r w:rsidR="00AE7816" w:rsidRPr="00A671BF">
        <w:t>prospect</w:t>
      </w:r>
      <w:r w:rsidR="004F2A4D" w:rsidRPr="00A671BF">
        <w:t xml:space="preserve"> of the end of European colonial empires</w:t>
      </w:r>
      <w:r w:rsidR="00B1117B" w:rsidRPr="00A671BF">
        <w:rPr>
          <w:rFonts w:eastAsia="Calibri" w:cs="Times New Roman"/>
        </w:rPr>
        <w:t>.</w:t>
      </w:r>
      <w:r w:rsidR="00B1117B" w:rsidRPr="00A671BF">
        <w:rPr>
          <w:rStyle w:val="FootnoteReference"/>
          <w:rFonts w:eastAsia="Calibri" w:cs="Times New Roman"/>
        </w:rPr>
        <w:footnoteReference w:id="11"/>
      </w:r>
      <w:r w:rsidR="00BE33B7" w:rsidRPr="00A671BF">
        <w:rPr>
          <w:rFonts w:eastAsia="Calibri" w:cs="Times New Roman"/>
        </w:rPr>
        <w:t xml:space="preserve"> </w:t>
      </w:r>
      <w:proofErr w:type="spellStart"/>
      <w:r w:rsidRPr="00A671BF">
        <w:t>Panikkar</w:t>
      </w:r>
      <w:proofErr w:type="spellEnd"/>
      <w:r w:rsidRPr="00A671BF">
        <w:t xml:space="preserve"> </w:t>
      </w:r>
      <w:r w:rsidR="008F29FD" w:rsidRPr="00A671BF">
        <w:t>also</w:t>
      </w:r>
      <w:r w:rsidRPr="00A671BF">
        <w:t xml:space="preserve"> forged a friendship with Juliette </w:t>
      </w:r>
      <w:proofErr w:type="spellStart"/>
      <w:r w:rsidRPr="00A671BF">
        <w:t>Veillier-Duray</w:t>
      </w:r>
      <w:proofErr w:type="spellEnd"/>
      <w:r w:rsidRPr="00A671BF">
        <w:t>, the first female secretary of the Paris bar association’s lawyers</w:t>
      </w:r>
      <w:r w:rsidR="008F29FD" w:rsidRPr="00A671BF">
        <w:t>’</w:t>
      </w:r>
      <w:r w:rsidRPr="00A671BF">
        <w:t xml:space="preserve"> conference to give an inaugural lecture. Elected for the session 1925/26</w:t>
      </w:r>
      <w:r w:rsidR="008F29FD" w:rsidRPr="00A671BF">
        <w:t xml:space="preserve">, </w:t>
      </w:r>
      <w:proofErr w:type="spellStart"/>
      <w:r w:rsidR="008F29FD" w:rsidRPr="00A671BF">
        <w:t>Veillier-Duray</w:t>
      </w:r>
      <w:proofErr w:type="spellEnd"/>
      <w:r w:rsidRPr="00A671BF">
        <w:t xml:space="preserve"> lectured on the trial and conviction of Gandhi</w:t>
      </w:r>
      <w:r w:rsidR="00231A82" w:rsidRPr="00A671BF">
        <w:t xml:space="preserve"> (Kimble and </w:t>
      </w:r>
      <w:proofErr w:type="spellStart"/>
      <w:r w:rsidR="00231A82" w:rsidRPr="00A671BF">
        <w:t>Röwekamp</w:t>
      </w:r>
      <w:proofErr w:type="spellEnd"/>
      <w:r w:rsidR="00231A82" w:rsidRPr="00A671BF">
        <w:t>, 2015: 136)</w:t>
      </w:r>
      <w:r w:rsidR="008F29FD" w:rsidRPr="00A671BF">
        <w:t>;</w:t>
      </w:r>
      <w:r w:rsidRPr="00A671BF">
        <w:t xml:space="preserve"> she</w:t>
      </w:r>
      <w:r w:rsidR="00B1117B" w:rsidRPr="00A671BF">
        <w:t xml:space="preserve"> made </w:t>
      </w:r>
      <w:proofErr w:type="spellStart"/>
      <w:r w:rsidR="00B1117B" w:rsidRPr="00A671BF">
        <w:t>Pan</w:t>
      </w:r>
      <w:r w:rsidRPr="00A671BF">
        <w:t>ik</w:t>
      </w:r>
      <w:r w:rsidR="00B1117B" w:rsidRPr="00A671BF">
        <w:t>k</w:t>
      </w:r>
      <w:r w:rsidRPr="00A671BF">
        <w:t>ar’s</w:t>
      </w:r>
      <w:proofErr w:type="spellEnd"/>
      <w:r w:rsidRPr="00A671BF">
        <w:t xml:space="preserve"> acquaintance </w:t>
      </w:r>
      <w:r w:rsidR="008F29FD" w:rsidRPr="00A671BF">
        <w:t>while</w:t>
      </w:r>
      <w:r w:rsidRPr="00A671BF">
        <w:t xml:space="preserve"> search</w:t>
      </w:r>
      <w:r w:rsidR="008F29FD" w:rsidRPr="00A671BF">
        <w:t>ing</w:t>
      </w:r>
      <w:r w:rsidRPr="00A671BF">
        <w:t xml:space="preserve"> </w:t>
      </w:r>
      <w:r w:rsidR="008F29FD" w:rsidRPr="00A671BF">
        <w:t>for relevant sources and</w:t>
      </w:r>
      <w:r w:rsidRPr="00A671BF">
        <w:t xml:space="preserve"> materials</w:t>
      </w:r>
      <w:r w:rsidR="00231A82" w:rsidRPr="00A671BF">
        <w:t>. I</w:t>
      </w:r>
      <w:r w:rsidR="00865F69" w:rsidRPr="00A671BF">
        <w:t>ndian nationalists</w:t>
      </w:r>
      <w:r w:rsidR="00964344" w:rsidRPr="00A671BF">
        <w:t xml:space="preserve"> had, since the writings of Ghose, used the rhetoric of republicanism to promulgate their demands</w:t>
      </w:r>
      <w:r w:rsidR="00865F69" w:rsidRPr="00A671BF">
        <w:t>,</w:t>
      </w:r>
      <w:r w:rsidR="00964344" w:rsidRPr="00A671BF">
        <w:t xml:space="preserve"> but </w:t>
      </w:r>
      <w:r w:rsidR="00865F69" w:rsidRPr="00A671BF">
        <w:t>they were not alone in doing so</w:t>
      </w:r>
      <w:r w:rsidR="00964344" w:rsidRPr="00A671BF">
        <w:t xml:space="preserve">. There was a marked tendency, across the political spectrum in France, </w:t>
      </w:r>
      <w:r w:rsidR="00E0388F" w:rsidRPr="00A671BF">
        <w:t>even among imper</w:t>
      </w:r>
      <w:r w:rsidR="00227B47" w:rsidRPr="00A671BF">
        <w:t>ialists and the governing party,</w:t>
      </w:r>
      <w:r w:rsidR="00E0388F" w:rsidRPr="00A671BF">
        <w:t xml:space="preserve"> </w:t>
      </w:r>
      <w:r w:rsidR="00964344" w:rsidRPr="00A671BF">
        <w:t>to view the Indian narrative ac</w:t>
      </w:r>
      <w:r w:rsidR="00E0388F" w:rsidRPr="00A671BF">
        <w:t>cording to French republicanism</w:t>
      </w:r>
      <w:r w:rsidR="00EB5192" w:rsidRPr="00A671BF">
        <w:t xml:space="preserve"> (Marsh, 2007)</w:t>
      </w:r>
      <w:r w:rsidR="00964344" w:rsidRPr="00A671BF">
        <w:t>.</w:t>
      </w:r>
      <w:r w:rsidR="00EB5192" w:rsidRPr="00A671BF">
        <w:t xml:space="preserve"> </w:t>
      </w:r>
      <w:r w:rsidR="00D07BCD" w:rsidRPr="00A671BF">
        <w:t xml:space="preserve">As </w:t>
      </w:r>
      <w:proofErr w:type="spellStart"/>
      <w:r w:rsidR="00D07BCD" w:rsidRPr="00A671BF">
        <w:t>Panikkar’s</w:t>
      </w:r>
      <w:proofErr w:type="spellEnd"/>
      <w:r w:rsidR="00D07BCD" w:rsidRPr="00A671BF">
        <w:t xml:space="preserve"> memoirs and </w:t>
      </w:r>
      <w:r w:rsidR="00D07BCD" w:rsidRPr="00A671BF">
        <w:lastRenderedPageBreak/>
        <w:t xml:space="preserve">intelligence reports from British and French agents make clear, </w:t>
      </w:r>
      <w:r w:rsidR="00BE7C24" w:rsidRPr="00A671BF">
        <w:t xml:space="preserve">cross-fertilization was encouraged by the </w:t>
      </w:r>
      <w:r w:rsidR="00D07BCD" w:rsidRPr="00A671BF">
        <w:t xml:space="preserve">importance </w:t>
      </w:r>
      <w:r w:rsidR="00BE7C24" w:rsidRPr="00A671BF">
        <w:t xml:space="preserve">(symbolic or otherwise) </w:t>
      </w:r>
      <w:r w:rsidR="00D07BCD" w:rsidRPr="00A671BF">
        <w:t xml:space="preserve">of Indian nationalism </w:t>
      </w:r>
      <w:r w:rsidR="00BE7C24" w:rsidRPr="00A671BF">
        <w:t xml:space="preserve">to </w:t>
      </w:r>
      <w:r w:rsidR="00227B47" w:rsidRPr="00A671BF">
        <w:t>anticolonial</w:t>
      </w:r>
      <w:r w:rsidR="00D07BCD" w:rsidRPr="00A671BF">
        <w:t xml:space="preserve"> movements</w:t>
      </w:r>
      <w:r w:rsidR="00BE7C24" w:rsidRPr="00A671BF">
        <w:t>, particularly in respect of their attempts to advance</w:t>
      </w:r>
      <w:r w:rsidR="00AE7816" w:rsidRPr="00A671BF">
        <w:t xml:space="preserve"> their </w:t>
      </w:r>
      <w:r w:rsidR="00BE7C24" w:rsidRPr="00A671BF">
        <w:t xml:space="preserve">own </w:t>
      </w:r>
      <w:r w:rsidR="00AE7816" w:rsidRPr="00A671BF">
        <w:t>agendas</w:t>
      </w:r>
      <w:r w:rsidR="00D07BCD" w:rsidRPr="00A671BF">
        <w:t xml:space="preserve">. </w:t>
      </w:r>
      <w:r w:rsidR="00ED4572" w:rsidRPr="00A671BF">
        <w:t xml:space="preserve">The home of the </w:t>
      </w:r>
      <w:proofErr w:type="spellStart"/>
      <w:r w:rsidR="00ED4572" w:rsidRPr="00A671BF">
        <w:t>Comité</w:t>
      </w:r>
      <w:proofErr w:type="spellEnd"/>
      <w:r w:rsidR="00ED4572" w:rsidRPr="00A671BF">
        <w:t xml:space="preserve"> Pro</w:t>
      </w:r>
      <w:r w:rsidR="00453E06" w:rsidRPr="00A671BF">
        <w:t>-</w:t>
      </w:r>
      <w:proofErr w:type="spellStart"/>
      <w:r w:rsidR="00ED4572" w:rsidRPr="00A671BF">
        <w:t>Hindou</w:t>
      </w:r>
      <w:proofErr w:type="spellEnd"/>
      <w:r w:rsidR="00414378" w:rsidRPr="00A671BF">
        <w:t xml:space="preserve"> at 26 rue Monnier became a popular meeting place where</w:t>
      </w:r>
      <w:r w:rsidR="00520489" w:rsidRPr="00A671BF">
        <w:t>, as</w:t>
      </w:r>
      <w:r w:rsidR="00414378" w:rsidRPr="00A671BF">
        <w:t xml:space="preserve"> the Chef du Service des </w:t>
      </w:r>
      <w:proofErr w:type="spellStart"/>
      <w:r w:rsidR="00414378" w:rsidRPr="00A671BF">
        <w:t>Renseignements</w:t>
      </w:r>
      <w:proofErr w:type="spellEnd"/>
      <w:r w:rsidR="00414378" w:rsidRPr="00A671BF">
        <w:t xml:space="preserve"> </w:t>
      </w:r>
      <w:proofErr w:type="spellStart"/>
      <w:r w:rsidR="00414378" w:rsidRPr="00A671BF">
        <w:t>Généraux</w:t>
      </w:r>
      <w:proofErr w:type="spellEnd"/>
      <w:r w:rsidR="00414378" w:rsidRPr="00A671BF">
        <w:t xml:space="preserve"> et des </w:t>
      </w:r>
      <w:proofErr w:type="spellStart"/>
      <w:r w:rsidR="00414378" w:rsidRPr="00A671BF">
        <w:t>Jeux</w:t>
      </w:r>
      <w:proofErr w:type="spellEnd"/>
      <w:r w:rsidR="00414378" w:rsidRPr="00A671BF">
        <w:t xml:space="preserve"> </w:t>
      </w:r>
      <w:r w:rsidR="00520489" w:rsidRPr="00A671BF">
        <w:t xml:space="preserve">noted in a report </w:t>
      </w:r>
      <w:r w:rsidR="001619DE" w:rsidRPr="00A671BF">
        <w:t xml:space="preserve">to the </w:t>
      </w:r>
      <w:proofErr w:type="spellStart"/>
      <w:r w:rsidR="001619DE" w:rsidRPr="00A671BF">
        <w:t>Préfet</w:t>
      </w:r>
      <w:proofErr w:type="spellEnd"/>
      <w:r w:rsidR="001619DE" w:rsidRPr="00A671BF">
        <w:t xml:space="preserve"> de Police </w:t>
      </w:r>
      <w:r w:rsidR="00520489" w:rsidRPr="00A671BF">
        <w:t xml:space="preserve">of </w:t>
      </w:r>
      <w:r w:rsidR="00414378" w:rsidRPr="00A671BF">
        <w:t>September 1926</w:t>
      </w:r>
      <w:r w:rsidR="00520489" w:rsidRPr="00A671BF">
        <w:t>,</w:t>
      </w:r>
      <w:r w:rsidR="00414378" w:rsidRPr="00A671BF">
        <w:t xml:space="preserve"> Hoang-Van-</w:t>
      </w:r>
      <w:proofErr w:type="spellStart"/>
      <w:r w:rsidR="00414378" w:rsidRPr="00A671BF">
        <w:t>Hiet</w:t>
      </w:r>
      <w:proofErr w:type="spellEnd"/>
      <w:r w:rsidR="00414378" w:rsidRPr="00A671BF">
        <w:t>, ex-</w:t>
      </w:r>
      <w:proofErr w:type="spellStart"/>
      <w:r w:rsidR="00414378" w:rsidRPr="00A671BF">
        <w:t>président</w:t>
      </w:r>
      <w:proofErr w:type="spellEnd"/>
      <w:r w:rsidR="00414378" w:rsidRPr="00A671BF">
        <w:t xml:space="preserve"> de </w:t>
      </w:r>
      <w:proofErr w:type="spellStart"/>
      <w:r w:rsidR="00414378" w:rsidRPr="00A671BF">
        <w:t>l’Association</w:t>
      </w:r>
      <w:proofErr w:type="spellEnd"/>
      <w:r w:rsidR="00414378" w:rsidRPr="00A671BF">
        <w:t xml:space="preserve"> des </w:t>
      </w:r>
      <w:proofErr w:type="spellStart"/>
      <w:r w:rsidR="00414378" w:rsidRPr="00A671BF">
        <w:t>Cuisiniers</w:t>
      </w:r>
      <w:proofErr w:type="spellEnd"/>
      <w:r w:rsidR="00414378" w:rsidRPr="00A671BF">
        <w:t xml:space="preserve"> </w:t>
      </w:r>
      <w:proofErr w:type="spellStart"/>
      <w:r w:rsidR="00414378" w:rsidRPr="00A671BF">
        <w:t>Annamites</w:t>
      </w:r>
      <w:proofErr w:type="spellEnd"/>
      <w:r w:rsidR="00414378" w:rsidRPr="00A671BF">
        <w:t xml:space="preserve"> à Paris</w:t>
      </w:r>
      <w:r w:rsidR="00520489" w:rsidRPr="00A671BF">
        <w:t>,</w:t>
      </w:r>
      <w:r w:rsidR="00414378" w:rsidRPr="00A671BF">
        <w:t xml:space="preserve"> had been a regular visitor</w:t>
      </w:r>
      <w:r w:rsidR="00B44479" w:rsidRPr="00A671BF">
        <w:t xml:space="preserve"> (</w:t>
      </w:r>
      <w:r w:rsidR="0071475B" w:rsidRPr="00A671BF">
        <w:t>Chef du Service, 1926</w:t>
      </w:r>
      <w:r w:rsidR="00B44479" w:rsidRPr="00A671BF">
        <w:t>)</w:t>
      </w:r>
      <w:r w:rsidR="00414378" w:rsidRPr="00A671BF">
        <w:t>. An earlier note (of May 1925)</w:t>
      </w:r>
      <w:r w:rsidR="00073F42" w:rsidRPr="00A671BF">
        <w:t xml:space="preserve"> speculated that the world</w:t>
      </w:r>
      <w:r w:rsidR="00414378" w:rsidRPr="00A671BF">
        <w:t xml:space="preserve">wide fascination with </w:t>
      </w:r>
      <w:r w:rsidR="00520489" w:rsidRPr="00A671BF">
        <w:t xml:space="preserve">the </w:t>
      </w:r>
      <w:r w:rsidR="00414378" w:rsidRPr="00A671BF">
        <w:t xml:space="preserve">Indian campaign, and the fact that the </w:t>
      </w:r>
      <w:proofErr w:type="spellStart"/>
      <w:r w:rsidR="00414378" w:rsidRPr="00A671BF">
        <w:t>Comité</w:t>
      </w:r>
      <w:proofErr w:type="spellEnd"/>
      <w:r w:rsidR="00414378" w:rsidRPr="00A671BF">
        <w:t xml:space="preserve"> Pro</w:t>
      </w:r>
      <w:r w:rsidR="00453E06" w:rsidRPr="00A671BF">
        <w:t>-</w:t>
      </w:r>
      <w:proofErr w:type="spellStart"/>
      <w:r w:rsidR="00414378" w:rsidRPr="00A671BF">
        <w:t>Hindou</w:t>
      </w:r>
      <w:proofErr w:type="spellEnd"/>
      <w:r w:rsidR="00414378" w:rsidRPr="00A671BF">
        <w:t xml:space="preserve"> </w:t>
      </w:r>
      <w:r w:rsidR="003B1EA2" w:rsidRPr="00A671BF">
        <w:t>‘</w:t>
      </w:r>
      <w:proofErr w:type="spellStart"/>
      <w:r w:rsidR="00414378" w:rsidRPr="00A671BF">
        <w:t>réunissant</w:t>
      </w:r>
      <w:proofErr w:type="spellEnd"/>
      <w:r w:rsidR="00414378" w:rsidRPr="00A671BF">
        <w:t xml:space="preserve"> des </w:t>
      </w:r>
      <w:proofErr w:type="spellStart"/>
      <w:r w:rsidR="00414378" w:rsidRPr="00A671BF">
        <w:t>personnalités</w:t>
      </w:r>
      <w:proofErr w:type="spellEnd"/>
      <w:r w:rsidR="00414378" w:rsidRPr="00A671BF">
        <w:t xml:space="preserve"> </w:t>
      </w:r>
      <w:proofErr w:type="spellStart"/>
      <w:r w:rsidR="00414378" w:rsidRPr="00A671BF">
        <w:t>éminentes</w:t>
      </w:r>
      <w:proofErr w:type="spellEnd"/>
      <w:r w:rsidR="00414378" w:rsidRPr="00A671BF">
        <w:t xml:space="preserve"> </w:t>
      </w:r>
      <w:proofErr w:type="spellStart"/>
      <w:r w:rsidR="003B1EA2" w:rsidRPr="00A671BF">
        <w:t>en</w:t>
      </w:r>
      <w:proofErr w:type="spellEnd"/>
      <w:r w:rsidR="00414378" w:rsidRPr="00A671BF">
        <w:t xml:space="preserve"> France</w:t>
      </w:r>
      <w:r w:rsidR="003B1EA2" w:rsidRPr="00A671BF">
        <w:t>’, had created ‘</w:t>
      </w:r>
      <w:proofErr w:type="spellStart"/>
      <w:r w:rsidR="00964344" w:rsidRPr="00A671BF">
        <w:t>une</w:t>
      </w:r>
      <w:proofErr w:type="spellEnd"/>
      <w:r w:rsidR="00964344" w:rsidRPr="00A671BF">
        <w:t xml:space="preserve"> situation </w:t>
      </w:r>
      <w:proofErr w:type="spellStart"/>
      <w:r w:rsidR="00964344" w:rsidRPr="00A671BF">
        <w:t>favorable</w:t>
      </w:r>
      <w:proofErr w:type="spellEnd"/>
      <w:r w:rsidR="00964344" w:rsidRPr="00A671BF">
        <w:t xml:space="preserve"> à un </w:t>
      </w:r>
      <w:proofErr w:type="spellStart"/>
      <w:r w:rsidR="00964344" w:rsidRPr="00A671BF">
        <w:t>mouvement</w:t>
      </w:r>
      <w:proofErr w:type="spellEnd"/>
      <w:r w:rsidR="00964344" w:rsidRPr="00A671BF">
        <w:t xml:space="preserve"> </w:t>
      </w:r>
      <w:proofErr w:type="spellStart"/>
      <w:r w:rsidR="00964344" w:rsidRPr="00A671BF">
        <w:t>révolutionnaire</w:t>
      </w:r>
      <w:proofErr w:type="spellEnd"/>
      <w:r w:rsidR="003B1EA2" w:rsidRPr="00A671BF">
        <w:t>’</w:t>
      </w:r>
      <w:r w:rsidR="00B44479" w:rsidRPr="00A671BF">
        <w:t xml:space="preserve"> (</w:t>
      </w:r>
      <w:proofErr w:type="spellStart"/>
      <w:r w:rsidR="00B353D6" w:rsidRPr="00A671BF">
        <w:t>Préfet</w:t>
      </w:r>
      <w:proofErr w:type="spellEnd"/>
      <w:r w:rsidR="00B353D6" w:rsidRPr="00A671BF">
        <w:t xml:space="preserve"> de Police</w:t>
      </w:r>
      <w:r w:rsidR="00B44479" w:rsidRPr="00A671BF">
        <w:t>, 1925)</w:t>
      </w:r>
      <w:r w:rsidR="00964344" w:rsidRPr="00A671BF">
        <w:t xml:space="preserve">. </w:t>
      </w:r>
      <w:proofErr w:type="spellStart"/>
      <w:r w:rsidR="00964344" w:rsidRPr="00A671BF">
        <w:t>Panikkar</w:t>
      </w:r>
      <w:proofErr w:type="spellEnd"/>
      <w:r w:rsidR="00964344" w:rsidRPr="00A671BF">
        <w:t xml:space="preserve"> credits the perceived success of the Indian campaign </w:t>
      </w:r>
      <w:r w:rsidR="00784B94" w:rsidRPr="00A671BF">
        <w:t>as a factor in</w:t>
      </w:r>
      <w:r w:rsidR="00964344" w:rsidRPr="00A671BF">
        <w:t xml:space="preserve"> </w:t>
      </w:r>
      <w:r w:rsidR="00ED4E4C" w:rsidRPr="00A671BF">
        <w:t>the</w:t>
      </w:r>
      <w:r w:rsidR="003B1EA2" w:rsidRPr="00A671BF">
        <w:t xml:space="preserve"> </w:t>
      </w:r>
      <w:r w:rsidR="00964344" w:rsidRPr="00A671BF">
        <w:t>creation</w:t>
      </w:r>
      <w:r w:rsidR="00A11C1E" w:rsidRPr="00A671BF">
        <w:t xml:space="preserve"> of the Oriental Society</w:t>
      </w:r>
      <w:r w:rsidR="00964344" w:rsidRPr="00A671BF">
        <w:t>,</w:t>
      </w:r>
      <w:r w:rsidR="00ED4E4C" w:rsidRPr="00A671BF">
        <w:t xml:space="preserve"> which he</w:t>
      </w:r>
      <w:r w:rsidR="00964344" w:rsidRPr="00A671BF">
        <w:rPr>
          <w:rFonts w:eastAsia="Calibri" w:cs="Times New Roman"/>
        </w:rPr>
        <w:t xml:space="preserve"> </w:t>
      </w:r>
      <w:r w:rsidR="00A11C1E" w:rsidRPr="00A671BF">
        <w:rPr>
          <w:rFonts w:eastAsia="Calibri" w:cs="Times New Roman"/>
        </w:rPr>
        <w:t xml:space="preserve">co-founded with </w:t>
      </w:r>
      <w:r w:rsidR="00784B94" w:rsidRPr="00A671BF">
        <w:t xml:space="preserve">Duong Van </w:t>
      </w:r>
      <w:proofErr w:type="spellStart"/>
      <w:r w:rsidR="00784B94" w:rsidRPr="00A671BF">
        <w:t>Giao</w:t>
      </w:r>
      <w:proofErr w:type="spellEnd"/>
      <w:r w:rsidR="000B2AC4" w:rsidRPr="00A671BF">
        <w:t xml:space="preserve"> and </w:t>
      </w:r>
      <w:r w:rsidR="00784B94" w:rsidRPr="00A671BF">
        <w:t xml:space="preserve">Mono </w:t>
      </w:r>
      <w:proofErr w:type="spellStart"/>
      <w:r w:rsidR="00784B94" w:rsidRPr="00A671BF">
        <w:t>Nutu</w:t>
      </w:r>
      <w:proofErr w:type="spellEnd"/>
      <w:r w:rsidR="00784B94" w:rsidRPr="00A671BF">
        <w:rPr>
          <w:rFonts w:eastAsia="Calibri" w:cs="Times New Roman"/>
        </w:rPr>
        <w:t xml:space="preserve"> and </w:t>
      </w:r>
      <w:r w:rsidR="00ED4E4C" w:rsidRPr="00A671BF">
        <w:rPr>
          <w:rFonts w:eastAsia="Calibri" w:cs="Times New Roman"/>
        </w:rPr>
        <w:t xml:space="preserve">which </w:t>
      </w:r>
      <w:r w:rsidR="00ED4E4C" w:rsidRPr="00A671BF">
        <w:t>comprised</w:t>
      </w:r>
      <w:r w:rsidR="00964344" w:rsidRPr="00A671BF">
        <w:t xml:space="preserve"> </w:t>
      </w:r>
      <w:r w:rsidR="00964344" w:rsidRPr="00A671BF">
        <w:rPr>
          <w:i/>
        </w:rPr>
        <w:t xml:space="preserve">c. </w:t>
      </w:r>
      <w:r w:rsidR="00D07BCD" w:rsidRPr="00A671BF">
        <w:t xml:space="preserve">thirty people from </w:t>
      </w:r>
      <w:r w:rsidR="00A11C1E" w:rsidRPr="00A671BF">
        <w:t>Indoc</w:t>
      </w:r>
      <w:r w:rsidR="00D07BCD" w:rsidRPr="00A671BF">
        <w:t>hina</w:t>
      </w:r>
      <w:r w:rsidR="00784B94" w:rsidRPr="00A671BF">
        <w:t xml:space="preserve">, </w:t>
      </w:r>
      <w:r w:rsidR="00D07BCD" w:rsidRPr="00A671BF">
        <w:t>Java</w:t>
      </w:r>
      <w:r w:rsidR="00784B94" w:rsidRPr="00A671BF">
        <w:t xml:space="preserve"> and China</w:t>
      </w:r>
      <w:r w:rsidR="00964344" w:rsidRPr="00A671BF">
        <w:t>.</w:t>
      </w:r>
      <w:r w:rsidR="003B1EA2" w:rsidRPr="00A671BF">
        <w:t xml:space="preserve"> Both </w:t>
      </w:r>
      <w:proofErr w:type="spellStart"/>
      <w:r w:rsidR="003B1EA2" w:rsidRPr="00A671BF">
        <w:t>Panikkar</w:t>
      </w:r>
      <w:proofErr w:type="spellEnd"/>
      <w:r w:rsidR="003B1EA2" w:rsidRPr="00A671BF">
        <w:t xml:space="preserve"> and Duong Van </w:t>
      </w:r>
      <w:proofErr w:type="spellStart"/>
      <w:r w:rsidR="003B1EA2" w:rsidRPr="00A671BF">
        <w:t>Giao</w:t>
      </w:r>
      <w:proofErr w:type="spellEnd"/>
      <w:r w:rsidR="003B1EA2" w:rsidRPr="00A671BF">
        <w:t xml:space="preserve"> took part in the </w:t>
      </w:r>
      <w:proofErr w:type="spellStart"/>
      <w:r w:rsidR="003B1EA2" w:rsidRPr="00A671BF">
        <w:t>Bierville</w:t>
      </w:r>
      <w:proofErr w:type="spellEnd"/>
      <w:r w:rsidR="003B1EA2" w:rsidRPr="00A671BF">
        <w:t xml:space="preserve"> World Peace Conference in 1926</w:t>
      </w:r>
      <w:r w:rsidR="00081431" w:rsidRPr="00A671BF">
        <w:t xml:space="preserve">, </w:t>
      </w:r>
      <w:r w:rsidR="00ED4E4C" w:rsidRPr="00A671BF">
        <w:t>where</w:t>
      </w:r>
      <w:r w:rsidR="00081431" w:rsidRPr="00A671BF">
        <w:t xml:space="preserve"> </w:t>
      </w:r>
      <w:proofErr w:type="spellStart"/>
      <w:r w:rsidR="00081431" w:rsidRPr="00A671BF">
        <w:t>Panikkar’s</w:t>
      </w:r>
      <w:proofErr w:type="spellEnd"/>
      <w:r w:rsidR="00081431" w:rsidRPr="00A671BF">
        <w:t xml:space="preserve"> position paper, </w:t>
      </w:r>
      <w:r w:rsidR="00227B47" w:rsidRPr="00A671BF">
        <w:t>arguing that Indian independence would expedite the claims for freedom of other Asian countries, was endorsed unanimously</w:t>
      </w:r>
      <w:r w:rsidR="00B44479" w:rsidRPr="00A671BF">
        <w:t xml:space="preserve"> (1977: 63).</w:t>
      </w:r>
      <w:r w:rsidR="007959D9" w:rsidRPr="00A671BF">
        <w:t xml:space="preserve"> </w:t>
      </w:r>
    </w:p>
    <w:p w:rsidR="00EF6230" w:rsidRPr="00A671BF" w:rsidRDefault="00081431" w:rsidP="0038784E">
      <w:pPr>
        <w:spacing w:line="360" w:lineRule="auto"/>
        <w:ind w:firstLine="720"/>
        <w:rPr>
          <w:szCs w:val="22"/>
        </w:rPr>
      </w:pPr>
      <w:r w:rsidRPr="00A671BF">
        <w:rPr>
          <w:rFonts w:eastAsia="Calibri" w:cs="Times New Roman"/>
        </w:rPr>
        <w:t>While interest in India and Gandhi’s campaign for independence attracted French intellectuals and anticolonial activists, the societies and meeting</w:t>
      </w:r>
      <w:r w:rsidR="00ED4E4C" w:rsidRPr="00A671BF">
        <w:rPr>
          <w:rFonts w:eastAsia="Calibri" w:cs="Times New Roman"/>
        </w:rPr>
        <w:t>s</w:t>
      </w:r>
      <w:r w:rsidRPr="00A671BF">
        <w:rPr>
          <w:rFonts w:eastAsia="Calibri" w:cs="Times New Roman"/>
        </w:rPr>
        <w:t xml:space="preserve"> </w:t>
      </w:r>
      <w:r w:rsidR="00ED4E4C" w:rsidRPr="00A671BF">
        <w:rPr>
          <w:rFonts w:eastAsia="Calibri" w:cs="Times New Roman"/>
        </w:rPr>
        <w:t xml:space="preserve">that resulted </w:t>
      </w:r>
      <w:r w:rsidRPr="00A671BF">
        <w:rPr>
          <w:rFonts w:eastAsia="Calibri" w:cs="Times New Roman"/>
        </w:rPr>
        <w:t xml:space="preserve">brought Indians into circles which were being monitored, </w:t>
      </w:r>
      <w:r w:rsidR="0064327A" w:rsidRPr="00A671BF">
        <w:rPr>
          <w:rFonts w:eastAsia="Calibri" w:cs="Times New Roman"/>
        </w:rPr>
        <w:t>whether</w:t>
      </w:r>
      <w:r w:rsidRPr="00A671BF">
        <w:rPr>
          <w:rFonts w:eastAsia="Calibri" w:cs="Times New Roman"/>
        </w:rPr>
        <w:t xml:space="preserve"> by British agents, Parisian police officers</w:t>
      </w:r>
      <w:r w:rsidR="0064327A" w:rsidRPr="00A671BF">
        <w:rPr>
          <w:rFonts w:eastAsia="Calibri" w:cs="Times New Roman"/>
        </w:rPr>
        <w:t>,</w:t>
      </w:r>
      <w:r w:rsidRPr="00A671BF">
        <w:rPr>
          <w:rFonts w:eastAsia="Calibri" w:cs="Times New Roman"/>
        </w:rPr>
        <w:t xml:space="preserve"> o</w:t>
      </w:r>
      <w:r w:rsidR="0064327A" w:rsidRPr="00A671BF">
        <w:rPr>
          <w:rFonts w:eastAsia="Calibri" w:cs="Times New Roman"/>
        </w:rPr>
        <w:t>r</w:t>
      </w:r>
      <w:r w:rsidRPr="00A671BF">
        <w:rPr>
          <w:rFonts w:eastAsia="Calibri" w:cs="Times New Roman"/>
        </w:rPr>
        <w:t xml:space="preserve"> agents working for the CAI. </w:t>
      </w:r>
      <w:r w:rsidR="00964344" w:rsidRPr="00A671BF">
        <w:rPr>
          <w:rFonts w:eastAsia="Calibri" w:cs="Times New Roman"/>
        </w:rPr>
        <w:t>Participation in the Oriental Society was one of the factors that</w:t>
      </w:r>
      <w:r w:rsidR="00777AD0" w:rsidRPr="00A671BF">
        <w:rPr>
          <w:rFonts w:eastAsia="Calibri" w:cs="Times New Roman"/>
        </w:rPr>
        <w:t xml:space="preserve"> alerted agents of the CAI to</w:t>
      </w:r>
      <w:r w:rsidR="007829E0" w:rsidRPr="00A671BF">
        <w:rPr>
          <w:rFonts w:eastAsia="Calibri" w:cs="Times New Roman"/>
        </w:rPr>
        <w:t xml:space="preserve"> </w:t>
      </w:r>
      <w:r w:rsidR="00777AD0" w:rsidRPr="00A671BF">
        <w:rPr>
          <w:rFonts w:eastAsia="Calibri" w:cs="Times New Roman"/>
        </w:rPr>
        <w:t xml:space="preserve">Ali Khan </w:t>
      </w:r>
      <w:r w:rsidR="007829E0" w:rsidRPr="00A671BF">
        <w:rPr>
          <w:rFonts w:eastAsia="Calibri" w:cs="Times New Roman"/>
        </w:rPr>
        <w:t>Imtiaz</w:t>
      </w:r>
      <w:r w:rsidR="00B36F81" w:rsidRPr="00A671BF">
        <w:rPr>
          <w:rFonts w:eastAsia="Calibri" w:cs="Times New Roman"/>
        </w:rPr>
        <w:t xml:space="preserve"> </w:t>
      </w:r>
      <w:r w:rsidR="00721379" w:rsidRPr="00A671BF">
        <w:rPr>
          <w:rFonts w:eastAsia="Calibri" w:cs="Times New Roman"/>
        </w:rPr>
        <w:t>(</w:t>
      </w:r>
      <w:r w:rsidR="00B36F81" w:rsidRPr="00A671BF">
        <w:rPr>
          <w:rFonts w:eastAsia="Calibri" w:cs="Times New Roman"/>
        </w:rPr>
        <w:t>with whose case this article began</w:t>
      </w:r>
      <w:r w:rsidR="00721379" w:rsidRPr="00A671BF">
        <w:rPr>
          <w:rFonts w:eastAsia="Calibri" w:cs="Times New Roman"/>
        </w:rPr>
        <w:t>)</w:t>
      </w:r>
      <w:r w:rsidR="00777AD0" w:rsidRPr="00A671BF">
        <w:rPr>
          <w:rFonts w:eastAsia="Calibri" w:cs="Times New Roman"/>
        </w:rPr>
        <w:t>, generating a report that he associated with extremists.</w:t>
      </w:r>
      <w:r w:rsidR="00D34495" w:rsidRPr="00A671BF">
        <w:rPr>
          <w:rFonts w:eastAsia="Calibri" w:cs="Times New Roman"/>
        </w:rPr>
        <w:t xml:space="preserve"> </w:t>
      </w:r>
      <w:r w:rsidRPr="00A671BF">
        <w:rPr>
          <w:rFonts w:eastAsia="Calibri" w:cs="Times New Roman"/>
        </w:rPr>
        <w:t>This notwithstanding, t</w:t>
      </w:r>
      <w:r w:rsidR="00D07BCD" w:rsidRPr="00A671BF">
        <w:rPr>
          <w:rFonts w:eastAsia="Calibri" w:cs="Times New Roman"/>
        </w:rPr>
        <w:t xml:space="preserve">he events leading up to </w:t>
      </w:r>
      <w:r w:rsidR="00777AD0" w:rsidRPr="00A671BF">
        <w:rPr>
          <w:rFonts w:eastAsia="Calibri" w:cs="Times New Roman"/>
        </w:rPr>
        <w:t>Imtiaz’s</w:t>
      </w:r>
      <w:r w:rsidR="00D07BCD" w:rsidRPr="00A671BF">
        <w:rPr>
          <w:rFonts w:eastAsia="Calibri" w:cs="Times New Roman"/>
        </w:rPr>
        <w:t xml:space="preserve"> definitive expulsion show</w:t>
      </w:r>
      <w:r w:rsidR="000564CA" w:rsidRPr="00A671BF">
        <w:rPr>
          <w:rFonts w:eastAsia="Calibri" w:cs="Times New Roman"/>
        </w:rPr>
        <w:t xml:space="preserve"> a</w:t>
      </w:r>
      <w:r w:rsidR="00D07BCD" w:rsidRPr="00A671BF">
        <w:rPr>
          <w:rFonts w:eastAsia="Calibri" w:cs="Times New Roman"/>
        </w:rPr>
        <w:t xml:space="preserve"> confusion </w:t>
      </w:r>
      <w:r w:rsidR="000416B5" w:rsidRPr="00A671BF">
        <w:rPr>
          <w:rFonts w:eastAsia="Calibri" w:cs="Times New Roman"/>
        </w:rPr>
        <w:t xml:space="preserve">that </w:t>
      </w:r>
      <w:r w:rsidR="00ED4E4C" w:rsidRPr="00A671BF">
        <w:rPr>
          <w:rFonts w:eastAsia="Calibri" w:cs="Times New Roman"/>
        </w:rPr>
        <w:t>contradicts</w:t>
      </w:r>
      <w:r w:rsidR="009F21F4" w:rsidRPr="00A671BF">
        <w:rPr>
          <w:rFonts w:eastAsia="Calibri" w:cs="Times New Roman"/>
        </w:rPr>
        <w:t xml:space="preserve"> </w:t>
      </w:r>
      <w:r w:rsidR="00672C10" w:rsidRPr="00A671BF">
        <w:rPr>
          <w:rFonts w:eastAsia="Calibri" w:cs="Times New Roman"/>
        </w:rPr>
        <w:t>any</w:t>
      </w:r>
      <w:r w:rsidR="009F21F4" w:rsidRPr="00A671BF">
        <w:rPr>
          <w:rFonts w:eastAsia="Calibri" w:cs="Times New Roman"/>
        </w:rPr>
        <w:t xml:space="preserve"> narrative of</w:t>
      </w:r>
      <w:r w:rsidR="000416B5" w:rsidRPr="00A671BF">
        <w:rPr>
          <w:rFonts w:eastAsia="Calibri" w:cs="Times New Roman"/>
        </w:rPr>
        <w:t xml:space="preserve"> seamless inter-imperial co</w:t>
      </w:r>
      <w:r w:rsidR="009E7433" w:rsidRPr="00A671BF">
        <w:rPr>
          <w:rFonts w:eastAsia="Calibri" w:cs="Times New Roman"/>
        </w:rPr>
        <w:t>-</w:t>
      </w:r>
      <w:r w:rsidR="000416B5" w:rsidRPr="00A671BF">
        <w:rPr>
          <w:rFonts w:eastAsia="Calibri" w:cs="Times New Roman"/>
        </w:rPr>
        <w:t>operation in policing Indian ‘extremists’.</w:t>
      </w:r>
      <w:r w:rsidR="00F93084" w:rsidRPr="00A671BF">
        <w:rPr>
          <w:rFonts w:eastAsia="Calibri" w:cs="Times New Roman"/>
        </w:rPr>
        <w:t xml:space="preserve"> Cross-referencing the APP files with those of the </w:t>
      </w:r>
      <w:r w:rsidR="008512AE" w:rsidRPr="00A671BF">
        <w:rPr>
          <w:rFonts w:eastAsia="Calibri" w:cs="Times New Roman"/>
        </w:rPr>
        <w:t>IOR</w:t>
      </w:r>
      <w:r w:rsidR="00F93084" w:rsidRPr="00A671BF">
        <w:rPr>
          <w:rFonts w:eastAsia="Calibri" w:cs="Times New Roman"/>
        </w:rPr>
        <w:t xml:space="preserve"> reveal</w:t>
      </w:r>
      <w:r w:rsidR="008512AE" w:rsidRPr="00A671BF">
        <w:rPr>
          <w:rFonts w:eastAsia="Calibri" w:cs="Times New Roman"/>
        </w:rPr>
        <w:t>s</w:t>
      </w:r>
      <w:r w:rsidR="00F93084" w:rsidRPr="00A671BF">
        <w:rPr>
          <w:rFonts w:eastAsia="Calibri" w:cs="Times New Roman"/>
        </w:rPr>
        <w:t xml:space="preserve"> that it is unclear </w:t>
      </w:r>
      <w:r w:rsidR="008512AE" w:rsidRPr="00A671BF">
        <w:rPr>
          <w:rFonts w:eastAsia="Calibri" w:cs="Times New Roman"/>
        </w:rPr>
        <w:t>who</w:t>
      </w:r>
      <w:r w:rsidR="00F93084" w:rsidRPr="00A671BF">
        <w:rPr>
          <w:rFonts w:eastAsia="Calibri" w:cs="Times New Roman"/>
        </w:rPr>
        <w:t xml:space="preserve"> wanted Imtiaz out of France and </w:t>
      </w:r>
      <w:r w:rsidR="008512AE" w:rsidRPr="00A671BF">
        <w:rPr>
          <w:rFonts w:eastAsia="Calibri" w:cs="Times New Roman"/>
        </w:rPr>
        <w:t xml:space="preserve">who </w:t>
      </w:r>
      <w:r w:rsidR="00F93084" w:rsidRPr="00A671BF">
        <w:rPr>
          <w:rFonts w:eastAsia="Calibri" w:cs="Times New Roman"/>
        </w:rPr>
        <w:t>precipitated the request that he be expelled. The India Office was adamant that the decision to expel Imtiaz was</w:t>
      </w:r>
      <w:r w:rsidR="000416B5" w:rsidRPr="00A671BF">
        <w:rPr>
          <w:rFonts w:eastAsia="Calibri" w:cs="Times New Roman"/>
        </w:rPr>
        <w:t xml:space="preserve"> a French one</w:t>
      </w:r>
      <w:r w:rsidR="00B44479" w:rsidRPr="00A671BF">
        <w:rPr>
          <w:rFonts w:eastAsia="Calibri" w:cs="Times New Roman"/>
        </w:rPr>
        <w:t xml:space="preserve"> (Phipps, 1938).</w:t>
      </w:r>
      <w:r w:rsidR="000564CA" w:rsidRPr="00A671BF">
        <w:rPr>
          <w:rFonts w:eastAsia="Calibri" w:cs="Times New Roman"/>
        </w:rPr>
        <w:t xml:space="preserve"> In contrast, </w:t>
      </w:r>
      <w:r w:rsidR="00A02426" w:rsidRPr="00A671BF">
        <w:rPr>
          <w:rFonts w:eastAsia="Calibri" w:cs="Times New Roman"/>
        </w:rPr>
        <w:t xml:space="preserve">the </w:t>
      </w:r>
      <w:r w:rsidR="004E3581" w:rsidRPr="00A671BF">
        <w:rPr>
          <w:rFonts w:eastAsia="Calibri" w:cs="Times New Roman"/>
        </w:rPr>
        <w:t xml:space="preserve">Directeur </w:t>
      </w:r>
      <w:proofErr w:type="spellStart"/>
      <w:r w:rsidR="004E3581" w:rsidRPr="00A671BF">
        <w:rPr>
          <w:rFonts w:eastAsia="Calibri" w:cs="Times New Roman"/>
        </w:rPr>
        <w:t>Général</w:t>
      </w:r>
      <w:proofErr w:type="spellEnd"/>
      <w:r w:rsidR="004E3581" w:rsidRPr="00A671BF">
        <w:rPr>
          <w:rFonts w:eastAsia="Calibri" w:cs="Times New Roman"/>
        </w:rPr>
        <w:t xml:space="preserve"> de la </w:t>
      </w:r>
      <w:proofErr w:type="spellStart"/>
      <w:r w:rsidR="004E3581" w:rsidRPr="00A671BF">
        <w:rPr>
          <w:rFonts w:eastAsia="Calibri" w:cs="Times New Roman"/>
        </w:rPr>
        <w:t>Sûreté</w:t>
      </w:r>
      <w:proofErr w:type="spellEnd"/>
      <w:r w:rsidR="004E3581" w:rsidRPr="00A671BF">
        <w:rPr>
          <w:rFonts w:eastAsia="Calibri" w:cs="Times New Roman"/>
        </w:rPr>
        <w:t xml:space="preserve"> </w:t>
      </w:r>
      <w:proofErr w:type="spellStart"/>
      <w:r w:rsidR="004E3581" w:rsidRPr="00A671BF">
        <w:rPr>
          <w:rFonts w:eastAsia="Calibri" w:cs="Times New Roman"/>
        </w:rPr>
        <w:t>Nationale</w:t>
      </w:r>
      <w:proofErr w:type="spellEnd"/>
      <w:r w:rsidR="004E3581" w:rsidRPr="00A671BF">
        <w:rPr>
          <w:rFonts w:eastAsia="Calibri" w:cs="Times New Roman"/>
        </w:rPr>
        <w:t xml:space="preserve"> suggested</w:t>
      </w:r>
      <w:r w:rsidR="00A02426" w:rsidRPr="00A671BF">
        <w:rPr>
          <w:rFonts w:eastAsia="Calibri" w:cs="Times New Roman"/>
        </w:rPr>
        <w:t xml:space="preserve"> that the decision to remove </w:t>
      </w:r>
      <w:r w:rsidR="000564CA" w:rsidRPr="00A671BF">
        <w:rPr>
          <w:rFonts w:eastAsia="Calibri" w:cs="Times New Roman"/>
        </w:rPr>
        <w:t>him</w:t>
      </w:r>
      <w:r w:rsidR="00A02426" w:rsidRPr="00A671BF">
        <w:rPr>
          <w:rFonts w:eastAsia="Calibri" w:cs="Times New Roman"/>
        </w:rPr>
        <w:t xml:space="preserve"> was at the instigation of the </w:t>
      </w:r>
      <w:r w:rsidR="00314669" w:rsidRPr="00A671BF">
        <w:rPr>
          <w:rFonts w:eastAsia="Calibri" w:cs="Times New Roman"/>
        </w:rPr>
        <w:t>British</w:t>
      </w:r>
      <w:r w:rsidR="003326B0" w:rsidRPr="00A671BF">
        <w:rPr>
          <w:rFonts w:eastAsia="Calibri" w:cs="Times New Roman"/>
        </w:rPr>
        <w:t xml:space="preserve"> </w:t>
      </w:r>
      <w:r w:rsidR="00A02426" w:rsidRPr="00A671BF">
        <w:rPr>
          <w:rFonts w:eastAsia="Calibri" w:cs="Times New Roman"/>
        </w:rPr>
        <w:t xml:space="preserve">in advance of the state visit by the </w:t>
      </w:r>
      <w:r w:rsidR="000564CA" w:rsidRPr="00A671BF">
        <w:rPr>
          <w:rFonts w:eastAsia="Calibri" w:cs="Times New Roman"/>
        </w:rPr>
        <w:t xml:space="preserve">British </w:t>
      </w:r>
      <w:r w:rsidR="00A02426" w:rsidRPr="00A671BF">
        <w:rPr>
          <w:rFonts w:eastAsia="Calibri" w:cs="Times New Roman"/>
        </w:rPr>
        <w:t xml:space="preserve">King and Queen </w:t>
      </w:r>
      <w:r w:rsidR="000564CA" w:rsidRPr="00A671BF">
        <w:rPr>
          <w:rFonts w:eastAsia="Calibri" w:cs="Times New Roman"/>
        </w:rPr>
        <w:t xml:space="preserve">planned </w:t>
      </w:r>
      <w:r w:rsidR="00A02426" w:rsidRPr="00A671BF">
        <w:rPr>
          <w:rFonts w:eastAsia="Calibri" w:cs="Times New Roman"/>
        </w:rPr>
        <w:t>for June 1938</w:t>
      </w:r>
      <w:r w:rsidR="004E3581" w:rsidRPr="00A671BF">
        <w:rPr>
          <w:rFonts w:eastAsia="Calibri" w:cs="Times New Roman"/>
        </w:rPr>
        <w:t xml:space="preserve"> (Directeur </w:t>
      </w:r>
      <w:proofErr w:type="spellStart"/>
      <w:r w:rsidR="004E3581" w:rsidRPr="00A671BF">
        <w:rPr>
          <w:rFonts w:eastAsia="Calibri" w:cs="Times New Roman"/>
        </w:rPr>
        <w:t>Général</w:t>
      </w:r>
      <w:proofErr w:type="spellEnd"/>
      <w:r w:rsidR="004E3581" w:rsidRPr="00A671BF">
        <w:rPr>
          <w:rFonts w:eastAsia="Calibri" w:cs="Times New Roman"/>
        </w:rPr>
        <w:t>, 1938)</w:t>
      </w:r>
      <w:r w:rsidR="00A02426" w:rsidRPr="00A671BF">
        <w:rPr>
          <w:rFonts w:eastAsia="Calibri" w:cs="Times New Roman"/>
        </w:rPr>
        <w:t xml:space="preserve">. Tracing the affair </w:t>
      </w:r>
      <w:r w:rsidR="00574492" w:rsidRPr="00A671BF">
        <w:rPr>
          <w:rFonts w:eastAsia="Calibri" w:cs="Times New Roman"/>
        </w:rPr>
        <w:t>back to its origin</w:t>
      </w:r>
      <w:r w:rsidR="004D5DAA" w:rsidRPr="00A671BF">
        <w:rPr>
          <w:rFonts w:eastAsia="Calibri" w:cs="Times New Roman"/>
        </w:rPr>
        <w:t>s</w:t>
      </w:r>
      <w:r w:rsidR="00B36F81" w:rsidRPr="00A671BF">
        <w:rPr>
          <w:rFonts w:eastAsia="Calibri" w:cs="Times New Roman"/>
        </w:rPr>
        <w:t xml:space="preserve"> using all three archives</w:t>
      </w:r>
      <w:r w:rsidR="00574492" w:rsidRPr="00A671BF">
        <w:t xml:space="preserve"> </w:t>
      </w:r>
      <w:r w:rsidR="00A02426" w:rsidRPr="00A671BF">
        <w:rPr>
          <w:rFonts w:eastAsia="Calibri" w:cs="Times New Roman"/>
        </w:rPr>
        <w:t xml:space="preserve">reveals that </w:t>
      </w:r>
      <w:r w:rsidR="00574492" w:rsidRPr="00A671BF">
        <w:rPr>
          <w:rFonts w:eastAsia="Calibri" w:cs="Times New Roman"/>
        </w:rPr>
        <w:t xml:space="preserve">it was </w:t>
      </w:r>
      <w:r w:rsidR="00A02426" w:rsidRPr="00A671BF">
        <w:rPr>
          <w:rFonts w:eastAsia="Calibri" w:cs="Times New Roman"/>
        </w:rPr>
        <w:t xml:space="preserve">an anonymous informer </w:t>
      </w:r>
      <w:r w:rsidR="00574492" w:rsidRPr="00A671BF">
        <w:rPr>
          <w:rFonts w:eastAsia="Calibri" w:cs="Times New Roman"/>
        </w:rPr>
        <w:t xml:space="preserve">who </w:t>
      </w:r>
      <w:r w:rsidR="004D5DAA" w:rsidRPr="00A671BF">
        <w:rPr>
          <w:rFonts w:eastAsia="Calibri" w:cs="Times New Roman"/>
        </w:rPr>
        <w:t xml:space="preserve">claimed to have </w:t>
      </w:r>
      <w:r w:rsidR="00A02426" w:rsidRPr="00A671BF">
        <w:rPr>
          <w:rFonts w:eastAsia="Calibri" w:cs="Times New Roman"/>
        </w:rPr>
        <w:t xml:space="preserve">spotted Imtiaz among </w:t>
      </w:r>
      <w:r w:rsidR="00314669" w:rsidRPr="00A671BF">
        <w:rPr>
          <w:rFonts w:eastAsia="Calibri" w:cs="Times New Roman"/>
        </w:rPr>
        <w:t>Indochinese</w:t>
      </w:r>
      <w:r w:rsidR="00A02426" w:rsidRPr="00A671BF">
        <w:rPr>
          <w:rFonts w:eastAsia="Calibri" w:cs="Times New Roman"/>
        </w:rPr>
        <w:t xml:space="preserve"> extremists</w:t>
      </w:r>
      <w:r w:rsidR="004D5DAA" w:rsidRPr="00A671BF">
        <w:rPr>
          <w:rFonts w:eastAsia="Calibri" w:cs="Times New Roman"/>
        </w:rPr>
        <w:t>, and that this generated a report of an</w:t>
      </w:r>
      <w:r w:rsidR="002272B1" w:rsidRPr="00A671BF">
        <w:rPr>
          <w:rFonts w:eastAsia="Calibri" w:cs="Times New Roman"/>
        </w:rPr>
        <w:t xml:space="preserve"> </w:t>
      </w:r>
      <w:r w:rsidR="004D5DAA" w:rsidRPr="00A671BF">
        <w:rPr>
          <w:rFonts w:eastAsia="Calibri" w:cs="Times New Roman"/>
        </w:rPr>
        <w:t>‘</w:t>
      </w:r>
      <w:proofErr w:type="spellStart"/>
      <w:r w:rsidR="004D5DAA" w:rsidRPr="00A671BF">
        <w:t>extrémiste</w:t>
      </w:r>
      <w:proofErr w:type="spellEnd"/>
      <w:r w:rsidR="004D5DAA" w:rsidRPr="00A671BF">
        <w:t xml:space="preserve"> </w:t>
      </w:r>
      <w:proofErr w:type="spellStart"/>
      <w:r w:rsidR="004D5DAA" w:rsidRPr="00A671BF">
        <w:t>dangereux</w:t>
      </w:r>
      <w:proofErr w:type="spellEnd"/>
      <w:r w:rsidR="004D5DAA" w:rsidRPr="00A671BF">
        <w:t>’ in February 1938</w:t>
      </w:r>
      <w:r w:rsidR="00B44479" w:rsidRPr="00A671BF">
        <w:rPr>
          <w:rFonts w:eastAsia="Calibri" w:cs="Times New Roman"/>
        </w:rPr>
        <w:t xml:space="preserve"> (</w:t>
      </w:r>
      <w:proofErr w:type="spellStart"/>
      <w:r w:rsidR="00B44479" w:rsidRPr="00A671BF">
        <w:rPr>
          <w:rFonts w:eastAsia="Calibri" w:cs="Times New Roman"/>
        </w:rPr>
        <w:t>Renseignement</w:t>
      </w:r>
      <w:proofErr w:type="spellEnd"/>
      <w:r w:rsidR="00B44479" w:rsidRPr="00A671BF">
        <w:rPr>
          <w:rFonts w:eastAsia="Calibri" w:cs="Times New Roman"/>
        </w:rPr>
        <w:t>, 1938).</w:t>
      </w:r>
      <w:r w:rsidR="00A02426" w:rsidRPr="00A671BF">
        <w:rPr>
          <w:rFonts w:eastAsia="Calibri" w:cs="Times New Roman"/>
        </w:rPr>
        <w:t xml:space="preserve"> </w:t>
      </w:r>
      <w:r w:rsidR="00574492" w:rsidRPr="00A671BF">
        <w:rPr>
          <w:rFonts w:eastAsia="Calibri" w:cs="Times New Roman"/>
          <w:lang w:val="fr-FR"/>
        </w:rPr>
        <w:t xml:space="preserve">The </w:t>
      </w:r>
      <w:proofErr w:type="spellStart"/>
      <w:r w:rsidR="00574492" w:rsidRPr="00A671BF">
        <w:rPr>
          <w:rFonts w:eastAsia="Calibri" w:cs="Times New Roman"/>
          <w:lang w:val="fr-FR"/>
        </w:rPr>
        <w:t>ensuing</w:t>
      </w:r>
      <w:proofErr w:type="spellEnd"/>
      <w:r w:rsidR="00574492" w:rsidRPr="00A671BF">
        <w:rPr>
          <w:rFonts w:eastAsia="Calibri" w:cs="Times New Roman"/>
          <w:lang w:val="fr-FR"/>
        </w:rPr>
        <w:t xml:space="preserve"> p</w:t>
      </w:r>
      <w:r w:rsidR="008512AE" w:rsidRPr="00A671BF">
        <w:rPr>
          <w:rFonts w:eastAsia="Calibri" w:cs="Times New Roman"/>
          <w:lang w:val="fr-FR"/>
        </w:rPr>
        <w:t xml:space="preserve">olice reports </w:t>
      </w:r>
      <w:proofErr w:type="spellStart"/>
      <w:r w:rsidR="008512AE" w:rsidRPr="00A671BF">
        <w:rPr>
          <w:rFonts w:eastAsia="Calibri" w:cs="Times New Roman"/>
          <w:lang w:val="fr-FR"/>
        </w:rPr>
        <w:t>were</w:t>
      </w:r>
      <w:proofErr w:type="spellEnd"/>
      <w:r w:rsidR="00574492" w:rsidRPr="00A671BF">
        <w:rPr>
          <w:rFonts w:eastAsia="Calibri" w:cs="Times New Roman"/>
          <w:lang w:val="fr-FR"/>
        </w:rPr>
        <w:t xml:space="preserve"> </w:t>
      </w:r>
      <w:proofErr w:type="spellStart"/>
      <w:r w:rsidR="00574492" w:rsidRPr="00A671BF">
        <w:rPr>
          <w:rFonts w:eastAsia="Calibri" w:cs="Times New Roman"/>
          <w:lang w:val="fr-FR"/>
        </w:rPr>
        <w:t>initially</w:t>
      </w:r>
      <w:proofErr w:type="spellEnd"/>
      <w:r w:rsidR="008512AE" w:rsidRPr="00A671BF">
        <w:rPr>
          <w:rFonts w:eastAsia="Calibri" w:cs="Times New Roman"/>
          <w:lang w:val="fr-FR"/>
        </w:rPr>
        <w:t xml:space="preserve"> sanguine, </w:t>
      </w:r>
      <w:proofErr w:type="spellStart"/>
      <w:r w:rsidR="008512AE" w:rsidRPr="00A671BF">
        <w:rPr>
          <w:rFonts w:eastAsia="Calibri" w:cs="Times New Roman"/>
          <w:lang w:val="fr-FR"/>
        </w:rPr>
        <w:t>noting</w:t>
      </w:r>
      <w:proofErr w:type="spellEnd"/>
      <w:r w:rsidR="008512AE" w:rsidRPr="00A671BF">
        <w:rPr>
          <w:rFonts w:eastAsia="Calibri" w:cs="Times New Roman"/>
          <w:lang w:val="fr-FR"/>
        </w:rPr>
        <w:t xml:space="preserve"> </w:t>
      </w:r>
      <w:proofErr w:type="spellStart"/>
      <w:r w:rsidR="008512AE" w:rsidRPr="00A671BF">
        <w:rPr>
          <w:rFonts w:eastAsia="Calibri" w:cs="Times New Roman"/>
          <w:lang w:val="fr-FR"/>
        </w:rPr>
        <w:t>that</w:t>
      </w:r>
      <w:proofErr w:type="spellEnd"/>
      <w:r w:rsidR="008512AE" w:rsidRPr="00A671BF">
        <w:rPr>
          <w:rFonts w:eastAsia="Calibri" w:cs="Times New Roman"/>
          <w:lang w:val="fr-FR"/>
        </w:rPr>
        <w:t xml:space="preserve"> </w:t>
      </w:r>
      <w:proofErr w:type="spellStart"/>
      <w:r w:rsidR="00574492" w:rsidRPr="00A671BF">
        <w:rPr>
          <w:rFonts w:eastAsia="Calibri" w:cs="Times New Roman"/>
          <w:lang w:val="fr-FR"/>
        </w:rPr>
        <w:t>Imtiaz</w:t>
      </w:r>
      <w:proofErr w:type="spellEnd"/>
      <w:r w:rsidR="00A02426" w:rsidRPr="00A671BF">
        <w:rPr>
          <w:rFonts w:eastAsia="Calibri" w:cs="Times New Roman"/>
          <w:lang w:val="fr-FR"/>
        </w:rPr>
        <w:t xml:space="preserve"> </w:t>
      </w:r>
      <w:proofErr w:type="spellStart"/>
      <w:r w:rsidR="00A02426" w:rsidRPr="00A671BF">
        <w:rPr>
          <w:rFonts w:eastAsia="Calibri" w:cs="Times New Roman"/>
          <w:lang w:val="fr-FR"/>
        </w:rPr>
        <w:t>ha</w:t>
      </w:r>
      <w:r w:rsidR="008512AE" w:rsidRPr="00A671BF">
        <w:rPr>
          <w:rFonts w:eastAsia="Calibri" w:cs="Times New Roman"/>
          <w:lang w:val="fr-FR"/>
        </w:rPr>
        <w:t>d</w:t>
      </w:r>
      <w:proofErr w:type="spellEnd"/>
      <w:r w:rsidR="00A02426" w:rsidRPr="00A671BF">
        <w:rPr>
          <w:rFonts w:eastAsia="Calibri" w:cs="Times New Roman"/>
          <w:lang w:val="fr-FR"/>
        </w:rPr>
        <w:t xml:space="preserve"> not </w:t>
      </w:r>
      <w:proofErr w:type="spellStart"/>
      <w:r w:rsidR="00341294" w:rsidRPr="00A671BF">
        <w:rPr>
          <w:rFonts w:eastAsia="Calibri" w:cs="Times New Roman"/>
          <w:lang w:val="fr-FR"/>
        </w:rPr>
        <w:t>attracted</w:t>
      </w:r>
      <w:proofErr w:type="spellEnd"/>
      <w:r w:rsidR="00A02426" w:rsidRPr="00A671BF">
        <w:rPr>
          <w:rFonts w:eastAsia="Calibri" w:cs="Times New Roman"/>
          <w:lang w:val="fr-FR"/>
        </w:rPr>
        <w:t xml:space="preserve"> </w:t>
      </w:r>
      <w:proofErr w:type="spellStart"/>
      <w:r w:rsidR="00A02426" w:rsidRPr="00A671BF">
        <w:rPr>
          <w:rFonts w:eastAsia="Calibri" w:cs="Times New Roman"/>
          <w:lang w:val="fr-FR"/>
        </w:rPr>
        <w:t>any</w:t>
      </w:r>
      <w:proofErr w:type="spellEnd"/>
      <w:r w:rsidR="00A02426" w:rsidRPr="00A671BF">
        <w:rPr>
          <w:rFonts w:eastAsia="Calibri" w:cs="Times New Roman"/>
          <w:lang w:val="fr-FR"/>
        </w:rPr>
        <w:t xml:space="preserve"> attention</w:t>
      </w:r>
      <w:r w:rsidR="00A159A1" w:rsidRPr="00A671BF">
        <w:rPr>
          <w:rFonts w:eastAsia="Calibri" w:cs="Times New Roman"/>
          <w:lang w:val="fr-FR"/>
        </w:rPr>
        <w:t xml:space="preserve"> </w:t>
      </w:r>
      <w:proofErr w:type="spellStart"/>
      <w:r w:rsidR="00A159A1" w:rsidRPr="00A671BF">
        <w:rPr>
          <w:rFonts w:eastAsia="Calibri" w:cs="Times New Roman"/>
          <w:lang w:val="fr-FR"/>
        </w:rPr>
        <w:t>hitherto</w:t>
      </w:r>
      <w:proofErr w:type="spellEnd"/>
      <w:r w:rsidR="00A02426" w:rsidRPr="00A671BF">
        <w:rPr>
          <w:rFonts w:eastAsia="Calibri" w:cs="Times New Roman"/>
          <w:lang w:val="fr-FR"/>
        </w:rPr>
        <w:t xml:space="preserve"> ‘au point de vue politique et sa </w:t>
      </w:r>
      <w:r w:rsidR="00341294" w:rsidRPr="00A671BF">
        <w:rPr>
          <w:rFonts w:eastAsia="Calibri" w:cs="Times New Roman"/>
          <w:lang w:val="fr-FR"/>
        </w:rPr>
        <w:t>présence</w:t>
      </w:r>
      <w:r w:rsidR="00A02426" w:rsidRPr="00A671BF">
        <w:rPr>
          <w:rFonts w:eastAsia="Calibri" w:cs="Times New Roman"/>
          <w:lang w:val="fr-FR"/>
        </w:rPr>
        <w:t xml:space="preserve"> n’a jamais </w:t>
      </w:r>
      <w:r w:rsidR="00341294" w:rsidRPr="00A671BF">
        <w:rPr>
          <w:rFonts w:eastAsia="Calibri" w:cs="Times New Roman"/>
          <w:lang w:val="fr-FR"/>
        </w:rPr>
        <w:t>été</w:t>
      </w:r>
      <w:r w:rsidR="00A02426" w:rsidRPr="00A671BF">
        <w:rPr>
          <w:rFonts w:eastAsia="Calibri" w:cs="Times New Roman"/>
          <w:lang w:val="fr-FR"/>
        </w:rPr>
        <w:t xml:space="preserve"> </w:t>
      </w:r>
      <w:r w:rsidR="00341294" w:rsidRPr="00A671BF">
        <w:rPr>
          <w:rFonts w:eastAsia="Calibri" w:cs="Times New Roman"/>
          <w:lang w:val="fr-FR"/>
        </w:rPr>
        <w:t>constatée</w:t>
      </w:r>
      <w:r w:rsidR="00A02426" w:rsidRPr="00A671BF">
        <w:rPr>
          <w:rFonts w:eastAsia="Calibri" w:cs="Times New Roman"/>
          <w:lang w:val="fr-FR"/>
        </w:rPr>
        <w:t xml:space="preserve"> dans les milieu</w:t>
      </w:r>
      <w:r w:rsidR="00B44479" w:rsidRPr="00A671BF">
        <w:rPr>
          <w:rFonts w:eastAsia="Calibri" w:cs="Times New Roman"/>
          <w:lang w:val="fr-FR"/>
        </w:rPr>
        <w:t>x</w:t>
      </w:r>
      <w:r w:rsidR="00A02426" w:rsidRPr="00A671BF">
        <w:rPr>
          <w:rFonts w:eastAsia="Calibri" w:cs="Times New Roman"/>
          <w:lang w:val="fr-FR"/>
        </w:rPr>
        <w:t xml:space="preserve"> </w:t>
      </w:r>
      <w:r w:rsidR="00B44479" w:rsidRPr="00A671BF">
        <w:rPr>
          <w:rFonts w:eastAsia="Calibri" w:cs="Times New Roman"/>
          <w:lang w:val="fr-FR"/>
        </w:rPr>
        <w:t>révolutionnaires</w:t>
      </w:r>
      <w:r w:rsidR="00A02426" w:rsidRPr="00A671BF">
        <w:rPr>
          <w:rFonts w:eastAsia="Calibri" w:cs="Times New Roman"/>
          <w:lang w:val="fr-FR"/>
        </w:rPr>
        <w:t>’</w:t>
      </w:r>
      <w:r w:rsidR="00C92560" w:rsidRPr="00A671BF">
        <w:rPr>
          <w:rFonts w:eastAsia="Calibri" w:cs="Times New Roman"/>
          <w:lang w:val="fr-FR"/>
        </w:rPr>
        <w:t xml:space="preserve"> (Service des </w:t>
      </w:r>
      <w:r w:rsidR="00C92560" w:rsidRPr="00A671BF">
        <w:rPr>
          <w:rFonts w:eastAsia="Calibri" w:cs="Times New Roman"/>
          <w:lang w:val="fr-FR"/>
        </w:rPr>
        <w:lastRenderedPageBreak/>
        <w:t>Affaires, 1938)</w:t>
      </w:r>
      <w:r w:rsidR="008512AE" w:rsidRPr="00A671BF">
        <w:rPr>
          <w:rFonts w:eastAsia="Calibri" w:cs="Times New Roman"/>
          <w:lang w:val="fr-FR"/>
        </w:rPr>
        <w:t>.</w:t>
      </w:r>
      <w:r w:rsidR="00A02426" w:rsidRPr="00A671BF">
        <w:rPr>
          <w:rFonts w:eastAsia="Calibri" w:cs="Times New Roman"/>
          <w:lang w:val="fr-FR"/>
        </w:rPr>
        <w:t xml:space="preserve"> </w:t>
      </w:r>
      <w:r w:rsidR="00A159A1" w:rsidRPr="00A671BF">
        <w:rPr>
          <w:rFonts w:eastAsia="Calibri" w:cs="Times New Roman"/>
        </w:rPr>
        <w:t xml:space="preserve">This changed, however, </w:t>
      </w:r>
      <w:r w:rsidR="004D5DAA" w:rsidRPr="00A671BF">
        <w:rPr>
          <w:rFonts w:eastAsia="Calibri" w:cs="Times New Roman"/>
        </w:rPr>
        <w:t>when</w:t>
      </w:r>
      <w:r w:rsidR="00A159A1" w:rsidRPr="00A671BF">
        <w:rPr>
          <w:rFonts w:eastAsia="Calibri" w:cs="Times New Roman"/>
        </w:rPr>
        <w:t xml:space="preserve"> a police report in May 1938 revealed that he had been </w:t>
      </w:r>
      <w:r w:rsidR="00A159A1" w:rsidRPr="00A671BF">
        <w:t xml:space="preserve">cohabitating with a white Frenchwoman, Mlle </w:t>
      </w:r>
      <w:proofErr w:type="spellStart"/>
      <w:r w:rsidR="00A159A1" w:rsidRPr="00A671BF">
        <w:t>Xaille</w:t>
      </w:r>
      <w:proofErr w:type="spellEnd"/>
      <w:r w:rsidR="00A159A1" w:rsidRPr="00A671BF">
        <w:t xml:space="preserve">, owner of a café-cabaret called </w:t>
      </w:r>
      <w:r w:rsidR="00227B47" w:rsidRPr="00A671BF">
        <w:t xml:space="preserve">La </w:t>
      </w:r>
      <w:proofErr w:type="spellStart"/>
      <w:r w:rsidR="00227B47" w:rsidRPr="00A671BF">
        <w:t>Bolée</w:t>
      </w:r>
      <w:proofErr w:type="spellEnd"/>
      <w:r w:rsidR="00B44479" w:rsidRPr="00A671BF">
        <w:t xml:space="preserve"> (</w:t>
      </w:r>
      <w:proofErr w:type="spellStart"/>
      <w:r w:rsidR="00C92560" w:rsidRPr="00A671BF">
        <w:t>Mourtardier</w:t>
      </w:r>
      <w:proofErr w:type="spellEnd"/>
      <w:r w:rsidR="00B44479" w:rsidRPr="00A671BF">
        <w:t>, 1938).</w:t>
      </w:r>
      <w:r w:rsidR="00A159A1" w:rsidRPr="00A671BF">
        <w:t xml:space="preserve"> At this point</w:t>
      </w:r>
      <w:r w:rsidR="009B0F37" w:rsidRPr="00A671BF">
        <w:t>,</w:t>
      </w:r>
      <w:r w:rsidR="00A159A1" w:rsidRPr="00A671BF">
        <w:t xml:space="preserve"> act</w:t>
      </w:r>
      <w:r w:rsidR="009B0F37" w:rsidRPr="00A671BF">
        <w:t>ion was immediately</w:t>
      </w:r>
      <w:r w:rsidR="00A159A1" w:rsidRPr="00A671BF">
        <w:t xml:space="preserve"> taken to expel him</w:t>
      </w:r>
      <w:r w:rsidR="009B0F37" w:rsidRPr="00A671BF">
        <w:t>. The sudden change in approach demonstrates</w:t>
      </w:r>
      <w:r w:rsidR="00A159A1" w:rsidRPr="00A671BF">
        <w:t xml:space="preserve"> </w:t>
      </w:r>
      <w:r w:rsidR="00076226" w:rsidRPr="00A671BF">
        <w:t xml:space="preserve">how </w:t>
      </w:r>
      <w:r w:rsidR="00A02426" w:rsidRPr="00A671BF">
        <w:t>one </w:t>
      </w:r>
      <w:r w:rsidR="00A02426" w:rsidRPr="00A671BF">
        <w:rPr>
          <w:iCs/>
        </w:rPr>
        <w:t xml:space="preserve">commissaire </w:t>
      </w:r>
      <w:proofErr w:type="spellStart"/>
      <w:r w:rsidR="00A02426" w:rsidRPr="00A671BF">
        <w:rPr>
          <w:iCs/>
        </w:rPr>
        <w:t>spécial</w:t>
      </w:r>
      <w:r w:rsidR="00A02426" w:rsidRPr="00A671BF">
        <w:t>’s</w:t>
      </w:r>
      <w:proofErr w:type="spellEnd"/>
      <w:r w:rsidR="00A02426" w:rsidRPr="00A671BF">
        <w:t xml:space="preserve"> </w:t>
      </w:r>
      <w:r w:rsidR="00076226" w:rsidRPr="00A671BF">
        <w:t>interpretation of what</w:t>
      </w:r>
      <w:r w:rsidR="00A02426" w:rsidRPr="00A671BF">
        <w:t xml:space="preserve"> constituted a danger</w:t>
      </w:r>
      <w:r w:rsidR="00076226" w:rsidRPr="00A671BF">
        <w:t xml:space="preserve"> could hav</w:t>
      </w:r>
      <w:r w:rsidR="00BE0629" w:rsidRPr="00A671BF">
        <w:t>e international ramifications. I</w:t>
      </w:r>
      <w:r w:rsidR="00076226" w:rsidRPr="00A671BF">
        <w:t>t also demonstrates</w:t>
      </w:r>
      <w:r w:rsidR="00A159A1" w:rsidRPr="00A671BF">
        <w:t xml:space="preserve"> </w:t>
      </w:r>
      <w:r w:rsidR="00076226" w:rsidRPr="00A671BF">
        <w:t>the potency of an</w:t>
      </w:r>
      <w:r w:rsidR="00BE0629" w:rsidRPr="00A671BF">
        <w:t xml:space="preserve"> age-old fear:</w:t>
      </w:r>
      <w:r w:rsidR="00076226" w:rsidRPr="00A671BF">
        <w:t xml:space="preserve"> that </w:t>
      </w:r>
      <w:r w:rsidR="00A159A1" w:rsidRPr="00A671BF">
        <w:t xml:space="preserve">of cohabitation between </w:t>
      </w:r>
      <w:r w:rsidR="00076226" w:rsidRPr="00A671BF">
        <w:t xml:space="preserve">a colonial ‘other’ </w:t>
      </w:r>
      <w:r w:rsidR="00A22725" w:rsidRPr="00A671BF">
        <w:t>and a white Frenchwoman.</w:t>
      </w:r>
      <w:r w:rsidR="00314669" w:rsidRPr="00A671BF">
        <w:t xml:space="preserve"> </w:t>
      </w:r>
      <w:r w:rsidR="00BE0629" w:rsidRPr="00A671BF">
        <w:rPr>
          <w:szCs w:val="22"/>
        </w:rPr>
        <w:t>T</w:t>
      </w:r>
      <w:r w:rsidR="004D5DAA" w:rsidRPr="00A671BF">
        <w:rPr>
          <w:szCs w:val="22"/>
        </w:rPr>
        <w:t xml:space="preserve">he case of </w:t>
      </w:r>
      <w:r w:rsidR="005A53C5" w:rsidRPr="00A671BF">
        <w:rPr>
          <w:rFonts w:eastAsia="Calibri" w:cs="Times New Roman"/>
        </w:rPr>
        <w:t>Imtiaz was reported by the press</w:t>
      </w:r>
      <w:r w:rsidR="00BE0629" w:rsidRPr="00A671BF">
        <w:rPr>
          <w:rFonts w:eastAsia="Calibri" w:cs="Times New Roman"/>
        </w:rPr>
        <w:t xml:space="preserve"> but received less attention than that of </w:t>
      </w:r>
      <w:r w:rsidR="00721379" w:rsidRPr="00A671BF">
        <w:rPr>
          <w:rFonts w:eastAsia="Calibri" w:cs="Times New Roman"/>
        </w:rPr>
        <w:t xml:space="preserve">the </w:t>
      </w:r>
      <w:r w:rsidR="00B36F81" w:rsidRPr="00A671BF">
        <w:rPr>
          <w:rFonts w:eastAsia="Calibri" w:cs="Times New Roman"/>
        </w:rPr>
        <w:t xml:space="preserve">internationally known </w:t>
      </w:r>
      <w:r w:rsidR="00BE0629" w:rsidRPr="00A671BF">
        <w:rPr>
          <w:szCs w:val="22"/>
        </w:rPr>
        <w:t>M</w:t>
      </w:r>
      <w:r w:rsidR="00777AD0" w:rsidRPr="00A671BF">
        <w:rPr>
          <w:szCs w:val="22"/>
        </w:rPr>
        <w:t>.</w:t>
      </w:r>
      <w:r w:rsidR="00BE0629" w:rsidRPr="00A671BF">
        <w:rPr>
          <w:szCs w:val="22"/>
        </w:rPr>
        <w:t xml:space="preserve"> N. Roy. C</w:t>
      </w:r>
      <w:r w:rsidR="005A53C5" w:rsidRPr="00A671BF">
        <w:rPr>
          <w:rFonts w:eastAsia="Calibri" w:cs="Times New Roman"/>
        </w:rPr>
        <w:t>overage</w:t>
      </w:r>
      <w:r w:rsidR="00721379" w:rsidRPr="00A671BF">
        <w:rPr>
          <w:rFonts w:eastAsia="Calibri" w:cs="Times New Roman"/>
        </w:rPr>
        <w:t xml:space="preserve"> of the Imtiaz case</w:t>
      </w:r>
      <w:r w:rsidR="005A53C5" w:rsidRPr="00A671BF">
        <w:rPr>
          <w:rFonts w:eastAsia="Calibri" w:cs="Times New Roman"/>
        </w:rPr>
        <w:t xml:space="preserve"> was limited to</w:t>
      </w:r>
      <w:r w:rsidR="005A53C5" w:rsidRPr="00A671BF">
        <w:rPr>
          <w:rFonts w:eastAsia="Calibri" w:cs="Times New Roman"/>
          <w:i/>
        </w:rPr>
        <w:t xml:space="preserve"> Le Populaire</w:t>
      </w:r>
      <w:r w:rsidR="00BE0629" w:rsidRPr="00A671BF">
        <w:rPr>
          <w:rFonts w:eastAsia="Calibri" w:cs="Times New Roman"/>
        </w:rPr>
        <w:t>, which</w:t>
      </w:r>
      <w:r w:rsidR="005A53C5" w:rsidRPr="00A671BF">
        <w:rPr>
          <w:rFonts w:eastAsia="Calibri" w:cs="Times New Roman"/>
        </w:rPr>
        <w:t xml:space="preserve"> reported </w:t>
      </w:r>
      <w:r w:rsidR="00BE0629" w:rsidRPr="00A671BF">
        <w:rPr>
          <w:rFonts w:eastAsia="Calibri" w:cs="Times New Roman"/>
        </w:rPr>
        <w:t xml:space="preserve">on 15 December 1938 </w:t>
      </w:r>
      <w:r w:rsidR="005A53C5" w:rsidRPr="00A671BF">
        <w:rPr>
          <w:rFonts w:eastAsia="Calibri" w:cs="Times New Roman"/>
        </w:rPr>
        <w:t xml:space="preserve">that </w:t>
      </w:r>
      <w:r w:rsidR="00721379" w:rsidRPr="00A671BF">
        <w:rPr>
          <w:rFonts w:eastAsia="Calibri" w:cs="Times New Roman"/>
        </w:rPr>
        <w:t>he</w:t>
      </w:r>
      <w:r w:rsidR="005A53C5" w:rsidRPr="00A671BF">
        <w:rPr>
          <w:rFonts w:eastAsia="Calibri" w:cs="Times New Roman"/>
        </w:rPr>
        <w:t xml:space="preserve"> </w:t>
      </w:r>
      <w:r w:rsidR="00BE0629" w:rsidRPr="00A671BF">
        <w:rPr>
          <w:rFonts w:eastAsia="Calibri" w:cs="Times New Roman"/>
        </w:rPr>
        <w:t>had been forced</w:t>
      </w:r>
      <w:r w:rsidR="00BE0629" w:rsidRPr="00A671BF">
        <w:rPr>
          <w:szCs w:val="22"/>
        </w:rPr>
        <w:t xml:space="preserve"> to leave French territory,</w:t>
      </w:r>
      <w:r w:rsidR="00BE0629" w:rsidRPr="00A671BF">
        <w:rPr>
          <w:rFonts w:eastAsia="Calibri" w:cs="Times New Roman"/>
        </w:rPr>
        <w:t xml:space="preserve"> despite his papers being in order, after acting</w:t>
      </w:r>
      <w:r w:rsidR="005A53C5" w:rsidRPr="00A671BF">
        <w:rPr>
          <w:rFonts w:eastAsia="Calibri" w:cs="Times New Roman"/>
        </w:rPr>
        <w:t xml:space="preserve"> as an interpreter for an Indian journalist who had arrived in France to report on strike action</w:t>
      </w:r>
      <w:r w:rsidR="00A22725" w:rsidRPr="00A671BF">
        <w:rPr>
          <w:szCs w:val="22"/>
        </w:rPr>
        <w:t xml:space="preserve"> (H., 1938b). </w:t>
      </w:r>
      <w:r w:rsidR="00F01D79" w:rsidRPr="00A671BF">
        <w:rPr>
          <w:szCs w:val="22"/>
        </w:rPr>
        <w:t>This</w:t>
      </w:r>
      <w:r w:rsidR="005A53C5" w:rsidRPr="00A671BF">
        <w:rPr>
          <w:szCs w:val="22"/>
        </w:rPr>
        <w:t xml:space="preserve"> report of </w:t>
      </w:r>
      <w:r w:rsidR="00F01D79" w:rsidRPr="00A671BF">
        <w:rPr>
          <w:szCs w:val="22"/>
        </w:rPr>
        <w:t>his</w:t>
      </w:r>
      <w:r w:rsidR="005A53C5" w:rsidRPr="00A671BF">
        <w:rPr>
          <w:szCs w:val="22"/>
        </w:rPr>
        <w:t xml:space="preserve"> summary expulsion bears </w:t>
      </w:r>
      <w:r w:rsidR="00F01D79" w:rsidRPr="00A671BF">
        <w:rPr>
          <w:szCs w:val="22"/>
        </w:rPr>
        <w:t>little</w:t>
      </w:r>
      <w:r w:rsidR="005A53C5" w:rsidRPr="00A671BF">
        <w:rPr>
          <w:szCs w:val="22"/>
        </w:rPr>
        <w:t xml:space="preserve"> resemblance to any of the reports</w:t>
      </w:r>
      <w:r w:rsidR="005A148A" w:rsidRPr="00A671BF">
        <w:rPr>
          <w:szCs w:val="22"/>
        </w:rPr>
        <w:t xml:space="preserve"> of the </w:t>
      </w:r>
      <w:r w:rsidR="00F01D79" w:rsidRPr="00A671BF">
        <w:rPr>
          <w:szCs w:val="22"/>
        </w:rPr>
        <w:t>incident</w:t>
      </w:r>
      <w:r w:rsidR="005A53C5" w:rsidRPr="00A671BF">
        <w:rPr>
          <w:szCs w:val="22"/>
        </w:rPr>
        <w:t xml:space="preserve"> filed </w:t>
      </w:r>
      <w:r w:rsidR="00A159A1" w:rsidRPr="00A671BF">
        <w:rPr>
          <w:szCs w:val="22"/>
        </w:rPr>
        <w:t>in</w:t>
      </w:r>
      <w:r w:rsidR="005A53C5" w:rsidRPr="00A671BF">
        <w:rPr>
          <w:szCs w:val="22"/>
        </w:rPr>
        <w:t xml:space="preserve"> either the India Office or the </w:t>
      </w:r>
      <w:proofErr w:type="spellStart"/>
      <w:r w:rsidR="005A53C5" w:rsidRPr="00A671BF">
        <w:rPr>
          <w:szCs w:val="22"/>
        </w:rPr>
        <w:t>Préfecture</w:t>
      </w:r>
      <w:proofErr w:type="spellEnd"/>
      <w:r w:rsidR="005A53C5" w:rsidRPr="00A671BF">
        <w:rPr>
          <w:szCs w:val="22"/>
        </w:rPr>
        <w:t xml:space="preserve"> de Police</w:t>
      </w:r>
      <w:r w:rsidR="00F01D79" w:rsidRPr="00A671BF">
        <w:rPr>
          <w:szCs w:val="22"/>
        </w:rPr>
        <w:t xml:space="preserve">; the reporters of the socialist </w:t>
      </w:r>
      <w:r w:rsidR="00F01D79" w:rsidRPr="00A671BF">
        <w:rPr>
          <w:i/>
          <w:szCs w:val="22"/>
        </w:rPr>
        <w:t>Le Populaire</w:t>
      </w:r>
      <w:r w:rsidR="00F01D79" w:rsidRPr="00A671BF">
        <w:rPr>
          <w:szCs w:val="22"/>
        </w:rPr>
        <w:t xml:space="preserve">, implacable enemies of Daladier’s increasingly authoritarian government, </w:t>
      </w:r>
      <w:r w:rsidR="008A64AB" w:rsidRPr="00A671BF">
        <w:rPr>
          <w:szCs w:val="22"/>
        </w:rPr>
        <w:t>were</w:t>
      </w:r>
      <w:r w:rsidR="00F01D79" w:rsidRPr="00A671BF">
        <w:rPr>
          <w:szCs w:val="22"/>
        </w:rPr>
        <w:t xml:space="preserve"> exploit</w:t>
      </w:r>
      <w:r w:rsidR="008A64AB" w:rsidRPr="00A671BF">
        <w:rPr>
          <w:szCs w:val="22"/>
        </w:rPr>
        <w:t>ing</w:t>
      </w:r>
      <w:r w:rsidR="00F01D79" w:rsidRPr="00A671BF">
        <w:rPr>
          <w:szCs w:val="22"/>
        </w:rPr>
        <w:t xml:space="preserve"> the case</w:t>
      </w:r>
      <w:r w:rsidR="00A22725" w:rsidRPr="00A671BF">
        <w:rPr>
          <w:szCs w:val="22"/>
        </w:rPr>
        <w:t xml:space="preserve"> for political ends (H., 1938a).</w:t>
      </w:r>
      <w:r w:rsidR="00B36F81" w:rsidRPr="00A671BF">
        <w:t xml:space="preserve"> </w:t>
      </w:r>
      <w:r w:rsidR="00EE16A7" w:rsidRPr="00A671BF">
        <w:t xml:space="preserve">In the event, </w:t>
      </w:r>
      <w:r w:rsidR="00310D62" w:rsidRPr="00A671BF">
        <w:rPr>
          <w:i/>
        </w:rPr>
        <w:t>Le Populaire</w:t>
      </w:r>
      <w:r w:rsidR="00EE16A7" w:rsidRPr="00A671BF">
        <w:rPr>
          <w:i/>
        </w:rPr>
        <w:t>’</w:t>
      </w:r>
      <w:r w:rsidR="00EE16A7" w:rsidRPr="00A671BF">
        <w:t>s</w:t>
      </w:r>
      <w:r w:rsidR="00310D62" w:rsidRPr="00A671BF">
        <w:t xml:space="preserve"> </w:t>
      </w:r>
      <w:r w:rsidR="00EE16A7" w:rsidRPr="00A671BF">
        <w:t>self-interested intervention had little impact. T</w:t>
      </w:r>
      <w:r w:rsidR="00310D62" w:rsidRPr="00A671BF">
        <w:t xml:space="preserve">he expulsion order remained and Imtiaz was expelled. </w:t>
      </w:r>
    </w:p>
    <w:p w:rsidR="00EF6B37" w:rsidRPr="00A671BF" w:rsidRDefault="00EF6B37" w:rsidP="0038784E">
      <w:pPr>
        <w:spacing w:line="360" w:lineRule="auto"/>
      </w:pPr>
    </w:p>
    <w:p w:rsidR="00777AD0" w:rsidRPr="00A671BF" w:rsidRDefault="00777AD0" w:rsidP="0038784E">
      <w:pPr>
        <w:spacing w:line="360" w:lineRule="auto"/>
      </w:pPr>
      <w:r w:rsidRPr="00A671BF">
        <w:t>Conclusion</w:t>
      </w:r>
    </w:p>
    <w:p w:rsidR="00F54258" w:rsidRPr="00A671BF" w:rsidRDefault="002272B1" w:rsidP="0038784E">
      <w:pPr>
        <w:spacing w:line="360" w:lineRule="auto"/>
      </w:pPr>
      <w:r w:rsidRPr="00A671BF">
        <w:t xml:space="preserve">By the time </w:t>
      </w:r>
      <w:proofErr w:type="spellStart"/>
      <w:r w:rsidR="00F54258" w:rsidRPr="00A671BF">
        <w:t>Panikkar</w:t>
      </w:r>
      <w:proofErr w:type="spellEnd"/>
      <w:r w:rsidR="00F54258" w:rsidRPr="00A671BF">
        <w:t xml:space="preserve"> </w:t>
      </w:r>
      <w:r w:rsidRPr="00A671BF">
        <w:t>came to write</w:t>
      </w:r>
      <w:r w:rsidR="00F54258" w:rsidRPr="00A671BF">
        <w:t xml:space="preserve"> his memoirs</w:t>
      </w:r>
      <w:r w:rsidRPr="00A671BF">
        <w:t>,</w:t>
      </w:r>
      <w:r w:rsidR="00F54258" w:rsidRPr="00A671BF">
        <w:t xml:space="preserve"> his recollections of Paris </w:t>
      </w:r>
      <w:r w:rsidR="005955E8" w:rsidRPr="00A671BF">
        <w:t>had become</w:t>
      </w:r>
      <w:r w:rsidR="00F54258" w:rsidRPr="00A671BF">
        <w:t xml:space="preserve"> laudatory. </w:t>
      </w:r>
      <w:r w:rsidR="00EF6B37" w:rsidRPr="00A671BF">
        <w:t xml:space="preserve">In language which </w:t>
      </w:r>
      <w:r w:rsidR="00906A15" w:rsidRPr="00A671BF">
        <w:t>echoes</w:t>
      </w:r>
      <w:r w:rsidR="00EF6B37" w:rsidRPr="00A671BF">
        <w:t xml:space="preserve"> strikingly that</w:t>
      </w:r>
      <w:r w:rsidR="00F54258" w:rsidRPr="00A671BF">
        <w:t xml:space="preserve"> used by Baldwin in 1927</w:t>
      </w:r>
      <w:r w:rsidR="00D34495" w:rsidRPr="00A671BF">
        <w:t>,</w:t>
      </w:r>
      <w:r w:rsidR="00F54258" w:rsidRPr="00A671BF">
        <w:t xml:space="preserve"> he claimed:</w:t>
      </w:r>
    </w:p>
    <w:p w:rsidR="00EF6B37" w:rsidRPr="00A671BF" w:rsidRDefault="00EF6B37" w:rsidP="0038784E">
      <w:pPr>
        <w:spacing w:line="360" w:lineRule="auto"/>
      </w:pPr>
    </w:p>
    <w:p w:rsidR="00F54258" w:rsidRPr="00A671BF" w:rsidRDefault="00F54258" w:rsidP="00E4779E">
      <w:pPr>
        <w:spacing w:line="360" w:lineRule="auto"/>
        <w:ind w:left="284"/>
      </w:pPr>
      <w:r w:rsidRPr="00A671BF">
        <w:t xml:space="preserve">As for politics, one might say that Paris was </w:t>
      </w:r>
      <w:r w:rsidR="00FA0C7D" w:rsidRPr="00A671BF">
        <w:t xml:space="preserve">a </w:t>
      </w:r>
      <w:r w:rsidRPr="00A671BF">
        <w:t xml:space="preserve">veritable council for European affairs. Exiled freedom fighters from many countries used to gather in Paris: Italian leaders escaping from the clutches of Mussolini, Polish leaders seeking refuge from Pilsudski, anti-Communist Russians, anti-Kemal Turks, revolutionaries </w:t>
      </w:r>
      <w:proofErr w:type="spellStart"/>
      <w:r w:rsidRPr="00A671BF">
        <w:t>externed</w:t>
      </w:r>
      <w:proofErr w:type="spellEnd"/>
      <w:r w:rsidRPr="00A671BF">
        <w:t xml:space="preserve"> from India. In short, Paris was a haven of refuge for exiles from all over the world. Only in Paris do we find a complete absence of the colour bar. Everyone knows that the British look down on coloured people. The reverse was true of Paris. Negro or Mongol</w:t>
      </w:r>
      <w:r w:rsidR="00094A41" w:rsidRPr="00A671BF">
        <w:t xml:space="preserve"> [</w:t>
      </w:r>
      <w:r w:rsidR="00094A41" w:rsidRPr="00A671BF">
        <w:rPr>
          <w:i/>
        </w:rPr>
        <w:t>sic</w:t>
      </w:r>
      <w:r w:rsidR="00094A41" w:rsidRPr="00A671BF">
        <w:t>]</w:t>
      </w:r>
      <w:r w:rsidRPr="00A671BF">
        <w:t>, Hindu or Briton, each man was respected according to his education and status.</w:t>
      </w:r>
      <w:r w:rsidR="00A22725" w:rsidRPr="00A671BF">
        <w:t xml:space="preserve"> (1977: 61)</w:t>
      </w:r>
    </w:p>
    <w:p w:rsidR="007959D9" w:rsidRPr="00A671BF" w:rsidRDefault="007959D9" w:rsidP="0038784E">
      <w:pPr>
        <w:spacing w:line="360" w:lineRule="auto"/>
        <w:ind w:left="720"/>
      </w:pPr>
    </w:p>
    <w:p w:rsidR="005876C6" w:rsidRPr="00A671BF" w:rsidRDefault="00F54258" w:rsidP="0038784E">
      <w:pPr>
        <w:spacing w:line="360" w:lineRule="auto"/>
      </w:pPr>
      <w:r w:rsidRPr="00A671BF">
        <w:t xml:space="preserve">It would be easy to point out that </w:t>
      </w:r>
      <w:r w:rsidR="009F21F4" w:rsidRPr="00A671BF">
        <w:t xml:space="preserve">historical </w:t>
      </w:r>
      <w:r w:rsidRPr="00A671BF">
        <w:t>reality contradict</w:t>
      </w:r>
      <w:r w:rsidR="009F21F4" w:rsidRPr="00A671BF">
        <w:t>ed</w:t>
      </w:r>
      <w:r w:rsidRPr="00A671BF">
        <w:t xml:space="preserve"> </w:t>
      </w:r>
      <w:r w:rsidR="009F21F4" w:rsidRPr="00A671BF">
        <w:t xml:space="preserve">idealized </w:t>
      </w:r>
      <w:r w:rsidRPr="00A671BF">
        <w:t>memory.</w:t>
      </w:r>
      <w:r w:rsidR="009F21F4" w:rsidRPr="00A671BF">
        <w:t xml:space="preserve"> </w:t>
      </w:r>
      <w:r w:rsidR="001B3BCB" w:rsidRPr="00A671BF">
        <w:t>What is significant</w:t>
      </w:r>
      <w:r w:rsidRPr="00A671BF">
        <w:t xml:space="preserve"> </w:t>
      </w:r>
      <w:r w:rsidR="009F21F4" w:rsidRPr="00A671BF">
        <w:t xml:space="preserve">is </w:t>
      </w:r>
      <w:r w:rsidR="005955E8" w:rsidRPr="00A671BF">
        <w:t>that</w:t>
      </w:r>
      <w:r w:rsidRPr="00A671BF">
        <w:t xml:space="preserve"> the Indians discussed here </w:t>
      </w:r>
      <w:r w:rsidR="005955E8" w:rsidRPr="00A671BF">
        <w:t xml:space="preserve">— </w:t>
      </w:r>
      <w:r w:rsidRPr="00A671BF">
        <w:t>whether th</w:t>
      </w:r>
      <w:r w:rsidR="001B3BCB" w:rsidRPr="00A671BF">
        <w:t>ey were leading revolutionaries</w:t>
      </w:r>
      <w:r w:rsidRPr="00A671BF">
        <w:t xml:space="preserve"> </w:t>
      </w:r>
      <w:r w:rsidR="001B3BCB" w:rsidRPr="00A671BF">
        <w:t>like</w:t>
      </w:r>
      <w:r w:rsidRPr="00A671BF">
        <w:t xml:space="preserve"> Roy and Sav</w:t>
      </w:r>
      <w:r w:rsidR="005A53C5" w:rsidRPr="00A671BF">
        <w:t>a</w:t>
      </w:r>
      <w:r w:rsidRPr="00A671BF">
        <w:t xml:space="preserve">rkar, intellectuals </w:t>
      </w:r>
      <w:r w:rsidR="001B3BCB" w:rsidRPr="00A671BF">
        <w:t>like</w:t>
      </w:r>
      <w:r w:rsidRPr="00A671BF">
        <w:t xml:space="preserve"> </w:t>
      </w:r>
      <w:proofErr w:type="spellStart"/>
      <w:r w:rsidRPr="00A671BF">
        <w:t>Panik</w:t>
      </w:r>
      <w:r w:rsidR="00EF6B37" w:rsidRPr="00A671BF">
        <w:t>k</w:t>
      </w:r>
      <w:r w:rsidRPr="00A671BF">
        <w:t>ar</w:t>
      </w:r>
      <w:proofErr w:type="spellEnd"/>
      <w:r w:rsidRPr="00A671BF">
        <w:t xml:space="preserve">, or </w:t>
      </w:r>
      <w:r w:rsidR="001B3BCB" w:rsidRPr="00A671BF">
        <w:t xml:space="preserve">students like Imtiaz </w:t>
      </w:r>
      <w:r w:rsidRPr="00A671BF">
        <w:t>caught up in the machinations of trans-imperial surveillance</w:t>
      </w:r>
      <w:r w:rsidR="005955E8" w:rsidRPr="00A671BF">
        <w:t xml:space="preserve"> —</w:t>
      </w:r>
      <w:r w:rsidR="009F21F4" w:rsidRPr="00A671BF">
        <w:t xml:space="preserve"> </w:t>
      </w:r>
      <w:r w:rsidR="005955E8" w:rsidRPr="00A671BF">
        <w:t xml:space="preserve">developed </w:t>
      </w:r>
      <w:r w:rsidR="005955E8" w:rsidRPr="00A671BF">
        <w:rPr>
          <w:szCs w:val="22"/>
        </w:rPr>
        <w:t xml:space="preserve">an ambivalent and mutually beneficial </w:t>
      </w:r>
      <w:r w:rsidR="005955E8" w:rsidRPr="00A671BF">
        <w:rPr>
          <w:szCs w:val="22"/>
        </w:rPr>
        <w:lastRenderedPageBreak/>
        <w:t xml:space="preserve">relationship </w:t>
      </w:r>
      <w:r w:rsidR="000E2FE3" w:rsidRPr="00A671BF">
        <w:rPr>
          <w:szCs w:val="22"/>
        </w:rPr>
        <w:t>with</w:t>
      </w:r>
      <w:r w:rsidR="005955E8" w:rsidRPr="00A671BF">
        <w:rPr>
          <w:szCs w:val="22"/>
        </w:rPr>
        <w:t xml:space="preserve"> French activists and intellectuals, who feted and co-opted them in ways that other </w:t>
      </w:r>
      <w:proofErr w:type="spellStart"/>
      <w:r w:rsidR="005955E8" w:rsidRPr="00A671BF">
        <w:rPr>
          <w:szCs w:val="22"/>
        </w:rPr>
        <w:t>anticolonialist</w:t>
      </w:r>
      <w:proofErr w:type="spellEnd"/>
      <w:r w:rsidR="005955E8" w:rsidRPr="00A671BF">
        <w:rPr>
          <w:szCs w:val="22"/>
        </w:rPr>
        <w:t xml:space="preserve"> activists were not.</w:t>
      </w:r>
      <w:r w:rsidR="005955E8" w:rsidRPr="00A671BF">
        <w:t xml:space="preserve"> </w:t>
      </w:r>
      <w:r w:rsidR="009F21F4" w:rsidRPr="00A671BF">
        <w:t xml:space="preserve">Indians </w:t>
      </w:r>
      <w:r w:rsidRPr="00A671BF">
        <w:t xml:space="preserve">expertly made use of imperial rivalry to advance their cause, a cause that at various times mapped directly onto the </w:t>
      </w:r>
      <w:r w:rsidR="00A159A1" w:rsidRPr="00A671BF">
        <w:t>objectives</w:t>
      </w:r>
      <w:r w:rsidRPr="00A671BF">
        <w:t xml:space="preserve"> of key French political </w:t>
      </w:r>
      <w:r w:rsidR="00426097" w:rsidRPr="00A671BF">
        <w:t>groupings</w:t>
      </w:r>
      <w:r w:rsidRPr="00A671BF">
        <w:t xml:space="preserve">, but they also fell between two empires in ways that </w:t>
      </w:r>
      <w:r w:rsidR="00916884" w:rsidRPr="00A671BF">
        <w:t>could lead to expulsion — either because of the chaotic reality of police monitoring or,</w:t>
      </w:r>
      <w:r w:rsidRPr="00A671BF">
        <w:t xml:space="preserve"> </w:t>
      </w:r>
      <w:r w:rsidR="00916884" w:rsidRPr="00A671BF">
        <w:t xml:space="preserve">as in the case of Imtiaz, because of racist assumptions where an Indian man was deemed a threat to Frenchwomen. </w:t>
      </w:r>
      <w:r w:rsidRPr="00A671BF">
        <w:t xml:space="preserve">After the failure of </w:t>
      </w:r>
      <w:r w:rsidR="00BC7304" w:rsidRPr="00A671BF">
        <w:t xml:space="preserve">the </w:t>
      </w:r>
      <w:r w:rsidR="00310D62" w:rsidRPr="00A671BF">
        <w:t xml:space="preserve">Round Table </w:t>
      </w:r>
      <w:r w:rsidR="00BC7304" w:rsidRPr="00A671BF">
        <w:t>Conferences (1930</w:t>
      </w:r>
      <w:r w:rsidR="00BC7304" w:rsidRPr="00A671BF">
        <w:rPr>
          <w:rFonts w:cs="Calibri"/>
        </w:rPr>
        <w:t>–</w:t>
      </w:r>
      <w:r w:rsidR="00BC7304" w:rsidRPr="00A671BF">
        <w:t>32)</w:t>
      </w:r>
      <w:r w:rsidR="00916884" w:rsidRPr="00A671BF">
        <w:t>, and as increasing</w:t>
      </w:r>
      <w:r w:rsidRPr="00A671BF">
        <w:t xml:space="preserve"> concern about a remilitarizing Germany and a crisis of the republic occupied French front pages, Indian affairs lost their attraction. </w:t>
      </w:r>
      <w:r w:rsidR="00426097" w:rsidRPr="00A671BF">
        <w:t>Despite</w:t>
      </w:r>
      <w:r w:rsidRPr="00A671BF">
        <w:t xml:space="preserve"> influential friends, </w:t>
      </w:r>
      <w:proofErr w:type="spellStart"/>
      <w:r w:rsidRPr="00A671BF">
        <w:t>Imitaz</w:t>
      </w:r>
      <w:proofErr w:type="spellEnd"/>
      <w:r w:rsidRPr="00A671BF">
        <w:t xml:space="preserve"> could not mobilize the support of the Ligue des droits de </w:t>
      </w:r>
      <w:proofErr w:type="spellStart"/>
      <w:r w:rsidRPr="00A671BF">
        <w:t>l’homme</w:t>
      </w:r>
      <w:proofErr w:type="spellEnd"/>
      <w:r w:rsidRPr="00A671BF">
        <w:t xml:space="preserve"> in 1938</w:t>
      </w:r>
      <w:r w:rsidR="00FA0C7D" w:rsidRPr="00A671BF">
        <w:t xml:space="preserve"> as Mme </w:t>
      </w:r>
      <w:proofErr w:type="spellStart"/>
      <w:r w:rsidR="00FA0C7D" w:rsidRPr="00A671BF">
        <w:t>Cama</w:t>
      </w:r>
      <w:proofErr w:type="spellEnd"/>
      <w:r w:rsidR="00FA0C7D" w:rsidRPr="00A671BF">
        <w:t xml:space="preserve"> and M. N. Roy had done so effectively before</w:t>
      </w:r>
      <w:r w:rsidRPr="00A671BF">
        <w:t>. Meanwhile, for activists such as Roy, Mosco</w:t>
      </w:r>
      <w:r w:rsidR="00426097" w:rsidRPr="00A671BF">
        <w:t>w</w:t>
      </w:r>
      <w:r w:rsidRPr="00A671BF">
        <w:t xml:space="preserve"> was a far more amenable place to sojourn. </w:t>
      </w:r>
      <w:r w:rsidR="00426097" w:rsidRPr="00A671BF">
        <w:t>Ultimately, Paris was</w:t>
      </w:r>
      <w:r w:rsidR="00E56D62" w:rsidRPr="00A671BF">
        <w:t xml:space="preserve"> more effective as a discursive construct than as a physical refuge. </w:t>
      </w:r>
    </w:p>
    <w:p w:rsidR="000E1B69" w:rsidRPr="00A671BF" w:rsidRDefault="000E1B69" w:rsidP="0038784E">
      <w:pPr>
        <w:spacing w:line="360" w:lineRule="auto"/>
      </w:pPr>
    </w:p>
    <w:p w:rsidR="000E1B69" w:rsidRPr="00A671BF" w:rsidRDefault="000E1B69" w:rsidP="000E1B69">
      <w:pPr>
        <w:rPr>
          <w:lang w:val="fr-FR"/>
        </w:rPr>
      </w:pPr>
      <w:proofErr w:type="spellStart"/>
      <w:r w:rsidRPr="00A671BF">
        <w:rPr>
          <w:lang w:val="fr-FR"/>
        </w:rPr>
        <w:t>Manuscript</w:t>
      </w:r>
      <w:proofErr w:type="spellEnd"/>
      <w:r w:rsidRPr="00A671BF">
        <w:rPr>
          <w:lang w:val="fr-FR"/>
        </w:rPr>
        <w:t xml:space="preserve"> sources</w:t>
      </w:r>
    </w:p>
    <w:p w:rsidR="000E1B69" w:rsidRPr="00A671BF" w:rsidRDefault="000E1B69" w:rsidP="000E1B69">
      <w:pPr>
        <w:ind w:left="720" w:hanging="720"/>
      </w:pPr>
      <w:r w:rsidRPr="00A671BF">
        <w:rPr>
          <w:lang w:val="fr-FR"/>
        </w:rPr>
        <w:t xml:space="preserve">Ambassade (1908) Ambassade de France à Londres, 12 </w:t>
      </w:r>
      <w:proofErr w:type="spellStart"/>
      <w:r w:rsidRPr="00A671BF">
        <w:rPr>
          <w:lang w:val="fr-FR"/>
        </w:rPr>
        <w:t>October</w:t>
      </w:r>
      <w:proofErr w:type="spellEnd"/>
      <w:r w:rsidRPr="00A671BF">
        <w:rPr>
          <w:lang w:val="fr-FR"/>
        </w:rPr>
        <w:t xml:space="preserve"> 1908</w:t>
      </w:r>
      <w:r w:rsidR="00506D92" w:rsidRPr="00A671BF">
        <w:rPr>
          <w:lang w:val="fr-FR"/>
        </w:rPr>
        <w:t>.</w:t>
      </w:r>
      <w:r w:rsidRPr="00A671BF">
        <w:rPr>
          <w:lang w:val="fr-FR"/>
        </w:rPr>
        <w:t xml:space="preserve"> </w:t>
      </w:r>
      <w:r w:rsidRPr="00A671BF">
        <w:t>L/PJ/6/994: File 847. London: British Library, India Office Records (hereafter IOR).</w:t>
      </w:r>
    </w:p>
    <w:p w:rsidR="000E1B69" w:rsidRPr="00A671BF" w:rsidRDefault="000E1B69" w:rsidP="000E1B69">
      <w:pPr>
        <w:ind w:left="720" w:hanging="720"/>
      </w:pPr>
      <w:r w:rsidRPr="00A671BF">
        <w:t>Arbitral Tribunal (1911) Arbitral Tribunal appointed to the case of Savarkar, 24 February 1911</w:t>
      </w:r>
      <w:r w:rsidR="00506D92" w:rsidRPr="00A671BF">
        <w:t xml:space="preserve">. </w:t>
      </w:r>
      <w:r w:rsidRPr="00A671BF">
        <w:t>HO 144 1063. Kew: National Archives (hereafter NA).</w:t>
      </w:r>
    </w:p>
    <w:p w:rsidR="00364AA5" w:rsidRPr="00A671BF" w:rsidRDefault="00364AA5" w:rsidP="00364AA5">
      <w:pPr>
        <w:ind w:left="720" w:hanging="720"/>
        <w:rPr>
          <w:lang w:val="fr-FR"/>
        </w:rPr>
      </w:pPr>
      <w:r w:rsidRPr="00A671BF">
        <w:rPr>
          <w:lang w:val="fr-FR"/>
        </w:rPr>
        <w:t>CAI (1925a) Hindous à Marseille, May 1925</w:t>
      </w:r>
      <w:r w:rsidR="00506D92" w:rsidRPr="00A671BF">
        <w:rPr>
          <w:lang w:val="fr-FR"/>
        </w:rPr>
        <w:t>.</w:t>
      </w:r>
      <w:r w:rsidRPr="00A671BF">
        <w:rPr>
          <w:lang w:val="fr-FR"/>
        </w:rPr>
        <w:t xml:space="preserve"> 3 SLOTFOM 97. </w:t>
      </w:r>
      <w:r w:rsidR="00506D92" w:rsidRPr="00A671BF">
        <w:rPr>
          <w:lang w:val="fr-FR"/>
        </w:rPr>
        <w:t>Aix-en-</w:t>
      </w:r>
      <w:proofErr w:type="gramStart"/>
      <w:r w:rsidR="00506D92" w:rsidRPr="00A671BF">
        <w:rPr>
          <w:lang w:val="fr-FR"/>
        </w:rPr>
        <w:t>Provence:</w:t>
      </w:r>
      <w:proofErr w:type="gramEnd"/>
      <w:r w:rsidR="00506D92" w:rsidRPr="00A671BF">
        <w:rPr>
          <w:lang w:val="fr-FR"/>
        </w:rPr>
        <w:t xml:space="preserve"> Archives nationales d’Outre-Mer (</w:t>
      </w:r>
      <w:proofErr w:type="spellStart"/>
      <w:r w:rsidR="00506D92" w:rsidRPr="00A671BF">
        <w:rPr>
          <w:lang w:val="fr-FR"/>
        </w:rPr>
        <w:t>hereafter</w:t>
      </w:r>
      <w:proofErr w:type="spellEnd"/>
      <w:r w:rsidR="00506D92" w:rsidRPr="00A671BF">
        <w:rPr>
          <w:lang w:val="fr-FR"/>
        </w:rPr>
        <w:t xml:space="preserve"> CAOM).</w:t>
      </w:r>
    </w:p>
    <w:p w:rsidR="00F52B70" w:rsidRPr="00A671BF" w:rsidRDefault="00F52B70" w:rsidP="00364AA5">
      <w:pPr>
        <w:ind w:left="720" w:hanging="720"/>
      </w:pPr>
      <w:r w:rsidRPr="00A671BF">
        <w:t>CAI (1925b) Roy, 22 March, 1925</w:t>
      </w:r>
      <w:r w:rsidR="00506D92" w:rsidRPr="00A671BF">
        <w:t xml:space="preserve">. </w:t>
      </w:r>
      <w:r w:rsidRPr="00A671BF">
        <w:t>F7/14978</w:t>
      </w:r>
      <w:r w:rsidR="00506D92" w:rsidRPr="00A671BF">
        <w:t>.</w:t>
      </w:r>
      <w:r w:rsidRPr="00A671BF">
        <w:t xml:space="preserve"> Paris: Archives </w:t>
      </w:r>
      <w:proofErr w:type="spellStart"/>
      <w:r w:rsidR="00506D92" w:rsidRPr="00A671BF">
        <w:t>n</w:t>
      </w:r>
      <w:r w:rsidRPr="00A671BF">
        <w:t>ationales</w:t>
      </w:r>
      <w:proofErr w:type="spellEnd"/>
      <w:r w:rsidR="00506D92" w:rsidRPr="00A671BF">
        <w:t xml:space="preserve"> (hereafter AN)</w:t>
      </w:r>
      <w:r w:rsidRPr="00A671BF">
        <w:t>.</w:t>
      </w:r>
    </w:p>
    <w:p w:rsidR="00B83F4F" w:rsidRPr="00A671BF" w:rsidRDefault="00B83F4F" w:rsidP="00B83F4F">
      <w:pPr>
        <w:pStyle w:val="FootnoteText"/>
        <w:ind w:left="720" w:hanging="720"/>
        <w:rPr>
          <w:sz w:val="24"/>
          <w:szCs w:val="24"/>
        </w:rPr>
      </w:pPr>
      <w:r w:rsidRPr="00A671BF">
        <w:rPr>
          <w:sz w:val="24"/>
          <w:szCs w:val="24"/>
        </w:rPr>
        <w:t>CAI (1938) Imtiaz, Ali Khan, 15 February 1938</w:t>
      </w:r>
      <w:r w:rsidR="00506D92" w:rsidRPr="00A671BF">
        <w:rPr>
          <w:sz w:val="24"/>
          <w:szCs w:val="24"/>
        </w:rPr>
        <w:t>.</w:t>
      </w:r>
      <w:r w:rsidRPr="00A671BF">
        <w:rPr>
          <w:sz w:val="24"/>
          <w:szCs w:val="24"/>
        </w:rPr>
        <w:t xml:space="preserve"> 8 SLOTFOM 14. </w:t>
      </w:r>
      <w:r w:rsidR="00506D92" w:rsidRPr="00A671BF">
        <w:rPr>
          <w:sz w:val="24"/>
          <w:szCs w:val="24"/>
        </w:rPr>
        <w:t>CAOM</w:t>
      </w:r>
      <w:r w:rsidR="00BA2C56" w:rsidRPr="00A671BF">
        <w:rPr>
          <w:sz w:val="24"/>
          <w:szCs w:val="24"/>
        </w:rPr>
        <w:t>.</w:t>
      </w:r>
    </w:p>
    <w:p w:rsidR="000E1B69" w:rsidRPr="00A671BF" w:rsidRDefault="000E1B69" w:rsidP="000E1B69">
      <w:pPr>
        <w:ind w:left="720" w:hanging="720"/>
      </w:pPr>
      <w:proofErr w:type="spellStart"/>
      <w:r w:rsidRPr="00A671BF">
        <w:t>Cambon</w:t>
      </w:r>
      <w:proofErr w:type="spellEnd"/>
      <w:r w:rsidRPr="00A671BF">
        <w:t xml:space="preserve"> P (1910) Paul </w:t>
      </w:r>
      <w:proofErr w:type="spellStart"/>
      <w:r w:rsidRPr="00A671BF">
        <w:t>Cambon</w:t>
      </w:r>
      <w:proofErr w:type="spellEnd"/>
      <w:r w:rsidRPr="00A671BF">
        <w:t xml:space="preserve"> (French Ambassador), 23 July 1910</w:t>
      </w:r>
      <w:r w:rsidR="00506D92" w:rsidRPr="00A671BF">
        <w:t>.</w:t>
      </w:r>
      <w:r w:rsidRPr="00A671BF">
        <w:t xml:space="preserve"> L/PJ/6/994: File 84. IOR.</w:t>
      </w:r>
    </w:p>
    <w:p w:rsidR="000E1B69" w:rsidRPr="00A671BF" w:rsidRDefault="000E1B69" w:rsidP="000E1B69">
      <w:pPr>
        <w:ind w:left="720" w:hanging="720"/>
      </w:pPr>
      <w:r w:rsidRPr="00A671BF">
        <w:t xml:space="preserve">Chand D (1938) Dui Chand to Sir </w:t>
      </w:r>
      <w:proofErr w:type="spellStart"/>
      <w:r w:rsidRPr="00A671BF">
        <w:t>Feroze</w:t>
      </w:r>
      <w:proofErr w:type="spellEnd"/>
      <w:r w:rsidRPr="00A671BF">
        <w:t xml:space="preserve"> Khan Noon, 30 July 1938</w:t>
      </w:r>
      <w:r w:rsidR="00506D92" w:rsidRPr="00A671BF">
        <w:t xml:space="preserve">. </w:t>
      </w:r>
      <w:r w:rsidRPr="00A671BF">
        <w:t>L/P&amp;J/12/494. IOR.</w:t>
      </w:r>
    </w:p>
    <w:p w:rsidR="00F27ABD" w:rsidRPr="00A671BF" w:rsidRDefault="00F27ABD" w:rsidP="00F27ABD">
      <w:pPr>
        <w:pStyle w:val="FootnoteText"/>
        <w:ind w:left="720" w:hanging="720"/>
        <w:rPr>
          <w:sz w:val="24"/>
          <w:szCs w:val="24"/>
          <w:lang w:val="fr-FR"/>
        </w:rPr>
      </w:pPr>
      <w:r w:rsidRPr="00A671BF">
        <w:rPr>
          <w:sz w:val="24"/>
          <w:szCs w:val="24"/>
          <w:lang w:val="fr-FR"/>
        </w:rPr>
        <w:t xml:space="preserve">Chef du Service (1921) Le Chef du Service des Renseignements généraux, Au sujet d’associations hindoues à Paris et de leurs dirigeants, 30 </w:t>
      </w:r>
      <w:proofErr w:type="spellStart"/>
      <w:r w:rsidRPr="00A671BF">
        <w:rPr>
          <w:sz w:val="24"/>
          <w:szCs w:val="24"/>
          <w:lang w:val="fr-FR"/>
        </w:rPr>
        <w:t>November</w:t>
      </w:r>
      <w:proofErr w:type="spellEnd"/>
      <w:r w:rsidRPr="00A671BF">
        <w:rPr>
          <w:sz w:val="24"/>
          <w:szCs w:val="24"/>
          <w:lang w:val="fr-FR"/>
        </w:rPr>
        <w:t xml:space="preserve"> 1921</w:t>
      </w:r>
      <w:r w:rsidR="00506D92" w:rsidRPr="00A671BF">
        <w:rPr>
          <w:sz w:val="24"/>
          <w:szCs w:val="24"/>
          <w:lang w:val="fr-FR"/>
        </w:rPr>
        <w:t>.</w:t>
      </w:r>
      <w:r w:rsidRPr="00A671BF">
        <w:rPr>
          <w:sz w:val="24"/>
          <w:szCs w:val="24"/>
          <w:lang w:val="fr-FR"/>
        </w:rPr>
        <w:t xml:space="preserve"> BA 2184.</w:t>
      </w:r>
      <w:r w:rsidR="00506D92" w:rsidRPr="00A671BF">
        <w:rPr>
          <w:sz w:val="24"/>
          <w:szCs w:val="24"/>
          <w:lang w:val="fr-FR"/>
        </w:rPr>
        <w:t xml:space="preserve"> </w:t>
      </w:r>
      <w:proofErr w:type="gramStart"/>
      <w:r w:rsidR="00506D92" w:rsidRPr="00A671BF">
        <w:rPr>
          <w:sz w:val="24"/>
          <w:szCs w:val="24"/>
          <w:lang w:val="fr-FR"/>
        </w:rPr>
        <w:t>Paris:</w:t>
      </w:r>
      <w:proofErr w:type="gramEnd"/>
      <w:r w:rsidR="00506D92" w:rsidRPr="00A671BF">
        <w:rPr>
          <w:sz w:val="24"/>
          <w:szCs w:val="24"/>
          <w:lang w:val="fr-FR"/>
        </w:rPr>
        <w:t xml:space="preserve"> Archives de la Préfecture de Police (</w:t>
      </w:r>
      <w:proofErr w:type="spellStart"/>
      <w:r w:rsidR="00506D92" w:rsidRPr="00A671BF">
        <w:rPr>
          <w:sz w:val="24"/>
          <w:szCs w:val="24"/>
          <w:lang w:val="fr-FR"/>
        </w:rPr>
        <w:t>hereafter</w:t>
      </w:r>
      <w:proofErr w:type="spellEnd"/>
      <w:r w:rsidR="00506D92" w:rsidRPr="00A671BF">
        <w:rPr>
          <w:sz w:val="24"/>
          <w:szCs w:val="24"/>
          <w:lang w:val="fr-FR"/>
        </w:rPr>
        <w:t xml:space="preserve"> APP).</w:t>
      </w:r>
    </w:p>
    <w:p w:rsidR="0071475B" w:rsidRPr="00A671BF" w:rsidRDefault="0071475B" w:rsidP="00F27ABD">
      <w:pPr>
        <w:pStyle w:val="FootnoteText"/>
        <w:ind w:left="720" w:hanging="720"/>
        <w:rPr>
          <w:sz w:val="24"/>
          <w:szCs w:val="24"/>
          <w:lang w:val="fr-FR"/>
        </w:rPr>
      </w:pPr>
      <w:r w:rsidRPr="00A671BF">
        <w:rPr>
          <w:sz w:val="24"/>
          <w:szCs w:val="24"/>
          <w:lang w:val="fr-FR"/>
        </w:rPr>
        <w:t xml:space="preserve">Chef du Service (1926) Chef du Service des Renseignements Généraux et des Jeux </w:t>
      </w:r>
      <w:r w:rsidR="00506D92" w:rsidRPr="00A671BF">
        <w:rPr>
          <w:sz w:val="24"/>
          <w:szCs w:val="24"/>
          <w:lang w:val="fr-FR"/>
        </w:rPr>
        <w:t>au</w:t>
      </w:r>
      <w:r w:rsidRPr="00A671BF">
        <w:rPr>
          <w:sz w:val="24"/>
          <w:szCs w:val="24"/>
          <w:lang w:val="fr-FR"/>
        </w:rPr>
        <w:t xml:space="preserve"> Préfet de Police, 1 </w:t>
      </w:r>
      <w:proofErr w:type="spellStart"/>
      <w:r w:rsidRPr="00A671BF">
        <w:rPr>
          <w:sz w:val="24"/>
          <w:szCs w:val="24"/>
          <w:lang w:val="fr-FR"/>
        </w:rPr>
        <w:t>September</w:t>
      </w:r>
      <w:proofErr w:type="spellEnd"/>
      <w:r w:rsidRPr="00A671BF">
        <w:rPr>
          <w:sz w:val="24"/>
          <w:szCs w:val="24"/>
          <w:lang w:val="fr-FR"/>
        </w:rPr>
        <w:t xml:space="preserve"> 1926</w:t>
      </w:r>
      <w:r w:rsidR="00506D92" w:rsidRPr="00A671BF">
        <w:rPr>
          <w:sz w:val="24"/>
          <w:szCs w:val="24"/>
          <w:lang w:val="fr-FR"/>
        </w:rPr>
        <w:t>.</w:t>
      </w:r>
      <w:r w:rsidRPr="00A671BF">
        <w:rPr>
          <w:sz w:val="24"/>
          <w:szCs w:val="24"/>
          <w:lang w:val="fr-FR"/>
        </w:rPr>
        <w:t xml:space="preserve"> BA 2184. APP.</w:t>
      </w:r>
    </w:p>
    <w:p w:rsidR="000E1B69" w:rsidRPr="00A671BF" w:rsidRDefault="000E1B69" w:rsidP="000E1B69">
      <w:pPr>
        <w:ind w:left="720" w:hanging="720"/>
        <w:rPr>
          <w:lang w:val="fr-FR"/>
        </w:rPr>
      </w:pPr>
      <w:r w:rsidRPr="00A671BF">
        <w:t>Churchill WS (1910) W. S. C.[</w:t>
      </w:r>
      <w:proofErr w:type="spellStart"/>
      <w:r w:rsidRPr="00A671BF">
        <w:t>hurchill</w:t>
      </w:r>
      <w:proofErr w:type="spellEnd"/>
      <w:r w:rsidRPr="00A671BF">
        <w:t>], Enclosure no. 8. Minute by Secretary of State for Home Affairs, 29 July 1910</w:t>
      </w:r>
      <w:r w:rsidR="00506D92" w:rsidRPr="00A671BF">
        <w:t>.</w:t>
      </w:r>
      <w:r w:rsidRPr="00A671BF">
        <w:t xml:space="preserve"> </w:t>
      </w:r>
      <w:r w:rsidRPr="00A671BF">
        <w:rPr>
          <w:lang w:val="fr-FR"/>
        </w:rPr>
        <w:t>L/PJ/6/</w:t>
      </w:r>
      <w:proofErr w:type="gramStart"/>
      <w:r w:rsidRPr="00A671BF">
        <w:rPr>
          <w:lang w:val="fr-FR"/>
        </w:rPr>
        <w:t>994:</w:t>
      </w:r>
      <w:proofErr w:type="gramEnd"/>
      <w:r w:rsidRPr="00A671BF">
        <w:rPr>
          <w:lang w:val="fr-FR"/>
        </w:rPr>
        <w:t xml:space="preserve"> File 84. IOR.</w:t>
      </w:r>
    </w:p>
    <w:p w:rsidR="00F42143" w:rsidRPr="00A671BF" w:rsidRDefault="00F42143" w:rsidP="00F42143">
      <w:pPr>
        <w:pStyle w:val="FootnoteText"/>
        <w:ind w:left="720" w:hanging="720"/>
        <w:rPr>
          <w:sz w:val="24"/>
          <w:szCs w:val="24"/>
          <w:lang w:val="fr-FR"/>
        </w:rPr>
      </w:pPr>
      <w:r w:rsidRPr="00A671BF">
        <w:rPr>
          <w:sz w:val="24"/>
          <w:szCs w:val="24"/>
          <w:lang w:val="fr-FR"/>
        </w:rPr>
        <w:t xml:space="preserve">Commissaire (1914) Commissaire de Police, Note, 13 </w:t>
      </w:r>
      <w:proofErr w:type="spellStart"/>
      <w:r w:rsidRPr="00A671BF">
        <w:rPr>
          <w:sz w:val="24"/>
          <w:szCs w:val="24"/>
          <w:lang w:val="fr-FR"/>
        </w:rPr>
        <w:t>November</w:t>
      </w:r>
      <w:proofErr w:type="spellEnd"/>
      <w:r w:rsidRPr="00A671BF">
        <w:rPr>
          <w:sz w:val="24"/>
          <w:szCs w:val="24"/>
          <w:lang w:val="fr-FR"/>
        </w:rPr>
        <w:t xml:space="preserve"> 1914</w:t>
      </w:r>
      <w:r w:rsidR="00506D92" w:rsidRPr="00A671BF">
        <w:rPr>
          <w:sz w:val="24"/>
          <w:szCs w:val="24"/>
          <w:lang w:val="fr-FR"/>
        </w:rPr>
        <w:t xml:space="preserve">. </w:t>
      </w:r>
      <w:r w:rsidRPr="00A671BF">
        <w:rPr>
          <w:sz w:val="24"/>
          <w:szCs w:val="24"/>
          <w:lang w:val="fr-FR"/>
        </w:rPr>
        <w:t xml:space="preserve">1 M 525. </w:t>
      </w:r>
      <w:proofErr w:type="gramStart"/>
      <w:r w:rsidRPr="00A671BF">
        <w:rPr>
          <w:sz w:val="24"/>
          <w:szCs w:val="24"/>
          <w:lang w:val="fr-FR"/>
        </w:rPr>
        <w:t>Bordeaux:</w:t>
      </w:r>
      <w:proofErr w:type="gramEnd"/>
      <w:r w:rsidRPr="00A671BF">
        <w:rPr>
          <w:sz w:val="24"/>
          <w:szCs w:val="24"/>
          <w:lang w:val="fr-FR"/>
        </w:rPr>
        <w:t xml:space="preserve"> Archives départementales de la Gironde.</w:t>
      </w:r>
    </w:p>
    <w:p w:rsidR="000E1B69" w:rsidRPr="00A671BF" w:rsidRDefault="000E1B69" w:rsidP="00E114D7">
      <w:pPr>
        <w:ind w:left="720" w:hanging="720"/>
      </w:pPr>
      <w:r w:rsidRPr="00A671BF">
        <w:rPr>
          <w:bCs/>
          <w:lang w:val="fr-FR"/>
        </w:rPr>
        <w:t xml:space="preserve">Communistes (1922) Communistes hindous à Paris, </w:t>
      </w:r>
      <w:proofErr w:type="spellStart"/>
      <w:r w:rsidRPr="00A671BF">
        <w:rPr>
          <w:bCs/>
          <w:lang w:val="fr-FR"/>
        </w:rPr>
        <w:t>December</w:t>
      </w:r>
      <w:proofErr w:type="spellEnd"/>
      <w:r w:rsidRPr="00A671BF">
        <w:rPr>
          <w:bCs/>
          <w:lang w:val="fr-FR"/>
        </w:rPr>
        <w:t xml:space="preserve"> 1922, </w:t>
      </w:r>
      <w:r w:rsidRPr="00A671BF">
        <w:rPr>
          <w:lang w:val="fr-FR"/>
        </w:rPr>
        <w:t>55CPCOM7</w:t>
      </w:r>
      <w:r w:rsidRPr="00A671BF">
        <w:rPr>
          <w:bCs/>
          <w:lang w:val="fr-FR"/>
        </w:rPr>
        <w:t xml:space="preserve">. </w:t>
      </w:r>
      <w:proofErr w:type="spellStart"/>
      <w:r w:rsidR="00E114D7" w:rsidRPr="00A671BF">
        <w:t>Courneuve</w:t>
      </w:r>
      <w:proofErr w:type="spellEnd"/>
      <w:r w:rsidR="00E114D7" w:rsidRPr="00A671BF">
        <w:t>, Archives diplomatiques (hereafter AD).</w:t>
      </w:r>
    </w:p>
    <w:p w:rsidR="000E1B69" w:rsidRPr="00A671BF" w:rsidRDefault="000E1B69" w:rsidP="000E1B69">
      <w:pPr>
        <w:ind w:left="720" w:hanging="720"/>
      </w:pPr>
      <w:r w:rsidRPr="00A671BF">
        <w:t>Crewe-Milnes R (1924) Crewe[-Milnes] to Austen Chamberlain</w:t>
      </w:r>
      <w:r w:rsidR="00506D92" w:rsidRPr="00A671BF">
        <w:t>,</w:t>
      </w:r>
      <w:r w:rsidRPr="00A671BF">
        <w:t xml:space="preserve"> 10 December 1924</w:t>
      </w:r>
      <w:r w:rsidR="00506D92" w:rsidRPr="00A671BF">
        <w:t>.</w:t>
      </w:r>
      <w:r w:rsidRPr="00A671BF">
        <w:t xml:space="preserve"> L/P&amp;J/12/219, No. 2691. IOR.</w:t>
      </w:r>
    </w:p>
    <w:p w:rsidR="000E1B69" w:rsidRPr="00A671BF" w:rsidRDefault="000E1B69" w:rsidP="000E1B69">
      <w:pPr>
        <w:ind w:left="720" w:hanging="720"/>
        <w:rPr>
          <w:lang w:val="fr-FR"/>
        </w:rPr>
      </w:pPr>
      <w:r w:rsidRPr="00A671BF">
        <w:t>Criminal Intelligence (1910) Weekly report by the director of Criminal Intelligence, 23 August 1910</w:t>
      </w:r>
      <w:r w:rsidR="00506D92" w:rsidRPr="00A671BF">
        <w:t>.</w:t>
      </w:r>
      <w:r w:rsidRPr="00A671BF">
        <w:t xml:space="preserve"> POS/3095. </w:t>
      </w:r>
      <w:r w:rsidRPr="00A671BF">
        <w:rPr>
          <w:lang w:val="fr-FR"/>
        </w:rPr>
        <w:t>ILOR.</w:t>
      </w:r>
    </w:p>
    <w:p w:rsidR="000E1B69" w:rsidRPr="00A671BF" w:rsidRDefault="000E1B69" w:rsidP="000E1B69">
      <w:pPr>
        <w:ind w:left="720" w:hanging="720"/>
        <w:rPr>
          <w:lang w:val="fr-FR"/>
        </w:rPr>
      </w:pPr>
      <w:r w:rsidRPr="00A671BF">
        <w:rPr>
          <w:lang w:val="fr-FR"/>
        </w:rPr>
        <w:t xml:space="preserve">Directeur (1931a) Le Directeur des Renseignements Généraux et des Jeux </w:t>
      </w:r>
      <w:r w:rsidR="00506D92" w:rsidRPr="00A671BF">
        <w:rPr>
          <w:lang w:val="fr-FR"/>
        </w:rPr>
        <w:t>au</w:t>
      </w:r>
      <w:r w:rsidRPr="00A671BF">
        <w:rPr>
          <w:lang w:val="fr-FR"/>
        </w:rPr>
        <w:t xml:space="preserve"> Préfet de Police, </w:t>
      </w:r>
      <w:proofErr w:type="gramStart"/>
      <w:r w:rsidRPr="00A671BF">
        <w:rPr>
          <w:lang w:val="fr-FR"/>
        </w:rPr>
        <w:t>Objet:</w:t>
      </w:r>
      <w:proofErr w:type="gramEnd"/>
      <w:r w:rsidRPr="00A671BF">
        <w:rPr>
          <w:lang w:val="fr-FR"/>
        </w:rPr>
        <w:t xml:space="preserve"> A.S. de l’agitateur hindou Gandhi, 6 </w:t>
      </w:r>
      <w:proofErr w:type="spellStart"/>
      <w:r w:rsidRPr="00A671BF">
        <w:rPr>
          <w:lang w:val="fr-FR"/>
        </w:rPr>
        <w:t>December</w:t>
      </w:r>
      <w:proofErr w:type="spellEnd"/>
      <w:r w:rsidRPr="00A671BF">
        <w:rPr>
          <w:lang w:val="fr-FR"/>
        </w:rPr>
        <w:t xml:space="preserve"> 1931</w:t>
      </w:r>
      <w:r w:rsidR="00506D92" w:rsidRPr="00A671BF">
        <w:rPr>
          <w:lang w:val="fr-FR"/>
        </w:rPr>
        <w:t>.</w:t>
      </w:r>
      <w:r w:rsidRPr="00A671BF">
        <w:rPr>
          <w:lang w:val="fr-FR"/>
        </w:rPr>
        <w:t xml:space="preserve"> </w:t>
      </w:r>
      <w:r w:rsidRPr="00A671BF">
        <w:rPr>
          <w:iCs/>
          <w:lang w:val="fr-FR"/>
        </w:rPr>
        <w:t xml:space="preserve">BA 1633. </w:t>
      </w:r>
      <w:r w:rsidRPr="00A671BF">
        <w:rPr>
          <w:lang w:val="fr-FR"/>
        </w:rPr>
        <w:t>Paris: Archives de la Préfecture de Police.</w:t>
      </w:r>
    </w:p>
    <w:p w:rsidR="000E1B69" w:rsidRPr="00A671BF" w:rsidRDefault="000E1B69" w:rsidP="000E1B69">
      <w:pPr>
        <w:ind w:left="720" w:hanging="720"/>
        <w:rPr>
          <w:iCs/>
          <w:lang w:val="fr-FR"/>
        </w:rPr>
      </w:pPr>
      <w:r w:rsidRPr="00A671BF">
        <w:rPr>
          <w:lang w:val="fr-FR"/>
        </w:rPr>
        <w:t xml:space="preserve">Directeur (1931b) </w:t>
      </w:r>
      <w:r w:rsidRPr="00A671BF">
        <w:rPr>
          <w:iCs/>
          <w:lang w:val="fr-FR"/>
        </w:rPr>
        <w:t xml:space="preserve">Meeting organisé par la </w:t>
      </w:r>
      <w:r w:rsidR="00506D92" w:rsidRPr="00A671BF">
        <w:rPr>
          <w:iCs/>
          <w:lang w:val="fr-FR"/>
        </w:rPr>
        <w:t>‘</w:t>
      </w:r>
      <w:r w:rsidRPr="00A671BF">
        <w:rPr>
          <w:iCs/>
          <w:lang w:val="fr-FR"/>
        </w:rPr>
        <w:t>Société des Amis</w:t>
      </w:r>
      <w:r w:rsidR="00506D92" w:rsidRPr="00A671BF">
        <w:rPr>
          <w:iCs/>
          <w:lang w:val="fr-FR"/>
        </w:rPr>
        <w:t>’</w:t>
      </w:r>
      <w:r w:rsidRPr="00A671BF">
        <w:rPr>
          <w:iCs/>
          <w:lang w:val="fr-FR"/>
        </w:rPr>
        <w:t xml:space="preserve"> à </w:t>
      </w:r>
      <w:r w:rsidR="00F853FB" w:rsidRPr="00A671BF">
        <w:rPr>
          <w:iCs/>
          <w:lang w:val="fr-FR"/>
        </w:rPr>
        <w:t>l’</w:t>
      </w:r>
      <w:r w:rsidRPr="00A671BF">
        <w:rPr>
          <w:iCs/>
          <w:lang w:val="fr-FR"/>
        </w:rPr>
        <w:t xml:space="preserve">occasion de la venue à Paris de l’agitateur hindou Gandhi, 6 </w:t>
      </w:r>
      <w:proofErr w:type="spellStart"/>
      <w:r w:rsidRPr="00A671BF">
        <w:rPr>
          <w:iCs/>
          <w:lang w:val="fr-FR"/>
        </w:rPr>
        <w:t>December</w:t>
      </w:r>
      <w:proofErr w:type="spellEnd"/>
      <w:r w:rsidRPr="00A671BF">
        <w:rPr>
          <w:iCs/>
          <w:lang w:val="fr-FR"/>
        </w:rPr>
        <w:t xml:space="preserve"> 1931</w:t>
      </w:r>
      <w:r w:rsidR="00506D92" w:rsidRPr="00A671BF">
        <w:rPr>
          <w:iCs/>
          <w:lang w:val="fr-FR"/>
        </w:rPr>
        <w:t>.</w:t>
      </w:r>
      <w:r w:rsidRPr="00A671BF">
        <w:rPr>
          <w:iCs/>
          <w:lang w:val="fr-FR"/>
        </w:rPr>
        <w:t xml:space="preserve"> BA 1633. APP.</w:t>
      </w:r>
    </w:p>
    <w:p w:rsidR="004E3581" w:rsidRPr="00A671BF" w:rsidRDefault="004E3581" w:rsidP="00C92560">
      <w:pPr>
        <w:ind w:left="720" w:hanging="720"/>
        <w:rPr>
          <w:lang w:val="fr-FR"/>
        </w:rPr>
      </w:pPr>
      <w:r w:rsidRPr="00A671BF">
        <w:rPr>
          <w:iCs/>
          <w:lang w:val="fr-FR"/>
        </w:rPr>
        <w:lastRenderedPageBreak/>
        <w:t>Directeur Général (1938) Le Directeur Général de la Sûreté Général</w:t>
      </w:r>
      <w:r w:rsidR="002E4409" w:rsidRPr="00A671BF">
        <w:rPr>
          <w:iCs/>
          <w:lang w:val="fr-FR"/>
        </w:rPr>
        <w:t>e</w:t>
      </w:r>
      <w:r w:rsidRPr="00A671BF">
        <w:rPr>
          <w:iCs/>
          <w:lang w:val="fr-FR"/>
        </w:rPr>
        <w:t xml:space="preserve"> </w:t>
      </w:r>
      <w:r w:rsidR="002E4409" w:rsidRPr="00A671BF">
        <w:rPr>
          <w:iCs/>
          <w:lang w:val="fr-FR"/>
        </w:rPr>
        <w:t>au</w:t>
      </w:r>
      <w:r w:rsidR="00C92560" w:rsidRPr="00A671BF">
        <w:rPr>
          <w:iCs/>
          <w:lang w:val="fr-FR"/>
        </w:rPr>
        <w:t xml:space="preserve"> </w:t>
      </w:r>
      <w:r w:rsidRPr="00A671BF">
        <w:rPr>
          <w:iCs/>
          <w:lang w:val="fr-FR"/>
        </w:rPr>
        <w:t>Préfet de</w:t>
      </w:r>
      <w:r w:rsidR="00C92560" w:rsidRPr="00A671BF">
        <w:rPr>
          <w:iCs/>
          <w:lang w:val="fr-FR"/>
        </w:rPr>
        <w:t xml:space="preserve"> Police, 15 </w:t>
      </w:r>
      <w:proofErr w:type="spellStart"/>
      <w:r w:rsidR="00C92560" w:rsidRPr="00A671BF">
        <w:rPr>
          <w:iCs/>
          <w:lang w:val="fr-FR"/>
        </w:rPr>
        <w:t>February</w:t>
      </w:r>
      <w:proofErr w:type="spellEnd"/>
      <w:r w:rsidR="00C92560" w:rsidRPr="00A671BF">
        <w:rPr>
          <w:iCs/>
          <w:lang w:val="fr-FR"/>
        </w:rPr>
        <w:t xml:space="preserve"> 1938</w:t>
      </w:r>
      <w:r w:rsidR="002E4409" w:rsidRPr="00A671BF">
        <w:rPr>
          <w:iCs/>
          <w:lang w:val="fr-FR"/>
        </w:rPr>
        <w:t>.</w:t>
      </w:r>
      <w:r w:rsidR="00C92560" w:rsidRPr="00A671BF">
        <w:rPr>
          <w:iCs/>
          <w:lang w:val="fr-FR"/>
        </w:rPr>
        <w:t xml:space="preserve"> </w:t>
      </w:r>
      <w:r w:rsidR="00C92560" w:rsidRPr="00A671BF">
        <w:rPr>
          <w:lang w:val="fr-FR"/>
        </w:rPr>
        <w:t xml:space="preserve">1 W 938 43170. APP. </w:t>
      </w:r>
    </w:p>
    <w:p w:rsidR="00DC5285" w:rsidRPr="00A671BF" w:rsidRDefault="0015023A" w:rsidP="00DC5285">
      <w:pPr>
        <w:pStyle w:val="FootnoteText"/>
        <w:ind w:left="720" w:hanging="720"/>
        <w:rPr>
          <w:sz w:val="24"/>
          <w:szCs w:val="24"/>
        </w:rPr>
      </w:pPr>
      <w:r w:rsidRPr="00A671BF">
        <w:rPr>
          <w:sz w:val="24"/>
          <w:szCs w:val="24"/>
          <w:lang w:val="fr-FR"/>
        </w:rPr>
        <w:t xml:space="preserve">Direction de la Sûreté Générale (1926) The Masses of </w:t>
      </w:r>
      <w:proofErr w:type="spellStart"/>
      <w:r w:rsidRPr="00A671BF">
        <w:rPr>
          <w:sz w:val="24"/>
          <w:szCs w:val="24"/>
          <w:lang w:val="fr-FR"/>
        </w:rPr>
        <w:t>India</w:t>
      </w:r>
      <w:proofErr w:type="spellEnd"/>
      <w:r w:rsidRPr="00A671BF">
        <w:rPr>
          <w:sz w:val="24"/>
          <w:szCs w:val="24"/>
          <w:lang w:val="fr-FR"/>
        </w:rPr>
        <w:t>, 9 April 1926</w:t>
      </w:r>
      <w:r w:rsidR="002E4409" w:rsidRPr="00A671BF">
        <w:rPr>
          <w:sz w:val="24"/>
          <w:szCs w:val="24"/>
          <w:lang w:val="fr-FR"/>
        </w:rPr>
        <w:t>.</w:t>
      </w:r>
      <w:r w:rsidRPr="00A671BF">
        <w:rPr>
          <w:sz w:val="24"/>
          <w:szCs w:val="24"/>
          <w:lang w:val="fr-FR"/>
        </w:rPr>
        <w:t xml:space="preserve"> </w:t>
      </w:r>
      <w:r w:rsidRPr="00A671BF">
        <w:rPr>
          <w:sz w:val="24"/>
          <w:szCs w:val="24"/>
        </w:rPr>
        <w:t>BA 2184. APP.</w:t>
      </w:r>
    </w:p>
    <w:p w:rsidR="000E1B69" w:rsidRPr="00A671BF" w:rsidRDefault="000E1B69" w:rsidP="000E1B69">
      <w:pPr>
        <w:ind w:left="720" w:hanging="720"/>
      </w:pPr>
      <w:r w:rsidRPr="00A671BF">
        <w:t>Duke</w:t>
      </w:r>
      <w:r w:rsidR="002E4409" w:rsidRPr="00A671BF">
        <w:t xml:space="preserve"> FW</w:t>
      </w:r>
      <w:r w:rsidRPr="00A671BF">
        <w:t xml:space="preserve"> (1908) Copy of a confidential letter No.1818-P.D., from F. W. Duke </w:t>
      </w:r>
      <w:proofErr w:type="spellStart"/>
      <w:r w:rsidRPr="00A671BF">
        <w:t>Esq.</w:t>
      </w:r>
      <w:proofErr w:type="spellEnd"/>
      <w:r w:rsidRPr="00A671BF">
        <w:t xml:space="preserve">, I.C.S., </w:t>
      </w:r>
      <w:proofErr w:type="spellStart"/>
      <w:r w:rsidRPr="00A671BF">
        <w:t>Offg</w:t>
      </w:r>
      <w:proofErr w:type="spellEnd"/>
      <w:r w:rsidRPr="00A671BF">
        <w:t>. Chief Secretary to the Govt. of Bengal, to the Secretary to the Govt. of India, [??] Department, 10 October 1908</w:t>
      </w:r>
      <w:r w:rsidR="002E4409" w:rsidRPr="00A671BF">
        <w:t>.</w:t>
      </w:r>
      <w:r w:rsidRPr="00A671BF">
        <w:t xml:space="preserve"> L/PJ/6/994: File 847. IOR.</w:t>
      </w:r>
    </w:p>
    <w:p w:rsidR="000E1B69" w:rsidRPr="00A671BF" w:rsidRDefault="000E1B69" w:rsidP="000E1B69">
      <w:pPr>
        <w:pStyle w:val="FootnoteText"/>
        <w:ind w:left="720" w:hanging="720"/>
        <w:rPr>
          <w:sz w:val="24"/>
          <w:szCs w:val="24"/>
        </w:rPr>
      </w:pPr>
      <w:r w:rsidRPr="00A671BF">
        <w:rPr>
          <w:sz w:val="24"/>
          <w:szCs w:val="24"/>
        </w:rPr>
        <w:t>Fabry J (1927) Note et rapport, April 1927</w:t>
      </w:r>
      <w:r w:rsidR="002E4409" w:rsidRPr="00A671BF">
        <w:rPr>
          <w:sz w:val="24"/>
          <w:szCs w:val="24"/>
        </w:rPr>
        <w:t xml:space="preserve">. </w:t>
      </w:r>
      <w:r w:rsidRPr="00A671BF">
        <w:rPr>
          <w:sz w:val="24"/>
          <w:szCs w:val="24"/>
        </w:rPr>
        <w:t xml:space="preserve">1 SLOTFOM 4. </w:t>
      </w:r>
      <w:r w:rsidR="00B83F4F" w:rsidRPr="00A671BF">
        <w:rPr>
          <w:sz w:val="24"/>
          <w:szCs w:val="24"/>
        </w:rPr>
        <w:t>CAOM.</w:t>
      </w:r>
    </w:p>
    <w:p w:rsidR="000E1B69" w:rsidRPr="00A671BF" w:rsidRDefault="000E1B69" w:rsidP="000E1B69">
      <w:pPr>
        <w:pStyle w:val="FootnoteText"/>
        <w:ind w:left="720" w:hanging="720"/>
        <w:rPr>
          <w:sz w:val="24"/>
          <w:szCs w:val="24"/>
        </w:rPr>
      </w:pPr>
      <w:r w:rsidRPr="00A671BF">
        <w:rPr>
          <w:sz w:val="24"/>
          <w:szCs w:val="24"/>
        </w:rPr>
        <w:t>First Treaty of Paris (1814) First Treaty of Paris of 30 May 1814</w:t>
      </w:r>
      <w:r w:rsidR="002E4409" w:rsidRPr="00A671BF">
        <w:rPr>
          <w:sz w:val="24"/>
          <w:szCs w:val="24"/>
        </w:rPr>
        <w:t>.</w:t>
      </w:r>
      <w:r w:rsidRPr="00A671BF">
        <w:rPr>
          <w:sz w:val="24"/>
          <w:szCs w:val="24"/>
        </w:rPr>
        <w:t xml:space="preserve"> Série: </w:t>
      </w:r>
      <w:proofErr w:type="spellStart"/>
      <w:r w:rsidRPr="00A671BF">
        <w:rPr>
          <w:sz w:val="24"/>
          <w:szCs w:val="24"/>
        </w:rPr>
        <w:t>Asie-Océanie</w:t>
      </w:r>
      <w:proofErr w:type="spellEnd"/>
      <w:r w:rsidRPr="00A671BF">
        <w:rPr>
          <w:sz w:val="24"/>
          <w:szCs w:val="24"/>
        </w:rPr>
        <w:t xml:space="preserve"> (1944–55), Sous-</w:t>
      </w:r>
      <w:proofErr w:type="spellStart"/>
      <w:r w:rsidRPr="00A671BF">
        <w:rPr>
          <w:sz w:val="24"/>
          <w:szCs w:val="24"/>
        </w:rPr>
        <w:t>série</w:t>
      </w:r>
      <w:proofErr w:type="spellEnd"/>
      <w:r w:rsidRPr="00A671BF">
        <w:rPr>
          <w:sz w:val="24"/>
          <w:szCs w:val="24"/>
        </w:rPr>
        <w:t xml:space="preserve">: </w:t>
      </w:r>
      <w:proofErr w:type="spellStart"/>
      <w:r w:rsidRPr="00A671BF">
        <w:rPr>
          <w:sz w:val="24"/>
          <w:szCs w:val="24"/>
        </w:rPr>
        <w:t>Inde</w:t>
      </w:r>
      <w:proofErr w:type="spellEnd"/>
      <w:r w:rsidRPr="00A671BF">
        <w:rPr>
          <w:sz w:val="24"/>
          <w:szCs w:val="24"/>
        </w:rPr>
        <w:t xml:space="preserve"> </w:t>
      </w:r>
      <w:proofErr w:type="spellStart"/>
      <w:r w:rsidRPr="00A671BF">
        <w:rPr>
          <w:sz w:val="24"/>
          <w:szCs w:val="24"/>
        </w:rPr>
        <w:t>Française</w:t>
      </w:r>
      <w:proofErr w:type="spellEnd"/>
      <w:r w:rsidRPr="00A671BF">
        <w:rPr>
          <w:sz w:val="24"/>
          <w:szCs w:val="24"/>
        </w:rPr>
        <w:t>, Vol. 5. AD.</w:t>
      </w:r>
    </w:p>
    <w:p w:rsidR="000A6B61" w:rsidRPr="00A671BF" w:rsidRDefault="000E1B69" w:rsidP="000E1B69">
      <w:pPr>
        <w:ind w:left="720" w:hanging="720"/>
      </w:pPr>
      <w:r w:rsidRPr="00A671BF">
        <w:t>French (1910) French note on Savarkar Case, 18 July 1910</w:t>
      </w:r>
      <w:r w:rsidR="002E4409" w:rsidRPr="00A671BF">
        <w:t>.</w:t>
      </w:r>
      <w:r w:rsidRPr="00A671BF">
        <w:t xml:space="preserve"> HO 144 1063. </w:t>
      </w:r>
      <w:r w:rsidR="000A6B61" w:rsidRPr="00A671BF">
        <w:t>NA.</w:t>
      </w:r>
    </w:p>
    <w:p w:rsidR="000E1B69" w:rsidRPr="00A671BF" w:rsidRDefault="000E1B69" w:rsidP="000E1B69">
      <w:pPr>
        <w:ind w:left="720" w:hanging="720"/>
      </w:pPr>
      <w:r w:rsidRPr="00A671BF">
        <w:t>H.A. (1925a) H.A. Pro-India Committee, France, marked ‘secret’, 14 January 1925</w:t>
      </w:r>
      <w:r w:rsidR="002E4409" w:rsidRPr="00A671BF">
        <w:t>.</w:t>
      </w:r>
      <w:r w:rsidRPr="00A671BF">
        <w:t xml:space="preserve"> L/P&amp;J/12/219. IOR.</w:t>
      </w:r>
    </w:p>
    <w:p w:rsidR="000E1B69" w:rsidRPr="00A671BF" w:rsidRDefault="000E1B69" w:rsidP="000E1B69">
      <w:pPr>
        <w:ind w:left="720" w:hanging="720"/>
      </w:pPr>
      <w:r w:rsidRPr="00A671BF">
        <w:t>H.A. (1925b) Note, marked ‘secret’, January 1925</w:t>
      </w:r>
      <w:r w:rsidR="002E4409" w:rsidRPr="00A671BF">
        <w:t>.</w:t>
      </w:r>
      <w:r w:rsidRPr="00A671BF">
        <w:t xml:space="preserve"> L/P&amp;J/12/232, W (35). IOR.</w:t>
      </w:r>
    </w:p>
    <w:p w:rsidR="000E1B69" w:rsidRPr="00A671BF" w:rsidRDefault="000E1B69" w:rsidP="000E1B69">
      <w:pPr>
        <w:ind w:left="720" w:hanging="720"/>
      </w:pPr>
      <w:proofErr w:type="spellStart"/>
      <w:r w:rsidRPr="00A671BF">
        <w:t>Hennion</w:t>
      </w:r>
      <w:proofErr w:type="spellEnd"/>
      <w:r w:rsidRPr="00A671BF">
        <w:t xml:space="preserve"> (1910) </w:t>
      </w:r>
      <w:proofErr w:type="spellStart"/>
      <w:r w:rsidRPr="00A671BF">
        <w:t>Hennion</w:t>
      </w:r>
      <w:proofErr w:type="spellEnd"/>
      <w:r w:rsidRPr="00A671BF">
        <w:t xml:space="preserve"> to Henry, 9 July 1910</w:t>
      </w:r>
      <w:r w:rsidR="002E4409" w:rsidRPr="00A671BF">
        <w:t xml:space="preserve">. </w:t>
      </w:r>
      <w:r w:rsidRPr="00A671BF">
        <w:t>L/PJ/6/994: File 84. IOR.</w:t>
      </w:r>
      <w:r w:rsidR="000A6B61" w:rsidRPr="00A671BF">
        <w:t xml:space="preserve"> </w:t>
      </w:r>
    </w:p>
    <w:p w:rsidR="002E4409" w:rsidRPr="00A671BF" w:rsidRDefault="000E1B69" w:rsidP="000E1B69">
      <w:pPr>
        <w:ind w:left="720" w:hanging="720"/>
      </w:pPr>
      <w:r w:rsidRPr="00A671BF">
        <w:t xml:space="preserve">Henry (1910) Henry to </w:t>
      </w:r>
      <w:proofErr w:type="spellStart"/>
      <w:r w:rsidRPr="00A671BF">
        <w:t>Hennion</w:t>
      </w:r>
      <w:proofErr w:type="spellEnd"/>
      <w:r w:rsidRPr="00A671BF">
        <w:t>, 29 June 1910</w:t>
      </w:r>
      <w:r w:rsidR="002E4409" w:rsidRPr="00A671BF">
        <w:t>.</w:t>
      </w:r>
      <w:r w:rsidRPr="00A671BF">
        <w:t xml:space="preserve"> </w:t>
      </w:r>
      <w:bookmarkStart w:id="3" w:name="_Hlk502852773"/>
      <w:r w:rsidRPr="00A671BF">
        <w:t>L/PJ/6/994: File 84. IOR.</w:t>
      </w:r>
      <w:bookmarkEnd w:id="3"/>
      <w:r w:rsidR="000A6B61" w:rsidRPr="00A671BF">
        <w:t xml:space="preserve"> </w:t>
      </w:r>
    </w:p>
    <w:p w:rsidR="000E1B69" w:rsidRPr="00A671BF" w:rsidRDefault="000E1B69" w:rsidP="000E1B69">
      <w:pPr>
        <w:ind w:left="720" w:hanging="720"/>
      </w:pPr>
      <w:r w:rsidRPr="00A671BF">
        <w:t>Imtiaz A (1938) Ali Khan Imtiaz to the Foreign Secretary, 30 August 1938, L/P&amp;J/12/494. IOR.</w:t>
      </w:r>
    </w:p>
    <w:p w:rsidR="000E1B69" w:rsidRPr="00A671BF" w:rsidRDefault="000E1B69" w:rsidP="000E1B69">
      <w:pPr>
        <w:ind w:left="720" w:hanging="720"/>
      </w:pPr>
      <w:r w:rsidRPr="00A671BF">
        <w:t>Indians and Afghans (1924a) Indians and Afghans in Paris, 28 August 1924</w:t>
      </w:r>
      <w:r w:rsidR="002E4409" w:rsidRPr="00A671BF">
        <w:t>.</w:t>
      </w:r>
      <w:r w:rsidRPr="00A671BF">
        <w:t xml:space="preserve"> L/P&amp;J/12/219. IOR.</w:t>
      </w:r>
    </w:p>
    <w:p w:rsidR="000E1B69" w:rsidRPr="00A671BF" w:rsidRDefault="000E1B69" w:rsidP="000E1B69">
      <w:pPr>
        <w:ind w:left="720" w:hanging="720"/>
      </w:pPr>
      <w:r w:rsidRPr="00A671BF">
        <w:t>Indians and Afghans (1924b) Indians and Afghans in Paris, 4 September 1924</w:t>
      </w:r>
      <w:r w:rsidR="002E4409" w:rsidRPr="00A671BF">
        <w:t>.</w:t>
      </w:r>
      <w:r w:rsidRPr="00A671BF">
        <w:t xml:space="preserve"> L/P&amp;J/12/219. IOR.</w:t>
      </w:r>
    </w:p>
    <w:p w:rsidR="000E1B69" w:rsidRPr="00A671BF" w:rsidRDefault="000E1B69" w:rsidP="000E1B69">
      <w:pPr>
        <w:ind w:left="720" w:hanging="720"/>
      </w:pPr>
      <w:r w:rsidRPr="00A671BF">
        <w:t>Indians and Afghans (1924c) Indians and Afghans in Paris, 15 November 1924</w:t>
      </w:r>
      <w:r w:rsidR="002E4409" w:rsidRPr="00A671BF">
        <w:t>.</w:t>
      </w:r>
      <w:r w:rsidRPr="00A671BF">
        <w:t xml:space="preserve"> L/P&amp;J/12/219. IOR.</w:t>
      </w:r>
    </w:p>
    <w:p w:rsidR="000E1B69" w:rsidRPr="00A671BF" w:rsidRDefault="000E1B69" w:rsidP="000E1B69">
      <w:pPr>
        <w:ind w:left="720" w:hanging="720"/>
      </w:pPr>
      <w:r w:rsidRPr="00A671BF">
        <w:t>IOR (1925</w:t>
      </w:r>
      <w:r w:rsidR="00BA2C56" w:rsidRPr="00A671BF">
        <w:t>a</w:t>
      </w:r>
      <w:r w:rsidRPr="00A671BF">
        <w:t>) L/P&amp;J/12/99</w:t>
      </w:r>
      <w:r w:rsidR="00DC506B" w:rsidRPr="00A671BF">
        <w:t xml:space="preserve">. </w:t>
      </w:r>
      <w:r w:rsidRPr="00A671BF">
        <w:t xml:space="preserve">IOR. </w:t>
      </w:r>
    </w:p>
    <w:p w:rsidR="002B7DE1" w:rsidRPr="00A671BF" w:rsidRDefault="002B7DE1" w:rsidP="002B7DE1">
      <w:pPr>
        <w:ind w:left="720" w:hanging="720"/>
      </w:pPr>
      <w:r w:rsidRPr="00A671BF">
        <w:t>IOR (1925b) Memorandum on M. N. Roy, 21 March 1925</w:t>
      </w:r>
      <w:r w:rsidR="002E4409" w:rsidRPr="00A671BF">
        <w:t xml:space="preserve">. </w:t>
      </w:r>
      <w:r w:rsidRPr="00A671BF">
        <w:t>L/P&amp; J/1299. IOR.</w:t>
      </w:r>
    </w:p>
    <w:p w:rsidR="002B7DE1" w:rsidRPr="00A671BF" w:rsidRDefault="002B7DE1" w:rsidP="002B7DE1">
      <w:pPr>
        <w:ind w:left="720" w:hanging="720"/>
      </w:pPr>
      <w:r w:rsidRPr="00A671BF">
        <w:t>IOR (1925</w:t>
      </w:r>
      <w:r w:rsidR="00A9028C" w:rsidRPr="00A671BF">
        <w:t xml:space="preserve"> [</w:t>
      </w:r>
      <w:r w:rsidRPr="00A671BF">
        <w:t>?</w:t>
      </w:r>
      <w:r w:rsidR="00A9028C" w:rsidRPr="00A671BF">
        <w:t>]</w:t>
      </w:r>
      <w:r w:rsidRPr="00A671BF">
        <w:t>) undated six-page memorandum</w:t>
      </w:r>
      <w:r w:rsidR="002E4409" w:rsidRPr="00A671BF">
        <w:t xml:space="preserve">. </w:t>
      </w:r>
      <w:r w:rsidRPr="00A671BF">
        <w:t>L/P&amp;J/12/219. IOR.</w:t>
      </w:r>
    </w:p>
    <w:p w:rsidR="000E1B69" w:rsidRPr="00A671BF" w:rsidRDefault="000E1B69" w:rsidP="000E1B69">
      <w:pPr>
        <w:ind w:left="720" w:hanging="720"/>
        <w:rPr>
          <w:lang w:val="fr-FR"/>
        </w:rPr>
      </w:pPr>
      <w:r w:rsidRPr="00A671BF">
        <w:t>Lee-Warner W (1910) Note. 26 July 1910</w:t>
      </w:r>
      <w:r w:rsidR="002E4409" w:rsidRPr="00A671BF">
        <w:t xml:space="preserve">. </w:t>
      </w:r>
      <w:r w:rsidRPr="00A671BF">
        <w:rPr>
          <w:lang w:val="fr-FR"/>
        </w:rPr>
        <w:t>L/PJ/6/</w:t>
      </w:r>
      <w:proofErr w:type="gramStart"/>
      <w:r w:rsidRPr="00A671BF">
        <w:rPr>
          <w:lang w:val="fr-FR"/>
        </w:rPr>
        <w:t>994:</w:t>
      </w:r>
      <w:proofErr w:type="gramEnd"/>
      <w:r w:rsidRPr="00A671BF">
        <w:rPr>
          <w:lang w:val="fr-FR"/>
        </w:rPr>
        <w:t xml:space="preserve"> File 84. IOR.</w:t>
      </w:r>
    </w:p>
    <w:p w:rsidR="000E1B69" w:rsidRPr="00A671BF" w:rsidRDefault="000E1B69" w:rsidP="000E1B69">
      <w:pPr>
        <w:ind w:left="720" w:hanging="720"/>
        <w:rPr>
          <w:lang w:val="fr-FR"/>
        </w:rPr>
      </w:pPr>
      <w:r w:rsidRPr="00A671BF">
        <w:rPr>
          <w:lang w:val="fr-FR"/>
        </w:rPr>
        <w:t xml:space="preserve">Ministère des Affaires Etrangères (1939) Ministère des Affaires Etrangères, Direction des Affaires politiques et commerciales, Contrôle des Etrangers, 12 </w:t>
      </w:r>
      <w:proofErr w:type="spellStart"/>
      <w:r w:rsidRPr="00A671BF">
        <w:rPr>
          <w:lang w:val="fr-FR"/>
        </w:rPr>
        <w:t>January</w:t>
      </w:r>
      <w:proofErr w:type="spellEnd"/>
      <w:r w:rsidRPr="00A671BF">
        <w:rPr>
          <w:lang w:val="fr-FR"/>
        </w:rPr>
        <w:t xml:space="preserve"> 1939</w:t>
      </w:r>
      <w:r w:rsidR="002E4409" w:rsidRPr="00A671BF">
        <w:rPr>
          <w:lang w:val="fr-FR"/>
        </w:rPr>
        <w:t>.</w:t>
      </w:r>
      <w:r w:rsidRPr="00A671BF">
        <w:rPr>
          <w:lang w:val="fr-FR"/>
        </w:rPr>
        <w:t xml:space="preserve"> L/P&amp;J/12/494. IOR.</w:t>
      </w:r>
    </w:p>
    <w:p w:rsidR="000E1B69" w:rsidRPr="00A671BF" w:rsidRDefault="000E1B69" w:rsidP="000E1B69">
      <w:pPr>
        <w:ind w:left="720" w:hanging="720"/>
        <w:rPr>
          <w:lang w:val="fr-FR"/>
        </w:rPr>
      </w:pPr>
      <w:r w:rsidRPr="00A671BF">
        <w:rPr>
          <w:lang w:val="fr-FR"/>
        </w:rPr>
        <w:t xml:space="preserve">Ministre des Colonies (1924) Ministre des Colonies to the </w:t>
      </w:r>
      <w:proofErr w:type="spellStart"/>
      <w:r w:rsidRPr="00A671BF">
        <w:rPr>
          <w:lang w:val="fr-FR"/>
        </w:rPr>
        <w:t>governor</w:t>
      </w:r>
      <w:proofErr w:type="spellEnd"/>
      <w:r w:rsidRPr="00A671BF">
        <w:rPr>
          <w:lang w:val="fr-FR"/>
        </w:rPr>
        <w:t xml:space="preserve"> of the Etablissements français de l’Inde, </w:t>
      </w:r>
      <w:proofErr w:type="spellStart"/>
      <w:r w:rsidRPr="00A671BF">
        <w:rPr>
          <w:lang w:val="fr-FR"/>
        </w:rPr>
        <w:t>Pondicherry</w:t>
      </w:r>
      <w:proofErr w:type="spellEnd"/>
      <w:r w:rsidRPr="00A671BF">
        <w:rPr>
          <w:lang w:val="fr-FR"/>
        </w:rPr>
        <w:t>, 5 July 1924</w:t>
      </w:r>
      <w:r w:rsidR="002E4409" w:rsidRPr="00A671BF">
        <w:rPr>
          <w:lang w:val="fr-FR"/>
        </w:rPr>
        <w:t xml:space="preserve">. </w:t>
      </w:r>
      <w:r w:rsidRPr="00A671BF">
        <w:rPr>
          <w:lang w:val="fr-FR"/>
        </w:rPr>
        <w:t>3 SLOTFOM 47. CAOM.</w:t>
      </w:r>
    </w:p>
    <w:p w:rsidR="00C92560" w:rsidRPr="00A671BF" w:rsidRDefault="00C92560" w:rsidP="000E1B69">
      <w:pPr>
        <w:ind w:left="720" w:hanging="720"/>
      </w:pPr>
      <w:r w:rsidRPr="00A671BF">
        <w:rPr>
          <w:lang w:val="fr-FR"/>
        </w:rPr>
        <w:t>Moutardier (1938)</w:t>
      </w:r>
      <w:r w:rsidR="003F7070" w:rsidRPr="00A671BF">
        <w:rPr>
          <w:lang w:val="fr-FR"/>
        </w:rPr>
        <w:t xml:space="preserve"> Chef de Service, Moutardier, Note pour Monsieur le Directeur des Renseignements Généraux, May 1938</w:t>
      </w:r>
      <w:r w:rsidR="00F853FB" w:rsidRPr="00A671BF">
        <w:rPr>
          <w:lang w:val="fr-FR"/>
        </w:rPr>
        <w:t>.</w:t>
      </w:r>
      <w:r w:rsidR="003F7070" w:rsidRPr="00A671BF">
        <w:rPr>
          <w:lang w:val="fr-FR"/>
        </w:rPr>
        <w:t xml:space="preserve">1 W 938 43170. </w:t>
      </w:r>
      <w:r w:rsidR="003F7070" w:rsidRPr="00A671BF">
        <w:t>APP.</w:t>
      </w:r>
    </w:p>
    <w:p w:rsidR="000E1B69" w:rsidRPr="00A671BF" w:rsidRDefault="000E1B69" w:rsidP="000E1B69">
      <w:pPr>
        <w:ind w:left="720" w:hanging="720"/>
      </w:pPr>
      <w:r w:rsidRPr="00A671BF">
        <w:t>Parker E and Quinn P (1910)</w:t>
      </w:r>
      <w:r w:rsidR="00BA2C56" w:rsidRPr="00A671BF">
        <w:t xml:space="preserve"> </w:t>
      </w:r>
      <w:r w:rsidRPr="00A671BF">
        <w:t>Annex 1, E. Parker, P. Quinn Report, 8 July 1910</w:t>
      </w:r>
      <w:r w:rsidR="002E4409" w:rsidRPr="00A671BF">
        <w:t>.</w:t>
      </w:r>
      <w:r w:rsidRPr="00A671BF">
        <w:t xml:space="preserve"> L/PJ/6/994: File 84. IOR.</w:t>
      </w:r>
    </w:p>
    <w:p w:rsidR="000E1B69" w:rsidRPr="00A671BF" w:rsidRDefault="000E1B69" w:rsidP="000E1B69">
      <w:pPr>
        <w:pStyle w:val="FootnoteText"/>
        <w:ind w:left="720" w:hanging="720"/>
        <w:rPr>
          <w:sz w:val="24"/>
          <w:szCs w:val="24"/>
          <w:lang w:val="fr-FR"/>
        </w:rPr>
      </w:pPr>
      <w:r w:rsidRPr="00A671BF">
        <w:rPr>
          <w:sz w:val="24"/>
          <w:szCs w:val="24"/>
        </w:rPr>
        <w:t>Phipps E (1938) Eric Phipps to Viscount Halifax, 12 December 1938</w:t>
      </w:r>
      <w:r w:rsidR="002E4409" w:rsidRPr="00A671BF">
        <w:rPr>
          <w:sz w:val="24"/>
          <w:szCs w:val="24"/>
        </w:rPr>
        <w:t>.</w:t>
      </w:r>
      <w:r w:rsidRPr="00A671BF">
        <w:rPr>
          <w:sz w:val="24"/>
          <w:szCs w:val="24"/>
        </w:rPr>
        <w:t xml:space="preserve"> </w:t>
      </w:r>
      <w:r w:rsidRPr="00A671BF">
        <w:rPr>
          <w:sz w:val="24"/>
          <w:szCs w:val="24"/>
          <w:lang w:val="fr-FR"/>
        </w:rPr>
        <w:t>L/P&amp;J/12/494. IOR.</w:t>
      </w:r>
    </w:p>
    <w:p w:rsidR="00B353D6" w:rsidRPr="00A671BF" w:rsidRDefault="00B353D6" w:rsidP="00B353D6">
      <w:pPr>
        <w:pStyle w:val="FootnoteText"/>
        <w:ind w:left="720" w:hanging="720"/>
        <w:rPr>
          <w:sz w:val="24"/>
          <w:szCs w:val="24"/>
          <w:lang w:val="fr-FR"/>
        </w:rPr>
      </w:pPr>
      <w:r w:rsidRPr="00A671BF">
        <w:rPr>
          <w:sz w:val="24"/>
          <w:szCs w:val="24"/>
          <w:lang w:val="fr-FR"/>
        </w:rPr>
        <w:t>Préfet de Police (1925) Au sujet du mouvement nationaliste hindou, May 1925</w:t>
      </w:r>
      <w:r w:rsidR="002E4409" w:rsidRPr="00A671BF">
        <w:rPr>
          <w:sz w:val="24"/>
          <w:szCs w:val="24"/>
          <w:lang w:val="fr-FR"/>
        </w:rPr>
        <w:t>.</w:t>
      </w:r>
      <w:r w:rsidRPr="00A671BF">
        <w:rPr>
          <w:sz w:val="24"/>
          <w:szCs w:val="24"/>
          <w:lang w:val="fr-FR"/>
        </w:rPr>
        <w:t xml:space="preserve"> BA 2184. APP.</w:t>
      </w:r>
    </w:p>
    <w:p w:rsidR="000E1B69" w:rsidRPr="00A671BF" w:rsidRDefault="000E1B69" w:rsidP="000E1B69">
      <w:pPr>
        <w:pStyle w:val="FootnoteText"/>
        <w:ind w:left="720" w:hanging="720"/>
        <w:rPr>
          <w:sz w:val="24"/>
          <w:szCs w:val="24"/>
          <w:lang w:val="fr-FR"/>
        </w:rPr>
      </w:pPr>
      <w:r w:rsidRPr="00A671BF">
        <w:rPr>
          <w:sz w:val="24"/>
          <w:szCs w:val="24"/>
          <w:lang w:val="fr-FR"/>
        </w:rPr>
        <w:t xml:space="preserve">Président (1908) Lettre du président de la Ligue des droits de l’homme </w:t>
      </w:r>
      <w:r w:rsidR="002E4409" w:rsidRPr="00A671BF">
        <w:rPr>
          <w:sz w:val="24"/>
          <w:szCs w:val="24"/>
          <w:lang w:val="fr-FR"/>
        </w:rPr>
        <w:t>au</w:t>
      </w:r>
      <w:r w:rsidRPr="00A671BF">
        <w:rPr>
          <w:sz w:val="24"/>
          <w:szCs w:val="24"/>
          <w:lang w:val="fr-FR"/>
        </w:rPr>
        <w:t xml:space="preserve"> Ministre des Colonies, 21 August 1908</w:t>
      </w:r>
      <w:r w:rsidR="002E4409" w:rsidRPr="00A671BF">
        <w:rPr>
          <w:sz w:val="24"/>
          <w:szCs w:val="24"/>
          <w:lang w:val="fr-FR"/>
        </w:rPr>
        <w:t>.</w:t>
      </w:r>
      <w:r w:rsidRPr="00A671BF">
        <w:rPr>
          <w:sz w:val="24"/>
          <w:szCs w:val="24"/>
          <w:lang w:val="fr-FR"/>
        </w:rPr>
        <w:t>1 AFFPOL 53. CAOM.</w:t>
      </w:r>
    </w:p>
    <w:p w:rsidR="00C92560" w:rsidRPr="00A671BF" w:rsidRDefault="00C92560" w:rsidP="000E1B69">
      <w:pPr>
        <w:pStyle w:val="FootnoteText"/>
        <w:ind w:left="720" w:hanging="720"/>
        <w:rPr>
          <w:sz w:val="24"/>
          <w:szCs w:val="24"/>
          <w:lang w:val="fr-FR"/>
        </w:rPr>
      </w:pPr>
      <w:r w:rsidRPr="00A671BF">
        <w:rPr>
          <w:sz w:val="24"/>
          <w:szCs w:val="24"/>
          <w:lang w:val="fr-FR"/>
        </w:rPr>
        <w:t xml:space="preserve">Services des Affaires (1938) Services des Affaires de la Sûreté Générale, Au sujet de </w:t>
      </w:r>
      <w:proofErr w:type="spellStart"/>
      <w:r w:rsidRPr="00A671BF">
        <w:rPr>
          <w:sz w:val="24"/>
          <w:szCs w:val="24"/>
          <w:lang w:val="fr-FR"/>
        </w:rPr>
        <w:t>Imtiaz</w:t>
      </w:r>
      <w:proofErr w:type="spellEnd"/>
      <w:r w:rsidRPr="00A671BF">
        <w:rPr>
          <w:sz w:val="24"/>
          <w:szCs w:val="24"/>
          <w:lang w:val="fr-FR"/>
        </w:rPr>
        <w:t xml:space="preserve"> Ali signalé comme suspect, 30 April 1938</w:t>
      </w:r>
      <w:r w:rsidR="002E4409" w:rsidRPr="00A671BF">
        <w:rPr>
          <w:sz w:val="24"/>
          <w:szCs w:val="24"/>
          <w:lang w:val="fr-FR"/>
        </w:rPr>
        <w:t>.</w:t>
      </w:r>
      <w:r w:rsidRPr="00A671BF">
        <w:rPr>
          <w:sz w:val="24"/>
          <w:szCs w:val="24"/>
          <w:lang w:val="fr-FR"/>
        </w:rPr>
        <w:t xml:space="preserve"> 1 W 938 43170. APP.</w:t>
      </w:r>
    </w:p>
    <w:p w:rsidR="002E4409" w:rsidRPr="00A671BF" w:rsidRDefault="002E4409" w:rsidP="002E4409">
      <w:pPr>
        <w:ind w:left="720" w:hanging="720"/>
        <w:rPr>
          <w:lang w:val="fr-FR"/>
        </w:rPr>
      </w:pPr>
      <w:r w:rsidRPr="00A671BF">
        <w:rPr>
          <w:lang w:val="fr-FR"/>
        </w:rPr>
        <w:t xml:space="preserve">Sûreté Générale (1908a) Révolutionnaires Hindous — Dossier pour M. le Directeur de la Sûreté Générale, 17 May 1908. F 7 12900. </w:t>
      </w:r>
      <w:proofErr w:type="gramStart"/>
      <w:r w:rsidRPr="00A671BF">
        <w:rPr>
          <w:lang w:val="fr-FR"/>
        </w:rPr>
        <w:t>Paris:</w:t>
      </w:r>
      <w:proofErr w:type="gramEnd"/>
      <w:r w:rsidRPr="00A671BF">
        <w:rPr>
          <w:lang w:val="fr-FR"/>
        </w:rPr>
        <w:t xml:space="preserve"> Archives nationales de France (</w:t>
      </w:r>
      <w:proofErr w:type="spellStart"/>
      <w:r w:rsidRPr="00A671BF">
        <w:rPr>
          <w:lang w:val="fr-FR"/>
        </w:rPr>
        <w:t>hereafter</w:t>
      </w:r>
      <w:proofErr w:type="spellEnd"/>
      <w:r w:rsidRPr="00A671BF">
        <w:rPr>
          <w:lang w:val="fr-FR"/>
        </w:rPr>
        <w:t xml:space="preserve"> AN).</w:t>
      </w:r>
      <w:r w:rsidR="000A6B61" w:rsidRPr="00A671BF">
        <w:rPr>
          <w:lang w:val="fr-FR"/>
        </w:rPr>
        <w:t xml:space="preserve"> </w:t>
      </w:r>
    </w:p>
    <w:p w:rsidR="002E4409" w:rsidRPr="00A671BF" w:rsidRDefault="002E4409" w:rsidP="002E4409">
      <w:pPr>
        <w:ind w:left="720" w:hanging="720"/>
        <w:rPr>
          <w:lang w:val="fr-FR"/>
        </w:rPr>
      </w:pPr>
      <w:r w:rsidRPr="00A671BF">
        <w:rPr>
          <w:lang w:val="fr-FR"/>
        </w:rPr>
        <w:t>Sûreté Générale (1908b) Note on Tata, 21 May 1908. F 7 12900. AN.</w:t>
      </w:r>
    </w:p>
    <w:p w:rsidR="002E4409" w:rsidRPr="00A671BF" w:rsidRDefault="002E4409" w:rsidP="002E4409">
      <w:pPr>
        <w:ind w:left="720" w:hanging="720"/>
        <w:rPr>
          <w:lang w:val="fr-FR"/>
        </w:rPr>
      </w:pPr>
      <w:r w:rsidRPr="00A671BF">
        <w:rPr>
          <w:lang w:val="fr-FR"/>
        </w:rPr>
        <w:t xml:space="preserve">Sûreté Générale (1909) Note, 24 </w:t>
      </w:r>
      <w:proofErr w:type="spellStart"/>
      <w:r w:rsidRPr="00A671BF">
        <w:rPr>
          <w:lang w:val="fr-FR"/>
        </w:rPr>
        <w:t>January</w:t>
      </w:r>
      <w:proofErr w:type="spellEnd"/>
      <w:r w:rsidRPr="00A671BF">
        <w:rPr>
          <w:lang w:val="fr-FR"/>
        </w:rPr>
        <w:t xml:space="preserve"> 1909. F7 12900. AN.</w:t>
      </w:r>
    </w:p>
    <w:p w:rsidR="002E4409" w:rsidRPr="00A671BF" w:rsidRDefault="000E1B69" w:rsidP="002E4409">
      <w:pPr>
        <w:pStyle w:val="FootnoteText"/>
        <w:ind w:left="720" w:hanging="720"/>
        <w:rPr>
          <w:sz w:val="24"/>
          <w:szCs w:val="24"/>
        </w:rPr>
      </w:pPr>
      <w:r w:rsidRPr="00A671BF">
        <w:rPr>
          <w:i/>
          <w:sz w:val="24"/>
          <w:szCs w:val="24"/>
          <w:lang w:val="fr-FR"/>
        </w:rPr>
        <w:t xml:space="preserve">Le Temps </w:t>
      </w:r>
      <w:r w:rsidRPr="00A671BF">
        <w:rPr>
          <w:sz w:val="24"/>
          <w:szCs w:val="24"/>
          <w:lang w:val="fr-FR"/>
        </w:rPr>
        <w:t xml:space="preserve">(1910) </w:t>
      </w:r>
      <w:proofErr w:type="spellStart"/>
      <w:r w:rsidRPr="00A671BF">
        <w:rPr>
          <w:sz w:val="24"/>
          <w:szCs w:val="24"/>
          <w:lang w:val="fr-FR"/>
        </w:rPr>
        <w:t>Extract</w:t>
      </w:r>
      <w:proofErr w:type="spellEnd"/>
      <w:r w:rsidRPr="00A671BF">
        <w:rPr>
          <w:sz w:val="24"/>
          <w:szCs w:val="24"/>
          <w:lang w:val="fr-FR"/>
        </w:rPr>
        <w:t xml:space="preserve"> </w:t>
      </w:r>
      <w:proofErr w:type="spellStart"/>
      <w:r w:rsidRPr="00A671BF">
        <w:rPr>
          <w:sz w:val="24"/>
          <w:szCs w:val="24"/>
          <w:lang w:val="fr-FR"/>
        </w:rPr>
        <w:t>from</w:t>
      </w:r>
      <w:proofErr w:type="spellEnd"/>
      <w:r w:rsidRPr="00A671BF">
        <w:rPr>
          <w:sz w:val="24"/>
          <w:szCs w:val="24"/>
          <w:lang w:val="fr-FR"/>
        </w:rPr>
        <w:t xml:space="preserve"> </w:t>
      </w:r>
      <w:r w:rsidRPr="00A671BF">
        <w:rPr>
          <w:i/>
          <w:sz w:val="24"/>
          <w:szCs w:val="24"/>
          <w:lang w:val="fr-FR"/>
        </w:rPr>
        <w:t>Le Temps</w:t>
      </w:r>
      <w:r w:rsidRPr="00A671BF">
        <w:rPr>
          <w:sz w:val="24"/>
          <w:szCs w:val="24"/>
          <w:lang w:val="fr-FR"/>
        </w:rPr>
        <w:t xml:space="preserve">, 23 </w:t>
      </w:r>
      <w:proofErr w:type="spellStart"/>
      <w:r w:rsidRPr="00A671BF">
        <w:rPr>
          <w:sz w:val="24"/>
          <w:szCs w:val="24"/>
          <w:lang w:val="fr-FR"/>
        </w:rPr>
        <w:t>Jul</w:t>
      </w:r>
      <w:proofErr w:type="spellEnd"/>
      <w:r w:rsidRPr="00A671BF">
        <w:rPr>
          <w:sz w:val="24"/>
          <w:szCs w:val="24"/>
          <w:lang w:val="fr-FR"/>
        </w:rPr>
        <w:t xml:space="preserve">. </w:t>
      </w:r>
      <w:proofErr w:type="gramStart"/>
      <w:r w:rsidRPr="00A671BF">
        <w:rPr>
          <w:sz w:val="24"/>
          <w:szCs w:val="24"/>
          <w:lang w:val="fr-FR"/>
        </w:rPr>
        <w:t>1910:</w:t>
      </w:r>
      <w:proofErr w:type="gramEnd"/>
      <w:r w:rsidRPr="00A671BF">
        <w:rPr>
          <w:sz w:val="24"/>
          <w:szCs w:val="24"/>
          <w:lang w:val="fr-FR"/>
        </w:rPr>
        <w:t xml:space="preserve"> L’affaire </w:t>
      </w:r>
      <w:proofErr w:type="spellStart"/>
      <w:r w:rsidRPr="00A671BF">
        <w:rPr>
          <w:sz w:val="24"/>
          <w:szCs w:val="24"/>
          <w:lang w:val="fr-FR"/>
        </w:rPr>
        <w:t>Savarkar</w:t>
      </w:r>
      <w:proofErr w:type="spellEnd"/>
      <w:r w:rsidRPr="00A671BF">
        <w:rPr>
          <w:sz w:val="24"/>
          <w:szCs w:val="24"/>
          <w:lang w:val="fr-FR"/>
        </w:rPr>
        <w:t xml:space="preserve"> (Service Havas)</w:t>
      </w:r>
      <w:r w:rsidR="002E4409" w:rsidRPr="00A671BF">
        <w:rPr>
          <w:sz w:val="24"/>
          <w:szCs w:val="24"/>
          <w:lang w:val="fr-FR"/>
        </w:rPr>
        <w:t>.</w:t>
      </w:r>
      <w:r w:rsidRPr="00A671BF">
        <w:rPr>
          <w:sz w:val="24"/>
          <w:szCs w:val="24"/>
          <w:lang w:val="fr-FR"/>
        </w:rPr>
        <w:t xml:space="preserve"> </w:t>
      </w:r>
      <w:r w:rsidRPr="00A671BF">
        <w:rPr>
          <w:sz w:val="24"/>
          <w:szCs w:val="24"/>
        </w:rPr>
        <w:t>L/PJ/6/994: File 84. IOR</w:t>
      </w:r>
      <w:r w:rsidR="0015023A" w:rsidRPr="00A671BF">
        <w:rPr>
          <w:sz w:val="24"/>
          <w:szCs w:val="24"/>
        </w:rPr>
        <w:t>.</w:t>
      </w:r>
    </w:p>
    <w:p w:rsidR="002E4409" w:rsidRPr="00A671BF" w:rsidRDefault="002E4409" w:rsidP="002E4409">
      <w:pPr>
        <w:pStyle w:val="FootnoteText"/>
        <w:ind w:left="720" w:hanging="720"/>
        <w:rPr>
          <w:sz w:val="24"/>
          <w:szCs w:val="24"/>
        </w:rPr>
      </w:pPr>
    </w:p>
    <w:p w:rsidR="000E1B69" w:rsidRPr="00A671BF" w:rsidRDefault="000E1B69" w:rsidP="002E4409">
      <w:pPr>
        <w:pStyle w:val="FootnoteText"/>
        <w:ind w:left="720" w:hanging="720"/>
        <w:rPr>
          <w:sz w:val="24"/>
          <w:szCs w:val="24"/>
        </w:rPr>
      </w:pPr>
      <w:r w:rsidRPr="00A671BF">
        <w:rPr>
          <w:sz w:val="24"/>
          <w:szCs w:val="24"/>
        </w:rPr>
        <w:t>References</w:t>
      </w:r>
    </w:p>
    <w:p w:rsidR="000E1B69" w:rsidRPr="00A671BF" w:rsidRDefault="000E1B69" w:rsidP="000E1B69">
      <w:pPr>
        <w:ind w:left="720" w:hanging="720"/>
        <w:rPr>
          <w:bCs/>
        </w:rPr>
      </w:pPr>
      <w:r w:rsidRPr="00A671BF">
        <w:lastRenderedPageBreak/>
        <w:t xml:space="preserve">Aitken R and </w:t>
      </w:r>
      <w:proofErr w:type="spellStart"/>
      <w:r w:rsidRPr="00A671BF">
        <w:t>Rosenhaft</w:t>
      </w:r>
      <w:proofErr w:type="spellEnd"/>
      <w:r w:rsidRPr="00A671BF">
        <w:t xml:space="preserve"> E (2013) </w:t>
      </w:r>
      <w:r w:rsidRPr="00A671BF">
        <w:rPr>
          <w:bCs/>
          <w:i/>
        </w:rPr>
        <w:t>Black Germany: The Making and Unmaking of a Diaspora Community, 1884–1960</w:t>
      </w:r>
      <w:r w:rsidRPr="00A671BF">
        <w:rPr>
          <w:bCs/>
        </w:rPr>
        <w:t>. Cambridge: Cambridge University Press.</w:t>
      </w:r>
    </w:p>
    <w:p w:rsidR="000E1B69" w:rsidRPr="00A671BF" w:rsidRDefault="000E1B69" w:rsidP="000E1B69">
      <w:pPr>
        <w:ind w:left="720" w:hanging="720"/>
      </w:pPr>
      <w:r w:rsidRPr="00A671BF">
        <w:t xml:space="preserve">Arnold D (1986) </w:t>
      </w:r>
      <w:r w:rsidRPr="00A671BF">
        <w:rPr>
          <w:i/>
        </w:rPr>
        <w:t>Police Power and Colonial Rule: Madras 1859–1947</w:t>
      </w:r>
      <w:r w:rsidRPr="00A671BF">
        <w:t>. Oxford: Oxford University Press.</w:t>
      </w:r>
    </w:p>
    <w:p w:rsidR="00BA2C56" w:rsidRPr="00A671BF" w:rsidRDefault="00BA2C56" w:rsidP="00BA2C56">
      <w:pPr>
        <w:ind w:left="720" w:hanging="720"/>
      </w:pPr>
      <w:proofErr w:type="spellStart"/>
      <w:r w:rsidRPr="00A671BF">
        <w:t>Bakhle</w:t>
      </w:r>
      <w:proofErr w:type="spellEnd"/>
      <w:r w:rsidRPr="00A671BF">
        <w:t xml:space="preserve"> J (2010) Savarkar (1883–1966), Sedition and Surveillance: The Rule of Law in a Colonial Situation. </w:t>
      </w:r>
      <w:r w:rsidRPr="00A671BF">
        <w:rPr>
          <w:i/>
        </w:rPr>
        <w:t>Social History</w:t>
      </w:r>
      <w:r w:rsidRPr="00A671BF">
        <w:t xml:space="preserve"> 35(1): 51–75.</w:t>
      </w:r>
    </w:p>
    <w:p w:rsidR="000E1B69" w:rsidRPr="00A671BF" w:rsidRDefault="000E1B69" w:rsidP="000E1B69">
      <w:pPr>
        <w:ind w:left="720" w:hanging="720"/>
        <w:rPr>
          <w:lang w:val="fr-FR"/>
        </w:rPr>
      </w:pPr>
      <w:r w:rsidRPr="00A671BF">
        <w:t xml:space="preserve">Baldwin R (1927) The Capital of the Men Without a Country. </w:t>
      </w:r>
      <w:r w:rsidRPr="00A671BF">
        <w:rPr>
          <w:i/>
          <w:lang w:val="fr-FR"/>
        </w:rPr>
        <w:t>Survey</w:t>
      </w:r>
      <w:r w:rsidRPr="00A671BF">
        <w:rPr>
          <w:lang w:val="fr-FR"/>
        </w:rPr>
        <w:t xml:space="preserve">, 1 </w:t>
      </w:r>
      <w:proofErr w:type="gramStart"/>
      <w:r w:rsidRPr="00A671BF">
        <w:rPr>
          <w:lang w:val="fr-FR"/>
        </w:rPr>
        <w:t>August:</w:t>
      </w:r>
      <w:proofErr w:type="gramEnd"/>
      <w:r w:rsidRPr="00A671BF">
        <w:rPr>
          <w:lang w:val="fr-FR"/>
        </w:rPr>
        <w:t xml:space="preserve"> 460–80</w:t>
      </w:r>
      <w:r w:rsidR="002E4409" w:rsidRPr="00A671BF">
        <w:rPr>
          <w:lang w:val="fr-FR"/>
        </w:rPr>
        <w:t>.</w:t>
      </w:r>
      <w:r w:rsidRPr="00A671BF">
        <w:rPr>
          <w:lang w:val="fr-FR"/>
        </w:rPr>
        <w:t xml:space="preserve"> </w:t>
      </w:r>
    </w:p>
    <w:p w:rsidR="000E1B69" w:rsidRPr="00A671BF" w:rsidRDefault="000E1B69" w:rsidP="000E1B69">
      <w:pPr>
        <w:ind w:left="720" w:hanging="720"/>
      </w:pPr>
      <w:r w:rsidRPr="00A671BF">
        <w:rPr>
          <w:lang w:val="fr-FR"/>
        </w:rPr>
        <w:t xml:space="preserve">Barbusse H (1923) Révolutionnaires d’Orient et </w:t>
      </w:r>
      <w:proofErr w:type="gramStart"/>
      <w:r w:rsidRPr="00A671BF">
        <w:rPr>
          <w:lang w:val="fr-FR"/>
        </w:rPr>
        <w:t>d’Occident:</w:t>
      </w:r>
      <w:proofErr w:type="gramEnd"/>
      <w:r w:rsidRPr="00A671BF">
        <w:rPr>
          <w:lang w:val="fr-FR"/>
        </w:rPr>
        <w:t xml:space="preserve"> A propos de Gandhi</w:t>
      </w:r>
      <w:r w:rsidR="00DC35CA" w:rsidRPr="00A671BF">
        <w:rPr>
          <w:lang w:val="fr-FR"/>
        </w:rPr>
        <w:t>.</w:t>
      </w:r>
      <w:r w:rsidRPr="00A671BF">
        <w:rPr>
          <w:lang w:val="fr-FR"/>
        </w:rPr>
        <w:t xml:space="preserve"> </w:t>
      </w:r>
      <w:proofErr w:type="spellStart"/>
      <w:r w:rsidRPr="00A671BF">
        <w:rPr>
          <w:i/>
          <w:iCs/>
        </w:rPr>
        <w:t>Clarté</w:t>
      </w:r>
      <w:proofErr w:type="spellEnd"/>
      <w:r w:rsidRPr="00A671BF">
        <w:t xml:space="preserve"> 13 July: 314–20.</w:t>
      </w:r>
    </w:p>
    <w:p w:rsidR="000E1B69" w:rsidRPr="00A671BF" w:rsidRDefault="000E1B69" w:rsidP="000E1B69">
      <w:pPr>
        <w:ind w:left="720" w:hanging="720"/>
        <w:rPr>
          <w:bCs/>
        </w:rPr>
      </w:pPr>
      <w:r w:rsidRPr="00A671BF">
        <w:rPr>
          <w:bCs/>
        </w:rPr>
        <w:t xml:space="preserve">Barbusse H (1925) The Roy Case: A Protest. </w:t>
      </w:r>
      <w:r w:rsidRPr="00A671BF">
        <w:rPr>
          <w:bCs/>
          <w:i/>
          <w:iCs/>
        </w:rPr>
        <w:t>The Labour Monthly</w:t>
      </w:r>
      <w:r w:rsidR="00DC35CA" w:rsidRPr="00A671BF">
        <w:rPr>
          <w:bCs/>
        </w:rPr>
        <w:t xml:space="preserve"> 7(3)</w:t>
      </w:r>
      <w:r w:rsidR="002E4409" w:rsidRPr="00A671BF">
        <w:rPr>
          <w:bCs/>
        </w:rPr>
        <w:t>:</w:t>
      </w:r>
      <w:r w:rsidRPr="00A671BF">
        <w:rPr>
          <w:bCs/>
        </w:rPr>
        <w:t xml:space="preserve"> 294–95.</w:t>
      </w:r>
    </w:p>
    <w:p w:rsidR="000E1B69" w:rsidRPr="00A671BF" w:rsidRDefault="000E1B69" w:rsidP="000E1B69">
      <w:pPr>
        <w:ind w:left="720" w:hanging="720"/>
        <w:rPr>
          <w:bCs/>
        </w:rPr>
      </w:pPr>
      <w:r w:rsidRPr="00A671BF">
        <w:rPr>
          <w:bCs/>
        </w:rPr>
        <w:t xml:space="preserve">Barth V and </w:t>
      </w:r>
      <w:proofErr w:type="spellStart"/>
      <w:r w:rsidRPr="00A671BF">
        <w:rPr>
          <w:bCs/>
        </w:rPr>
        <w:t>Cvetkovski</w:t>
      </w:r>
      <w:proofErr w:type="spellEnd"/>
      <w:r w:rsidRPr="00A671BF">
        <w:rPr>
          <w:bCs/>
        </w:rPr>
        <w:t xml:space="preserve"> R (2015) Introduction: Encounters of Empires: Methodological Approaches. In: </w:t>
      </w:r>
      <w:proofErr w:type="spellStart"/>
      <w:r w:rsidRPr="00A671BF">
        <w:rPr>
          <w:bCs/>
        </w:rPr>
        <w:t>Voker</w:t>
      </w:r>
      <w:proofErr w:type="spellEnd"/>
      <w:r w:rsidRPr="00A671BF">
        <w:rPr>
          <w:bCs/>
        </w:rPr>
        <w:t xml:space="preserve"> B and </w:t>
      </w:r>
      <w:proofErr w:type="spellStart"/>
      <w:r w:rsidRPr="00A671BF">
        <w:rPr>
          <w:bCs/>
        </w:rPr>
        <w:t>Cvetkovski</w:t>
      </w:r>
      <w:proofErr w:type="spellEnd"/>
      <w:r w:rsidRPr="00A671BF">
        <w:rPr>
          <w:bCs/>
        </w:rPr>
        <w:t xml:space="preserve"> (eds) </w:t>
      </w:r>
      <w:r w:rsidRPr="00A671BF">
        <w:rPr>
          <w:bCs/>
          <w:i/>
        </w:rPr>
        <w:t>Imperial Co-operation and Transfer, 1870–1930: Empires and Encounters</w:t>
      </w:r>
      <w:r w:rsidR="002E4409" w:rsidRPr="00A671BF">
        <w:rPr>
          <w:bCs/>
        </w:rPr>
        <w:t>.</w:t>
      </w:r>
      <w:r w:rsidRPr="00A671BF">
        <w:rPr>
          <w:bCs/>
        </w:rPr>
        <w:t xml:space="preserve"> London: Bloomsbury, pp.3–33.</w:t>
      </w:r>
    </w:p>
    <w:p w:rsidR="000E1B69" w:rsidRPr="00A671BF" w:rsidRDefault="000E1B69" w:rsidP="000E1B69">
      <w:pPr>
        <w:ind w:left="720" w:hanging="720"/>
        <w:rPr>
          <w:bCs/>
        </w:rPr>
      </w:pPr>
      <w:r w:rsidRPr="00A671BF">
        <w:rPr>
          <w:lang w:val="en-US"/>
        </w:rPr>
        <w:t xml:space="preserve">Berliner BA (2002) </w:t>
      </w:r>
      <w:r w:rsidRPr="00A671BF">
        <w:rPr>
          <w:i/>
          <w:iCs/>
          <w:lang w:val="en-US"/>
        </w:rPr>
        <w:t>Ambivalent Desire: The Exotic Black Other in Jazz-Age France</w:t>
      </w:r>
      <w:r w:rsidRPr="00A671BF">
        <w:rPr>
          <w:iCs/>
          <w:lang w:val="en-US"/>
        </w:rPr>
        <w:t>.</w:t>
      </w:r>
      <w:r w:rsidRPr="00A671BF">
        <w:rPr>
          <w:i/>
          <w:iCs/>
          <w:lang w:val="en-US"/>
        </w:rPr>
        <w:t xml:space="preserve"> </w:t>
      </w:r>
      <w:r w:rsidRPr="00A671BF">
        <w:rPr>
          <w:lang w:val="en-US"/>
        </w:rPr>
        <w:t>Amherst: University of Massachusetts Press.</w:t>
      </w:r>
    </w:p>
    <w:p w:rsidR="000E1B69" w:rsidRPr="00A671BF" w:rsidRDefault="000E1B69" w:rsidP="000E1B69">
      <w:pPr>
        <w:ind w:left="720" w:hanging="720"/>
        <w:rPr>
          <w:lang w:val="en-US"/>
        </w:rPr>
      </w:pPr>
      <w:r w:rsidRPr="00A671BF">
        <w:rPr>
          <w:bCs/>
          <w:lang w:val="en-US"/>
        </w:rPr>
        <w:t xml:space="preserve">Blake J (1999) </w:t>
      </w:r>
      <w:r w:rsidRPr="00A671BF">
        <w:rPr>
          <w:bCs/>
          <w:i/>
          <w:iCs/>
          <w:lang w:val="en-US"/>
        </w:rPr>
        <w:t xml:space="preserve">Le </w:t>
      </w:r>
      <w:proofErr w:type="spellStart"/>
      <w:r w:rsidRPr="00A671BF">
        <w:rPr>
          <w:bCs/>
          <w:i/>
          <w:iCs/>
          <w:lang w:val="en-US"/>
        </w:rPr>
        <w:t>Tumulte</w:t>
      </w:r>
      <w:proofErr w:type="spellEnd"/>
      <w:r w:rsidRPr="00A671BF">
        <w:rPr>
          <w:bCs/>
          <w:i/>
          <w:iCs/>
          <w:lang w:val="en-US"/>
        </w:rPr>
        <w:t xml:space="preserve"> noir: Modernist Art and Popular Entertainment in Jazz Age Paris, 1900–1930</w:t>
      </w:r>
      <w:r w:rsidRPr="00A671BF">
        <w:rPr>
          <w:bCs/>
          <w:lang w:val="en-US"/>
        </w:rPr>
        <w:t>. Pennsylvania: Pennsylvania State University Press</w:t>
      </w:r>
      <w:r w:rsidRPr="00A671BF">
        <w:rPr>
          <w:lang w:val="en-US"/>
        </w:rPr>
        <w:t xml:space="preserve">. </w:t>
      </w:r>
    </w:p>
    <w:p w:rsidR="000E1B69" w:rsidRPr="00A671BF" w:rsidRDefault="000E1B69" w:rsidP="000E1B69">
      <w:pPr>
        <w:ind w:left="720" w:hanging="720"/>
        <w:rPr>
          <w:lang w:val="fr-FR"/>
        </w:rPr>
      </w:pPr>
      <w:proofErr w:type="spellStart"/>
      <w:r w:rsidRPr="00A671BF">
        <w:t>Boittin</w:t>
      </w:r>
      <w:proofErr w:type="spellEnd"/>
      <w:r w:rsidRPr="00A671BF">
        <w:t xml:space="preserve"> JA (2010) </w:t>
      </w:r>
      <w:r w:rsidRPr="00A671BF">
        <w:rPr>
          <w:i/>
        </w:rPr>
        <w:t>Colonial Metropolis: The Urban Grounds of Anti-Imperialism and Feminism in Interwar Paris</w:t>
      </w:r>
      <w:r w:rsidRPr="00A671BF">
        <w:t xml:space="preserve">. </w:t>
      </w:r>
      <w:proofErr w:type="gramStart"/>
      <w:r w:rsidRPr="00A671BF">
        <w:rPr>
          <w:lang w:val="fr-FR"/>
        </w:rPr>
        <w:t>Lincoln:</w:t>
      </w:r>
      <w:proofErr w:type="gramEnd"/>
      <w:r w:rsidRPr="00A671BF">
        <w:rPr>
          <w:lang w:val="fr-FR"/>
        </w:rPr>
        <w:t xml:space="preserve"> </w:t>
      </w:r>
      <w:proofErr w:type="spellStart"/>
      <w:r w:rsidRPr="00A671BF">
        <w:rPr>
          <w:lang w:val="fr-FR"/>
        </w:rPr>
        <w:t>University</w:t>
      </w:r>
      <w:proofErr w:type="spellEnd"/>
      <w:r w:rsidRPr="00A671BF">
        <w:rPr>
          <w:lang w:val="fr-FR"/>
        </w:rPr>
        <w:t xml:space="preserve"> of Nebraska </w:t>
      </w:r>
      <w:proofErr w:type="spellStart"/>
      <w:r w:rsidRPr="00A671BF">
        <w:rPr>
          <w:lang w:val="fr-FR"/>
        </w:rPr>
        <w:t>Press</w:t>
      </w:r>
      <w:proofErr w:type="spellEnd"/>
      <w:r w:rsidRPr="00A671BF">
        <w:rPr>
          <w:lang w:val="fr-FR"/>
        </w:rPr>
        <w:t>.</w:t>
      </w:r>
    </w:p>
    <w:p w:rsidR="000E1B69" w:rsidRPr="00A671BF" w:rsidRDefault="000E1B69" w:rsidP="0065654E">
      <w:pPr>
        <w:ind w:left="720" w:hanging="720"/>
        <w:rPr>
          <w:lang w:val="fr-FR"/>
        </w:rPr>
      </w:pPr>
      <w:proofErr w:type="spellStart"/>
      <w:r w:rsidRPr="00A671BF">
        <w:rPr>
          <w:lang w:val="fr-FR"/>
        </w:rPr>
        <w:t>Bridet</w:t>
      </w:r>
      <w:proofErr w:type="spellEnd"/>
      <w:r w:rsidRPr="00A671BF">
        <w:rPr>
          <w:lang w:val="fr-FR"/>
        </w:rPr>
        <w:t xml:space="preserve"> G</w:t>
      </w:r>
      <w:r w:rsidRPr="00A671BF">
        <w:rPr>
          <w:sz w:val="20"/>
          <w:szCs w:val="20"/>
          <w:lang w:val="fr-FR"/>
        </w:rPr>
        <w:t xml:space="preserve"> </w:t>
      </w:r>
      <w:r w:rsidRPr="00A671BF">
        <w:rPr>
          <w:lang w:val="fr-FR"/>
        </w:rPr>
        <w:t xml:space="preserve">(2014) </w:t>
      </w:r>
      <w:r w:rsidRPr="00A671BF">
        <w:rPr>
          <w:i/>
          <w:lang w:val="fr-FR"/>
        </w:rPr>
        <w:t>L’événement indien de la littérature française</w:t>
      </w:r>
      <w:r w:rsidRPr="00A671BF">
        <w:rPr>
          <w:lang w:val="fr-FR"/>
        </w:rPr>
        <w:t xml:space="preserve">. </w:t>
      </w:r>
      <w:proofErr w:type="gramStart"/>
      <w:r w:rsidRPr="00A671BF">
        <w:rPr>
          <w:lang w:val="fr-FR"/>
        </w:rPr>
        <w:t>Grenoble:</w:t>
      </w:r>
      <w:proofErr w:type="gramEnd"/>
      <w:r w:rsidRPr="00A671BF">
        <w:rPr>
          <w:lang w:val="fr-FR"/>
        </w:rPr>
        <w:t xml:space="preserve"> Éditions littéraires et linguistiques de l’université de Grenoble.</w:t>
      </w:r>
    </w:p>
    <w:p w:rsidR="000E1B69" w:rsidRPr="00A671BF" w:rsidRDefault="000E1B69" w:rsidP="000E1B69">
      <w:pPr>
        <w:ind w:left="720" w:hanging="720"/>
      </w:pPr>
      <w:proofErr w:type="spellStart"/>
      <w:r w:rsidRPr="00A671BF">
        <w:t>Brückenhaus</w:t>
      </w:r>
      <w:proofErr w:type="spellEnd"/>
      <w:r w:rsidRPr="00A671BF">
        <w:t xml:space="preserve"> D (2015) The Origins of Trans-imperial Policing: British-French Government Co-operation in the Surveillance of Anti-colonialists in Europe, 1905–25. In: </w:t>
      </w:r>
      <w:proofErr w:type="spellStart"/>
      <w:r w:rsidRPr="00A671BF">
        <w:rPr>
          <w:bCs/>
        </w:rPr>
        <w:t>Voker</w:t>
      </w:r>
      <w:proofErr w:type="spellEnd"/>
      <w:r w:rsidRPr="00A671BF">
        <w:rPr>
          <w:bCs/>
        </w:rPr>
        <w:t xml:space="preserve"> B and </w:t>
      </w:r>
      <w:proofErr w:type="spellStart"/>
      <w:r w:rsidRPr="00A671BF">
        <w:rPr>
          <w:bCs/>
        </w:rPr>
        <w:t>Cvetkovski</w:t>
      </w:r>
      <w:proofErr w:type="spellEnd"/>
      <w:r w:rsidRPr="00A671BF">
        <w:rPr>
          <w:bCs/>
        </w:rPr>
        <w:t xml:space="preserve"> (eds) </w:t>
      </w:r>
      <w:r w:rsidRPr="00A671BF">
        <w:rPr>
          <w:bCs/>
          <w:i/>
        </w:rPr>
        <w:t>Imperial Co-operation and Transfer, 1870–1930: Empires and Encounters</w:t>
      </w:r>
      <w:r w:rsidR="00B85BB3" w:rsidRPr="00A671BF">
        <w:rPr>
          <w:bCs/>
        </w:rPr>
        <w:t>.</w:t>
      </w:r>
      <w:r w:rsidRPr="00A671BF">
        <w:rPr>
          <w:bCs/>
        </w:rPr>
        <w:t xml:space="preserve"> London: Bloomsbury</w:t>
      </w:r>
      <w:r w:rsidRPr="00A671BF">
        <w:t>, pp.171–95.</w:t>
      </w:r>
    </w:p>
    <w:p w:rsidR="000E1B69" w:rsidRPr="00A671BF" w:rsidRDefault="000E1B69" w:rsidP="000E1B69">
      <w:pPr>
        <w:ind w:left="720" w:hanging="720"/>
      </w:pPr>
      <w:proofErr w:type="spellStart"/>
      <w:r w:rsidRPr="00A671BF">
        <w:t>Brückenhaus</w:t>
      </w:r>
      <w:proofErr w:type="spellEnd"/>
      <w:r w:rsidRPr="00A671BF">
        <w:t xml:space="preserve"> D (2017) </w:t>
      </w:r>
      <w:r w:rsidRPr="00A671BF">
        <w:rPr>
          <w:i/>
        </w:rPr>
        <w:t>Policing Transnational Protest: Liberal Imperialism and the Surveillance of Anti-Colonialists in Europe, 1905–1945</w:t>
      </w:r>
      <w:r w:rsidRPr="00A671BF">
        <w:t>.</w:t>
      </w:r>
      <w:r w:rsidRPr="00A671BF">
        <w:rPr>
          <w:i/>
        </w:rPr>
        <w:t xml:space="preserve"> </w:t>
      </w:r>
      <w:r w:rsidRPr="00A671BF">
        <w:t>Oxford: Oxford University Press.</w:t>
      </w:r>
    </w:p>
    <w:p w:rsidR="000E1B69" w:rsidRPr="00A671BF" w:rsidRDefault="000E1B69" w:rsidP="000E1B69">
      <w:pPr>
        <w:ind w:left="720" w:hanging="720"/>
        <w:rPr>
          <w:lang w:val="fr-FR"/>
        </w:rPr>
      </w:pPr>
      <w:r w:rsidRPr="00A671BF">
        <w:rPr>
          <w:rFonts w:hint="cs"/>
        </w:rPr>
        <w:t xml:space="preserve">Buck CH </w:t>
      </w:r>
      <w:r w:rsidRPr="00A671BF">
        <w:t xml:space="preserve">(1914) </w:t>
      </w:r>
      <w:r w:rsidRPr="00A671BF">
        <w:rPr>
          <w:rFonts w:hint="cs"/>
          <w:i/>
        </w:rPr>
        <w:t>The Annals of Karnal</w:t>
      </w:r>
      <w:r w:rsidRPr="00A671BF">
        <w:rPr>
          <w:rFonts w:hint="cs"/>
        </w:rPr>
        <w:t xml:space="preserve">. </w:t>
      </w:r>
      <w:r w:rsidRPr="00A671BF">
        <w:rPr>
          <w:lang w:val="fr-FR"/>
        </w:rPr>
        <w:t>Lahore:</w:t>
      </w:r>
      <w:r w:rsidRPr="00A671BF">
        <w:rPr>
          <w:rFonts w:hint="cs"/>
          <w:lang w:val="fr-FR"/>
        </w:rPr>
        <w:t xml:space="preserve"> </w:t>
      </w:r>
      <w:proofErr w:type="spellStart"/>
      <w:r w:rsidRPr="00A671BF">
        <w:rPr>
          <w:rFonts w:hint="cs"/>
          <w:lang w:val="fr-FR"/>
        </w:rPr>
        <w:t>Government</w:t>
      </w:r>
      <w:proofErr w:type="spellEnd"/>
      <w:r w:rsidRPr="00A671BF">
        <w:rPr>
          <w:rFonts w:hint="cs"/>
          <w:lang w:val="fr-FR"/>
        </w:rPr>
        <w:t xml:space="preserve"> Printing.</w:t>
      </w:r>
    </w:p>
    <w:p w:rsidR="000E1B69" w:rsidRPr="00A671BF" w:rsidRDefault="000E1B69" w:rsidP="000E1B69">
      <w:pPr>
        <w:ind w:left="720" w:hanging="720"/>
      </w:pPr>
      <w:r w:rsidRPr="00A671BF">
        <w:rPr>
          <w:lang w:val="fr-FR"/>
        </w:rPr>
        <w:t xml:space="preserve">Cama BR (1910) L’affaire </w:t>
      </w:r>
      <w:proofErr w:type="spellStart"/>
      <w:proofErr w:type="gramStart"/>
      <w:r w:rsidRPr="00A671BF">
        <w:rPr>
          <w:lang w:val="fr-FR"/>
        </w:rPr>
        <w:t>Savarkar</w:t>
      </w:r>
      <w:proofErr w:type="spellEnd"/>
      <w:r w:rsidRPr="00A671BF">
        <w:rPr>
          <w:lang w:val="fr-FR"/>
        </w:rPr>
        <w:t>:</w:t>
      </w:r>
      <w:proofErr w:type="gramEnd"/>
      <w:r w:rsidRPr="00A671BF">
        <w:rPr>
          <w:lang w:val="fr-FR"/>
        </w:rPr>
        <w:t xml:space="preserve"> de qui se moque-t-on?. </w:t>
      </w:r>
      <w:proofErr w:type="spellStart"/>
      <w:r w:rsidRPr="00A671BF">
        <w:rPr>
          <w:i/>
        </w:rPr>
        <w:t>L’Humanité</w:t>
      </w:r>
      <w:proofErr w:type="spellEnd"/>
      <w:r w:rsidRPr="00A671BF">
        <w:t>,</w:t>
      </w:r>
      <w:r w:rsidRPr="00A671BF">
        <w:rPr>
          <w:i/>
        </w:rPr>
        <w:t xml:space="preserve"> </w:t>
      </w:r>
      <w:r w:rsidRPr="00A671BF">
        <w:t>23 September, 1.</w:t>
      </w:r>
    </w:p>
    <w:p w:rsidR="000E1B69" w:rsidRPr="00A671BF" w:rsidRDefault="000E1B69" w:rsidP="000E1B69">
      <w:pPr>
        <w:ind w:left="720" w:hanging="720"/>
      </w:pPr>
      <w:proofErr w:type="spellStart"/>
      <w:r w:rsidRPr="00A671BF">
        <w:t>Camiscioli</w:t>
      </w:r>
      <w:proofErr w:type="spellEnd"/>
      <w:r w:rsidRPr="00A671BF">
        <w:t xml:space="preserve"> E (2009) </w:t>
      </w:r>
      <w:r w:rsidRPr="00A671BF">
        <w:rPr>
          <w:i/>
        </w:rPr>
        <w:t xml:space="preserve">Reproducing the French Race: Immigration, Intimacy, and Embodiment in the </w:t>
      </w:r>
      <w:r w:rsidR="00DC35CA" w:rsidRPr="00A671BF">
        <w:rPr>
          <w:i/>
        </w:rPr>
        <w:t>E</w:t>
      </w:r>
      <w:r w:rsidRPr="00A671BF">
        <w:rPr>
          <w:i/>
        </w:rPr>
        <w:t xml:space="preserve">arly </w:t>
      </w:r>
      <w:r w:rsidR="00DC35CA" w:rsidRPr="00A671BF">
        <w:rPr>
          <w:i/>
        </w:rPr>
        <w:t>T</w:t>
      </w:r>
      <w:r w:rsidRPr="00A671BF">
        <w:rPr>
          <w:i/>
        </w:rPr>
        <w:t xml:space="preserve">wentieth </w:t>
      </w:r>
      <w:r w:rsidR="00DC35CA" w:rsidRPr="00A671BF">
        <w:rPr>
          <w:i/>
        </w:rPr>
        <w:t>C</w:t>
      </w:r>
      <w:r w:rsidRPr="00A671BF">
        <w:rPr>
          <w:i/>
        </w:rPr>
        <w:t>entury</w:t>
      </w:r>
      <w:r w:rsidRPr="00A671BF">
        <w:t>. Durham: Duke University Press.</w:t>
      </w:r>
    </w:p>
    <w:p w:rsidR="000E1B69" w:rsidRPr="00A671BF" w:rsidRDefault="000E1B69" w:rsidP="000E1B69">
      <w:pPr>
        <w:ind w:left="720" w:hanging="720"/>
      </w:pPr>
      <w:proofErr w:type="spellStart"/>
      <w:r w:rsidRPr="00A671BF">
        <w:rPr>
          <w:lang w:val="en-US"/>
        </w:rPr>
        <w:t>Clavin</w:t>
      </w:r>
      <w:proofErr w:type="spellEnd"/>
      <w:r w:rsidRPr="00A671BF">
        <w:rPr>
          <w:lang w:val="en-US"/>
        </w:rPr>
        <w:t xml:space="preserve"> P (2005) Defining Transnationalism</w:t>
      </w:r>
      <w:r w:rsidRPr="00A671BF">
        <w:t xml:space="preserve">. </w:t>
      </w:r>
      <w:r w:rsidRPr="00A671BF">
        <w:rPr>
          <w:i/>
          <w:iCs/>
          <w:lang w:val="en-US"/>
        </w:rPr>
        <w:t>Contemporary European History</w:t>
      </w:r>
      <w:r w:rsidRPr="00A671BF">
        <w:t xml:space="preserve"> 14(4): 421–39.</w:t>
      </w:r>
    </w:p>
    <w:p w:rsidR="000E1B69" w:rsidRPr="00A671BF" w:rsidRDefault="000E1B69" w:rsidP="000E1B69">
      <w:pPr>
        <w:ind w:left="720" w:hanging="720"/>
      </w:pPr>
      <w:r w:rsidRPr="00A671BF">
        <w:t xml:space="preserve">Cooper F (2005) </w:t>
      </w:r>
      <w:r w:rsidRPr="00A671BF">
        <w:rPr>
          <w:i/>
          <w:iCs/>
        </w:rPr>
        <w:t>Colonialism in Question: Theory, Knowledge, History</w:t>
      </w:r>
      <w:r w:rsidRPr="00A671BF">
        <w:t>. Berkeley: University of California Press.</w:t>
      </w:r>
    </w:p>
    <w:p w:rsidR="000E1B69" w:rsidRPr="00A671BF" w:rsidRDefault="000E1B69" w:rsidP="000E1B69">
      <w:pPr>
        <w:ind w:left="720" w:hanging="720"/>
        <w:rPr>
          <w:lang w:val="fr-FR"/>
        </w:rPr>
      </w:pPr>
      <w:r w:rsidRPr="00A671BF">
        <w:rPr>
          <w:i/>
        </w:rPr>
        <w:t xml:space="preserve">Daily Mail </w:t>
      </w:r>
      <w:r w:rsidRPr="00A671BF">
        <w:t xml:space="preserve">(1910) Indian Prisoner’s Escape. </w:t>
      </w:r>
      <w:r w:rsidRPr="00A671BF">
        <w:rPr>
          <w:lang w:val="fr-FR"/>
        </w:rPr>
        <w:t>11 July,</w:t>
      </w:r>
      <w:r w:rsidR="00DC35CA" w:rsidRPr="00A671BF">
        <w:rPr>
          <w:lang w:val="fr-FR"/>
        </w:rPr>
        <w:t xml:space="preserve"> </w:t>
      </w:r>
      <w:r w:rsidRPr="00A671BF">
        <w:rPr>
          <w:lang w:val="fr-FR"/>
        </w:rPr>
        <w:t>7.</w:t>
      </w:r>
    </w:p>
    <w:p w:rsidR="000E1B69" w:rsidRPr="00A671BF" w:rsidRDefault="000E1B69" w:rsidP="000E1B69">
      <w:pPr>
        <w:ind w:left="720" w:hanging="720"/>
        <w:rPr>
          <w:lang w:val="fr-FR"/>
        </w:rPr>
      </w:pPr>
      <w:r w:rsidRPr="00A671BF">
        <w:rPr>
          <w:lang w:val="fr-FR"/>
        </w:rPr>
        <w:t xml:space="preserve">David G (1991) Chandernagor et le </w:t>
      </w:r>
      <w:proofErr w:type="spellStart"/>
      <w:r w:rsidRPr="00A671BF">
        <w:rPr>
          <w:lang w:val="fr-FR"/>
        </w:rPr>
        <w:t>Swadeshisme</w:t>
      </w:r>
      <w:proofErr w:type="spellEnd"/>
      <w:r w:rsidRPr="00A671BF">
        <w:rPr>
          <w:lang w:val="fr-FR"/>
        </w:rPr>
        <w:t xml:space="preserve"> au début du XX</w:t>
      </w:r>
      <w:r w:rsidRPr="00A671BF">
        <w:rPr>
          <w:vertAlign w:val="superscript"/>
          <w:lang w:val="fr-FR"/>
        </w:rPr>
        <w:t>e</w:t>
      </w:r>
      <w:r w:rsidRPr="00A671BF">
        <w:rPr>
          <w:lang w:val="fr-FR"/>
        </w:rPr>
        <w:t xml:space="preserve"> siècle: L’affaire </w:t>
      </w:r>
      <w:proofErr w:type="spellStart"/>
      <w:r w:rsidRPr="00A671BF">
        <w:rPr>
          <w:lang w:val="fr-FR"/>
        </w:rPr>
        <w:t>Charu</w:t>
      </w:r>
      <w:proofErr w:type="spellEnd"/>
      <w:r w:rsidRPr="00A671BF">
        <w:rPr>
          <w:lang w:val="fr-FR"/>
        </w:rPr>
        <w:t xml:space="preserve"> Chandra Roy. </w:t>
      </w:r>
      <w:r w:rsidRPr="00A671BF">
        <w:rPr>
          <w:i/>
          <w:iCs/>
          <w:lang w:val="fr-FR"/>
        </w:rPr>
        <w:t xml:space="preserve">Revue française d’histoire d’outre-mer </w:t>
      </w:r>
      <w:r w:rsidRPr="00A671BF">
        <w:rPr>
          <w:lang w:val="fr-FR"/>
        </w:rPr>
        <w:t>78</w:t>
      </w:r>
      <w:r w:rsidR="00B85BB3" w:rsidRPr="00A671BF">
        <w:rPr>
          <w:lang w:val="fr-FR"/>
        </w:rPr>
        <w:t>(290</w:t>
      </w:r>
      <w:proofErr w:type="gramStart"/>
      <w:r w:rsidR="00B85BB3" w:rsidRPr="00A671BF">
        <w:rPr>
          <w:lang w:val="fr-FR"/>
        </w:rPr>
        <w:t>):</w:t>
      </w:r>
      <w:proofErr w:type="gramEnd"/>
      <w:r w:rsidRPr="00A671BF">
        <w:rPr>
          <w:lang w:val="fr-FR"/>
        </w:rPr>
        <w:t xml:space="preserve"> 89–103.</w:t>
      </w:r>
    </w:p>
    <w:p w:rsidR="00DC35CA" w:rsidRPr="00A671BF" w:rsidRDefault="00DC35CA" w:rsidP="00DC35CA">
      <w:pPr>
        <w:ind w:left="720" w:hanging="720"/>
        <w:rPr>
          <w:bCs/>
        </w:rPr>
      </w:pPr>
      <w:r w:rsidRPr="00A671BF">
        <w:rPr>
          <w:bCs/>
          <w:lang w:val="fr-FR"/>
        </w:rPr>
        <w:t xml:space="preserve">De Beauvoir S (1960) </w:t>
      </w:r>
      <w:r w:rsidRPr="00A671BF">
        <w:rPr>
          <w:bCs/>
          <w:i/>
          <w:iCs/>
          <w:lang w:val="fr-FR"/>
        </w:rPr>
        <w:t>La Force de l’âge</w:t>
      </w:r>
      <w:r w:rsidRPr="00A671BF">
        <w:rPr>
          <w:bCs/>
          <w:iCs/>
          <w:lang w:val="fr-FR"/>
        </w:rPr>
        <w:t xml:space="preserve">. </w:t>
      </w:r>
      <w:r w:rsidRPr="00A671BF">
        <w:rPr>
          <w:bCs/>
        </w:rPr>
        <w:t>Paris: Gallimard.</w:t>
      </w:r>
    </w:p>
    <w:p w:rsidR="000E1B69" w:rsidRPr="00A671BF" w:rsidRDefault="000E1B69" w:rsidP="000E1B69">
      <w:pPr>
        <w:ind w:left="720" w:hanging="720"/>
      </w:pPr>
      <w:r w:rsidRPr="00A671BF">
        <w:t>Dirks NB (2001) </w:t>
      </w:r>
      <w:r w:rsidRPr="00A671BF">
        <w:rPr>
          <w:i/>
          <w:iCs/>
        </w:rPr>
        <w:t>Castes of Mind: Colonialism and the Making of Modern India</w:t>
      </w:r>
      <w:r w:rsidRPr="00A671BF">
        <w:t>. Princeton: Princeton University Press.</w:t>
      </w:r>
    </w:p>
    <w:p w:rsidR="000E1B69" w:rsidRPr="00A671BF" w:rsidRDefault="000E1B69" w:rsidP="000E1B69">
      <w:pPr>
        <w:ind w:left="720" w:hanging="720"/>
        <w:rPr>
          <w:bCs/>
        </w:rPr>
      </w:pPr>
      <w:r w:rsidRPr="00A671BF">
        <w:rPr>
          <w:lang w:val="en-US"/>
        </w:rPr>
        <w:t xml:space="preserve">Edwards BH (2003) </w:t>
      </w:r>
      <w:r w:rsidRPr="00A671BF">
        <w:rPr>
          <w:i/>
          <w:lang w:val="en-US"/>
        </w:rPr>
        <w:t>T</w:t>
      </w:r>
      <w:r w:rsidRPr="00A671BF">
        <w:rPr>
          <w:i/>
          <w:iCs/>
          <w:lang w:val="en-US"/>
        </w:rPr>
        <w:t>he Practice of Diaspora: Literature, Translation and the Rise of Black Internationalism</w:t>
      </w:r>
      <w:r w:rsidRPr="00A671BF">
        <w:rPr>
          <w:iCs/>
          <w:lang w:val="en-US"/>
        </w:rPr>
        <w:t>.</w:t>
      </w:r>
      <w:r w:rsidRPr="00A671BF">
        <w:rPr>
          <w:i/>
          <w:iCs/>
          <w:lang w:val="en-US"/>
        </w:rPr>
        <w:t xml:space="preserve"> </w:t>
      </w:r>
      <w:r w:rsidRPr="00A671BF">
        <w:t>Cambridge: Harvard University Press</w:t>
      </w:r>
      <w:r w:rsidRPr="00A671BF">
        <w:rPr>
          <w:bCs/>
        </w:rPr>
        <w:t>.</w:t>
      </w:r>
    </w:p>
    <w:p w:rsidR="000E1B69" w:rsidRPr="00A671BF" w:rsidRDefault="000E1B69" w:rsidP="000E1B69">
      <w:pPr>
        <w:ind w:left="720" w:hanging="720"/>
        <w:rPr>
          <w:bCs/>
        </w:rPr>
      </w:pPr>
      <w:proofErr w:type="spellStart"/>
      <w:r w:rsidRPr="00A671BF">
        <w:t>Fauladi</w:t>
      </w:r>
      <w:proofErr w:type="spellEnd"/>
      <w:r w:rsidRPr="00A671BF">
        <w:t xml:space="preserve"> A-K (1925) M. N. Roy et </w:t>
      </w:r>
      <w:proofErr w:type="spellStart"/>
      <w:r w:rsidRPr="00A671BF">
        <w:t>l’impérialisme</w:t>
      </w:r>
      <w:proofErr w:type="spellEnd"/>
      <w:r w:rsidRPr="00A671BF">
        <w:t xml:space="preserve"> </w:t>
      </w:r>
      <w:proofErr w:type="spellStart"/>
      <w:r w:rsidRPr="00A671BF">
        <w:t>britannique</w:t>
      </w:r>
      <w:proofErr w:type="spellEnd"/>
      <w:r w:rsidRPr="00A671BF">
        <w:t xml:space="preserve">. </w:t>
      </w:r>
      <w:proofErr w:type="spellStart"/>
      <w:r w:rsidRPr="00A671BF">
        <w:rPr>
          <w:i/>
        </w:rPr>
        <w:t>L’Humanité</w:t>
      </w:r>
      <w:proofErr w:type="spellEnd"/>
      <w:r w:rsidRPr="00A671BF">
        <w:t>, 19 February, 4.</w:t>
      </w:r>
    </w:p>
    <w:p w:rsidR="000E1B69" w:rsidRPr="00A671BF" w:rsidRDefault="000E1B69" w:rsidP="000E1B69">
      <w:pPr>
        <w:ind w:left="720" w:hanging="720"/>
        <w:rPr>
          <w:bCs/>
          <w:lang w:val="fr-FR"/>
        </w:rPr>
      </w:pPr>
      <w:r w:rsidRPr="00A671BF">
        <w:rPr>
          <w:bCs/>
        </w:rPr>
        <w:t>Fischer-</w:t>
      </w:r>
      <w:proofErr w:type="spellStart"/>
      <w:r w:rsidRPr="00A671BF">
        <w:rPr>
          <w:bCs/>
        </w:rPr>
        <w:t>Tiné</w:t>
      </w:r>
      <w:proofErr w:type="spellEnd"/>
      <w:r w:rsidRPr="00A671BF">
        <w:rPr>
          <w:bCs/>
        </w:rPr>
        <w:t xml:space="preserve"> H (2007) Indian Nationalism and the ‘world forces’: transnational and diasporic dimensions of the Indian freedom movement on the eve of the First World War. </w:t>
      </w:r>
      <w:r w:rsidRPr="00A671BF">
        <w:rPr>
          <w:bCs/>
          <w:i/>
          <w:lang w:val="fr-FR"/>
        </w:rPr>
        <w:t xml:space="preserve">Journal of Global </w:t>
      </w:r>
      <w:proofErr w:type="spellStart"/>
      <w:r w:rsidRPr="00A671BF">
        <w:rPr>
          <w:bCs/>
          <w:i/>
          <w:lang w:val="fr-FR"/>
        </w:rPr>
        <w:t>History</w:t>
      </w:r>
      <w:proofErr w:type="spellEnd"/>
      <w:r w:rsidRPr="00A671BF">
        <w:rPr>
          <w:bCs/>
          <w:lang w:val="fr-FR"/>
        </w:rPr>
        <w:t xml:space="preserve"> 2</w:t>
      </w:r>
      <w:r w:rsidR="00B85BB3" w:rsidRPr="00A671BF">
        <w:rPr>
          <w:bCs/>
          <w:lang w:val="fr-FR"/>
        </w:rPr>
        <w:t>(3</w:t>
      </w:r>
      <w:proofErr w:type="gramStart"/>
      <w:r w:rsidR="00B85BB3" w:rsidRPr="00A671BF">
        <w:rPr>
          <w:bCs/>
          <w:lang w:val="fr-FR"/>
        </w:rPr>
        <w:t>)</w:t>
      </w:r>
      <w:r w:rsidRPr="00A671BF">
        <w:rPr>
          <w:bCs/>
          <w:lang w:val="fr-FR"/>
        </w:rPr>
        <w:t>:</w:t>
      </w:r>
      <w:proofErr w:type="gramEnd"/>
      <w:r w:rsidRPr="00A671BF">
        <w:rPr>
          <w:bCs/>
          <w:lang w:val="fr-FR"/>
        </w:rPr>
        <w:t xml:space="preserve"> 325–44.</w:t>
      </w:r>
    </w:p>
    <w:p w:rsidR="006732BE" w:rsidRPr="00A671BF" w:rsidRDefault="006732BE" w:rsidP="000E1B69">
      <w:pPr>
        <w:ind w:left="720" w:hanging="720"/>
        <w:rPr>
          <w:bCs/>
        </w:rPr>
      </w:pPr>
      <w:r w:rsidRPr="00A671BF">
        <w:rPr>
          <w:bCs/>
          <w:lang w:val="fr-FR"/>
        </w:rPr>
        <w:t xml:space="preserve">Gauthier R (1931) Gandhi de passage à Paris. </w:t>
      </w:r>
      <w:r w:rsidRPr="00A671BF">
        <w:rPr>
          <w:bCs/>
          <w:i/>
        </w:rPr>
        <w:t>Le Temps</w:t>
      </w:r>
      <w:r w:rsidRPr="00A671BF">
        <w:rPr>
          <w:bCs/>
        </w:rPr>
        <w:t>, 7 December, 1</w:t>
      </w:r>
      <w:r w:rsidR="00BA2C56" w:rsidRPr="00A671BF">
        <w:rPr>
          <w:bCs/>
        </w:rPr>
        <w:t>.</w:t>
      </w:r>
    </w:p>
    <w:p w:rsidR="000E1B69" w:rsidRPr="00A671BF" w:rsidRDefault="000E1B69" w:rsidP="000E1B69">
      <w:pPr>
        <w:ind w:left="720" w:hanging="720"/>
      </w:pPr>
      <w:r w:rsidRPr="00A671BF">
        <w:t xml:space="preserve">Goebel M (2015) </w:t>
      </w:r>
      <w:r w:rsidRPr="00A671BF">
        <w:rPr>
          <w:i/>
        </w:rPr>
        <w:t>Anti-Imperial Metropolis: Interwar Paris and the Seeds of Third World Nationalism</w:t>
      </w:r>
      <w:r w:rsidRPr="00A671BF">
        <w:t>. New York: Cambridge University Press.</w:t>
      </w:r>
    </w:p>
    <w:p w:rsidR="000E1B69" w:rsidRPr="00A671BF" w:rsidRDefault="000E1B69" w:rsidP="000E1B69">
      <w:pPr>
        <w:ind w:left="720" w:hanging="720"/>
      </w:pPr>
      <w:r w:rsidRPr="00A671BF">
        <w:t xml:space="preserve">Goebel M (2016) ‘The Capital of the Men without a Country’: Migrants and Anticolonialism in Interwar Paris. </w:t>
      </w:r>
      <w:r w:rsidRPr="00A671BF">
        <w:rPr>
          <w:i/>
        </w:rPr>
        <w:t>American Historical Review</w:t>
      </w:r>
      <w:r w:rsidR="00DC35CA" w:rsidRPr="00A671BF">
        <w:t xml:space="preserve"> </w:t>
      </w:r>
      <w:r w:rsidRPr="00A671BF">
        <w:t>121</w:t>
      </w:r>
      <w:r w:rsidR="00B85BB3" w:rsidRPr="00A671BF">
        <w:t>(5)</w:t>
      </w:r>
      <w:r w:rsidRPr="00A671BF">
        <w:t>: 1444–67.</w:t>
      </w:r>
    </w:p>
    <w:p w:rsidR="000E1B69" w:rsidRPr="00A671BF" w:rsidRDefault="000E1B69" w:rsidP="000E1B69">
      <w:pPr>
        <w:ind w:left="720" w:hanging="720"/>
      </w:pPr>
      <w:r w:rsidRPr="00A671BF">
        <w:lastRenderedPageBreak/>
        <w:t xml:space="preserve">Gordon DA (2005) The Back Door of the Nation State: Expulsions of Foreigners and Continuity in Twentieth-Century France. </w:t>
      </w:r>
      <w:r w:rsidRPr="00A671BF">
        <w:rPr>
          <w:i/>
        </w:rPr>
        <w:t>Past &amp; Present</w:t>
      </w:r>
      <w:r w:rsidR="003511BD" w:rsidRPr="00A671BF">
        <w:t xml:space="preserve"> </w:t>
      </w:r>
      <w:r w:rsidRPr="00A671BF">
        <w:t>186</w:t>
      </w:r>
      <w:r w:rsidR="00B85BB3" w:rsidRPr="00A671BF">
        <w:t>(1)</w:t>
      </w:r>
      <w:r w:rsidRPr="00A671BF">
        <w:t>: 201–32.</w:t>
      </w:r>
    </w:p>
    <w:p w:rsidR="00F42143" w:rsidRPr="00A671BF" w:rsidRDefault="00F42143" w:rsidP="00F42143">
      <w:pPr>
        <w:ind w:left="720" w:hanging="720"/>
        <w:rPr>
          <w:lang w:val="fr-FR"/>
        </w:rPr>
      </w:pPr>
      <w:r w:rsidRPr="00A671BF">
        <w:rPr>
          <w:lang w:val="fr-FR"/>
        </w:rPr>
        <w:t xml:space="preserve">H. J-M (1938a) Un </w:t>
      </w:r>
      <w:proofErr w:type="gramStart"/>
      <w:r w:rsidRPr="00A671BF">
        <w:rPr>
          <w:lang w:val="fr-FR"/>
        </w:rPr>
        <w:t>Scandale!</w:t>
      </w:r>
      <w:proofErr w:type="gramEnd"/>
      <w:r w:rsidRPr="00A671BF">
        <w:rPr>
          <w:lang w:val="fr-FR"/>
        </w:rPr>
        <w:t xml:space="preserve"> La Police de M. Daladier expulse trois journalistes hindous venus faire à Paris un reportage sur la grève </w:t>
      </w:r>
      <w:proofErr w:type="gramStart"/>
      <w:r w:rsidRPr="00A671BF">
        <w:rPr>
          <w:lang w:val="fr-FR"/>
        </w:rPr>
        <w:t>générale!</w:t>
      </w:r>
      <w:proofErr w:type="gramEnd"/>
      <w:r w:rsidRPr="00A671BF">
        <w:rPr>
          <w:lang w:val="fr-FR"/>
        </w:rPr>
        <w:t xml:space="preserve"> Est-ce un premier pas vers le bâillonnement de la presse réclamé par Hitler et tenté par M. Georges </w:t>
      </w:r>
      <w:proofErr w:type="gramStart"/>
      <w:r w:rsidRPr="00A671BF">
        <w:rPr>
          <w:lang w:val="fr-FR"/>
        </w:rPr>
        <w:t>Bonnet?.</w:t>
      </w:r>
      <w:proofErr w:type="gramEnd"/>
      <w:r w:rsidRPr="00A671BF">
        <w:rPr>
          <w:lang w:val="fr-FR"/>
        </w:rPr>
        <w:t xml:space="preserve"> </w:t>
      </w:r>
      <w:r w:rsidRPr="00A671BF">
        <w:rPr>
          <w:i/>
          <w:lang w:val="fr-FR"/>
        </w:rPr>
        <w:t>Le Populaire</w:t>
      </w:r>
      <w:r w:rsidRPr="00A671BF">
        <w:rPr>
          <w:lang w:val="fr-FR"/>
        </w:rPr>
        <w:t xml:space="preserve">, 6 </w:t>
      </w:r>
      <w:proofErr w:type="spellStart"/>
      <w:r w:rsidRPr="00A671BF">
        <w:rPr>
          <w:lang w:val="fr-FR"/>
        </w:rPr>
        <w:t>December</w:t>
      </w:r>
      <w:proofErr w:type="spellEnd"/>
      <w:r w:rsidRPr="00A671BF">
        <w:rPr>
          <w:lang w:val="fr-FR"/>
        </w:rPr>
        <w:t>, 6.</w:t>
      </w:r>
    </w:p>
    <w:p w:rsidR="00F42143" w:rsidRPr="00A671BF" w:rsidRDefault="00F42143" w:rsidP="00F42143">
      <w:pPr>
        <w:ind w:left="720" w:hanging="720"/>
      </w:pPr>
      <w:r w:rsidRPr="00A671BF">
        <w:rPr>
          <w:lang w:val="fr-FR"/>
        </w:rPr>
        <w:t xml:space="preserve">H. J-M (1938b) Abus de pouvoir… et gaffe. </w:t>
      </w:r>
      <w:r w:rsidRPr="00A671BF">
        <w:rPr>
          <w:i/>
        </w:rPr>
        <w:t>Le Populaire</w:t>
      </w:r>
      <w:r w:rsidRPr="00A671BF">
        <w:t>, 15 December, 3.</w:t>
      </w:r>
    </w:p>
    <w:p w:rsidR="000E1B69" w:rsidRPr="00A671BF" w:rsidRDefault="000E1B69" w:rsidP="000E1B69">
      <w:pPr>
        <w:ind w:left="720" w:hanging="720"/>
        <w:rPr>
          <w:lang w:val="fr-FR"/>
        </w:rPr>
      </w:pPr>
      <w:proofErr w:type="spellStart"/>
      <w:r w:rsidRPr="00A671BF">
        <w:t>Heehs</w:t>
      </w:r>
      <w:proofErr w:type="spellEnd"/>
      <w:r w:rsidRPr="00A671BF">
        <w:t xml:space="preserve"> P (ed.) (2005) </w:t>
      </w:r>
      <w:r w:rsidRPr="00A671BF">
        <w:rPr>
          <w:i/>
          <w:iCs/>
        </w:rPr>
        <w:t>Nationalism, Religion, and Beyond: Writings on Politics, Society, and Culture by Sri Aurobindo</w:t>
      </w:r>
      <w:r w:rsidRPr="00A671BF">
        <w:rPr>
          <w:iCs/>
        </w:rPr>
        <w:t>.</w:t>
      </w:r>
      <w:r w:rsidRPr="00A671BF">
        <w:rPr>
          <w:i/>
          <w:iCs/>
        </w:rPr>
        <w:t xml:space="preserve"> </w:t>
      </w:r>
      <w:proofErr w:type="gramStart"/>
      <w:r w:rsidRPr="00A671BF">
        <w:rPr>
          <w:iCs/>
          <w:lang w:val="fr-FR"/>
        </w:rPr>
        <w:t>Delhi:</w:t>
      </w:r>
      <w:proofErr w:type="gramEnd"/>
      <w:r w:rsidRPr="00A671BF">
        <w:rPr>
          <w:iCs/>
          <w:lang w:val="fr-FR"/>
        </w:rPr>
        <w:t xml:space="preserve"> Permanent Black.</w:t>
      </w:r>
    </w:p>
    <w:p w:rsidR="000E1B69" w:rsidRPr="00A671BF" w:rsidRDefault="000E1B69" w:rsidP="000E1B69">
      <w:pPr>
        <w:ind w:left="720" w:hanging="720"/>
        <w:rPr>
          <w:lang w:val="fr-FR"/>
        </w:rPr>
      </w:pPr>
      <w:r w:rsidRPr="00A671BF">
        <w:rPr>
          <w:i/>
          <w:lang w:val="fr-FR"/>
        </w:rPr>
        <w:t xml:space="preserve">L’Humanité </w:t>
      </w:r>
      <w:r w:rsidRPr="00A671BF">
        <w:rPr>
          <w:lang w:val="fr-FR"/>
        </w:rPr>
        <w:t xml:space="preserve">(1910a) Envoi généreux d’un </w:t>
      </w:r>
      <w:proofErr w:type="gramStart"/>
      <w:r w:rsidRPr="00A671BF">
        <w:rPr>
          <w:lang w:val="fr-FR"/>
        </w:rPr>
        <w:t>Exilé:</w:t>
      </w:r>
      <w:proofErr w:type="gramEnd"/>
      <w:r w:rsidRPr="00A671BF">
        <w:rPr>
          <w:lang w:val="fr-FR"/>
        </w:rPr>
        <w:t xml:space="preserve"> La lettre de M. </w:t>
      </w:r>
      <w:proofErr w:type="spellStart"/>
      <w:r w:rsidRPr="00A671BF">
        <w:rPr>
          <w:lang w:val="fr-FR"/>
        </w:rPr>
        <w:t>Krishnavarma</w:t>
      </w:r>
      <w:proofErr w:type="spellEnd"/>
      <w:r w:rsidRPr="00A671BF">
        <w:rPr>
          <w:lang w:val="fr-FR"/>
        </w:rPr>
        <w:t xml:space="preserve"> à M. Fallières.</w:t>
      </w:r>
      <w:r w:rsidR="00B85BB3" w:rsidRPr="00A671BF">
        <w:rPr>
          <w:lang w:val="fr-FR"/>
        </w:rPr>
        <w:t xml:space="preserve"> </w:t>
      </w:r>
      <w:proofErr w:type="gramStart"/>
      <w:r w:rsidR="00B85BB3" w:rsidRPr="00A671BF">
        <w:rPr>
          <w:i/>
          <w:lang w:val="fr-FR"/>
        </w:rPr>
        <w:t>Le Humanité</w:t>
      </w:r>
      <w:proofErr w:type="gramEnd"/>
      <w:r w:rsidR="00B85BB3" w:rsidRPr="00A671BF">
        <w:rPr>
          <w:lang w:val="fr-FR"/>
        </w:rPr>
        <w:t xml:space="preserve">, </w:t>
      </w:r>
      <w:r w:rsidRPr="00A671BF">
        <w:rPr>
          <w:lang w:val="fr-FR"/>
        </w:rPr>
        <w:t xml:space="preserve">1 </w:t>
      </w:r>
      <w:proofErr w:type="spellStart"/>
      <w:r w:rsidRPr="00A671BF">
        <w:rPr>
          <w:lang w:val="fr-FR"/>
        </w:rPr>
        <w:t>February</w:t>
      </w:r>
      <w:proofErr w:type="spellEnd"/>
      <w:r w:rsidRPr="00A671BF">
        <w:rPr>
          <w:lang w:val="fr-FR"/>
        </w:rPr>
        <w:t>, 2.</w:t>
      </w:r>
    </w:p>
    <w:p w:rsidR="000E1B69" w:rsidRPr="00A671BF" w:rsidRDefault="000E1B69" w:rsidP="000E1B69">
      <w:pPr>
        <w:ind w:left="720" w:hanging="720"/>
        <w:rPr>
          <w:lang w:val="fr-FR"/>
        </w:rPr>
      </w:pPr>
      <w:r w:rsidRPr="00A671BF">
        <w:rPr>
          <w:i/>
          <w:lang w:val="fr-FR"/>
        </w:rPr>
        <w:t>L’Humanité</w:t>
      </w:r>
      <w:r w:rsidRPr="00A671BF">
        <w:rPr>
          <w:lang w:val="fr-FR"/>
        </w:rPr>
        <w:t xml:space="preserve"> (1910b) Hors de </w:t>
      </w:r>
      <w:proofErr w:type="gramStart"/>
      <w:r w:rsidRPr="00A671BF">
        <w:rPr>
          <w:lang w:val="fr-FR"/>
        </w:rPr>
        <w:t>France:</w:t>
      </w:r>
      <w:proofErr w:type="gramEnd"/>
      <w:r w:rsidRPr="00A671BF">
        <w:rPr>
          <w:lang w:val="fr-FR"/>
        </w:rPr>
        <w:t xml:space="preserve"> L’Affaire </w:t>
      </w:r>
      <w:proofErr w:type="spellStart"/>
      <w:r w:rsidRPr="00A671BF">
        <w:rPr>
          <w:lang w:val="fr-FR"/>
        </w:rPr>
        <w:t>Savarkar</w:t>
      </w:r>
      <w:proofErr w:type="spellEnd"/>
      <w:r w:rsidR="00B85BB3" w:rsidRPr="00A671BF">
        <w:rPr>
          <w:lang w:val="fr-FR"/>
        </w:rPr>
        <w:t>.</w:t>
      </w:r>
      <w:r w:rsidRPr="00A671BF">
        <w:rPr>
          <w:lang w:val="fr-FR"/>
        </w:rPr>
        <w:t xml:space="preserve"> </w:t>
      </w:r>
      <w:r w:rsidRPr="00A671BF">
        <w:rPr>
          <w:i/>
          <w:lang w:val="fr-FR"/>
        </w:rPr>
        <w:t>L’Humanité</w:t>
      </w:r>
      <w:r w:rsidRPr="00A671BF">
        <w:rPr>
          <w:lang w:val="fr-FR"/>
        </w:rPr>
        <w:t>, 22 July 1910, 2.</w:t>
      </w:r>
    </w:p>
    <w:p w:rsidR="000E1B69" w:rsidRPr="00A671BF" w:rsidRDefault="000E1B69" w:rsidP="000E1B69">
      <w:pPr>
        <w:ind w:left="720" w:hanging="720"/>
        <w:rPr>
          <w:lang w:val="fr-FR"/>
        </w:rPr>
      </w:pPr>
      <w:r w:rsidRPr="00A671BF">
        <w:rPr>
          <w:i/>
          <w:lang w:val="fr-FR"/>
        </w:rPr>
        <w:t>L’Humanité</w:t>
      </w:r>
      <w:r w:rsidRPr="00A671BF">
        <w:rPr>
          <w:lang w:val="fr-FR"/>
        </w:rPr>
        <w:t xml:space="preserve"> (1910c) En dernière </w:t>
      </w:r>
      <w:proofErr w:type="gramStart"/>
      <w:r w:rsidRPr="00A671BF">
        <w:rPr>
          <w:lang w:val="fr-FR"/>
        </w:rPr>
        <w:t>heure:</w:t>
      </w:r>
      <w:proofErr w:type="gramEnd"/>
      <w:r w:rsidRPr="00A671BF">
        <w:rPr>
          <w:lang w:val="fr-FR"/>
        </w:rPr>
        <w:t xml:space="preserve"> A propos de l’Affaire </w:t>
      </w:r>
      <w:proofErr w:type="spellStart"/>
      <w:r w:rsidRPr="00A671BF">
        <w:rPr>
          <w:lang w:val="fr-FR"/>
        </w:rPr>
        <w:t>Savarkar</w:t>
      </w:r>
      <w:proofErr w:type="spellEnd"/>
      <w:r w:rsidR="00B85BB3" w:rsidRPr="00A671BF">
        <w:rPr>
          <w:lang w:val="fr-FR"/>
        </w:rPr>
        <w:t>.</w:t>
      </w:r>
      <w:r w:rsidRPr="00A671BF">
        <w:rPr>
          <w:lang w:val="fr-FR"/>
        </w:rPr>
        <w:t xml:space="preserve"> </w:t>
      </w:r>
      <w:r w:rsidRPr="00A671BF">
        <w:rPr>
          <w:i/>
          <w:lang w:val="fr-FR"/>
        </w:rPr>
        <w:t>L’Humanité</w:t>
      </w:r>
      <w:r w:rsidRPr="00A671BF">
        <w:rPr>
          <w:lang w:val="fr-FR"/>
        </w:rPr>
        <w:t>,</w:t>
      </w:r>
      <w:r w:rsidRPr="00A671BF">
        <w:rPr>
          <w:i/>
          <w:lang w:val="fr-FR"/>
        </w:rPr>
        <w:t xml:space="preserve"> </w:t>
      </w:r>
      <w:r w:rsidRPr="00A671BF">
        <w:rPr>
          <w:lang w:val="fr-FR"/>
        </w:rPr>
        <w:t>7 August, 1 and 3.</w:t>
      </w:r>
    </w:p>
    <w:p w:rsidR="000E1B69" w:rsidRPr="00A671BF" w:rsidRDefault="000E1B69" w:rsidP="000E1B69">
      <w:pPr>
        <w:ind w:left="720" w:hanging="720"/>
        <w:rPr>
          <w:lang w:val="fr-FR"/>
        </w:rPr>
      </w:pPr>
      <w:r w:rsidRPr="00A671BF">
        <w:rPr>
          <w:i/>
          <w:lang w:val="fr-FR"/>
        </w:rPr>
        <w:t xml:space="preserve">L’Humanité </w:t>
      </w:r>
      <w:r w:rsidRPr="00A671BF">
        <w:rPr>
          <w:lang w:val="fr-FR"/>
        </w:rPr>
        <w:t>(1910d) Contre un acte arbitraire du Gouvernement</w:t>
      </w:r>
      <w:r w:rsidR="00B85BB3" w:rsidRPr="00A671BF">
        <w:rPr>
          <w:lang w:val="fr-FR"/>
        </w:rPr>
        <w:t>.</w:t>
      </w:r>
      <w:r w:rsidRPr="00A671BF">
        <w:rPr>
          <w:lang w:val="fr-FR"/>
        </w:rPr>
        <w:t xml:space="preserve"> </w:t>
      </w:r>
      <w:r w:rsidRPr="00A671BF">
        <w:rPr>
          <w:i/>
          <w:lang w:val="fr-FR"/>
        </w:rPr>
        <w:t>L’Humanité</w:t>
      </w:r>
      <w:r w:rsidRPr="00A671BF">
        <w:rPr>
          <w:lang w:val="fr-FR"/>
        </w:rPr>
        <w:t>,</w:t>
      </w:r>
      <w:r w:rsidRPr="00A671BF">
        <w:rPr>
          <w:i/>
          <w:lang w:val="fr-FR"/>
        </w:rPr>
        <w:t xml:space="preserve"> </w:t>
      </w:r>
      <w:r w:rsidRPr="00A671BF">
        <w:rPr>
          <w:lang w:val="fr-FR"/>
        </w:rPr>
        <w:t xml:space="preserve">17 </w:t>
      </w:r>
      <w:proofErr w:type="spellStart"/>
      <w:r w:rsidRPr="00A671BF">
        <w:rPr>
          <w:lang w:val="fr-FR"/>
        </w:rPr>
        <w:t>September</w:t>
      </w:r>
      <w:proofErr w:type="spellEnd"/>
      <w:r w:rsidRPr="00A671BF">
        <w:rPr>
          <w:lang w:val="fr-FR"/>
        </w:rPr>
        <w:t>, 1.</w:t>
      </w:r>
    </w:p>
    <w:p w:rsidR="000E1B69" w:rsidRPr="00A671BF" w:rsidRDefault="000E1B69" w:rsidP="000E1B69">
      <w:pPr>
        <w:ind w:left="720" w:hanging="720"/>
        <w:rPr>
          <w:lang w:val="fr-FR"/>
        </w:rPr>
      </w:pPr>
      <w:r w:rsidRPr="00A671BF">
        <w:rPr>
          <w:i/>
          <w:lang w:val="fr-FR"/>
        </w:rPr>
        <w:t xml:space="preserve">L’Humanité </w:t>
      </w:r>
      <w:r w:rsidRPr="00A671BF">
        <w:rPr>
          <w:lang w:val="fr-FR"/>
        </w:rPr>
        <w:t xml:space="preserve">(1910e) Mais </w:t>
      </w:r>
      <w:proofErr w:type="gramStart"/>
      <w:r w:rsidRPr="00A671BF">
        <w:rPr>
          <w:lang w:val="fr-FR"/>
        </w:rPr>
        <w:t>alors?.</w:t>
      </w:r>
      <w:proofErr w:type="gramEnd"/>
      <w:r w:rsidRPr="00A671BF">
        <w:rPr>
          <w:lang w:val="fr-FR"/>
        </w:rPr>
        <w:t xml:space="preserve"> </w:t>
      </w:r>
      <w:r w:rsidRPr="00A671BF">
        <w:rPr>
          <w:i/>
          <w:lang w:val="fr-FR"/>
        </w:rPr>
        <w:t>L’Humanité</w:t>
      </w:r>
      <w:r w:rsidRPr="00A671BF">
        <w:rPr>
          <w:lang w:val="fr-FR"/>
        </w:rPr>
        <w:t xml:space="preserve">, 25 </w:t>
      </w:r>
      <w:proofErr w:type="spellStart"/>
      <w:r w:rsidRPr="00A671BF">
        <w:rPr>
          <w:lang w:val="fr-FR"/>
        </w:rPr>
        <w:t>September</w:t>
      </w:r>
      <w:proofErr w:type="spellEnd"/>
      <w:r w:rsidRPr="00A671BF">
        <w:rPr>
          <w:lang w:val="fr-FR"/>
        </w:rPr>
        <w:t>, 1.</w:t>
      </w:r>
    </w:p>
    <w:p w:rsidR="000E1B69" w:rsidRPr="00A671BF" w:rsidRDefault="000E1B69" w:rsidP="000E1B69">
      <w:pPr>
        <w:ind w:left="720" w:hanging="720"/>
        <w:rPr>
          <w:lang w:val="fr-FR"/>
        </w:rPr>
      </w:pPr>
      <w:r w:rsidRPr="00A671BF">
        <w:rPr>
          <w:i/>
          <w:lang w:val="fr-FR"/>
        </w:rPr>
        <w:t>L’Humanité</w:t>
      </w:r>
      <w:r w:rsidRPr="00A671BF">
        <w:rPr>
          <w:lang w:val="fr-FR"/>
        </w:rPr>
        <w:t xml:space="preserve"> (1910f) Le Cas </w:t>
      </w:r>
      <w:proofErr w:type="spellStart"/>
      <w:proofErr w:type="gramStart"/>
      <w:r w:rsidRPr="00A671BF">
        <w:rPr>
          <w:lang w:val="fr-FR"/>
        </w:rPr>
        <w:t>Savarkar</w:t>
      </w:r>
      <w:proofErr w:type="spellEnd"/>
      <w:r w:rsidRPr="00A671BF">
        <w:rPr>
          <w:lang w:val="fr-FR"/>
        </w:rPr>
        <w:t>:</w:t>
      </w:r>
      <w:proofErr w:type="gramEnd"/>
      <w:r w:rsidRPr="00A671BF">
        <w:rPr>
          <w:lang w:val="fr-FR"/>
        </w:rPr>
        <w:t xml:space="preserve"> Tous les droits de la défense sont cyniquement violés?. </w:t>
      </w:r>
      <w:r w:rsidRPr="00A671BF">
        <w:rPr>
          <w:i/>
          <w:lang w:val="fr-FR"/>
        </w:rPr>
        <w:t>L’Humanité</w:t>
      </w:r>
      <w:r w:rsidRPr="00A671BF">
        <w:rPr>
          <w:lang w:val="fr-FR"/>
        </w:rPr>
        <w:t xml:space="preserve">, 28 </w:t>
      </w:r>
      <w:proofErr w:type="spellStart"/>
      <w:r w:rsidRPr="00A671BF">
        <w:rPr>
          <w:lang w:val="fr-FR"/>
        </w:rPr>
        <w:t>September</w:t>
      </w:r>
      <w:proofErr w:type="spellEnd"/>
      <w:r w:rsidRPr="00A671BF">
        <w:rPr>
          <w:lang w:val="fr-FR"/>
        </w:rPr>
        <w:t>, 1.</w:t>
      </w:r>
    </w:p>
    <w:p w:rsidR="000E1B69" w:rsidRPr="00A671BF" w:rsidRDefault="000E1B69" w:rsidP="000E1B69">
      <w:pPr>
        <w:ind w:left="720" w:hanging="720"/>
        <w:rPr>
          <w:lang w:val="fr-FR"/>
        </w:rPr>
      </w:pPr>
      <w:r w:rsidRPr="00A671BF">
        <w:rPr>
          <w:i/>
          <w:lang w:val="fr-FR"/>
        </w:rPr>
        <w:t>L’Humanité</w:t>
      </w:r>
      <w:r w:rsidRPr="00A671BF">
        <w:rPr>
          <w:lang w:val="fr-FR"/>
        </w:rPr>
        <w:t xml:space="preserve"> (1930) La trahison nationaliste aux Indes: Jawaharlal Nehru préconise la capitulation du peuple hindou dans la lutte contre l’impérialisme anglais. </w:t>
      </w:r>
      <w:r w:rsidRPr="00A671BF">
        <w:rPr>
          <w:i/>
          <w:lang w:val="fr-FR"/>
        </w:rPr>
        <w:t>L’Humanité</w:t>
      </w:r>
      <w:r w:rsidRPr="00A671BF">
        <w:rPr>
          <w:lang w:val="fr-FR"/>
        </w:rPr>
        <w:t xml:space="preserve">, 22 </w:t>
      </w:r>
      <w:proofErr w:type="spellStart"/>
      <w:r w:rsidRPr="00A671BF">
        <w:rPr>
          <w:lang w:val="fr-FR"/>
        </w:rPr>
        <w:t>January</w:t>
      </w:r>
      <w:proofErr w:type="spellEnd"/>
      <w:r w:rsidRPr="00A671BF">
        <w:rPr>
          <w:lang w:val="fr-FR"/>
        </w:rPr>
        <w:t>, 3.</w:t>
      </w:r>
    </w:p>
    <w:p w:rsidR="000E1B69" w:rsidRPr="00A671BF" w:rsidRDefault="000E1B69" w:rsidP="000E1B69">
      <w:pPr>
        <w:ind w:left="720" w:hanging="720"/>
        <w:rPr>
          <w:lang w:val="fr-FR"/>
        </w:rPr>
      </w:pPr>
      <w:r w:rsidRPr="00A671BF">
        <w:rPr>
          <w:i/>
          <w:lang w:val="fr-FR"/>
        </w:rPr>
        <w:t>L’Humanité</w:t>
      </w:r>
      <w:r w:rsidRPr="00A671BF">
        <w:rPr>
          <w:lang w:val="fr-FR"/>
        </w:rPr>
        <w:t xml:space="preserve"> (1931) Le Mahatma vient à Paris. </w:t>
      </w:r>
      <w:r w:rsidRPr="00A671BF">
        <w:rPr>
          <w:i/>
          <w:lang w:val="fr-FR"/>
        </w:rPr>
        <w:t>L’Humanité</w:t>
      </w:r>
      <w:r w:rsidRPr="00A671BF">
        <w:rPr>
          <w:lang w:val="fr-FR"/>
        </w:rPr>
        <w:t xml:space="preserve">, 8 </w:t>
      </w:r>
      <w:proofErr w:type="spellStart"/>
      <w:r w:rsidRPr="00A671BF">
        <w:rPr>
          <w:lang w:val="fr-FR"/>
        </w:rPr>
        <w:t>December</w:t>
      </w:r>
      <w:proofErr w:type="spellEnd"/>
      <w:r w:rsidRPr="00A671BF">
        <w:rPr>
          <w:lang w:val="fr-FR"/>
        </w:rPr>
        <w:t>, 3.</w:t>
      </w:r>
    </w:p>
    <w:p w:rsidR="000E1B69" w:rsidRPr="00A671BF" w:rsidRDefault="000E1B69" w:rsidP="000E1B69">
      <w:pPr>
        <w:ind w:left="720" w:hanging="720"/>
        <w:rPr>
          <w:lang w:val="fr-FR"/>
        </w:rPr>
      </w:pPr>
      <w:r w:rsidRPr="00A671BF">
        <w:t xml:space="preserve">Ingram N (1991) </w:t>
      </w:r>
      <w:r w:rsidRPr="00A671BF">
        <w:rPr>
          <w:i/>
        </w:rPr>
        <w:t>The Politics of Dissent: Pacifism in France 1919–1939</w:t>
      </w:r>
      <w:r w:rsidRPr="00A671BF">
        <w:t xml:space="preserve">. </w:t>
      </w:r>
      <w:r w:rsidRPr="00A671BF">
        <w:rPr>
          <w:lang w:val="fr-FR"/>
        </w:rPr>
        <w:t xml:space="preserve">Oxford: Oxford </w:t>
      </w:r>
      <w:proofErr w:type="spellStart"/>
      <w:r w:rsidRPr="00A671BF">
        <w:rPr>
          <w:lang w:val="fr-FR"/>
        </w:rPr>
        <w:t>University</w:t>
      </w:r>
      <w:proofErr w:type="spellEnd"/>
      <w:r w:rsidRPr="00A671BF">
        <w:rPr>
          <w:lang w:val="fr-FR"/>
        </w:rPr>
        <w:t xml:space="preserve"> </w:t>
      </w:r>
      <w:proofErr w:type="spellStart"/>
      <w:r w:rsidRPr="00A671BF">
        <w:rPr>
          <w:lang w:val="fr-FR"/>
        </w:rPr>
        <w:t>Press</w:t>
      </w:r>
      <w:proofErr w:type="spellEnd"/>
      <w:r w:rsidRPr="00A671BF">
        <w:rPr>
          <w:lang w:val="fr-FR"/>
        </w:rPr>
        <w:t>.</w:t>
      </w:r>
    </w:p>
    <w:p w:rsidR="00BA2C56" w:rsidRPr="00A671BF" w:rsidRDefault="00BA2C56" w:rsidP="00BA2C56">
      <w:pPr>
        <w:ind w:left="720" w:hanging="720"/>
        <w:rPr>
          <w:lang w:val="fr-FR"/>
        </w:rPr>
      </w:pPr>
      <w:r w:rsidRPr="00A671BF">
        <w:rPr>
          <w:lang w:val="fr-FR"/>
        </w:rPr>
        <w:t>Jaurès J (1910a) Déplorable affaire.</w:t>
      </w:r>
      <w:r w:rsidRPr="00A671BF">
        <w:rPr>
          <w:i/>
          <w:lang w:val="fr-FR"/>
        </w:rPr>
        <w:t xml:space="preserve"> L’Humanité</w:t>
      </w:r>
      <w:r w:rsidRPr="00A671BF">
        <w:rPr>
          <w:lang w:val="fr-FR"/>
        </w:rPr>
        <w:t xml:space="preserve">, 4 </w:t>
      </w:r>
      <w:proofErr w:type="spellStart"/>
      <w:r w:rsidRPr="00A671BF">
        <w:rPr>
          <w:lang w:val="fr-FR"/>
        </w:rPr>
        <w:t>October</w:t>
      </w:r>
      <w:proofErr w:type="spellEnd"/>
      <w:r w:rsidRPr="00A671BF">
        <w:rPr>
          <w:lang w:val="fr-FR"/>
        </w:rPr>
        <w:t>, 1.</w:t>
      </w:r>
    </w:p>
    <w:p w:rsidR="00BA2C56" w:rsidRPr="00A671BF" w:rsidRDefault="00BA2C56" w:rsidP="00BA2C56">
      <w:pPr>
        <w:ind w:left="720" w:hanging="720"/>
        <w:rPr>
          <w:lang w:val="fr-FR"/>
        </w:rPr>
      </w:pPr>
      <w:r w:rsidRPr="00A671BF">
        <w:rPr>
          <w:lang w:val="fr-FR"/>
        </w:rPr>
        <w:t xml:space="preserve">Jaurès J (1910b) Concluez donc. </w:t>
      </w:r>
      <w:r w:rsidRPr="00A671BF">
        <w:rPr>
          <w:i/>
          <w:lang w:val="fr-FR"/>
        </w:rPr>
        <w:t>L’Humanité</w:t>
      </w:r>
      <w:r w:rsidRPr="00A671BF">
        <w:rPr>
          <w:lang w:val="fr-FR"/>
        </w:rPr>
        <w:t xml:space="preserve">, 5 </w:t>
      </w:r>
      <w:proofErr w:type="spellStart"/>
      <w:r w:rsidRPr="00A671BF">
        <w:rPr>
          <w:lang w:val="fr-FR"/>
        </w:rPr>
        <w:t>October</w:t>
      </w:r>
      <w:proofErr w:type="spellEnd"/>
      <w:r w:rsidRPr="00A671BF">
        <w:rPr>
          <w:lang w:val="fr-FR"/>
        </w:rPr>
        <w:t>, 1.</w:t>
      </w:r>
    </w:p>
    <w:p w:rsidR="000E1B69" w:rsidRPr="00A671BF" w:rsidRDefault="000E1B69" w:rsidP="000E1B69">
      <w:pPr>
        <w:ind w:left="720" w:hanging="720"/>
        <w:rPr>
          <w:lang w:val="fr-FR"/>
        </w:rPr>
      </w:pPr>
      <w:r w:rsidRPr="00A671BF">
        <w:rPr>
          <w:i/>
          <w:lang w:val="fr-FR"/>
        </w:rPr>
        <w:t>Journal</w:t>
      </w:r>
      <w:r w:rsidRPr="00A671BF">
        <w:rPr>
          <w:lang w:val="fr-FR"/>
        </w:rPr>
        <w:t xml:space="preserve"> (1923)</w:t>
      </w:r>
      <w:r w:rsidRPr="00A671BF">
        <w:rPr>
          <w:i/>
          <w:lang w:val="fr-FR"/>
        </w:rPr>
        <w:t xml:space="preserve"> Journal Officiel des établissements français de l’Inde</w:t>
      </w:r>
      <w:r w:rsidRPr="00A671BF">
        <w:rPr>
          <w:lang w:val="fr-FR"/>
        </w:rPr>
        <w:t xml:space="preserve">, 1 </w:t>
      </w:r>
      <w:proofErr w:type="spellStart"/>
      <w:r w:rsidRPr="00A671BF">
        <w:rPr>
          <w:lang w:val="fr-FR"/>
        </w:rPr>
        <w:t>December</w:t>
      </w:r>
      <w:proofErr w:type="spellEnd"/>
      <w:r w:rsidRPr="00A671BF">
        <w:rPr>
          <w:lang w:val="fr-FR"/>
        </w:rPr>
        <w:t>, 1.</w:t>
      </w:r>
    </w:p>
    <w:p w:rsidR="000E1B69" w:rsidRPr="00A671BF" w:rsidRDefault="000E1B69" w:rsidP="000E1B69">
      <w:pPr>
        <w:ind w:left="720" w:hanging="720"/>
        <w:rPr>
          <w:bCs/>
        </w:rPr>
      </w:pPr>
      <w:r w:rsidRPr="00A671BF">
        <w:rPr>
          <w:bCs/>
        </w:rPr>
        <w:t xml:space="preserve">Jules-Rosette B (1998) </w:t>
      </w:r>
      <w:r w:rsidRPr="00A671BF">
        <w:rPr>
          <w:bCs/>
          <w:i/>
        </w:rPr>
        <w:t>Black Paris: The African Writers’ Landscape</w:t>
      </w:r>
      <w:r w:rsidRPr="00A671BF">
        <w:rPr>
          <w:bCs/>
        </w:rPr>
        <w:t>.</w:t>
      </w:r>
      <w:r w:rsidRPr="00A671BF">
        <w:rPr>
          <w:bCs/>
          <w:i/>
        </w:rPr>
        <w:t xml:space="preserve"> </w:t>
      </w:r>
      <w:r w:rsidRPr="00A671BF">
        <w:rPr>
          <w:bCs/>
        </w:rPr>
        <w:t>Urbana: University of Illinois Press.</w:t>
      </w:r>
    </w:p>
    <w:p w:rsidR="000E1B69" w:rsidRPr="00A671BF" w:rsidRDefault="000E1B69" w:rsidP="000E1B69">
      <w:pPr>
        <w:ind w:left="720" w:hanging="720"/>
        <w:rPr>
          <w:rFonts w:cs="Arial"/>
          <w:shd w:val="clear" w:color="auto" w:fill="FFFFFF"/>
        </w:rPr>
      </w:pPr>
      <w:r w:rsidRPr="00A671BF">
        <w:rPr>
          <w:rFonts w:cs="Arial"/>
          <w:shd w:val="clear" w:color="auto" w:fill="FFFFFF"/>
        </w:rPr>
        <w:t xml:space="preserve">Kimble SL and </w:t>
      </w:r>
      <w:proofErr w:type="spellStart"/>
      <w:r w:rsidRPr="00A671BF">
        <w:rPr>
          <w:rFonts w:cs="Arial"/>
          <w:shd w:val="clear" w:color="auto" w:fill="FFFFFF"/>
        </w:rPr>
        <w:t>Röwekamp</w:t>
      </w:r>
      <w:proofErr w:type="spellEnd"/>
      <w:r w:rsidRPr="00A671BF">
        <w:rPr>
          <w:rFonts w:cs="Arial"/>
          <w:shd w:val="clear" w:color="auto" w:fill="FFFFFF"/>
        </w:rPr>
        <w:t xml:space="preserve"> M (eds) (2015) </w:t>
      </w:r>
      <w:r w:rsidRPr="00A671BF">
        <w:rPr>
          <w:rFonts w:cs="Arial"/>
          <w:bCs/>
          <w:i/>
          <w:shd w:val="clear" w:color="auto" w:fill="FFFFFF"/>
        </w:rPr>
        <w:t>New Perspectives on European Women’s Legal History</w:t>
      </w:r>
      <w:r w:rsidRPr="00A671BF">
        <w:rPr>
          <w:rFonts w:cs="Arial"/>
          <w:bCs/>
          <w:shd w:val="clear" w:color="auto" w:fill="FFFFFF"/>
        </w:rPr>
        <w:t>.</w:t>
      </w:r>
      <w:r w:rsidRPr="00A671BF">
        <w:rPr>
          <w:rFonts w:cs="Arial"/>
          <w:shd w:val="clear" w:color="auto" w:fill="FFFFFF"/>
        </w:rPr>
        <w:t xml:space="preserve"> London: Routledge.</w:t>
      </w:r>
    </w:p>
    <w:p w:rsidR="006E4F92" w:rsidRPr="00A671BF" w:rsidRDefault="006E4F92" w:rsidP="000E1B69">
      <w:pPr>
        <w:ind w:left="720" w:hanging="720"/>
      </w:pPr>
      <w:proofErr w:type="spellStart"/>
      <w:r w:rsidRPr="00A671BF">
        <w:t>Kitson</w:t>
      </w:r>
      <w:proofErr w:type="spellEnd"/>
      <w:r w:rsidRPr="00A671BF">
        <w:t xml:space="preserve"> S (2014) </w:t>
      </w:r>
      <w:r w:rsidRPr="00A671BF">
        <w:rPr>
          <w:i/>
        </w:rPr>
        <w:t>Police and Politics in Marseille, 1936–1945</w:t>
      </w:r>
      <w:r w:rsidRPr="00A671BF">
        <w:t>. Leiden: Brill.</w:t>
      </w:r>
    </w:p>
    <w:p w:rsidR="000E1B69" w:rsidRPr="00A671BF" w:rsidRDefault="000E1B69" w:rsidP="000E1B69">
      <w:pPr>
        <w:ind w:left="720" w:hanging="720"/>
      </w:pPr>
      <w:r w:rsidRPr="00A671BF">
        <w:rPr>
          <w:lang w:val="fr-FR"/>
        </w:rPr>
        <w:t xml:space="preserve">Latronche M-F (1999) </w:t>
      </w:r>
      <w:r w:rsidRPr="00A671BF">
        <w:rPr>
          <w:i/>
          <w:iCs/>
          <w:lang w:val="fr-FR"/>
        </w:rPr>
        <w:t>L’Influence de Gandhi en France de 1919 à nos jours</w:t>
      </w:r>
      <w:r w:rsidRPr="00A671BF">
        <w:rPr>
          <w:lang w:val="fr-FR"/>
        </w:rPr>
        <w:t xml:space="preserve">. </w:t>
      </w:r>
      <w:r w:rsidRPr="00A671BF">
        <w:t xml:space="preserve">Paris: </w:t>
      </w:r>
      <w:proofErr w:type="spellStart"/>
      <w:r w:rsidRPr="00A671BF">
        <w:t>L’Harmattan</w:t>
      </w:r>
      <w:proofErr w:type="spellEnd"/>
      <w:r w:rsidRPr="00A671BF">
        <w:t xml:space="preserve">. </w:t>
      </w:r>
    </w:p>
    <w:p w:rsidR="006E4F92" w:rsidRPr="00A671BF" w:rsidRDefault="006E4F92" w:rsidP="000E1B69">
      <w:pPr>
        <w:ind w:left="720" w:hanging="720"/>
      </w:pPr>
      <w:r w:rsidRPr="00A671BF">
        <w:t>Lewis M</w:t>
      </w:r>
      <w:r w:rsidR="009912CF" w:rsidRPr="00A671BF">
        <w:t>D</w:t>
      </w:r>
      <w:r w:rsidRPr="00A671BF">
        <w:t xml:space="preserve"> (2007) </w:t>
      </w:r>
      <w:r w:rsidRPr="00A671BF">
        <w:rPr>
          <w:i/>
        </w:rPr>
        <w:t>The Boundaries of the Republic: Migrant Rights and the Limits of Universalism in France, 1918–1940</w:t>
      </w:r>
      <w:r w:rsidRPr="00A671BF">
        <w:t>. Stanford: Stanford University Press.</w:t>
      </w:r>
    </w:p>
    <w:p w:rsidR="000E1B69" w:rsidRPr="00A671BF" w:rsidRDefault="000E1B69" w:rsidP="000E1B69">
      <w:pPr>
        <w:ind w:left="720" w:hanging="720"/>
        <w:rPr>
          <w:lang w:val="fr-FR"/>
        </w:rPr>
      </w:pPr>
      <w:proofErr w:type="spellStart"/>
      <w:r w:rsidRPr="00A671BF">
        <w:rPr>
          <w:lang w:val="fr-FR"/>
        </w:rPr>
        <w:t>Liauzu</w:t>
      </w:r>
      <w:proofErr w:type="spellEnd"/>
      <w:r w:rsidRPr="00A671BF">
        <w:rPr>
          <w:lang w:val="fr-FR"/>
        </w:rPr>
        <w:t xml:space="preserve"> C (1982) </w:t>
      </w:r>
      <w:r w:rsidRPr="00A671BF">
        <w:rPr>
          <w:i/>
          <w:lang w:val="fr-FR"/>
        </w:rPr>
        <w:t>Aux Origines des Tiers-</w:t>
      </w:r>
      <w:proofErr w:type="gramStart"/>
      <w:r w:rsidRPr="00A671BF">
        <w:rPr>
          <w:i/>
          <w:lang w:val="fr-FR"/>
        </w:rPr>
        <w:t>Mondismes:</w:t>
      </w:r>
      <w:proofErr w:type="gramEnd"/>
      <w:r w:rsidRPr="00A671BF">
        <w:rPr>
          <w:i/>
          <w:lang w:val="fr-FR"/>
        </w:rPr>
        <w:t xml:space="preserve"> Colonisés et anticolonistes en France 1919–1939</w:t>
      </w:r>
      <w:r w:rsidRPr="00A671BF">
        <w:rPr>
          <w:lang w:val="fr-FR"/>
        </w:rPr>
        <w:t xml:space="preserve">. Paris: </w:t>
      </w:r>
      <w:proofErr w:type="spellStart"/>
      <w:r w:rsidRPr="00A671BF">
        <w:rPr>
          <w:lang w:val="fr-FR"/>
        </w:rPr>
        <w:t>L’Harmattan</w:t>
      </w:r>
      <w:proofErr w:type="spellEnd"/>
      <w:r w:rsidRPr="00A671BF">
        <w:rPr>
          <w:lang w:val="fr-FR"/>
        </w:rPr>
        <w:t>.</w:t>
      </w:r>
    </w:p>
    <w:p w:rsidR="000E1B69" w:rsidRPr="00A671BF" w:rsidRDefault="000E1B69" w:rsidP="000E1B69">
      <w:pPr>
        <w:ind w:left="720" w:hanging="720"/>
        <w:rPr>
          <w:lang w:val="fr-FR"/>
        </w:rPr>
      </w:pPr>
      <w:r w:rsidRPr="00A671BF">
        <w:rPr>
          <w:lang w:val="fr-FR"/>
        </w:rPr>
        <w:t xml:space="preserve">Longuet J (1909) La Révolte de l’Hindoustan: Les doléances de 300 millions d’Opprimés. Ce que dit le chef des ‘Extrémistes’. </w:t>
      </w:r>
      <w:r w:rsidRPr="00A671BF">
        <w:rPr>
          <w:i/>
          <w:lang w:val="fr-FR"/>
        </w:rPr>
        <w:t>L’Humanité</w:t>
      </w:r>
      <w:r w:rsidRPr="00A671BF">
        <w:rPr>
          <w:lang w:val="fr-FR"/>
        </w:rPr>
        <w:t xml:space="preserve">, 18 </w:t>
      </w:r>
      <w:proofErr w:type="spellStart"/>
      <w:r w:rsidRPr="00A671BF">
        <w:rPr>
          <w:lang w:val="fr-FR"/>
        </w:rPr>
        <w:t>February</w:t>
      </w:r>
      <w:proofErr w:type="spellEnd"/>
      <w:r w:rsidRPr="00A671BF">
        <w:rPr>
          <w:lang w:val="fr-FR"/>
        </w:rPr>
        <w:t>, p. 1.</w:t>
      </w:r>
    </w:p>
    <w:p w:rsidR="000E1B69" w:rsidRPr="00A671BF" w:rsidRDefault="000E1B69" w:rsidP="000E1B69">
      <w:pPr>
        <w:ind w:left="720" w:hanging="720"/>
        <w:rPr>
          <w:lang w:val="fr-FR"/>
        </w:rPr>
      </w:pPr>
      <w:r w:rsidRPr="00A671BF">
        <w:rPr>
          <w:lang w:val="fr-FR"/>
        </w:rPr>
        <w:t xml:space="preserve">Longuet J (1910a) Un attentat aux droits des </w:t>
      </w:r>
      <w:proofErr w:type="gramStart"/>
      <w:r w:rsidRPr="00A671BF">
        <w:rPr>
          <w:lang w:val="fr-FR"/>
        </w:rPr>
        <w:t>gens:</w:t>
      </w:r>
      <w:proofErr w:type="gramEnd"/>
      <w:r w:rsidRPr="00A671BF">
        <w:rPr>
          <w:lang w:val="fr-FR"/>
        </w:rPr>
        <w:t xml:space="preserve"> On a livré un réfugié politique. </w:t>
      </w:r>
      <w:r w:rsidRPr="00A671BF">
        <w:rPr>
          <w:i/>
          <w:lang w:val="fr-FR"/>
        </w:rPr>
        <w:t>L’Humanité</w:t>
      </w:r>
      <w:r w:rsidRPr="00A671BF">
        <w:rPr>
          <w:lang w:val="fr-FR"/>
        </w:rPr>
        <w:t>, 12 July, p. 1.</w:t>
      </w:r>
    </w:p>
    <w:p w:rsidR="000E1B69" w:rsidRPr="00A671BF" w:rsidRDefault="000E1B69" w:rsidP="000E1B69">
      <w:pPr>
        <w:ind w:left="720" w:hanging="720"/>
        <w:rPr>
          <w:lang w:val="fr-FR"/>
        </w:rPr>
      </w:pPr>
      <w:r w:rsidRPr="00A671BF">
        <w:rPr>
          <w:lang w:val="fr-FR"/>
        </w:rPr>
        <w:t xml:space="preserve">Longuet J (1910b) Comment </w:t>
      </w:r>
      <w:proofErr w:type="spellStart"/>
      <w:r w:rsidRPr="00A671BF">
        <w:rPr>
          <w:lang w:val="fr-FR"/>
        </w:rPr>
        <w:t>Savarkar</w:t>
      </w:r>
      <w:proofErr w:type="spellEnd"/>
      <w:r w:rsidRPr="00A671BF">
        <w:rPr>
          <w:lang w:val="fr-FR"/>
        </w:rPr>
        <w:t xml:space="preserve"> fut </w:t>
      </w:r>
      <w:proofErr w:type="gramStart"/>
      <w:r w:rsidRPr="00A671BF">
        <w:rPr>
          <w:lang w:val="fr-FR"/>
        </w:rPr>
        <w:t>livré:</w:t>
      </w:r>
      <w:proofErr w:type="gramEnd"/>
      <w:r w:rsidRPr="00A671BF">
        <w:rPr>
          <w:lang w:val="fr-FR"/>
        </w:rPr>
        <w:t xml:space="preserve"> Une double illégalité fut commise. Le retour de l’extrade s’impose. </w:t>
      </w:r>
      <w:r w:rsidRPr="00A671BF">
        <w:rPr>
          <w:i/>
          <w:lang w:val="fr-FR"/>
        </w:rPr>
        <w:t xml:space="preserve">L’Humanité, </w:t>
      </w:r>
      <w:r w:rsidRPr="00A671BF">
        <w:rPr>
          <w:lang w:val="fr-FR"/>
        </w:rPr>
        <w:t>17 July, 1.</w:t>
      </w:r>
    </w:p>
    <w:p w:rsidR="000E1B69" w:rsidRPr="00A671BF" w:rsidRDefault="000E1B69" w:rsidP="000E1B69">
      <w:pPr>
        <w:ind w:left="720" w:hanging="720"/>
      </w:pPr>
      <w:r w:rsidRPr="00A671BF">
        <w:rPr>
          <w:lang w:val="fr-FR"/>
        </w:rPr>
        <w:t xml:space="preserve">Longuet J (1910c) Le ‘Times’ et l’affaire </w:t>
      </w:r>
      <w:proofErr w:type="spellStart"/>
      <w:proofErr w:type="gramStart"/>
      <w:r w:rsidRPr="00A671BF">
        <w:rPr>
          <w:lang w:val="fr-FR"/>
        </w:rPr>
        <w:t>Savarkar</w:t>
      </w:r>
      <w:proofErr w:type="spellEnd"/>
      <w:r w:rsidRPr="00A671BF">
        <w:rPr>
          <w:lang w:val="fr-FR"/>
        </w:rPr>
        <w:t>:</w:t>
      </w:r>
      <w:proofErr w:type="gramEnd"/>
      <w:r w:rsidRPr="00A671BF">
        <w:rPr>
          <w:lang w:val="fr-FR"/>
        </w:rPr>
        <w:t xml:space="preserve"> Les sophismes du journal conservateur anglais. </w:t>
      </w:r>
      <w:proofErr w:type="spellStart"/>
      <w:r w:rsidRPr="00A671BF">
        <w:rPr>
          <w:i/>
        </w:rPr>
        <w:t>L’Humanité</w:t>
      </w:r>
      <w:proofErr w:type="spellEnd"/>
      <w:r w:rsidRPr="00A671BF">
        <w:t>, 21 July, 1.</w:t>
      </w:r>
    </w:p>
    <w:p w:rsidR="000E1B69" w:rsidRPr="00A671BF" w:rsidRDefault="000E1B69" w:rsidP="000E1B69">
      <w:pPr>
        <w:ind w:left="720" w:hanging="720"/>
      </w:pPr>
      <w:r w:rsidRPr="00A671BF">
        <w:t xml:space="preserve">Manuela E (2007) </w:t>
      </w:r>
      <w:r w:rsidRPr="00A671BF">
        <w:rPr>
          <w:i/>
        </w:rPr>
        <w:t>The Wilsonian Moment: Self-Determination and the International Origins of Anticolonial Nationalism</w:t>
      </w:r>
      <w:r w:rsidRPr="00A671BF">
        <w:t>. Oxford: Oxford University Press.</w:t>
      </w:r>
    </w:p>
    <w:p w:rsidR="000E1B69" w:rsidRPr="00A671BF" w:rsidRDefault="000E1B69" w:rsidP="000E1B69">
      <w:pPr>
        <w:ind w:left="720" w:hanging="720"/>
      </w:pPr>
      <w:proofErr w:type="spellStart"/>
      <w:r w:rsidRPr="00A671BF">
        <w:t>Markovits</w:t>
      </w:r>
      <w:proofErr w:type="spellEnd"/>
      <w:r w:rsidRPr="00A671BF">
        <w:t xml:space="preserve"> C (2000) </w:t>
      </w:r>
      <w:r w:rsidRPr="00A671BF">
        <w:rPr>
          <w:i/>
          <w:iCs/>
        </w:rPr>
        <w:t>Gandhi</w:t>
      </w:r>
      <w:r w:rsidRPr="00A671BF">
        <w:rPr>
          <w:iCs/>
        </w:rPr>
        <w:t>. Paris: Presses de Sciences Po.</w:t>
      </w:r>
    </w:p>
    <w:p w:rsidR="000E1B69" w:rsidRPr="00A671BF" w:rsidRDefault="000E1B69" w:rsidP="000E1B69">
      <w:pPr>
        <w:ind w:left="720" w:hanging="720"/>
      </w:pPr>
      <w:r w:rsidRPr="00A671BF">
        <w:rPr>
          <w:bCs/>
        </w:rPr>
        <w:t xml:space="preserve">Marsh K (2007) </w:t>
      </w:r>
      <w:r w:rsidRPr="00A671BF">
        <w:rPr>
          <w:bCs/>
          <w:i/>
        </w:rPr>
        <w:t>Fictions of 1947: Representations of Indian Decolonization 1919–1962</w:t>
      </w:r>
      <w:r w:rsidRPr="00A671BF">
        <w:rPr>
          <w:bCs/>
        </w:rPr>
        <w:t>. Oxford: Peter Lang.</w:t>
      </w:r>
    </w:p>
    <w:p w:rsidR="000E1B69" w:rsidRPr="00A671BF" w:rsidRDefault="000E1B69" w:rsidP="000E1B69">
      <w:pPr>
        <w:ind w:left="720" w:hanging="720"/>
        <w:rPr>
          <w:lang w:val="fr-FR"/>
        </w:rPr>
      </w:pPr>
      <w:r w:rsidRPr="00A671BF">
        <w:t xml:space="preserve">Marsh K (2018) Colonial workers, imperial migrants and surveillance: policing in Le Havre, 1914–40. </w:t>
      </w:r>
      <w:r w:rsidRPr="00A671BF">
        <w:rPr>
          <w:i/>
          <w:lang w:val="fr-FR"/>
        </w:rPr>
        <w:t xml:space="preserve">Social </w:t>
      </w:r>
      <w:proofErr w:type="spellStart"/>
      <w:r w:rsidRPr="00A671BF">
        <w:rPr>
          <w:i/>
          <w:lang w:val="fr-FR"/>
        </w:rPr>
        <w:t>History</w:t>
      </w:r>
      <w:proofErr w:type="spellEnd"/>
      <w:r w:rsidRPr="00A671BF">
        <w:rPr>
          <w:lang w:val="fr-FR"/>
        </w:rPr>
        <w:t xml:space="preserve"> 43</w:t>
      </w:r>
      <w:r w:rsidR="00B85BB3" w:rsidRPr="00A671BF">
        <w:rPr>
          <w:lang w:val="fr-FR"/>
        </w:rPr>
        <w:t>(1</w:t>
      </w:r>
      <w:proofErr w:type="gramStart"/>
      <w:r w:rsidR="00B85BB3" w:rsidRPr="00A671BF">
        <w:rPr>
          <w:lang w:val="fr-FR"/>
        </w:rPr>
        <w:t>)</w:t>
      </w:r>
      <w:r w:rsidRPr="00A671BF">
        <w:rPr>
          <w:lang w:val="fr-FR"/>
        </w:rPr>
        <w:t>:</w:t>
      </w:r>
      <w:proofErr w:type="gramEnd"/>
      <w:r w:rsidRPr="00A671BF">
        <w:rPr>
          <w:lang w:val="fr-FR"/>
        </w:rPr>
        <w:t>1–29.</w:t>
      </w:r>
    </w:p>
    <w:p w:rsidR="000E1B69" w:rsidRPr="00A671BF" w:rsidRDefault="000E1B69" w:rsidP="000E1B69">
      <w:pPr>
        <w:ind w:left="720" w:hanging="720"/>
        <w:rPr>
          <w:rFonts w:cs="Code2000"/>
          <w:lang w:val="fr-FR"/>
        </w:rPr>
      </w:pPr>
      <w:proofErr w:type="spellStart"/>
      <w:r w:rsidRPr="00A671BF">
        <w:rPr>
          <w:lang w:val="fr-FR"/>
        </w:rPr>
        <w:lastRenderedPageBreak/>
        <w:t>Meile</w:t>
      </w:r>
      <w:proofErr w:type="spellEnd"/>
      <w:r w:rsidRPr="00A671BF">
        <w:rPr>
          <w:lang w:val="fr-FR"/>
        </w:rPr>
        <w:t xml:space="preserve"> P (1948) </w:t>
      </w:r>
      <w:r w:rsidRPr="00A671BF">
        <w:rPr>
          <w:rFonts w:cs="Code2000"/>
          <w:lang w:val="fr-FR"/>
        </w:rPr>
        <w:t xml:space="preserve">La population de l’Inde. </w:t>
      </w:r>
      <w:r w:rsidRPr="00A671BF">
        <w:rPr>
          <w:rFonts w:cs="Code2000"/>
          <w:i/>
          <w:lang w:val="fr-FR"/>
        </w:rPr>
        <w:t>Population (French Edition)</w:t>
      </w:r>
      <w:r w:rsidRPr="00A671BF">
        <w:rPr>
          <w:rFonts w:cs="Code2000"/>
          <w:lang w:val="fr-FR"/>
        </w:rPr>
        <w:t xml:space="preserve"> </w:t>
      </w:r>
      <w:r w:rsidR="009912CF" w:rsidRPr="00A671BF">
        <w:rPr>
          <w:rFonts w:cs="Code2000"/>
          <w:lang w:val="fr-FR"/>
        </w:rPr>
        <w:t>3(1</w:t>
      </w:r>
      <w:proofErr w:type="gramStart"/>
      <w:r w:rsidR="009912CF" w:rsidRPr="00A671BF">
        <w:rPr>
          <w:rFonts w:cs="Code2000"/>
          <w:lang w:val="fr-FR"/>
        </w:rPr>
        <w:t>)</w:t>
      </w:r>
      <w:r w:rsidR="00B85BB3" w:rsidRPr="00A671BF">
        <w:rPr>
          <w:rFonts w:cs="Code2000"/>
          <w:lang w:val="fr-FR"/>
        </w:rPr>
        <w:t>:</w:t>
      </w:r>
      <w:proofErr w:type="gramEnd"/>
      <w:r w:rsidRPr="00A671BF">
        <w:rPr>
          <w:rFonts w:cs="Code2000"/>
          <w:lang w:val="fr-FR"/>
        </w:rPr>
        <w:t xml:space="preserve"> 127–46.</w:t>
      </w:r>
    </w:p>
    <w:p w:rsidR="000E1B69" w:rsidRPr="00A671BF" w:rsidRDefault="000E1B69" w:rsidP="000E1B69">
      <w:pPr>
        <w:ind w:left="720" w:hanging="720"/>
        <w:rPr>
          <w:lang w:val="fr-FR"/>
        </w:rPr>
      </w:pPr>
      <w:r w:rsidRPr="00A671BF">
        <w:rPr>
          <w:rFonts w:cs="Code2000"/>
          <w:i/>
          <w:lang w:val="fr-FR"/>
        </w:rPr>
        <w:t>L’Ouest</w:t>
      </w:r>
      <w:r w:rsidRPr="00A671BF">
        <w:rPr>
          <w:rFonts w:cs="Code2000"/>
          <w:lang w:val="fr-FR"/>
        </w:rPr>
        <w:t xml:space="preserve"> (1910) </w:t>
      </w:r>
      <w:r w:rsidRPr="00A671BF">
        <w:rPr>
          <w:lang w:val="fr-FR"/>
        </w:rPr>
        <w:t xml:space="preserve">Le Droit d’asile. </w:t>
      </w:r>
      <w:r w:rsidRPr="00A671BF">
        <w:rPr>
          <w:i/>
          <w:lang w:val="fr-FR"/>
        </w:rPr>
        <w:t>L’Ouest-Éclair</w:t>
      </w:r>
      <w:r w:rsidRPr="00A671BF">
        <w:rPr>
          <w:lang w:val="fr-FR"/>
        </w:rPr>
        <w:t xml:space="preserve"> (Rennes Edition), 23 July, 2.</w:t>
      </w:r>
    </w:p>
    <w:p w:rsidR="000E1B69" w:rsidRPr="00A671BF" w:rsidRDefault="000E1B69" w:rsidP="000E1B69">
      <w:pPr>
        <w:ind w:left="720" w:hanging="720"/>
        <w:rPr>
          <w:bCs/>
        </w:rPr>
      </w:pPr>
      <w:proofErr w:type="spellStart"/>
      <w:r w:rsidRPr="00A671BF">
        <w:rPr>
          <w:bCs/>
        </w:rPr>
        <w:t>Pairaudeau</w:t>
      </w:r>
      <w:proofErr w:type="spellEnd"/>
      <w:r w:rsidRPr="00A671BF">
        <w:rPr>
          <w:bCs/>
        </w:rPr>
        <w:t xml:space="preserve"> N (2016) </w:t>
      </w:r>
      <w:r w:rsidRPr="00A671BF">
        <w:rPr>
          <w:bCs/>
          <w:i/>
        </w:rPr>
        <w:t>Mobile Citizens: French Indians in Indochina, 1858</w:t>
      </w:r>
      <w:r w:rsidRPr="00A671BF">
        <w:rPr>
          <w:bCs/>
          <w:i/>
        </w:rPr>
        <w:softHyphen/>
      </w:r>
      <w:r w:rsidRPr="00A671BF">
        <w:rPr>
          <w:bCs/>
          <w:i/>
        </w:rPr>
        <w:softHyphen/>
      </w:r>
      <w:r w:rsidRPr="00A671BF">
        <w:rPr>
          <w:bCs/>
          <w:i/>
        </w:rPr>
        <w:softHyphen/>
      </w:r>
      <w:r w:rsidRPr="00A671BF">
        <w:rPr>
          <w:bCs/>
          <w:i/>
        </w:rPr>
        <w:softHyphen/>
      </w:r>
      <w:r w:rsidRPr="00A671BF">
        <w:rPr>
          <w:bCs/>
          <w:i/>
        </w:rPr>
        <w:softHyphen/>
      </w:r>
      <w:r w:rsidRPr="00A671BF">
        <w:rPr>
          <w:bCs/>
          <w:i/>
        </w:rPr>
        <w:softHyphen/>
        <w:t>–1954</w:t>
      </w:r>
      <w:r w:rsidRPr="00A671BF">
        <w:rPr>
          <w:bCs/>
        </w:rPr>
        <w:t>.</w:t>
      </w:r>
      <w:r w:rsidRPr="00A671BF">
        <w:rPr>
          <w:bCs/>
          <w:i/>
        </w:rPr>
        <w:t xml:space="preserve"> </w:t>
      </w:r>
      <w:r w:rsidRPr="00A671BF">
        <w:rPr>
          <w:bCs/>
        </w:rPr>
        <w:t>Copenhagen: Nordic Institute of Asian Studies.</w:t>
      </w:r>
    </w:p>
    <w:p w:rsidR="000E1B69" w:rsidRPr="00A671BF" w:rsidRDefault="000E1B69" w:rsidP="000E1B69">
      <w:pPr>
        <w:ind w:left="720" w:hanging="720"/>
        <w:rPr>
          <w:bCs/>
          <w:lang w:val="fr-FR"/>
        </w:rPr>
      </w:pPr>
      <w:proofErr w:type="spellStart"/>
      <w:r w:rsidRPr="00A671BF">
        <w:t>Panikkar</w:t>
      </w:r>
      <w:proofErr w:type="spellEnd"/>
      <w:r w:rsidRPr="00A671BF">
        <w:t xml:space="preserve"> KM (1977) </w:t>
      </w:r>
      <w:r w:rsidRPr="00A671BF">
        <w:rPr>
          <w:i/>
        </w:rPr>
        <w:t>An Autobiography</w:t>
      </w:r>
      <w:r w:rsidRPr="00A671BF">
        <w:t xml:space="preserve">, trans. by K. Krishnamurthy. </w:t>
      </w:r>
      <w:proofErr w:type="gramStart"/>
      <w:r w:rsidRPr="00A671BF">
        <w:rPr>
          <w:lang w:val="fr-FR"/>
        </w:rPr>
        <w:t>Delhi:</w:t>
      </w:r>
      <w:proofErr w:type="gramEnd"/>
      <w:r w:rsidRPr="00A671BF">
        <w:rPr>
          <w:lang w:val="fr-FR"/>
        </w:rPr>
        <w:t xml:space="preserve"> Oxford </w:t>
      </w:r>
      <w:proofErr w:type="spellStart"/>
      <w:r w:rsidRPr="00A671BF">
        <w:rPr>
          <w:lang w:val="fr-FR"/>
        </w:rPr>
        <w:t>University</w:t>
      </w:r>
      <w:proofErr w:type="spellEnd"/>
      <w:r w:rsidRPr="00A671BF">
        <w:rPr>
          <w:lang w:val="fr-FR"/>
        </w:rPr>
        <w:t xml:space="preserve"> </w:t>
      </w:r>
      <w:proofErr w:type="spellStart"/>
      <w:r w:rsidRPr="00A671BF">
        <w:rPr>
          <w:lang w:val="fr-FR"/>
        </w:rPr>
        <w:t>Press</w:t>
      </w:r>
      <w:proofErr w:type="spellEnd"/>
      <w:r w:rsidRPr="00A671BF">
        <w:rPr>
          <w:lang w:val="fr-FR"/>
        </w:rPr>
        <w:t>.</w:t>
      </w:r>
    </w:p>
    <w:p w:rsidR="000E1B69" w:rsidRPr="00A671BF" w:rsidRDefault="000E1B69" w:rsidP="000E1B69">
      <w:pPr>
        <w:ind w:left="720" w:hanging="720"/>
        <w:rPr>
          <w:bCs/>
          <w:lang w:val="fr-FR"/>
        </w:rPr>
      </w:pPr>
      <w:r w:rsidRPr="00A671BF">
        <w:rPr>
          <w:lang w:val="fr-FR"/>
        </w:rPr>
        <w:t>Pays M (1921) ‘</w:t>
      </w:r>
      <w:proofErr w:type="spellStart"/>
      <w:r w:rsidRPr="00A671BF">
        <w:rPr>
          <w:lang w:val="fr-FR"/>
        </w:rPr>
        <w:t>Swa-raj</w:t>
      </w:r>
      <w:proofErr w:type="spellEnd"/>
      <w:r w:rsidRPr="00A671BF">
        <w:rPr>
          <w:lang w:val="fr-FR"/>
        </w:rPr>
        <w:t>’ après Sinn-</w:t>
      </w:r>
      <w:proofErr w:type="gramStart"/>
      <w:r w:rsidRPr="00A671BF">
        <w:rPr>
          <w:lang w:val="fr-FR"/>
        </w:rPr>
        <w:t>Fein:</w:t>
      </w:r>
      <w:proofErr w:type="gramEnd"/>
      <w:r w:rsidRPr="00A671BF">
        <w:rPr>
          <w:lang w:val="fr-FR"/>
        </w:rPr>
        <w:t xml:space="preserve"> Ce qu’est le mouvement nationaliste aux Indes: un jeune intellectuel hindou, M. Amitabha </w:t>
      </w:r>
      <w:proofErr w:type="spellStart"/>
      <w:r w:rsidRPr="00A671BF">
        <w:rPr>
          <w:lang w:val="fr-FR"/>
        </w:rPr>
        <w:t>Ghose</w:t>
      </w:r>
      <w:proofErr w:type="spellEnd"/>
      <w:r w:rsidRPr="00A671BF">
        <w:rPr>
          <w:lang w:val="fr-FR"/>
        </w:rPr>
        <w:t xml:space="preserve">, nous expose la genèse de ce mouvement, qui a créé dans la grande colonie anglaise une situation analogue à celle du </w:t>
      </w:r>
      <w:proofErr w:type="spellStart"/>
      <w:r w:rsidRPr="00A671BF">
        <w:rPr>
          <w:lang w:val="fr-FR"/>
        </w:rPr>
        <w:t>sinn-fein</w:t>
      </w:r>
      <w:proofErr w:type="spellEnd"/>
      <w:r w:rsidRPr="00A671BF">
        <w:rPr>
          <w:lang w:val="fr-FR"/>
        </w:rPr>
        <w:t xml:space="preserve"> en </w:t>
      </w:r>
      <w:r w:rsidR="00B85BB3" w:rsidRPr="00A671BF">
        <w:rPr>
          <w:lang w:val="fr-FR"/>
        </w:rPr>
        <w:t xml:space="preserve">Irlande. </w:t>
      </w:r>
      <w:r w:rsidRPr="00A671BF">
        <w:rPr>
          <w:i/>
          <w:lang w:val="fr-FR"/>
        </w:rPr>
        <w:t xml:space="preserve">Excelsior, </w:t>
      </w:r>
      <w:r w:rsidRPr="00A671BF">
        <w:rPr>
          <w:lang w:val="fr-FR"/>
        </w:rPr>
        <w:t>31 August, 1.</w:t>
      </w:r>
    </w:p>
    <w:p w:rsidR="000601B7" w:rsidRPr="00A671BF" w:rsidRDefault="000601B7" w:rsidP="000601B7">
      <w:pPr>
        <w:ind w:left="720" w:hanging="720"/>
        <w:rPr>
          <w:bCs/>
          <w:lang w:val="fr-FR"/>
        </w:rPr>
      </w:pPr>
      <w:r w:rsidRPr="00A671BF">
        <w:rPr>
          <w:bCs/>
          <w:lang w:val="fr-FR"/>
        </w:rPr>
        <w:t xml:space="preserve">Pitoëff P (1991) L’Inde française en sursis 1947–54. </w:t>
      </w:r>
      <w:r w:rsidRPr="00A671BF">
        <w:rPr>
          <w:bCs/>
          <w:i/>
          <w:iCs/>
          <w:lang w:val="fr-FR"/>
        </w:rPr>
        <w:t xml:space="preserve">Revue française d’histoire d’outre-mer </w:t>
      </w:r>
      <w:r w:rsidRPr="00A671BF">
        <w:rPr>
          <w:bCs/>
          <w:lang w:val="fr-FR"/>
        </w:rPr>
        <w:t>78(290</w:t>
      </w:r>
      <w:proofErr w:type="gramStart"/>
      <w:r w:rsidRPr="00A671BF">
        <w:rPr>
          <w:bCs/>
          <w:lang w:val="fr-FR"/>
        </w:rPr>
        <w:t>):</w:t>
      </w:r>
      <w:proofErr w:type="gramEnd"/>
      <w:r w:rsidRPr="00A671BF">
        <w:rPr>
          <w:bCs/>
          <w:lang w:val="fr-FR"/>
        </w:rPr>
        <w:t xml:space="preserve"> 105–31. </w:t>
      </w:r>
    </w:p>
    <w:p w:rsidR="000E1B69" w:rsidRPr="00A671BF" w:rsidRDefault="000E1B69" w:rsidP="000E1B69">
      <w:pPr>
        <w:ind w:left="720" w:hanging="720"/>
        <w:rPr>
          <w:bCs/>
          <w:lang w:val="fr-FR"/>
        </w:rPr>
      </w:pPr>
      <w:r w:rsidRPr="00A671BF">
        <w:rPr>
          <w:i/>
          <w:lang w:val="fr-FR"/>
        </w:rPr>
        <w:t>La Politique coloniale</w:t>
      </w:r>
      <w:r w:rsidRPr="00A671BF">
        <w:rPr>
          <w:lang w:val="fr-FR"/>
        </w:rPr>
        <w:t xml:space="preserve"> (1908) </w:t>
      </w:r>
      <w:r w:rsidRPr="00A671BF">
        <w:rPr>
          <w:i/>
          <w:lang w:val="fr-FR"/>
        </w:rPr>
        <w:t>La Politique coloniale</w:t>
      </w:r>
      <w:r w:rsidRPr="00A671BF">
        <w:rPr>
          <w:lang w:val="fr-FR"/>
        </w:rPr>
        <w:t>, 17 July, 1.</w:t>
      </w:r>
    </w:p>
    <w:p w:rsidR="000E1B69" w:rsidRPr="00A671BF" w:rsidRDefault="000E1B69" w:rsidP="000E1B69">
      <w:pPr>
        <w:ind w:left="720" w:hanging="720"/>
        <w:rPr>
          <w:lang w:val="fr-FR"/>
        </w:rPr>
      </w:pPr>
      <w:proofErr w:type="spellStart"/>
      <w:r w:rsidRPr="00A671BF">
        <w:rPr>
          <w:lang w:val="fr-FR"/>
        </w:rPr>
        <w:t>Raingeard</w:t>
      </w:r>
      <w:proofErr w:type="spellEnd"/>
      <w:r w:rsidRPr="00A671BF">
        <w:rPr>
          <w:lang w:val="fr-FR"/>
        </w:rPr>
        <w:t xml:space="preserve"> M (1954) Établissements français de </w:t>
      </w:r>
      <w:proofErr w:type="gramStart"/>
      <w:r w:rsidRPr="00A671BF">
        <w:rPr>
          <w:lang w:val="fr-FR"/>
        </w:rPr>
        <w:t>l’Inde:</w:t>
      </w:r>
      <w:proofErr w:type="gramEnd"/>
      <w:r w:rsidRPr="00A671BF">
        <w:rPr>
          <w:lang w:val="fr-FR"/>
        </w:rPr>
        <w:t xml:space="preserve"> Fixation de la date de discussion d’interpellations. 2</w:t>
      </w:r>
      <w:r w:rsidRPr="00A671BF">
        <w:rPr>
          <w:vertAlign w:val="superscript"/>
          <w:lang w:val="fr-FR"/>
        </w:rPr>
        <w:t>e</w:t>
      </w:r>
      <w:r w:rsidRPr="00A671BF">
        <w:rPr>
          <w:lang w:val="fr-FR"/>
        </w:rPr>
        <w:t xml:space="preserve"> séance du 10 août 1954, </w:t>
      </w:r>
      <w:r w:rsidRPr="00A671BF">
        <w:rPr>
          <w:rFonts w:eastAsia="Calibri"/>
          <w:i/>
          <w:lang w:val="fr-FR"/>
        </w:rPr>
        <w:t xml:space="preserve">Journal Officiel de la République </w:t>
      </w:r>
      <w:proofErr w:type="gramStart"/>
      <w:r w:rsidRPr="00A671BF">
        <w:rPr>
          <w:rFonts w:eastAsia="Calibri"/>
          <w:i/>
          <w:lang w:val="fr-FR"/>
        </w:rPr>
        <w:t>française:</w:t>
      </w:r>
      <w:proofErr w:type="gramEnd"/>
      <w:r w:rsidRPr="00A671BF">
        <w:rPr>
          <w:rFonts w:eastAsia="Calibri"/>
          <w:i/>
          <w:lang w:val="fr-FR"/>
        </w:rPr>
        <w:t xml:space="preserve"> Débats parlementaires, Assemblée nationale</w:t>
      </w:r>
      <w:r w:rsidRPr="00A671BF">
        <w:rPr>
          <w:lang w:val="fr-FR"/>
        </w:rPr>
        <w:t>, 11 August, 4032–37.</w:t>
      </w:r>
    </w:p>
    <w:p w:rsidR="000E1B69" w:rsidRPr="00A671BF" w:rsidRDefault="000E1B69" w:rsidP="000E1B69">
      <w:pPr>
        <w:ind w:left="720" w:hanging="720"/>
      </w:pPr>
      <w:r w:rsidRPr="00A671BF">
        <w:t xml:space="preserve">Rolland R (1993 [1924]) </w:t>
      </w:r>
      <w:r w:rsidRPr="00A671BF">
        <w:rPr>
          <w:i/>
          <w:iCs/>
        </w:rPr>
        <w:t>Mahatma Gandhi</w:t>
      </w:r>
      <w:r w:rsidRPr="00A671BF">
        <w:rPr>
          <w:iCs/>
        </w:rPr>
        <w:t>. P</w:t>
      </w:r>
      <w:r w:rsidRPr="00A671BF">
        <w:t>aris: Stock.</w:t>
      </w:r>
    </w:p>
    <w:p w:rsidR="005F2B76" w:rsidRPr="00A671BF" w:rsidRDefault="005F2B76" w:rsidP="007F4BC6">
      <w:pPr>
        <w:ind w:left="720" w:hanging="720"/>
        <w:rPr>
          <w:bCs/>
        </w:rPr>
      </w:pPr>
      <w:r w:rsidRPr="00A671BF">
        <w:t xml:space="preserve">Rosenberg C (2006) </w:t>
      </w:r>
      <w:r w:rsidRPr="00A671BF">
        <w:rPr>
          <w:i/>
        </w:rPr>
        <w:t>Policing Paris: The Origins of Modern Immigration Control between the Wars</w:t>
      </w:r>
      <w:r w:rsidRPr="00A671BF">
        <w:t>. Ithaca: Cornell University Press.</w:t>
      </w:r>
    </w:p>
    <w:p w:rsidR="000E1B69" w:rsidRPr="00A671BF" w:rsidRDefault="000E1B69" w:rsidP="000E1B69">
      <w:pPr>
        <w:ind w:left="720" w:hanging="720"/>
      </w:pPr>
      <w:r w:rsidRPr="00A671BF">
        <w:t xml:space="preserve">Rosenhaft E and Aitken A (2013) Introduction. In: Rosenhaft E and Aitken R (eds) </w:t>
      </w:r>
      <w:r w:rsidRPr="00A671BF">
        <w:rPr>
          <w:i/>
        </w:rPr>
        <w:t>Africa in Europe: Studies in Transnational Practice in the Long Twentieth Century</w:t>
      </w:r>
      <w:r w:rsidRPr="00A671BF">
        <w:t>. Liverpool: Liverpool University Press, pp.1–15.</w:t>
      </w:r>
    </w:p>
    <w:p w:rsidR="000E1B69" w:rsidRPr="00A671BF" w:rsidRDefault="000E1B69" w:rsidP="000E1B69">
      <w:pPr>
        <w:ind w:left="720" w:hanging="720"/>
      </w:pPr>
      <w:r w:rsidRPr="00A671BF">
        <w:t xml:space="preserve">Roy E (1923) ‘Mahatma Gandhi Revolutionary or Counter-Revolutionary: A Reply to Romain Rolland and Henri Barbusse’, </w:t>
      </w:r>
      <w:r w:rsidRPr="00A671BF">
        <w:rPr>
          <w:i/>
        </w:rPr>
        <w:t>Labour Monthly</w:t>
      </w:r>
      <w:r w:rsidRPr="00A671BF">
        <w:t xml:space="preserve"> 5</w:t>
      </w:r>
      <w:r w:rsidR="007F4BC6" w:rsidRPr="00A671BF">
        <w:t>(3):</w:t>
      </w:r>
      <w:r w:rsidRPr="00A671BF">
        <w:t xml:space="preserve"> 158–67.</w:t>
      </w:r>
    </w:p>
    <w:p w:rsidR="000E1B69" w:rsidRPr="00A671BF" w:rsidRDefault="000E1B69" w:rsidP="000E1B69">
      <w:pPr>
        <w:pStyle w:val="FootnoteText"/>
        <w:rPr>
          <w:bCs/>
          <w:iCs/>
          <w:sz w:val="24"/>
          <w:szCs w:val="24"/>
          <w:lang w:val="fr-FR"/>
        </w:rPr>
      </w:pPr>
      <w:r w:rsidRPr="00A671BF">
        <w:rPr>
          <w:sz w:val="24"/>
          <w:szCs w:val="24"/>
          <w:lang w:val="fr-FR"/>
        </w:rPr>
        <w:t xml:space="preserve">Roy E (1925) </w:t>
      </w:r>
      <w:proofErr w:type="spellStart"/>
      <w:r w:rsidRPr="00A671BF">
        <w:rPr>
          <w:bCs/>
          <w:iCs/>
          <w:sz w:val="24"/>
          <w:szCs w:val="24"/>
          <w:lang w:val="fr-FR"/>
        </w:rPr>
        <w:t>Indian</w:t>
      </w:r>
      <w:proofErr w:type="spellEnd"/>
      <w:r w:rsidRPr="00A671BF">
        <w:rPr>
          <w:bCs/>
          <w:iCs/>
          <w:sz w:val="24"/>
          <w:szCs w:val="24"/>
          <w:lang w:val="fr-FR"/>
        </w:rPr>
        <w:t xml:space="preserve"> </w:t>
      </w:r>
      <w:proofErr w:type="spellStart"/>
      <w:r w:rsidRPr="00A671BF">
        <w:rPr>
          <w:bCs/>
          <w:iCs/>
          <w:sz w:val="24"/>
          <w:szCs w:val="24"/>
          <w:lang w:val="fr-FR"/>
        </w:rPr>
        <w:t>Political</w:t>
      </w:r>
      <w:proofErr w:type="spellEnd"/>
      <w:r w:rsidRPr="00A671BF">
        <w:rPr>
          <w:bCs/>
          <w:iCs/>
          <w:sz w:val="24"/>
          <w:szCs w:val="24"/>
          <w:lang w:val="fr-FR"/>
        </w:rPr>
        <w:t xml:space="preserve"> Exiles in France. </w:t>
      </w:r>
      <w:r w:rsidRPr="00A671BF">
        <w:rPr>
          <w:bCs/>
          <w:i/>
          <w:iCs/>
          <w:sz w:val="24"/>
          <w:szCs w:val="24"/>
          <w:lang w:val="fr-FR"/>
        </w:rPr>
        <w:t xml:space="preserve">Labour </w:t>
      </w:r>
      <w:proofErr w:type="spellStart"/>
      <w:r w:rsidRPr="00A671BF">
        <w:rPr>
          <w:bCs/>
          <w:i/>
          <w:iCs/>
          <w:sz w:val="24"/>
          <w:szCs w:val="24"/>
          <w:lang w:val="fr-FR"/>
        </w:rPr>
        <w:t>Monthly</w:t>
      </w:r>
      <w:proofErr w:type="spellEnd"/>
      <w:r w:rsidR="007F4BC6" w:rsidRPr="00A671BF">
        <w:rPr>
          <w:bCs/>
          <w:iCs/>
          <w:sz w:val="24"/>
          <w:szCs w:val="24"/>
          <w:lang w:val="fr-FR"/>
        </w:rPr>
        <w:t xml:space="preserve"> 7(4</w:t>
      </w:r>
      <w:proofErr w:type="gramStart"/>
      <w:r w:rsidR="007F4BC6" w:rsidRPr="00A671BF">
        <w:rPr>
          <w:bCs/>
          <w:iCs/>
          <w:sz w:val="24"/>
          <w:szCs w:val="24"/>
          <w:lang w:val="fr-FR"/>
        </w:rPr>
        <w:t>):</w:t>
      </w:r>
      <w:proofErr w:type="gramEnd"/>
      <w:r w:rsidRPr="00A671BF">
        <w:rPr>
          <w:bCs/>
          <w:iCs/>
          <w:sz w:val="24"/>
          <w:szCs w:val="24"/>
          <w:lang w:val="fr-FR"/>
        </w:rPr>
        <w:t xml:space="preserve"> 205–10.</w:t>
      </w:r>
    </w:p>
    <w:p w:rsidR="000E1B69" w:rsidRPr="00A671BF" w:rsidRDefault="000E1B69" w:rsidP="000E1B69">
      <w:pPr>
        <w:pStyle w:val="FootnoteText"/>
        <w:rPr>
          <w:bCs/>
          <w:i/>
          <w:iCs/>
          <w:sz w:val="24"/>
          <w:szCs w:val="24"/>
        </w:rPr>
      </w:pPr>
      <w:proofErr w:type="spellStart"/>
      <w:r w:rsidRPr="00A671BF">
        <w:rPr>
          <w:bCs/>
          <w:iCs/>
          <w:sz w:val="24"/>
          <w:szCs w:val="24"/>
          <w:lang w:val="fr-FR"/>
        </w:rPr>
        <w:t>Sanvoisin</w:t>
      </w:r>
      <w:proofErr w:type="spellEnd"/>
      <w:r w:rsidRPr="00A671BF">
        <w:rPr>
          <w:bCs/>
          <w:iCs/>
          <w:sz w:val="24"/>
          <w:szCs w:val="24"/>
          <w:lang w:val="fr-FR"/>
        </w:rPr>
        <w:t xml:space="preserve"> G (1931) Gandhi parle à Paris.</w:t>
      </w:r>
      <w:r w:rsidRPr="00A671BF">
        <w:rPr>
          <w:bCs/>
          <w:i/>
          <w:iCs/>
          <w:sz w:val="24"/>
          <w:szCs w:val="24"/>
          <w:lang w:val="fr-FR"/>
        </w:rPr>
        <w:t xml:space="preserve"> </w:t>
      </w:r>
      <w:r w:rsidRPr="00A671BF">
        <w:rPr>
          <w:bCs/>
          <w:i/>
          <w:iCs/>
          <w:sz w:val="24"/>
          <w:szCs w:val="24"/>
        </w:rPr>
        <w:t xml:space="preserve">Le Figaro, </w:t>
      </w:r>
      <w:r w:rsidRPr="00A671BF">
        <w:rPr>
          <w:bCs/>
          <w:iCs/>
          <w:sz w:val="24"/>
          <w:szCs w:val="24"/>
        </w:rPr>
        <w:t>6 December, 1.</w:t>
      </w:r>
    </w:p>
    <w:p w:rsidR="000E1B69" w:rsidRPr="00A671BF" w:rsidRDefault="000E1B69" w:rsidP="000E1B69">
      <w:pPr>
        <w:pStyle w:val="FootnoteText"/>
        <w:rPr>
          <w:sz w:val="24"/>
          <w:szCs w:val="24"/>
          <w:lang w:val="fr-FR"/>
        </w:rPr>
      </w:pPr>
      <w:proofErr w:type="spellStart"/>
      <w:r w:rsidRPr="00A671BF">
        <w:rPr>
          <w:sz w:val="24"/>
          <w:szCs w:val="24"/>
        </w:rPr>
        <w:t>Sareen</w:t>
      </w:r>
      <w:proofErr w:type="spellEnd"/>
      <w:r w:rsidRPr="00A671BF">
        <w:rPr>
          <w:sz w:val="24"/>
          <w:szCs w:val="24"/>
        </w:rPr>
        <w:t xml:space="preserve"> TR (1979) </w:t>
      </w:r>
      <w:r w:rsidRPr="00A671BF">
        <w:rPr>
          <w:i/>
          <w:sz w:val="24"/>
          <w:szCs w:val="24"/>
        </w:rPr>
        <w:t>Indian Revolutionary Movement Abroad</w:t>
      </w:r>
      <w:r w:rsidRPr="00A671BF">
        <w:rPr>
          <w:sz w:val="24"/>
          <w:szCs w:val="24"/>
        </w:rPr>
        <w:t xml:space="preserve">. </w:t>
      </w:r>
      <w:r w:rsidRPr="00A671BF">
        <w:rPr>
          <w:sz w:val="24"/>
          <w:szCs w:val="24"/>
          <w:lang w:val="fr-FR"/>
        </w:rPr>
        <w:t>New Delhi: Sterling Publishers.</w:t>
      </w:r>
    </w:p>
    <w:p w:rsidR="000E1B69" w:rsidRPr="00A671BF" w:rsidRDefault="000E1B69" w:rsidP="000E1B69">
      <w:pPr>
        <w:pStyle w:val="FootnoteText"/>
        <w:ind w:left="720" w:hanging="720"/>
        <w:rPr>
          <w:bCs/>
          <w:sz w:val="24"/>
          <w:szCs w:val="24"/>
        </w:rPr>
      </w:pPr>
      <w:r w:rsidRPr="00A671BF">
        <w:rPr>
          <w:bCs/>
          <w:sz w:val="24"/>
          <w:szCs w:val="24"/>
          <w:lang w:val="fr-FR"/>
        </w:rPr>
        <w:t xml:space="preserve">Servan-Schreiber C and </w:t>
      </w:r>
      <w:proofErr w:type="spellStart"/>
      <w:r w:rsidRPr="00A671BF">
        <w:rPr>
          <w:bCs/>
          <w:sz w:val="24"/>
          <w:szCs w:val="24"/>
          <w:lang w:val="fr-FR"/>
        </w:rPr>
        <w:t>Vuddamalay</w:t>
      </w:r>
      <w:proofErr w:type="spellEnd"/>
      <w:r w:rsidRPr="00A671BF">
        <w:rPr>
          <w:bCs/>
          <w:sz w:val="24"/>
          <w:szCs w:val="24"/>
          <w:lang w:val="fr-FR"/>
        </w:rPr>
        <w:t xml:space="preserve"> V (2007) Les étapes de la présence indienne en France. </w:t>
      </w:r>
      <w:r w:rsidRPr="00A671BF">
        <w:rPr>
          <w:bCs/>
          <w:i/>
          <w:sz w:val="24"/>
          <w:szCs w:val="24"/>
        </w:rPr>
        <w:t>Hommes et migrations</w:t>
      </w:r>
      <w:r w:rsidRPr="00A671BF">
        <w:rPr>
          <w:bCs/>
          <w:sz w:val="24"/>
          <w:szCs w:val="24"/>
        </w:rPr>
        <w:t xml:space="preserve"> 1268–69: 8–23.</w:t>
      </w:r>
    </w:p>
    <w:p w:rsidR="000E1B69" w:rsidRPr="00A671BF" w:rsidRDefault="000E1B69" w:rsidP="000E1B69">
      <w:pPr>
        <w:ind w:left="720" w:hanging="720"/>
        <w:rPr>
          <w:bCs/>
        </w:rPr>
      </w:pPr>
      <w:r w:rsidRPr="00A671BF">
        <w:t xml:space="preserve">Shaw L (2013) Afro-Brazilian popular culture in Paris in 1922: Transatlantic dialogues and the racialized performance of Brazilian national identity. </w:t>
      </w:r>
      <w:r w:rsidRPr="00A671BF">
        <w:rPr>
          <w:i/>
        </w:rPr>
        <w:t>Atlantic Studies</w:t>
      </w:r>
      <w:r w:rsidRPr="00A671BF">
        <w:t xml:space="preserve"> 8</w:t>
      </w:r>
      <w:r w:rsidR="007F4BC6" w:rsidRPr="00A671BF">
        <w:t>(4)</w:t>
      </w:r>
      <w:r w:rsidRPr="00A671BF">
        <w:t>: 393–409.</w:t>
      </w:r>
    </w:p>
    <w:p w:rsidR="000E1B69" w:rsidRPr="00A671BF" w:rsidRDefault="000E1B69" w:rsidP="000E1B69">
      <w:pPr>
        <w:ind w:left="720" w:hanging="720"/>
        <w:rPr>
          <w:bCs/>
        </w:rPr>
      </w:pPr>
      <w:proofErr w:type="spellStart"/>
      <w:r w:rsidRPr="00A671BF">
        <w:t>Stoler</w:t>
      </w:r>
      <w:proofErr w:type="spellEnd"/>
      <w:r w:rsidRPr="00A671BF">
        <w:t xml:space="preserve"> AL and Cooper F (1997) Between Metropole and Colony: Rethinking a Research Agenda. In: </w:t>
      </w:r>
      <w:proofErr w:type="spellStart"/>
      <w:r w:rsidRPr="00A671BF">
        <w:t>Stoler</w:t>
      </w:r>
      <w:proofErr w:type="spellEnd"/>
      <w:r w:rsidRPr="00A671BF">
        <w:t xml:space="preserve"> AL and Cooper F (eds) </w:t>
      </w:r>
      <w:r w:rsidRPr="00A671BF">
        <w:rPr>
          <w:bCs/>
          <w:i/>
        </w:rPr>
        <w:t>Tensions of Empire: Colonial Cultures in a Bourgeois World</w:t>
      </w:r>
      <w:r w:rsidRPr="00A671BF">
        <w:rPr>
          <w:bCs/>
        </w:rPr>
        <w:t>. Berkeley: University of California Press, pp.1–56.</w:t>
      </w:r>
    </w:p>
    <w:p w:rsidR="000E1B69" w:rsidRPr="00A671BF" w:rsidRDefault="000E1B69" w:rsidP="000E1B69">
      <w:pPr>
        <w:ind w:left="720" w:hanging="720"/>
        <w:rPr>
          <w:bCs/>
        </w:rPr>
      </w:pPr>
      <w:r w:rsidRPr="00A671BF">
        <w:rPr>
          <w:bCs/>
        </w:rPr>
        <w:t>Stovall T (1996) </w:t>
      </w:r>
      <w:r w:rsidRPr="00A671BF">
        <w:rPr>
          <w:bCs/>
          <w:i/>
          <w:iCs/>
        </w:rPr>
        <w:t>Paris Noir, African Americans in the City of Light</w:t>
      </w:r>
      <w:r w:rsidRPr="00A671BF">
        <w:rPr>
          <w:bCs/>
        </w:rPr>
        <w:t>. Boston: Houghton Mifflin.</w:t>
      </w:r>
    </w:p>
    <w:p w:rsidR="000E1B69" w:rsidRPr="00A671BF" w:rsidRDefault="000E1B69" w:rsidP="000E1B69">
      <w:pPr>
        <w:ind w:left="720" w:hanging="720"/>
        <w:rPr>
          <w:bCs/>
        </w:rPr>
      </w:pPr>
      <w:r w:rsidRPr="00A671BF">
        <w:t xml:space="preserve">Stovall T (2012) </w:t>
      </w:r>
      <w:r w:rsidRPr="00A671BF">
        <w:rPr>
          <w:i/>
        </w:rPr>
        <w:t>Paris and the Spirit of 1919: Consumer Struggles, Transnationalism, and Revolution</w:t>
      </w:r>
      <w:r w:rsidRPr="00A671BF">
        <w:t>.</w:t>
      </w:r>
      <w:r w:rsidRPr="00A671BF">
        <w:rPr>
          <w:i/>
        </w:rPr>
        <w:t xml:space="preserve"> </w:t>
      </w:r>
      <w:r w:rsidRPr="00A671BF">
        <w:t>Cambridge: Cambridge University Press.</w:t>
      </w:r>
    </w:p>
    <w:p w:rsidR="000E1B69" w:rsidRPr="00A671BF" w:rsidRDefault="000E1B69" w:rsidP="000E1B69">
      <w:pPr>
        <w:ind w:left="720" w:hanging="720"/>
      </w:pPr>
      <w:r w:rsidRPr="00A671BF">
        <w:t>Sweeney F and Marsh</w:t>
      </w:r>
      <w:r w:rsidRPr="00A671BF">
        <w:rPr>
          <w:i/>
        </w:rPr>
        <w:t xml:space="preserve"> </w:t>
      </w:r>
      <w:r w:rsidRPr="00A671BF">
        <w:t xml:space="preserve">K (eds) </w:t>
      </w:r>
      <w:proofErr w:type="spellStart"/>
      <w:r w:rsidRPr="00A671BF">
        <w:rPr>
          <w:i/>
        </w:rPr>
        <w:t>Afromodernisms</w:t>
      </w:r>
      <w:proofErr w:type="spellEnd"/>
      <w:r w:rsidRPr="00A671BF">
        <w:rPr>
          <w:i/>
        </w:rPr>
        <w:t>: Paris, Harlem, Haiti and the Avant-Garde</w:t>
      </w:r>
      <w:r w:rsidRPr="00A671BF">
        <w:t>. Edinburgh: Edinburgh University Press.</w:t>
      </w:r>
    </w:p>
    <w:p w:rsidR="000E1B69" w:rsidRPr="00A671BF" w:rsidRDefault="000E1B69" w:rsidP="000E1B69">
      <w:pPr>
        <w:ind w:left="720" w:hanging="720"/>
      </w:pPr>
      <w:r w:rsidRPr="00A671BF">
        <w:rPr>
          <w:i/>
        </w:rPr>
        <w:t xml:space="preserve">Times </w:t>
      </w:r>
      <w:r w:rsidRPr="00A671BF">
        <w:t xml:space="preserve">(1910) The Extradition of Savarkar: French Socialist Agitation. </w:t>
      </w:r>
      <w:r w:rsidRPr="00A671BF">
        <w:rPr>
          <w:i/>
        </w:rPr>
        <w:t>The Times</w:t>
      </w:r>
      <w:r w:rsidRPr="00A671BF">
        <w:t xml:space="preserve">, 20 July, 5. </w:t>
      </w:r>
    </w:p>
    <w:p w:rsidR="000E1B69" w:rsidRPr="00A671BF" w:rsidRDefault="000E1B69" w:rsidP="000E1B69">
      <w:pPr>
        <w:ind w:left="720" w:hanging="720"/>
        <w:rPr>
          <w:lang w:val="fr-FR"/>
        </w:rPr>
      </w:pPr>
      <w:proofErr w:type="spellStart"/>
      <w:r w:rsidRPr="00A671BF">
        <w:t>Wali</w:t>
      </w:r>
      <w:proofErr w:type="spellEnd"/>
      <w:r w:rsidRPr="00A671BF">
        <w:t xml:space="preserve"> KC (ed</w:t>
      </w:r>
      <w:r w:rsidR="007F4BC6" w:rsidRPr="00A671BF">
        <w:t>.</w:t>
      </w:r>
      <w:r w:rsidRPr="00A671BF">
        <w:t>) (2009)</w:t>
      </w:r>
      <w:r w:rsidRPr="00A671BF">
        <w:rPr>
          <w:bCs/>
          <w:i/>
        </w:rPr>
        <w:t xml:space="preserve"> Satyendra Nath Bose: His Life and Times: Selected Works (with Commentary)</w:t>
      </w:r>
      <w:r w:rsidRPr="00A671BF">
        <w:rPr>
          <w:bCs/>
        </w:rPr>
        <w:t xml:space="preserve">. </w:t>
      </w:r>
      <w:r w:rsidRPr="00A671BF">
        <w:rPr>
          <w:bCs/>
          <w:lang w:val="fr-FR"/>
        </w:rPr>
        <w:t xml:space="preserve">Singapore: World Scientific </w:t>
      </w:r>
      <w:proofErr w:type="spellStart"/>
      <w:r w:rsidRPr="00A671BF">
        <w:rPr>
          <w:bCs/>
          <w:lang w:val="fr-FR"/>
        </w:rPr>
        <w:t>Publishing</w:t>
      </w:r>
      <w:proofErr w:type="spellEnd"/>
      <w:r w:rsidRPr="00A671BF">
        <w:rPr>
          <w:bCs/>
          <w:lang w:val="fr-FR"/>
        </w:rPr>
        <w:t>.</w:t>
      </w:r>
    </w:p>
    <w:p w:rsidR="000E1B69" w:rsidRPr="00A671BF" w:rsidRDefault="000E1B69" w:rsidP="000E1B69">
      <w:pPr>
        <w:ind w:left="720" w:hanging="720"/>
        <w:rPr>
          <w:lang w:val="fr-FR"/>
        </w:rPr>
      </w:pPr>
      <w:r w:rsidRPr="00A671BF">
        <w:rPr>
          <w:lang w:val="fr-FR"/>
        </w:rPr>
        <w:t xml:space="preserve">Weber J (1991) Avant-propos. </w:t>
      </w:r>
      <w:r w:rsidRPr="00A671BF">
        <w:rPr>
          <w:i/>
          <w:iCs/>
          <w:lang w:val="fr-FR"/>
        </w:rPr>
        <w:t>Revue française d’histoire d’outre-mer</w:t>
      </w:r>
      <w:r w:rsidRPr="00A671BF">
        <w:rPr>
          <w:lang w:val="fr-FR"/>
        </w:rPr>
        <w:t xml:space="preserve"> 78</w:t>
      </w:r>
      <w:r w:rsidR="007F4BC6" w:rsidRPr="00A671BF">
        <w:rPr>
          <w:lang w:val="fr-FR"/>
        </w:rPr>
        <w:t>(290</w:t>
      </w:r>
      <w:proofErr w:type="gramStart"/>
      <w:r w:rsidR="007F4BC6" w:rsidRPr="00A671BF">
        <w:rPr>
          <w:lang w:val="fr-FR"/>
        </w:rPr>
        <w:t>)</w:t>
      </w:r>
      <w:r w:rsidRPr="00A671BF">
        <w:rPr>
          <w:lang w:val="fr-FR"/>
        </w:rPr>
        <w:t>:</w:t>
      </w:r>
      <w:proofErr w:type="gramEnd"/>
      <w:r w:rsidRPr="00A671BF">
        <w:rPr>
          <w:lang w:val="fr-FR"/>
        </w:rPr>
        <w:t xml:space="preserve"> 5–8.</w:t>
      </w:r>
    </w:p>
    <w:p w:rsidR="000E1B69" w:rsidRPr="00A671BF" w:rsidRDefault="000E1B69" w:rsidP="000E1B69">
      <w:pPr>
        <w:ind w:left="720" w:hanging="720"/>
      </w:pPr>
      <w:r w:rsidRPr="00A671BF">
        <w:rPr>
          <w:lang w:val="fr-FR"/>
        </w:rPr>
        <w:t xml:space="preserve">Weber J (1996) </w:t>
      </w:r>
      <w:r w:rsidRPr="00A671BF">
        <w:rPr>
          <w:i/>
          <w:iCs/>
          <w:lang w:val="fr-FR"/>
        </w:rPr>
        <w:t>Pondichéry et les comptoirs de l’Inde après Dupleix: La démocratie au pays des castes</w:t>
      </w:r>
      <w:r w:rsidRPr="00A671BF">
        <w:rPr>
          <w:iCs/>
          <w:lang w:val="fr-FR"/>
        </w:rPr>
        <w:t>.</w:t>
      </w:r>
      <w:r w:rsidRPr="00A671BF">
        <w:rPr>
          <w:i/>
          <w:iCs/>
          <w:lang w:val="fr-FR"/>
        </w:rPr>
        <w:t xml:space="preserve"> </w:t>
      </w:r>
      <w:r w:rsidRPr="00A671BF">
        <w:t xml:space="preserve">Paris: </w:t>
      </w:r>
      <w:proofErr w:type="spellStart"/>
      <w:r w:rsidRPr="00A671BF">
        <w:t>Denoël</w:t>
      </w:r>
      <w:proofErr w:type="spellEnd"/>
      <w:r w:rsidRPr="00A671BF">
        <w:t>.</w:t>
      </w:r>
    </w:p>
    <w:p w:rsidR="000E1B69" w:rsidRPr="00A671BF" w:rsidRDefault="000E1B69" w:rsidP="000E1B69">
      <w:pPr>
        <w:ind w:left="720" w:hanging="720"/>
        <w:rPr>
          <w:bCs/>
        </w:rPr>
      </w:pPr>
      <w:r w:rsidRPr="00A671BF">
        <w:rPr>
          <w:bCs/>
        </w:rPr>
        <w:t>Wilder G (2005)</w:t>
      </w:r>
      <w:r w:rsidRPr="00A671BF">
        <w:rPr>
          <w:bCs/>
          <w:i/>
        </w:rPr>
        <w:t xml:space="preserve"> The French Imperial Nation-State</w:t>
      </w:r>
      <w:r w:rsidRPr="00A671BF">
        <w:rPr>
          <w:bCs/>
        </w:rPr>
        <w:t>. Chicago: Chicago University Press.</w:t>
      </w:r>
    </w:p>
    <w:p w:rsidR="000E1B69" w:rsidRPr="00A671BF" w:rsidRDefault="000E1B69" w:rsidP="000E1B69">
      <w:pPr>
        <w:ind w:left="720" w:hanging="720"/>
        <w:rPr>
          <w:bCs/>
        </w:rPr>
      </w:pPr>
      <w:r w:rsidRPr="00A671BF">
        <w:rPr>
          <w:bCs/>
        </w:rPr>
        <w:t xml:space="preserve">Wilson K (ed.) (2004) </w:t>
      </w:r>
      <w:r w:rsidRPr="00A671BF">
        <w:rPr>
          <w:bCs/>
          <w:i/>
        </w:rPr>
        <w:t>A New Imperial History: Culture, Identity, and Modernity in Britain and the Empire, 1660–1840</w:t>
      </w:r>
      <w:r w:rsidRPr="00A671BF">
        <w:rPr>
          <w:bCs/>
        </w:rPr>
        <w:t>. Cambridge: Cambridge University Press.</w:t>
      </w:r>
    </w:p>
    <w:p w:rsidR="000B1506" w:rsidRDefault="000E1B69" w:rsidP="000601B7">
      <w:pPr>
        <w:ind w:left="720" w:hanging="720"/>
        <w:rPr>
          <w:szCs w:val="22"/>
        </w:rPr>
      </w:pPr>
      <w:r w:rsidRPr="00A671BF">
        <w:rPr>
          <w:bCs/>
        </w:rPr>
        <w:t xml:space="preserve">Yechury A (2015) </w:t>
      </w:r>
      <w:r w:rsidR="007F4BC6" w:rsidRPr="00A671BF">
        <w:rPr>
          <w:bCs/>
        </w:rPr>
        <w:t>‘</w:t>
      </w:r>
      <w:r w:rsidRPr="00A671BF">
        <w:rPr>
          <w:bCs/>
        </w:rPr>
        <w:t xml:space="preserve">La </w:t>
      </w:r>
      <w:proofErr w:type="spellStart"/>
      <w:r w:rsidRPr="00A671BF">
        <w:rPr>
          <w:bCs/>
        </w:rPr>
        <w:t>République</w:t>
      </w:r>
      <w:proofErr w:type="spellEnd"/>
      <w:r w:rsidRPr="00A671BF">
        <w:rPr>
          <w:bCs/>
        </w:rPr>
        <w:t xml:space="preserve"> continue, </w:t>
      </w:r>
      <w:proofErr w:type="spellStart"/>
      <w:r w:rsidRPr="00A671BF">
        <w:rPr>
          <w:bCs/>
        </w:rPr>
        <w:t>comme</w:t>
      </w:r>
      <w:proofErr w:type="spellEnd"/>
      <w:r w:rsidRPr="00A671BF">
        <w:rPr>
          <w:bCs/>
        </w:rPr>
        <w:t xml:space="preserve"> par le passé’: The Myths and Realities of the Resistance in French India</w:t>
      </w:r>
      <w:r w:rsidR="007F4BC6" w:rsidRPr="00A671BF">
        <w:rPr>
          <w:bCs/>
        </w:rPr>
        <w:t>.</w:t>
      </w:r>
      <w:r w:rsidRPr="00A671BF">
        <w:rPr>
          <w:bCs/>
        </w:rPr>
        <w:t> </w:t>
      </w:r>
      <w:proofErr w:type="spellStart"/>
      <w:r w:rsidRPr="00A671BF">
        <w:rPr>
          <w:bCs/>
          <w:i/>
          <w:iCs/>
        </w:rPr>
        <w:t>Outre-Mers</w:t>
      </w:r>
      <w:proofErr w:type="spellEnd"/>
      <w:r w:rsidRPr="00A671BF">
        <w:rPr>
          <w:bCs/>
          <w:i/>
          <w:iCs/>
        </w:rPr>
        <w:t xml:space="preserve">, Revue </w:t>
      </w:r>
      <w:proofErr w:type="spellStart"/>
      <w:r w:rsidRPr="00A671BF">
        <w:rPr>
          <w:bCs/>
          <w:i/>
          <w:iCs/>
        </w:rPr>
        <w:t>d’histoire</w:t>
      </w:r>
      <w:proofErr w:type="spellEnd"/>
      <w:r w:rsidRPr="00A671BF">
        <w:rPr>
          <w:bCs/>
        </w:rPr>
        <w:t xml:space="preserve"> 103</w:t>
      </w:r>
      <w:r w:rsidR="007F4BC6" w:rsidRPr="00A671BF">
        <w:rPr>
          <w:bCs/>
        </w:rPr>
        <w:t>(388</w:t>
      </w:r>
      <w:r w:rsidR="007F4BC6" w:rsidRPr="00A671BF">
        <w:rPr>
          <w:rFonts w:ascii="Calibri" w:hAnsi="Calibri" w:cs="Calibri"/>
          <w:bCs/>
        </w:rPr>
        <w:t>–</w:t>
      </w:r>
      <w:r w:rsidR="007F4BC6" w:rsidRPr="00A671BF">
        <w:rPr>
          <w:bCs/>
        </w:rPr>
        <w:t>389)</w:t>
      </w:r>
      <w:r w:rsidRPr="00A671BF">
        <w:rPr>
          <w:bCs/>
        </w:rPr>
        <w:t>: 97–106.</w:t>
      </w:r>
    </w:p>
    <w:p w:rsidR="000B1506" w:rsidRPr="00F54258" w:rsidRDefault="000B1506" w:rsidP="0038784E">
      <w:pPr>
        <w:spacing w:line="360" w:lineRule="auto"/>
        <w:rPr>
          <w:i/>
          <w:szCs w:val="22"/>
        </w:rPr>
      </w:pPr>
    </w:p>
    <w:sectPr w:rsidR="000B1506" w:rsidRPr="00F5425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77B3" w:rsidRDefault="008377B3" w:rsidP="007C0C63">
      <w:r>
        <w:separator/>
      </w:r>
    </w:p>
  </w:endnote>
  <w:endnote w:type="continuationSeparator" w:id="0">
    <w:p w:rsidR="008377B3" w:rsidRDefault="008377B3" w:rsidP="007C0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NewCaledon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dvPS94BA">
    <w:altName w:val="Cambria"/>
    <w:panose1 w:val="00000000000000000000"/>
    <w:charset w:val="00"/>
    <w:family w:val="roman"/>
    <w:notTrueType/>
    <w:pitch w:val="default"/>
    <w:sig w:usb0="00000003" w:usb1="00000000" w:usb2="00000000" w:usb3="00000000" w:csb0="00000001" w:csb1="00000000"/>
  </w:font>
  <w:font w:name="Code20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4860718"/>
      <w:docPartObj>
        <w:docPartGallery w:val="Page Numbers (Bottom of Page)"/>
        <w:docPartUnique/>
      </w:docPartObj>
    </w:sdtPr>
    <w:sdtEndPr>
      <w:rPr>
        <w:noProof/>
      </w:rPr>
    </w:sdtEndPr>
    <w:sdtContent>
      <w:p w:rsidR="00B353D6" w:rsidRDefault="00B353D6">
        <w:pPr>
          <w:pStyle w:val="Footer"/>
          <w:jc w:val="right"/>
        </w:pPr>
        <w:r>
          <w:fldChar w:fldCharType="begin"/>
        </w:r>
        <w:r>
          <w:instrText xml:space="preserve"> PAGE   \* MERGEFORMAT </w:instrText>
        </w:r>
        <w:r>
          <w:fldChar w:fldCharType="separate"/>
        </w:r>
        <w:r>
          <w:rPr>
            <w:noProof/>
          </w:rPr>
          <w:t>26</w:t>
        </w:r>
        <w:r>
          <w:rPr>
            <w:noProof/>
          </w:rPr>
          <w:fldChar w:fldCharType="end"/>
        </w:r>
      </w:p>
    </w:sdtContent>
  </w:sdt>
  <w:p w:rsidR="00B353D6" w:rsidRDefault="00B35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77B3" w:rsidRDefault="008377B3" w:rsidP="007C0C63">
      <w:r>
        <w:separator/>
      </w:r>
    </w:p>
  </w:footnote>
  <w:footnote w:type="continuationSeparator" w:id="0">
    <w:p w:rsidR="008377B3" w:rsidRDefault="008377B3" w:rsidP="007C0C63">
      <w:r>
        <w:continuationSeparator/>
      </w:r>
    </w:p>
  </w:footnote>
  <w:footnote w:id="1">
    <w:p w:rsidR="00FA1D63" w:rsidRPr="00A671BF" w:rsidRDefault="00FA1D63" w:rsidP="00FA1D63">
      <w:pPr>
        <w:pStyle w:val="FootnoteText"/>
        <w:rPr>
          <w:lang w:val="fr-FR"/>
        </w:rPr>
      </w:pPr>
      <w:r w:rsidRPr="00A671BF">
        <w:rPr>
          <w:rStyle w:val="FootnoteReference"/>
        </w:rPr>
        <w:footnoteRef/>
      </w:r>
      <w:r w:rsidRPr="00A671BF">
        <w:rPr>
          <w:lang w:val="fr-FR"/>
        </w:rPr>
        <w:t xml:space="preserve"> The CAI </w:t>
      </w:r>
      <w:proofErr w:type="spellStart"/>
      <w:r w:rsidRPr="00A671BF">
        <w:rPr>
          <w:lang w:val="fr-FR"/>
        </w:rPr>
        <w:t>was</w:t>
      </w:r>
      <w:proofErr w:type="spellEnd"/>
      <w:r w:rsidRPr="00A671BF">
        <w:rPr>
          <w:lang w:val="fr-FR"/>
        </w:rPr>
        <w:t xml:space="preserve"> </w:t>
      </w:r>
      <w:proofErr w:type="spellStart"/>
      <w:r w:rsidRPr="00A671BF">
        <w:rPr>
          <w:lang w:val="fr-FR"/>
        </w:rPr>
        <w:t>renamed</w:t>
      </w:r>
      <w:proofErr w:type="spellEnd"/>
      <w:r w:rsidRPr="00A671BF">
        <w:rPr>
          <w:lang w:val="fr-FR"/>
        </w:rPr>
        <w:t xml:space="preserve"> the Service de Liaison avec les Originaires des Territoires françaises d’Outre-Mer </w:t>
      </w:r>
      <w:proofErr w:type="spellStart"/>
      <w:r w:rsidRPr="00A671BF">
        <w:rPr>
          <w:lang w:val="fr-FR"/>
        </w:rPr>
        <w:t>in</w:t>
      </w:r>
      <w:proofErr w:type="spellEnd"/>
      <w:r w:rsidRPr="00A671BF">
        <w:rPr>
          <w:lang w:val="fr-FR"/>
        </w:rPr>
        <w:t xml:space="preserve"> 1946.</w:t>
      </w:r>
    </w:p>
  </w:footnote>
  <w:footnote w:id="2">
    <w:p w:rsidR="00B353D6" w:rsidRPr="00A671BF" w:rsidRDefault="00B353D6" w:rsidP="0044602E">
      <w:pPr>
        <w:pStyle w:val="FootnoteText"/>
        <w:rPr>
          <w:bCs/>
        </w:rPr>
      </w:pPr>
      <w:r w:rsidRPr="00A671BF">
        <w:rPr>
          <w:rStyle w:val="FootnoteReference"/>
        </w:rPr>
        <w:footnoteRef/>
      </w:r>
      <w:r w:rsidRPr="00A671BF">
        <w:rPr>
          <w:bCs/>
        </w:rPr>
        <w:t xml:space="preserve"> </w:t>
      </w:r>
      <w:r w:rsidRPr="00A671BF">
        <w:t>For a discussion of how the peripheries (in the regions and overseas) shaped French policies at the centre before those same policies were transmitted back to the periphery, see, among others, Wilder (2005).</w:t>
      </w:r>
    </w:p>
  </w:footnote>
  <w:footnote w:id="3">
    <w:p w:rsidR="00B353D6" w:rsidRPr="00A671BF" w:rsidRDefault="00B353D6" w:rsidP="0044602E">
      <w:pPr>
        <w:pStyle w:val="FootnoteText"/>
      </w:pPr>
      <w:r w:rsidRPr="00A671BF">
        <w:rPr>
          <w:rStyle w:val="FootnoteReference"/>
        </w:rPr>
        <w:footnoteRef/>
      </w:r>
      <w:r w:rsidRPr="00A671BF">
        <w:t xml:space="preserve"> The only comprehensive work (</w:t>
      </w:r>
      <w:proofErr w:type="spellStart"/>
      <w:r w:rsidRPr="00A671BF">
        <w:t>Sareen</w:t>
      </w:r>
      <w:proofErr w:type="spellEnd"/>
      <w:r w:rsidRPr="00A671BF">
        <w:t>, 1979) is now somewhat dated.</w:t>
      </w:r>
    </w:p>
  </w:footnote>
  <w:footnote w:id="4">
    <w:p w:rsidR="00A35D60" w:rsidRPr="00A671BF" w:rsidRDefault="00A35D60">
      <w:pPr>
        <w:pStyle w:val="FootnoteText"/>
      </w:pPr>
      <w:r w:rsidRPr="00A671BF">
        <w:rPr>
          <w:rStyle w:val="FootnoteReference"/>
        </w:rPr>
        <w:footnoteRef/>
      </w:r>
      <w:r w:rsidRPr="00A671BF">
        <w:t xml:space="preserve"> Goebel (2016: 1458) alludes to the development of a ‘shadow diplomacy’.</w:t>
      </w:r>
    </w:p>
  </w:footnote>
  <w:footnote w:id="5">
    <w:p w:rsidR="00B353D6" w:rsidRPr="00A671BF" w:rsidRDefault="00B353D6">
      <w:pPr>
        <w:pStyle w:val="FootnoteText"/>
      </w:pPr>
      <w:r w:rsidRPr="00A671BF">
        <w:rPr>
          <w:rStyle w:val="FootnoteReference"/>
        </w:rPr>
        <w:footnoteRef/>
      </w:r>
      <w:r w:rsidRPr="00A671BF">
        <w:t xml:space="preserve"> The colonized peoples of the French empire had differing legal statuses depending on the territory in which they lived. Slaves of the ‘</w:t>
      </w:r>
      <w:proofErr w:type="spellStart"/>
      <w:r w:rsidRPr="00A671BF">
        <w:t>quatre</w:t>
      </w:r>
      <w:proofErr w:type="spellEnd"/>
      <w:r w:rsidRPr="00A671BF">
        <w:t xml:space="preserve"> </w:t>
      </w:r>
      <w:proofErr w:type="spellStart"/>
      <w:r w:rsidRPr="00A671BF">
        <w:t>vieilles</w:t>
      </w:r>
      <w:proofErr w:type="spellEnd"/>
      <w:r w:rsidRPr="00A671BF">
        <w:t xml:space="preserve"> colonies’ of Guadeloupe, Martinique, French Guiana and Réunion became citizens with the abolition of slavery in the French Empire in 1848, as did inhabitants of areas colonized under France’s first empire (the Quatre Communes of Senegal and the remnants of French India), although in the Quatre Communes and the Indian colonies their citizenship was ill-defined and contested. The ‘Code de </w:t>
      </w:r>
      <w:proofErr w:type="spellStart"/>
      <w:r w:rsidRPr="00A671BF">
        <w:t>l’Indigénat</w:t>
      </w:r>
      <w:proofErr w:type="spellEnd"/>
      <w:r w:rsidRPr="00A671BF">
        <w:t xml:space="preserve">’ (1881) ensured that Muslim Algerians were French subjects rather than citizens; peoples of France’s new colonial possessions of the nineteenth century, French West Africa, French Equatorial Africa and Indochina, were also, for the large part, subjects. A key consequence of this heterogeneous legal situation was that different groups of colonial migrants enjoyed different rights in France even if metropolitan authorities frequently lumped them together (Marsh, 2018: 6). </w:t>
      </w:r>
    </w:p>
  </w:footnote>
  <w:footnote w:id="6">
    <w:p w:rsidR="00B353D6" w:rsidRPr="00A671BF" w:rsidRDefault="00B353D6" w:rsidP="00A32572">
      <w:pPr>
        <w:rPr>
          <w:sz w:val="20"/>
          <w:szCs w:val="20"/>
        </w:rPr>
      </w:pPr>
      <w:r w:rsidRPr="00A671BF">
        <w:rPr>
          <w:rStyle w:val="FootnoteReference"/>
          <w:sz w:val="20"/>
          <w:szCs w:val="20"/>
        </w:rPr>
        <w:footnoteRef/>
      </w:r>
      <w:r w:rsidRPr="00A671BF">
        <w:rPr>
          <w:sz w:val="20"/>
          <w:szCs w:val="20"/>
        </w:rPr>
        <w:t xml:space="preserve"> </w:t>
      </w:r>
      <w:r w:rsidRPr="00A671BF">
        <w:rPr>
          <w:bCs/>
          <w:sz w:val="20"/>
          <w:szCs w:val="20"/>
        </w:rPr>
        <w:t xml:space="preserve">Records held in the IOR show detailed accounts of British officials putting pressure on the French government to stop the importation of </w:t>
      </w:r>
      <w:r w:rsidRPr="00A671BF">
        <w:rPr>
          <w:bCs/>
          <w:i/>
          <w:sz w:val="20"/>
          <w:szCs w:val="20"/>
        </w:rPr>
        <w:t>Vanguard</w:t>
      </w:r>
      <w:r w:rsidRPr="00A671BF">
        <w:rPr>
          <w:bCs/>
          <w:sz w:val="20"/>
          <w:szCs w:val="20"/>
        </w:rPr>
        <w:t xml:space="preserve"> into Pondicherry in 1925. In fact, documents at the CAOM show that the French had banned it already in 1923. </w:t>
      </w:r>
      <w:r w:rsidRPr="00A671BF">
        <w:rPr>
          <w:sz w:val="20"/>
          <w:szCs w:val="20"/>
        </w:rPr>
        <w:t xml:space="preserve">This evidence contradicts </w:t>
      </w:r>
      <w:proofErr w:type="spellStart"/>
      <w:r w:rsidRPr="00A671BF">
        <w:rPr>
          <w:sz w:val="20"/>
          <w:szCs w:val="20"/>
        </w:rPr>
        <w:t>Brückenhaus’s</w:t>
      </w:r>
      <w:proofErr w:type="spellEnd"/>
      <w:r w:rsidRPr="00A671BF">
        <w:rPr>
          <w:sz w:val="20"/>
          <w:szCs w:val="20"/>
        </w:rPr>
        <w:t xml:space="preserve"> assertions (</w:t>
      </w:r>
      <w:proofErr w:type="spellStart"/>
      <w:r w:rsidRPr="00A671BF">
        <w:rPr>
          <w:sz w:val="20"/>
          <w:szCs w:val="20"/>
        </w:rPr>
        <w:t>Brückenhaus</w:t>
      </w:r>
      <w:proofErr w:type="spellEnd"/>
      <w:r w:rsidRPr="00A671BF">
        <w:rPr>
          <w:sz w:val="20"/>
          <w:szCs w:val="20"/>
        </w:rPr>
        <w:t xml:space="preserve">, 2017: 184). </w:t>
      </w:r>
    </w:p>
  </w:footnote>
  <w:footnote w:id="7">
    <w:p w:rsidR="00B353D6" w:rsidRPr="00A671BF" w:rsidRDefault="00B353D6" w:rsidP="00526AED">
      <w:pPr>
        <w:pStyle w:val="FootnoteText"/>
      </w:pPr>
      <w:r w:rsidRPr="00A671BF">
        <w:rPr>
          <w:rStyle w:val="FootnoteReference"/>
        </w:rPr>
        <w:footnoteRef/>
      </w:r>
      <w:r w:rsidRPr="00A671BF">
        <w:t xml:space="preserve"> The </w:t>
      </w:r>
      <w:r w:rsidRPr="00A671BF">
        <w:rPr>
          <w:i/>
          <w:szCs w:val="22"/>
        </w:rPr>
        <w:t>gendarme</w:t>
      </w:r>
      <w:r w:rsidRPr="00A671BF">
        <w:t xml:space="preserve"> may have been acting in accordance with the established French–British agreement to return deserters to their ships. </w:t>
      </w:r>
    </w:p>
  </w:footnote>
  <w:footnote w:id="8">
    <w:p w:rsidR="00B353D6" w:rsidRPr="00A671BF" w:rsidRDefault="00B353D6">
      <w:pPr>
        <w:pStyle w:val="FootnoteText"/>
        <w:rPr>
          <w:bCs/>
          <w:i/>
          <w:iCs/>
          <w:lang w:val="fr-FR"/>
        </w:rPr>
      </w:pPr>
      <w:r w:rsidRPr="00A671BF">
        <w:rPr>
          <w:rStyle w:val="FootnoteReference"/>
        </w:rPr>
        <w:footnoteRef/>
      </w:r>
      <w:r w:rsidRPr="00A671BF">
        <w:rPr>
          <w:lang w:val="fr-FR"/>
        </w:rPr>
        <w:t xml:space="preserve"> </w:t>
      </w:r>
      <w:r w:rsidRPr="00A671BF">
        <w:rPr>
          <w:bCs/>
          <w:iCs/>
          <w:lang w:val="fr-FR"/>
        </w:rPr>
        <w:t>M. N. Roy to the ‘Ligue des Droits de l’Homme et du Citoyen’, 10 Mar</w:t>
      </w:r>
      <w:r w:rsidR="00B278BF" w:rsidRPr="00A671BF">
        <w:rPr>
          <w:bCs/>
          <w:iCs/>
          <w:lang w:val="fr-FR"/>
        </w:rPr>
        <w:t xml:space="preserve">ch </w:t>
      </w:r>
      <w:r w:rsidRPr="00A671BF">
        <w:rPr>
          <w:bCs/>
          <w:iCs/>
          <w:lang w:val="fr-FR"/>
        </w:rPr>
        <w:t xml:space="preserve">1925 (Roy, </w:t>
      </w:r>
      <w:proofErr w:type="gramStart"/>
      <w:r w:rsidRPr="00A671BF">
        <w:rPr>
          <w:bCs/>
          <w:iCs/>
          <w:lang w:val="fr-FR"/>
        </w:rPr>
        <w:t>1925:</w:t>
      </w:r>
      <w:proofErr w:type="gramEnd"/>
      <w:r w:rsidRPr="00A671BF">
        <w:rPr>
          <w:bCs/>
          <w:iCs/>
          <w:lang w:val="fr-FR"/>
        </w:rPr>
        <w:t xml:space="preserve"> 210). </w:t>
      </w:r>
    </w:p>
  </w:footnote>
  <w:footnote w:id="9">
    <w:p w:rsidR="00B353D6" w:rsidRPr="00A671BF" w:rsidRDefault="00B353D6">
      <w:pPr>
        <w:pStyle w:val="FootnoteText"/>
        <w:rPr>
          <w:lang w:val="fr-FR"/>
        </w:rPr>
      </w:pPr>
      <w:r w:rsidRPr="00A671BF">
        <w:rPr>
          <w:rStyle w:val="FootnoteReference"/>
        </w:rPr>
        <w:footnoteRef/>
      </w:r>
      <w:r w:rsidRPr="00A671BF">
        <w:rPr>
          <w:lang w:val="fr-FR"/>
        </w:rPr>
        <w:t xml:space="preserve"> Figures </w:t>
      </w:r>
      <w:proofErr w:type="spellStart"/>
      <w:r w:rsidRPr="00A671BF">
        <w:rPr>
          <w:lang w:val="fr-FR"/>
        </w:rPr>
        <w:t>calculated</w:t>
      </w:r>
      <w:proofErr w:type="spellEnd"/>
      <w:r w:rsidRPr="00A671BF">
        <w:rPr>
          <w:lang w:val="fr-FR"/>
        </w:rPr>
        <w:t xml:space="preserve"> </w:t>
      </w:r>
      <w:proofErr w:type="spellStart"/>
      <w:r w:rsidRPr="00A671BF">
        <w:rPr>
          <w:lang w:val="fr-FR"/>
        </w:rPr>
        <w:t>using</w:t>
      </w:r>
      <w:proofErr w:type="spellEnd"/>
      <w:r w:rsidRPr="00A671BF">
        <w:rPr>
          <w:lang w:val="fr-FR"/>
        </w:rPr>
        <w:t xml:space="preserve"> the </w:t>
      </w:r>
      <w:proofErr w:type="spellStart"/>
      <w:r w:rsidRPr="00A671BF">
        <w:rPr>
          <w:lang w:val="fr-FR"/>
        </w:rPr>
        <w:t>complete</w:t>
      </w:r>
      <w:proofErr w:type="spellEnd"/>
      <w:r w:rsidRPr="00A671BF">
        <w:rPr>
          <w:lang w:val="fr-FR"/>
        </w:rPr>
        <w:t xml:space="preserve"> files of BA 2184 (Archives de la Préfecture de Police) and L/P&amp;J/12/219 (</w:t>
      </w:r>
      <w:proofErr w:type="spellStart"/>
      <w:r w:rsidRPr="00A671BF">
        <w:rPr>
          <w:lang w:val="fr-FR"/>
        </w:rPr>
        <w:t>India</w:t>
      </w:r>
      <w:proofErr w:type="spellEnd"/>
      <w:r w:rsidRPr="00A671BF">
        <w:rPr>
          <w:lang w:val="fr-FR"/>
        </w:rPr>
        <w:t xml:space="preserve"> Office Records).</w:t>
      </w:r>
    </w:p>
  </w:footnote>
  <w:footnote w:id="10">
    <w:p w:rsidR="00B353D6" w:rsidRPr="00A671BF" w:rsidRDefault="00B353D6" w:rsidP="00F541D6">
      <w:pPr>
        <w:pStyle w:val="FootnoteText"/>
      </w:pPr>
      <w:r w:rsidRPr="00A671BF">
        <w:rPr>
          <w:rStyle w:val="FootnoteReference"/>
        </w:rPr>
        <w:footnoteRef/>
      </w:r>
      <w:r w:rsidRPr="00A671BF">
        <w:t xml:space="preserve"> Figures calculated using </w:t>
      </w:r>
      <w:proofErr w:type="spellStart"/>
      <w:r w:rsidRPr="00A671BF">
        <w:t>Liauzu’s</w:t>
      </w:r>
      <w:proofErr w:type="spellEnd"/>
      <w:r w:rsidRPr="00A671BF">
        <w:t xml:space="preserve"> database of articles (1982: 72–74). </w:t>
      </w:r>
    </w:p>
  </w:footnote>
  <w:footnote w:id="11">
    <w:p w:rsidR="00B353D6" w:rsidRPr="00EB5192" w:rsidRDefault="00B353D6" w:rsidP="00B1117B">
      <w:pPr>
        <w:spacing w:line="220" w:lineRule="exact"/>
        <w:rPr>
          <w:sz w:val="20"/>
          <w:szCs w:val="20"/>
        </w:rPr>
      </w:pPr>
      <w:r w:rsidRPr="00A671BF">
        <w:rPr>
          <w:rStyle w:val="FootnoteReference"/>
          <w:sz w:val="20"/>
          <w:szCs w:val="20"/>
        </w:rPr>
        <w:footnoteRef/>
      </w:r>
      <w:r w:rsidRPr="00A671BF">
        <w:rPr>
          <w:sz w:val="20"/>
          <w:szCs w:val="20"/>
        </w:rPr>
        <w:t xml:space="preserve"> In the second volume of her autobiography, Simone de Beauvoir describes the euphoria among the French left in autumn 1929, when Gandhi’s campaigns of civil disobedience in India appeared to signal the end of European colonial empires (1960: 22).</w:t>
      </w:r>
      <w:r w:rsidRPr="00EB5192">
        <w:rPr>
          <w:sz w:val="20"/>
          <w:szCs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C63"/>
    <w:rsid w:val="000060C0"/>
    <w:rsid w:val="0000612E"/>
    <w:rsid w:val="00011B5F"/>
    <w:rsid w:val="00012CAF"/>
    <w:rsid w:val="0001430E"/>
    <w:rsid w:val="00017BC1"/>
    <w:rsid w:val="00021766"/>
    <w:rsid w:val="0003077F"/>
    <w:rsid w:val="0003589C"/>
    <w:rsid w:val="00037A77"/>
    <w:rsid w:val="000416B5"/>
    <w:rsid w:val="00041EB4"/>
    <w:rsid w:val="00051835"/>
    <w:rsid w:val="000564CA"/>
    <w:rsid w:val="00056BD4"/>
    <w:rsid w:val="000579A7"/>
    <w:rsid w:val="000601B7"/>
    <w:rsid w:val="00061752"/>
    <w:rsid w:val="00061F88"/>
    <w:rsid w:val="00062C90"/>
    <w:rsid w:val="00064861"/>
    <w:rsid w:val="000659AE"/>
    <w:rsid w:val="00065A95"/>
    <w:rsid w:val="000665C0"/>
    <w:rsid w:val="0007023D"/>
    <w:rsid w:val="000711D6"/>
    <w:rsid w:val="00071651"/>
    <w:rsid w:val="00073F42"/>
    <w:rsid w:val="00076226"/>
    <w:rsid w:val="000763F4"/>
    <w:rsid w:val="000776FD"/>
    <w:rsid w:val="00081431"/>
    <w:rsid w:val="00081513"/>
    <w:rsid w:val="000829A8"/>
    <w:rsid w:val="00085FAA"/>
    <w:rsid w:val="0008600B"/>
    <w:rsid w:val="000907E5"/>
    <w:rsid w:val="00091209"/>
    <w:rsid w:val="00094992"/>
    <w:rsid w:val="00094A41"/>
    <w:rsid w:val="00095A04"/>
    <w:rsid w:val="000A00B3"/>
    <w:rsid w:val="000A0382"/>
    <w:rsid w:val="000A207E"/>
    <w:rsid w:val="000A6B61"/>
    <w:rsid w:val="000B1506"/>
    <w:rsid w:val="000B2AC4"/>
    <w:rsid w:val="000B3B45"/>
    <w:rsid w:val="000B6E5D"/>
    <w:rsid w:val="000C0B66"/>
    <w:rsid w:val="000C7BBF"/>
    <w:rsid w:val="000D45D7"/>
    <w:rsid w:val="000D7B85"/>
    <w:rsid w:val="000E1B69"/>
    <w:rsid w:val="000E270A"/>
    <w:rsid w:val="000E2FE3"/>
    <w:rsid w:val="000E5566"/>
    <w:rsid w:val="000E75D3"/>
    <w:rsid w:val="000F0598"/>
    <w:rsid w:val="000F0C4C"/>
    <w:rsid w:val="000F55D7"/>
    <w:rsid w:val="000F6941"/>
    <w:rsid w:val="000F70E7"/>
    <w:rsid w:val="000F7D6F"/>
    <w:rsid w:val="00100024"/>
    <w:rsid w:val="00102F9E"/>
    <w:rsid w:val="0010465F"/>
    <w:rsid w:val="001102DD"/>
    <w:rsid w:val="00111D18"/>
    <w:rsid w:val="00116E25"/>
    <w:rsid w:val="001213A9"/>
    <w:rsid w:val="001225D6"/>
    <w:rsid w:val="00124B56"/>
    <w:rsid w:val="00125554"/>
    <w:rsid w:val="00125919"/>
    <w:rsid w:val="00130766"/>
    <w:rsid w:val="00132E9A"/>
    <w:rsid w:val="00135C1E"/>
    <w:rsid w:val="001403DC"/>
    <w:rsid w:val="00143699"/>
    <w:rsid w:val="00143B40"/>
    <w:rsid w:val="00144C95"/>
    <w:rsid w:val="00144E3A"/>
    <w:rsid w:val="00147237"/>
    <w:rsid w:val="0015023A"/>
    <w:rsid w:val="00151AFF"/>
    <w:rsid w:val="00152A58"/>
    <w:rsid w:val="00155F69"/>
    <w:rsid w:val="00156DCF"/>
    <w:rsid w:val="00156F72"/>
    <w:rsid w:val="00157A71"/>
    <w:rsid w:val="00161740"/>
    <w:rsid w:val="001619DE"/>
    <w:rsid w:val="00163BB9"/>
    <w:rsid w:val="001640AE"/>
    <w:rsid w:val="00165EAD"/>
    <w:rsid w:val="00166E5C"/>
    <w:rsid w:val="00167B2C"/>
    <w:rsid w:val="00171E7E"/>
    <w:rsid w:val="00173641"/>
    <w:rsid w:val="001775CF"/>
    <w:rsid w:val="0019197C"/>
    <w:rsid w:val="00191F7C"/>
    <w:rsid w:val="00192595"/>
    <w:rsid w:val="001930AC"/>
    <w:rsid w:val="00195084"/>
    <w:rsid w:val="001A3278"/>
    <w:rsid w:val="001A46C8"/>
    <w:rsid w:val="001B0CB9"/>
    <w:rsid w:val="001B3BCB"/>
    <w:rsid w:val="001B449B"/>
    <w:rsid w:val="001B45B4"/>
    <w:rsid w:val="001C0972"/>
    <w:rsid w:val="001C0AFA"/>
    <w:rsid w:val="001C2F37"/>
    <w:rsid w:val="001C3F91"/>
    <w:rsid w:val="001C40BD"/>
    <w:rsid w:val="001C425D"/>
    <w:rsid w:val="001D6541"/>
    <w:rsid w:val="001D6EE5"/>
    <w:rsid w:val="001E01BD"/>
    <w:rsid w:val="001E66A8"/>
    <w:rsid w:val="001F0267"/>
    <w:rsid w:val="001F65AF"/>
    <w:rsid w:val="001F78E4"/>
    <w:rsid w:val="0020073F"/>
    <w:rsid w:val="00202643"/>
    <w:rsid w:val="00203263"/>
    <w:rsid w:val="002049D1"/>
    <w:rsid w:val="00205B56"/>
    <w:rsid w:val="00205F23"/>
    <w:rsid w:val="002102B5"/>
    <w:rsid w:val="00212F5F"/>
    <w:rsid w:val="002154AF"/>
    <w:rsid w:val="00217CB1"/>
    <w:rsid w:val="0022073B"/>
    <w:rsid w:val="00220E4C"/>
    <w:rsid w:val="0022426B"/>
    <w:rsid w:val="00225954"/>
    <w:rsid w:val="002272B1"/>
    <w:rsid w:val="00227B47"/>
    <w:rsid w:val="00231A14"/>
    <w:rsid w:val="00231A82"/>
    <w:rsid w:val="00235D22"/>
    <w:rsid w:val="00237DD0"/>
    <w:rsid w:val="0025028D"/>
    <w:rsid w:val="002503A2"/>
    <w:rsid w:val="00252829"/>
    <w:rsid w:val="002529A4"/>
    <w:rsid w:val="002543E9"/>
    <w:rsid w:val="00261ED6"/>
    <w:rsid w:val="002632ED"/>
    <w:rsid w:val="00267442"/>
    <w:rsid w:val="00267C4D"/>
    <w:rsid w:val="0027074D"/>
    <w:rsid w:val="00271F98"/>
    <w:rsid w:val="00274239"/>
    <w:rsid w:val="00291B82"/>
    <w:rsid w:val="00292C99"/>
    <w:rsid w:val="00297F3E"/>
    <w:rsid w:val="002A03F9"/>
    <w:rsid w:val="002A15C3"/>
    <w:rsid w:val="002A544A"/>
    <w:rsid w:val="002B105E"/>
    <w:rsid w:val="002B24D5"/>
    <w:rsid w:val="002B2A88"/>
    <w:rsid w:val="002B600D"/>
    <w:rsid w:val="002B7DE1"/>
    <w:rsid w:val="002C3203"/>
    <w:rsid w:val="002C5362"/>
    <w:rsid w:val="002D074C"/>
    <w:rsid w:val="002D07A5"/>
    <w:rsid w:val="002D0B1D"/>
    <w:rsid w:val="002D0B84"/>
    <w:rsid w:val="002D16AA"/>
    <w:rsid w:val="002D2B2A"/>
    <w:rsid w:val="002D307C"/>
    <w:rsid w:val="002E0A3D"/>
    <w:rsid w:val="002E0EDC"/>
    <w:rsid w:val="002E1B92"/>
    <w:rsid w:val="002E4409"/>
    <w:rsid w:val="002E6B29"/>
    <w:rsid w:val="002F6FC6"/>
    <w:rsid w:val="00303226"/>
    <w:rsid w:val="00310CF6"/>
    <w:rsid w:val="00310D62"/>
    <w:rsid w:val="00314669"/>
    <w:rsid w:val="00316085"/>
    <w:rsid w:val="00322175"/>
    <w:rsid w:val="0032607E"/>
    <w:rsid w:val="00327CA5"/>
    <w:rsid w:val="003326B0"/>
    <w:rsid w:val="00332DF4"/>
    <w:rsid w:val="003407A7"/>
    <w:rsid w:val="00340C4D"/>
    <w:rsid w:val="00341294"/>
    <w:rsid w:val="003438DA"/>
    <w:rsid w:val="003511BD"/>
    <w:rsid w:val="00353019"/>
    <w:rsid w:val="003533FD"/>
    <w:rsid w:val="003535F3"/>
    <w:rsid w:val="00354503"/>
    <w:rsid w:val="00354C6E"/>
    <w:rsid w:val="003574EF"/>
    <w:rsid w:val="00363A9F"/>
    <w:rsid w:val="00364AA5"/>
    <w:rsid w:val="0036722E"/>
    <w:rsid w:val="00380302"/>
    <w:rsid w:val="00381E15"/>
    <w:rsid w:val="00382C63"/>
    <w:rsid w:val="0038553C"/>
    <w:rsid w:val="0038784E"/>
    <w:rsid w:val="003909DF"/>
    <w:rsid w:val="00394D35"/>
    <w:rsid w:val="00396B7A"/>
    <w:rsid w:val="003A4D0E"/>
    <w:rsid w:val="003A6DB8"/>
    <w:rsid w:val="003B062E"/>
    <w:rsid w:val="003B1EA2"/>
    <w:rsid w:val="003B3D8B"/>
    <w:rsid w:val="003B72B5"/>
    <w:rsid w:val="003C2C6E"/>
    <w:rsid w:val="003C4F95"/>
    <w:rsid w:val="003C52C6"/>
    <w:rsid w:val="003D4DF5"/>
    <w:rsid w:val="003D6BC7"/>
    <w:rsid w:val="003E012E"/>
    <w:rsid w:val="003E2E41"/>
    <w:rsid w:val="003E4D69"/>
    <w:rsid w:val="003E66BD"/>
    <w:rsid w:val="003F13ED"/>
    <w:rsid w:val="003F244D"/>
    <w:rsid w:val="003F2B31"/>
    <w:rsid w:val="003F32BE"/>
    <w:rsid w:val="003F7070"/>
    <w:rsid w:val="003F7B1B"/>
    <w:rsid w:val="00400FE0"/>
    <w:rsid w:val="0040233D"/>
    <w:rsid w:val="00404231"/>
    <w:rsid w:val="004050C1"/>
    <w:rsid w:val="004064F8"/>
    <w:rsid w:val="0041019F"/>
    <w:rsid w:val="00410A48"/>
    <w:rsid w:val="00413FFD"/>
    <w:rsid w:val="00414378"/>
    <w:rsid w:val="00415217"/>
    <w:rsid w:val="004157F7"/>
    <w:rsid w:val="004208BE"/>
    <w:rsid w:val="00420B95"/>
    <w:rsid w:val="00426097"/>
    <w:rsid w:val="0042613F"/>
    <w:rsid w:val="00430B31"/>
    <w:rsid w:val="0043402A"/>
    <w:rsid w:val="00435D17"/>
    <w:rsid w:val="004409E8"/>
    <w:rsid w:val="00440C45"/>
    <w:rsid w:val="00440CAC"/>
    <w:rsid w:val="004414EA"/>
    <w:rsid w:val="004429A8"/>
    <w:rsid w:val="004453F0"/>
    <w:rsid w:val="00445F16"/>
    <w:rsid w:val="0044602E"/>
    <w:rsid w:val="00446E3C"/>
    <w:rsid w:val="00447FB4"/>
    <w:rsid w:val="0045237A"/>
    <w:rsid w:val="00453E06"/>
    <w:rsid w:val="00454A34"/>
    <w:rsid w:val="0046098D"/>
    <w:rsid w:val="004609FA"/>
    <w:rsid w:val="004625BF"/>
    <w:rsid w:val="00464FAC"/>
    <w:rsid w:val="00472DA1"/>
    <w:rsid w:val="00480535"/>
    <w:rsid w:val="004806D9"/>
    <w:rsid w:val="00481D54"/>
    <w:rsid w:val="004834D9"/>
    <w:rsid w:val="00486AAF"/>
    <w:rsid w:val="00491BF2"/>
    <w:rsid w:val="00495701"/>
    <w:rsid w:val="00497E79"/>
    <w:rsid w:val="004A2D1D"/>
    <w:rsid w:val="004A2E9A"/>
    <w:rsid w:val="004A3E03"/>
    <w:rsid w:val="004A535F"/>
    <w:rsid w:val="004A6E6F"/>
    <w:rsid w:val="004A76A8"/>
    <w:rsid w:val="004C2733"/>
    <w:rsid w:val="004C2F5D"/>
    <w:rsid w:val="004C32B8"/>
    <w:rsid w:val="004C381B"/>
    <w:rsid w:val="004C6FF0"/>
    <w:rsid w:val="004D1972"/>
    <w:rsid w:val="004D2D50"/>
    <w:rsid w:val="004D36C0"/>
    <w:rsid w:val="004D5DAA"/>
    <w:rsid w:val="004E2CD9"/>
    <w:rsid w:val="004E3581"/>
    <w:rsid w:val="004E3D5F"/>
    <w:rsid w:val="004E4B04"/>
    <w:rsid w:val="004F2A4D"/>
    <w:rsid w:val="004F4597"/>
    <w:rsid w:val="004F75E5"/>
    <w:rsid w:val="00501EF2"/>
    <w:rsid w:val="00503C36"/>
    <w:rsid w:val="00504544"/>
    <w:rsid w:val="00506D92"/>
    <w:rsid w:val="00510E96"/>
    <w:rsid w:val="0051260A"/>
    <w:rsid w:val="005158DA"/>
    <w:rsid w:val="00520489"/>
    <w:rsid w:val="005204FA"/>
    <w:rsid w:val="00524165"/>
    <w:rsid w:val="00524D7A"/>
    <w:rsid w:val="005258E6"/>
    <w:rsid w:val="00526AED"/>
    <w:rsid w:val="005279C8"/>
    <w:rsid w:val="005336CE"/>
    <w:rsid w:val="005346AC"/>
    <w:rsid w:val="00534782"/>
    <w:rsid w:val="00534F95"/>
    <w:rsid w:val="0053554A"/>
    <w:rsid w:val="00535A49"/>
    <w:rsid w:val="00542E22"/>
    <w:rsid w:val="00542E95"/>
    <w:rsid w:val="00546862"/>
    <w:rsid w:val="00546B81"/>
    <w:rsid w:val="0054769D"/>
    <w:rsid w:val="005519B9"/>
    <w:rsid w:val="00551B46"/>
    <w:rsid w:val="00551C98"/>
    <w:rsid w:val="00552A17"/>
    <w:rsid w:val="005534CA"/>
    <w:rsid w:val="0056178A"/>
    <w:rsid w:val="00561927"/>
    <w:rsid w:val="00563402"/>
    <w:rsid w:val="0056388B"/>
    <w:rsid w:val="00563920"/>
    <w:rsid w:val="0057099C"/>
    <w:rsid w:val="0057137E"/>
    <w:rsid w:val="00571D91"/>
    <w:rsid w:val="005723F6"/>
    <w:rsid w:val="00574492"/>
    <w:rsid w:val="005817DA"/>
    <w:rsid w:val="005824B4"/>
    <w:rsid w:val="005841EE"/>
    <w:rsid w:val="00585D2E"/>
    <w:rsid w:val="005876C6"/>
    <w:rsid w:val="005955E8"/>
    <w:rsid w:val="00597825"/>
    <w:rsid w:val="005A148A"/>
    <w:rsid w:val="005A53C5"/>
    <w:rsid w:val="005A72AC"/>
    <w:rsid w:val="005A7B40"/>
    <w:rsid w:val="005B0716"/>
    <w:rsid w:val="005B1FAC"/>
    <w:rsid w:val="005B4B1B"/>
    <w:rsid w:val="005D6321"/>
    <w:rsid w:val="005E2AF8"/>
    <w:rsid w:val="005E58CA"/>
    <w:rsid w:val="005F20C9"/>
    <w:rsid w:val="005F2B76"/>
    <w:rsid w:val="005F35CA"/>
    <w:rsid w:val="005F7A5B"/>
    <w:rsid w:val="00601613"/>
    <w:rsid w:val="006079B1"/>
    <w:rsid w:val="00610C0D"/>
    <w:rsid w:val="006115E5"/>
    <w:rsid w:val="006131B1"/>
    <w:rsid w:val="00613CB8"/>
    <w:rsid w:val="00615ECF"/>
    <w:rsid w:val="0061688D"/>
    <w:rsid w:val="00617C60"/>
    <w:rsid w:val="00621514"/>
    <w:rsid w:val="00625468"/>
    <w:rsid w:val="00626E64"/>
    <w:rsid w:val="00632050"/>
    <w:rsid w:val="00632A2A"/>
    <w:rsid w:val="0064111F"/>
    <w:rsid w:val="00641F10"/>
    <w:rsid w:val="0064327A"/>
    <w:rsid w:val="00643604"/>
    <w:rsid w:val="00644460"/>
    <w:rsid w:val="00645A48"/>
    <w:rsid w:val="00646282"/>
    <w:rsid w:val="00647C7D"/>
    <w:rsid w:val="00653100"/>
    <w:rsid w:val="006538B7"/>
    <w:rsid w:val="0065654E"/>
    <w:rsid w:val="00656F50"/>
    <w:rsid w:val="006610ED"/>
    <w:rsid w:val="006637EA"/>
    <w:rsid w:val="00663CA9"/>
    <w:rsid w:val="006644AA"/>
    <w:rsid w:val="006645A2"/>
    <w:rsid w:val="006668EB"/>
    <w:rsid w:val="006678CD"/>
    <w:rsid w:val="006701D7"/>
    <w:rsid w:val="00672C10"/>
    <w:rsid w:val="006732BE"/>
    <w:rsid w:val="006802B9"/>
    <w:rsid w:val="006845FD"/>
    <w:rsid w:val="0068466C"/>
    <w:rsid w:val="006849B7"/>
    <w:rsid w:val="00685A41"/>
    <w:rsid w:val="00686C4F"/>
    <w:rsid w:val="00693E73"/>
    <w:rsid w:val="0069658C"/>
    <w:rsid w:val="00697654"/>
    <w:rsid w:val="006A54EE"/>
    <w:rsid w:val="006A64C5"/>
    <w:rsid w:val="006B0019"/>
    <w:rsid w:val="006B018E"/>
    <w:rsid w:val="006B0958"/>
    <w:rsid w:val="006B375E"/>
    <w:rsid w:val="006C0AED"/>
    <w:rsid w:val="006C1386"/>
    <w:rsid w:val="006C3172"/>
    <w:rsid w:val="006C5F5A"/>
    <w:rsid w:val="006C6B0F"/>
    <w:rsid w:val="006D1AA4"/>
    <w:rsid w:val="006E077E"/>
    <w:rsid w:val="006E0B5A"/>
    <w:rsid w:val="006E4F92"/>
    <w:rsid w:val="006F058A"/>
    <w:rsid w:val="006F3111"/>
    <w:rsid w:val="006F3BD4"/>
    <w:rsid w:val="006F6343"/>
    <w:rsid w:val="0070018E"/>
    <w:rsid w:val="0070123C"/>
    <w:rsid w:val="00706429"/>
    <w:rsid w:val="00706B59"/>
    <w:rsid w:val="00706F1D"/>
    <w:rsid w:val="0071122B"/>
    <w:rsid w:val="007119DA"/>
    <w:rsid w:val="0071475B"/>
    <w:rsid w:val="0071596B"/>
    <w:rsid w:val="00716E1A"/>
    <w:rsid w:val="00721379"/>
    <w:rsid w:val="00722C52"/>
    <w:rsid w:val="00725004"/>
    <w:rsid w:val="0072583B"/>
    <w:rsid w:val="00727411"/>
    <w:rsid w:val="00733FF4"/>
    <w:rsid w:val="00734FE4"/>
    <w:rsid w:val="00737E89"/>
    <w:rsid w:val="00740BC6"/>
    <w:rsid w:val="00742061"/>
    <w:rsid w:val="007437E8"/>
    <w:rsid w:val="00744DBB"/>
    <w:rsid w:val="00750871"/>
    <w:rsid w:val="007539ED"/>
    <w:rsid w:val="00763BEC"/>
    <w:rsid w:val="007653BD"/>
    <w:rsid w:val="007666B0"/>
    <w:rsid w:val="00766C26"/>
    <w:rsid w:val="00766E75"/>
    <w:rsid w:val="007716A8"/>
    <w:rsid w:val="00771E35"/>
    <w:rsid w:val="00773EA0"/>
    <w:rsid w:val="00775329"/>
    <w:rsid w:val="00777AD0"/>
    <w:rsid w:val="007808C2"/>
    <w:rsid w:val="007823D8"/>
    <w:rsid w:val="007829E0"/>
    <w:rsid w:val="00783E40"/>
    <w:rsid w:val="00784323"/>
    <w:rsid w:val="00784B94"/>
    <w:rsid w:val="00790BB9"/>
    <w:rsid w:val="00790C70"/>
    <w:rsid w:val="007918FA"/>
    <w:rsid w:val="0079210B"/>
    <w:rsid w:val="00792120"/>
    <w:rsid w:val="007959D9"/>
    <w:rsid w:val="007960DB"/>
    <w:rsid w:val="007965E0"/>
    <w:rsid w:val="0079664D"/>
    <w:rsid w:val="007A568D"/>
    <w:rsid w:val="007A6EE2"/>
    <w:rsid w:val="007B11FA"/>
    <w:rsid w:val="007B261C"/>
    <w:rsid w:val="007C0C63"/>
    <w:rsid w:val="007C3F15"/>
    <w:rsid w:val="007C56A4"/>
    <w:rsid w:val="007C6CBE"/>
    <w:rsid w:val="007D6838"/>
    <w:rsid w:val="007E3767"/>
    <w:rsid w:val="007F3ED7"/>
    <w:rsid w:val="007F4BC6"/>
    <w:rsid w:val="007F75E0"/>
    <w:rsid w:val="00803459"/>
    <w:rsid w:val="008064BB"/>
    <w:rsid w:val="00806836"/>
    <w:rsid w:val="0081109A"/>
    <w:rsid w:val="00813F85"/>
    <w:rsid w:val="008165A2"/>
    <w:rsid w:val="00821460"/>
    <w:rsid w:val="0082368F"/>
    <w:rsid w:val="00823D17"/>
    <w:rsid w:val="0082499D"/>
    <w:rsid w:val="00824BBD"/>
    <w:rsid w:val="00825E55"/>
    <w:rsid w:val="00827061"/>
    <w:rsid w:val="00830CC2"/>
    <w:rsid w:val="00830F23"/>
    <w:rsid w:val="0083122B"/>
    <w:rsid w:val="00832775"/>
    <w:rsid w:val="00832DAD"/>
    <w:rsid w:val="008337D1"/>
    <w:rsid w:val="0083409A"/>
    <w:rsid w:val="0083714F"/>
    <w:rsid w:val="0083732E"/>
    <w:rsid w:val="008377B3"/>
    <w:rsid w:val="00840952"/>
    <w:rsid w:val="00841B3E"/>
    <w:rsid w:val="00844969"/>
    <w:rsid w:val="0084612D"/>
    <w:rsid w:val="00847BC8"/>
    <w:rsid w:val="00851004"/>
    <w:rsid w:val="008512AE"/>
    <w:rsid w:val="00857E99"/>
    <w:rsid w:val="00864B77"/>
    <w:rsid w:val="00865F69"/>
    <w:rsid w:val="00867B5D"/>
    <w:rsid w:val="00867C26"/>
    <w:rsid w:val="00870DC3"/>
    <w:rsid w:val="00873822"/>
    <w:rsid w:val="008749FF"/>
    <w:rsid w:val="00874C1E"/>
    <w:rsid w:val="00877997"/>
    <w:rsid w:val="0088083C"/>
    <w:rsid w:val="00882BDA"/>
    <w:rsid w:val="00883414"/>
    <w:rsid w:val="00890785"/>
    <w:rsid w:val="00897569"/>
    <w:rsid w:val="008A177B"/>
    <w:rsid w:val="008A1890"/>
    <w:rsid w:val="008A1AB1"/>
    <w:rsid w:val="008A2B21"/>
    <w:rsid w:val="008A64AB"/>
    <w:rsid w:val="008A71B6"/>
    <w:rsid w:val="008B0579"/>
    <w:rsid w:val="008B0B9B"/>
    <w:rsid w:val="008B27DA"/>
    <w:rsid w:val="008B2885"/>
    <w:rsid w:val="008B5066"/>
    <w:rsid w:val="008B66AC"/>
    <w:rsid w:val="008C062A"/>
    <w:rsid w:val="008C1F19"/>
    <w:rsid w:val="008C353B"/>
    <w:rsid w:val="008C5BD7"/>
    <w:rsid w:val="008C752D"/>
    <w:rsid w:val="008D105B"/>
    <w:rsid w:val="008D3544"/>
    <w:rsid w:val="008D6167"/>
    <w:rsid w:val="008E2CB5"/>
    <w:rsid w:val="008E475B"/>
    <w:rsid w:val="008E787F"/>
    <w:rsid w:val="008E7899"/>
    <w:rsid w:val="008F14B3"/>
    <w:rsid w:val="008F2673"/>
    <w:rsid w:val="008F29FD"/>
    <w:rsid w:val="008F536C"/>
    <w:rsid w:val="008F7133"/>
    <w:rsid w:val="00904C09"/>
    <w:rsid w:val="009056F4"/>
    <w:rsid w:val="00906A15"/>
    <w:rsid w:val="009075A0"/>
    <w:rsid w:val="009104F6"/>
    <w:rsid w:val="00911F6F"/>
    <w:rsid w:val="009124F6"/>
    <w:rsid w:val="00912909"/>
    <w:rsid w:val="00916884"/>
    <w:rsid w:val="00917414"/>
    <w:rsid w:val="00922EF6"/>
    <w:rsid w:val="00923581"/>
    <w:rsid w:val="0092408F"/>
    <w:rsid w:val="009257E1"/>
    <w:rsid w:val="009325AB"/>
    <w:rsid w:val="009327E4"/>
    <w:rsid w:val="00933F0F"/>
    <w:rsid w:val="00937D9D"/>
    <w:rsid w:val="00943B00"/>
    <w:rsid w:val="00943F9C"/>
    <w:rsid w:val="00945A51"/>
    <w:rsid w:val="00950EEE"/>
    <w:rsid w:val="009518BC"/>
    <w:rsid w:val="00956122"/>
    <w:rsid w:val="00957855"/>
    <w:rsid w:val="00963423"/>
    <w:rsid w:val="00964344"/>
    <w:rsid w:val="00966330"/>
    <w:rsid w:val="009665E4"/>
    <w:rsid w:val="00966E85"/>
    <w:rsid w:val="009702DA"/>
    <w:rsid w:val="00980F69"/>
    <w:rsid w:val="00981CD2"/>
    <w:rsid w:val="00984F91"/>
    <w:rsid w:val="0098788F"/>
    <w:rsid w:val="009912CF"/>
    <w:rsid w:val="00993B2C"/>
    <w:rsid w:val="009959E8"/>
    <w:rsid w:val="009A09E4"/>
    <w:rsid w:val="009A0F9E"/>
    <w:rsid w:val="009A11DE"/>
    <w:rsid w:val="009A4F93"/>
    <w:rsid w:val="009A60B3"/>
    <w:rsid w:val="009B0F37"/>
    <w:rsid w:val="009B18AD"/>
    <w:rsid w:val="009C0D8B"/>
    <w:rsid w:val="009C346D"/>
    <w:rsid w:val="009C5E85"/>
    <w:rsid w:val="009C7046"/>
    <w:rsid w:val="009C7D12"/>
    <w:rsid w:val="009D4499"/>
    <w:rsid w:val="009D5275"/>
    <w:rsid w:val="009D6921"/>
    <w:rsid w:val="009D6B40"/>
    <w:rsid w:val="009E0A2A"/>
    <w:rsid w:val="009E1841"/>
    <w:rsid w:val="009E2E23"/>
    <w:rsid w:val="009E30F2"/>
    <w:rsid w:val="009E48B1"/>
    <w:rsid w:val="009E7433"/>
    <w:rsid w:val="009F21F4"/>
    <w:rsid w:val="009F2714"/>
    <w:rsid w:val="009F2A6C"/>
    <w:rsid w:val="009F419D"/>
    <w:rsid w:val="009F49DF"/>
    <w:rsid w:val="009F5C03"/>
    <w:rsid w:val="009F5C8E"/>
    <w:rsid w:val="00A01189"/>
    <w:rsid w:val="00A02426"/>
    <w:rsid w:val="00A11C1E"/>
    <w:rsid w:val="00A159A1"/>
    <w:rsid w:val="00A163CF"/>
    <w:rsid w:val="00A16A97"/>
    <w:rsid w:val="00A174C4"/>
    <w:rsid w:val="00A20E40"/>
    <w:rsid w:val="00A22725"/>
    <w:rsid w:val="00A2385A"/>
    <w:rsid w:val="00A24F34"/>
    <w:rsid w:val="00A270D2"/>
    <w:rsid w:val="00A30101"/>
    <w:rsid w:val="00A31BDE"/>
    <w:rsid w:val="00A31D78"/>
    <w:rsid w:val="00A32572"/>
    <w:rsid w:val="00A32785"/>
    <w:rsid w:val="00A34BC2"/>
    <w:rsid w:val="00A35BAD"/>
    <w:rsid w:val="00A35D60"/>
    <w:rsid w:val="00A361B5"/>
    <w:rsid w:val="00A36843"/>
    <w:rsid w:val="00A36DF4"/>
    <w:rsid w:val="00A37C2D"/>
    <w:rsid w:val="00A4098B"/>
    <w:rsid w:val="00A429AA"/>
    <w:rsid w:val="00A475B2"/>
    <w:rsid w:val="00A50CE8"/>
    <w:rsid w:val="00A527A0"/>
    <w:rsid w:val="00A5288E"/>
    <w:rsid w:val="00A570CD"/>
    <w:rsid w:val="00A5791B"/>
    <w:rsid w:val="00A60126"/>
    <w:rsid w:val="00A60DEE"/>
    <w:rsid w:val="00A633CB"/>
    <w:rsid w:val="00A63626"/>
    <w:rsid w:val="00A671BF"/>
    <w:rsid w:val="00A70817"/>
    <w:rsid w:val="00A72D36"/>
    <w:rsid w:val="00A73196"/>
    <w:rsid w:val="00A75852"/>
    <w:rsid w:val="00A82D79"/>
    <w:rsid w:val="00A87CD8"/>
    <w:rsid w:val="00A9028C"/>
    <w:rsid w:val="00A92458"/>
    <w:rsid w:val="00A93493"/>
    <w:rsid w:val="00A95984"/>
    <w:rsid w:val="00A96307"/>
    <w:rsid w:val="00A96BC9"/>
    <w:rsid w:val="00A97D8A"/>
    <w:rsid w:val="00AA3393"/>
    <w:rsid w:val="00AA37C4"/>
    <w:rsid w:val="00AA611A"/>
    <w:rsid w:val="00AA71D1"/>
    <w:rsid w:val="00AA7719"/>
    <w:rsid w:val="00AB0F44"/>
    <w:rsid w:val="00AB3F3B"/>
    <w:rsid w:val="00AB63F5"/>
    <w:rsid w:val="00AB6F1A"/>
    <w:rsid w:val="00AB722C"/>
    <w:rsid w:val="00AC17E4"/>
    <w:rsid w:val="00AC2E4C"/>
    <w:rsid w:val="00AC6E67"/>
    <w:rsid w:val="00AC70BF"/>
    <w:rsid w:val="00AD043A"/>
    <w:rsid w:val="00AD1B4A"/>
    <w:rsid w:val="00AD3B65"/>
    <w:rsid w:val="00AD7419"/>
    <w:rsid w:val="00AE5275"/>
    <w:rsid w:val="00AE7816"/>
    <w:rsid w:val="00AF1588"/>
    <w:rsid w:val="00AF1901"/>
    <w:rsid w:val="00AF2713"/>
    <w:rsid w:val="00AF3445"/>
    <w:rsid w:val="00AF3631"/>
    <w:rsid w:val="00AF521A"/>
    <w:rsid w:val="00AF7B5D"/>
    <w:rsid w:val="00B01136"/>
    <w:rsid w:val="00B01653"/>
    <w:rsid w:val="00B05E79"/>
    <w:rsid w:val="00B0677E"/>
    <w:rsid w:val="00B07AF5"/>
    <w:rsid w:val="00B1117B"/>
    <w:rsid w:val="00B135FC"/>
    <w:rsid w:val="00B25D91"/>
    <w:rsid w:val="00B26E00"/>
    <w:rsid w:val="00B278BF"/>
    <w:rsid w:val="00B342F7"/>
    <w:rsid w:val="00B353D6"/>
    <w:rsid w:val="00B36F81"/>
    <w:rsid w:val="00B42A56"/>
    <w:rsid w:val="00B431A8"/>
    <w:rsid w:val="00B44479"/>
    <w:rsid w:val="00B45AC1"/>
    <w:rsid w:val="00B45AC4"/>
    <w:rsid w:val="00B475A5"/>
    <w:rsid w:val="00B52F80"/>
    <w:rsid w:val="00B55F33"/>
    <w:rsid w:val="00B650FF"/>
    <w:rsid w:val="00B67118"/>
    <w:rsid w:val="00B71B0C"/>
    <w:rsid w:val="00B72BB4"/>
    <w:rsid w:val="00B72F50"/>
    <w:rsid w:val="00B73BB2"/>
    <w:rsid w:val="00B77ABC"/>
    <w:rsid w:val="00B809F1"/>
    <w:rsid w:val="00B83F4F"/>
    <w:rsid w:val="00B857F0"/>
    <w:rsid w:val="00B85BB3"/>
    <w:rsid w:val="00B862A6"/>
    <w:rsid w:val="00B906AD"/>
    <w:rsid w:val="00B90DDE"/>
    <w:rsid w:val="00B976B0"/>
    <w:rsid w:val="00BA07D4"/>
    <w:rsid w:val="00BA0B35"/>
    <w:rsid w:val="00BA1BB4"/>
    <w:rsid w:val="00BA2C56"/>
    <w:rsid w:val="00BA42FA"/>
    <w:rsid w:val="00BA6A7B"/>
    <w:rsid w:val="00BB12C8"/>
    <w:rsid w:val="00BB226C"/>
    <w:rsid w:val="00BB5A2A"/>
    <w:rsid w:val="00BB601E"/>
    <w:rsid w:val="00BB6E75"/>
    <w:rsid w:val="00BB72C8"/>
    <w:rsid w:val="00BC132A"/>
    <w:rsid w:val="00BC2CD5"/>
    <w:rsid w:val="00BC4C1E"/>
    <w:rsid w:val="00BC7304"/>
    <w:rsid w:val="00BD40AE"/>
    <w:rsid w:val="00BD7CF2"/>
    <w:rsid w:val="00BE0629"/>
    <w:rsid w:val="00BE33B7"/>
    <w:rsid w:val="00BE6735"/>
    <w:rsid w:val="00BE7C24"/>
    <w:rsid w:val="00BF042E"/>
    <w:rsid w:val="00BF2D8B"/>
    <w:rsid w:val="00BF5385"/>
    <w:rsid w:val="00BF6161"/>
    <w:rsid w:val="00C001F5"/>
    <w:rsid w:val="00C035BC"/>
    <w:rsid w:val="00C0603A"/>
    <w:rsid w:val="00C06CAD"/>
    <w:rsid w:val="00C1449B"/>
    <w:rsid w:val="00C158FB"/>
    <w:rsid w:val="00C168B3"/>
    <w:rsid w:val="00C16D7F"/>
    <w:rsid w:val="00C2222B"/>
    <w:rsid w:val="00C23B5D"/>
    <w:rsid w:val="00C23BB3"/>
    <w:rsid w:val="00C244E2"/>
    <w:rsid w:val="00C31AAF"/>
    <w:rsid w:val="00C36707"/>
    <w:rsid w:val="00C41589"/>
    <w:rsid w:val="00C4662E"/>
    <w:rsid w:val="00C519E5"/>
    <w:rsid w:val="00C534DA"/>
    <w:rsid w:val="00C57719"/>
    <w:rsid w:val="00C621C0"/>
    <w:rsid w:val="00C626BC"/>
    <w:rsid w:val="00C66DF9"/>
    <w:rsid w:val="00C7120B"/>
    <w:rsid w:val="00C72C2F"/>
    <w:rsid w:val="00C75581"/>
    <w:rsid w:val="00C76A02"/>
    <w:rsid w:val="00C81E32"/>
    <w:rsid w:val="00C87B5F"/>
    <w:rsid w:val="00C91671"/>
    <w:rsid w:val="00C92560"/>
    <w:rsid w:val="00C9267C"/>
    <w:rsid w:val="00C93A10"/>
    <w:rsid w:val="00C940F5"/>
    <w:rsid w:val="00C94457"/>
    <w:rsid w:val="00C94F38"/>
    <w:rsid w:val="00C9505E"/>
    <w:rsid w:val="00C96E7E"/>
    <w:rsid w:val="00CA2C22"/>
    <w:rsid w:val="00CA35DB"/>
    <w:rsid w:val="00CA3B0A"/>
    <w:rsid w:val="00CA3D3E"/>
    <w:rsid w:val="00CA49FF"/>
    <w:rsid w:val="00CA4E17"/>
    <w:rsid w:val="00CA508A"/>
    <w:rsid w:val="00CA59EA"/>
    <w:rsid w:val="00CB62F3"/>
    <w:rsid w:val="00CC28D5"/>
    <w:rsid w:val="00CC6567"/>
    <w:rsid w:val="00CC6CA9"/>
    <w:rsid w:val="00CD1A3D"/>
    <w:rsid w:val="00CD70A6"/>
    <w:rsid w:val="00CE1AA8"/>
    <w:rsid w:val="00CE29A4"/>
    <w:rsid w:val="00CE4BAE"/>
    <w:rsid w:val="00CE5E15"/>
    <w:rsid w:val="00CF3B56"/>
    <w:rsid w:val="00CF3B60"/>
    <w:rsid w:val="00CF69FE"/>
    <w:rsid w:val="00CF77EB"/>
    <w:rsid w:val="00D01105"/>
    <w:rsid w:val="00D03AF0"/>
    <w:rsid w:val="00D03C2A"/>
    <w:rsid w:val="00D047A5"/>
    <w:rsid w:val="00D07BCD"/>
    <w:rsid w:val="00D1187E"/>
    <w:rsid w:val="00D11C62"/>
    <w:rsid w:val="00D170CB"/>
    <w:rsid w:val="00D20939"/>
    <w:rsid w:val="00D24F28"/>
    <w:rsid w:val="00D26924"/>
    <w:rsid w:val="00D26990"/>
    <w:rsid w:val="00D270E7"/>
    <w:rsid w:val="00D31C6D"/>
    <w:rsid w:val="00D34495"/>
    <w:rsid w:val="00D358D1"/>
    <w:rsid w:val="00D40B81"/>
    <w:rsid w:val="00D413E4"/>
    <w:rsid w:val="00D41F75"/>
    <w:rsid w:val="00D42F17"/>
    <w:rsid w:val="00D459EB"/>
    <w:rsid w:val="00D509AB"/>
    <w:rsid w:val="00D50EF6"/>
    <w:rsid w:val="00D52208"/>
    <w:rsid w:val="00D54C26"/>
    <w:rsid w:val="00D5574A"/>
    <w:rsid w:val="00D55A4B"/>
    <w:rsid w:val="00D6062A"/>
    <w:rsid w:val="00D7638A"/>
    <w:rsid w:val="00D77F73"/>
    <w:rsid w:val="00D82F78"/>
    <w:rsid w:val="00D928C3"/>
    <w:rsid w:val="00D9323B"/>
    <w:rsid w:val="00D9368F"/>
    <w:rsid w:val="00D9475B"/>
    <w:rsid w:val="00DA3FFC"/>
    <w:rsid w:val="00DA4190"/>
    <w:rsid w:val="00DA48F9"/>
    <w:rsid w:val="00DB01F2"/>
    <w:rsid w:val="00DB1D42"/>
    <w:rsid w:val="00DB34B1"/>
    <w:rsid w:val="00DB4667"/>
    <w:rsid w:val="00DB4A8D"/>
    <w:rsid w:val="00DB6E74"/>
    <w:rsid w:val="00DC1CDC"/>
    <w:rsid w:val="00DC2AFD"/>
    <w:rsid w:val="00DC35CA"/>
    <w:rsid w:val="00DC3EA7"/>
    <w:rsid w:val="00DC506B"/>
    <w:rsid w:val="00DC5285"/>
    <w:rsid w:val="00DD359B"/>
    <w:rsid w:val="00DD676F"/>
    <w:rsid w:val="00DD6B29"/>
    <w:rsid w:val="00DE2CEA"/>
    <w:rsid w:val="00DE3229"/>
    <w:rsid w:val="00DF00CE"/>
    <w:rsid w:val="00DF322A"/>
    <w:rsid w:val="00DF5218"/>
    <w:rsid w:val="00E00CBA"/>
    <w:rsid w:val="00E03286"/>
    <w:rsid w:val="00E0388F"/>
    <w:rsid w:val="00E04A64"/>
    <w:rsid w:val="00E055FC"/>
    <w:rsid w:val="00E11228"/>
    <w:rsid w:val="00E11320"/>
    <w:rsid w:val="00E114D7"/>
    <w:rsid w:val="00E11CEF"/>
    <w:rsid w:val="00E13702"/>
    <w:rsid w:val="00E139B9"/>
    <w:rsid w:val="00E14E70"/>
    <w:rsid w:val="00E155FE"/>
    <w:rsid w:val="00E159C9"/>
    <w:rsid w:val="00E17C44"/>
    <w:rsid w:val="00E26507"/>
    <w:rsid w:val="00E27E18"/>
    <w:rsid w:val="00E27F26"/>
    <w:rsid w:val="00E30E68"/>
    <w:rsid w:val="00E371AA"/>
    <w:rsid w:val="00E41DBA"/>
    <w:rsid w:val="00E4779E"/>
    <w:rsid w:val="00E56D62"/>
    <w:rsid w:val="00E604C0"/>
    <w:rsid w:val="00E65F70"/>
    <w:rsid w:val="00E662E0"/>
    <w:rsid w:val="00E6772E"/>
    <w:rsid w:val="00E734AA"/>
    <w:rsid w:val="00E73661"/>
    <w:rsid w:val="00E74255"/>
    <w:rsid w:val="00E74423"/>
    <w:rsid w:val="00E767C5"/>
    <w:rsid w:val="00E771E8"/>
    <w:rsid w:val="00E772FC"/>
    <w:rsid w:val="00E81425"/>
    <w:rsid w:val="00E851F4"/>
    <w:rsid w:val="00E903BF"/>
    <w:rsid w:val="00E959F9"/>
    <w:rsid w:val="00E976C4"/>
    <w:rsid w:val="00EA13D1"/>
    <w:rsid w:val="00EA485E"/>
    <w:rsid w:val="00EA49DF"/>
    <w:rsid w:val="00EA6DB5"/>
    <w:rsid w:val="00EA6DD1"/>
    <w:rsid w:val="00EA7BD4"/>
    <w:rsid w:val="00EB08B0"/>
    <w:rsid w:val="00EB0D2C"/>
    <w:rsid w:val="00EB5114"/>
    <w:rsid w:val="00EB5192"/>
    <w:rsid w:val="00EB6E3C"/>
    <w:rsid w:val="00EB7B18"/>
    <w:rsid w:val="00EC173D"/>
    <w:rsid w:val="00ED06D0"/>
    <w:rsid w:val="00ED4572"/>
    <w:rsid w:val="00ED4E4C"/>
    <w:rsid w:val="00ED6428"/>
    <w:rsid w:val="00ED6996"/>
    <w:rsid w:val="00ED712C"/>
    <w:rsid w:val="00EE16A7"/>
    <w:rsid w:val="00EE446D"/>
    <w:rsid w:val="00EE6C2C"/>
    <w:rsid w:val="00EF0367"/>
    <w:rsid w:val="00EF0B14"/>
    <w:rsid w:val="00EF1C25"/>
    <w:rsid w:val="00EF3723"/>
    <w:rsid w:val="00EF6230"/>
    <w:rsid w:val="00EF6B37"/>
    <w:rsid w:val="00F01D79"/>
    <w:rsid w:val="00F029F4"/>
    <w:rsid w:val="00F05DDF"/>
    <w:rsid w:val="00F11503"/>
    <w:rsid w:val="00F11F65"/>
    <w:rsid w:val="00F12A88"/>
    <w:rsid w:val="00F15DA6"/>
    <w:rsid w:val="00F1629F"/>
    <w:rsid w:val="00F20119"/>
    <w:rsid w:val="00F22C14"/>
    <w:rsid w:val="00F25A12"/>
    <w:rsid w:val="00F27A8A"/>
    <w:rsid w:val="00F27ABD"/>
    <w:rsid w:val="00F31522"/>
    <w:rsid w:val="00F341FD"/>
    <w:rsid w:val="00F3428B"/>
    <w:rsid w:val="00F343BB"/>
    <w:rsid w:val="00F34FD7"/>
    <w:rsid w:val="00F3626A"/>
    <w:rsid w:val="00F42143"/>
    <w:rsid w:val="00F4421D"/>
    <w:rsid w:val="00F4694D"/>
    <w:rsid w:val="00F46FB6"/>
    <w:rsid w:val="00F50D05"/>
    <w:rsid w:val="00F52B70"/>
    <w:rsid w:val="00F5406A"/>
    <w:rsid w:val="00F541D6"/>
    <w:rsid w:val="00F54258"/>
    <w:rsid w:val="00F61DA9"/>
    <w:rsid w:val="00F65734"/>
    <w:rsid w:val="00F76C6F"/>
    <w:rsid w:val="00F775D8"/>
    <w:rsid w:val="00F805C4"/>
    <w:rsid w:val="00F82BEC"/>
    <w:rsid w:val="00F84C3E"/>
    <w:rsid w:val="00F853FB"/>
    <w:rsid w:val="00F868ED"/>
    <w:rsid w:val="00F87558"/>
    <w:rsid w:val="00F904D4"/>
    <w:rsid w:val="00F90DFC"/>
    <w:rsid w:val="00F93084"/>
    <w:rsid w:val="00F9428C"/>
    <w:rsid w:val="00F95E10"/>
    <w:rsid w:val="00FA002D"/>
    <w:rsid w:val="00FA0C7D"/>
    <w:rsid w:val="00FA1D63"/>
    <w:rsid w:val="00FA48A4"/>
    <w:rsid w:val="00FB09BC"/>
    <w:rsid w:val="00FB28C4"/>
    <w:rsid w:val="00FB635C"/>
    <w:rsid w:val="00FB788F"/>
    <w:rsid w:val="00FC22DC"/>
    <w:rsid w:val="00FC5FEC"/>
    <w:rsid w:val="00FD2006"/>
    <w:rsid w:val="00FD3E2F"/>
    <w:rsid w:val="00FD7792"/>
    <w:rsid w:val="00FD79FB"/>
    <w:rsid w:val="00FD7AAF"/>
    <w:rsid w:val="00FE3195"/>
    <w:rsid w:val="00FE4086"/>
    <w:rsid w:val="00FE773C"/>
    <w:rsid w:val="00FF2A97"/>
    <w:rsid w:val="00FF416B"/>
    <w:rsid w:val="00FF45E7"/>
    <w:rsid w:val="00FF61DF"/>
    <w:rsid w:val="00FF688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A945536-4890-4C44-9608-8F033F161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0C63"/>
  </w:style>
  <w:style w:type="paragraph" w:styleId="Heading1">
    <w:name w:val="heading 1"/>
    <w:basedOn w:val="Normal"/>
    <w:next w:val="Normal"/>
    <w:link w:val="Heading1Char"/>
    <w:uiPriority w:val="9"/>
    <w:qFormat/>
    <w:rsid w:val="00ED699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D699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D36C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7C0C63"/>
    <w:rPr>
      <w:sz w:val="20"/>
      <w:szCs w:val="20"/>
    </w:rPr>
  </w:style>
  <w:style w:type="character" w:customStyle="1" w:styleId="FootnoteTextChar">
    <w:name w:val="Footnote Text Char"/>
    <w:basedOn w:val="DefaultParagraphFont"/>
    <w:link w:val="FootnoteText"/>
    <w:uiPriority w:val="99"/>
    <w:rsid w:val="007C0C63"/>
    <w:rPr>
      <w:sz w:val="20"/>
      <w:szCs w:val="20"/>
    </w:rPr>
  </w:style>
  <w:style w:type="character" w:styleId="FootnoteReference">
    <w:name w:val="footnote reference"/>
    <w:basedOn w:val="DefaultParagraphFont"/>
    <w:semiHidden/>
    <w:unhideWhenUsed/>
    <w:rsid w:val="007C0C63"/>
    <w:rPr>
      <w:vertAlign w:val="superscript"/>
    </w:rPr>
  </w:style>
  <w:style w:type="character" w:customStyle="1" w:styleId="addmd1">
    <w:name w:val="addmd1"/>
    <w:basedOn w:val="DefaultParagraphFont"/>
    <w:rsid w:val="00E662E0"/>
    <w:rPr>
      <w:sz w:val="20"/>
      <w:szCs w:val="20"/>
    </w:rPr>
  </w:style>
  <w:style w:type="character" w:customStyle="1" w:styleId="Heading3Char">
    <w:name w:val="Heading 3 Char"/>
    <w:basedOn w:val="DefaultParagraphFont"/>
    <w:link w:val="Heading3"/>
    <w:uiPriority w:val="9"/>
    <w:semiHidden/>
    <w:rsid w:val="004D36C0"/>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ED699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ED699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AF1901"/>
    <w:rPr>
      <w:color w:val="0563C1" w:themeColor="hyperlink"/>
      <w:u w:val="single"/>
    </w:rPr>
  </w:style>
  <w:style w:type="character" w:customStyle="1" w:styleId="Mention1">
    <w:name w:val="Mention1"/>
    <w:basedOn w:val="DefaultParagraphFont"/>
    <w:uiPriority w:val="99"/>
    <w:semiHidden/>
    <w:unhideWhenUsed/>
    <w:rsid w:val="00AF1901"/>
    <w:rPr>
      <w:color w:val="2B579A"/>
      <w:shd w:val="clear" w:color="auto" w:fill="E6E6E6"/>
    </w:rPr>
  </w:style>
  <w:style w:type="paragraph" w:styleId="Header">
    <w:name w:val="header"/>
    <w:basedOn w:val="Normal"/>
    <w:link w:val="HeaderChar"/>
    <w:uiPriority w:val="99"/>
    <w:unhideWhenUsed/>
    <w:rsid w:val="009A60B3"/>
    <w:pPr>
      <w:tabs>
        <w:tab w:val="center" w:pos="4513"/>
        <w:tab w:val="right" w:pos="9026"/>
      </w:tabs>
    </w:pPr>
  </w:style>
  <w:style w:type="character" w:customStyle="1" w:styleId="HeaderChar">
    <w:name w:val="Header Char"/>
    <w:basedOn w:val="DefaultParagraphFont"/>
    <w:link w:val="Header"/>
    <w:uiPriority w:val="99"/>
    <w:rsid w:val="009A60B3"/>
  </w:style>
  <w:style w:type="paragraph" w:styleId="Footer">
    <w:name w:val="footer"/>
    <w:basedOn w:val="Normal"/>
    <w:link w:val="FooterChar"/>
    <w:uiPriority w:val="99"/>
    <w:unhideWhenUsed/>
    <w:rsid w:val="009A60B3"/>
    <w:pPr>
      <w:tabs>
        <w:tab w:val="center" w:pos="4513"/>
        <w:tab w:val="right" w:pos="9026"/>
      </w:tabs>
    </w:pPr>
  </w:style>
  <w:style w:type="character" w:customStyle="1" w:styleId="FooterChar">
    <w:name w:val="Footer Char"/>
    <w:basedOn w:val="DefaultParagraphFont"/>
    <w:link w:val="Footer"/>
    <w:uiPriority w:val="99"/>
    <w:rsid w:val="009A60B3"/>
  </w:style>
  <w:style w:type="character" w:customStyle="1" w:styleId="apple-converted-space">
    <w:name w:val="apple-converted-space"/>
    <w:basedOn w:val="DefaultParagraphFont"/>
    <w:rsid w:val="007B261C"/>
  </w:style>
  <w:style w:type="character" w:styleId="HTMLDefinition">
    <w:name w:val="HTML Definition"/>
    <w:basedOn w:val="DefaultParagraphFont"/>
    <w:uiPriority w:val="99"/>
    <w:semiHidden/>
    <w:unhideWhenUsed/>
    <w:rsid w:val="007B261C"/>
    <w:rPr>
      <w:i/>
      <w:iCs/>
    </w:rPr>
  </w:style>
  <w:style w:type="paragraph" w:customStyle="1" w:styleId="Body">
    <w:name w:val="Body"/>
    <w:rsid w:val="0053554A"/>
    <w:pPr>
      <w:pBdr>
        <w:top w:val="nil"/>
        <w:left w:val="nil"/>
        <w:bottom w:val="nil"/>
        <w:right w:val="nil"/>
        <w:between w:val="nil"/>
        <w:bar w:val="nil"/>
      </w:pBdr>
    </w:pPr>
    <w:rPr>
      <w:rFonts w:eastAsia="Arial Unicode MS" w:cs="Arial Unicode MS"/>
      <w:color w:val="000000"/>
      <w:u w:color="000000"/>
      <w:bdr w:val="nil"/>
      <w:lang w:eastAsia="en-GB"/>
    </w:rPr>
  </w:style>
  <w:style w:type="character" w:styleId="Emphasis">
    <w:name w:val="Emphasis"/>
    <w:basedOn w:val="DefaultParagraphFont"/>
    <w:uiPriority w:val="20"/>
    <w:qFormat/>
    <w:rsid w:val="00A96BC9"/>
    <w:rPr>
      <w:i/>
      <w:iCs/>
    </w:rPr>
  </w:style>
  <w:style w:type="paragraph" w:styleId="EndnoteText">
    <w:name w:val="endnote text"/>
    <w:basedOn w:val="Normal"/>
    <w:link w:val="EndnoteTextChar"/>
    <w:uiPriority w:val="99"/>
    <w:semiHidden/>
    <w:unhideWhenUsed/>
    <w:rsid w:val="0022426B"/>
    <w:rPr>
      <w:sz w:val="20"/>
      <w:szCs w:val="20"/>
    </w:rPr>
  </w:style>
  <w:style w:type="character" w:customStyle="1" w:styleId="EndnoteTextChar">
    <w:name w:val="Endnote Text Char"/>
    <w:basedOn w:val="DefaultParagraphFont"/>
    <w:link w:val="EndnoteText"/>
    <w:uiPriority w:val="99"/>
    <w:semiHidden/>
    <w:rsid w:val="0022426B"/>
    <w:rPr>
      <w:sz w:val="20"/>
      <w:szCs w:val="20"/>
    </w:rPr>
  </w:style>
  <w:style w:type="character" w:styleId="EndnoteReference">
    <w:name w:val="endnote reference"/>
    <w:basedOn w:val="DefaultParagraphFont"/>
    <w:uiPriority w:val="99"/>
    <w:semiHidden/>
    <w:unhideWhenUsed/>
    <w:rsid w:val="00A02426"/>
    <w:rPr>
      <w:vertAlign w:val="superscript"/>
    </w:rPr>
  </w:style>
  <w:style w:type="paragraph" w:styleId="NoSpacing">
    <w:name w:val="No Spacing"/>
    <w:uiPriority w:val="1"/>
    <w:qFormat/>
    <w:rsid w:val="00FE773C"/>
  </w:style>
  <w:style w:type="paragraph" w:styleId="BalloonText">
    <w:name w:val="Balloon Text"/>
    <w:basedOn w:val="Normal"/>
    <w:link w:val="BalloonTextChar"/>
    <w:uiPriority w:val="99"/>
    <w:semiHidden/>
    <w:unhideWhenUsed/>
    <w:rsid w:val="00D77F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F73"/>
    <w:rPr>
      <w:rFonts w:ascii="Segoe UI" w:hAnsi="Segoe UI" w:cs="Segoe UI"/>
      <w:sz w:val="18"/>
      <w:szCs w:val="18"/>
    </w:rPr>
  </w:style>
  <w:style w:type="character" w:styleId="CommentReference">
    <w:name w:val="annotation reference"/>
    <w:basedOn w:val="DefaultParagraphFont"/>
    <w:uiPriority w:val="99"/>
    <w:semiHidden/>
    <w:unhideWhenUsed/>
    <w:rsid w:val="00A35D60"/>
    <w:rPr>
      <w:sz w:val="16"/>
      <w:szCs w:val="16"/>
    </w:rPr>
  </w:style>
  <w:style w:type="paragraph" w:styleId="CommentText">
    <w:name w:val="annotation text"/>
    <w:basedOn w:val="Normal"/>
    <w:link w:val="CommentTextChar"/>
    <w:uiPriority w:val="99"/>
    <w:semiHidden/>
    <w:unhideWhenUsed/>
    <w:rsid w:val="00A35D60"/>
    <w:rPr>
      <w:sz w:val="20"/>
      <w:szCs w:val="20"/>
    </w:rPr>
  </w:style>
  <w:style w:type="character" w:customStyle="1" w:styleId="CommentTextChar">
    <w:name w:val="Comment Text Char"/>
    <w:basedOn w:val="DefaultParagraphFont"/>
    <w:link w:val="CommentText"/>
    <w:uiPriority w:val="99"/>
    <w:semiHidden/>
    <w:rsid w:val="00A35D60"/>
    <w:rPr>
      <w:sz w:val="20"/>
      <w:szCs w:val="20"/>
    </w:rPr>
  </w:style>
  <w:style w:type="paragraph" w:styleId="CommentSubject">
    <w:name w:val="annotation subject"/>
    <w:basedOn w:val="CommentText"/>
    <w:next w:val="CommentText"/>
    <w:link w:val="CommentSubjectChar"/>
    <w:uiPriority w:val="99"/>
    <w:semiHidden/>
    <w:unhideWhenUsed/>
    <w:rsid w:val="00A35D60"/>
    <w:rPr>
      <w:b/>
      <w:bCs/>
    </w:rPr>
  </w:style>
  <w:style w:type="character" w:customStyle="1" w:styleId="CommentSubjectChar">
    <w:name w:val="Comment Subject Char"/>
    <w:basedOn w:val="CommentTextChar"/>
    <w:link w:val="CommentSubject"/>
    <w:uiPriority w:val="99"/>
    <w:semiHidden/>
    <w:rsid w:val="00A35D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6040">
      <w:bodyDiv w:val="1"/>
      <w:marLeft w:val="0"/>
      <w:marRight w:val="0"/>
      <w:marTop w:val="0"/>
      <w:marBottom w:val="0"/>
      <w:divBdr>
        <w:top w:val="none" w:sz="0" w:space="0" w:color="auto"/>
        <w:left w:val="none" w:sz="0" w:space="0" w:color="auto"/>
        <w:bottom w:val="none" w:sz="0" w:space="0" w:color="auto"/>
        <w:right w:val="none" w:sz="0" w:space="0" w:color="auto"/>
      </w:divBdr>
    </w:div>
    <w:div w:id="43532584">
      <w:bodyDiv w:val="1"/>
      <w:marLeft w:val="0"/>
      <w:marRight w:val="0"/>
      <w:marTop w:val="0"/>
      <w:marBottom w:val="0"/>
      <w:divBdr>
        <w:top w:val="none" w:sz="0" w:space="0" w:color="auto"/>
        <w:left w:val="none" w:sz="0" w:space="0" w:color="auto"/>
        <w:bottom w:val="none" w:sz="0" w:space="0" w:color="auto"/>
        <w:right w:val="none" w:sz="0" w:space="0" w:color="auto"/>
      </w:divBdr>
    </w:div>
    <w:div w:id="230695340">
      <w:bodyDiv w:val="1"/>
      <w:marLeft w:val="0"/>
      <w:marRight w:val="0"/>
      <w:marTop w:val="0"/>
      <w:marBottom w:val="0"/>
      <w:divBdr>
        <w:top w:val="none" w:sz="0" w:space="0" w:color="auto"/>
        <w:left w:val="none" w:sz="0" w:space="0" w:color="auto"/>
        <w:bottom w:val="none" w:sz="0" w:space="0" w:color="auto"/>
        <w:right w:val="none" w:sz="0" w:space="0" w:color="auto"/>
      </w:divBdr>
      <w:divsChild>
        <w:div w:id="183135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328951">
              <w:marLeft w:val="0"/>
              <w:marRight w:val="0"/>
              <w:marTop w:val="0"/>
              <w:marBottom w:val="0"/>
              <w:divBdr>
                <w:top w:val="none" w:sz="0" w:space="0" w:color="auto"/>
                <w:left w:val="none" w:sz="0" w:space="0" w:color="auto"/>
                <w:bottom w:val="none" w:sz="0" w:space="0" w:color="auto"/>
                <w:right w:val="none" w:sz="0" w:space="0" w:color="auto"/>
              </w:divBdr>
              <w:divsChild>
                <w:div w:id="1882941063">
                  <w:marLeft w:val="0"/>
                  <w:marRight w:val="0"/>
                  <w:marTop w:val="0"/>
                  <w:marBottom w:val="0"/>
                  <w:divBdr>
                    <w:top w:val="none" w:sz="0" w:space="0" w:color="auto"/>
                    <w:left w:val="none" w:sz="0" w:space="0" w:color="auto"/>
                    <w:bottom w:val="none" w:sz="0" w:space="0" w:color="auto"/>
                    <w:right w:val="none" w:sz="0" w:space="0" w:color="auto"/>
                  </w:divBdr>
                  <w:divsChild>
                    <w:div w:id="1510101631">
                      <w:marLeft w:val="0"/>
                      <w:marRight w:val="0"/>
                      <w:marTop w:val="0"/>
                      <w:marBottom w:val="0"/>
                      <w:divBdr>
                        <w:top w:val="none" w:sz="0" w:space="0" w:color="auto"/>
                        <w:left w:val="none" w:sz="0" w:space="0" w:color="auto"/>
                        <w:bottom w:val="none" w:sz="0" w:space="0" w:color="auto"/>
                        <w:right w:val="none" w:sz="0" w:space="0" w:color="auto"/>
                      </w:divBdr>
                      <w:divsChild>
                        <w:div w:id="143546393">
                          <w:marLeft w:val="0"/>
                          <w:marRight w:val="0"/>
                          <w:marTop w:val="0"/>
                          <w:marBottom w:val="0"/>
                          <w:divBdr>
                            <w:top w:val="none" w:sz="0" w:space="0" w:color="auto"/>
                            <w:left w:val="none" w:sz="0" w:space="0" w:color="auto"/>
                            <w:bottom w:val="none" w:sz="0" w:space="0" w:color="auto"/>
                            <w:right w:val="none" w:sz="0" w:space="0" w:color="auto"/>
                          </w:divBdr>
                          <w:divsChild>
                            <w:div w:id="58769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2612433">
      <w:bodyDiv w:val="1"/>
      <w:marLeft w:val="0"/>
      <w:marRight w:val="0"/>
      <w:marTop w:val="0"/>
      <w:marBottom w:val="0"/>
      <w:divBdr>
        <w:top w:val="none" w:sz="0" w:space="0" w:color="auto"/>
        <w:left w:val="none" w:sz="0" w:space="0" w:color="auto"/>
        <w:bottom w:val="none" w:sz="0" w:space="0" w:color="auto"/>
        <w:right w:val="none" w:sz="0" w:space="0" w:color="auto"/>
      </w:divBdr>
    </w:div>
    <w:div w:id="433523513">
      <w:bodyDiv w:val="1"/>
      <w:marLeft w:val="0"/>
      <w:marRight w:val="0"/>
      <w:marTop w:val="0"/>
      <w:marBottom w:val="0"/>
      <w:divBdr>
        <w:top w:val="none" w:sz="0" w:space="0" w:color="auto"/>
        <w:left w:val="none" w:sz="0" w:space="0" w:color="auto"/>
        <w:bottom w:val="none" w:sz="0" w:space="0" w:color="auto"/>
        <w:right w:val="none" w:sz="0" w:space="0" w:color="auto"/>
      </w:divBdr>
    </w:div>
    <w:div w:id="533158510">
      <w:bodyDiv w:val="1"/>
      <w:marLeft w:val="0"/>
      <w:marRight w:val="0"/>
      <w:marTop w:val="0"/>
      <w:marBottom w:val="0"/>
      <w:divBdr>
        <w:top w:val="none" w:sz="0" w:space="0" w:color="auto"/>
        <w:left w:val="none" w:sz="0" w:space="0" w:color="auto"/>
        <w:bottom w:val="none" w:sz="0" w:space="0" w:color="auto"/>
        <w:right w:val="none" w:sz="0" w:space="0" w:color="auto"/>
      </w:divBdr>
      <w:divsChild>
        <w:div w:id="213086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8746098">
              <w:marLeft w:val="0"/>
              <w:marRight w:val="0"/>
              <w:marTop w:val="0"/>
              <w:marBottom w:val="0"/>
              <w:divBdr>
                <w:top w:val="none" w:sz="0" w:space="0" w:color="auto"/>
                <w:left w:val="none" w:sz="0" w:space="0" w:color="auto"/>
                <w:bottom w:val="none" w:sz="0" w:space="0" w:color="auto"/>
                <w:right w:val="none" w:sz="0" w:space="0" w:color="auto"/>
              </w:divBdr>
              <w:divsChild>
                <w:div w:id="977102034">
                  <w:marLeft w:val="0"/>
                  <w:marRight w:val="0"/>
                  <w:marTop w:val="0"/>
                  <w:marBottom w:val="0"/>
                  <w:divBdr>
                    <w:top w:val="none" w:sz="0" w:space="0" w:color="auto"/>
                    <w:left w:val="none" w:sz="0" w:space="0" w:color="auto"/>
                    <w:bottom w:val="none" w:sz="0" w:space="0" w:color="auto"/>
                    <w:right w:val="none" w:sz="0" w:space="0" w:color="auto"/>
                  </w:divBdr>
                  <w:divsChild>
                    <w:div w:id="571355875">
                      <w:marLeft w:val="0"/>
                      <w:marRight w:val="0"/>
                      <w:marTop w:val="0"/>
                      <w:marBottom w:val="0"/>
                      <w:divBdr>
                        <w:top w:val="none" w:sz="0" w:space="0" w:color="auto"/>
                        <w:left w:val="none" w:sz="0" w:space="0" w:color="auto"/>
                        <w:bottom w:val="none" w:sz="0" w:space="0" w:color="auto"/>
                        <w:right w:val="none" w:sz="0" w:space="0" w:color="auto"/>
                      </w:divBdr>
                      <w:divsChild>
                        <w:div w:id="884416638">
                          <w:marLeft w:val="0"/>
                          <w:marRight w:val="0"/>
                          <w:marTop w:val="0"/>
                          <w:marBottom w:val="0"/>
                          <w:divBdr>
                            <w:top w:val="none" w:sz="0" w:space="0" w:color="auto"/>
                            <w:left w:val="none" w:sz="0" w:space="0" w:color="auto"/>
                            <w:bottom w:val="none" w:sz="0" w:space="0" w:color="auto"/>
                            <w:right w:val="none" w:sz="0" w:space="0" w:color="auto"/>
                          </w:divBdr>
                          <w:divsChild>
                            <w:div w:id="163972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107780">
      <w:bodyDiv w:val="1"/>
      <w:marLeft w:val="0"/>
      <w:marRight w:val="0"/>
      <w:marTop w:val="0"/>
      <w:marBottom w:val="0"/>
      <w:divBdr>
        <w:top w:val="none" w:sz="0" w:space="0" w:color="auto"/>
        <w:left w:val="none" w:sz="0" w:space="0" w:color="auto"/>
        <w:bottom w:val="none" w:sz="0" w:space="0" w:color="auto"/>
        <w:right w:val="none" w:sz="0" w:space="0" w:color="auto"/>
      </w:divBdr>
    </w:div>
    <w:div w:id="630135779">
      <w:bodyDiv w:val="1"/>
      <w:marLeft w:val="0"/>
      <w:marRight w:val="0"/>
      <w:marTop w:val="0"/>
      <w:marBottom w:val="0"/>
      <w:divBdr>
        <w:top w:val="none" w:sz="0" w:space="0" w:color="auto"/>
        <w:left w:val="none" w:sz="0" w:space="0" w:color="auto"/>
        <w:bottom w:val="none" w:sz="0" w:space="0" w:color="auto"/>
        <w:right w:val="none" w:sz="0" w:space="0" w:color="auto"/>
      </w:divBdr>
    </w:div>
    <w:div w:id="698161445">
      <w:bodyDiv w:val="1"/>
      <w:marLeft w:val="0"/>
      <w:marRight w:val="0"/>
      <w:marTop w:val="0"/>
      <w:marBottom w:val="0"/>
      <w:divBdr>
        <w:top w:val="none" w:sz="0" w:space="0" w:color="auto"/>
        <w:left w:val="none" w:sz="0" w:space="0" w:color="auto"/>
        <w:bottom w:val="none" w:sz="0" w:space="0" w:color="auto"/>
        <w:right w:val="none" w:sz="0" w:space="0" w:color="auto"/>
      </w:divBdr>
    </w:div>
    <w:div w:id="735517482">
      <w:bodyDiv w:val="1"/>
      <w:marLeft w:val="0"/>
      <w:marRight w:val="0"/>
      <w:marTop w:val="0"/>
      <w:marBottom w:val="0"/>
      <w:divBdr>
        <w:top w:val="none" w:sz="0" w:space="0" w:color="auto"/>
        <w:left w:val="none" w:sz="0" w:space="0" w:color="auto"/>
        <w:bottom w:val="none" w:sz="0" w:space="0" w:color="auto"/>
        <w:right w:val="none" w:sz="0" w:space="0" w:color="auto"/>
      </w:divBdr>
    </w:div>
    <w:div w:id="759837368">
      <w:bodyDiv w:val="1"/>
      <w:marLeft w:val="0"/>
      <w:marRight w:val="0"/>
      <w:marTop w:val="0"/>
      <w:marBottom w:val="0"/>
      <w:divBdr>
        <w:top w:val="none" w:sz="0" w:space="0" w:color="auto"/>
        <w:left w:val="none" w:sz="0" w:space="0" w:color="auto"/>
        <w:bottom w:val="none" w:sz="0" w:space="0" w:color="auto"/>
        <w:right w:val="none" w:sz="0" w:space="0" w:color="auto"/>
      </w:divBdr>
    </w:div>
    <w:div w:id="822161248">
      <w:bodyDiv w:val="1"/>
      <w:marLeft w:val="0"/>
      <w:marRight w:val="0"/>
      <w:marTop w:val="0"/>
      <w:marBottom w:val="0"/>
      <w:divBdr>
        <w:top w:val="none" w:sz="0" w:space="0" w:color="auto"/>
        <w:left w:val="none" w:sz="0" w:space="0" w:color="auto"/>
        <w:bottom w:val="none" w:sz="0" w:space="0" w:color="auto"/>
        <w:right w:val="none" w:sz="0" w:space="0" w:color="auto"/>
      </w:divBdr>
    </w:div>
    <w:div w:id="853111253">
      <w:bodyDiv w:val="1"/>
      <w:marLeft w:val="0"/>
      <w:marRight w:val="0"/>
      <w:marTop w:val="0"/>
      <w:marBottom w:val="0"/>
      <w:divBdr>
        <w:top w:val="none" w:sz="0" w:space="0" w:color="auto"/>
        <w:left w:val="none" w:sz="0" w:space="0" w:color="auto"/>
        <w:bottom w:val="none" w:sz="0" w:space="0" w:color="auto"/>
        <w:right w:val="none" w:sz="0" w:space="0" w:color="auto"/>
      </w:divBdr>
    </w:div>
    <w:div w:id="877669268">
      <w:bodyDiv w:val="1"/>
      <w:marLeft w:val="0"/>
      <w:marRight w:val="0"/>
      <w:marTop w:val="0"/>
      <w:marBottom w:val="0"/>
      <w:divBdr>
        <w:top w:val="none" w:sz="0" w:space="0" w:color="auto"/>
        <w:left w:val="none" w:sz="0" w:space="0" w:color="auto"/>
        <w:bottom w:val="none" w:sz="0" w:space="0" w:color="auto"/>
        <w:right w:val="none" w:sz="0" w:space="0" w:color="auto"/>
      </w:divBdr>
    </w:div>
    <w:div w:id="893854164">
      <w:bodyDiv w:val="1"/>
      <w:marLeft w:val="0"/>
      <w:marRight w:val="0"/>
      <w:marTop w:val="0"/>
      <w:marBottom w:val="0"/>
      <w:divBdr>
        <w:top w:val="none" w:sz="0" w:space="0" w:color="auto"/>
        <w:left w:val="none" w:sz="0" w:space="0" w:color="auto"/>
        <w:bottom w:val="none" w:sz="0" w:space="0" w:color="auto"/>
        <w:right w:val="none" w:sz="0" w:space="0" w:color="auto"/>
      </w:divBdr>
    </w:div>
    <w:div w:id="944922457">
      <w:bodyDiv w:val="1"/>
      <w:marLeft w:val="0"/>
      <w:marRight w:val="0"/>
      <w:marTop w:val="0"/>
      <w:marBottom w:val="0"/>
      <w:divBdr>
        <w:top w:val="none" w:sz="0" w:space="0" w:color="auto"/>
        <w:left w:val="none" w:sz="0" w:space="0" w:color="auto"/>
        <w:bottom w:val="none" w:sz="0" w:space="0" w:color="auto"/>
        <w:right w:val="none" w:sz="0" w:space="0" w:color="auto"/>
      </w:divBdr>
    </w:div>
    <w:div w:id="1044137838">
      <w:bodyDiv w:val="1"/>
      <w:marLeft w:val="0"/>
      <w:marRight w:val="0"/>
      <w:marTop w:val="0"/>
      <w:marBottom w:val="0"/>
      <w:divBdr>
        <w:top w:val="none" w:sz="0" w:space="0" w:color="auto"/>
        <w:left w:val="none" w:sz="0" w:space="0" w:color="auto"/>
        <w:bottom w:val="none" w:sz="0" w:space="0" w:color="auto"/>
        <w:right w:val="none" w:sz="0" w:space="0" w:color="auto"/>
      </w:divBdr>
    </w:div>
    <w:div w:id="1101292409">
      <w:bodyDiv w:val="1"/>
      <w:marLeft w:val="0"/>
      <w:marRight w:val="0"/>
      <w:marTop w:val="0"/>
      <w:marBottom w:val="0"/>
      <w:divBdr>
        <w:top w:val="none" w:sz="0" w:space="0" w:color="auto"/>
        <w:left w:val="none" w:sz="0" w:space="0" w:color="auto"/>
        <w:bottom w:val="none" w:sz="0" w:space="0" w:color="auto"/>
        <w:right w:val="none" w:sz="0" w:space="0" w:color="auto"/>
      </w:divBdr>
    </w:div>
    <w:div w:id="1101533070">
      <w:bodyDiv w:val="1"/>
      <w:marLeft w:val="0"/>
      <w:marRight w:val="0"/>
      <w:marTop w:val="0"/>
      <w:marBottom w:val="0"/>
      <w:divBdr>
        <w:top w:val="none" w:sz="0" w:space="0" w:color="auto"/>
        <w:left w:val="none" w:sz="0" w:space="0" w:color="auto"/>
        <w:bottom w:val="none" w:sz="0" w:space="0" w:color="auto"/>
        <w:right w:val="none" w:sz="0" w:space="0" w:color="auto"/>
      </w:divBdr>
    </w:div>
    <w:div w:id="1156804505">
      <w:bodyDiv w:val="1"/>
      <w:marLeft w:val="0"/>
      <w:marRight w:val="0"/>
      <w:marTop w:val="0"/>
      <w:marBottom w:val="0"/>
      <w:divBdr>
        <w:top w:val="none" w:sz="0" w:space="0" w:color="auto"/>
        <w:left w:val="none" w:sz="0" w:space="0" w:color="auto"/>
        <w:bottom w:val="none" w:sz="0" w:space="0" w:color="auto"/>
        <w:right w:val="none" w:sz="0" w:space="0" w:color="auto"/>
      </w:divBdr>
    </w:div>
    <w:div w:id="1245072551">
      <w:bodyDiv w:val="1"/>
      <w:marLeft w:val="0"/>
      <w:marRight w:val="0"/>
      <w:marTop w:val="0"/>
      <w:marBottom w:val="0"/>
      <w:divBdr>
        <w:top w:val="none" w:sz="0" w:space="0" w:color="auto"/>
        <w:left w:val="none" w:sz="0" w:space="0" w:color="auto"/>
        <w:bottom w:val="none" w:sz="0" w:space="0" w:color="auto"/>
        <w:right w:val="none" w:sz="0" w:space="0" w:color="auto"/>
      </w:divBdr>
    </w:div>
    <w:div w:id="1301689467">
      <w:bodyDiv w:val="1"/>
      <w:marLeft w:val="0"/>
      <w:marRight w:val="0"/>
      <w:marTop w:val="0"/>
      <w:marBottom w:val="0"/>
      <w:divBdr>
        <w:top w:val="none" w:sz="0" w:space="0" w:color="auto"/>
        <w:left w:val="none" w:sz="0" w:space="0" w:color="auto"/>
        <w:bottom w:val="none" w:sz="0" w:space="0" w:color="auto"/>
        <w:right w:val="none" w:sz="0" w:space="0" w:color="auto"/>
      </w:divBdr>
    </w:div>
    <w:div w:id="1457522965">
      <w:bodyDiv w:val="1"/>
      <w:marLeft w:val="0"/>
      <w:marRight w:val="0"/>
      <w:marTop w:val="0"/>
      <w:marBottom w:val="0"/>
      <w:divBdr>
        <w:top w:val="none" w:sz="0" w:space="0" w:color="auto"/>
        <w:left w:val="none" w:sz="0" w:space="0" w:color="auto"/>
        <w:bottom w:val="none" w:sz="0" w:space="0" w:color="auto"/>
        <w:right w:val="none" w:sz="0" w:space="0" w:color="auto"/>
      </w:divBdr>
    </w:div>
    <w:div w:id="1520244028">
      <w:bodyDiv w:val="1"/>
      <w:marLeft w:val="0"/>
      <w:marRight w:val="0"/>
      <w:marTop w:val="0"/>
      <w:marBottom w:val="0"/>
      <w:divBdr>
        <w:top w:val="none" w:sz="0" w:space="0" w:color="auto"/>
        <w:left w:val="none" w:sz="0" w:space="0" w:color="auto"/>
        <w:bottom w:val="none" w:sz="0" w:space="0" w:color="auto"/>
        <w:right w:val="none" w:sz="0" w:space="0" w:color="auto"/>
      </w:divBdr>
    </w:div>
    <w:div w:id="1546409759">
      <w:bodyDiv w:val="1"/>
      <w:marLeft w:val="0"/>
      <w:marRight w:val="0"/>
      <w:marTop w:val="0"/>
      <w:marBottom w:val="0"/>
      <w:divBdr>
        <w:top w:val="none" w:sz="0" w:space="0" w:color="auto"/>
        <w:left w:val="none" w:sz="0" w:space="0" w:color="auto"/>
        <w:bottom w:val="none" w:sz="0" w:space="0" w:color="auto"/>
        <w:right w:val="none" w:sz="0" w:space="0" w:color="auto"/>
      </w:divBdr>
    </w:div>
    <w:div w:id="1765762080">
      <w:bodyDiv w:val="1"/>
      <w:marLeft w:val="0"/>
      <w:marRight w:val="0"/>
      <w:marTop w:val="0"/>
      <w:marBottom w:val="0"/>
      <w:divBdr>
        <w:top w:val="none" w:sz="0" w:space="0" w:color="auto"/>
        <w:left w:val="none" w:sz="0" w:space="0" w:color="auto"/>
        <w:bottom w:val="none" w:sz="0" w:space="0" w:color="auto"/>
        <w:right w:val="none" w:sz="0" w:space="0" w:color="auto"/>
      </w:divBdr>
    </w:div>
    <w:div w:id="1938361879">
      <w:bodyDiv w:val="1"/>
      <w:marLeft w:val="0"/>
      <w:marRight w:val="0"/>
      <w:marTop w:val="0"/>
      <w:marBottom w:val="0"/>
      <w:divBdr>
        <w:top w:val="none" w:sz="0" w:space="0" w:color="auto"/>
        <w:left w:val="none" w:sz="0" w:space="0" w:color="auto"/>
        <w:bottom w:val="none" w:sz="0" w:space="0" w:color="auto"/>
        <w:right w:val="none" w:sz="0" w:space="0" w:color="auto"/>
      </w:divBdr>
    </w:div>
    <w:div w:id="2049138197">
      <w:bodyDiv w:val="1"/>
      <w:marLeft w:val="0"/>
      <w:marRight w:val="0"/>
      <w:marTop w:val="0"/>
      <w:marBottom w:val="0"/>
      <w:divBdr>
        <w:top w:val="none" w:sz="0" w:space="0" w:color="auto"/>
        <w:left w:val="none" w:sz="0" w:space="0" w:color="auto"/>
        <w:bottom w:val="none" w:sz="0" w:space="0" w:color="auto"/>
        <w:right w:val="none" w:sz="0" w:space="0" w:color="auto"/>
      </w:divBdr>
    </w:div>
    <w:div w:id="209115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B24A3-472A-4EC4-B6AE-29641A134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13931</Words>
  <Characters>79409</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93154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Marsh</dc:creator>
  <cp:lastModifiedBy>Kate Marsh</cp:lastModifiedBy>
  <cp:revision>2</cp:revision>
  <cp:lastPrinted>2018-05-23T10:53:00Z</cp:lastPrinted>
  <dcterms:created xsi:type="dcterms:W3CDTF">2018-08-24T09:10:00Z</dcterms:created>
  <dcterms:modified xsi:type="dcterms:W3CDTF">2018-08-24T09:10:00Z</dcterms:modified>
</cp:coreProperties>
</file>