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f"/>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89D3BD" w14:textId="5084AEC0" w:rsidR="00A4402D" w:rsidRPr="00C56699" w:rsidRDefault="00A4402D" w:rsidP="00444260">
      <w:pPr>
        <w:pStyle w:val="Title"/>
        <w:rPr>
          <w:lang w:val="en-GB"/>
        </w:rPr>
      </w:pPr>
      <w:r w:rsidRPr="00C56699">
        <w:rPr>
          <w:lang w:val="en-GB"/>
        </w:rPr>
        <w:t>High AGR2</w:t>
      </w:r>
      <w:r w:rsidR="00503B88" w:rsidRPr="00C56699">
        <w:rPr>
          <w:lang w:val="en-GB"/>
        </w:rPr>
        <w:t xml:space="preserve"> protein</w:t>
      </w:r>
      <w:r w:rsidRPr="00C56699">
        <w:rPr>
          <w:lang w:val="en-GB"/>
        </w:rPr>
        <w:t xml:space="preserve"> is a</w:t>
      </w:r>
      <w:r w:rsidR="004820CB" w:rsidRPr="00C56699">
        <w:rPr>
          <w:lang w:val="en-GB"/>
        </w:rPr>
        <w:t xml:space="preserve"> </w:t>
      </w:r>
      <w:r w:rsidRPr="00C56699">
        <w:rPr>
          <w:lang w:val="en-GB"/>
        </w:rPr>
        <w:t xml:space="preserve">feature of </w:t>
      </w:r>
      <w:r w:rsidR="00CA4F89" w:rsidRPr="00C56699">
        <w:rPr>
          <w:noProof/>
          <w:lang w:val="en-GB"/>
        </w:rPr>
        <w:t>l</w:t>
      </w:r>
      <w:r w:rsidR="004820CB" w:rsidRPr="00C56699">
        <w:rPr>
          <w:noProof/>
          <w:lang w:val="en-GB"/>
        </w:rPr>
        <w:t xml:space="preserve">ow </w:t>
      </w:r>
      <w:r w:rsidR="00CA4F89" w:rsidRPr="00C56699">
        <w:rPr>
          <w:noProof/>
          <w:lang w:val="en-GB"/>
        </w:rPr>
        <w:t>g</w:t>
      </w:r>
      <w:r w:rsidR="004820CB" w:rsidRPr="00C56699">
        <w:rPr>
          <w:noProof/>
          <w:lang w:val="en-GB"/>
        </w:rPr>
        <w:t>rade</w:t>
      </w:r>
      <w:r w:rsidR="004820CB" w:rsidRPr="00C56699">
        <w:rPr>
          <w:lang w:val="en-GB"/>
        </w:rPr>
        <w:t xml:space="preserve"> endometrial cancer</w:t>
      </w:r>
      <w:r w:rsidRPr="00C56699">
        <w:rPr>
          <w:lang w:val="en-GB"/>
        </w:rPr>
        <w:t xml:space="preserve"> </w:t>
      </w:r>
      <w:r w:rsidR="00446817" w:rsidRPr="00C56699">
        <w:rPr>
          <w:lang w:val="en-GB"/>
        </w:rPr>
        <w:t xml:space="preserve">cells </w:t>
      </w:r>
    </w:p>
    <w:p w14:paraId="57BD82E2" w14:textId="1C52F876" w:rsidR="008D599B" w:rsidRPr="00C56699" w:rsidRDefault="008D599B" w:rsidP="008D599B">
      <w:pPr>
        <w:rPr>
          <w:lang w:val="en-GB"/>
        </w:rPr>
      </w:pPr>
    </w:p>
    <w:p w14:paraId="30FDA32F" w14:textId="0EFA36EB" w:rsidR="00E22FF3" w:rsidRPr="00C56699" w:rsidRDefault="00BF10C4" w:rsidP="00AB4C30">
      <w:pPr>
        <w:rPr>
          <w:vertAlign w:val="superscript"/>
          <w:lang w:val="en-GB"/>
        </w:rPr>
      </w:pPr>
      <w:r w:rsidRPr="00C56699">
        <w:rPr>
          <w:lang w:val="en-GB"/>
        </w:rPr>
        <w:t>Kamal A</w:t>
      </w:r>
      <w:r w:rsidR="00E22FF3" w:rsidRPr="00C56699">
        <w:rPr>
          <w:lang w:val="en-GB"/>
        </w:rPr>
        <w:t>M</w:t>
      </w:r>
      <w:r w:rsidRPr="00C56699">
        <w:rPr>
          <w:lang w:val="en-GB"/>
        </w:rPr>
        <w:t>,</w:t>
      </w:r>
      <w:r w:rsidR="00E22FF3" w:rsidRPr="00C56699">
        <w:rPr>
          <w:vertAlign w:val="superscript"/>
          <w:lang w:val="en-GB"/>
        </w:rPr>
        <w:t>1,</w:t>
      </w:r>
      <w:r w:rsidR="00E37779" w:rsidRPr="00C56699">
        <w:rPr>
          <w:vertAlign w:val="superscript"/>
          <w:lang w:val="en-GB"/>
        </w:rPr>
        <w:t>2</w:t>
      </w:r>
      <w:r w:rsidRPr="00C56699">
        <w:rPr>
          <w:lang w:val="en-GB"/>
        </w:rPr>
        <w:t xml:space="preserve"> Valentijn A,</w:t>
      </w:r>
      <w:r w:rsidR="00E22FF3" w:rsidRPr="00C56699">
        <w:rPr>
          <w:vertAlign w:val="superscript"/>
          <w:lang w:val="en-GB"/>
        </w:rPr>
        <w:t>1</w:t>
      </w:r>
      <w:r w:rsidR="0018071A" w:rsidRPr="00C56699">
        <w:rPr>
          <w:lang w:val="en-GB"/>
        </w:rPr>
        <w:t xml:space="preserve"> </w:t>
      </w:r>
      <w:bookmarkStart w:id="0" w:name="_Hlk503307752"/>
      <w:r w:rsidR="00CD5516" w:rsidRPr="00C56699">
        <w:rPr>
          <w:lang w:val="en-GB"/>
        </w:rPr>
        <w:t>Barraclough R,</w:t>
      </w:r>
      <w:r w:rsidR="00CD5516" w:rsidRPr="00C56699">
        <w:rPr>
          <w:vertAlign w:val="superscript"/>
          <w:lang w:val="en-GB"/>
        </w:rPr>
        <w:t>3</w:t>
      </w:r>
      <w:r w:rsidR="00CD5516" w:rsidRPr="00C56699">
        <w:rPr>
          <w:lang w:val="en-GB"/>
        </w:rPr>
        <w:t xml:space="preserve"> Rudland PS,</w:t>
      </w:r>
      <w:r w:rsidR="00CD5516" w:rsidRPr="00C56699">
        <w:rPr>
          <w:vertAlign w:val="superscript"/>
          <w:lang w:val="en-GB"/>
        </w:rPr>
        <w:t>3</w:t>
      </w:r>
      <w:r w:rsidR="00CD5516" w:rsidRPr="00C56699">
        <w:rPr>
          <w:lang w:val="en-GB"/>
        </w:rPr>
        <w:t xml:space="preserve"> </w:t>
      </w:r>
      <w:proofErr w:type="spellStart"/>
      <w:r w:rsidR="0018071A" w:rsidRPr="00C56699">
        <w:rPr>
          <w:lang w:val="en-GB"/>
        </w:rPr>
        <w:t>Rahmatalla</w:t>
      </w:r>
      <w:proofErr w:type="spellEnd"/>
      <w:r w:rsidR="0018071A" w:rsidRPr="00C56699">
        <w:rPr>
          <w:lang w:val="en-GB"/>
        </w:rPr>
        <w:t xml:space="preserve"> NS</w:t>
      </w:r>
      <w:bookmarkEnd w:id="0"/>
      <w:r w:rsidR="0018071A" w:rsidRPr="00C56699">
        <w:rPr>
          <w:lang w:val="en-GB"/>
        </w:rPr>
        <w:t>,</w:t>
      </w:r>
      <w:r w:rsidR="00CD5516" w:rsidRPr="00C56699">
        <w:rPr>
          <w:vertAlign w:val="superscript"/>
          <w:lang w:val="en-GB"/>
        </w:rPr>
        <w:t>2</w:t>
      </w:r>
      <w:r w:rsidRPr="00C56699">
        <w:rPr>
          <w:lang w:val="en-GB"/>
        </w:rPr>
        <w:t xml:space="preserve"> </w:t>
      </w:r>
      <w:r w:rsidR="003A1AC1" w:rsidRPr="00C56699">
        <w:rPr>
          <w:lang w:val="en-GB"/>
        </w:rPr>
        <w:t xml:space="preserve">Martin-Hirsch </w:t>
      </w:r>
      <w:r w:rsidRPr="00C56699">
        <w:rPr>
          <w:lang w:val="en-GB"/>
        </w:rPr>
        <w:t>P,</w:t>
      </w:r>
      <w:r w:rsidR="00CD5516" w:rsidRPr="00C56699">
        <w:rPr>
          <w:vertAlign w:val="superscript"/>
          <w:lang w:val="en-GB"/>
        </w:rPr>
        <w:t>4</w:t>
      </w:r>
      <w:r w:rsidRPr="00C56699">
        <w:rPr>
          <w:lang w:val="en-GB"/>
        </w:rPr>
        <w:t xml:space="preserve"> Stringfellow</w:t>
      </w:r>
      <w:r w:rsidR="003A1AC1" w:rsidRPr="00C56699">
        <w:rPr>
          <w:lang w:val="en-GB"/>
        </w:rPr>
        <w:t xml:space="preserve"> H</w:t>
      </w:r>
      <w:r w:rsidR="00E22FF3" w:rsidRPr="00C56699">
        <w:rPr>
          <w:lang w:val="en-GB"/>
        </w:rPr>
        <w:t>F</w:t>
      </w:r>
      <w:r w:rsidRPr="00C56699">
        <w:rPr>
          <w:lang w:val="en-GB"/>
        </w:rPr>
        <w:t>,</w:t>
      </w:r>
      <w:r w:rsidR="00CD5516" w:rsidRPr="00C56699">
        <w:rPr>
          <w:vertAlign w:val="superscript"/>
          <w:lang w:val="en-GB"/>
        </w:rPr>
        <w:t>4</w:t>
      </w:r>
      <w:r w:rsidRPr="00C56699">
        <w:rPr>
          <w:lang w:val="en-GB"/>
        </w:rPr>
        <w:t xml:space="preserve"> </w:t>
      </w:r>
      <w:proofErr w:type="spellStart"/>
      <w:r w:rsidRPr="00C56699">
        <w:rPr>
          <w:lang w:val="en-GB"/>
        </w:rPr>
        <w:t>DeCruze</w:t>
      </w:r>
      <w:proofErr w:type="spellEnd"/>
      <w:r w:rsidR="003A1AC1" w:rsidRPr="00C56699">
        <w:rPr>
          <w:lang w:val="en-GB"/>
        </w:rPr>
        <w:t xml:space="preserve"> </w:t>
      </w:r>
      <w:r w:rsidR="00E22FF3" w:rsidRPr="00C56699">
        <w:rPr>
          <w:lang w:val="en-GB"/>
        </w:rPr>
        <w:t>S</w:t>
      </w:r>
      <w:r w:rsidR="003A1AC1" w:rsidRPr="00C56699">
        <w:rPr>
          <w:lang w:val="en-GB"/>
        </w:rPr>
        <w:t>B</w:t>
      </w:r>
      <w:r w:rsidR="008D599B" w:rsidRPr="00C56699">
        <w:rPr>
          <w:lang w:val="en-GB"/>
        </w:rPr>
        <w:t>,</w:t>
      </w:r>
      <w:r w:rsidR="00CD5516" w:rsidRPr="00C56699">
        <w:rPr>
          <w:vertAlign w:val="superscript"/>
          <w:lang w:val="en-GB"/>
        </w:rPr>
        <w:t>5</w:t>
      </w:r>
      <w:r w:rsidR="006D3752" w:rsidRPr="00C56699">
        <w:rPr>
          <w:lang w:val="en-GB"/>
        </w:rPr>
        <w:t xml:space="preserve"> Hapangama DK.</w:t>
      </w:r>
      <w:r w:rsidR="00E22FF3" w:rsidRPr="00C56699">
        <w:rPr>
          <w:vertAlign w:val="superscript"/>
          <w:lang w:val="en-GB"/>
        </w:rPr>
        <w:t>1,</w:t>
      </w:r>
      <w:r w:rsidR="00CD5516" w:rsidRPr="00C56699">
        <w:rPr>
          <w:vertAlign w:val="superscript"/>
          <w:lang w:val="en-GB"/>
        </w:rPr>
        <w:t>5</w:t>
      </w:r>
    </w:p>
    <w:p w14:paraId="190736BF" w14:textId="77777777" w:rsidR="00E22FF3" w:rsidRPr="00C56699" w:rsidRDefault="00E22FF3" w:rsidP="00E22FF3">
      <w:pPr>
        <w:rPr>
          <w:rFonts w:cs="Arial"/>
          <w:iCs/>
          <w:noProof/>
        </w:rPr>
      </w:pPr>
      <w:r w:rsidRPr="00C56699">
        <w:rPr>
          <w:rFonts w:cs="Arial"/>
          <w:iCs/>
          <w:noProof/>
          <w:vertAlign w:val="superscript"/>
        </w:rPr>
        <w:t>1</w:t>
      </w:r>
      <w:r w:rsidRPr="00C56699">
        <w:rPr>
          <w:rFonts w:cs="Arial"/>
          <w:iCs/>
          <w:noProof/>
        </w:rPr>
        <w:t>Department of Women's and Children's Health, Institute of Translational Medicine, University of Liverpool, Liverpool, L8 7SS, UK</w:t>
      </w:r>
    </w:p>
    <w:p w14:paraId="7EA110E0" w14:textId="6FEF1106" w:rsidR="00E37779" w:rsidRPr="00C56699" w:rsidRDefault="00E37779" w:rsidP="00E37779">
      <w:pPr>
        <w:rPr>
          <w:rFonts w:cs="Arial"/>
          <w:noProof/>
        </w:rPr>
      </w:pPr>
      <w:r w:rsidRPr="00C56699">
        <w:rPr>
          <w:rFonts w:cs="Arial"/>
          <w:noProof/>
          <w:vertAlign w:val="superscript"/>
        </w:rPr>
        <w:t>2</w:t>
      </w:r>
      <w:r w:rsidRPr="00C56699">
        <w:rPr>
          <w:rFonts w:cs="Arial"/>
          <w:noProof/>
        </w:rPr>
        <w:t>The National Center for Early Detection of Cancer, Oncology Teaching Hospital, Baghdad Medical City, Baghdad, Iraq</w:t>
      </w:r>
    </w:p>
    <w:p w14:paraId="63B63F94" w14:textId="0B0241F4" w:rsidR="00CD5516" w:rsidRPr="00C56699" w:rsidRDefault="00E37779" w:rsidP="00CD5516">
      <w:pPr>
        <w:rPr>
          <w:rFonts w:cs="Arial"/>
          <w:iCs/>
          <w:noProof/>
        </w:rPr>
      </w:pPr>
      <w:r w:rsidRPr="00C56699">
        <w:rPr>
          <w:rFonts w:cs="Arial"/>
          <w:noProof/>
          <w:vertAlign w:val="superscript"/>
        </w:rPr>
        <w:t>3</w:t>
      </w:r>
      <w:r w:rsidR="00CD5516" w:rsidRPr="00C56699">
        <w:rPr>
          <w:rFonts w:cs="Arial"/>
          <w:iCs/>
          <w:noProof/>
        </w:rPr>
        <w:t>Institute of Integrative Biology, University of Liverpool, Liverpool, L69 7ZB, UK</w:t>
      </w:r>
    </w:p>
    <w:p w14:paraId="27BE79C9" w14:textId="7635074B" w:rsidR="00E22FF3" w:rsidRPr="00C56699" w:rsidRDefault="00CD5516" w:rsidP="00E22FF3">
      <w:pPr>
        <w:rPr>
          <w:rFonts w:cs="Arial"/>
          <w:iCs/>
          <w:noProof/>
        </w:rPr>
      </w:pPr>
      <w:r w:rsidRPr="00C56699">
        <w:rPr>
          <w:rFonts w:cs="Arial"/>
          <w:iCs/>
          <w:noProof/>
          <w:vertAlign w:val="superscript"/>
        </w:rPr>
        <w:t>4</w:t>
      </w:r>
      <w:r w:rsidR="00E22FF3" w:rsidRPr="00C56699">
        <w:rPr>
          <w:rFonts w:cs="Arial"/>
          <w:iCs/>
          <w:noProof/>
        </w:rPr>
        <w:t>Lancashire Teaching Hospital NHS Trust, Preston, PR2 9HT  UK</w:t>
      </w:r>
    </w:p>
    <w:p w14:paraId="616AC5BD" w14:textId="37E8D559" w:rsidR="00F324F6" w:rsidRPr="00C56699" w:rsidRDefault="00CD5516" w:rsidP="00F324F6">
      <w:pPr>
        <w:rPr>
          <w:rFonts w:cs="Arial"/>
          <w:iCs/>
          <w:noProof/>
        </w:rPr>
      </w:pPr>
      <w:r w:rsidRPr="00C56699">
        <w:rPr>
          <w:rFonts w:cs="Arial"/>
          <w:iCs/>
          <w:noProof/>
          <w:vertAlign w:val="superscript"/>
        </w:rPr>
        <w:t>5</w:t>
      </w:r>
      <w:r w:rsidR="00F324F6" w:rsidRPr="00C56699">
        <w:rPr>
          <w:rFonts w:cs="Arial"/>
          <w:iCs/>
          <w:noProof/>
        </w:rPr>
        <w:t>Liverpool Women’s Hospital NHS Foundation Trust, Liverpool, L8 7SS, UK</w:t>
      </w:r>
    </w:p>
    <w:p w14:paraId="4237970E" w14:textId="77777777" w:rsidR="00F324F6" w:rsidRPr="00C56699" w:rsidRDefault="00F324F6" w:rsidP="00E22FF3">
      <w:pPr>
        <w:rPr>
          <w:rFonts w:cs="Arial"/>
          <w:iCs/>
          <w:noProof/>
        </w:rPr>
      </w:pPr>
    </w:p>
    <w:p w14:paraId="27DB4CC4" w14:textId="33111DB5" w:rsidR="00D60E1A" w:rsidRPr="00C56699" w:rsidRDefault="00D60E1A" w:rsidP="00E22FF3">
      <w:pPr>
        <w:rPr>
          <w:rFonts w:cs="Arial"/>
          <w:noProof/>
        </w:rPr>
      </w:pPr>
    </w:p>
    <w:p w14:paraId="7598A14C" w14:textId="6C71418A" w:rsidR="00E22FF3" w:rsidRPr="00C56699" w:rsidRDefault="00E22FF3" w:rsidP="00E22FF3">
      <w:pPr>
        <w:rPr>
          <w:rStyle w:val="Hyperlink"/>
          <w:rFonts w:cs="Arial"/>
          <w:noProof/>
          <w:color w:val="auto"/>
        </w:rPr>
      </w:pPr>
      <w:r w:rsidRPr="00C56699">
        <w:rPr>
          <w:rFonts w:cs="Arial"/>
          <w:noProof/>
        </w:rPr>
        <w:t xml:space="preserve">Corresponding author: </w:t>
      </w:r>
      <w:r w:rsidRPr="00C56699">
        <w:rPr>
          <w:rFonts w:cs="Arial"/>
          <w:bCs/>
          <w:noProof/>
        </w:rPr>
        <w:t xml:space="preserve">Dr DK Hapangama, </w:t>
      </w:r>
      <w:hyperlink r:id="rId6" w:history="1">
        <w:r w:rsidRPr="00C56699">
          <w:rPr>
            <w:rStyle w:val="Hyperlink"/>
            <w:rFonts w:cs="Arial"/>
            <w:noProof/>
            <w:color w:val="auto"/>
          </w:rPr>
          <w:t>dharani@liv.ac.uk</w:t>
        </w:r>
      </w:hyperlink>
    </w:p>
    <w:p w14:paraId="4FEC40C4" w14:textId="4B845530" w:rsidR="00411DA0" w:rsidRPr="00C56699" w:rsidRDefault="00411DA0" w:rsidP="00E22FF3">
      <w:pPr>
        <w:rPr>
          <w:rFonts w:cs="Arial"/>
          <w:noProof/>
        </w:rPr>
      </w:pPr>
      <w:r w:rsidRPr="00C56699">
        <w:rPr>
          <w:rFonts w:cs="Arial"/>
          <w:noProof/>
        </w:rPr>
        <w:t xml:space="preserve">Phone </w:t>
      </w:r>
      <w:r w:rsidR="000959F7" w:rsidRPr="00C56699">
        <w:rPr>
          <w:rFonts w:cs="Arial"/>
          <w:noProof/>
        </w:rPr>
        <w:t xml:space="preserve">+44151 </w:t>
      </w:r>
      <w:r w:rsidR="002D4A1C" w:rsidRPr="00C56699">
        <w:rPr>
          <w:rFonts w:cs="Arial"/>
          <w:noProof/>
        </w:rPr>
        <w:t>7</w:t>
      </w:r>
      <w:r w:rsidR="000959F7" w:rsidRPr="00C56699">
        <w:rPr>
          <w:rFonts w:cs="Arial"/>
          <w:noProof/>
        </w:rPr>
        <w:t>959559</w:t>
      </w:r>
    </w:p>
    <w:p w14:paraId="5937C72F" w14:textId="0A7B0941" w:rsidR="00411DA0" w:rsidRPr="00C56699" w:rsidRDefault="00411DA0" w:rsidP="00E22FF3">
      <w:pPr>
        <w:rPr>
          <w:rFonts w:cs="Arial"/>
          <w:noProof/>
        </w:rPr>
      </w:pPr>
    </w:p>
    <w:p w14:paraId="7B70DD83" w14:textId="77777777" w:rsidR="00E22FF3" w:rsidRPr="00C56699" w:rsidRDefault="00E22FF3" w:rsidP="00E22FF3">
      <w:pPr>
        <w:rPr>
          <w:rFonts w:cs="Arial"/>
          <w:iCs/>
          <w:noProof/>
        </w:rPr>
      </w:pPr>
      <w:r w:rsidRPr="00C56699">
        <w:rPr>
          <w:rFonts w:cs="Arial"/>
          <w:iCs/>
          <w:noProof/>
        </w:rPr>
        <w:t>Conflict of Interest: The authors have no conflicts of interest to declare.</w:t>
      </w:r>
    </w:p>
    <w:p w14:paraId="38A709BC" w14:textId="70B873EE" w:rsidR="00E22FF3" w:rsidRPr="00C56699" w:rsidRDefault="00E22FF3" w:rsidP="008D599B">
      <w:pPr>
        <w:rPr>
          <w:rFonts w:cs="Arial"/>
          <w:iCs/>
          <w:noProof/>
        </w:rPr>
      </w:pPr>
      <w:r w:rsidRPr="00C56699">
        <w:rPr>
          <w:rFonts w:cs="Arial"/>
          <w:bCs/>
          <w:iCs/>
          <w:noProof/>
        </w:rPr>
        <w:t>Word count:</w:t>
      </w:r>
      <w:r w:rsidRPr="00C56699">
        <w:rPr>
          <w:rFonts w:cs="Arial"/>
          <w:iCs/>
          <w:noProof/>
        </w:rPr>
        <w:t xml:space="preserve"> (</w:t>
      </w:r>
      <w:r w:rsidR="00327EC7" w:rsidRPr="00C56699">
        <w:rPr>
          <w:rFonts w:cs="Arial"/>
          <w:iCs/>
          <w:noProof/>
        </w:rPr>
        <w:t>3973</w:t>
      </w:r>
      <w:r w:rsidRPr="00C56699">
        <w:rPr>
          <w:rFonts w:cs="Arial"/>
          <w:iCs/>
          <w:noProof/>
        </w:rPr>
        <w:t>)</w:t>
      </w:r>
    </w:p>
    <w:p w14:paraId="6F44752F" w14:textId="5D41E52D" w:rsidR="00411DA0" w:rsidRPr="00C56699" w:rsidRDefault="00411DA0" w:rsidP="008D599B">
      <w:pPr>
        <w:rPr>
          <w:lang w:val="en-GB"/>
        </w:rPr>
      </w:pPr>
      <w:r w:rsidRPr="00C56699">
        <w:rPr>
          <w:lang w:val="en-GB"/>
        </w:rPr>
        <w:t>Total number of table</w:t>
      </w:r>
      <w:r w:rsidR="005E1C79" w:rsidRPr="00C56699">
        <w:rPr>
          <w:lang w:val="en-GB"/>
        </w:rPr>
        <w:t>s</w:t>
      </w:r>
      <w:r w:rsidRPr="00C56699">
        <w:rPr>
          <w:lang w:val="en-GB"/>
        </w:rPr>
        <w:t xml:space="preserve"> and figures </w:t>
      </w:r>
      <w:r w:rsidR="0070498A" w:rsidRPr="00C56699">
        <w:rPr>
          <w:lang w:val="en-GB"/>
        </w:rPr>
        <w:t>7</w:t>
      </w:r>
    </w:p>
    <w:p w14:paraId="5121B7AB" w14:textId="44C964FE" w:rsidR="00EB188C" w:rsidRPr="00C56699" w:rsidRDefault="00EB188C" w:rsidP="00411DA0">
      <w:pPr>
        <w:pStyle w:val="Heading1"/>
      </w:pPr>
      <w:bookmarkStart w:id="1" w:name="_GoBack"/>
      <w:r w:rsidRPr="00C56699">
        <w:lastRenderedPageBreak/>
        <w:t>Abstract</w:t>
      </w:r>
      <w:r w:rsidR="004C076D" w:rsidRPr="00C56699">
        <w:t xml:space="preserve">  </w:t>
      </w:r>
    </w:p>
    <w:p w14:paraId="1F844E0D" w14:textId="46D0B803" w:rsidR="005C53A9" w:rsidRPr="00C56699" w:rsidRDefault="005C53A9" w:rsidP="00B75D58">
      <w:r w:rsidRPr="00C56699">
        <w:rPr>
          <w:b/>
          <w:i/>
        </w:rPr>
        <w:t>Background:</w:t>
      </w:r>
      <w:r w:rsidRPr="00C56699">
        <w:t xml:space="preserve"> </w:t>
      </w:r>
      <w:r w:rsidR="001D3BF0" w:rsidRPr="00C56699">
        <w:t>B</w:t>
      </w:r>
      <w:r w:rsidRPr="00C56699">
        <w:t xml:space="preserve">iomarkers </w:t>
      </w:r>
      <w:r w:rsidR="00E22FF3" w:rsidRPr="00C56699">
        <w:t xml:space="preserve">for </w:t>
      </w:r>
      <w:r w:rsidRPr="00C56699">
        <w:t xml:space="preserve">identification of </w:t>
      </w:r>
      <w:r w:rsidR="005C1BE2" w:rsidRPr="00C56699">
        <w:t xml:space="preserve">endometrial cancers (ECs) with </w:t>
      </w:r>
      <w:r w:rsidRPr="00C56699">
        <w:t xml:space="preserve">high risk of recurrence are </w:t>
      </w:r>
      <w:r w:rsidR="00A34F56" w:rsidRPr="00C56699">
        <w:t>required</w:t>
      </w:r>
      <w:r w:rsidRPr="00C56699">
        <w:t xml:space="preserve"> to reduce the rising </w:t>
      </w:r>
      <w:r w:rsidR="005C1BE2" w:rsidRPr="00C56699">
        <w:t>EC-</w:t>
      </w:r>
      <w:r w:rsidR="00226201" w:rsidRPr="00C56699">
        <w:t>r</w:t>
      </w:r>
      <w:r w:rsidRPr="00C56699">
        <w:t xml:space="preserve">elated mortality. </w:t>
      </w:r>
      <w:r w:rsidR="003D2363" w:rsidRPr="00C56699">
        <w:t xml:space="preserve">AGR2 </w:t>
      </w:r>
      <w:r w:rsidR="00563780" w:rsidRPr="00C56699">
        <w:t>is</w:t>
      </w:r>
      <w:r w:rsidR="00B51AE1" w:rsidRPr="00C56699">
        <w:t xml:space="preserve"> a prognostic marker </w:t>
      </w:r>
      <w:r w:rsidR="003D2363" w:rsidRPr="00C56699">
        <w:t>in several hormonally</w:t>
      </w:r>
      <w:r w:rsidR="00CB4CEF" w:rsidRPr="00C56699">
        <w:t>-</w:t>
      </w:r>
      <w:r w:rsidR="003D2363" w:rsidRPr="00C56699">
        <w:t>regulated cancers</w:t>
      </w:r>
      <w:r w:rsidR="007F6780" w:rsidRPr="00C56699">
        <w:t>.</w:t>
      </w:r>
      <w:r w:rsidR="008A63B3" w:rsidRPr="00C56699">
        <w:t xml:space="preserve"> </w:t>
      </w:r>
    </w:p>
    <w:p w14:paraId="617D06D3" w14:textId="4847B0F7" w:rsidR="003D2363" w:rsidRPr="00C56699" w:rsidRDefault="005C53A9" w:rsidP="00E22FF3">
      <w:r w:rsidRPr="00C56699">
        <w:rPr>
          <w:b/>
          <w:i/>
        </w:rPr>
        <w:t>Aim:</w:t>
      </w:r>
      <w:r w:rsidRPr="00C56699">
        <w:t xml:space="preserve"> T</w:t>
      </w:r>
      <w:r w:rsidR="00563780" w:rsidRPr="00C56699">
        <w:t xml:space="preserve">o </w:t>
      </w:r>
      <w:r w:rsidR="006D7887" w:rsidRPr="00C56699">
        <w:t xml:space="preserve">assess the utility of AGR2 as a prognostic marker in </w:t>
      </w:r>
      <w:r w:rsidR="005C1BE2" w:rsidRPr="00C56699">
        <w:t>EC</w:t>
      </w:r>
      <w:r w:rsidR="00E22FF3" w:rsidRPr="00C56699">
        <w:t>.</w:t>
      </w:r>
    </w:p>
    <w:p w14:paraId="059CE8E5" w14:textId="444D32E7" w:rsidR="00C61342" w:rsidRPr="00C56699" w:rsidRDefault="00C61342" w:rsidP="00730202">
      <w:r w:rsidRPr="00C56699">
        <w:rPr>
          <w:b/>
          <w:i/>
        </w:rPr>
        <w:t>Methods:</w:t>
      </w:r>
      <w:r w:rsidRPr="00C56699">
        <w:t xml:space="preserve"> </w:t>
      </w:r>
      <w:r w:rsidR="00730202" w:rsidRPr="00C56699">
        <w:t xml:space="preserve">AGR2 immunoexpression was evaluated in 163 human endometrial samples. Change in </w:t>
      </w:r>
      <w:r w:rsidR="00730202" w:rsidRPr="00C56699">
        <w:rPr>
          <w:i/>
          <w:iCs/>
        </w:rPr>
        <w:t>AGR2</w:t>
      </w:r>
      <w:r w:rsidR="00730202" w:rsidRPr="00C56699">
        <w:t xml:space="preserve"> mRNA level</w:t>
      </w:r>
      <w:r w:rsidR="00CB4CEF" w:rsidRPr="00C56699">
        <w:t>s</w:t>
      </w:r>
      <w:r w:rsidR="00730202" w:rsidRPr="00C56699">
        <w:t xml:space="preserve"> in response to </w:t>
      </w:r>
      <w:proofErr w:type="spellStart"/>
      <w:r w:rsidR="00730202" w:rsidRPr="00C56699">
        <w:t>oestrogen</w:t>
      </w:r>
      <w:proofErr w:type="spellEnd"/>
      <w:r w:rsidR="00730202" w:rsidRPr="00C56699">
        <w:t xml:space="preserve"> and dihydrotestosterone was studied </w:t>
      </w:r>
      <w:r w:rsidR="00730202" w:rsidRPr="00C56699">
        <w:rPr>
          <w:i/>
        </w:rPr>
        <w:t xml:space="preserve">in </w:t>
      </w:r>
      <w:r w:rsidR="005C1BE2" w:rsidRPr="00C56699">
        <w:rPr>
          <w:i/>
        </w:rPr>
        <w:t>vitro</w:t>
      </w:r>
      <w:r w:rsidR="00730202" w:rsidRPr="00C56699">
        <w:t>.</w:t>
      </w:r>
    </w:p>
    <w:p w14:paraId="3671A2C1" w14:textId="376080EE" w:rsidR="00956852" w:rsidRPr="00C56699" w:rsidRDefault="005C53A9" w:rsidP="00AB2950">
      <w:r w:rsidRPr="00C56699">
        <w:rPr>
          <w:b/>
          <w:i/>
        </w:rPr>
        <w:t>Results:</w:t>
      </w:r>
      <w:r w:rsidRPr="00C56699">
        <w:t xml:space="preserve"> </w:t>
      </w:r>
      <w:r w:rsidR="00C61342" w:rsidRPr="00C56699">
        <w:t xml:space="preserve">Upregulation of </w:t>
      </w:r>
      <w:r w:rsidR="00D77B10" w:rsidRPr="00C56699">
        <w:t>AGR2</w:t>
      </w:r>
      <w:r w:rsidR="00105256" w:rsidRPr="00C56699">
        <w:t xml:space="preserve"> </w:t>
      </w:r>
      <w:r w:rsidR="00C61342" w:rsidRPr="00C56699">
        <w:t>(</w:t>
      </w:r>
      <w:r w:rsidR="00105256" w:rsidRPr="00C56699">
        <w:t xml:space="preserve">protein </w:t>
      </w:r>
      <w:r w:rsidR="009E1440" w:rsidRPr="00C56699">
        <w:t>and mRNA</w:t>
      </w:r>
      <w:r w:rsidR="00C61342" w:rsidRPr="00C56699">
        <w:t>)</w:t>
      </w:r>
      <w:r w:rsidR="009E1440" w:rsidRPr="00C56699">
        <w:t xml:space="preserve"> </w:t>
      </w:r>
      <w:r w:rsidR="00C61342" w:rsidRPr="00C56699">
        <w:t>was seen</w:t>
      </w:r>
      <w:r w:rsidR="00105256" w:rsidRPr="00C56699">
        <w:t xml:space="preserve"> in </w:t>
      </w:r>
      <w:r w:rsidR="00105256" w:rsidRPr="00C56699">
        <w:rPr>
          <w:noProof/>
        </w:rPr>
        <w:t>low grade</w:t>
      </w:r>
      <w:r w:rsidR="00105256" w:rsidRPr="00C56699">
        <w:t xml:space="preserve"> </w:t>
      </w:r>
      <w:r w:rsidR="005C1BE2" w:rsidRPr="00C56699">
        <w:t>EC</w:t>
      </w:r>
      <w:r w:rsidR="00C61342" w:rsidRPr="00C56699">
        <w:t>,</w:t>
      </w:r>
      <w:r w:rsidR="00105256" w:rsidRPr="00C56699">
        <w:t xml:space="preserve"> </w:t>
      </w:r>
      <w:r w:rsidR="00F242B4" w:rsidRPr="00C56699">
        <w:t xml:space="preserve">compared </w:t>
      </w:r>
      <w:r w:rsidR="001D3CF2" w:rsidRPr="00C56699">
        <w:t xml:space="preserve">to </w:t>
      </w:r>
      <w:r w:rsidR="00B04DFC" w:rsidRPr="00C56699">
        <w:t xml:space="preserve">the </w:t>
      </w:r>
      <w:r w:rsidR="0004032F" w:rsidRPr="00C56699">
        <w:t>postmenopausal endometrium</w:t>
      </w:r>
      <w:r w:rsidR="00730202" w:rsidRPr="00C56699">
        <w:t xml:space="preserve"> (P=</w:t>
      </w:r>
      <w:r w:rsidR="00AE6E34" w:rsidRPr="00C56699">
        <w:t>0.013</w:t>
      </w:r>
      <w:r w:rsidR="00730202" w:rsidRPr="00C56699">
        <w:t xml:space="preserve">) </w:t>
      </w:r>
      <w:r w:rsidR="00C61342" w:rsidRPr="00C56699">
        <w:t xml:space="preserve">and </w:t>
      </w:r>
      <w:r w:rsidR="001D3CF2" w:rsidRPr="00C56699">
        <w:t xml:space="preserve">to </w:t>
      </w:r>
      <w:r w:rsidR="00B04DFC" w:rsidRPr="00C56699">
        <w:t xml:space="preserve">the </w:t>
      </w:r>
      <w:r w:rsidR="00DC2728" w:rsidRPr="00C56699">
        <w:t>high-grade</w:t>
      </w:r>
      <w:r w:rsidR="00A46F53" w:rsidRPr="00C56699">
        <w:t xml:space="preserve"> </w:t>
      </w:r>
      <w:r w:rsidR="005C1BE2" w:rsidRPr="00C56699">
        <w:t xml:space="preserve">EC </w:t>
      </w:r>
      <w:r w:rsidR="00730202" w:rsidRPr="00C56699">
        <w:t>(P</w:t>
      </w:r>
      <w:r w:rsidR="00AE6E34" w:rsidRPr="00C56699">
        <w:t>&lt;0.0001</w:t>
      </w:r>
      <w:r w:rsidR="00730202" w:rsidRPr="00C56699">
        <w:t>)</w:t>
      </w:r>
      <w:r w:rsidR="00C61342" w:rsidRPr="00C56699">
        <w:t>.</w:t>
      </w:r>
      <w:r w:rsidR="00F242B4" w:rsidRPr="00C56699">
        <w:t xml:space="preserve"> </w:t>
      </w:r>
      <w:r w:rsidR="001D3CF2" w:rsidRPr="00C56699">
        <w:t>Elevated AGR2 protein expression</w:t>
      </w:r>
      <w:r w:rsidR="005C1BE2" w:rsidRPr="00C56699">
        <w:t>-scores</w:t>
      </w:r>
      <w:r w:rsidR="001D3CF2" w:rsidRPr="00C56699">
        <w:t xml:space="preserve"> </w:t>
      </w:r>
      <w:r w:rsidR="00B04DFC" w:rsidRPr="00C56699">
        <w:t>w</w:t>
      </w:r>
      <w:r w:rsidR="005C1BE2" w:rsidRPr="00C56699">
        <w:t>ere</w:t>
      </w:r>
      <w:r w:rsidR="00B04DFC" w:rsidRPr="00C56699">
        <w:t xml:space="preserve"> </w:t>
      </w:r>
      <w:r w:rsidR="00105256" w:rsidRPr="00C56699">
        <w:t xml:space="preserve">associated with </w:t>
      </w:r>
      <w:r w:rsidR="001D3CF2" w:rsidRPr="00C56699">
        <w:t xml:space="preserve">a </w:t>
      </w:r>
      <w:r w:rsidR="00C61342" w:rsidRPr="00C56699">
        <w:t xml:space="preserve">high </w:t>
      </w:r>
      <w:r w:rsidR="00F4646B" w:rsidRPr="00C56699">
        <w:t xml:space="preserve">expression of </w:t>
      </w:r>
      <w:r w:rsidR="00B04DFC" w:rsidRPr="00C56699">
        <w:t>estrogen alpha (</w:t>
      </w:r>
      <w:r w:rsidR="00F4646B" w:rsidRPr="00C56699">
        <w:t>ERα</w:t>
      </w:r>
      <w:r w:rsidR="00B04DFC" w:rsidRPr="00C56699">
        <w:t>)</w:t>
      </w:r>
      <w:r w:rsidR="00F4646B" w:rsidRPr="00C56699">
        <w:t xml:space="preserve">, </w:t>
      </w:r>
      <w:r w:rsidR="004C076D" w:rsidRPr="00C56699">
        <w:t>progesterone</w:t>
      </w:r>
      <w:r w:rsidR="00F4646B" w:rsidRPr="00C56699">
        <w:t xml:space="preserve">, </w:t>
      </w:r>
      <w:r w:rsidR="004C076D" w:rsidRPr="00C56699">
        <w:t>androgen receptor</w:t>
      </w:r>
      <w:r w:rsidR="005C1BE2" w:rsidRPr="00C56699">
        <w:t>s</w:t>
      </w:r>
      <w:r w:rsidR="002402C0" w:rsidRPr="00C56699">
        <w:t xml:space="preserve"> and early </w:t>
      </w:r>
      <w:r w:rsidR="00B04DFC" w:rsidRPr="00C56699">
        <w:t xml:space="preserve">clinical </w:t>
      </w:r>
      <w:r w:rsidR="002402C0" w:rsidRPr="00C56699">
        <w:t>stages</w:t>
      </w:r>
      <w:r w:rsidR="00493AA7" w:rsidRPr="00C56699">
        <w:t xml:space="preserve">. </w:t>
      </w:r>
      <w:r w:rsidR="00C61342" w:rsidRPr="00C56699">
        <w:t xml:space="preserve">Metastatic lesions maintained </w:t>
      </w:r>
      <w:r w:rsidR="005C1BE2" w:rsidRPr="00C56699">
        <w:t xml:space="preserve">higher </w:t>
      </w:r>
      <w:r w:rsidR="00AB2950" w:rsidRPr="00C56699">
        <w:t xml:space="preserve">AGR2 </w:t>
      </w:r>
      <w:r w:rsidR="006E636F" w:rsidRPr="00C56699">
        <w:t>expression</w:t>
      </w:r>
      <w:r w:rsidR="00681A47" w:rsidRPr="00C56699">
        <w:t xml:space="preserve"> relative to matched</w:t>
      </w:r>
      <w:r w:rsidR="005C1BE2" w:rsidRPr="00C56699">
        <w:t>-</w:t>
      </w:r>
      <w:r w:rsidR="00681A47" w:rsidRPr="00C56699">
        <w:t>primary tumors</w:t>
      </w:r>
      <w:r w:rsidR="00AB2950" w:rsidRPr="00C56699">
        <w:t>.</w:t>
      </w:r>
      <w:r w:rsidR="00730202" w:rsidRPr="00C56699">
        <w:t xml:space="preserve"> </w:t>
      </w:r>
      <w:r w:rsidR="00730202" w:rsidRPr="00C56699">
        <w:rPr>
          <w:iCs/>
        </w:rPr>
        <w:t>High</w:t>
      </w:r>
      <w:r w:rsidR="00A34F56" w:rsidRPr="00C56699">
        <w:rPr>
          <w:iCs/>
        </w:rPr>
        <w:t>-</w:t>
      </w:r>
      <w:r w:rsidR="00730202" w:rsidRPr="00C56699">
        <w:t>AGR2</w:t>
      </w:r>
      <w:r w:rsidR="00414B77" w:rsidRPr="00C56699">
        <w:t xml:space="preserve"> protein levels</w:t>
      </w:r>
      <w:r w:rsidR="00730202" w:rsidRPr="00C56699">
        <w:t xml:space="preserve"> w</w:t>
      </w:r>
      <w:r w:rsidR="00414B77" w:rsidRPr="00C56699">
        <w:t>ere</w:t>
      </w:r>
      <w:r w:rsidR="00730202" w:rsidRPr="00C56699">
        <w:t xml:space="preserve"> associated with better overall survival</w:t>
      </w:r>
      <w:r w:rsidR="00AE6E34" w:rsidRPr="00C56699">
        <w:t xml:space="preserve"> (P=0.02)</w:t>
      </w:r>
      <w:r w:rsidR="00730202" w:rsidRPr="00C56699">
        <w:t xml:space="preserve"> </w:t>
      </w:r>
      <w:r w:rsidR="005C1BE2" w:rsidRPr="00C56699">
        <w:t>in</w:t>
      </w:r>
      <w:r w:rsidR="00730202" w:rsidRPr="00C56699">
        <w:t xml:space="preserve"> all </w:t>
      </w:r>
      <w:r w:rsidR="005C1BE2" w:rsidRPr="00C56699">
        <w:t>ECs</w:t>
      </w:r>
      <w:r w:rsidR="00414B77" w:rsidRPr="00C56699">
        <w:t>,</w:t>
      </w:r>
      <w:r w:rsidR="00730202" w:rsidRPr="00C56699">
        <w:t xml:space="preserve"> </w:t>
      </w:r>
      <w:r w:rsidR="005C1BE2" w:rsidRPr="00C56699">
        <w:t>but</w:t>
      </w:r>
      <w:r w:rsidR="00730202" w:rsidRPr="00C56699">
        <w:t xml:space="preserve"> in highly</w:t>
      </w:r>
      <w:r w:rsidR="00414B77" w:rsidRPr="00C56699">
        <w:t>-</w:t>
      </w:r>
      <w:r w:rsidR="00730202" w:rsidRPr="00C56699">
        <w:t>E</w:t>
      </w:r>
      <w:r w:rsidR="00414B77" w:rsidRPr="00C56699">
        <w:t>R</w:t>
      </w:r>
      <w:r w:rsidR="00730202" w:rsidRPr="00C56699">
        <w:t>α</w:t>
      </w:r>
      <w:r w:rsidR="00681A47" w:rsidRPr="00C56699">
        <w:t>-</w:t>
      </w:r>
      <w:r w:rsidR="00730202" w:rsidRPr="00C56699">
        <w:t xml:space="preserve">expressing </w:t>
      </w:r>
      <w:r w:rsidR="005C1BE2" w:rsidRPr="00C56699">
        <w:t>ECs</w:t>
      </w:r>
      <w:r w:rsidR="00730202" w:rsidRPr="00C56699">
        <w:t>, AGR2 associate</w:t>
      </w:r>
      <w:r w:rsidR="005C1BE2" w:rsidRPr="00C56699">
        <w:t>d</w:t>
      </w:r>
      <w:r w:rsidR="00730202" w:rsidRPr="00C56699">
        <w:t xml:space="preserve"> with unfavourable patient outcome</w:t>
      </w:r>
      <w:r w:rsidR="00AB2950" w:rsidRPr="00C56699">
        <w:t>.</w:t>
      </w:r>
      <w:r w:rsidR="003C26F2" w:rsidRPr="00C56699">
        <w:t xml:space="preserve"> </w:t>
      </w:r>
      <w:r w:rsidR="005405A9" w:rsidRPr="00C56699">
        <w:t>Androgen</w:t>
      </w:r>
      <w:r w:rsidR="00054742" w:rsidRPr="00C56699">
        <w:t xml:space="preserve"> </w:t>
      </w:r>
      <w:r w:rsidR="005405A9" w:rsidRPr="00C56699">
        <w:t>through its receptor, downregulate</w:t>
      </w:r>
      <w:r w:rsidR="004C076D" w:rsidRPr="00C56699">
        <w:t>d</w:t>
      </w:r>
      <w:r w:rsidR="005405A9" w:rsidRPr="00C56699">
        <w:t xml:space="preserve"> </w:t>
      </w:r>
      <w:r w:rsidR="005405A9" w:rsidRPr="00C56699">
        <w:rPr>
          <w:i/>
          <w:iCs/>
        </w:rPr>
        <w:t>AGR2</w:t>
      </w:r>
      <w:r w:rsidR="00414B77" w:rsidRPr="00C56699">
        <w:t xml:space="preserve"> mRNA</w:t>
      </w:r>
      <w:r w:rsidR="005405A9" w:rsidRPr="00C56699">
        <w:t xml:space="preserve"> in </w:t>
      </w:r>
      <w:r w:rsidR="00054742" w:rsidRPr="00C56699">
        <w:t xml:space="preserve">the </w:t>
      </w:r>
      <w:r w:rsidR="005405A9" w:rsidRPr="00C56699">
        <w:t>I</w:t>
      </w:r>
      <w:r w:rsidR="00567A37" w:rsidRPr="00C56699">
        <w:t>shikawa cells</w:t>
      </w:r>
      <w:r w:rsidR="005405A9" w:rsidRPr="00C56699">
        <w:t xml:space="preserve">. </w:t>
      </w:r>
    </w:p>
    <w:p w14:paraId="222E42DB" w14:textId="0FD54343" w:rsidR="0013554D" w:rsidRPr="00C56699" w:rsidRDefault="00E400A7" w:rsidP="00034869">
      <w:r w:rsidRPr="00C56699">
        <w:rPr>
          <w:b/>
          <w:i/>
        </w:rPr>
        <w:t>C</w:t>
      </w:r>
      <w:r w:rsidR="0013554D" w:rsidRPr="00C56699">
        <w:rPr>
          <w:b/>
          <w:i/>
        </w:rPr>
        <w:t>onclusion</w:t>
      </w:r>
      <w:r w:rsidRPr="00C56699">
        <w:rPr>
          <w:b/>
          <w:i/>
        </w:rPr>
        <w:t>:</w:t>
      </w:r>
      <w:r w:rsidR="0013554D" w:rsidRPr="00C56699">
        <w:t xml:space="preserve"> </w:t>
      </w:r>
      <w:r w:rsidR="00A350BD" w:rsidRPr="00C56699">
        <w:t xml:space="preserve">AGR2 is </w:t>
      </w:r>
      <w:r w:rsidR="00EE2B45" w:rsidRPr="00C56699">
        <w:t>over</w:t>
      </w:r>
      <w:r w:rsidR="00082FE9" w:rsidRPr="00C56699">
        <w:t xml:space="preserve">expressed </w:t>
      </w:r>
      <w:r w:rsidR="00A350BD" w:rsidRPr="00C56699">
        <w:t xml:space="preserve">in low grade </w:t>
      </w:r>
      <w:r w:rsidR="005C1BE2" w:rsidRPr="00C56699">
        <w:t xml:space="preserve">ECs </w:t>
      </w:r>
      <w:r w:rsidR="00EE2B45" w:rsidRPr="00C56699">
        <w:t xml:space="preserve">and positively </w:t>
      </w:r>
      <w:r w:rsidR="00A350BD" w:rsidRPr="00C56699">
        <w:t>associate</w:t>
      </w:r>
      <w:r w:rsidR="0008400D" w:rsidRPr="00C56699">
        <w:t>d</w:t>
      </w:r>
      <w:r w:rsidR="00A350BD" w:rsidRPr="00C56699">
        <w:t xml:space="preserve"> with hormone receptors</w:t>
      </w:r>
      <w:r w:rsidR="00BA51D1" w:rsidRPr="00C56699">
        <w:t>.</w:t>
      </w:r>
      <w:r w:rsidR="00E0300B" w:rsidRPr="00C56699">
        <w:t xml:space="preserve"> </w:t>
      </w:r>
      <w:r w:rsidR="005B2B25" w:rsidRPr="00C56699">
        <w:t>The association</w:t>
      </w:r>
      <w:r w:rsidR="005442D3" w:rsidRPr="00C56699">
        <w:t xml:space="preserve"> </w:t>
      </w:r>
      <w:r w:rsidR="00414B77" w:rsidRPr="00C56699">
        <w:t xml:space="preserve">between </w:t>
      </w:r>
      <w:r w:rsidR="00082FE9" w:rsidRPr="00C56699">
        <w:t xml:space="preserve">high </w:t>
      </w:r>
      <w:r w:rsidR="005442D3" w:rsidRPr="00C56699">
        <w:t>AGR2</w:t>
      </w:r>
      <w:r w:rsidR="005B2B25" w:rsidRPr="00C56699">
        <w:t xml:space="preserve"> </w:t>
      </w:r>
      <w:r w:rsidR="00414B77" w:rsidRPr="00C56699">
        <w:t xml:space="preserve">and </w:t>
      </w:r>
      <w:r w:rsidR="00082FE9" w:rsidRPr="00C56699">
        <w:t xml:space="preserve">progressive disease </w:t>
      </w:r>
      <w:r w:rsidR="005B2B25" w:rsidRPr="00C56699">
        <w:t xml:space="preserve">within </w:t>
      </w:r>
      <w:r w:rsidR="00414B77" w:rsidRPr="00C56699">
        <w:t xml:space="preserve">the </w:t>
      </w:r>
      <w:r w:rsidR="00730202" w:rsidRPr="00C56699">
        <w:t>high</w:t>
      </w:r>
      <w:r w:rsidR="00414B77" w:rsidRPr="00C56699">
        <w:t>-</w:t>
      </w:r>
      <w:r w:rsidR="00730202" w:rsidRPr="00C56699">
        <w:t>E</w:t>
      </w:r>
      <w:r w:rsidR="00911D25" w:rsidRPr="00C56699">
        <w:t>R</w:t>
      </w:r>
      <w:r w:rsidR="00730202" w:rsidRPr="00C56699">
        <w:t>α</w:t>
      </w:r>
      <w:r w:rsidR="00414B77" w:rsidRPr="00C56699">
        <w:t>-</w:t>
      </w:r>
      <w:r w:rsidR="00730202" w:rsidRPr="00C56699">
        <w:t xml:space="preserve">expressing </w:t>
      </w:r>
      <w:r w:rsidR="005C1BE2" w:rsidRPr="00C56699">
        <w:t>ECs</w:t>
      </w:r>
      <w:r w:rsidR="005B2B25" w:rsidRPr="00C56699">
        <w:t xml:space="preserve"> </w:t>
      </w:r>
      <w:r w:rsidR="00414B77" w:rsidRPr="00C56699">
        <w:t>suggests that in this group of patients, AGR2 might be a potential biomarker of poor prognosis</w:t>
      </w:r>
      <w:r w:rsidR="005B2B25" w:rsidRPr="00C56699">
        <w:t>.</w:t>
      </w:r>
      <w:r w:rsidR="005405A9" w:rsidRPr="00C56699">
        <w:t xml:space="preserve"> </w:t>
      </w:r>
      <w:r w:rsidR="0041289A" w:rsidRPr="00C56699">
        <w:t xml:space="preserve"> </w:t>
      </w:r>
    </w:p>
    <w:bookmarkEnd w:id="1"/>
    <w:p w14:paraId="159000CD" w14:textId="77777777" w:rsidR="00EB188C" w:rsidRPr="00C56699" w:rsidRDefault="00EB188C" w:rsidP="00411DA0">
      <w:pPr>
        <w:pStyle w:val="Heading1"/>
      </w:pPr>
      <w:r w:rsidRPr="00C56699">
        <w:t>Introduction</w:t>
      </w:r>
    </w:p>
    <w:p w14:paraId="507B7E9B" w14:textId="7710FBFC" w:rsidR="0064403D" w:rsidRPr="00C56699" w:rsidRDefault="00335DD5" w:rsidP="00806359">
      <w:r w:rsidRPr="00C56699">
        <w:t>Endometrial cancer (EC) is the</w:t>
      </w:r>
      <w:r w:rsidR="00550D46" w:rsidRPr="00C56699">
        <w:t xml:space="preserve"> </w:t>
      </w:r>
      <w:r w:rsidR="0011656A" w:rsidRPr="00C56699">
        <w:t xml:space="preserve">most </w:t>
      </w:r>
      <w:r w:rsidRPr="00C56699">
        <w:t>commo</w:t>
      </w:r>
      <w:r w:rsidR="0011656A" w:rsidRPr="00C56699">
        <w:t>n</w:t>
      </w:r>
      <w:r w:rsidRPr="00C56699">
        <w:t xml:space="preserve"> gynecological cancer in the </w:t>
      </w:r>
      <w:r w:rsidR="00CB4CEF" w:rsidRPr="00C56699">
        <w:t xml:space="preserve">Western </w:t>
      </w:r>
      <w:r w:rsidR="00E400A7" w:rsidRPr="00C56699">
        <w:t>world</w:t>
      </w:r>
      <w:r w:rsidRPr="00C56699">
        <w:t xml:space="preserve"> and the </w:t>
      </w:r>
      <w:r w:rsidR="00E400A7" w:rsidRPr="00C56699">
        <w:t xml:space="preserve">incidence is expected to </w:t>
      </w:r>
      <w:r w:rsidR="00345DAB" w:rsidRPr="00C56699">
        <w:t>double by 2025</w:t>
      </w:r>
      <w:r w:rsidR="00E22FF3" w:rsidRPr="00C56699">
        <w:t xml:space="preserve"> </w:t>
      </w:r>
      <w:r w:rsidR="00E22FF3" w:rsidRPr="00C56699">
        <w:fldChar w:fldCharType="begin" w:fldLock="1"/>
      </w:r>
      <w:r w:rsidR="008004D4" w:rsidRPr="00C56699">
        <w:instrText>ADDIN CSL_CITATION {"citationItems":[{"id":"ITEM-1","itemData":{"abstract":"BACKGROUND: Projections of cancer incidence are important for planning health services and to provide a baseline for assessing the impact of public health interventions.\\n\\nMETHODS: Rates estimated from smooth function age-period-cohort modelling of cancer incidence data from Great Britain 1975 to 2007 are extrapolated to 2030 and applied to UK population projections. Prostate and breast cancer projections take into account the effect of screening.\\n\\nRESULTS: Overall rates of cancer are projected to be stable over the next 20 years, but this masks individual changes. In both sexes, age-standardised rates of cancers of the stomach, larynx, bladder and leukaemia are projected to fall by ≥1% per year, whereas cancers of the lip, mouth and pharynx (ICD-10 C00-C14) and melanoma are projected to increase by ≥1% per year. The growing and aging populations will have a substantial impact: numbers of cancers in men and women are projected to increase by 55% (from 149,169 to 231,026) and 35% (from 148,716 to 200,929), respectively, between 2007 and 2030. The model used yields similar results to those of Nordpred, but is more flexible.\\n\\nCONCLUSION: Without new initiatives for smoking and obesity reduction, the number of cancers in the United Kingdom will increase substantially reflecting the growing and aging populations.","author":[{"dropping-particle":"","family":"Mistry","given":"M","non-dropping-particle":"","parse-names":false,"suffix":""},{"dropping-particle":"","family":"Parkin","given":"D M","non-dropping-particle":"","parse-names":false,"suffix":""},{"dropping-particle":"","family":"Ahmad","given":"A S","non-dropping-particle":"","parse-names":false,"suffix":""},{"dropping-particle":"","family":"Sasieni","given":"P","non-dropping-particle":"","parse-names":false,"suffix":""}],"container-title":"British journal of cancer","id":"ITEM-1","issue":"11","issued":{"date-parts":[["2011"]]},"page":"1795-803","publisher":"Cancer Research UK","title":"Cancer incidence in the United Kingdom: projections to the year 2030.","title-short":"Br J Cancer","type":"article-journal","volume":"105"},"uris":["http://www.mendeley.com/documents/?uuid=c2c64eee-1e7d-4d33-b474-e4a6a475333a"]}],"mendeley":{"formattedCitation":"[1]","plainTextFormattedCitation":"[1]","previouslyFormattedCitation":"[1]"},"properties":{"noteIndex":0},"schema":"https://github.com/citation-style-language/schema/raw/master/csl-citation.json"}</w:instrText>
      </w:r>
      <w:r w:rsidR="00E22FF3" w:rsidRPr="00C56699">
        <w:fldChar w:fldCharType="separate"/>
      </w:r>
      <w:r w:rsidR="00411DA0" w:rsidRPr="00C56699">
        <w:rPr>
          <w:noProof/>
        </w:rPr>
        <w:t>[1]</w:t>
      </w:r>
      <w:r w:rsidR="00E22FF3" w:rsidRPr="00C56699">
        <w:fldChar w:fldCharType="end"/>
      </w:r>
      <w:r w:rsidR="00345DAB" w:rsidRPr="00C56699">
        <w:t xml:space="preserve">; </w:t>
      </w:r>
      <w:r w:rsidR="006E636F" w:rsidRPr="00C56699">
        <w:t>EC</w:t>
      </w:r>
      <w:r w:rsidR="001928FC" w:rsidRPr="00C56699">
        <w:t>-</w:t>
      </w:r>
      <w:r w:rsidR="006E636F" w:rsidRPr="00C56699">
        <w:t xml:space="preserve">associated mortality </w:t>
      </w:r>
      <w:r w:rsidR="00345DAB" w:rsidRPr="00C56699">
        <w:t xml:space="preserve">also is increasing </w:t>
      </w:r>
      <w:r w:rsidR="006E636F" w:rsidRPr="00C56699">
        <w:t>in an era of decreas</w:t>
      </w:r>
      <w:r w:rsidR="00E400A7" w:rsidRPr="00C56699">
        <w:t>ing</w:t>
      </w:r>
      <w:r w:rsidR="006E636F" w:rsidRPr="00C56699">
        <w:t xml:space="preserve"> cancer-related mortality</w:t>
      </w:r>
      <w:r w:rsidR="00345DAB" w:rsidRPr="00C56699">
        <w:t xml:space="preserve"> in many other cancer</w:t>
      </w:r>
      <w:r w:rsidR="00CB4CEF" w:rsidRPr="00C56699">
        <w:t>s</w:t>
      </w:r>
      <w:r w:rsidR="00AE6E34" w:rsidRPr="00C56699">
        <w:t xml:space="preserve"> </w:t>
      </w:r>
      <w:r w:rsidR="00AE6E34" w:rsidRPr="00C56699">
        <w:fldChar w:fldCharType="begin" w:fldLock="1"/>
      </w:r>
      <w:r w:rsidR="008004D4" w:rsidRPr="00C56699">
        <w:instrText>ADDIN CSL_CITATION {"citationItems":[{"id":"ITEM-1","itemData":{"DOI":"10.1038/bjc.2016.304","ISSN":"0007-0920","PMID":"27727232","abstract":"BACKGROUND Cancer incidence and mortality projections are important for understanding the evolving landscape for cancer risk factors as well as anticipating future burden on the health service. METHODS We used an age-period-cohort model with natural cubic splines to estimate cancer cases and deaths from 2015 to 2035 based on 1979-2014 UK data. This was converted to rates using ONS population projections. Modified data sets were generated for breast and prostate cancers. RESULTS Cancer incidence rates are projected to decrease by 0.03% in males and increase by 0.11% in females yearly between 2015 and 2035; thyroid, liver, oral and kidney cancer are among the fastest accelerating cancers. 243 690 female and 270 261 male cancer cases are projected for 2035. Breast and prostate cancers are projected to be the most common cancers among females and males, respectively in 2035. Most cancers' mortality rate is decreasing; there are notable increases for liver, oral and anal cancer. For 2035, there are 95 961 female deaths projected and 116 585 male deaths projected. CONCLUSIONS These findings stress the need to continue efforts to address cancer risk factors. Furthermore, the increased burden of the number of cancer cases and deaths as a result of the growing and ageing population should be taken into consideration by healthcare planners.","author":[{"dropping-particle":"","family":"Smittenaar","given":"C R","non-dropping-particle":"","parse-names":false,"suffix":""},{"dropping-particle":"","family":"Petersen","given":"K A","non-dropping-particle":"","parse-names":false,"suffix":""},{"dropping-particle":"","family":"Stewart","given":"K","non-dropping-particle":"","parse-names":false,"suffix":""},{"dropping-particle":"","family":"Moitt","given":"N","non-dropping-particle":"","parse-names":false,"suffix":""}],"container-title":"British Journal of Cancer","id":"ITEM-1","issue":"9","issued":{"date-parts":[["2016","10","25"]]},"page":"1147-1155","title":"Cancer incidence and mortality projections in the UK until 2035","type":"article-journal","volume":"115"},"uris":["http://www.mendeley.com/documents/?uuid=fde90509-6105-35cd-9036-f38c808ea855"]}],"mendeley":{"formattedCitation":"[2]","plainTextFormattedCitation":"[2]","previouslyFormattedCitation":"[2]"},"properties":{"noteIndex":0},"schema":"https://github.com/citation-style-language/schema/raw/master/csl-citation.json"}</w:instrText>
      </w:r>
      <w:r w:rsidR="00AE6E34" w:rsidRPr="00C56699">
        <w:fldChar w:fldCharType="separate"/>
      </w:r>
      <w:r w:rsidR="00411DA0" w:rsidRPr="00C56699">
        <w:rPr>
          <w:noProof/>
        </w:rPr>
        <w:t>[2]</w:t>
      </w:r>
      <w:r w:rsidR="00AE6E34" w:rsidRPr="00C56699">
        <w:fldChar w:fldCharType="end"/>
      </w:r>
      <w:r w:rsidR="00345DAB" w:rsidRPr="00C56699">
        <w:t>.</w:t>
      </w:r>
      <w:r w:rsidR="006E636F" w:rsidRPr="00C56699">
        <w:t xml:space="preserve"> </w:t>
      </w:r>
      <w:r w:rsidR="009E14F7" w:rsidRPr="00C56699">
        <w:t xml:space="preserve">Although </w:t>
      </w:r>
      <w:r w:rsidR="00183EE8" w:rsidRPr="00C56699">
        <w:t>hysterectomy</w:t>
      </w:r>
      <w:r w:rsidR="009E14F7" w:rsidRPr="00C56699">
        <w:t xml:space="preserve"> </w:t>
      </w:r>
      <w:r w:rsidR="00E400A7" w:rsidRPr="00C56699">
        <w:t xml:space="preserve">is </w:t>
      </w:r>
      <w:r w:rsidR="00E400A7" w:rsidRPr="00C56699">
        <w:lastRenderedPageBreak/>
        <w:t>curative</w:t>
      </w:r>
      <w:r w:rsidR="009E14F7" w:rsidRPr="00C56699">
        <w:t xml:space="preserve"> in most </w:t>
      </w:r>
      <w:r w:rsidR="004820CB" w:rsidRPr="00C56699">
        <w:t xml:space="preserve">women with </w:t>
      </w:r>
      <w:r w:rsidR="009E14F7" w:rsidRPr="00C56699">
        <w:t>E</w:t>
      </w:r>
      <w:r w:rsidR="0011785C" w:rsidRPr="00C56699">
        <w:t>C</w:t>
      </w:r>
      <w:r w:rsidR="009E14F7" w:rsidRPr="00C56699">
        <w:t>s</w:t>
      </w:r>
      <w:r w:rsidR="00B70844" w:rsidRPr="00C56699">
        <w:t>,</w:t>
      </w:r>
      <w:r w:rsidR="0064403D" w:rsidRPr="00C56699">
        <w:t xml:space="preserve"> 2-15% of early stage and </w:t>
      </w:r>
      <w:r w:rsidR="00E400A7" w:rsidRPr="00C56699">
        <w:t xml:space="preserve">over </w:t>
      </w:r>
      <w:r w:rsidR="0064403D" w:rsidRPr="00C56699">
        <w:t>50% of advance stage EC</w:t>
      </w:r>
      <w:r w:rsidR="004820CB" w:rsidRPr="00C56699">
        <w:t>s</w:t>
      </w:r>
      <w:r w:rsidR="0064403D" w:rsidRPr="00C56699">
        <w:t xml:space="preserve"> will eventually </w:t>
      </w:r>
      <w:r w:rsidR="00625F7D" w:rsidRPr="00C56699">
        <w:t>recur with poor</w:t>
      </w:r>
      <w:r w:rsidR="00CB4CEF" w:rsidRPr="00C56699">
        <w:t xml:space="preserve"> patient</w:t>
      </w:r>
      <w:r w:rsidR="00625F7D" w:rsidRPr="00C56699">
        <w:t xml:space="preserve"> outcome</w:t>
      </w:r>
      <w:r w:rsidR="0064403D" w:rsidRPr="00C56699">
        <w:t xml:space="preserve"> </w:t>
      </w:r>
      <w:r w:rsidR="00E22FF3" w:rsidRPr="00C56699">
        <w:fldChar w:fldCharType="begin" w:fldLock="1"/>
      </w:r>
      <w:r w:rsidR="008004D4" w:rsidRPr="00C56699">
        <w:instrText>ADDIN CSL_CITATION {"citationItems":[{"id":"ITEM-1","itemData":{"DOI":"10.1093/annonc/mdv484","ISSN":"0923-7534","PMID":"26683800","author":[{"dropping-particle":"","family":"Colombo","given":"N.","non-dropping-particle":"","parse-names":false,"suffix":""},{"dropping-particle":"","family":"Creutzberg","given":"C.","non-dropping-particle":"","parse-names":false,"suffix":""},{"dropping-particle":"","family":"Amant","given":"F.","non-dropping-particle":"","parse-names":false,"suffix":""},{"dropping-particle":"","family":"Bosse","given":"T.","non-dropping-particle":"","parse-names":false,"suffix":""},{"dropping-particle":"","family":"González-Martín","given":"A.","non-dropping-particle":"","parse-names":false,"suffix":""},{"dropping-particle":"","family":"Ledermann","given":"J.","non-dropping-particle":"","parse-names":false,"suffix":""},{"dropping-particle":"","family":"Marth","given":"C.","non-dropping-particle":"","parse-names":false,"suffix":""},{"dropping-particle":"","family":"Nout","given":"R.","non-dropping-particle":"","parse-names":false,"suffix":""},{"dropping-particle":"","family":"Querleu","given":"D.","non-dropping-particle":"","parse-names":false,"suffix":""},{"dropping-particle":"","family":"Mirza","given":"M.R.","non-dropping-particle":"","parse-names":false,"suffix":""},{"dropping-particle":"","family":"Sessa","given":"C.","non-dropping-particle":"","parse-names":false,"suffix":""}],"container-title":"Annals of Oncology","id":"ITEM-1","issue":"1","issued":{"date-parts":[["2015"]]},"page":"16-41","title":"ESMO-ESGO-ESTRO Consensus Conference on Endometrial Cancer: diagnosis, treatment and follow-up","type":"article-journal","volume":"27"},"uris":["http://www.mendeley.com/documents/?uuid=27b64a6e-7b6e-4320-b24b-e8b19a48b83a"]},{"id":"ITEM-2","itemData":{"DOI":"10.1016/j.ygyno.2006.02.011","ISSN":"0090-8258","PMID":"16556457","abstract":"OBJECTIVE: To determine the optimum follow-up of women who are clinically disease-free following potentially curative treatment for endometrial cancer.\n\nMETHODS: A systematic search of MEDLINE, EMBASE and the Cochrane Library databases (1980 to October 2005) was conducted. Data were pooled across trials to determine overall estimates of recurrence patterns.\n\nRESULTS: Sixteen non-comparative retrospective studies were identified. The overall risk of recurrence was 13% for all patients and 3% or less for patients at low risk. Approximately 70% of all recurrences were symptomatic, and 68% to 100% of recurrences occurred within approximately the first 3 years of follow-up. No reliable differences in survival were detected between patients with symptomatic or asymptomatic recurrences nor were differences in patient outcomes reported by type of follow-up strategy employed. Detection of asymptomatic recurrences ranged from 5% to 33% of patients with physical examination, 0% to 4% with vaginal vault cytology, 0% to 14% with chest X-ray, 4% to 13% with abdominal ultrasound, 5% to 21% with abdominal/pelvic CT scan, and 15% in selected patients with CA 125.\n\nCONCLUSIONS: There is limited evidence to inform whether intensive follow-up schedules with multiple routine diagnostic interventions result in survival benefits any more or less than non-intensive follow-up schedules without multiple routine diagnostic interventions. Routine testing seems to be of limited benefit for patients at low risk of disease. Most recurrences tend to occur in high risk patients within 3 years, and most recurrences involve symptoms. The most appropriate follow-up strategy is likely one based upon the risk of recurrence and the natural history of the disease. Counseling on the potential symptoms of recurrence is extremely important because the majority of patients with recurrences were symptomatic. A proposed routine follow-up schedule is offered.","author":[{"dropping-particle":"","family":"Fung-Kee-Fung","given":"Michael","non-dropping-particle":"","parse-names":false,"suffix":""},{"dropping-particle":"","family":"Dodge","given":"Jason","non-dropping-particle":"","parse-names":false,"suffix":""},{"dropping-particle":"","family":"Elit","given":"Laurie","non-dropping-particle":"","parse-names":false,"suffix":""},{"dropping-particle":"","family":"Lukka","given":"Himu","non-dropping-particle":"","parse-names":false,"suffix":""},{"dropping-particle":"","family":"Chambers","given":"Alex","non-dropping-particle":"","parse-names":false,"suffix":""},{"dropping-particle":"","family":"Oliver","given":"Tom","non-dropping-particle":"","parse-names":false,"suffix":""}],"container-title":"Gynecologic oncology","id":"ITEM-2","issue":"3","issued":{"date-parts":[["2006","6"]]},"page":"520-9","title":"Follow-up after primary therapy for endometrial cancer: a systematic review.","type":"article-journal","volume":"101"},"uris":["http://www.mendeley.com/documents/?uuid=0f2db880-8c7b-40d8-97b9-c2b2637d5a61"]}],"mendeley":{"formattedCitation":"[3,4]","plainTextFormattedCitation":"[3,4]","previouslyFormattedCitation":"[3,4]"},"properties":{"noteIndex":0},"schema":"https://github.com/citation-style-language/schema/raw/master/csl-citation.json"}</w:instrText>
      </w:r>
      <w:r w:rsidR="00E22FF3" w:rsidRPr="00C56699">
        <w:fldChar w:fldCharType="separate"/>
      </w:r>
      <w:r w:rsidR="00411DA0" w:rsidRPr="00C56699">
        <w:rPr>
          <w:noProof/>
        </w:rPr>
        <w:t>[3,4]</w:t>
      </w:r>
      <w:r w:rsidR="00E22FF3" w:rsidRPr="00C56699">
        <w:fldChar w:fldCharType="end"/>
      </w:r>
      <w:r w:rsidR="0064403D" w:rsidRPr="00C56699">
        <w:t xml:space="preserve">. </w:t>
      </w:r>
      <w:r w:rsidR="00C91CFE" w:rsidRPr="00C56699">
        <w:t>The currently</w:t>
      </w:r>
      <w:r w:rsidR="001928FC" w:rsidRPr="00C56699">
        <w:t>-</w:t>
      </w:r>
      <w:r w:rsidR="00C91CFE" w:rsidRPr="00C56699">
        <w:t>available c</w:t>
      </w:r>
      <w:r w:rsidR="0064403D" w:rsidRPr="00C56699">
        <w:t>linicopathological classification of EC patients into low, intermediate and high risk</w:t>
      </w:r>
      <w:r w:rsidR="001928FC" w:rsidRPr="00C56699">
        <w:t xml:space="preserve"> sub-groups</w:t>
      </w:r>
      <w:r w:rsidR="0064403D" w:rsidRPr="00C56699">
        <w:t xml:space="preserve"> has been criticized </w:t>
      </w:r>
      <w:r w:rsidR="0064403D" w:rsidRPr="00C56699">
        <w:rPr>
          <w:noProof/>
        </w:rPr>
        <w:t>to be of limited specificity in</w:t>
      </w:r>
      <w:r w:rsidR="003F6D71" w:rsidRPr="00C56699">
        <w:rPr>
          <w:noProof/>
        </w:rPr>
        <w:t xml:space="preserve"> </w:t>
      </w:r>
      <w:r w:rsidR="0064403D" w:rsidRPr="00C56699">
        <w:rPr>
          <w:noProof/>
        </w:rPr>
        <w:t>stratif</w:t>
      </w:r>
      <w:r w:rsidR="002E2903" w:rsidRPr="00C56699">
        <w:rPr>
          <w:noProof/>
        </w:rPr>
        <w:t>ying</w:t>
      </w:r>
      <w:r w:rsidR="0064403D" w:rsidRPr="00C56699">
        <w:rPr>
          <w:noProof/>
        </w:rPr>
        <w:t xml:space="preserve"> patients for postsurgical management</w:t>
      </w:r>
      <w:r w:rsidR="00B70844" w:rsidRPr="00C56699">
        <w:rPr>
          <w:noProof/>
        </w:rPr>
        <w:t xml:space="preserve"> </w:t>
      </w:r>
      <w:r w:rsidR="00E22FF3" w:rsidRPr="00C56699">
        <w:rPr>
          <w:noProof/>
        </w:rPr>
        <w:fldChar w:fldCharType="begin" w:fldLock="1"/>
      </w:r>
      <w:r w:rsidR="008004D4" w:rsidRPr="00C56699">
        <w:rPr>
          <w:noProof/>
        </w:rPr>
        <w:instrText>ADDIN CSL_CITATION {"citationItems":[{"id":"ITEM-1","itemData":{"DOI":"10.1016/j.ejca.2016.03.079","ISSN":"1879-0852","PMID":"27153472","abstract":"BACKGROUND Several models (preoperative and postoperative) have been developed to predict lymph node metastasis (LNM) in patients with endometrial cancer. The purpose of our investigation was to compare available models in a multicentre study. METHODS In a cohort of 519 patients with endometrial cancer who had undergone primary hysterectomy and at least a pelvic lymphadenectomy, we compared the areas under the receiver-operating characteristic curves (AUCs), calibrations, rates of false negatives (FN), and the number of patients at low-risk for LNM using ten different models (three preoperative and seven postoperative). RESULTS In all, 17.5% of patients among the study population (91 in 519) had LNM. Only one of the three preoperative models and three of the seven postoperative models had an AUC &gt;0.75. Six models were well calibrated. Eight models yielded an FN rate of &lt;5%. Six models could assign more than a third of patients to the low-risk group. One postoperative (a French nomogram) and one preoperative (the Korean Gynecologic Oncology Group [KGOG]) model had an AUC &gt;0.75, to yield an FN rate of &lt;5%, and could assign more than a third of patients to the low-risk group. CONCLUSIONS This study supports the use of the KGOG model to decide upon lymphadenectomy preoperatively in patients with endometrial cancer. For patients who did not have lymphadenectomy, a French nomogram could be applied using pathological characteristics to decide on a secondary lymphadenectomy.","author":[{"dropping-particle":"","family":"Koskas","given":"Martin","non-dropping-particle":"","parse-names":false,"suffix":""},{"dropping-particle":"","family":"Fournier","given":"Marie","non-dropping-particle":"","parse-names":false,"suffix":""},{"dropping-particle":"","family":"Vanderstraeten","given":"Anke","non-dropping-particle":"","parse-names":false,"suffix":""},{"dropping-particle":"","family":"Walker","given":"Francine","non-dropping-particle":"","parse-names":false,"suffix":""},{"dropping-particle":"","family":"Timmerman","given":"Dirk","non-dropping-particle":"","parse-names":false,"suffix":""},{"dropping-particle":"","family":"Vergote","given":"Ignace","non-dropping-particle":"","parse-names":false,"suffix":""},{"dropping-particle":"","family":"Amant","given":"Frédéric","non-dropping-particle":"","parse-names":false,"suffix":""}],"container-title":"European journal of cancer","id":"ITEM-1","issued":{"date-parts":[["2016","7"]]},"page":"52-60","title":"Evaluation of models to predict lymph node metastasis in endometrial cancer: A multicentre study.","type":"article-journal","volume":"61"},"uris":["http://www.mendeley.com/documents/?uuid=7cbef110-dbd5-3861-bdd0-1a9dfb448997"]}],"mendeley":{"formattedCitation":"[5]","plainTextFormattedCitation":"[5]","previouslyFormattedCitation":"[5]"},"properties":{"noteIndex":0},"schema":"https://github.com/citation-style-language/schema/raw/master/csl-citation.json"}</w:instrText>
      </w:r>
      <w:r w:rsidR="00E22FF3" w:rsidRPr="00C56699">
        <w:rPr>
          <w:noProof/>
        </w:rPr>
        <w:fldChar w:fldCharType="separate"/>
      </w:r>
      <w:r w:rsidR="00411DA0" w:rsidRPr="00C56699">
        <w:rPr>
          <w:noProof/>
        </w:rPr>
        <w:t>[5]</w:t>
      </w:r>
      <w:r w:rsidR="00E22FF3" w:rsidRPr="00C56699">
        <w:rPr>
          <w:noProof/>
        </w:rPr>
        <w:fldChar w:fldCharType="end"/>
      </w:r>
      <w:r w:rsidR="00806359" w:rsidRPr="00C56699">
        <w:rPr>
          <w:noProof/>
        </w:rPr>
        <w:t>.</w:t>
      </w:r>
      <w:r w:rsidR="0064403D" w:rsidRPr="00C56699">
        <w:t xml:space="preserve"> </w:t>
      </w:r>
      <w:r w:rsidR="00806359" w:rsidRPr="00C56699">
        <w:t>The recent</w:t>
      </w:r>
      <w:r w:rsidR="002E2903" w:rsidRPr="00C56699">
        <w:t>ly</w:t>
      </w:r>
      <w:r w:rsidR="00681A47" w:rsidRPr="00C56699">
        <w:t xml:space="preserve"> </w:t>
      </w:r>
      <w:r w:rsidR="002E2903" w:rsidRPr="00C56699">
        <w:t>proposed</w:t>
      </w:r>
      <w:r w:rsidR="008B0956" w:rsidRPr="00C56699">
        <w:t xml:space="preserve"> </w:t>
      </w:r>
      <w:r w:rsidR="0064403D" w:rsidRPr="00C56699">
        <w:t xml:space="preserve">molecular </w:t>
      </w:r>
      <w:r w:rsidR="00806359" w:rsidRPr="00C56699">
        <w:t xml:space="preserve">classification of EC is projected to improve </w:t>
      </w:r>
      <w:r w:rsidR="00C91CFE" w:rsidRPr="00C56699">
        <w:t>this</w:t>
      </w:r>
      <w:r w:rsidR="002E2903" w:rsidRPr="00C56699">
        <w:t>,</w:t>
      </w:r>
      <w:r w:rsidR="00806359" w:rsidRPr="00C56699">
        <w:t xml:space="preserve"> particularly after integrating the </w:t>
      </w:r>
      <w:r w:rsidR="002E2903" w:rsidRPr="00C56699">
        <w:t xml:space="preserve">suggested </w:t>
      </w:r>
      <w:r w:rsidR="00806359" w:rsidRPr="00C56699">
        <w:t xml:space="preserve">4 </w:t>
      </w:r>
      <w:r w:rsidR="001928FC" w:rsidRPr="00C56699">
        <w:t xml:space="preserve">molecular </w:t>
      </w:r>
      <w:r w:rsidR="00806359" w:rsidRPr="00C56699">
        <w:t xml:space="preserve">groups </w:t>
      </w:r>
      <w:r w:rsidR="0064403D" w:rsidRPr="00C56699">
        <w:t>with</w:t>
      </w:r>
      <w:r w:rsidR="003F6D71" w:rsidRPr="00C56699">
        <w:t xml:space="preserve"> </w:t>
      </w:r>
      <w:r w:rsidR="004820CB" w:rsidRPr="00C56699">
        <w:t>the</w:t>
      </w:r>
      <w:r w:rsidR="0064403D" w:rsidRPr="00C56699">
        <w:t xml:space="preserve"> </w:t>
      </w:r>
      <w:r w:rsidR="0011785C" w:rsidRPr="00C56699">
        <w:t xml:space="preserve">existing </w:t>
      </w:r>
      <w:r w:rsidR="0064403D" w:rsidRPr="00C56699">
        <w:rPr>
          <w:noProof/>
        </w:rPr>
        <w:t>clinicopathological</w:t>
      </w:r>
      <w:r w:rsidR="0064403D" w:rsidRPr="00C56699">
        <w:t xml:space="preserve"> </w:t>
      </w:r>
      <w:r w:rsidR="0011785C" w:rsidRPr="00C56699">
        <w:t>subgrouping</w:t>
      </w:r>
      <w:r w:rsidR="00CB4CEF" w:rsidRPr="00C56699">
        <w:t>s</w:t>
      </w:r>
      <w:r w:rsidR="0011785C" w:rsidRPr="00C56699">
        <w:t xml:space="preserve"> </w:t>
      </w:r>
      <w:r w:rsidR="00E22FF3" w:rsidRPr="00C56699">
        <w:fldChar w:fldCharType="begin" w:fldLock="1"/>
      </w:r>
      <w:r w:rsidR="008004D4" w:rsidRPr="00C56699">
        <w:instrText>ADDIN CSL_CITATION {"citationItems":[{"id":"ITEM-1","itemData":{"DOI":"10.1038/bjc.2015.190","ISSN":"0007-0920","abstract":"BACKGROUND: Classification of endometrial carcinomas (ECs) by morphologic features is inconsistent, and yields limited prognostic and predictive information. A new system for classification based on the molecular categories identified in The Cancer Genome Atlas is proposed. METHODS: Genomic data from the Cancer Genome Atlas (TCGA) support classification of endometrial carcinomas into four prognostically significant subgroups; we used the TCGA data set to develop surrogate assays that could replicate the TCGA classification, but without the need for the labor-intensive and cost-prohibitive genomic methodology. Combinations of the most relevant assays were carried forward and tested on a new independent cohort of 152 endometrial carcinoma cases, and molecular vs clinical risk group stratification was compared. RESULTS: Replication of TCGA survival curves was achieved with statistical significance using multiple different molecular classification models (16 total tested). Internal validation supported carrying forward a classifier based on the following components: mismatch repair protein immunohistochemistry, POLE mutational analysis and p53 immunohistochemistry as a surrogate for 'copy-number' status. The proposed molecular classifier was associated with clinical outcomes, as was stage, grade, lymph-vascular space invasion, nodal involvement and adjuvant treatment. In multivariable analysis both molecular classification and clinical risk groups were associated with outcomes, but differed greatly in composition of cases within each category, with half of POLE and mismatch repair loss subgroups residing within the clinically defined 'high-risk' group. Combining the molecular classifier with clinicopathologic features or risk groups provided the highest C-index for discrimination of outcome survival curves. CONCLUSIONS: Molecular classification of ECs can be achieved using clinically applicable methods on formalin-fixed paraffin-embedded samples, and provides independent prognostic information beyond established risk factors. This pragmatic molecular classification tool has potential to be used routinely in guiding treatment for individuals with endometrial carcinoma and in stratifying cases in future clinical trials.","author":[{"dropping-particle":"","family":"Talhouk","given":"A","non-dropping-particle":"","parse-names":false,"suffix":""},{"dropping-particle":"","family":"McConechy","given":"M K","non-dropping-particle":"","parse-names":false,"suffix":""},{"dropping-particle":"","family":"Leung","given":"S","non-dropping-particle":"","parse-names":false,"suffix":""},{"dropping-particle":"","family":"Li-Chang","given":"H H","non-dropping-particle":"","parse-names":false,"suffix":""},{"dropping-particle":"","family":"Kwon","given":"J S","non-dropping-particle":"","parse-names":false,"suffix":""},{"dropping-particle":"","family":"Melnyk","given":"N","non-dropping-particle":"","parse-names":false,"suffix":""},{"dropping-particle":"","family":"Yang","given":"W","non-dropping-particle":"","parse-names":false,"suffix":""},{"dropping-particle":"","family":"Senz","given":"J","non-dropping-particle":"","parse-names":false,"suffix":""},{"dropping-particle":"","family":"Boyd","given":"N","non-dropping-particle":"","parse-names":false,"suffix":""},{"dropping-particle":"","family":"Karnezis","given":"A N","non-dropping-particle":"","parse-names":false,"suffix":""},{"dropping-particle":"","family":"Huntsman","given":"D G","non-dropping-particle":"","parse-names":false,"suffix":""},{"dropping-particle":"","family":"Gilks","given":"C B","non-dropping-particle":"","parse-names":false,"suffix":""},{"dropping-particle":"","family":"McAlpine","given":"J N","non-dropping-particle":"","parse-names":false,"suffix":""}],"container-title":"British Journal of Cancer","edition":"2015/07/15","id":"ITEM-1","issue":"2","issued":{"date-parts":[["2015"]]},"language":"eng","note":"1532-1827\n\nTalhouk, A\n\nMcConechy, M K\n\nLeung, S\n\nLi-Chang, H H\n\nKwon, J S\n\nMelnyk, N\n\nYang, W\n\nSenz, J\n\nBoyd, N\n\nKarnezis, A N\n\nHuntsman, D G\n\nGilks, C B\n\nMcAlpine, J N\n\nJournal Article\n\nResearch Support, Non-U.S. Gov't\n\nEngland\n\nBr J Cancer. 2015 Jul 14;113(2):299-310. doi: 10.1038/bjc.2015.190. Epub 2015 Jun 30.","page":"299-310","title":"A clinically applicable molecular-based classification for endometrial cancers","type":"article-journal","volume":"113"},"uris":["http://www.mendeley.com/documents/?uuid=73f82391-ea9f-4c16-983b-72df809dd94e"]}],"mendeley":{"formattedCitation":"[6]","plainTextFormattedCitation":"[6]","previouslyFormattedCitation":"[6]"},"properties":{"noteIndex":0},"schema":"https://github.com/citation-style-language/schema/raw/master/csl-citation.json"}</w:instrText>
      </w:r>
      <w:r w:rsidR="00E22FF3" w:rsidRPr="00C56699">
        <w:fldChar w:fldCharType="separate"/>
      </w:r>
      <w:r w:rsidR="00411DA0" w:rsidRPr="00C56699">
        <w:rPr>
          <w:noProof/>
        </w:rPr>
        <w:t>[6]</w:t>
      </w:r>
      <w:r w:rsidR="00E22FF3" w:rsidRPr="00C56699">
        <w:fldChar w:fldCharType="end"/>
      </w:r>
      <w:r w:rsidR="0064403D" w:rsidRPr="00C56699">
        <w:t xml:space="preserve">; </w:t>
      </w:r>
      <w:r w:rsidR="00B70844" w:rsidRPr="00C56699">
        <w:t xml:space="preserve">however, </w:t>
      </w:r>
      <w:r w:rsidR="0064403D" w:rsidRPr="00C56699">
        <w:t xml:space="preserve">reliable </w:t>
      </w:r>
      <w:r w:rsidR="00550D46" w:rsidRPr="00C56699">
        <w:t>bio-</w:t>
      </w:r>
      <w:r w:rsidR="0064403D" w:rsidRPr="00C56699">
        <w:t xml:space="preserve">markers </w:t>
      </w:r>
      <w:r w:rsidR="00330C91" w:rsidRPr="00C56699">
        <w:t>to</w:t>
      </w:r>
      <w:r w:rsidR="0064403D" w:rsidRPr="00C56699">
        <w:t xml:space="preserve"> predict response to therapy or recurrence</w:t>
      </w:r>
      <w:r w:rsidR="00550D46" w:rsidRPr="00C56699">
        <w:t xml:space="preserve"> during </w:t>
      </w:r>
      <w:r w:rsidR="00550D46" w:rsidRPr="00C56699">
        <w:rPr>
          <w:noProof/>
        </w:rPr>
        <w:t>follow-up</w:t>
      </w:r>
      <w:r w:rsidR="00330C91" w:rsidRPr="00C56699">
        <w:t>,</w:t>
      </w:r>
      <w:r w:rsidR="0064403D" w:rsidRPr="00C56699">
        <w:t xml:space="preserve"> </w:t>
      </w:r>
      <w:r w:rsidR="00B70844" w:rsidRPr="00C56699">
        <w:t>are still</w:t>
      </w:r>
      <w:r w:rsidR="0064403D" w:rsidRPr="00C56699">
        <w:t xml:space="preserve"> lacking. </w:t>
      </w:r>
    </w:p>
    <w:p w14:paraId="350093FD" w14:textId="7DEEF2FE" w:rsidR="008B0956" w:rsidRPr="00C56699" w:rsidRDefault="00F22726" w:rsidP="00555061">
      <w:pPr>
        <w:rPr>
          <w:lang w:val="en-GB"/>
        </w:rPr>
      </w:pPr>
      <w:r w:rsidRPr="00C56699">
        <w:t xml:space="preserve">AGR2 is the human </w:t>
      </w:r>
      <w:r w:rsidR="00161F80" w:rsidRPr="00C56699">
        <w:t xml:space="preserve">homologue </w:t>
      </w:r>
      <w:r w:rsidRPr="00C56699">
        <w:t xml:space="preserve">of </w:t>
      </w:r>
      <w:proofErr w:type="spellStart"/>
      <w:r w:rsidRPr="00C56699">
        <w:rPr>
          <w:i/>
        </w:rPr>
        <w:t>Xenopus</w:t>
      </w:r>
      <w:proofErr w:type="spellEnd"/>
      <w:r w:rsidRPr="00C56699">
        <w:rPr>
          <w:i/>
        </w:rPr>
        <w:t xml:space="preserve"> </w:t>
      </w:r>
      <w:proofErr w:type="spellStart"/>
      <w:r w:rsidRPr="00C56699">
        <w:rPr>
          <w:i/>
        </w:rPr>
        <w:t>laevis</w:t>
      </w:r>
      <w:proofErr w:type="spellEnd"/>
      <w:r w:rsidRPr="00C56699">
        <w:t xml:space="preserve"> Anterior </w:t>
      </w:r>
      <w:r w:rsidR="005A644F" w:rsidRPr="00C56699">
        <w:t>G</w:t>
      </w:r>
      <w:r w:rsidRPr="00C56699">
        <w:t xml:space="preserve">radient </w:t>
      </w:r>
      <w:r w:rsidRPr="00C56699">
        <w:fldChar w:fldCharType="begin" w:fldLock="1"/>
      </w:r>
      <w:r w:rsidR="008004D4" w:rsidRPr="00C56699">
        <w:instrText>ADDIN CSL_CITATION {"citationItems":[{"id":"ITEM-1","itemData":{"DOI":"10.1016/j.modgep.2006.11.003","ISSN":"1567-133X","PMID":"17175205","abstract":"We characterized a zebrafish (Danio rerio) anterior gradient 2 homologue (agr2) gene. agr2 contains an open reading frame of 513bp encoding 171 amino acids. Deduced amino acid sequence comparison showed that the zebrafish agr2 protein shares high (80-89%) amino acid sequence similarity with those homologues of anterior gradient 2 (HAGR2, MAgr2, Tagr2, and Sagr2) from the human, mouse, pufferfish, and Atlantic salmon, while sharing less (67-71%) sequence similarity with those anterior gradient 2 genes (XAG-2, XAG-1, XAgr2, MAgr3, and HAGR3) from Xenopus laevis, mouse, and human. Both phylogenetic and syntenic analyses indicate that zebrafish agr2 is the orthologue of human AGR2 and mouse Agr2 genes. Whole-mount in situ hybridization indicated that zebrafish agr2 is expressed in most organs, such as epidermis, olfactory bulbs, otic vesicles, pharynx, esophagus, pneumatic duct, swim bladder, and intestine, which contain mucus-secreting cells. Moreover, semi-quantitative RT-PCR demonstrated agr2 is expressed in the gill, pharynx/esophagus, swim bladder/pneumatic duct, and intestine in the adult fish. In contrast, Xenopus anterior gradient 2 homologues are mainly expressed in ectoderm-derived organs including the cement gland and otic vesicles, while human and mouse anterior gradient 2 orthologues are mainly distributed in endoderm-derived organs including the trachea, lungs, stomach, intestines, and colon.","author":[{"dropping-particle":"","family":"Shih","given":"Li-Jane","non-dropping-particle":"","parse-names":false,"suffix":""},{"dropping-particle":"","family":"Lu","given":"Yu-Fen","non-dropping-particle":"","parse-names":false,"suffix":""},{"dropping-particle":"","family":"Chen","given":"Yi-Hua","non-dropping-particle":"","parse-names":false,"suffix":""},{"dropping-particle":"","family":"Lin","given":"Chia-Chi","non-dropping-particle":"","parse-names":false,"suffix":""},{"dropping-particle":"","family":"Chen","given":"Jian-An","non-dropping-particle":"","parse-names":false,"suffix":""},{"dropping-particle":"","family":"Hwang","given":"Sheng-Ping L","non-dropping-particle":"","parse-names":false,"suffix":""}],"container-title":"Gene expression patterns","id":"ITEM-1","issue":"4","issued":{"date-parts":[["2007","2"]]},"page":"452-60","title":"Characterization of the agr2 gene, a homologue of X. laevis anterior gradient 2, from the zebrafish, Danio rerio.","type":"article-journal","volume":"7"},"uris":["http://www.mendeley.com/documents/?uuid=07b50af0-bfa1-47fe-a2ac-4dfca4678b49"]}],"mendeley":{"formattedCitation":"[7]","plainTextFormattedCitation":"[7]","previouslyFormattedCitation":"[7]"},"properties":{"noteIndex":0},"schema":"https://github.com/citation-style-language/schema/raw/master/csl-citation.json"}</w:instrText>
      </w:r>
      <w:r w:rsidRPr="00C56699">
        <w:fldChar w:fldCharType="separate"/>
      </w:r>
      <w:r w:rsidR="00411DA0" w:rsidRPr="00C56699">
        <w:rPr>
          <w:noProof/>
        </w:rPr>
        <w:t>[7]</w:t>
      </w:r>
      <w:r w:rsidRPr="00C56699">
        <w:fldChar w:fldCharType="end"/>
      </w:r>
      <w:r w:rsidR="00183EE8" w:rsidRPr="00C56699">
        <w:t>,</w:t>
      </w:r>
      <w:r w:rsidRPr="00C56699">
        <w:t xml:space="preserve"> a protein that belongs to the protein disulfide isomerase family (PDI) of endoplasmic reticulum-resident proteins </w:t>
      </w:r>
      <w:r w:rsidRPr="00C56699">
        <w:fldChar w:fldCharType="begin" w:fldLock="1"/>
      </w:r>
      <w:r w:rsidR="008004D4" w:rsidRPr="00C56699">
        <w:instrText>ADDIN CSL_CITATION {"citationItems":[{"id":"ITEM-1","itemData":{"DOI":"10.1016/j.ympev.2005.04.002","ISSN":"1055-7903","PMID":"15935701","author":[{"dropping-particle":"","family":"Persson","given":"Staffan","non-dropping-particle":"","parse-names":false,"suffix":""},{"dropping-particle":"","family":"Rosenquist","given":"Magnus","non-dropping-particle":"","parse-names":false,"suffix":""},{"dropping-particle":"","family":"Knoblach","given":"Barbara","non-dropping-particle":"","parse-names":false,"suffix":""},{"dropping-particle":"","family":"Khosravi-Far","given":"Roya","non-dropping-particle":"","parse-names":false,"suffix":""},{"dropping-particle":"","family":"Sommarin","given":"Marianne","non-dropping-particle":"","parse-names":false,"suffix":""},{"dropping-particle":"","family":"Michalak","given":"Marek","non-dropping-particle":"","parse-names":false,"suffix":""}],"container-title":"Molecular phylogenetics and evolution","id":"ITEM-1","issue":"3","issued":{"date-parts":[["2005","9"]]},"page":"734-40","title":"Diversity of the protein disulfide isomerase family: identification of breast tumor induced Hag2 and Hag3 as novel members of the protein family.","type":"article-journal","volume":"36"},"uris":["http://www.mendeley.com/documents/?uuid=01f77848-9219-4999-9d01-ba47e5c7e260"]}],"mendeley":{"formattedCitation":"[8]","plainTextFormattedCitation":"[8]","previouslyFormattedCitation":"[8]"},"properties":{"noteIndex":0},"schema":"https://github.com/citation-style-language/schema/raw/master/csl-citation.json"}</w:instrText>
      </w:r>
      <w:r w:rsidRPr="00C56699">
        <w:fldChar w:fldCharType="separate"/>
      </w:r>
      <w:r w:rsidR="00411DA0" w:rsidRPr="00C56699">
        <w:rPr>
          <w:noProof/>
        </w:rPr>
        <w:t>[8]</w:t>
      </w:r>
      <w:r w:rsidRPr="00C56699">
        <w:fldChar w:fldCharType="end"/>
      </w:r>
      <w:r w:rsidR="00391313" w:rsidRPr="00C56699">
        <w:t>.</w:t>
      </w:r>
      <w:r w:rsidR="00774906" w:rsidRPr="00C56699">
        <w:t xml:space="preserve"> </w:t>
      </w:r>
      <w:r w:rsidR="00A87E21" w:rsidRPr="00C56699">
        <w:t xml:space="preserve"> </w:t>
      </w:r>
      <w:r w:rsidR="00CA6348" w:rsidRPr="00C56699">
        <w:t xml:space="preserve">PDI proteins fulfil roles associated with correct protein folding, maturation and secretion. </w:t>
      </w:r>
      <w:r w:rsidR="00B40CB4" w:rsidRPr="00C56699">
        <w:t>AGR3</w:t>
      </w:r>
      <w:r w:rsidR="00226201" w:rsidRPr="00C56699">
        <w:t xml:space="preserve"> is a</w:t>
      </w:r>
      <w:r w:rsidR="005D70E5" w:rsidRPr="00C56699">
        <w:t xml:space="preserve"> hom</w:t>
      </w:r>
      <w:r w:rsidR="00B40CB4" w:rsidRPr="00C56699">
        <w:t>ologue of AGR2, sharing 71% sequence homology to AGR2 and was initially identified in breast cancer cell lines</w:t>
      </w:r>
      <w:r w:rsidR="007965B2" w:rsidRPr="00C56699">
        <w:t xml:space="preserve"> </w:t>
      </w:r>
      <w:r w:rsidR="00A34F56" w:rsidRPr="00C56699">
        <w:fldChar w:fldCharType="begin" w:fldLock="1"/>
      </w:r>
      <w:r w:rsidR="008004D4" w:rsidRPr="00C56699">
        <w:instrText>ADDIN CSL_CITATION {"citationItems":[{"id":"ITEM-1","itemData":{"DOI":"10.1074/jbc.M210184200","ISSN":"0021-9258","PMID":"12477722","abstract":"Proteins associated with cancer cell plasma membranes are rich in known drug and antibody targets as well as other proteins known to play key roles in the abnormal signal transduction processes required for carcinogenesis. We describe here a proteomics process that comprehensively annotates the protein content of breast tumor cell membranes and defines the clinical relevance of such proteins. Tumor-derived cell lines were used to ensure an enrichment for cancer cell-specific plasma membrane proteins because it is difficult to purify cancer cells and then obtain good membrane preparations from clinical material. Multiple cell lines with different molecular pathologies were used to represent the clinical heterogeneity of breast cancer. Peptide tandem mass spectra were searched against a comprehensive data base containing known and conceptual proteins derived from many public data bases including the draft human genome sequences. This plasma membrane-enriched proteome analysis created a data base of more than 500 breast cancer cell line proteins, 27% of which were of unknown function. The value of our approach is demonstrated by further detailed analyses of three previously uncharacterized proteins whose clinical relevance has been defined by their unique cancer expression profiles and the identification of protein-binding partners that elucidate potential functionality in cancer.","author":[{"dropping-particle":"","family":"Adam","given":"Paul J.","non-dropping-particle":"","parse-names":false,"suffix":""},{"dropping-particle":"","family":"Boyd","given":"Robert","non-dropping-particle":"","parse-names":false,"suffix":""},{"dropping-particle":"","family":"Tyson","given":"Kerry L.","non-dropping-particle":"","parse-names":false,"suffix":""},{"dropping-particle":"","family":"Fletcher","given":"Graham C.","non-dropping-particle":"","parse-names":false,"suffix":""},{"dropping-particle":"","family":"Stamps","given":"Alasdair","non-dropping-particle":"","parse-names":false,"suffix":""},{"dropping-particle":"","family":"Hudson","given":"Lindsey","non-dropping-particle":"","parse-names":false,"suffix":""},{"dropping-particle":"","family":"Poyser","given":"Helen R.","non-dropping-particle":"","parse-names":false,"suffix":""},{"dropping-particle":"","family":"Redpath","given":"Nick","non-dropping-particle":"","parse-names":false,"suffix":""},{"dropping-particle":"","family":"Griffiths","given":"Matthew","non-dropping-particle":"","parse-names":false,"suffix":""},{"dropping-particle":"","family":"Steers","given":"Graham","non-dropping-particle":"","parse-names":false,"suffix":""},{"dropping-particle":"","family":"Harris","given":"Adrian L.","non-dropping-particle":"","parse-names":false,"suffix":""},{"dropping-particle":"","family":"Patel","given":"Sonal","non-dropping-particle":"","parse-names":false,"suffix":""},{"dropping-particle":"","family":"Berry","given":"Joanne","non-dropping-particle":"","parse-names":false,"suffix":""},{"dropping-particle":"","family":"Loader","given":"Julie A.","non-dropping-particle":"","parse-names":false,"suffix":""},{"dropping-particle":"","family":"Townsend","given":"R. Reid","non-dropping-particle":"","parse-names":false,"suffix":""},{"dropping-particle":"","family":"Daviet","given":"Laurent","non-dropping-particle":"","parse-names":false,"suffix":""},{"dropping-particle":"","family":"Legrain","given":"Pierre","non-dropping-particle":"","parse-names":false,"suffix":""},{"dropping-particle":"","family":"Parekh","given":"Raj","non-dropping-particle":"","parse-names":false,"suffix":""},{"dropping-particle":"","family":"Terrett","given":"Jonathan A.","non-dropping-particle":"","parse-names":false,"suffix":""}],"container-title":"Journal of Biological Chemistry","id":"ITEM-1","issue":"8","issued":{"date-parts":[["2003","2","21"]]},"page":"6482-6489","title":"Comprehensive Proteomic Analysis of Breast Cancer Cell Membranes Reveals Unique Proteins with Potential Roles in Clinical Cancer","type":"article-journal","volume":"278"},"uris":["http://www.mendeley.com/documents/?uuid=39cf9fca-e90b-379b-9420-8371f282292d"]}],"mendeley":{"formattedCitation":"[9]","plainTextFormattedCitation":"[9]","previouslyFormattedCitation":"[9]"},"properties":{"noteIndex":0},"schema":"https://github.com/citation-style-language/schema/raw/master/csl-citation.json"}</w:instrText>
      </w:r>
      <w:r w:rsidR="00A34F56" w:rsidRPr="00C56699">
        <w:fldChar w:fldCharType="separate"/>
      </w:r>
      <w:r w:rsidR="00411DA0" w:rsidRPr="00C56699">
        <w:rPr>
          <w:noProof/>
        </w:rPr>
        <w:t>[9]</w:t>
      </w:r>
      <w:r w:rsidR="00A34F56" w:rsidRPr="00C56699">
        <w:fldChar w:fldCharType="end"/>
      </w:r>
      <w:r w:rsidR="00A34F56" w:rsidRPr="00C56699">
        <w:t xml:space="preserve"> </w:t>
      </w:r>
      <w:r w:rsidR="007965B2" w:rsidRPr="00C56699">
        <w:t xml:space="preserve">and </w:t>
      </w:r>
      <w:r w:rsidR="00A34F56" w:rsidRPr="00C56699">
        <w:t xml:space="preserve">both </w:t>
      </w:r>
      <w:r w:rsidR="007965B2" w:rsidRPr="00C56699">
        <w:t xml:space="preserve">found to be associated with </w:t>
      </w:r>
      <w:r w:rsidR="008048B7" w:rsidRPr="00C56699">
        <w:t>estrogen receptor (</w:t>
      </w:r>
      <w:r w:rsidR="007965B2" w:rsidRPr="00C56699">
        <w:t>ER</w:t>
      </w:r>
      <w:r w:rsidR="008048B7" w:rsidRPr="00C56699">
        <w:t>)</w:t>
      </w:r>
      <w:r w:rsidR="007965B2" w:rsidRPr="00C56699">
        <w:t xml:space="preserve"> positive breast tumours</w:t>
      </w:r>
      <w:r w:rsidR="00A34F56" w:rsidRPr="00C56699">
        <w:t xml:space="preserve"> </w:t>
      </w:r>
      <w:r w:rsidR="00A34F56" w:rsidRPr="00C56699">
        <w:fldChar w:fldCharType="begin" w:fldLock="1"/>
      </w:r>
      <w:r w:rsidR="008004D4" w:rsidRPr="00C56699">
        <w:instrText>ADDIN CSL_CITATION {"citationItems":[{"id":"ITEM-1","itemData":{"DOI":"10.1038/sj.bjc.6600740","ISSN":"0007-0920","PMID":"12592373","abstract":"hAG-2 and hAG-3 are recently discovered human homologues of the secreted Xenopus laevis proteins XAG-1/2 (AGR-1/2) that are expressed in the cement gland, an ectodermal organ in the head associated with anteroposterior fate determination during early development. Although the roles of hAG-2 and hAG-3 in mammalian cells are unknown, both proteins share a high degree of protein sequence homology and lie adjacent to one another on chromosome 7p21. hAG-2 mRNA expression has previously been demonstrated in oestrogen receptor (ER)-positive cell lines. In this study, we have used real-time quantitative RT - PCR analysis and immunohistochemistry on tissue microarrays to demonstrate concordant expression of hAG-2 and hAG-3 mRNA and protein in breast tumour tissues. Tumour expression of both genes correlated with OR (hAG2, P=0.0002; hAG-3, P=0.0012), and inversely correlated with epidermal growth factor receptor (EGFR) (P=0.003). Yeast two-hybrid cloning identified metastasis-associated GPI-anchored C4.4a protein and extracellular alpha-dystroglycan (DAG-1) as binding partners for both hAG-2 and hAG-3, which if replicated in clinical oncology would demonstrate a potential role in tumour metastasis through the regulation of receptor adhesion and functioning. hAG-2 and hAG-3 may therefore serve as useful molecular markers and/or potential therapeutic targets for hormone-responsive breast tumours.","author":[{"dropping-particle":"","family":"Fletcher","given":"G C","non-dropping-particle":"","parse-names":false,"suffix":""},{"dropping-particle":"","family":"Patel","given":"S","non-dropping-particle":"","parse-names":false,"suffix":""},{"dropping-particle":"","family":"Tyson","given":"K","non-dropping-particle":"","parse-names":false,"suffix":""},{"dropping-particle":"","family":"Adam","given":"P J","non-dropping-particle":"","parse-names":false,"suffix":""},{"dropping-particle":"","family":"Schenker","given":"M","non-dropping-particle":"","parse-names":false,"suffix":""},{"dropping-particle":"","family":"Loader","given":"J A","non-dropping-particle":"","parse-names":false,"suffix":""},{"dropping-particle":"","family":"Daviet","given":"L","non-dropping-particle":"","parse-names":false,"suffix":""},{"dropping-particle":"","family":"Legrain","given":"P","non-dropping-particle":"","parse-names":false,"suffix":""},{"dropping-particle":"","family":"Parekh","given":"R","non-dropping-particle":"","parse-names":false,"suffix":""},{"dropping-particle":"","family":"Harris","given":"A L","non-dropping-particle":"","parse-names":false,"suffix":""},{"dropping-particle":"","family":"Terrett","given":"J A","non-dropping-particle":"","parse-names":false,"suffix":""}],"container-title":"British journal of cancer","id":"ITEM-1","issue":"4","issued":{"date-parts":[["2003","2","24"]]},"page":"579-85","title":"hAG-2 and hAG-3, human homologues of genes involved in differentiation, are associated with oestrogen receptor-positive breast tumours and interact with metastasis gene C4.4a and dystroglycan.","type":"article-journal","volume":"88"},"uris":["http://www.mendeley.com/documents/?uuid=ee715a6f-f8ed-4982-a4b0-9095c147e7a3"]}],"mendeley":{"formattedCitation":"[10]","plainTextFormattedCitation":"[10]","previouslyFormattedCitation":"[10]"},"properties":{"noteIndex":0},"schema":"https://github.com/citation-style-language/schema/raw/master/csl-citation.json"}</w:instrText>
      </w:r>
      <w:r w:rsidR="00A34F56" w:rsidRPr="00C56699">
        <w:fldChar w:fldCharType="separate"/>
      </w:r>
      <w:r w:rsidR="00411DA0" w:rsidRPr="00C56699">
        <w:rPr>
          <w:noProof/>
        </w:rPr>
        <w:t>[10]</w:t>
      </w:r>
      <w:r w:rsidR="00A34F56" w:rsidRPr="00C56699">
        <w:fldChar w:fldCharType="end"/>
      </w:r>
      <w:r w:rsidR="00B40CB4" w:rsidRPr="00C56699">
        <w:t xml:space="preserve">. </w:t>
      </w:r>
      <w:r w:rsidR="0064403D" w:rsidRPr="00C56699">
        <w:t xml:space="preserve">AGR2 has been reported </w:t>
      </w:r>
      <w:r w:rsidR="008B0956" w:rsidRPr="00C56699">
        <w:t xml:space="preserve">to </w:t>
      </w:r>
      <w:r w:rsidR="00330C91" w:rsidRPr="00C56699">
        <w:t xml:space="preserve">be </w:t>
      </w:r>
      <w:r w:rsidR="008B0956" w:rsidRPr="00C56699">
        <w:t xml:space="preserve">a prognostic marker in </w:t>
      </w:r>
      <w:r w:rsidR="0064403D" w:rsidRPr="00C56699">
        <w:t>several hormonally</w:t>
      </w:r>
      <w:r w:rsidR="00CB4CEF" w:rsidRPr="00C56699">
        <w:t>-</w:t>
      </w:r>
      <w:r w:rsidR="0064403D" w:rsidRPr="00C56699">
        <w:t xml:space="preserve">regulated cancers such as </w:t>
      </w:r>
      <w:r w:rsidR="00391313" w:rsidRPr="00C56699">
        <w:t xml:space="preserve">those of </w:t>
      </w:r>
      <w:r w:rsidR="0064403D" w:rsidRPr="00C56699">
        <w:t xml:space="preserve">breast </w:t>
      </w:r>
      <w:r w:rsidR="00E22FF3" w:rsidRPr="00C56699">
        <w:fldChar w:fldCharType="begin" w:fldLock="1"/>
      </w:r>
      <w:r w:rsidR="008004D4" w:rsidRPr="00C56699">
        <w:instrText>ADDIN CSL_CITATION {"citationItems":[{"id":"ITEM-1","itemData":{"DOI":"10.2353/ajpath.2009.090246","ISSN":"0002-9440","abstract":"The secreted metastasis-inducing protein, human anterior gradient 2 (AGR2), has been independently reported to be associated with either a reduced or an increased survival of different groups of patients with breast cancer. We now aim to analyze the expression of AGR2 in a third completely independent group of patients using a specific AGR2 monoclonal antibody (mAb). Primary tumors from a group of 315 patients suffering from operable (stage I and II) breast cancer with 20-years follow-up were immunocytochemically stained with a specific mAb to AGR2 and associations with prognostic factors and patient survival were analyzed. The mAb specifically recognized AGR2 in Western blots, and positive staining for AGR2 was significantly associated with involved lymph nodes and staining for estrogen receptor α, progesterone receptor, and the metastasis-inducing proteins osteopontin, S100P, and S100A4. After 20 years of follow-up, only 26% of patients with AGR2-positive carcinomas survived compared with 96% of those with AGR2 negative carcinomas, with the highly significant difference in median survival times of 68 and 216 months, respectively (P&lt; 0.0001). Cox’s multivariate regression analysis showed that staining for AGR2 was one of the most significant independent prognostic indicators, with a corrected relative risk of 9.4. The presence of AGR2 in the primary tumor is therefore a possible prognostic indicator of poor patient outcome in breast cancer.","author":[{"dropping-particle":"","family":"Barraclough","given":"Dong L","non-dropping-particle":"","parse-names":false,"suffix":""},{"dropping-particle":"","family":"Platt-Higgins","given":"Angela","non-dropping-particle":"","parse-names":false,"suffix":""},{"dropping-particle":"","family":"Silva Rudland","given":"Suzete","non-dropping-particle":"de","parse-names":false,"suffix":""},{"dropping-particle":"","family":"Barraclough","given":"Roger","non-dropping-particle":"","parse-names":false,"suffix":""},{"dropping-particle":"","family":"Winstanley","given":"John","non-dropping-particle":"","parse-names":false,"suffix":""},{"dropping-particle":"","family":"West","given":"Christopher R","non-dropping-particle":"","parse-names":false,"suffix":""},{"dropping-particle":"","family":"Rudland","given":"Philip S","non-dropping-particle":"","parse-names":false,"suffix":""},{"dropping-particle":"","family":"Rudland","given":"S D S","non-dropping-particle":"","parse-names":false,"suffix":""},{"dropping-particle":"","family":"Barraclough","given":"Roger","non-dropping-particle":"","parse-names":false,"suffix":""},{"dropping-particle":"","family":"Winstanley","given":"John","non-dropping-particle":"","parse-names":false,"suffix":""},{"dropping-particle":"","family":"West","given":"Christopher R","non-dropping-particle":"","parse-names":false,"suffix":""},{"dropping-particle":"","family":"Rudland","given":"Philip S","non-dropping-particle":"","parse-names":false,"suffix":""}],"container-title":"American Journal of Pathology","id":"ITEM-1","issue":"5","issued":{"date-parts":[["2009"]]},"note":"From Duplicate 1 (The metastasis-associated anterior gradient 2 protein is correlated with poor survival of breast cancer patients - Barraclough, D L; Platt-Higgins, A; Rudland, S D S; Barraclough, R; Winstanley, J; West, C R; Rudland, P S)\n\nCited By (since 1996):28\n\nFrom Duplicate 2 (The Metastasis-Associated Anterior Gradient 2 Protein Is Correlated with Poor Survival of Breast Cancer Patients - Barraclough, Dong L; Platt-Higgins, Angela; de Silva Rudland, Suzete; Barraclough, Roger; Winstanley, John; West, Christopher R; Rudland, Philip S)\n\nejs23566948\nAmerican Journal of Pathology\n\nFrom Duplicate 3 (Regular Articles: The Metastasis-Associated Anterior Gradient 2 Protein Is Correlated with Poor Survival of Breast Cancer Patients - Barraclough, Dong L; Platt-Higgins, Angela; de Silva Rudland, Suzete; Barraclough, Roger; Winstanley, John; West, Christopher R; Rudland, Philip S)\n\nThe American Journal of Pathology\nAuthor: Barraclough, Dong L. (*, †); Author: Platt-Higgins, Angela (†, ‡); Author: de Silva Rudland, Suzete (†, ‡); Author: Barraclough, Roger (†, ‡, *); Author: Winstanley, John (¶); Author: West, Christopher R. (§); Author: Rudland, Philip S. (*, †, ‡, *); Affiliation: Cancer Tissue Bank Research Centre, Medical School, University of Liverpool, Liverpool; Affiliation: School of Biological Sciences, Medical School, University of Liverpool, Liverpool; Affiliation: Cancer and Polio Research Fund Laboratories, Medical School, University of Liverpool, Liverpool; Affiliation: Division of Public Health, Medical School, University of Liverpool, Liverpool; Affiliation: Royal Bolton Hospital, Bolton, United Kingdom; Supported by Cancer and Polio Research Fund, North West Cancer Research Fund (grant CR758), Cancer Tissue Bank Research Centre, Genetic Innovation Network Development Award (grant GIN039), and North West Regional Development Agency through a National Biomanufacturing Centre (NBC) Access Fund grant (NBCAF002).; Topic: Biomarkers, Genomics, Proteomics, and Gene Regulation; Number of Pages: 10; Language: English;","page":"1848-1857","title":"Regular Articles: The Metastasis-Associated Anterior Gradient 2 Protein Is Correlated with Poor Survival of Breast Cancer Patients","type":"article-journal","volume":"175"},"uris":["http://www.mendeley.com/documents/?uuid=f4b13015-e807-4da0-90eb-e65de2e613cd"]},{"id":"ITEM-2","itemData":{"DOI":"10.1038/sj.bjc.6603065","ISSN":"0007-0920","PMID":"16598187","abstract":"The anterior gradient protein-2 (AGR2) is inducible by oestrogen and itself can induce metastasis in a rat model for breast cancer. Here, a rabbit antibody to recombinant human AGR2 was used to assess its prognostic significance in a retrospective cohort of 351 breast cancer patients treated by adjuvant hormonal therapy. The antibody stains 66% of breast carcinomas to varying degrees. The percentage of positive carcinoma cells in tumours directly correlates with the level of AGR2 mRNA (Spearman's rank correlation, P = 0.0007) and protein (linear regression analysis r2 = 0.95, P = 0.0002). There is a significant association of staining of carcinomas for AGR2 with oestrogen receptor alpha (ERalpha) staining and with low histological grade (both Fisher's Exact test P&lt;0.0001). In the ERalpha-positive cases, but not the ERalpha-negative cases, when subdivided into the separate staining classes for AGR2, there is a significantly progressive decrease in patient survival with increased staining (log rank test, P = 0.006). The significant association of staining for AGR2 with patient death over a 10-year period (log rank test P = 0.007, hazard ratio = 3) only becomes significant at 6 years of follow-up. This may be due to the cessation of adjuvant hormonal therapy at an earlier time, resulting in adverse re-expression of the metastasis-inducing protein AGR2.","author":[{"dropping-particle":"","family":"Innes","given":"H E","non-dropping-particle":"","parse-names":false,"suffix":""},{"dropping-particle":"","family":"Liu","given":"D","non-dropping-particle":"","parse-names":false,"suffix":""},{"dropping-particle":"","family":"Barraclough","given":"R","non-dropping-particle":"","parse-names":false,"suffix":""},{"dropping-particle":"","family":"Davies","given":"M P A","non-dropping-particle":"","parse-names":false,"suffix":""},{"dropping-particle":"","family":"O'Neill","given":"P A","non-dropping-particle":"","parse-names":false,"suffix":""},{"dropping-particle":"","family":"Platt-Higgins","given":"A","non-dropping-particle":"","parse-names":false,"suffix":""},{"dropping-particle":"","family":"Silva Rudland","given":"S","non-dropping-particle":"de","parse-names":false,"suffix":""},{"dropping-particle":"","family":"Sibson","given":"D R","non-dropping-particle":"","parse-names":false,"suffix":""},{"dropping-particle":"","family":"Rudland","given":"P S","non-dropping-particle":"","parse-names":false,"suffix":""}],"container-title":"British journal of cancer","id":"ITEM-2","issue":"7","issued":{"date-parts":[["2006","4","10"]]},"page":"1057-65","title":"Significance of the metastasis-inducing protein AGR2 for outcome in hormonally treated breast cancer patients.","type":"article-journal","volume":"94"},"uris":["http://www.mendeley.com/documents/?uuid=2ca71941-137a-3d55-8b86-17e2a375af5d"]}],"mendeley":{"formattedCitation":"[11,12]","plainTextFormattedCitation":"[11,12]","previouslyFormattedCitation":"[11,12]"},"properties":{"noteIndex":0},"schema":"https://github.com/citation-style-language/schema/raw/master/csl-citation.json"}</w:instrText>
      </w:r>
      <w:r w:rsidR="00E22FF3" w:rsidRPr="00C56699">
        <w:fldChar w:fldCharType="separate"/>
      </w:r>
      <w:r w:rsidR="00411DA0" w:rsidRPr="00C56699">
        <w:rPr>
          <w:noProof/>
        </w:rPr>
        <w:t>[11,12]</w:t>
      </w:r>
      <w:r w:rsidR="00E22FF3" w:rsidRPr="00C56699">
        <w:fldChar w:fldCharType="end"/>
      </w:r>
      <w:r w:rsidR="00514A4B" w:rsidRPr="00C56699">
        <w:t>, prostate</w:t>
      </w:r>
      <w:r w:rsidR="0064403D" w:rsidRPr="00C56699">
        <w:t xml:space="preserve"> </w:t>
      </w:r>
      <w:r w:rsidR="00E22FF3" w:rsidRPr="00C56699">
        <w:fldChar w:fldCharType="begin" w:fldLock="1"/>
      </w:r>
      <w:r w:rsidR="008004D4" w:rsidRPr="00C56699">
        <w:instrText>ADDIN CSL_CITATION {"citationItems":[{"id":"ITEM-1","itemData":{"DOI":"10.1002/pros.22569","ISSN":"1097-0045","abstract":"Background: Anterior gradient 2 (AGR2) is associated with metastatic progression in prostate cancer cells as well as other normal and malignant tissues. We investigated AGR2 expression in patients with metastatic prostate cancer.; Methods: Blood was collected from 44 patients with metastatic prostate cancer separated as: castration sensitive prostate cancer (CSPC, n = 5); castration resistant prostate cancer (CRPC, n = 36); and neuroendocrine-predominate CRPC defined by PSA ≤ 1 ng/ml in the presence of wide-spread metastatic disease (NE-CRPC, n = 3). AGR2 mRNA levels were measured with RT-PCR in circulating tumor cell (CTC)-enriched peripheral blood. Plasma AGR2 levels were determined via ELISA assay. AGR2 expression was modulated in prostate cancer cell lines using plasmid and viral vectors.; Results: AGR2 mRNA levels are elevated in CTCs and strongly correlated with CTC enumeration. Plasma AGR2 levels are elevated in all sub-groups. AGR2 levels vary independently to PSA and change in some patients in response to androgen-directed and other therapies. Plasma AGR2 levels are highest in the NE-CRPC sub-group. A correlation between AGR2, chromagranin A (CGA), and neuron-specific enolase (NSE) expression is demonstrated in prostate cancer cell lines.; Conclusions: We conclude that AGR2 expression is elevated at the mRNA and protein level in patients with metastatic prostate cancer. In particular, we find that AGR2 expression is associated features consistent with neuroendocrine, or anaplastic, prostate cancer, exemplified by an aggressive clinical phenotype without elevation in circulating PSA levels. Further studies are warranted to explore the mechanistic and prognostic implications of AGR2 expression in this patient population.; Copyright © 2012 Wiley Periodicals, Inc.","author":[{"dropping-particle":"","family":"Kani","given":"Kian","non-dropping-particle":"","parse-names":false,"suffix":""},{"dropping-particle":"","family":"Malihi","given":"Paymaneh D","non-dropping-particle":"","parse-names":false,"suffix":""},{"dropping-particle":"","family":"Jiang","given":"Yuqiu","non-dropping-particle":"","parse-names":false,"suffix":""},{"dropping-particle":"","family":"Wang","given":"Haiying","non-dropping-particle":"","parse-names":false,"suffix":""},{"dropping-particle":"","family":"Wang","given":"Yixin","non-dropping-particle":"","parse-names":false,"suffix":""},{"dropping-particle":"","family":"Ruderman","given":"Daniel L","non-dropping-particle":"","parse-names":false,"suffix":""},{"dropping-particle":"","family":"Agus","given":"David B","non-dropping-particle":"","parse-names":false,"suffix":""},{"dropping-particle":"","family":"Mallick","given":"Parag","non-dropping-particle":"","parse-names":false,"suffix":""},{"dropping-particle":"","family":"Gross","given":"Mitchell E","non-dropping-particle":"","parse-names":false,"suffix":""}],"container-title":"The Prostate","id":"ITEM-1","issue":"3","issued":{"date-parts":[["2013","1"]]},"note":"Date of Electronic Publication: 2012 Aug 21. Current Imprints: Publication: : Hoboken, NJ : Wiley-Liss; Original Imprints: Publication: New York : Alan R. Liss, c1980-","page":"306-315","title":"Anterior gradient 2 (AGR2): blood-based biomarker elevated in metastatic prostate cancer associated with the neuroendocrine phenotype","type":"article-journal","volume":"73"},"uris":["http://www.mendeley.com/documents/?uuid=2d585787-1e25-4947-87e0-bb548f12f38b"]}],"mendeley":{"formattedCitation":"[13]","plainTextFormattedCitation":"[13]","previouslyFormattedCitation":"[13]"},"properties":{"noteIndex":0},"schema":"https://github.com/citation-style-language/schema/raw/master/csl-citation.json"}</w:instrText>
      </w:r>
      <w:r w:rsidR="00E22FF3" w:rsidRPr="00C56699">
        <w:fldChar w:fldCharType="separate"/>
      </w:r>
      <w:r w:rsidR="00411DA0" w:rsidRPr="00C56699">
        <w:rPr>
          <w:noProof/>
        </w:rPr>
        <w:t>[13]</w:t>
      </w:r>
      <w:r w:rsidR="00E22FF3" w:rsidRPr="00C56699">
        <w:fldChar w:fldCharType="end"/>
      </w:r>
      <w:r w:rsidR="00B70844" w:rsidRPr="00C56699">
        <w:t xml:space="preserve"> </w:t>
      </w:r>
      <w:r w:rsidR="0064403D" w:rsidRPr="00C56699">
        <w:t xml:space="preserve">and ovary </w:t>
      </w:r>
      <w:r w:rsidR="00E22FF3" w:rsidRPr="00C56699">
        <w:fldChar w:fldCharType="begin" w:fldLock="1"/>
      </w:r>
      <w:r w:rsidR="008004D4" w:rsidRPr="00C56699">
        <w:instrText>ADDIN CSL_CITATION {"citationItems":[{"id":"ITEM-1","itemData":{"DOI":"10.1042/CS20090537","ISSN":"01435221","abstract":"Ovarian cancer is often asymptomatic and is diagnosed at an advanced stage with poor survival rates, thus there is an urgent need to develop biomarkers for earlier detection of ovarian cancer. In the present study, we demonstrate for the first time that the previously reported metastasis-inducing protein AGR2 (anterior gradient protein 2) can be detected in the blood of ovarian cancer patients. Using a newly developed ELISA, we show significantly increased concentrations of AGR2 protein in plasma from cancer patients relative to normal controls. Plasma AGR2 concentrations were highest in stages II and III ovarian cancer patients and were similarly elevated in patients with both serous and non-serous tumours. The identification of elevated plasma concentrations of AGR2 may provide a useful biomarker to aid in the discrimination of normal and ovarian cancer patients particularly when used in combination with CA125. [ABSTRACT FROM AUTHOR] Copyright of Clinical Science is the property of Portland Press Ltd.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Abstracts.)","author":[{"dropping-particle":"","family":"Edgell","given":"Tracey A","non-dropping-particle":"","parse-names":false,"suffix":""},{"dropping-particle":"","family":"Barraclough","given":"Dong L","non-dropping-particle":"","parse-names":false,"suffix":""},{"dropping-particle":"","family":"Rajic","given":"Antonio","non-dropping-particle":"","parse-names":false,"suffix":""},{"dropping-particle":"","family":"Dhulia","given":"Janu","non-dropping-particle":"","parse-names":false,"suffix":""},{"dropping-particle":"","family":"Lewis","given":"Kate J","non-dropping-particle":"","parse-names":false,"suffix":""},{"dropping-particle":"","family":"Armes","given":"Jane E","non-dropping-particle":"","parse-names":false,"suffix":""},{"dropping-particle":"","family":"Barraclough","given":"Roger","non-dropping-particle":"","parse-names":false,"suffix":""},{"dropping-particle":"","family":"Rudland","given":"Philip S","non-dropping-particle":"","parse-names":false,"suffix":""},{"dropping-particle":"","family":"Rice","given":"Gregory E","non-dropping-particle":"","parse-names":false,"suffix":""},{"dropping-particle":"","family":"Autelitano","given":"Dominic J","non-dropping-particle":"","parse-names":false,"suffix":""}],"container-title":"Clinical Science","id":"ITEM-1","issue":"12","issued":{"date-parts":[["2010"]]},"note":"EDGELL, Tracey A. 1; Email Address: d.autelitano@healthlinx.com.au BARRACLOUGH, Dong L. 2,3 RAJIC, Antonio 1 DHULIA, Janu 1 LEWIS, Kate J. 1 ARMES, Jane E. 4 BARRACLOUGH, Roger 4 RUDLAND, Philip S. 4 RICE, Gregory E. 1,5 AUTELITANO, Dominic J. 1; Affiliation: 1: HealthLinx Ltd, 576 Swan Street, Richmond, Victoria 3121, Australia 2: School of Clinical Sciences, University of Liverpool, Daulby Street, Liverpool L69 3GA, U.K. 3: School of Biological Sciences, University of Liverpool, Daulby Street, Liverpool L69 3GA, U.K. 4: Mater Pathology, Mater Health Services, Brisbane, Queensland 4101, Australia 5: Baker IDI Heart and Diabetes Institute, 75 Commercial Road, Melbourne, Victoria 3134, Australia; Source Info: 2010, Vol. 118 Issue 12, p717; Subject Term: OVARIAN cancer -- Diagnosis; Subject Term: BIOCHEMICAL markers; Subject Term: METASTASIS; Subject Term: ENZYME-linked immunosorbent assay; Subject Term: BLOOD plasma; Subject Term: PLASMA cells; Author-Supplied Keyword: anterior gradient protein 2 (AGR2); Author-Supplied Keyword: biomarker; Author-Supplied Keyword: CA125; Author-Supplied Keyword: ELISA; Author-Supplied Keyword: ovarian cancer; NAICS/Industry Codes: 414510 Pharmaceuticals and pharmacy supplies merchant wholesalers; Number of Pages: 9p; Document Type: Article","page":"717-725","title":"Increased plasma concentrations of anterior gradient 2 protein are positively associated with ovarian cancer","type":"article-journal","volume":"118"},"uris":["http://www.mendeley.com/documents/?uuid=75f180b3-4c83-442b-81e6-9e83cdc5213f"]}],"mendeley":{"formattedCitation":"[14]","plainTextFormattedCitation":"[14]","previouslyFormattedCitation":"[14]"},"properties":{"noteIndex":0},"schema":"https://github.com/citation-style-language/schema/raw/master/csl-citation.json"}</w:instrText>
      </w:r>
      <w:r w:rsidR="00E22FF3" w:rsidRPr="00C56699">
        <w:fldChar w:fldCharType="separate"/>
      </w:r>
      <w:r w:rsidR="00411DA0" w:rsidRPr="00C56699">
        <w:rPr>
          <w:noProof/>
        </w:rPr>
        <w:t>[14]</w:t>
      </w:r>
      <w:r w:rsidR="00E22FF3" w:rsidRPr="00C56699">
        <w:fldChar w:fldCharType="end"/>
      </w:r>
      <w:r w:rsidR="00183EE8" w:rsidRPr="00C56699">
        <w:t>, where</w:t>
      </w:r>
      <w:r w:rsidR="003716DE" w:rsidRPr="00C56699">
        <w:t xml:space="preserve"> it</w:t>
      </w:r>
      <w:r w:rsidR="00514A4B" w:rsidRPr="00C56699">
        <w:t xml:space="preserve"> i</w:t>
      </w:r>
      <w:r w:rsidR="003716DE" w:rsidRPr="00C56699">
        <w:t>s involve</w:t>
      </w:r>
      <w:r w:rsidR="00183EE8" w:rsidRPr="00C56699">
        <w:t>d</w:t>
      </w:r>
      <w:r w:rsidR="003716DE" w:rsidRPr="00C56699">
        <w:t xml:space="preserve"> in drug resistance </w:t>
      </w:r>
      <w:r w:rsidR="00E22FF3" w:rsidRPr="00C56699">
        <w:fldChar w:fldCharType="begin" w:fldLock="1"/>
      </w:r>
      <w:r w:rsidR="008004D4" w:rsidRPr="00C56699">
        <w:instrText>ADDIN CSL_CITATION {"citationItems":[{"id":"ITEM-1","itemData":{"DOI":"10.1016/j.jim.2012.01.013","ISSN":"00221759; 18727905","author":[{"dropping-particle":"","family":"Gray","given":"T A","non-dropping-particle":"","parse-names":false,"suffix":""},{"dropping-particle":"","family":"MacLaine","given":"N J","non-dropping-particle":"","parse-names":false,"suffix":""},{"dropping-particle":"","family":"Murray","given":"E","non-dropping-particle":"","parse-names":false,"suffix":""},{"dropping-particle":"","family":"Howie","given":"J","non-dropping-particle":"","parse-names":false,"suffix":""},{"dropping-particle":"","family":"Maslon","given":"M M","non-dropping-particle":"","parse-names":false,"suffix":""},{"dropping-particle":"","family":"Hupp","given":"T R","non-dropping-particle":"","parse-names":false,"suffix":""},{"dropping-particle":"","family":"Langdon","given":"S","non-dropping-particle":"","parse-names":false,"suffix":""},{"dropping-particle":"","family":"Hayward","given":"L","non-dropping-particle":"","parse-names":false,"suffix":""},{"dropping-particle":"","family":"Michie","given":"C O","non-dropping-particle":"","parse-names":false,"suffix":""},{"dropping-particle":"","family":"Gourley","given":"C","non-dropping-particle":"","parse-names":false,"suffix":""},{"dropping-particle":"","family":"Bouchalova","given":"P","non-dropping-particle":"","parse-names":false,"suffix":""},{"dropping-particle":"","family":"Hrstka","given":"R","non-dropping-particle":"","parse-names":false,"suffix":""},{"dropping-particle":"","family":"Nenutil","given":"R","non-dropping-particle":"","parse-names":false,"suffix":""},{"dropping-particle":"","family":"Vojtesek","given":"B","non-dropping-particle":"","parse-names":false,"suffix":""}],"container-title":"Journal of immunological methods","id":"ITEM-1","issue":"1-2","issued":{"date-parts":[["2012","4","30"]]},"note":"(. 1. )\n(. 2. )\n(. 3. )\n(. 4. )\n( 4,5 )\n(Journal of Immunological Methods, 30 April 2012, 378(1-2):20-32) Publication Type: Academic Journal; Rights: Copyright 2012 Elsevier B.V., All rights reserved.","page":"20-32","title":"Anterior Gradient-3: A novel biomarker for ovarian cancer that mediates cisplatin resistance in xenograft models","type":"article-journal","volume":"378"},"uris":["http://www.mendeley.com/documents/?uuid=38933b9d-9d14-4312-b09e-21761cddc5f7"]},{"id":"ITEM-2","itemData":{"DOI":"10.1021/pr2004117","ISSN":"15353893; 15353907","PMID":"21936522","abstract":"A label-free quantitative variation of the recently developed data-independent shotgun proteomic method precursor acquisition independent from ion count (PAcIFIC) was used to identify novel proteins implicated in cancer progression and resistance. Specifically, this screen identified the pro-metastatic protein anterior gradient 2 (AGR2) as significantly up-regulated in tamoxifen-treated cells. Highlighting the need for direct proteome profiling methods like PAcIFIC, neither data-dependent gas-phase fractionation nor a transcriptomic screen detected AGR2 protein/transcript at significantly up-regulated levels. Further cell-based experiments using human cancer cell lines and in vivo xenografts confirmed the PAcIFIC hypothesis that AGR2 is up-regulated in MCF-7 cells post tamoxifen treatment and that it is implicated in drug resistance mediation.","author":[{"dropping-particle":"","family":"Hengel","given":"Shawna Mae","non-dropping-particle":"","parse-names":false,"suffix":""},{"dropping-particle":"","family":"Panchaud","given":"Alexandre","non-dropping-particle":"","parse-names":false,"suffix":""},{"dropping-particle":"","family":"Goodlett","given":"David R","non-dropping-particle":"","parse-names":false,"suffix":""},{"dropping-particle":"","family":"Murray","given":"Euan","non-dropping-particle":"","parse-names":false,"suffix":""},{"dropping-particle":"","family":"Langdon","given":"Simon","non-dropping-particle":"","parse-names":false,"suffix":""},{"dropping-particle":"","family":"Hayward","given":"Larry","non-dropping-particle":"","parse-names":false,"suffix":""},{"dropping-particle":"","family":"O'Donoghue","given":"Jean","non-dropping-particle":"","parse-names":false,"suffix":""},{"dropping-particle":"","family":"Hupp","given":"Ted","non-dropping-particle":"","parse-names":false,"suffix":""},{"dropping-particle":"","family":"Panchaud","given":"Alexandre","non-dropping-particle":"","parse-names":false,"suffix":""},{"dropping-particle":"","family":"Hupp","given":"Ted","non-dropping-particle":"","parse-names":false,"suffix":""},{"dropping-particle":"","family":"Goodlett","given":"David R","non-dropping-particle":"","parse-names":false,"suffix":""}],"container-title":"Journal of Proteome Research","id":"ITEM-2","issue":"10","issued":{"date-parts":[["2011","10","7"]]},"note":"From Duplicate 1 (Data-independent proteomic screen identifies novel tamoxifen agonist that mediates drug resistance - Hengel, Shawna Mae; Panchaud, Alexandre; Goodlett, David R; Murray, Euan; Langdon, Simon; Hayward, Larry; O'Donoghue, Jean; Hupp, Ted; Panchaud, Alexandre; Hupp, Ted; Goodlett, David R)\n\nFrom Duplicate 1 (Data-independent proteomic screen identifies novel tamoxifen agonist that mediates drug resistance - Hengel, Shawna Mae; Panchaud, Alexandre; Goodlett, David R; Murray, Euan; Langdon, Simon; Hayward, Larry; O'Donoghue, Jean; Hupp, Ted; Panchaud, Alexandre; Hupp, Ted; Goodlett, David R)\n\nFrom Duplicate 2 (Data-independent proteomic screen identifies novel tamoxifen agonist that mediates drug resistance - Hengel, S M; Panchaud, A; Goodlett, D R; Murray, E; Langdon, S; Hayward, L; O'Donoghue, J; Hupp, T)\n\n( 2 )\n(. 2. )\n(Journal of Proteome Research, 7 October 2011, 10(10):4567-4578) Publication Type: Academic Journal; Rights: Copyright 2012 Elsevier B.V., All rights reserved.\n\nFrom Duplicate 2 (Data-independent proteomic screen identifies novel tamoxifen agonist that mediates drug resistance - Hengel, S M; Panchaud, A; Goodlett, D R; Murray, E; Langdon, S; Hayward, L; O'Donoghue, J; Hupp, T)\n\n( 2 )\n(. 2. )\n(Journal of Proteome Research, 7 October 2011, 10(10):4567-4578) Publication Type: Academic Journal; Rights: Copyright 2012 Elsevier B.V., All rights reserved.\n\nFrom Duplicate 2 (Data-independent proteomic screen identifies novel tamoxifen agonist that mediates drug resistance - Hengel, S M; Panchaud, A; Goodlett, D R; Murray, E; Langdon, S; Hayward, L; O'Donoghue, J; Hupp, T)\n\n( 2 )\n(. 2. )\n(Journal of Proteome Research, 7 October 2011, 10(10):4567-4578) Publication Type: Academic Journal; Rights: Copyright 2012 Elsevier B.V., All rights reserved.","page":"4567-4578","title":"Data-independent proteomic screen identifies novel tamoxifen agonist that mediates drug resistance","type":"article-journal","volume":"10"},"uris":["http://www.mendeley.com/documents/?uuid=adacb675-d174-4323-8a83-bfac16177783"]}],"mendeley":{"formattedCitation":"[15,16]","plainTextFormattedCitation":"[15,16]","previouslyFormattedCitation":"[15,16]"},"properties":{"noteIndex":0},"schema":"https://github.com/citation-style-language/schema/raw/master/csl-citation.json"}</w:instrText>
      </w:r>
      <w:r w:rsidR="00E22FF3" w:rsidRPr="00C56699">
        <w:fldChar w:fldCharType="separate"/>
      </w:r>
      <w:r w:rsidR="00411DA0" w:rsidRPr="00C56699">
        <w:rPr>
          <w:noProof/>
        </w:rPr>
        <w:t>[15,16]</w:t>
      </w:r>
      <w:r w:rsidR="00E22FF3" w:rsidRPr="00C56699">
        <w:fldChar w:fldCharType="end"/>
      </w:r>
      <w:r w:rsidR="003716DE" w:rsidRPr="00C56699">
        <w:t xml:space="preserve"> </w:t>
      </w:r>
      <w:r w:rsidR="00681A47" w:rsidRPr="00C56699">
        <w:t xml:space="preserve">and </w:t>
      </w:r>
      <w:r w:rsidR="003716DE" w:rsidRPr="00C56699">
        <w:t xml:space="preserve">metastatic growth </w:t>
      </w:r>
      <w:r w:rsidR="00E22FF3" w:rsidRPr="00C56699">
        <w:fldChar w:fldCharType="begin" w:fldLock="1"/>
      </w:r>
      <w:r w:rsidR="008004D4" w:rsidRPr="00C56699">
        <w:instrText>ADDIN CSL_CITATION {"citationItems":[{"id":"ITEM-1","itemData":{"DOI":"10.1158/0008-5472.CAN-04-3823","ISSN":"0008-5472","PMID":"15867376","abstract":"A suppression subtractive cDNA library representing mRNAs expressed at a higher level in the malignant human breast cancer cell line, MCF-7, relative to a benign breast tumor-derived cell line, Huma 123, contained a cDNA, M36, which was expressed in estrogen receptor alpha (ERalpha)-positive breast carcinoma cell lines but not in cell lines from normal/benign/ERalpha-negative malignant breast lesions. M36 cDNA had an identical coding sequence to anterior gradient 2 (AGR2), the human homologue of the cement gland-specific gene (Xenopus laevis). Screening of breast tumor specimens using reverse transcription-PCR and immunocytochemistry with affinity-purified anti-AGR2 antibodies showed that the presence of AGR2 mRNA and protein were both statistically significantly associated with ERalpha-positive carcinomas (P = 0.007, Fisher's exact test) and with malignancy (P &lt; or = 0.025). When an expression vector for AGR2 cDNA was introduced into benign nonmetastatic rat mammary tumor cells, and three separate clones and two pools of cells were transferred to the mammary glands of syngeneic hosts, there were no consistent differences in the mean latent periods of tumor formation. However, metastases occurred in the lungs of animals receiving the AGR2 transfectants in 77% to 92% of animals with primary tumors (P = 0.0001) compared with no metastases in the control groups. The AGR2 transfectants exhibited enhanced rates of adhesion to a plastic substratum and extracellular AGR2 enhanced the rate of attachment of AGR2-negative but not AGR2-positive cells. These experiments are the first to link mechanistically the developmental gene product, AGR2, with metastasis in vivo.","author":[{"dropping-particle":"","family":"Liu","given":"Dong","non-dropping-particle":"","parse-names":false,"suffix":""},{"dropping-particle":"","family":"Rudland","given":"Philip S","non-dropping-particle":"","parse-names":false,"suffix":""},{"dropping-particle":"","family":"Sibson","given":"D Ross","non-dropping-particle":"","parse-names":false,"suffix":""},{"dropping-particle":"","family":"Platt-Higgins","given":"Angela","non-dropping-particle":"","parse-names":false,"suffix":""},{"dropping-particle":"","family":"Barraclough","given":"Roger","non-dropping-particle":"","parse-names":false,"suffix":""}],"container-title":"Cancer Research","id":"ITEM-1","issue":"9","issued":{"date-parts":[["2005","5","1"]]},"note":"From Duplicate 1 (Human homologue of cement gland protein, a novel metastasis inducer associated with breast carcinomas - Liu, D; Rudland, P S; Sibson, D R; Platt-Higgins, A; Barraclough, R)\n\nCited By (since 1996):80\n\nFrom Duplicate 2 (Human homologue of cement gland protein, a novel metastasis inducer associated with breast carcinomas - Liu, Dong; Rudland, Philip S; Sibson, D Ross; Platt-Higgins, Angela; Barraclough, Roger)\n\nFrom Duplicate 1 (Human homologue of cement gland protein, a novel metastasis inducer associated with breast carcinomas - Liu, D; Rudland, P S; Sibson, D R; Platt-Higgins, A; Barraclough, R)\n\nCited By (since 1996):80\n\nFrom Duplicate 3 (Human homologue of cement gland protein, a novel metastasis inducer associated with breast carcinomas - Liu, Dong; Rudland, Philip S; Sibson, D Ross; Platt-Higgins, Angela; Barraclough, Roger)\n\nFrom Duplicate 1 (Human homologue of cement gland protein, a novel metastasis inducer associated with breast carcinomas - Liu, D; Rudland, P S; Sibson, D R; Platt-Higgins, A; Barraclough, R)\n\nCited By (since 1996):80","page":"3796-3805","title":"Human homologue of cement gland protein, a novel metastasis inducer associated with breast carcinomas","type":"article-journal","volume":"65"},"uris":["http://www.mendeley.com/documents/?uuid=a3e33951-601e-494b-ba96-b195a7952806"]}],"mendeley":{"formattedCitation":"[17]","plainTextFormattedCitation":"[17]","previouslyFormattedCitation":"[17]"},"properties":{"noteIndex":0},"schema":"https://github.com/citation-style-language/schema/raw/master/csl-citation.json"}</w:instrText>
      </w:r>
      <w:r w:rsidR="00E22FF3" w:rsidRPr="00C56699">
        <w:fldChar w:fldCharType="separate"/>
      </w:r>
      <w:r w:rsidR="00411DA0" w:rsidRPr="00C56699">
        <w:rPr>
          <w:noProof/>
        </w:rPr>
        <w:t>[17]</w:t>
      </w:r>
      <w:r w:rsidR="00E22FF3" w:rsidRPr="00C56699">
        <w:fldChar w:fldCharType="end"/>
      </w:r>
      <w:r w:rsidR="00183EE8" w:rsidRPr="00C56699">
        <w:t>.</w:t>
      </w:r>
      <w:r w:rsidR="003716DE" w:rsidRPr="00C56699">
        <w:t xml:space="preserve"> AGR2 can </w:t>
      </w:r>
      <w:r w:rsidR="00183EE8" w:rsidRPr="00C56699">
        <w:t xml:space="preserve">also </w:t>
      </w:r>
      <w:r w:rsidR="003716DE" w:rsidRPr="00C56699">
        <w:t xml:space="preserve">be secreted </w:t>
      </w:r>
      <w:r w:rsidR="00E22FF3" w:rsidRPr="00C56699">
        <w:fldChar w:fldCharType="begin" w:fldLock="1"/>
      </w:r>
      <w:r w:rsidR="008004D4" w:rsidRPr="00C56699">
        <w:instrText>ADDIN CSL_CITATION {"citationItems":[{"id":"ITEM-1","itemData":{"DOI":"10.1007/s11010-015-2502-3","ISSN":"1573-4919","PMID":"26169982","abstract":"AGR2 is overexpressed in multiple cancers, particularly those arising from breast and prostate tissues, and higher levels of AGR2 are associated with earlier patient death. Although AGR2 is normally resident within the endoplasmic reticulum, the protein has been found in the extracellular space in several model systems. However, it has never been expressly demonstrated that this extracellular form of the protein is secreted and does not just accumulate in the extracellular space as a result of cell lysis. We show in this paper that AGR2 protein is secreted by both human and rat mammary epithelial cells in culture. Furthermore, this secreted form of AGR2 becomes O-glycosylated, with no detectable presence of N-glycosylation. Importantly, this post-translationally modified AGR2 is only detected in the conditioned medium from non-leaky cells, suggesting that membrane integrity must be maintained to allow AGR2 glycosylation. The results suggest a possible role for O-glycosylation in modulating the extracellular functions of AGR2.","author":[{"dropping-particle":"","family":"Clarke","given":"Christopher","non-dropping-particle":"","parse-names":false,"suffix":""},{"dropping-particle":"","family":"Rudland","given":"Philip","non-dropping-particle":"","parse-names":false,"suffix":""},{"dropping-particle":"","family":"Barraclough","given":"Roger","non-dropping-particle":"","parse-names":false,"suffix":""}],"container-title":"Molecular and cellular biochemistry","id":"ITEM-1","issue":"1-2","issued":{"date-parts":[["2015","10"]]},"page":"245-52","title":"The metastasis-inducing protein AGR2 is O-glycosylated upon secretion from mammary epithelial cells.","type":"article-journal","volume":"408"},"uris":["http://www.mendeley.com/documents/?uuid=275657d4-0605-414b-89f1-5c065ff9f5ba"]}],"mendeley":{"formattedCitation":"[18]","plainTextFormattedCitation":"[18]","previouslyFormattedCitation":"[18]"},"properties":{"noteIndex":0},"schema":"https://github.com/citation-style-language/schema/raw/master/csl-citation.json"}</w:instrText>
      </w:r>
      <w:r w:rsidR="00E22FF3" w:rsidRPr="00C56699">
        <w:fldChar w:fldCharType="separate"/>
      </w:r>
      <w:r w:rsidR="00411DA0" w:rsidRPr="00C56699">
        <w:rPr>
          <w:noProof/>
        </w:rPr>
        <w:t>[18]</w:t>
      </w:r>
      <w:r w:rsidR="00E22FF3" w:rsidRPr="00C56699">
        <w:fldChar w:fldCharType="end"/>
      </w:r>
      <w:r w:rsidR="003716DE" w:rsidRPr="00C56699">
        <w:rPr>
          <w:rFonts w:ascii="Helvetica" w:eastAsia="Helvetica" w:hAnsi="Helvetica" w:cs="Helvetica"/>
          <w:sz w:val="24"/>
          <w:szCs w:val="24"/>
        </w:rPr>
        <w:t xml:space="preserve"> </w:t>
      </w:r>
      <w:r w:rsidR="003716DE" w:rsidRPr="00C56699">
        <w:t xml:space="preserve">and </w:t>
      </w:r>
      <w:r w:rsidR="00CB4CEF" w:rsidRPr="00C56699">
        <w:t xml:space="preserve">is </w:t>
      </w:r>
      <w:r w:rsidR="003716DE" w:rsidRPr="00C56699">
        <w:t xml:space="preserve">detected in extracellular fluids </w:t>
      </w:r>
      <w:r w:rsidR="00E22FF3" w:rsidRPr="00C56699">
        <w:fldChar w:fldCharType="begin" w:fldLock="1"/>
      </w:r>
      <w:r w:rsidR="008004D4" w:rsidRPr="00C56699">
        <w:instrText>ADDIN CSL_CITATION {"citationItems":[{"id":"ITEM-1","itemData":{"DOI":"10.1042/CS20090537","ISSN":"01435221","abstract":"Ovarian cancer is often asymptomatic and is diagnosed at an advanced stage with poor survival rates, thus there is an urgent need to develop biomarkers for earlier detection of ovarian cancer. In the present study, we demonstrate for the first time that the previously reported metastasis-inducing protein AGR2 (anterior gradient protein 2) can be detected in the blood of ovarian cancer patients. Using a newly developed ELISA, we show significantly increased concentrations of AGR2 protein in plasma from cancer patients relative to normal controls. Plasma AGR2 concentrations were highest in stages II and III ovarian cancer patients and were similarly elevated in patients with both serous and non-serous tumours. The identification of elevated plasma concentrations of AGR2 may provide a useful biomarker to aid in the discrimination of normal and ovarian cancer patients particularly when used in combination with CA125. [ABSTRACT FROM AUTHOR] Copyright of Clinical Science is the property of Portland Press Ltd.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Abstracts.)","author":[{"dropping-particle":"","family":"Edgell","given":"Tracey A","non-dropping-particle":"","parse-names":false,"suffix":""},{"dropping-particle":"","family":"Barraclough","given":"Dong L","non-dropping-particle":"","parse-names":false,"suffix":""},{"dropping-particle":"","family":"Rajic","given":"Antonio","non-dropping-particle":"","parse-names":false,"suffix":""},{"dropping-particle":"","family":"Dhulia","given":"Janu","non-dropping-particle":"","parse-names":false,"suffix":""},{"dropping-particle":"","family":"Lewis","given":"Kate J","non-dropping-particle":"","parse-names":false,"suffix":""},{"dropping-particle":"","family":"Armes","given":"Jane E","non-dropping-particle":"","parse-names":false,"suffix":""},{"dropping-particle":"","family":"Barraclough","given":"Roger","non-dropping-particle":"","parse-names":false,"suffix":""},{"dropping-particle":"","family":"Rudland","given":"Philip S","non-dropping-particle":"","parse-names":false,"suffix":""},{"dropping-particle":"","family":"Rice","given":"Gregory E","non-dropping-particle":"","parse-names":false,"suffix":""},{"dropping-particle":"","family":"Autelitano","given":"Dominic J","non-dropping-particle":"","parse-names":false,"suffix":""}],"container-title":"Clinical Science","id":"ITEM-1","issue":"12","issued":{"date-parts":[["2010"]]},"note":"EDGELL, Tracey A. 1; Email Address: d.autelitano@healthlinx.com.au BARRACLOUGH, Dong L. 2,3 RAJIC, Antonio 1 DHULIA, Janu 1 LEWIS, Kate J. 1 ARMES, Jane E. 4 BARRACLOUGH, Roger 4 RUDLAND, Philip S. 4 RICE, Gregory E. 1,5 AUTELITANO, Dominic J. 1; Affiliation: 1: HealthLinx Ltd, 576 Swan Street, Richmond, Victoria 3121, Australia 2: School of Clinical Sciences, University of Liverpool, Daulby Street, Liverpool L69 3GA, U.K. 3: School of Biological Sciences, University of Liverpool, Daulby Street, Liverpool L69 3GA, U.K. 4: Mater Pathology, Mater Health Services, Brisbane, Queensland 4101, Australia 5: Baker IDI Heart and Diabetes Institute, 75 Commercial Road, Melbourne, Victoria 3134, Australia; Source Info: 2010, Vol. 118 Issue 12, p717; Subject Term: OVARIAN cancer -- Diagnosis; Subject Term: BIOCHEMICAL markers; Subject Term: METASTASIS; Subject Term: ENZYME-linked immunosorbent assay; Subject Term: BLOOD plasma; Subject Term: PLASMA cells; Author-Supplied Keyword: anterior gradient protein 2 (AGR2); Author-Supplied Keyword: biomarker; Author-Supplied Keyword: CA125; Author-Supplied Keyword: ELISA; Author-Supplied Keyword: ovarian cancer; NAICS/Industry Codes: 414510 Pharmaceuticals and pharmacy supplies merchant wholesalers; Number of Pages: 9p; Document Type: Article","page":"717-725","title":"Increased plasma concentrations of anterior gradient 2 protein are positively associated with ovarian cancer","type":"article-journal","volume":"118"},"uris":["http://www.mendeley.com/documents/?uuid=75f180b3-4c83-442b-81e6-9e83cdc5213f"]},{"id":"ITEM-2","itemData":{"DOI":"10.1002/pros.21508","ISSN":"02704137; 10970045","author":[{"dropping-particle":"","family":"Wayner","given":"E A","non-dropping-particle":"","parse-names":false,"suffix":""},{"dropping-particle":"","family":"Quek","given":"S I","non-dropping-particle":"","parse-names":false,"suffix":""},{"dropping-particle":"","family":"Ahmad","given":"R","non-dropping-particle":"","parse-names":false,"suffix":""},{"dropping-particle":"","family":"Ho","given":"M E","non-dropping-particle":"","parse-names":false,"suffix":""},{"dropping-particle":"","family":"Loprieno","given":"M A","non-dropping-particle":"","parse-names":false,"suffix":""},{"dropping-particle":"","family":"Ellis","given":"W J","non-dropping-particle":"","parse-names":false,"suffix":""},{"dropping-particle":"","family":"Liu","given":"A Y","non-dropping-particle":"","parse-names":false,"suffix":""},{"dropping-particle":"","family":"Zhou","given":"Y","non-dropping-particle":"","parse-names":false,"suffix":""},{"dropping-particle":"","family":"True","given":"L D","non-dropping-particle":"","parse-names":false,"suffix":""}],"container-title":"Prostate","id":"ITEM-2","issue":"9","issued":{"date-parts":[["2012","6","15"]]},"note":"(. 1. )\n( 2,3 )\n(. 2. )\n(. 4. )\n(. 5. )\n(Prostate, 15 June 2012, 72(9):1023-1034) Publication Type: Academic Journal; Rights: Copyright 2012 Elsevier B.V., All rights reserved.","page":"1023-1034","title":"Development of an ELISA to detect the secreted prostate cancer biomarker AGR2 in voided urine","type":"article-journal","volume":"72"},"uris":["http://www.mendeley.com/documents/?uuid=b3e597ff-e1b5-4ad3-8ca2-31533cedfec5"]},{"id":"ITEM-3","itemData":{"DOI":"10.1111/febs.12118","ISSN":"1742-4658","PMID":"23294566","abstract":"Androgens and oestrogens have been implicated in prostatic carcinogenesis and tumour progression. Although the actions of androgens have been studied extensively, the mechanisms underlying oestrogen signalling in prostate cancer are not fully understood. In the present study, we analyzed the effect of androgens and oestrogens on the expression of anterior gradient 2 (AGR2) and anterior gradient 3 (AGR3), comprising two highly-related genes encoding secretory proteins that are expressed in prostate cancer and one of which (AGR2) has been associated with tumour metastasis. Quantitative reverse-transcriptase PCR and western blot analysis showed androgen induction of AGR2 and AGR3 in three androgen receptor positive cell lines, starting at concentrations of 0.1 nm. Both AGR genes were also transcriptionally activated by ≥ 5 nM oestradiol but not by isotype selective or nonselective oestrogen receptor agonists in DUCaP cells that harbour a high-level of wild-type androgen receptor. A functional androgen receptor but not oestrogen receptor turned out to be required for both androgen and oestrogen regulation. This pattern of androgen and oestrogen regulation was confirmed in VCaP cells and was also observed for FKBP5, a well-characterized androgen-regulated gene. Genome-wide chromatin-immunoprecipitation studies coupled with deep sequencing identified androgen receptor binding sites localized in the distal promoter and intron regions of the AGR2 and AGR3 genes, respectively. The androgen responsiveness of these enhancers was verified by luciferase reporter gene assays and site-directed mutagenesis analysis. Androgen treatment also induced p300 and RNA Pol II recruitment to androgen receptor enhancers of AGR2 and initiated local chromatin remodelling and the formation of RNA Pol II-containing androgen receptor transcription complexes.","author":[{"dropping-particle":"","family":"Bu","given":"Huajie","non-dropping-particle":"","parse-names":false,"suffix":""},{"dropping-particle":"","family":"Schweiger","given":"Michal R","non-dropping-particle":"","parse-names":false,"suffix":""},{"dropping-particle":"","family":"Manke","given":"Thomas","non-dropping-particle":"","parse-names":false,"suffix":""},{"dropping-particle":"","family":"Wunderlich","given":"Andrea","non-dropping-particle":"","parse-names":false,"suffix":""},{"dropping-particle":"","family":"Timmermann","given":"Bernd","non-dropping-particle":"","parse-names":false,"suffix":""},{"dropping-particle":"","family":"Kerick","given":"Martin","non-dropping-particle":"","parse-names":false,"suffix":""},{"dropping-particle":"","family":"Pasqualini","given":"Lorenza","non-dropping-particle":"","parse-names":false,"suffix":""},{"dropping-particle":"","family":"Shehu","given":"Erald","non-dropping-particle":"","parse-names":false,"suffix":""},{"dropping-particle":"","family":"Fuchsberger","given":"Christian","non-dropping-particle":"","parse-names":false,"suffix":""},{"dropping-particle":"","family":"Cato","given":"Andrew C B","non-dropping-particle":"","parse-names":false,"suffix":""},{"dropping-particle":"","family":"Klocker","given":"Helmut","non-dropping-particle":"","parse-names":false,"suffix":""}],"container-title":"The FEBS journal","id":"ITEM-3","issue":"5","issued":{"date-parts":[["2013","3"]]},"page":"1249-66","title":"Anterior gradient 2 and 3--two prototype androgen-responsive genes transcriptionally upregulated by androgens and by oestrogens in prostate cancer cells.","type":"article-journal","volume":"280"},"uris":["http://www.mendeley.com/documents/?uuid=f34c4c43-b535-44ca-be9d-fc99d60baf16"]},{"id":"ITEM-4","itemData":{"DOI":"10.1186/bcr3408","ISSN":"14655411; 1465542X","PMID":"23635006","abstract":"Initially discovered as an estrogen-responsive gene in breast cancer cell lines, anterior gradient 2 (AGR2) is a developmentally regulated gene belonging to the protein disulfide isomerase (PDI) gene family. Developmentally, AGR2 is expressed in the mammary gland in an estrogen-dependent manner, and AGR2 knockout and overexpression mouse models indicate that the gene promotes lobuloalveolar development by stimulating cell proliferation. Although AGR2 overexpression alone seems insufficient for breast tumorigenesis in mice, several lines of investigations suggest that AGR2 promotes breast tumorigenesis. Overexpression of AGR2 in several breast cancer cell lines increases cell survival in clonogenic assays and cell proliferation, whereas AGR2 loss of function leads to decreased cell cycle progression and cell death. In addition, AGR2 was shown to promote metastasis of breast epithelial cells in an in vivo metastasis assay. As a PDI, AGR2 is thought to be involved in the unfolded protein response that alleviates endoplasmic reticulum stress. Since cancer has to overcome proteotoxic stress due to excess protein production, AGR2 may be one of many pro-survival factors recruited to assist in protein folding or degradation or both. When AGR2 is secreted, it plays a role in cellular adhesion and dissemination of metastatic tumor cells. In breast cancer, AGR2 expression is associated with estrogen receptor (ER)-positive tumors; its overexpression is a predictor of poor prognosis. The AGR2 gene is directly targeted by ER-alpha, which is preferentially bound in tumors with poor outcome. Whereas aromatase inhibitor therapy decreases AGR2 expression, tamoxifen acts as an agonist of AGR2 expression in ER-positive tumors, perhaps contributing to tamoxifen resistance. AGR2 is also overexpressed in a subset of ER-negative tumors. Furthermore, AGR2 expression is associated with the dissemination of metastatic breast cancer cells and can be used as a marker to identify circulating tumor cells and metastatic cells in sentinel lymph nodes. In conclusion, AGR2 is a promising drug target in breast cancer and may serve as a useful prognostic indicator as well as a marker of breast cancer metastasis.","author":[{"dropping-particle":"","family":"Salmans","given":"Michael L","non-dropping-particle":"","parse-names":false,"suffix":""},{"dropping-particle":"","family":"Zhao","given":"Fang","non-dropping-particle":"","parse-names":false,"suffix":""},{"dropping-particle":"","family":"Andersen","given":"Bogi","non-dropping-particle":"","parse-names":false,"suffix":""},{"dropping-particle":"","family":"Zhao","given":"Fang","non-dropping-particle":"","parse-names":false,"suffix":""}],"container-title":"Breast Cancer Research","id":"ITEM-4","issue":"15","issued":{"date-parts":[["2013","4","24"]]},"note":"From Duplicate 1 (The estrogen-regulated anterior gradient 2 (AGR2) protein in breast cancer: A potential drug target and biomarker - Salmans, M L; Andersen, B; Zhao, F)\n\n(. 1. )\n(. 2. )\n(Breast Cancer Research, 24 April 2013, 15(2)) Publication Type: Academic Journal; Rights: Copyright 2013 Elsevier B.V., All rights reserved.","page":"204-18","title":"The estrogen-regulated anterior gradient 2 (AGR2) protein in breast cancer: A potential drug target and biomarker","type":"article-journal","volume":"204"},"uris":["http://www.mendeley.com/documents/?uuid=14c1c1ac-ee9d-4e07-9139-39d4909aef9d"]}],"mendeley":{"formattedCitation":"[14,19–21]","plainTextFormattedCitation":"[14,19–21]","previouslyFormattedCitation":"[14,19–21]"},"properties":{"noteIndex":0},"schema":"https://github.com/citation-style-language/schema/raw/master/csl-citation.json"}</w:instrText>
      </w:r>
      <w:r w:rsidR="00E22FF3" w:rsidRPr="00C56699">
        <w:fldChar w:fldCharType="separate"/>
      </w:r>
      <w:r w:rsidR="00411DA0" w:rsidRPr="00C56699">
        <w:rPr>
          <w:noProof/>
        </w:rPr>
        <w:t>[14,19–21]</w:t>
      </w:r>
      <w:r w:rsidR="00E22FF3" w:rsidRPr="00C56699">
        <w:fldChar w:fldCharType="end"/>
      </w:r>
      <w:r w:rsidR="003716DE" w:rsidRPr="00C56699">
        <w:t xml:space="preserve">; </w:t>
      </w:r>
      <w:r w:rsidR="003716DE" w:rsidRPr="00C56699">
        <w:rPr>
          <w:lang w:val="en-GB"/>
        </w:rPr>
        <w:t xml:space="preserve">hence </w:t>
      </w:r>
      <w:r w:rsidR="00391313" w:rsidRPr="00C56699">
        <w:rPr>
          <w:lang w:val="en-GB"/>
        </w:rPr>
        <w:t xml:space="preserve">AGR2 protein has been </w:t>
      </w:r>
      <w:r w:rsidR="00734C40" w:rsidRPr="00C56699">
        <w:rPr>
          <w:lang w:val="en-GB"/>
        </w:rPr>
        <w:t xml:space="preserve">proposed as </w:t>
      </w:r>
      <w:r w:rsidR="003716DE" w:rsidRPr="00C56699">
        <w:rPr>
          <w:lang w:val="en-GB"/>
        </w:rPr>
        <w:t>a compelling biomarker for cancer detection and/or follow-up</w:t>
      </w:r>
      <w:r w:rsidR="007F5A56" w:rsidRPr="00C56699">
        <w:rPr>
          <w:lang w:val="en-GB"/>
        </w:rPr>
        <w:t xml:space="preserve">. </w:t>
      </w:r>
      <w:r w:rsidR="00555061" w:rsidRPr="00C56699">
        <w:rPr>
          <w:lang w:val="en-GB"/>
        </w:rPr>
        <w:t>Recently, higher AGR2</w:t>
      </w:r>
      <w:r w:rsidR="00555061" w:rsidRPr="00C56699">
        <w:rPr>
          <w:i/>
          <w:iCs/>
          <w:lang w:val="en-GB"/>
        </w:rPr>
        <w:t xml:space="preserve"> </w:t>
      </w:r>
      <w:r w:rsidR="00555061" w:rsidRPr="00C56699">
        <w:rPr>
          <w:lang w:val="en-GB"/>
        </w:rPr>
        <w:t xml:space="preserve">expression was found in </w:t>
      </w:r>
      <w:r w:rsidR="00A94A7B" w:rsidRPr="00C56699">
        <w:rPr>
          <w:lang w:val="en-GB"/>
        </w:rPr>
        <w:t>EC</w:t>
      </w:r>
      <w:r w:rsidR="00555061" w:rsidRPr="00C56699">
        <w:rPr>
          <w:lang w:val="en-GB"/>
        </w:rPr>
        <w:t>s that developed in women previously treated with tamoxifen</w:t>
      </w:r>
      <w:r w:rsidR="00A34F56" w:rsidRPr="00C56699">
        <w:rPr>
          <w:lang w:val="en-GB"/>
        </w:rPr>
        <w:t xml:space="preserve"> </w:t>
      </w:r>
      <w:r w:rsidR="00555061" w:rsidRPr="00C56699">
        <w:rPr>
          <w:lang w:val="en-GB"/>
        </w:rPr>
        <w:t xml:space="preserve">compared to those who had not been exposed to tamoxifen </w:t>
      </w:r>
      <w:r w:rsidR="00AE6E34" w:rsidRPr="00C56699">
        <w:rPr>
          <w:lang w:val="en-GB"/>
        </w:rPr>
        <w:fldChar w:fldCharType="begin" w:fldLock="1"/>
      </w:r>
      <w:r w:rsidR="008004D4" w:rsidRPr="00C56699">
        <w:rPr>
          <w:lang w:val="en-GB"/>
        </w:rPr>
        <w:instrText>ADDIN CSL_CITATION {"citationItems":[{"id":"ITEM-1","itemData":{"DOI":"10.1080/07357907.2017.1309546","ISSN":"0735-7907","PMID":"28402678","abstract":"Tamoxifen treatment in breast cancer patients is associated with increased risk of endometrial malignancies. Significantly, higher AGR2 expression was found in endometrial cancers that developed in women previously treated with tamoxifen compared to those who had not been exposed to tamoxifen. An association of elevated AGR2 level with myometrial invasion occurrence and invasion depth was also found. In vitro analyses identified a stimulatory effect of AGR2 on cellular proliferation. Although adverse tamoxifen effects on endometrial cells remain elusive, our work identifies elevated AGR2 as a candidate tamoxifen-dependent mechanism of action responsible for increased incidence of endometrial cancer.","author":[{"dropping-particle":"","family":"Hrstka","given":"Roman","non-dropping-particle":"","parse-names":false,"suffix":""},{"dropping-particle":"","family":"Podhorec","given":"Jan","non-dropping-particle":"","parse-names":false,"suffix":""},{"dropping-particle":"","family":"Nenutil","given":"Rudolf","non-dropping-particle":"","parse-names":false,"suffix":""},{"dropping-particle":"","family":"Sommerova","given":"Lucia","non-dropping-particle":"","parse-names":false,"suffix":""},{"dropping-particle":"","family":"Obacz","given":"Joanna","non-dropping-particle":"","parse-names":false,"suffix":""},{"dropping-particle":"","family":"Durech","given":"Michal","non-dropping-particle":"","parse-names":false,"suffix":""},{"dropping-particle":"","family":"Faktor","given":"Jakub","non-dropping-particle":"","parse-names":false,"suffix":""},{"dropping-particle":"","family":"Bouchal","given":"Pavel","non-dropping-particle":"","parse-names":false,"suffix":""},{"dropping-particle":"","family":"Skoupilova","given":"Hana","non-dropping-particle":"","parse-names":false,"suffix":""},{"dropping-particle":"","family":"Vojtesek","given":"Borivoj","non-dropping-particle":"","parse-names":false,"suffix":""}],"container-title":"Cancer Investigation","id":"ITEM-1","issue":"5","issued":{"date-parts":[["2017","5","28"]]},"page":"313-324","title":"Tamoxifen-Dependent Induction of &lt;i&gt;AGR2&lt;/i&gt; Is Associated with Increased Aggressiveness of Endometrial Cancer Cells","type":"article-journal","volume":"35"},"uris":["http://www.mendeley.com/documents/?uuid=eb0c0c8c-435a-3494-a772-b077c99a5674"]}],"mendeley":{"formattedCitation":"[22]","plainTextFormattedCitation":"[22]","previouslyFormattedCitation":"[22]"},"properties":{"noteIndex":0},"schema":"https://github.com/citation-style-language/schema/raw/master/csl-citation.json"}</w:instrText>
      </w:r>
      <w:r w:rsidR="00AE6E34" w:rsidRPr="00C56699">
        <w:rPr>
          <w:lang w:val="en-GB"/>
        </w:rPr>
        <w:fldChar w:fldCharType="separate"/>
      </w:r>
      <w:r w:rsidR="00411DA0" w:rsidRPr="00C56699">
        <w:rPr>
          <w:noProof/>
          <w:lang w:val="en-GB"/>
        </w:rPr>
        <w:t>[22]</w:t>
      </w:r>
      <w:r w:rsidR="00AE6E34" w:rsidRPr="00C56699">
        <w:rPr>
          <w:lang w:val="en-GB"/>
        </w:rPr>
        <w:fldChar w:fldCharType="end"/>
      </w:r>
      <w:r w:rsidR="00555061" w:rsidRPr="00C56699">
        <w:rPr>
          <w:lang w:val="en-GB"/>
        </w:rPr>
        <w:t xml:space="preserve">. </w:t>
      </w:r>
      <w:r w:rsidR="003716DE" w:rsidRPr="00C56699">
        <w:rPr>
          <w:lang w:val="en-GB"/>
        </w:rPr>
        <w:t xml:space="preserve">While many ECs are hormone responsive </w:t>
      </w:r>
      <w:r w:rsidR="00E22FF3" w:rsidRPr="00C56699">
        <w:rPr>
          <w:lang w:val="en-GB"/>
        </w:rPr>
        <w:fldChar w:fldCharType="begin" w:fldLock="1"/>
      </w:r>
      <w:r w:rsidR="008004D4" w:rsidRPr="00C56699">
        <w:rPr>
          <w:lang w:val="en-GB"/>
        </w:rPr>
        <w:instrText>ADDIN CSL_CITATION {"citationItems":[{"id":"ITEM-1","itemData":{"DOI":"10.1515/hmbci-2016-0005","ISSN":"1868-1891","PMID":"26966933","abstract":"Endometrial cancer (EC) is the commonest gynaecological cancer in the Western World with an alarmingly increasing incidence related to longevity and obesity. Ovarian hormones regulate normal human endometrial cell proliferation, regeneration and function therefore are implicated in endometrial carcinogenesis directly or via influencing other hormones and metabolic pathways. Although the role of unopposed oestrogen in the pathogenesis of EC has received considerable attention, the emerging role of other hormones in this process, such as androgens and gonadotropin-releasing hormones (GnRH) is less well recognised. This review aims to consolidate the current knowledge of the involvement of the three main endogenous ovarian hormones (oestrogens, progesterone and androgens) as well as the other hormones in endometrial carcinogenesis, to identify important avenues for future research.","author":[{"dropping-particle":"","family":"Kamal","given":"AM","non-dropping-particle":"","parse-names":false,"suffix":""},{"dropping-particle":"","family":"Tempest","given":"Nicola","non-dropping-particle":"","parse-names":false,"suffix":""},{"dropping-particle":"","family":"Parkes","given":"C","non-dropping-particle":"","parse-names":false,"suffix":""},{"dropping-particle":"","family":"Alnafakh","given":"R","non-dropping-particle":"","parse-names":false,"suffix":""},{"dropping-particle":"","family":"Makrydima","given":"S","non-dropping-particle":"","parse-names":false,"suffix":""},{"dropping-particle":"","family":"Adishesh","given":"M","non-dropping-particle":"","parse-names":false,"suffix":""},{"dropping-particle":"","family":"Hapangama","given":"Dharani K","non-dropping-particle":"","parse-names":false,"suffix":""}],"container-title":"Hormone molecular biology and clinical investigation","id":"ITEM-1","issue":"2","issued":{"date-parts":[["2016","2","1"]]},"page":"129-48","title":"Hormones and endometrial carcinogenesis.","type":"article-journal","volume":"25"},"uris":["http://www.mendeley.com/documents/?uuid=82fde972-107d-45b6-aa31-d12291f9c751"]}],"mendeley":{"formattedCitation":"[23]","plainTextFormattedCitation":"[23]","previouslyFormattedCitation":"[23]"},"properties":{"noteIndex":0},"schema":"https://github.com/citation-style-language/schema/raw/master/csl-citation.json"}</w:instrText>
      </w:r>
      <w:r w:rsidR="00E22FF3" w:rsidRPr="00C56699">
        <w:rPr>
          <w:lang w:val="en-GB"/>
        </w:rPr>
        <w:fldChar w:fldCharType="separate"/>
      </w:r>
      <w:r w:rsidR="00411DA0" w:rsidRPr="00C56699">
        <w:rPr>
          <w:noProof/>
          <w:lang w:val="en-GB"/>
        </w:rPr>
        <w:t>[23]</w:t>
      </w:r>
      <w:r w:rsidR="00E22FF3" w:rsidRPr="00C56699">
        <w:rPr>
          <w:lang w:val="en-GB"/>
        </w:rPr>
        <w:fldChar w:fldCharType="end"/>
      </w:r>
      <w:r w:rsidR="003716DE" w:rsidRPr="00C56699">
        <w:rPr>
          <w:lang w:val="en-GB"/>
        </w:rPr>
        <w:t xml:space="preserve">, the pattern of AGR2 expression and </w:t>
      </w:r>
      <w:r w:rsidR="003716DE" w:rsidRPr="00C56699">
        <w:t>its possible role in endometrial carcinogenesis remains to be described.</w:t>
      </w:r>
      <w:r w:rsidR="008458C2" w:rsidRPr="00C56699">
        <w:t xml:space="preserve"> </w:t>
      </w:r>
    </w:p>
    <w:p w14:paraId="458F58E1" w14:textId="52ECFDEC" w:rsidR="0094536C" w:rsidRPr="00C56699" w:rsidRDefault="001508E7" w:rsidP="00335DD5">
      <w:r w:rsidRPr="00C56699">
        <w:t xml:space="preserve">In this </w:t>
      </w:r>
      <w:r w:rsidR="00F41868" w:rsidRPr="00C56699">
        <w:rPr>
          <w:noProof/>
        </w:rPr>
        <w:t>study</w:t>
      </w:r>
      <w:r w:rsidR="003F6D71" w:rsidRPr="00C56699">
        <w:rPr>
          <w:noProof/>
        </w:rPr>
        <w:t>,</w:t>
      </w:r>
      <w:r w:rsidRPr="00C56699">
        <w:t xml:space="preserve"> </w:t>
      </w:r>
      <w:r w:rsidR="00FC2866" w:rsidRPr="00C56699">
        <w:t>change</w:t>
      </w:r>
      <w:r w:rsidR="003B29C4" w:rsidRPr="00C56699">
        <w:t>s</w:t>
      </w:r>
      <w:r w:rsidR="00FC2866" w:rsidRPr="00C56699">
        <w:t xml:space="preserve"> </w:t>
      </w:r>
      <w:r w:rsidR="003B29C4" w:rsidRPr="00C56699">
        <w:t xml:space="preserve">in the levels of </w:t>
      </w:r>
      <w:r w:rsidR="008B13BB" w:rsidRPr="00C56699">
        <w:t xml:space="preserve">endometrial </w:t>
      </w:r>
      <w:r w:rsidR="003B29C4" w:rsidRPr="00C56699">
        <w:t>AGR2 protein</w:t>
      </w:r>
      <w:r w:rsidR="005C6D36" w:rsidRPr="00C56699">
        <w:t>/</w:t>
      </w:r>
      <w:r w:rsidR="00B4406E" w:rsidRPr="00C56699">
        <w:t xml:space="preserve"> </w:t>
      </w:r>
      <w:r w:rsidR="00B4406E" w:rsidRPr="00C56699">
        <w:rPr>
          <w:i/>
        </w:rPr>
        <w:t>AGR2</w:t>
      </w:r>
      <w:r w:rsidR="00B4406E" w:rsidRPr="00C56699">
        <w:t xml:space="preserve"> </w:t>
      </w:r>
      <w:r w:rsidR="005C6D36" w:rsidRPr="00C56699">
        <w:t>mRNA</w:t>
      </w:r>
      <w:r w:rsidR="003B29C4" w:rsidRPr="00C56699">
        <w:t xml:space="preserve"> </w:t>
      </w:r>
      <w:r w:rsidR="00734C40" w:rsidRPr="00C56699">
        <w:t xml:space="preserve">expression </w:t>
      </w:r>
      <w:r w:rsidR="003B29C4" w:rsidRPr="00C56699">
        <w:t xml:space="preserve">are shown for the first time </w:t>
      </w:r>
      <w:r w:rsidR="00FC2866" w:rsidRPr="00C56699">
        <w:t xml:space="preserve">across </w:t>
      </w:r>
      <w:r w:rsidR="00330C91" w:rsidRPr="00C56699">
        <w:t xml:space="preserve">the </w:t>
      </w:r>
      <w:r w:rsidR="00FC2866" w:rsidRPr="00C56699">
        <w:t xml:space="preserve">normal pre and postmenopausal endometrium, premalignant atypical endometrial hyperplasia, </w:t>
      </w:r>
      <w:r w:rsidR="007F7525" w:rsidRPr="00C56699">
        <w:t>EC</w:t>
      </w:r>
      <w:r w:rsidR="00FC2866" w:rsidRPr="00C56699">
        <w:t xml:space="preserve"> </w:t>
      </w:r>
      <w:r w:rsidR="00BC4269" w:rsidRPr="00C56699">
        <w:t xml:space="preserve">and </w:t>
      </w:r>
      <w:r w:rsidR="00734C40" w:rsidRPr="00C56699">
        <w:t xml:space="preserve">in </w:t>
      </w:r>
      <w:r w:rsidR="00BC4269" w:rsidRPr="00C56699">
        <w:t xml:space="preserve">matched metastatic lesions. </w:t>
      </w:r>
      <w:r w:rsidR="003B29C4" w:rsidRPr="00C56699">
        <w:t>T</w:t>
      </w:r>
      <w:r w:rsidR="008B0956" w:rsidRPr="00C56699">
        <w:t xml:space="preserve">he </w:t>
      </w:r>
      <w:r w:rsidR="00313E27" w:rsidRPr="00C56699">
        <w:t xml:space="preserve">prognostic significance of </w:t>
      </w:r>
      <w:r w:rsidR="001D1F4E" w:rsidRPr="00C56699">
        <w:t>AGR2</w:t>
      </w:r>
      <w:r w:rsidR="00313E27" w:rsidRPr="00C56699">
        <w:t xml:space="preserve"> expression </w:t>
      </w:r>
      <w:r w:rsidR="008658AB" w:rsidRPr="00C56699">
        <w:t>is also</w:t>
      </w:r>
      <w:r w:rsidR="00313E27" w:rsidRPr="00C56699">
        <w:t xml:space="preserve"> assessed in our cohort and further validated using The </w:t>
      </w:r>
      <w:r w:rsidR="00313E27" w:rsidRPr="00C56699">
        <w:lastRenderedPageBreak/>
        <w:t xml:space="preserve">Cancer Genome Atlas (TCGA) </w:t>
      </w:r>
      <w:r w:rsidR="00734C40" w:rsidRPr="00C56699">
        <w:t>EC</w:t>
      </w:r>
      <w:r w:rsidR="00313E27" w:rsidRPr="00C56699">
        <w:t xml:space="preserve"> series. </w:t>
      </w:r>
      <w:r w:rsidR="00F41868" w:rsidRPr="00C56699">
        <w:t xml:space="preserve">Furthermore, we </w:t>
      </w:r>
      <w:r w:rsidR="008B0956" w:rsidRPr="00C56699">
        <w:t>examine</w:t>
      </w:r>
      <w:r w:rsidR="0038541E" w:rsidRPr="00C56699">
        <w:t>d</w:t>
      </w:r>
      <w:r w:rsidR="008B0956" w:rsidRPr="00C56699">
        <w:t xml:space="preserve"> the regulation of </w:t>
      </w:r>
      <w:r w:rsidR="008B0956" w:rsidRPr="00C56699">
        <w:rPr>
          <w:i/>
          <w:iCs/>
        </w:rPr>
        <w:t>AGR2</w:t>
      </w:r>
      <w:r w:rsidR="008B0956" w:rsidRPr="00C56699">
        <w:t xml:space="preserve"> </w:t>
      </w:r>
      <w:r w:rsidR="00330C91" w:rsidRPr="00C56699">
        <w:t xml:space="preserve">gene expression </w:t>
      </w:r>
      <w:r w:rsidR="008B0956" w:rsidRPr="00C56699">
        <w:t>by steroid hormones</w:t>
      </w:r>
      <w:r w:rsidR="00556F23" w:rsidRPr="00C56699">
        <w:t xml:space="preserve"> </w:t>
      </w:r>
      <w:r w:rsidR="00446817" w:rsidRPr="00C56699">
        <w:t>in the hormone</w:t>
      </w:r>
      <w:r w:rsidR="00CB4CEF" w:rsidRPr="00C56699">
        <w:t>-</w:t>
      </w:r>
      <w:r w:rsidR="00446817" w:rsidRPr="00C56699">
        <w:t xml:space="preserve">responsive </w:t>
      </w:r>
      <w:r w:rsidR="0094536C" w:rsidRPr="00C56699">
        <w:t xml:space="preserve">Ishikawa </w:t>
      </w:r>
      <w:r w:rsidR="00E13C52" w:rsidRPr="00C56699">
        <w:t xml:space="preserve">cell line, an </w:t>
      </w:r>
      <w:r w:rsidR="00E13C52" w:rsidRPr="00C56699">
        <w:rPr>
          <w:i/>
        </w:rPr>
        <w:t>in vitro</w:t>
      </w:r>
      <w:r w:rsidR="00E13C52" w:rsidRPr="00C56699">
        <w:t xml:space="preserve"> </w:t>
      </w:r>
      <w:r w:rsidR="0094536C" w:rsidRPr="00C56699">
        <w:t xml:space="preserve">model of early </w:t>
      </w:r>
      <w:r w:rsidR="00A94A7B" w:rsidRPr="00C56699">
        <w:t>EC</w:t>
      </w:r>
      <w:r w:rsidR="0094536C" w:rsidRPr="00C56699">
        <w:t xml:space="preserve">. </w:t>
      </w:r>
    </w:p>
    <w:p w14:paraId="27518F93" w14:textId="77777777" w:rsidR="0094536C" w:rsidRPr="00C56699" w:rsidRDefault="0094536C" w:rsidP="00335DD5"/>
    <w:p w14:paraId="5B34E6D0" w14:textId="77777777" w:rsidR="003E5549" w:rsidRPr="00C56699" w:rsidRDefault="003E5549" w:rsidP="00411DA0">
      <w:pPr>
        <w:pStyle w:val="Heading1"/>
      </w:pPr>
      <w:r w:rsidRPr="00C56699">
        <w:t xml:space="preserve">Results </w:t>
      </w:r>
    </w:p>
    <w:p w14:paraId="17878DC9" w14:textId="77777777" w:rsidR="00103D5E" w:rsidRPr="00C56699" w:rsidRDefault="00103D5E" w:rsidP="00103D5E">
      <w:pPr>
        <w:pStyle w:val="Heading2"/>
        <w:rPr>
          <w:lang w:val="en-GB"/>
        </w:rPr>
      </w:pPr>
      <w:r w:rsidRPr="00C56699">
        <w:rPr>
          <w:lang w:val="en-GB"/>
        </w:rPr>
        <w:t xml:space="preserve">Demographics </w:t>
      </w:r>
    </w:p>
    <w:p w14:paraId="465711CA" w14:textId="68D6261E" w:rsidR="00103D5E" w:rsidRPr="00C56699" w:rsidRDefault="00AB4FFE" w:rsidP="006B4744">
      <w:r w:rsidRPr="00C56699">
        <w:t xml:space="preserve">As expected, </w:t>
      </w:r>
      <w:r w:rsidR="00812B08" w:rsidRPr="00C56699">
        <w:t xml:space="preserve">in </w:t>
      </w:r>
      <w:r w:rsidR="00F846C9" w:rsidRPr="00C56699">
        <w:t>our cohort</w:t>
      </w:r>
      <w:r w:rsidR="00812B08" w:rsidRPr="00C56699">
        <w:t xml:space="preserve">, the </w:t>
      </w:r>
      <w:r w:rsidRPr="00C56699">
        <w:t xml:space="preserve">premenopausal women </w:t>
      </w:r>
      <w:r w:rsidR="00103D5E" w:rsidRPr="00C56699">
        <w:t xml:space="preserve">were </w:t>
      </w:r>
      <w:r w:rsidR="000D4370" w:rsidRPr="00C56699">
        <w:t>significantly younger than those in the postmenopausal</w:t>
      </w:r>
      <w:r w:rsidR="00103D5E" w:rsidRPr="00C56699">
        <w:t xml:space="preserve"> (P&lt; 0.0001) and EC (P&lt; 0.0001)</w:t>
      </w:r>
      <w:r w:rsidR="000D4370" w:rsidRPr="00C56699">
        <w:t xml:space="preserve"> groups</w:t>
      </w:r>
      <w:r w:rsidR="00564652" w:rsidRPr="00C56699">
        <w:t xml:space="preserve"> (Table </w:t>
      </w:r>
      <w:r w:rsidR="006B4744" w:rsidRPr="00C56699">
        <w:t>1</w:t>
      </w:r>
      <w:r w:rsidR="00564652" w:rsidRPr="00C56699">
        <w:t>)</w:t>
      </w:r>
      <w:r w:rsidR="00103D5E" w:rsidRPr="00C56699">
        <w:t xml:space="preserve">. Although 10/12 (83%) of hyperplastic lesions were in the background of </w:t>
      </w:r>
      <w:r w:rsidR="00A94A7B" w:rsidRPr="00C56699">
        <w:t>EC</w:t>
      </w:r>
      <w:r w:rsidR="00103D5E" w:rsidRPr="00C56699">
        <w:t xml:space="preserve">, </w:t>
      </w:r>
      <w:r w:rsidR="00CB4CEF" w:rsidRPr="00C56699">
        <w:t>they</w:t>
      </w:r>
      <w:r w:rsidR="00103D5E" w:rsidRPr="00C56699">
        <w:t xml:space="preserve"> were significantly younger than other EC patients (P=0.024). This was </w:t>
      </w:r>
      <w:r w:rsidR="00CB4CEF" w:rsidRPr="00C56699">
        <w:t xml:space="preserve">most </w:t>
      </w:r>
      <w:r w:rsidR="00103D5E" w:rsidRPr="00C56699">
        <w:t xml:space="preserve">pronounced compared </w:t>
      </w:r>
      <w:r w:rsidR="00CB4CEF" w:rsidRPr="00C56699">
        <w:t>to</w:t>
      </w:r>
      <w:r w:rsidR="00B762C0" w:rsidRPr="00C56699">
        <w:t xml:space="preserve"> </w:t>
      </w:r>
      <w:r w:rsidR="00103D5E" w:rsidRPr="00C56699">
        <w:t>HGEC (P= 0.001).  Within EC patients, all participants were postmenopausal;</w:t>
      </w:r>
      <w:r w:rsidR="005C6D36" w:rsidRPr="00C56699">
        <w:t xml:space="preserve"> and</w:t>
      </w:r>
      <w:r w:rsidR="00103D5E" w:rsidRPr="00C56699">
        <w:t xml:space="preserve"> women with HGEC were significantly older than those with LGEC (P=0.02). Statistical analyses were </w:t>
      </w:r>
      <w:r w:rsidR="00CB4CEF" w:rsidRPr="00C56699">
        <w:t>corrected</w:t>
      </w:r>
      <w:r w:rsidR="00B762C0" w:rsidRPr="00C56699">
        <w:t xml:space="preserve"> </w:t>
      </w:r>
      <w:r w:rsidR="00103D5E" w:rsidRPr="00C56699">
        <w:t>for multiple testing</w:t>
      </w:r>
      <w:r w:rsidR="00FB7852" w:rsidRPr="00C56699">
        <w:t>.</w:t>
      </w:r>
      <w:r w:rsidR="00103D5E" w:rsidRPr="00C56699">
        <w:t xml:space="preserve"> </w:t>
      </w:r>
    </w:p>
    <w:p w14:paraId="3D917D6A" w14:textId="78A77E8E" w:rsidR="00187D9C" w:rsidRPr="00C56699" w:rsidRDefault="00187D9C" w:rsidP="00187D9C">
      <w:pPr>
        <w:pStyle w:val="Heading2"/>
        <w:rPr>
          <w:lang w:val="en-GB"/>
        </w:rPr>
      </w:pPr>
      <w:r w:rsidRPr="00C56699">
        <w:rPr>
          <w:lang w:val="en-GB"/>
        </w:rPr>
        <w:t>AGR2 expression in human endometrium</w:t>
      </w:r>
    </w:p>
    <w:p w14:paraId="572B7560" w14:textId="5BA812C6" w:rsidR="003E5549" w:rsidRPr="00C56699" w:rsidRDefault="004E7020" w:rsidP="002E1FA6">
      <w:r w:rsidRPr="00C56699">
        <w:t>Since AGR2 is a highly related homologue to AGR3, sharing 71% sequence homology, we initially sought to determine whether the antibody</w:t>
      </w:r>
      <w:r w:rsidR="009E190D" w:rsidRPr="00C56699">
        <w:t xml:space="preserve"> to AGR2</w:t>
      </w:r>
      <w:r w:rsidRPr="00C56699">
        <w:t xml:space="preserve"> cross-reacted with AGR3. The antibody </w:t>
      </w:r>
      <w:r w:rsidR="0088166C" w:rsidRPr="00C56699">
        <w:t xml:space="preserve">only </w:t>
      </w:r>
      <w:r w:rsidRPr="00C56699">
        <w:t>reacted with recombinant AGR2 and not with recombinant AGR3 as assessed by immunoblotting (</w:t>
      </w:r>
      <w:r w:rsidR="00C3551D" w:rsidRPr="00C56699">
        <w:t xml:space="preserve">Figure </w:t>
      </w:r>
      <w:r w:rsidRPr="00C56699">
        <w:t>1</w:t>
      </w:r>
      <w:r w:rsidR="00760389" w:rsidRPr="00C56699">
        <w:t>A</w:t>
      </w:r>
      <w:bookmarkStart w:id="2" w:name="_Hlk510306609"/>
      <w:r w:rsidRPr="00C56699">
        <w:t xml:space="preserve">). </w:t>
      </w:r>
      <w:r w:rsidR="00681A47" w:rsidRPr="00C56699">
        <w:t xml:space="preserve">Initially, </w:t>
      </w:r>
      <w:r w:rsidR="0039515A" w:rsidRPr="00C56699">
        <w:t xml:space="preserve">the </w:t>
      </w:r>
      <w:r w:rsidR="00482064" w:rsidRPr="00C56699">
        <w:t>pattern of staining and specificity of the</w:t>
      </w:r>
      <w:r w:rsidR="0039515A" w:rsidRPr="00C56699">
        <w:t xml:space="preserve"> AGR2 </w:t>
      </w:r>
      <w:r w:rsidR="00482064" w:rsidRPr="00C56699">
        <w:t xml:space="preserve">antibody </w:t>
      </w:r>
      <w:r w:rsidR="0039515A" w:rsidRPr="00C56699">
        <w:t xml:space="preserve">was characterized in </w:t>
      </w:r>
      <w:r w:rsidR="00482064" w:rsidRPr="00C56699">
        <w:t xml:space="preserve">the </w:t>
      </w:r>
      <w:r w:rsidR="0039515A" w:rsidRPr="00C56699">
        <w:t>Ishikawa cell</w:t>
      </w:r>
      <w:r w:rsidR="00C3551D" w:rsidRPr="00C56699">
        <w:t>s</w:t>
      </w:r>
      <w:r w:rsidR="0088166C" w:rsidRPr="00C56699">
        <w:t>,</w:t>
      </w:r>
      <w:r w:rsidR="00C3551D" w:rsidRPr="00C56699">
        <w:t xml:space="preserve"> grown in both monolayer and 3D culture</w:t>
      </w:r>
      <w:r w:rsidR="00883B1B" w:rsidRPr="00C56699">
        <w:t xml:space="preserve">. </w:t>
      </w:r>
      <w:r w:rsidR="0088166C" w:rsidRPr="00C56699">
        <w:t xml:space="preserve">Immunofluorescence staining localized </w:t>
      </w:r>
      <w:r w:rsidR="00883B1B" w:rsidRPr="00C56699">
        <w:t xml:space="preserve">AGR2 </w:t>
      </w:r>
      <w:r w:rsidR="00482064" w:rsidRPr="00C56699">
        <w:t xml:space="preserve">protein </w:t>
      </w:r>
      <w:r w:rsidR="0039515A" w:rsidRPr="00C56699">
        <w:t>to the cytosol</w:t>
      </w:r>
      <w:r w:rsidR="00D3487E" w:rsidRPr="00C56699">
        <w:t xml:space="preserve"> in a diffuse and punctate pattern</w:t>
      </w:r>
      <w:r w:rsidR="00C3551D" w:rsidRPr="00C56699">
        <w:t xml:space="preserve"> (Figure</w:t>
      </w:r>
      <w:r w:rsidR="00760389" w:rsidRPr="00C56699">
        <w:t xml:space="preserve"> 1</w:t>
      </w:r>
      <w:r w:rsidR="00D56B3B" w:rsidRPr="00C56699">
        <w:t>C</w:t>
      </w:r>
      <w:r w:rsidR="00482064" w:rsidRPr="00C56699">
        <w:t>)</w:t>
      </w:r>
      <w:r w:rsidR="0039515A" w:rsidRPr="00C56699">
        <w:t xml:space="preserve">. </w:t>
      </w:r>
      <w:r w:rsidR="00C942C5" w:rsidRPr="00C56699">
        <w:t>Subsequent s</w:t>
      </w:r>
      <w:r w:rsidR="0039515A" w:rsidRPr="00C56699">
        <w:t>ub</w:t>
      </w:r>
      <w:r w:rsidR="00B801E1" w:rsidRPr="00C56699">
        <w:t xml:space="preserve">cellular </w:t>
      </w:r>
      <w:r w:rsidR="0039515A" w:rsidRPr="00C56699">
        <w:t>fractionation</w:t>
      </w:r>
      <w:r w:rsidR="00C942C5" w:rsidRPr="00C56699">
        <w:t xml:space="preserve"> </w:t>
      </w:r>
      <w:r w:rsidR="0039515A" w:rsidRPr="00C56699">
        <w:t>of Ishikawa cells</w:t>
      </w:r>
      <w:r w:rsidR="00B75CB3" w:rsidRPr="00C56699">
        <w:t xml:space="preserve"> </w:t>
      </w:r>
      <w:r w:rsidR="0088166C" w:rsidRPr="00C56699">
        <w:t xml:space="preserve">confirmed </w:t>
      </w:r>
      <w:r w:rsidR="00115CE6" w:rsidRPr="00C56699">
        <w:t xml:space="preserve">that AGR2 was associated with the cytosolic and membrane fractions; </w:t>
      </w:r>
      <w:r w:rsidR="0088166C" w:rsidRPr="00C56699">
        <w:t xml:space="preserve">without apparent </w:t>
      </w:r>
      <w:r w:rsidR="00115CE6" w:rsidRPr="00C56699">
        <w:t>nuclear localization</w:t>
      </w:r>
      <w:r w:rsidR="00A34F56" w:rsidRPr="00C56699">
        <w:t xml:space="preserve"> </w:t>
      </w:r>
      <w:r w:rsidR="008D1B6D" w:rsidRPr="00C56699">
        <w:t>(Figure</w:t>
      </w:r>
      <w:r w:rsidR="00C3551D" w:rsidRPr="00C56699">
        <w:t xml:space="preserve"> </w:t>
      </w:r>
      <w:r w:rsidR="00D56B3B" w:rsidRPr="00C56699">
        <w:t>1</w:t>
      </w:r>
      <w:r w:rsidR="00C3551D" w:rsidRPr="00C56699">
        <w:t>B</w:t>
      </w:r>
      <w:r w:rsidR="00904C1A" w:rsidRPr="00C56699">
        <w:t>)</w:t>
      </w:r>
      <w:r w:rsidR="00115CE6" w:rsidRPr="00C56699">
        <w:t>.</w:t>
      </w:r>
      <w:bookmarkEnd w:id="2"/>
      <w:r w:rsidR="00115CE6" w:rsidRPr="00C56699">
        <w:t xml:space="preserve"> </w:t>
      </w:r>
      <w:r w:rsidR="003E5549" w:rsidRPr="00C56699">
        <w:t xml:space="preserve">AGR2 protein was observed </w:t>
      </w:r>
      <w:r w:rsidR="00C67A2B" w:rsidRPr="00C56699">
        <w:t xml:space="preserve">by immunohistochemistry </w:t>
      </w:r>
      <w:r w:rsidR="003E5549" w:rsidRPr="00C56699">
        <w:t>in the epithelial cells of normal</w:t>
      </w:r>
      <w:r w:rsidR="00C67A2B" w:rsidRPr="00C56699">
        <w:t>,</w:t>
      </w:r>
      <w:r w:rsidR="003E5549" w:rsidRPr="00C56699">
        <w:t xml:space="preserve"> pre</w:t>
      </w:r>
      <w:r w:rsidR="00A30F6F" w:rsidRPr="00C56699">
        <w:t>-</w:t>
      </w:r>
      <w:r w:rsidR="00883B1B" w:rsidRPr="00C56699">
        <w:t xml:space="preserve"> </w:t>
      </w:r>
      <w:r w:rsidR="003E5549" w:rsidRPr="00C56699">
        <w:t>and post</w:t>
      </w:r>
      <w:r w:rsidR="00A30F6F" w:rsidRPr="00C56699">
        <w:t>-</w:t>
      </w:r>
      <w:r w:rsidR="003E5549" w:rsidRPr="00C56699">
        <w:lastRenderedPageBreak/>
        <w:t xml:space="preserve">menopausal endometrium and in the neoplastic </w:t>
      </w:r>
      <w:r w:rsidR="00C90D09" w:rsidRPr="00C56699">
        <w:t xml:space="preserve">human </w:t>
      </w:r>
      <w:r w:rsidR="003E5549" w:rsidRPr="00C56699">
        <w:t xml:space="preserve">endometrium. </w:t>
      </w:r>
      <w:r w:rsidR="00C67A2B" w:rsidRPr="00C56699">
        <w:t xml:space="preserve">In all cases, the stromal compartment did not show any </w:t>
      </w:r>
      <w:r w:rsidR="002E1DCB" w:rsidRPr="00C56699">
        <w:t>AGR2-</w:t>
      </w:r>
      <w:r w:rsidR="00C67A2B" w:rsidRPr="00C56699">
        <w:t xml:space="preserve">immunoreactivity (Figure </w:t>
      </w:r>
      <w:r w:rsidR="00D56B3B" w:rsidRPr="00C56699">
        <w:t>2</w:t>
      </w:r>
      <w:r w:rsidR="00C67A2B" w:rsidRPr="00C56699">
        <w:t xml:space="preserve">A). </w:t>
      </w:r>
    </w:p>
    <w:p w14:paraId="22E234F8" w14:textId="63F0C9CB" w:rsidR="006C315F" w:rsidRPr="00C56699" w:rsidRDefault="00E40A6C" w:rsidP="00187D9C">
      <w:pPr>
        <w:pStyle w:val="Heading3"/>
        <w:rPr>
          <w:i w:val="0"/>
        </w:rPr>
      </w:pPr>
      <w:r w:rsidRPr="00C56699">
        <w:rPr>
          <w:i w:val="0"/>
        </w:rPr>
        <w:t>Functionalis layer of n</w:t>
      </w:r>
      <w:r w:rsidR="00AF717F" w:rsidRPr="00C56699">
        <w:rPr>
          <w:i w:val="0"/>
        </w:rPr>
        <w:t xml:space="preserve">ormal proliferative phase endometrium </w:t>
      </w:r>
      <w:r w:rsidR="006C315F" w:rsidRPr="00C56699">
        <w:rPr>
          <w:i w:val="0"/>
        </w:rPr>
        <w:t>expresses higher AGR2</w:t>
      </w:r>
      <w:r w:rsidR="00F516C1" w:rsidRPr="00C56699">
        <w:rPr>
          <w:i w:val="0"/>
        </w:rPr>
        <w:t xml:space="preserve"> than the </w:t>
      </w:r>
      <w:proofErr w:type="spellStart"/>
      <w:r w:rsidR="00F516C1" w:rsidRPr="00C56699">
        <w:rPr>
          <w:i w:val="0"/>
        </w:rPr>
        <w:t>basilis</w:t>
      </w:r>
      <w:proofErr w:type="spellEnd"/>
      <w:r w:rsidR="00F516C1" w:rsidRPr="00C56699">
        <w:rPr>
          <w:i w:val="0"/>
        </w:rPr>
        <w:t xml:space="preserve"> layer</w:t>
      </w:r>
    </w:p>
    <w:p w14:paraId="7B712B87" w14:textId="5D06E58D" w:rsidR="0039558F" w:rsidRPr="00C56699" w:rsidRDefault="006C315F" w:rsidP="0088166C">
      <w:pPr>
        <w:rPr>
          <w:lang w:val="en-GB"/>
        </w:rPr>
      </w:pPr>
      <w:r w:rsidRPr="00C56699">
        <w:rPr>
          <w:lang w:val="en-GB"/>
        </w:rPr>
        <w:t xml:space="preserve">The </w:t>
      </w:r>
      <w:r w:rsidR="00C90D09" w:rsidRPr="00C56699">
        <w:rPr>
          <w:lang w:val="en-GB"/>
        </w:rPr>
        <w:t>immuno-</w:t>
      </w:r>
      <w:r w:rsidRPr="00C56699">
        <w:rPr>
          <w:lang w:val="en-GB"/>
        </w:rPr>
        <w:t xml:space="preserve">expression of AGR2 in proliferative phase </w:t>
      </w:r>
      <w:r w:rsidR="00EF5FE3" w:rsidRPr="00C56699">
        <w:rPr>
          <w:lang w:val="en-GB"/>
        </w:rPr>
        <w:t xml:space="preserve">epithelium </w:t>
      </w:r>
      <w:r w:rsidRPr="00C56699">
        <w:rPr>
          <w:lang w:val="en-GB"/>
        </w:rPr>
        <w:t xml:space="preserve">ranged between moderate to strong and </w:t>
      </w:r>
      <w:r w:rsidR="00C44FAD" w:rsidRPr="00C56699">
        <w:rPr>
          <w:lang w:val="en-GB"/>
        </w:rPr>
        <w:t xml:space="preserve">the </w:t>
      </w:r>
      <w:r w:rsidR="00B762C0" w:rsidRPr="00C56699">
        <w:rPr>
          <w:lang w:val="en-GB"/>
        </w:rPr>
        <w:t>q</w:t>
      </w:r>
      <w:r w:rsidR="00CB4CEF" w:rsidRPr="00C56699">
        <w:rPr>
          <w:lang w:val="en-GB"/>
        </w:rPr>
        <w:t>uick</w:t>
      </w:r>
      <w:r w:rsidR="00B762C0" w:rsidRPr="00C56699">
        <w:rPr>
          <w:lang w:val="en-GB"/>
        </w:rPr>
        <w:t>-</w:t>
      </w:r>
      <w:r w:rsidR="00C44FAD" w:rsidRPr="00C56699">
        <w:rPr>
          <w:lang w:val="en-GB"/>
        </w:rPr>
        <w:t>scores were</w:t>
      </w:r>
      <w:r w:rsidRPr="00C56699">
        <w:rPr>
          <w:lang w:val="en-GB"/>
        </w:rPr>
        <w:t xml:space="preserve"> </w:t>
      </w:r>
      <w:r w:rsidR="00DD4454" w:rsidRPr="00C56699">
        <w:rPr>
          <w:lang w:val="en-GB"/>
        </w:rPr>
        <w:t xml:space="preserve">generally </w:t>
      </w:r>
      <w:r w:rsidRPr="00C56699">
        <w:rPr>
          <w:lang w:val="en-GB"/>
        </w:rPr>
        <w:t xml:space="preserve">higher in </w:t>
      </w:r>
      <w:r w:rsidR="00BC40F5" w:rsidRPr="00C56699">
        <w:rPr>
          <w:lang w:val="en-GB"/>
        </w:rPr>
        <w:t xml:space="preserve">the </w:t>
      </w:r>
      <w:r w:rsidRPr="00C56699">
        <w:rPr>
          <w:lang w:val="en-GB"/>
        </w:rPr>
        <w:t xml:space="preserve">functionalis compared </w:t>
      </w:r>
      <w:r w:rsidR="0088166C" w:rsidRPr="00C56699">
        <w:rPr>
          <w:lang w:val="en-GB"/>
        </w:rPr>
        <w:t xml:space="preserve">with the </w:t>
      </w:r>
      <w:r w:rsidRPr="00C56699">
        <w:rPr>
          <w:lang w:val="en-GB"/>
        </w:rPr>
        <w:t>matched basalis (P= 0.021,</w:t>
      </w:r>
      <w:r w:rsidR="007A2C16" w:rsidRPr="00C56699">
        <w:rPr>
          <w:lang w:val="en-GB"/>
        </w:rPr>
        <w:t xml:space="preserve"> </w:t>
      </w:r>
      <w:r w:rsidR="007D6A95" w:rsidRPr="00C56699">
        <w:rPr>
          <w:lang w:val="en-GB"/>
        </w:rPr>
        <w:t>F</w:t>
      </w:r>
      <w:r w:rsidR="00B73791" w:rsidRPr="00C56699">
        <w:rPr>
          <w:lang w:val="en-GB"/>
        </w:rPr>
        <w:t xml:space="preserve">igure </w:t>
      </w:r>
      <w:r w:rsidR="00B73791" w:rsidRPr="00C56699">
        <w:t>2</w:t>
      </w:r>
      <w:r w:rsidR="00B73791" w:rsidRPr="00C56699">
        <w:rPr>
          <w:lang w:val="en-GB"/>
        </w:rPr>
        <w:t>B</w:t>
      </w:r>
      <w:r w:rsidRPr="00C56699">
        <w:rPr>
          <w:lang w:val="en-GB"/>
        </w:rPr>
        <w:t xml:space="preserve">). </w:t>
      </w:r>
      <w:r w:rsidR="00C44FAD" w:rsidRPr="00C56699">
        <w:rPr>
          <w:lang w:val="en-GB"/>
        </w:rPr>
        <w:t xml:space="preserve">The basalis </w:t>
      </w:r>
      <w:r w:rsidRPr="00C56699">
        <w:rPr>
          <w:lang w:val="en-GB"/>
        </w:rPr>
        <w:t xml:space="preserve">AGR2 </w:t>
      </w:r>
      <w:r w:rsidR="00B762C0" w:rsidRPr="00C56699">
        <w:rPr>
          <w:lang w:val="en-GB"/>
        </w:rPr>
        <w:t>q</w:t>
      </w:r>
      <w:r w:rsidR="00CB4CEF" w:rsidRPr="00C56699">
        <w:rPr>
          <w:lang w:val="en-GB"/>
        </w:rPr>
        <w:t>uick</w:t>
      </w:r>
      <w:r w:rsidR="00B762C0" w:rsidRPr="00C56699">
        <w:rPr>
          <w:lang w:val="en-GB"/>
        </w:rPr>
        <w:t>-</w:t>
      </w:r>
      <w:r w:rsidR="00C44FAD" w:rsidRPr="00C56699">
        <w:rPr>
          <w:lang w:val="en-GB"/>
        </w:rPr>
        <w:t>scores</w:t>
      </w:r>
      <w:r w:rsidR="0088166C" w:rsidRPr="00C56699">
        <w:rPr>
          <w:lang w:val="en-GB"/>
        </w:rPr>
        <w:t xml:space="preserve"> remained static</w:t>
      </w:r>
      <w:r w:rsidR="00C44FAD" w:rsidRPr="00C56699">
        <w:rPr>
          <w:lang w:val="en-GB"/>
        </w:rPr>
        <w:t xml:space="preserve"> </w:t>
      </w:r>
      <w:r w:rsidR="0088166C" w:rsidRPr="00C56699">
        <w:rPr>
          <w:lang w:val="en-GB"/>
        </w:rPr>
        <w:t>across the menstrual</w:t>
      </w:r>
      <w:r w:rsidR="00C44FAD" w:rsidRPr="00C56699">
        <w:rPr>
          <w:lang w:val="en-GB"/>
        </w:rPr>
        <w:t xml:space="preserve"> cycle </w:t>
      </w:r>
      <w:r w:rsidRPr="00C56699">
        <w:rPr>
          <w:lang w:val="en-GB"/>
        </w:rPr>
        <w:t xml:space="preserve">and </w:t>
      </w:r>
      <w:r w:rsidR="00C44FAD" w:rsidRPr="00C56699">
        <w:rPr>
          <w:lang w:val="en-GB"/>
        </w:rPr>
        <w:t xml:space="preserve">in </w:t>
      </w:r>
      <w:r w:rsidRPr="00C56699">
        <w:rPr>
          <w:lang w:val="en-GB"/>
        </w:rPr>
        <w:t>PM endometrium</w:t>
      </w:r>
      <w:r w:rsidR="005A0647" w:rsidRPr="00C56699">
        <w:rPr>
          <w:lang w:val="en-GB"/>
        </w:rPr>
        <w:t xml:space="preserve"> (not shown)</w:t>
      </w:r>
      <w:r w:rsidRPr="00C56699">
        <w:rPr>
          <w:lang w:val="en-GB"/>
        </w:rPr>
        <w:t>; however,</w:t>
      </w:r>
      <w:r w:rsidR="00BC40F5" w:rsidRPr="00C56699">
        <w:rPr>
          <w:lang w:val="en-GB"/>
        </w:rPr>
        <w:t xml:space="preserve"> th</w:t>
      </w:r>
      <w:r w:rsidR="00C44FAD" w:rsidRPr="00C56699">
        <w:rPr>
          <w:lang w:val="en-GB"/>
        </w:rPr>
        <w:t>es</w:t>
      </w:r>
      <w:r w:rsidR="00BC40F5" w:rsidRPr="00C56699">
        <w:rPr>
          <w:lang w:val="en-GB"/>
        </w:rPr>
        <w:t xml:space="preserve">e </w:t>
      </w:r>
      <w:r w:rsidR="00335DD5" w:rsidRPr="00C56699">
        <w:rPr>
          <w:lang w:val="en-GB"/>
        </w:rPr>
        <w:t>scores</w:t>
      </w:r>
      <w:r w:rsidR="00BC40F5" w:rsidRPr="00C56699">
        <w:rPr>
          <w:lang w:val="en-GB"/>
        </w:rPr>
        <w:t xml:space="preserve"> were significantly low</w:t>
      </w:r>
      <w:r w:rsidR="0032006A" w:rsidRPr="00C56699">
        <w:rPr>
          <w:lang w:val="en-GB"/>
        </w:rPr>
        <w:t>er</w:t>
      </w:r>
      <w:r w:rsidR="00BC40F5" w:rsidRPr="00C56699">
        <w:rPr>
          <w:lang w:val="en-GB"/>
        </w:rPr>
        <w:t xml:space="preserve"> in the PM endometrium</w:t>
      </w:r>
      <w:r w:rsidR="00C44FAD" w:rsidRPr="00C56699">
        <w:rPr>
          <w:lang w:val="en-GB"/>
        </w:rPr>
        <w:t xml:space="preserve"> when</w:t>
      </w:r>
      <w:r w:rsidR="00BC40F5" w:rsidRPr="00C56699">
        <w:rPr>
          <w:lang w:val="en-GB"/>
        </w:rPr>
        <w:t xml:space="preserve"> </w:t>
      </w:r>
      <w:r w:rsidRPr="00C56699">
        <w:rPr>
          <w:lang w:val="en-GB"/>
        </w:rPr>
        <w:t xml:space="preserve">compared </w:t>
      </w:r>
      <w:r w:rsidR="00BC40F5" w:rsidRPr="00C56699">
        <w:rPr>
          <w:lang w:val="en-GB"/>
        </w:rPr>
        <w:t>with the</w:t>
      </w:r>
      <w:r w:rsidRPr="00C56699">
        <w:rPr>
          <w:lang w:val="en-GB"/>
        </w:rPr>
        <w:t xml:space="preserve"> </w:t>
      </w:r>
      <w:r w:rsidR="00BC40F5" w:rsidRPr="00C56699">
        <w:rPr>
          <w:lang w:val="en-GB"/>
        </w:rPr>
        <w:t xml:space="preserve">proliferative phase </w:t>
      </w:r>
      <w:proofErr w:type="spellStart"/>
      <w:r w:rsidRPr="00C56699">
        <w:rPr>
          <w:lang w:val="en-GB"/>
        </w:rPr>
        <w:t>functionalis</w:t>
      </w:r>
      <w:proofErr w:type="spellEnd"/>
      <w:r w:rsidR="00B925FB" w:rsidRPr="00C56699">
        <w:rPr>
          <w:lang w:val="en-GB"/>
        </w:rPr>
        <w:t xml:space="preserve"> </w:t>
      </w:r>
      <w:r w:rsidRPr="00C56699">
        <w:rPr>
          <w:lang w:val="en-GB"/>
        </w:rPr>
        <w:t xml:space="preserve">(P=0.004, </w:t>
      </w:r>
      <w:r w:rsidR="007D6A95" w:rsidRPr="00C56699">
        <w:rPr>
          <w:lang w:val="en-GB"/>
        </w:rPr>
        <w:t>F</w:t>
      </w:r>
      <w:r w:rsidR="00CB4CEF" w:rsidRPr="00C56699">
        <w:rPr>
          <w:lang w:val="en-GB"/>
        </w:rPr>
        <w:t xml:space="preserve">igure </w:t>
      </w:r>
      <w:r w:rsidR="0088166C" w:rsidRPr="00C56699">
        <w:rPr>
          <w:lang w:val="en-GB"/>
        </w:rPr>
        <w:t>2</w:t>
      </w:r>
      <w:r w:rsidR="0074454B" w:rsidRPr="00C56699">
        <w:rPr>
          <w:lang w:val="en-GB"/>
        </w:rPr>
        <w:t>C</w:t>
      </w:r>
      <w:r w:rsidR="68922D6D" w:rsidRPr="00C56699">
        <w:rPr>
          <w:lang w:val="en-GB"/>
        </w:rPr>
        <w:t>)</w:t>
      </w:r>
      <w:r w:rsidR="004A779C" w:rsidRPr="00C56699">
        <w:rPr>
          <w:lang w:val="en-GB"/>
        </w:rPr>
        <w:t xml:space="preserve"> suggesting hormonal regulation</w:t>
      </w:r>
      <w:r w:rsidR="002E1DCB" w:rsidRPr="00C56699">
        <w:rPr>
          <w:lang w:val="en-GB"/>
        </w:rPr>
        <w:t>.</w:t>
      </w:r>
      <w:r w:rsidR="004A779C" w:rsidRPr="00C56699" w:rsidDel="004A779C">
        <w:rPr>
          <w:lang w:val="en-GB"/>
        </w:rPr>
        <w:t xml:space="preserve"> </w:t>
      </w:r>
    </w:p>
    <w:p w14:paraId="6C6B0551" w14:textId="1BA0156A" w:rsidR="0039558F" w:rsidRPr="00C56699" w:rsidRDefault="00C44FAD" w:rsidP="00EF5FE3">
      <w:pPr>
        <w:rPr>
          <w:lang w:val="en-GB"/>
        </w:rPr>
      </w:pPr>
      <w:r w:rsidRPr="00C56699">
        <w:t>H</w:t>
      </w:r>
      <w:r w:rsidR="00245067" w:rsidRPr="00C56699">
        <w:t>yperplas</w:t>
      </w:r>
      <w:r w:rsidRPr="00C56699">
        <w:t>tic endometrial epithelium</w:t>
      </w:r>
      <w:r w:rsidR="00245067" w:rsidRPr="00C56699">
        <w:t xml:space="preserve"> </w:t>
      </w:r>
      <w:r w:rsidR="0039558F" w:rsidRPr="00C56699">
        <w:t>with cytological atypia</w:t>
      </w:r>
      <w:r w:rsidR="007A2C16" w:rsidRPr="00C56699">
        <w:t xml:space="preserve"> (EHA)</w:t>
      </w:r>
      <w:r w:rsidR="00245067" w:rsidRPr="00C56699">
        <w:t xml:space="preserve"> </w:t>
      </w:r>
      <w:r w:rsidRPr="00C56699">
        <w:t xml:space="preserve">demonstrated </w:t>
      </w:r>
      <w:r w:rsidR="00C432BF" w:rsidRPr="00C56699">
        <w:t xml:space="preserve">significantly </w:t>
      </w:r>
      <w:r w:rsidR="0039558F" w:rsidRPr="00C56699">
        <w:t>higher AGR2</w:t>
      </w:r>
      <w:r w:rsidR="00B762C0" w:rsidRPr="00C56699">
        <w:rPr>
          <w:lang w:val="en-GB"/>
        </w:rPr>
        <w:t xml:space="preserve"> quick-</w:t>
      </w:r>
      <w:r w:rsidRPr="00C56699">
        <w:t xml:space="preserve">scores </w:t>
      </w:r>
      <w:r w:rsidR="0039558F" w:rsidRPr="00C56699">
        <w:t>(P=0.0</w:t>
      </w:r>
      <w:r w:rsidR="00C432BF" w:rsidRPr="00C56699">
        <w:t>08</w:t>
      </w:r>
      <w:r w:rsidR="0039558F" w:rsidRPr="00C56699">
        <w:t xml:space="preserve">) compared with </w:t>
      </w:r>
      <w:r w:rsidR="00B048BF" w:rsidRPr="00C56699">
        <w:t xml:space="preserve">the </w:t>
      </w:r>
      <w:r w:rsidR="0039558F" w:rsidRPr="00C56699">
        <w:t>PM</w:t>
      </w:r>
      <w:r w:rsidR="002D197E" w:rsidRPr="00C56699">
        <w:t xml:space="preserve"> </w:t>
      </w:r>
      <w:r w:rsidRPr="00C56699">
        <w:t xml:space="preserve">group </w:t>
      </w:r>
      <w:r w:rsidR="002D197E" w:rsidRPr="00C56699">
        <w:t>(</w:t>
      </w:r>
      <w:r w:rsidR="00C432BF" w:rsidRPr="00C56699">
        <w:t xml:space="preserve">Figure </w:t>
      </w:r>
      <w:r w:rsidR="00FB5494" w:rsidRPr="00C56699">
        <w:t>2</w:t>
      </w:r>
      <w:r w:rsidR="00C432BF" w:rsidRPr="00C56699">
        <w:t>D</w:t>
      </w:r>
      <w:r w:rsidR="002D197E" w:rsidRPr="00C56699">
        <w:t>)</w:t>
      </w:r>
      <w:r w:rsidR="002E1DCB" w:rsidRPr="00C56699">
        <w:t xml:space="preserve">, but </w:t>
      </w:r>
      <w:r w:rsidR="00EF5FE3" w:rsidRPr="00C56699">
        <w:rPr>
          <w:lang w:val="en-GB"/>
        </w:rPr>
        <w:t xml:space="preserve">the observed statistical significance was lost </w:t>
      </w:r>
      <w:r w:rsidR="002E1DCB" w:rsidRPr="00C56699">
        <w:rPr>
          <w:lang w:val="en-GB"/>
        </w:rPr>
        <w:t xml:space="preserve">when adjusted for multiple testing </w:t>
      </w:r>
      <w:r w:rsidR="00EF5FE3" w:rsidRPr="00C56699">
        <w:rPr>
          <w:lang w:val="en-GB"/>
        </w:rPr>
        <w:t xml:space="preserve">(P=0.116).  </w:t>
      </w:r>
      <w:r w:rsidR="0039558F" w:rsidRPr="00C56699">
        <w:t xml:space="preserve"> </w:t>
      </w:r>
    </w:p>
    <w:p w14:paraId="1035ECE9" w14:textId="6CA12CE2" w:rsidR="005D7DC2" w:rsidRPr="00C56699" w:rsidRDefault="003E52A6" w:rsidP="005D7DC2">
      <w:pPr>
        <w:pStyle w:val="Heading3"/>
        <w:rPr>
          <w:i w:val="0"/>
        </w:rPr>
      </w:pPr>
      <w:r w:rsidRPr="00C56699">
        <w:rPr>
          <w:i w:val="0"/>
        </w:rPr>
        <w:t xml:space="preserve">AGR2 is upregulated in </w:t>
      </w:r>
      <w:r w:rsidRPr="00C56699">
        <w:rPr>
          <w:i w:val="0"/>
          <w:noProof/>
        </w:rPr>
        <w:t>low grade</w:t>
      </w:r>
      <w:r w:rsidRPr="00C56699">
        <w:rPr>
          <w:i w:val="0"/>
        </w:rPr>
        <w:t xml:space="preserve"> </w:t>
      </w:r>
      <w:r w:rsidR="00DD09A7" w:rsidRPr="00C56699">
        <w:rPr>
          <w:i w:val="0"/>
        </w:rPr>
        <w:t xml:space="preserve">but not high grade </w:t>
      </w:r>
      <w:r w:rsidR="00A94A7B" w:rsidRPr="00C56699">
        <w:rPr>
          <w:i w:val="0"/>
        </w:rPr>
        <w:t>EC</w:t>
      </w:r>
      <w:r w:rsidRPr="00C56699">
        <w:rPr>
          <w:i w:val="0"/>
        </w:rPr>
        <w:t>s</w:t>
      </w:r>
    </w:p>
    <w:p w14:paraId="263006BF" w14:textId="1539EA17" w:rsidR="000E2BF9" w:rsidRPr="00C56699" w:rsidRDefault="003E5549" w:rsidP="008004D4">
      <w:pPr>
        <w:rPr>
          <w:rFonts w:ascii="Segoe UI" w:hAnsi="Segoe UI" w:cs="Segoe UI"/>
          <w:sz w:val="19"/>
          <w:szCs w:val="19"/>
          <w:lang w:val="en-GB"/>
        </w:rPr>
      </w:pPr>
      <w:r w:rsidRPr="00C56699">
        <w:t xml:space="preserve">AGR2 </w:t>
      </w:r>
      <w:r w:rsidR="00C44FAD" w:rsidRPr="00C56699">
        <w:t xml:space="preserve">protein </w:t>
      </w:r>
      <w:r w:rsidRPr="00C56699">
        <w:t>was</w:t>
      </w:r>
      <w:r w:rsidR="00EF5FE3" w:rsidRPr="00C56699">
        <w:t xml:space="preserve"> expressed in 92% </w:t>
      </w:r>
      <w:r w:rsidR="006B0EE5" w:rsidRPr="00C56699">
        <w:t>of</w:t>
      </w:r>
      <w:r w:rsidR="00EF5FE3" w:rsidRPr="00C56699">
        <w:t xml:space="preserve"> EC cases and </w:t>
      </w:r>
      <w:r w:rsidR="00C44FAD" w:rsidRPr="00C56699">
        <w:t>in all (</w:t>
      </w:r>
      <w:r w:rsidR="00EF5FE3" w:rsidRPr="00C56699">
        <w:t>100%</w:t>
      </w:r>
      <w:r w:rsidR="00C44FAD" w:rsidRPr="00C56699">
        <w:t>)</w:t>
      </w:r>
      <w:r w:rsidR="00EF5FE3" w:rsidRPr="00C56699">
        <w:t xml:space="preserve"> LGEC.</w:t>
      </w:r>
      <w:r w:rsidRPr="00C56699">
        <w:t xml:space="preserve"> </w:t>
      </w:r>
      <w:r w:rsidR="00EF5FE3" w:rsidRPr="00C56699">
        <w:t xml:space="preserve">Compared with the healthy PM, AGR2 </w:t>
      </w:r>
      <w:r w:rsidR="005D6BE0" w:rsidRPr="00C56699">
        <w:rPr>
          <w:lang w:val="en-GB"/>
        </w:rPr>
        <w:t>q</w:t>
      </w:r>
      <w:r w:rsidR="00CB4CEF" w:rsidRPr="00C56699">
        <w:rPr>
          <w:lang w:val="en-GB"/>
        </w:rPr>
        <w:t>uick</w:t>
      </w:r>
      <w:r w:rsidR="005D6BE0" w:rsidRPr="00C56699">
        <w:t>-</w:t>
      </w:r>
      <w:r w:rsidR="00EF5FE3" w:rsidRPr="00C56699">
        <w:t xml:space="preserve">scores were </w:t>
      </w:r>
      <w:r w:rsidRPr="00C56699">
        <w:t xml:space="preserve">significantly </w:t>
      </w:r>
      <w:r w:rsidR="00EF5FE3" w:rsidRPr="00C56699">
        <w:t xml:space="preserve">higher </w:t>
      </w:r>
      <w:r w:rsidRPr="00C56699">
        <w:t>in EC (</w:t>
      </w:r>
      <w:r w:rsidR="002D197E" w:rsidRPr="00C56699">
        <w:t>Dunn’s test</w:t>
      </w:r>
      <w:r w:rsidR="00F17CF7" w:rsidRPr="00C56699">
        <w:t>,</w:t>
      </w:r>
      <w:r w:rsidRPr="00C56699">
        <w:t xml:space="preserve"> P=0.</w:t>
      </w:r>
      <w:r w:rsidR="000A25AE" w:rsidRPr="00C56699">
        <w:t>013</w:t>
      </w:r>
      <w:r w:rsidRPr="00C56699">
        <w:t xml:space="preserve">) </w:t>
      </w:r>
      <w:r w:rsidR="006B0EE5" w:rsidRPr="00C56699">
        <w:t xml:space="preserve">especially </w:t>
      </w:r>
      <w:r w:rsidR="00EF5FE3" w:rsidRPr="00C56699">
        <w:t>in</w:t>
      </w:r>
      <w:r w:rsidRPr="00C56699">
        <w:t xml:space="preserve"> LGEC (</w:t>
      </w:r>
      <w:r w:rsidR="00190AA2" w:rsidRPr="00C56699">
        <w:t xml:space="preserve">Dunn’s Test, </w:t>
      </w:r>
      <w:r w:rsidRPr="00C56699">
        <w:t>P&lt;0.0001</w:t>
      </w:r>
      <w:r w:rsidR="00F724FE" w:rsidRPr="00C56699">
        <w:t xml:space="preserve">, Figure </w:t>
      </w:r>
      <w:r w:rsidR="00FB5494" w:rsidRPr="00C56699">
        <w:t>2</w:t>
      </w:r>
      <w:r w:rsidR="00F724FE" w:rsidRPr="00C56699">
        <w:t>D</w:t>
      </w:r>
      <w:r w:rsidRPr="00C56699">
        <w:t xml:space="preserve">). </w:t>
      </w:r>
      <w:r w:rsidR="00D445C3" w:rsidRPr="00C56699">
        <w:t xml:space="preserve">In </w:t>
      </w:r>
      <w:r w:rsidRPr="00C56699">
        <w:t xml:space="preserve">contrast, </w:t>
      </w:r>
      <w:r w:rsidR="00A43D77" w:rsidRPr="00C56699">
        <w:t xml:space="preserve">the expression of AGR2 in HGEC was </w:t>
      </w:r>
      <w:r w:rsidR="00225C24" w:rsidRPr="00C56699">
        <w:t xml:space="preserve">significantly less than </w:t>
      </w:r>
      <w:r w:rsidR="00CB4CEF" w:rsidRPr="00C56699">
        <w:t xml:space="preserve">in </w:t>
      </w:r>
      <w:r w:rsidR="00225C24" w:rsidRPr="00C56699">
        <w:t xml:space="preserve">LGEC (P&lt;0.0001, Figure </w:t>
      </w:r>
      <w:r w:rsidR="00FB5494" w:rsidRPr="00C56699">
        <w:t>2</w:t>
      </w:r>
      <w:r w:rsidR="00225C24" w:rsidRPr="00C56699">
        <w:t>D)</w:t>
      </w:r>
      <w:r w:rsidR="00CB4CEF" w:rsidRPr="00C56699">
        <w:t>,</w:t>
      </w:r>
      <w:r w:rsidR="00225C24" w:rsidRPr="00C56699">
        <w:t xml:space="preserve"> </w:t>
      </w:r>
      <w:r w:rsidR="00D445C3" w:rsidRPr="00C56699">
        <w:t xml:space="preserve">and </w:t>
      </w:r>
      <w:r w:rsidR="00225C24" w:rsidRPr="00C56699">
        <w:t xml:space="preserve">was not </w:t>
      </w:r>
      <w:r w:rsidR="00A43D77" w:rsidRPr="00C56699">
        <w:t>stati</w:t>
      </w:r>
      <w:r w:rsidR="00CB4CEF" w:rsidRPr="00C56699">
        <w:t>sti</w:t>
      </w:r>
      <w:r w:rsidR="00A43D77" w:rsidRPr="00C56699">
        <w:t xml:space="preserve">cally different </w:t>
      </w:r>
      <w:r w:rsidR="00225C24" w:rsidRPr="00C56699">
        <w:t>compared with PM</w:t>
      </w:r>
      <w:r w:rsidR="00F724FE" w:rsidRPr="00C56699">
        <w:t xml:space="preserve">. </w:t>
      </w:r>
      <w:r w:rsidR="00F5789B" w:rsidRPr="00C56699">
        <w:t>Similarly,</w:t>
      </w:r>
      <w:r w:rsidRPr="00C56699">
        <w:t xml:space="preserve"> within endometrioid EC</w:t>
      </w:r>
      <w:r w:rsidR="00F5789B" w:rsidRPr="00C56699">
        <w:t>,</w:t>
      </w:r>
      <w:r w:rsidRPr="00C56699">
        <w:t xml:space="preserve"> </w:t>
      </w:r>
      <w:r w:rsidR="00307FB0" w:rsidRPr="00C56699">
        <w:t>grade 3</w:t>
      </w:r>
      <w:r w:rsidRPr="00C56699">
        <w:t xml:space="preserve"> EC</w:t>
      </w:r>
      <w:r w:rsidR="00FB5494" w:rsidRPr="00C56699">
        <w:t>s</w:t>
      </w:r>
      <w:r w:rsidRPr="00C56699">
        <w:t xml:space="preserve"> showed</w:t>
      </w:r>
      <w:r w:rsidR="003F6D71" w:rsidRPr="00C56699">
        <w:t xml:space="preserve"> a</w:t>
      </w:r>
      <w:r w:rsidRPr="00C56699">
        <w:t xml:space="preserve"> </w:t>
      </w:r>
      <w:r w:rsidRPr="00C56699">
        <w:rPr>
          <w:noProof/>
        </w:rPr>
        <w:t>significant</w:t>
      </w:r>
      <w:r w:rsidRPr="00C56699">
        <w:t xml:space="preserve"> reduction in AGR2 </w:t>
      </w:r>
      <w:r w:rsidR="005D6BE0" w:rsidRPr="00C56699">
        <w:rPr>
          <w:lang w:val="en-GB"/>
        </w:rPr>
        <w:t>q</w:t>
      </w:r>
      <w:r w:rsidR="00CB4CEF" w:rsidRPr="00C56699">
        <w:rPr>
          <w:lang w:val="en-GB"/>
        </w:rPr>
        <w:t>uick</w:t>
      </w:r>
      <w:r w:rsidR="005D6BE0" w:rsidRPr="00C56699">
        <w:rPr>
          <w:lang w:val="en-GB"/>
        </w:rPr>
        <w:t>-</w:t>
      </w:r>
      <w:r w:rsidRPr="00C56699">
        <w:t xml:space="preserve">scores compared with </w:t>
      </w:r>
      <w:r w:rsidR="00307FB0" w:rsidRPr="00C56699">
        <w:t>grade</w:t>
      </w:r>
      <w:r w:rsidR="00D445C3" w:rsidRPr="00C56699">
        <w:t xml:space="preserve">s </w:t>
      </w:r>
      <w:r w:rsidR="00307FB0" w:rsidRPr="00C56699">
        <w:t xml:space="preserve">1 </w:t>
      </w:r>
      <w:r w:rsidRPr="00C56699">
        <w:t>and 2 (</w:t>
      </w:r>
      <w:r w:rsidR="00217E5F" w:rsidRPr="00C56699">
        <w:t xml:space="preserve">Mann Whitney test, </w:t>
      </w:r>
      <w:r w:rsidRPr="00C56699">
        <w:t xml:space="preserve">P=0.016). Moreover, early </w:t>
      </w:r>
      <w:r w:rsidR="007D6A95" w:rsidRPr="00C56699">
        <w:t xml:space="preserve">clinical </w:t>
      </w:r>
      <w:r w:rsidRPr="00C56699">
        <w:t xml:space="preserve">stage EC (I and II) showed higher AGR2 </w:t>
      </w:r>
      <w:r w:rsidR="005D6BE0" w:rsidRPr="00C56699">
        <w:rPr>
          <w:lang w:val="en-GB"/>
        </w:rPr>
        <w:t>quick-</w:t>
      </w:r>
      <w:r w:rsidR="005D6BE0" w:rsidRPr="00C56699">
        <w:t xml:space="preserve">scores </w:t>
      </w:r>
      <w:r w:rsidRPr="00C56699">
        <w:t>than advanced stages III and IV (</w:t>
      </w:r>
      <w:r w:rsidR="000E25E6" w:rsidRPr="00C56699">
        <w:t xml:space="preserve">Mann Whitney test, </w:t>
      </w:r>
      <w:r w:rsidRPr="00C56699">
        <w:t>P=0.007</w:t>
      </w:r>
      <w:r w:rsidR="00307FB0" w:rsidRPr="00C56699">
        <w:t xml:space="preserve">, Figure </w:t>
      </w:r>
      <w:r w:rsidR="00B73791" w:rsidRPr="00C56699">
        <w:t>2E</w:t>
      </w:r>
      <w:r w:rsidRPr="00C56699">
        <w:t>)</w:t>
      </w:r>
      <w:r w:rsidR="003F6F3A" w:rsidRPr="00C56699">
        <w:t xml:space="preserve">. </w:t>
      </w:r>
      <w:r w:rsidR="00D11C8E" w:rsidRPr="00C56699">
        <w:t xml:space="preserve"> </w:t>
      </w:r>
      <w:r w:rsidR="00FB5494" w:rsidRPr="00C56699">
        <w:t>T</w:t>
      </w:r>
      <w:r w:rsidR="008C780C" w:rsidRPr="00C56699">
        <w:t>he immunohistochemistry</w:t>
      </w:r>
      <w:r w:rsidR="00FB5494" w:rsidRPr="00C56699">
        <w:t xml:space="preserve"> data was further supported by </w:t>
      </w:r>
      <w:proofErr w:type="spellStart"/>
      <w:r w:rsidR="00FB5494" w:rsidRPr="00C56699">
        <w:t>qRT</w:t>
      </w:r>
      <w:proofErr w:type="spellEnd"/>
      <w:r w:rsidR="00FB5494" w:rsidRPr="00C56699">
        <w:t>-PCR study of</w:t>
      </w:r>
      <w:r w:rsidR="008C780C" w:rsidRPr="00C56699">
        <w:t xml:space="preserve"> t</w:t>
      </w:r>
      <w:r w:rsidR="000E2BF9" w:rsidRPr="00C56699">
        <w:t xml:space="preserve">he level of </w:t>
      </w:r>
      <w:r w:rsidR="000E2BF9" w:rsidRPr="00C56699">
        <w:rPr>
          <w:i/>
          <w:iCs/>
        </w:rPr>
        <w:t>AGR2</w:t>
      </w:r>
      <w:r w:rsidR="000E2BF9" w:rsidRPr="00C56699">
        <w:t xml:space="preserve"> mRNA in human endometrial tissue </w:t>
      </w:r>
      <w:r w:rsidR="00335DD5" w:rsidRPr="00C56699">
        <w:t>(</w:t>
      </w:r>
      <w:r w:rsidR="008004D4" w:rsidRPr="00C56699">
        <w:t>Figure 3</w:t>
      </w:r>
      <w:r w:rsidR="00335DD5" w:rsidRPr="00C56699">
        <w:t>)</w:t>
      </w:r>
      <w:r w:rsidR="000E2BF9" w:rsidRPr="00C56699">
        <w:t xml:space="preserve">. </w:t>
      </w:r>
      <w:r w:rsidR="000E2BF9" w:rsidRPr="00C56699">
        <w:rPr>
          <w:i/>
          <w:iCs/>
        </w:rPr>
        <w:t>AGR2</w:t>
      </w:r>
      <w:r w:rsidR="000E2BF9" w:rsidRPr="00C56699">
        <w:t xml:space="preserve"> </w:t>
      </w:r>
      <w:r w:rsidR="000E2BF9" w:rsidRPr="00C56699">
        <w:lastRenderedPageBreak/>
        <w:t>transcript</w:t>
      </w:r>
      <w:r w:rsidR="008C780C" w:rsidRPr="00C56699">
        <w:t>s</w:t>
      </w:r>
      <w:r w:rsidR="000E2BF9" w:rsidRPr="00C56699">
        <w:t xml:space="preserve"> </w:t>
      </w:r>
      <w:r w:rsidR="008C780C" w:rsidRPr="00C56699">
        <w:t xml:space="preserve">were </w:t>
      </w:r>
      <w:r w:rsidR="00CF3E04" w:rsidRPr="00C56699">
        <w:t xml:space="preserve">detected at a </w:t>
      </w:r>
      <w:r w:rsidR="000E2BF9" w:rsidRPr="00C56699">
        <w:t>higher</w:t>
      </w:r>
      <w:r w:rsidR="00CF3E04" w:rsidRPr="00C56699">
        <w:t xml:space="preserve"> level</w:t>
      </w:r>
      <w:r w:rsidR="000E2BF9" w:rsidRPr="00C56699">
        <w:t xml:space="preserve"> in LGEC compared with both PM (P=0.015) and HGEC (P=0.072)</w:t>
      </w:r>
      <w:r w:rsidR="00F5789B" w:rsidRPr="00C56699">
        <w:t>.</w:t>
      </w:r>
    </w:p>
    <w:p w14:paraId="40396819" w14:textId="352E0EFC" w:rsidR="003E5549" w:rsidRPr="00C56699" w:rsidRDefault="00C87C46" w:rsidP="001667B7">
      <w:pPr>
        <w:pStyle w:val="Heading3"/>
        <w:rPr>
          <w:i w:val="0"/>
        </w:rPr>
      </w:pPr>
      <w:r w:rsidRPr="00C56699">
        <w:rPr>
          <w:i w:val="0"/>
        </w:rPr>
        <w:t xml:space="preserve">Metastatic lesions </w:t>
      </w:r>
      <w:r w:rsidR="001667B7" w:rsidRPr="00C56699">
        <w:rPr>
          <w:i w:val="0"/>
        </w:rPr>
        <w:t xml:space="preserve">maintain </w:t>
      </w:r>
      <w:r w:rsidRPr="00C56699">
        <w:rPr>
          <w:i w:val="0"/>
        </w:rPr>
        <w:t>AGR2</w:t>
      </w:r>
    </w:p>
    <w:p w14:paraId="18D5094F" w14:textId="3C408ECC" w:rsidR="00AB5C0B" w:rsidRPr="00C56699" w:rsidRDefault="003925FC" w:rsidP="004D4BFC">
      <w:r w:rsidRPr="00C56699">
        <w:t xml:space="preserve">AGR2 was expressed in </w:t>
      </w:r>
      <w:r w:rsidR="00FB5494" w:rsidRPr="00C56699">
        <w:t>most (</w:t>
      </w:r>
      <w:r w:rsidR="00335DD5" w:rsidRPr="00C56699">
        <w:t>14</w:t>
      </w:r>
      <w:r w:rsidRPr="00C56699">
        <w:t>/</w:t>
      </w:r>
      <w:r w:rsidR="00335DD5" w:rsidRPr="00C56699">
        <w:t xml:space="preserve">17 </w:t>
      </w:r>
      <w:r w:rsidRPr="00C56699">
        <w:t>(</w:t>
      </w:r>
      <w:r w:rsidR="00335DD5" w:rsidRPr="00C56699">
        <w:t>82</w:t>
      </w:r>
      <w:r w:rsidRPr="00C56699">
        <w:t>%)</w:t>
      </w:r>
      <w:r w:rsidR="00FB5494" w:rsidRPr="00C56699">
        <w:t>)</w:t>
      </w:r>
      <w:r w:rsidR="00957387" w:rsidRPr="00C56699">
        <w:t xml:space="preserve"> </w:t>
      </w:r>
      <w:r w:rsidRPr="00C56699">
        <w:t>metastatic lesions</w:t>
      </w:r>
      <w:r w:rsidR="007E4188" w:rsidRPr="00C56699">
        <w:t xml:space="preserve"> </w:t>
      </w:r>
      <w:r w:rsidR="006A3788" w:rsidRPr="00C56699">
        <w:t>and</w:t>
      </w:r>
      <w:r w:rsidR="00AB1884" w:rsidRPr="00C56699">
        <w:t>,</w:t>
      </w:r>
      <w:r w:rsidR="006A3788" w:rsidRPr="00C56699">
        <w:t xml:space="preserve"> although the </w:t>
      </w:r>
      <w:r w:rsidR="00AB5C0B" w:rsidRPr="00C56699">
        <w:t>proportion of cells expressing AGR2 protein</w:t>
      </w:r>
      <w:r w:rsidR="004D4BFC" w:rsidRPr="00C56699">
        <w:t>, regardless the intensity,</w:t>
      </w:r>
      <w:r w:rsidR="00AB5C0B" w:rsidRPr="00C56699">
        <w:t xml:space="preserve"> was significantly higher in metastatic lesions compared with the matched primary </w:t>
      </w:r>
      <w:proofErr w:type="spellStart"/>
      <w:r w:rsidR="00AB5C0B" w:rsidRPr="00C56699">
        <w:t>tumour</w:t>
      </w:r>
      <w:proofErr w:type="spellEnd"/>
      <w:r w:rsidR="00327EC7" w:rsidRPr="00C56699">
        <w:t xml:space="preserve"> cells</w:t>
      </w:r>
      <w:r w:rsidR="00AB5C0B" w:rsidRPr="00C56699">
        <w:t xml:space="preserve"> (data not shown), the</w:t>
      </w:r>
      <w:r w:rsidR="00327EC7" w:rsidRPr="00C56699">
        <w:t xml:space="preserve"> </w:t>
      </w:r>
      <w:r w:rsidR="007D6A95" w:rsidRPr="00C56699">
        <w:t>quick</w:t>
      </w:r>
      <w:r w:rsidR="00327EC7" w:rsidRPr="00C56699">
        <w:t xml:space="preserve">-scores </w:t>
      </w:r>
      <w:r w:rsidR="003A206E" w:rsidRPr="00C56699">
        <w:t xml:space="preserve">(which collated immunostaining intensity and proportion of positive cells) </w:t>
      </w:r>
      <w:r w:rsidR="00327EC7" w:rsidRPr="00C56699">
        <w:t>were not</w:t>
      </w:r>
      <w:r w:rsidR="00AB5C0B" w:rsidRPr="00C56699">
        <w:t xml:space="preserve"> significant</w:t>
      </w:r>
      <w:r w:rsidR="00327EC7" w:rsidRPr="00C56699">
        <w:t xml:space="preserve">ly </w:t>
      </w:r>
      <w:r w:rsidR="00AB5C0B" w:rsidRPr="00C56699">
        <w:t>differen</w:t>
      </w:r>
      <w:r w:rsidR="00327EC7" w:rsidRPr="00C56699">
        <w:t>t</w:t>
      </w:r>
      <w:r w:rsidR="00AB5C0B" w:rsidRPr="00C56699">
        <w:t xml:space="preserve"> between the 2 groups (Figure </w:t>
      </w:r>
      <w:r w:rsidR="003A206E" w:rsidRPr="00C56699">
        <w:t>4</w:t>
      </w:r>
      <w:r w:rsidR="00AB5C0B" w:rsidRPr="00C56699">
        <w:t>).</w:t>
      </w:r>
      <w:r w:rsidR="004D4BFC" w:rsidRPr="00C56699">
        <w:rPr>
          <w:rFonts w:eastAsia="Times New Roman"/>
        </w:rPr>
        <w:t xml:space="preserve"> This may suggest that most metastatic cells may undergo possible stress that increases the likelihood of individual cells expressing AGR2 but not necessarily increasing their intensity. </w:t>
      </w:r>
      <w:r w:rsidR="00AB5C0B" w:rsidRPr="00C56699">
        <w:t xml:space="preserve"> Interestingly, metastatic lesions of both LGEC (2/2,100%), and HGEC (10/15, 66%) demonstrated an apparent increase of AGR2 </w:t>
      </w:r>
      <w:r w:rsidR="00AB5C0B" w:rsidRPr="00C56699">
        <w:rPr>
          <w:lang w:val="en-GB"/>
        </w:rPr>
        <w:t>quick-</w:t>
      </w:r>
      <w:r w:rsidR="00AB5C0B" w:rsidRPr="00C56699">
        <w:t>scores when compared with their matched primary tumours</w:t>
      </w:r>
      <w:r w:rsidR="00CA75BE" w:rsidRPr="00C56699">
        <w:t xml:space="preserve"> as shown in Figure 4A</w:t>
      </w:r>
      <w:r w:rsidR="004353EA" w:rsidRPr="00C56699">
        <w:t xml:space="preserve"> and B</w:t>
      </w:r>
      <w:r w:rsidR="00AB5C0B" w:rsidRPr="00C56699">
        <w:t xml:space="preserve">.   </w:t>
      </w:r>
    </w:p>
    <w:p w14:paraId="755B64AA" w14:textId="2BC1325A" w:rsidR="00EB451C" w:rsidRPr="00C56699" w:rsidRDefault="00EB451C" w:rsidP="009636E4"/>
    <w:p w14:paraId="4E31C8F0" w14:textId="335A1CDC" w:rsidR="00EB451C" w:rsidRPr="00C56699" w:rsidRDefault="003860C0">
      <w:pPr>
        <w:pStyle w:val="Heading2"/>
        <w:rPr>
          <w:rFonts w:ascii="Arial" w:eastAsiaTheme="minorEastAsia" w:hAnsi="Arial" w:cs="Arial"/>
          <w:sz w:val="24"/>
          <w:szCs w:val="24"/>
        </w:rPr>
      </w:pPr>
      <w:r w:rsidRPr="00C56699">
        <w:rPr>
          <w:rFonts w:ascii="Arial" w:eastAsiaTheme="minorEastAsia" w:hAnsi="Arial" w:cs="Arial"/>
          <w:sz w:val="24"/>
          <w:szCs w:val="24"/>
        </w:rPr>
        <w:t xml:space="preserve">The upregulation of </w:t>
      </w:r>
      <w:r w:rsidR="00C87C46" w:rsidRPr="00C56699">
        <w:rPr>
          <w:rFonts w:ascii="Arial" w:eastAsiaTheme="minorEastAsia" w:hAnsi="Arial" w:cs="Arial"/>
          <w:sz w:val="24"/>
          <w:szCs w:val="24"/>
        </w:rPr>
        <w:t xml:space="preserve">AGR2 </w:t>
      </w:r>
      <w:r w:rsidR="00EF5FE3" w:rsidRPr="00C56699">
        <w:rPr>
          <w:rFonts w:ascii="Arial" w:eastAsiaTheme="minorEastAsia" w:hAnsi="Arial" w:cs="Arial"/>
          <w:sz w:val="24"/>
          <w:szCs w:val="24"/>
        </w:rPr>
        <w:t xml:space="preserve">is </w:t>
      </w:r>
      <w:r w:rsidR="00A736EF" w:rsidRPr="00C56699">
        <w:rPr>
          <w:rFonts w:ascii="Arial" w:eastAsiaTheme="minorEastAsia" w:hAnsi="Arial" w:cs="Arial"/>
          <w:noProof/>
          <w:sz w:val="24"/>
          <w:szCs w:val="24"/>
        </w:rPr>
        <w:t>associate</w:t>
      </w:r>
      <w:r w:rsidRPr="00C56699">
        <w:rPr>
          <w:rFonts w:ascii="Arial" w:eastAsiaTheme="minorEastAsia" w:hAnsi="Arial" w:cs="Arial"/>
          <w:noProof/>
          <w:sz w:val="24"/>
          <w:szCs w:val="24"/>
        </w:rPr>
        <w:t>d</w:t>
      </w:r>
      <w:r w:rsidR="00A736EF" w:rsidRPr="00C56699">
        <w:rPr>
          <w:rFonts w:ascii="Arial" w:eastAsiaTheme="minorEastAsia" w:hAnsi="Arial" w:cs="Arial"/>
          <w:sz w:val="24"/>
          <w:szCs w:val="24"/>
        </w:rPr>
        <w:t xml:space="preserve"> </w:t>
      </w:r>
      <w:r w:rsidR="00C87C46" w:rsidRPr="00C56699">
        <w:rPr>
          <w:rFonts w:ascii="Arial" w:eastAsiaTheme="minorEastAsia" w:hAnsi="Arial" w:cs="Arial"/>
          <w:sz w:val="24"/>
          <w:szCs w:val="24"/>
        </w:rPr>
        <w:t>with steroid hormone receptors expression</w:t>
      </w:r>
      <w:r w:rsidR="0079526A" w:rsidRPr="00C56699">
        <w:rPr>
          <w:rFonts w:ascii="Arial" w:eastAsiaTheme="minorEastAsia" w:hAnsi="Arial" w:cs="Arial"/>
          <w:sz w:val="24"/>
          <w:szCs w:val="24"/>
        </w:rPr>
        <w:t xml:space="preserve"> in human EC</w:t>
      </w:r>
    </w:p>
    <w:p w14:paraId="32D773D2" w14:textId="5328526D" w:rsidR="00EB451C" w:rsidRPr="00C56699" w:rsidRDefault="0063629A" w:rsidP="00F4699D">
      <w:pPr>
        <w:rPr>
          <w:rFonts w:ascii="Arial" w:eastAsia="Arial" w:hAnsi="Arial" w:cs="Arial"/>
        </w:rPr>
      </w:pPr>
      <w:r w:rsidRPr="00C56699">
        <w:t xml:space="preserve">When the association of </w:t>
      </w:r>
      <w:r w:rsidR="005D6BE0" w:rsidRPr="00C56699">
        <w:rPr>
          <w:lang w:val="en-GB"/>
        </w:rPr>
        <w:t>quick-</w:t>
      </w:r>
      <w:r w:rsidR="005D6BE0" w:rsidRPr="00C56699">
        <w:t xml:space="preserve">scores for </w:t>
      </w:r>
      <w:r w:rsidRPr="00C56699">
        <w:t xml:space="preserve">AGR2 expression of </w:t>
      </w:r>
      <w:r w:rsidRPr="00C56699">
        <w:rPr>
          <w:rFonts w:ascii="Arial" w:eastAsia="Arial" w:hAnsi="Arial" w:cs="Arial"/>
        </w:rPr>
        <w:t xml:space="preserve">≥ 5 with </w:t>
      </w:r>
      <w:proofErr w:type="spellStart"/>
      <w:r w:rsidRPr="00C56699">
        <w:rPr>
          <w:rFonts w:ascii="Arial" w:eastAsia="Arial" w:hAnsi="Arial" w:cs="Arial"/>
        </w:rPr>
        <w:t>clinicopath</w:t>
      </w:r>
      <w:r w:rsidR="0060292C" w:rsidRPr="00C56699">
        <w:rPr>
          <w:rFonts w:ascii="Arial" w:eastAsia="Arial" w:hAnsi="Arial" w:cs="Arial"/>
        </w:rPr>
        <w:t>o</w:t>
      </w:r>
      <w:r w:rsidRPr="00C56699">
        <w:rPr>
          <w:rFonts w:ascii="Arial" w:eastAsia="Arial" w:hAnsi="Arial" w:cs="Arial"/>
        </w:rPr>
        <w:t>logical</w:t>
      </w:r>
      <w:proofErr w:type="spellEnd"/>
      <w:r w:rsidRPr="00C56699">
        <w:rPr>
          <w:rFonts w:ascii="Arial" w:eastAsia="Arial" w:hAnsi="Arial" w:cs="Arial"/>
        </w:rPr>
        <w:t xml:space="preserve"> parameters was determined, n</w:t>
      </w:r>
      <w:r w:rsidRPr="00C56699">
        <w:t xml:space="preserve">o significant association was observed with AGR2 expression and the deep myometrial invasion, </w:t>
      </w:r>
      <w:proofErr w:type="spellStart"/>
      <w:r w:rsidRPr="00C56699">
        <w:t>lymphovascular</w:t>
      </w:r>
      <w:proofErr w:type="spellEnd"/>
      <w:r w:rsidRPr="00C56699">
        <w:t xml:space="preserve"> space invasion, cervical stromal invasion or extra-uterine invasion. However, </w:t>
      </w:r>
      <w:r w:rsidR="00D91FA2" w:rsidRPr="00C56699">
        <w:t>ECs</w:t>
      </w:r>
      <w:r w:rsidR="00EB6255" w:rsidRPr="00C56699">
        <w:t xml:space="preserve"> with </w:t>
      </w:r>
      <w:r w:rsidR="002B235E" w:rsidRPr="00C56699">
        <w:t>AGR2</w:t>
      </w:r>
      <w:r w:rsidR="00F4699D" w:rsidRPr="00C56699">
        <w:rPr>
          <w:iCs/>
        </w:rPr>
        <w:t xml:space="preserve"> immuno</w:t>
      </w:r>
      <w:r w:rsidR="0079526A" w:rsidRPr="00C56699">
        <w:rPr>
          <w:iCs/>
        </w:rPr>
        <w:t>scores</w:t>
      </w:r>
      <w:r w:rsidR="006A67A9" w:rsidRPr="00C56699">
        <w:rPr>
          <w:i/>
          <w:iCs/>
        </w:rPr>
        <w:t xml:space="preserve"> </w:t>
      </w:r>
      <w:r w:rsidR="002E75BB" w:rsidRPr="00C56699">
        <w:t xml:space="preserve">of </w:t>
      </w:r>
      <w:r w:rsidR="00EB6255" w:rsidRPr="00C56699">
        <w:rPr>
          <w:rFonts w:ascii="Arial" w:eastAsia="Arial" w:hAnsi="Arial" w:cs="Arial"/>
        </w:rPr>
        <w:t>≥5</w:t>
      </w:r>
      <w:r w:rsidR="007E4188" w:rsidRPr="00C56699">
        <w:t xml:space="preserve"> </w:t>
      </w:r>
      <w:r w:rsidR="00A512F5" w:rsidRPr="00C56699">
        <w:t xml:space="preserve">were </w:t>
      </w:r>
      <w:r w:rsidRPr="00C56699">
        <w:t xml:space="preserve">strongly </w:t>
      </w:r>
      <w:r w:rsidR="00EB451C" w:rsidRPr="00C56699">
        <w:t>significantly</w:t>
      </w:r>
      <w:r w:rsidR="00A568FD" w:rsidRPr="00C56699">
        <w:t xml:space="preserve"> associated</w:t>
      </w:r>
      <w:r w:rsidR="00EB451C" w:rsidRPr="00C56699">
        <w:t xml:space="preserve"> with LGEC (P&lt;0.0001) and stages</w:t>
      </w:r>
      <w:r w:rsidRPr="00C56699">
        <w:t xml:space="preserve"> I-II</w:t>
      </w:r>
      <w:r w:rsidR="00EB451C" w:rsidRPr="00C56699">
        <w:t xml:space="preserve"> (P=0.003</w:t>
      </w:r>
      <w:r w:rsidR="00A512F5" w:rsidRPr="00C56699">
        <w:t xml:space="preserve">, Table </w:t>
      </w:r>
      <w:r w:rsidR="00A20B69" w:rsidRPr="00C56699">
        <w:t>2</w:t>
      </w:r>
      <w:r w:rsidR="00A512F5" w:rsidRPr="00C56699">
        <w:t>)</w:t>
      </w:r>
      <w:r w:rsidR="00EB451C" w:rsidRPr="00C56699">
        <w:t xml:space="preserve">. </w:t>
      </w:r>
      <w:r w:rsidRPr="00C56699">
        <w:t>In addition</w:t>
      </w:r>
      <w:r w:rsidR="00EB451C" w:rsidRPr="00C56699">
        <w:t xml:space="preserve">, </w:t>
      </w:r>
      <w:r w:rsidR="009C661F" w:rsidRPr="00C56699">
        <w:rPr>
          <w:iCs/>
        </w:rPr>
        <w:t>high</w:t>
      </w:r>
      <w:r w:rsidRPr="00C56699">
        <w:rPr>
          <w:i/>
          <w:iCs/>
        </w:rPr>
        <w:t xml:space="preserve"> </w:t>
      </w:r>
      <w:r w:rsidR="00EB451C" w:rsidRPr="00C56699">
        <w:t xml:space="preserve">AGR2 </w:t>
      </w:r>
      <w:r w:rsidR="00130985" w:rsidRPr="00C56699">
        <w:t>immuno</w:t>
      </w:r>
      <w:r w:rsidR="0079526A" w:rsidRPr="00C56699">
        <w:t xml:space="preserve">scores </w:t>
      </w:r>
      <w:r w:rsidR="00130985" w:rsidRPr="00C56699">
        <w:t xml:space="preserve">were </w:t>
      </w:r>
      <w:r w:rsidR="009C661F" w:rsidRPr="00C56699">
        <w:t xml:space="preserve">significantly </w:t>
      </w:r>
      <w:r w:rsidR="00506A44" w:rsidRPr="00C56699">
        <w:t xml:space="preserve">associated </w:t>
      </w:r>
      <w:r w:rsidR="009C661F" w:rsidRPr="00C56699">
        <w:t xml:space="preserve">with </w:t>
      </w:r>
      <w:r w:rsidR="00D91FA2" w:rsidRPr="00C56699">
        <w:t xml:space="preserve">EC </w:t>
      </w:r>
      <w:r w:rsidRPr="00C56699">
        <w:t xml:space="preserve">specimens that were </w:t>
      </w:r>
      <w:r w:rsidR="009C661F" w:rsidRPr="00C56699">
        <w:t xml:space="preserve">positive </w:t>
      </w:r>
      <w:r w:rsidRPr="00C56699">
        <w:t xml:space="preserve">for androgen receptor </w:t>
      </w:r>
      <w:r w:rsidR="009C661F" w:rsidRPr="00C56699">
        <w:t>(</w:t>
      </w:r>
      <w:r w:rsidR="00EB451C" w:rsidRPr="00C56699">
        <w:t>P=0.038</w:t>
      </w:r>
      <w:r w:rsidR="009C661F" w:rsidRPr="00C56699">
        <w:t>)</w:t>
      </w:r>
      <w:r w:rsidR="00D91FA2" w:rsidRPr="00C56699">
        <w:t>,</w:t>
      </w:r>
      <w:r w:rsidR="009C661F" w:rsidRPr="00C56699">
        <w:t xml:space="preserve"> </w:t>
      </w:r>
      <w:r w:rsidRPr="00C56699">
        <w:t>proge</w:t>
      </w:r>
      <w:r w:rsidR="005D6BE0" w:rsidRPr="00C56699">
        <w:t>s</w:t>
      </w:r>
      <w:r w:rsidRPr="00C56699">
        <w:t xml:space="preserve">terone receptor </w:t>
      </w:r>
      <w:r w:rsidR="009C661F" w:rsidRPr="00C56699">
        <w:t>(</w:t>
      </w:r>
      <w:r w:rsidR="00EB451C" w:rsidRPr="00C56699">
        <w:t>P=0.043</w:t>
      </w:r>
      <w:r w:rsidR="009C661F" w:rsidRPr="00C56699">
        <w:t>)</w:t>
      </w:r>
      <w:r w:rsidR="003F6D71" w:rsidRPr="00C56699">
        <w:t>,</w:t>
      </w:r>
      <w:r w:rsidRPr="00C56699">
        <w:t xml:space="preserve"> </w:t>
      </w:r>
      <w:r w:rsidRPr="00C56699">
        <w:rPr>
          <w:noProof/>
        </w:rPr>
        <w:t>or</w:t>
      </w:r>
      <w:r w:rsidR="009C661F" w:rsidRPr="00C56699">
        <w:rPr>
          <w:noProof/>
        </w:rPr>
        <w:t xml:space="preserve"> </w:t>
      </w:r>
      <w:r w:rsidRPr="00C56699">
        <w:t xml:space="preserve">estrogen receptor </w:t>
      </w:r>
      <w:r w:rsidR="001F6662" w:rsidRPr="00C56699">
        <w:t>α</w:t>
      </w:r>
      <w:r w:rsidR="00D377FD" w:rsidRPr="00C56699">
        <w:t xml:space="preserve"> </w:t>
      </w:r>
      <w:r w:rsidR="009C661F" w:rsidRPr="00C56699">
        <w:t>(</w:t>
      </w:r>
      <w:r w:rsidR="00EB451C" w:rsidRPr="00C56699">
        <w:t>P=0.01</w:t>
      </w:r>
      <w:r w:rsidR="00EE2B45" w:rsidRPr="00C56699">
        <w:t>0</w:t>
      </w:r>
      <w:r w:rsidR="00EB451C" w:rsidRPr="00C56699">
        <w:t xml:space="preserve">). </w:t>
      </w:r>
      <w:r w:rsidRPr="00C56699">
        <w:t xml:space="preserve"> </w:t>
      </w:r>
      <w:r w:rsidR="004A779C" w:rsidRPr="00C56699">
        <w:t>This result</w:t>
      </w:r>
      <w:r w:rsidRPr="00C56699">
        <w:t xml:space="preserve"> is consistent with previous findings of the hormone responsiveness of AGR2, </w:t>
      </w:r>
      <w:r w:rsidR="004A779C" w:rsidRPr="00C56699">
        <w:t>and</w:t>
      </w:r>
      <w:r w:rsidR="00561616" w:rsidRPr="00C56699">
        <w:t xml:space="preserve"> more </w:t>
      </w:r>
      <w:r w:rsidR="00561616" w:rsidRPr="00C56699">
        <w:lastRenderedPageBreak/>
        <w:t>importantly, is consistent with regard to the general hormone</w:t>
      </w:r>
      <w:r w:rsidR="00D91FA2" w:rsidRPr="00C56699">
        <w:t xml:space="preserve"> receptor</w:t>
      </w:r>
      <w:r w:rsidR="00561616" w:rsidRPr="00C56699">
        <w:t xml:space="preserve"> status of LGEC and HGEC, thereby providing an explanation of AGR2 being upregulated in LGEC </w:t>
      </w:r>
      <w:r w:rsidR="00D91FA2" w:rsidRPr="00C56699">
        <w:t>compared with</w:t>
      </w:r>
      <w:r w:rsidR="00561616" w:rsidRPr="00C56699">
        <w:t xml:space="preserve"> HGEC.</w:t>
      </w:r>
    </w:p>
    <w:p w14:paraId="0E8310D0" w14:textId="77777777" w:rsidR="00EB451C" w:rsidRPr="00C56699" w:rsidRDefault="00EB451C">
      <w:pPr>
        <w:pStyle w:val="Heading2"/>
        <w:rPr>
          <w:rFonts w:ascii="Arial" w:eastAsiaTheme="minorEastAsia" w:hAnsi="Arial" w:cs="Arial"/>
          <w:sz w:val="24"/>
          <w:szCs w:val="24"/>
        </w:rPr>
      </w:pPr>
      <w:r w:rsidRPr="00C56699">
        <w:rPr>
          <w:rFonts w:ascii="Arial" w:eastAsiaTheme="minorEastAsia" w:hAnsi="Arial" w:cs="Arial"/>
          <w:sz w:val="24"/>
          <w:szCs w:val="24"/>
        </w:rPr>
        <w:t>Survival analysis</w:t>
      </w:r>
    </w:p>
    <w:p w14:paraId="5AB398B9" w14:textId="243E168C" w:rsidR="00547D71" w:rsidRPr="00C56699" w:rsidRDefault="005642AE" w:rsidP="0038541E">
      <w:r w:rsidRPr="00C56699">
        <w:rPr>
          <w:noProof/>
        </w:rPr>
        <w:t>Follow</w:t>
      </w:r>
      <w:r w:rsidR="00561616" w:rsidRPr="00C56699">
        <w:rPr>
          <w:noProof/>
        </w:rPr>
        <w:t>-</w:t>
      </w:r>
      <w:r w:rsidRPr="00C56699">
        <w:rPr>
          <w:noProof/>
        </w:rPr>
        <w:t xml:space="preserve">up data were available for all EC patients. By </w:t>
      </w:r>
      <w:r w:rsidR="00BC278A" w:rsidRPr="00C56699">
        <w:rPr>
          <w:noProof/>
        </w:rPr>
        <w:t>August 2017</w:t>
      </w:r>
      <w:r w:rsidR="00D91FA2" w:rsidRPr="00C56699">
        <w:rPr>
          <w:noProof/>
        </w:rPr>
        <w:t>,</w:t>
      </w:r>
      <w:r w:rsidRPr="00C56699">
        <w:rPr>
          <w:noProof/>
        </w:rPr>
        <w:t xml:space="preserve"> the median follow</w:t>
      </w:r>
      <w:r w:rsidR="003A206E" w:rsidRPr="00C56699">
        <w:rPr>
          <w:noProof/>
        </w:rPr>
        <w:t>-</w:t>
      </w:r>
      <w:r w:rsidRPr="00C56699">
        <w:rPr>
          <w:noProof/>
        </w:rPr>
        <w:t xml:space="preserve">up was 19 months, ranging </w:t>
      </w:r>
      <w:r w:rsidR="003A206E" w:rsidRPr="00C56699">
        <w:rPr>
          <w:noProof/>
        </w:rPr>
        <w:t>from</w:t>
      </w:r>
      <w:r w:rsidRPr="00C56699">
        <w:rPr>
          <w:noProof/>
        </w:rPr>
        <w:t xml:space="preserve"> 6</w:t>
      </w:r>
      <w:r w:rsidR="003A206E" w:rsidRPr="00C56699">
        <w:rPr>
          <w:noProof/>
        </w:rPr>
        <w:t xml:space="preserve"> to </w:t>
      </w:r>
      <w:r w:rsidRPr="00C56699">
        <w:rPr>
          <w:noProof/>
        </w:rPr>
        <w:t>40 months. During the follow</w:t>
      </w:r>
      <w:r w:rsidR="0027327D" w:rsidRPr="00C56699">
        <w:rPr>
          <w:noProof/>
        </w:rPr>
        <w:t>-</w:t>
      </w:r>
      <w:r w:rsidRPr="00C56699">
        <w:rPr>
          <w:noProof/>
        </w:rPr>
        <w:t>up period</w:t>
      </w:r>
      <w:r w:rsidR="003F6D71" w:rsidRPr="00C56699">
        <w:rPr>
          <w:noProof/>
        </w:rPr>
        <w:t>,</w:t>
      </w:r>
      <w:r w:rsidRPr="00C56699">
        <w:rPr>
          <w:noProof/>
        </w:rPr>
        <w:t xml:space="preserve"> there were 5 recurrent tumours and </w:t>
      </w:r>
      <w:r w:rsidR="00BB496D" w:rsidRPr="00C56699">
        <w:rPr>
          <w:noProof/>
        </w:rPr>
        <w:t xml:space="preserve">17 </w:t>
      </w:r>
      <w:r w:rsidRPr="00C56699">
        <w:rPr>
          <w:noProof/>
        </w:rPr>
        <w:t>deaths (</w:t>
      </w:r>
      <w:r w:rsidR="00BB496D" w:rsidRPr="00C56699">
        <w:rPr>
          <w:noProof/>
        </w:rPr>
        <w:t xml:space="preserve">14 </w:t>
      </w:r>
      <w:r w:rsidRPr="00C56699">
        <w:rPr>
          <w:noProof/>
        </w:rPr>
        <w:t xml:space="preserve">as a result of disease progression and 3 from other causes). </w:t>
      </w:r>
      <w:r w:rsidR="00BC278A" w:rsidRPr="00C56699">
        <w:t>AGR2</w:t>
      </w:r>
      <w:r w:rsidR="00BC278A" w:rsidRPr="00C56699">
        <w:rPr>
          <w:i/>
          <w:iCs/>
        </w:rPr>
        <w:t xml:space="preserve"> </w:t>
      </w:r>
      <w:r w:rsidR="00BC278A" w:rsidRPr="00C56699">
        <w:rPr>
          <w:iCs/>
        </w:rPr>
        <w:t xml:space="preserve">was associated with better </w:t>
      </w:r>
      <w:r w:rsidR="00EB451C" w:rsidRPr="00C56699">
        <w:t>overall survival</w:t>
      </w:r>
      <w:r w:rsidR="00BC278A" w:rsidRPr="00C56699">
        <w:t xml:space="preserve"> of the EC patients</w:t>
      </w:r>
      <w:r w:rsidR="00EB451C" w:rsidRPr="00C56699">
        <w:t xml:space="preserve"> when all cancer </w:t>
      </w:r>
      <w:r w:rsidR="00BC278A" w:rsidRPr="00C56699">
        <w:t xml:space="preserve">subtypes </w:t>
      </w:r>
      <w:r w:rsidR="00EB451C" w:rsidRPr="00C56699">
        <w:t>were analysed</w:t>
      </w:r>
      <w:r w:rsidR="00BC278A" w:rsidRPr="00C56699">
        <w:t xml:space="preserve"> together (P=0.020</w:t>
      </w:r>
      <w:r w:rsidR="00EF2131" w:rsidRPr="00C56699">
        <w:t>, Fig</w:t>
      </w:r>
      <w:r w:rsidR="000932B8" w:rsidRPr="00C56699">
        <w:t>ure</w:t>
      </w:r>
      <w:r w:rsidR="00343833" w:rsidRPr="00C56699">
        <w:t xml:space="preserve"> </w:t>
      </w:r>
      <w:r w:rsidR="00AB5AB4" w:rsidRPr="00C56699">
        <w:t>5A</w:t>
      </w:r>
      <w:r w:rsidR="00BC278A" w:rsidRPr="00C56699">
        <w:t>)</w:t>
      </w:r>
      <w:r w:rsidR="003A206E" w:rsidRPr="00C56699">
        <w:t>,</w:t>
      </w:r>
      <w:r w:rsidR="00BC278A" w:rsidRPr="00C56699">
        <w:t xml:space="preserve"> but no significant effect was seen on disease-free survival</w:t>
      </w:r>
      <w:r w:rsidR="00EB451C" w:rsidRPr="00C56699">
        <w:t>.</w:t>
      </w:r>
      <w:r w:rsidRPr="00C56699">
        <w:t xml:space="preserve"> </w:t>
      </w:r>
      <w:r w:rsidR="00757AC5" w:rsidRPr="00C56699">
        <w:t xml:space="preserve">For </w:t>
      </w:r>
      <w:r w:rsidR="00D91FA2" w:rsidRPr="00C56699">
        <w:t xml:space="preserve">ECs </w:t>
      </w:r>
      <w:r w:rsidR="00757AC5" w:rsidRPr="00C56699">
        <w:t xml:space="preserve">with high </w:t>
      </w:r>
      <w:r w:rsidR="00BC278A" w:rsidRPr="00C56699">
        <w:t>ER immunoscores</w:t>
      </w:r>
      <w:r w:rsidR="00757AC5" w:rsidRPr="00C56699">
        <w:t xml:space="preserve"> </w:t>
      </w:r>
      <w:r w:rsidR="00BC278A" w:rsidRPr="00C56699">
        <w:t xml:space="preserve">&gt;6, </w:t>
      </w:r>
      <w:r w:rsidR="00561616" w:rsidRPr="00C56699">
        <w:rPr>
          <w:iCs/>
        </w:rPr>
        <w:t>h</w:t>
      </w:r>
      <w:r w:rsidR="00BC278A" w:rsidRPr="00C56699">
        <w:rPr>
          <w:iCs/>
        </w:rPr>
        <w:t>igh</w:t>
      </w:r>
      <w:r w:rsidR="00561616" w:rsidRPr="00C56699">
        <w:rPr>
          <w:i/>
          <w:iCs/>
        </w:rPr>
        <w:t xml:space="preserve"> </w:t>
      </w:r>
      <w:r w:rsidR="00BC278A" w:rsidRPr="00C56699">
        <w:t xml:space="preserve">AGR2 </w:t>
      </w:r>
      <w:r w:rsidR="0038541E" w:rsidRPr="00C56699">
        <w:t xml:space="preserve">appears to </w:t>
      </w:r>
      <w:r w:rsidR="00BC278A" w:rsidRPr="00C56699">
        <w:t>associate with shorter overall survival</w:t>
      </w:r>
      <w:r w:rsidR="0038541E" w:rsidRPr="00C56699">
        <w:t>, however statistically that was not significant</w:t>
      </w:r>
      <w:r w:rsidR="00BC278A" w:rsidRPr="00C56699">
        <w:t xml:space="preserve"> </w:t>
      </w:r>
      <w:r w:rsidR="00561616" w:rsidRPr="00C56699">
        <w:t>(P=0.524, Fig</w:t>
      </w:r>
      <w:r w:rsidR="000932B8" w:rsidRPr="00C56699">
        <w:t>ure</w:t>
      </w:r>
      <w:r w:rsidR="00343833" w:rsidRPr="00C56699">
        <w:t xml:space="preserve"> </w:t>
      </w:r>
      <w:r w:rsidR="00AB5AB4" w:rsidRPr="00C56699">
        <w:t>5B</w:t>
      </w:r>
      <w:r w:rsidR="00561616" w:rsidRPr="00C56699">
        <w:t>).</w:t>
      </w:r>
    </w:p>
    <w:p w14:paraId="3EBF0B5B" w14:textId="16FD0139" w:rsidR="00A32466" w:rsidRPr="00C56699" w:rsidRDefault="00A32466" w:rsidP="00A32466">
      <w:pPr>
        <w:pStyle w:val="Heading2"/>
      </w:pPr>
      <w:r w:rsidRPr="00C56699">
        <w:t>Validating our in vivo data on TCGA dataset</w:t>
      </w:r>
      <w:r w:rsidR="00A4491B" w:rsidRPr="00C56699">
        <w:t xml:space="preserve"> and other published microarray data</w:t>
      </w:r>
    </w:p>
    <w:p w14:paraId="03249E7C" w14:textId="6618EC2B" w:rsidR="00A4491B" w:rsidRPr="00C56699" w:rsidRDefault="00F826A6" w:rsidP="00A32466">
      <w:r w:rsidRPr="00C56699">
        <w:t xml:space="preserve">Altered </w:t>
      </w:r>
      <w:r w:rsidR="00404695" w:rsidRPr="00C56699">
        <w:rPr>
          <w:i/>
        </w:rPr>
        <w:t>AGR2</w:t>
      </w:r>
      <w:r w:rsidR="00404695" w:rsidRPr="00C56699">
        <w:t xml:space="preserve"> </w:t>
      </w:r>
      <w:r w:rsidRPr="00C56699">
        <w:t xml:space="preserve">RNA </w:t>
      </w:r>
      <w:r w:rsidR="00404695" w:rsidRPr="00C56699">
        <w:t>expression level</w:t>
      </w:r>
      <w:r w:rsidR="0040570A" w:rsidRPr="00C56699">
        <w:t>s</w:t>
      </w:r>
      <w:r w:rsidR="00404695" w:rsidRPr="00C56699">
        <w:t xml:space="preserve"> with the tumour grade and stage</w:t>
      </w:r>
      <w:r w:rsidRPr="00C56699">
        <w:t>, similar to our IHC data w</w:t>
      </w:r>
      <w:r w:rsidR="0040570A" w:rsidRPr="00C56699">
        <w:t>ere</w:t>
      </w:r>
      <w:r w:rsidRPr="00C56699">
        <w:t xml:space="preserve"> also observed in the TCGA data</w:t>
      </w:r>
      <w:r w:rsidR="00315404" w:rsidRPr="00C56699">
        <w:t xml:space="preserve"> (</w:t>
      </w:r>
      <w:r w:rsidR="003A206E" w:rsidRPr="00C56699">
        <w:t>S</w:t>
      </w:r>
      <w:r w:rsidR="00315404" w:rsidRPr="00C56699">
        <w:t>upplementary Figure 2A)</w:t>
      </w:r>
      <w:r w:rsidR="00404695" w:rsidRPr="00C56699">
        <w:t>. H</w:t>
      </w:r>
      <w:r w:rsidR="00D54FEF" w:rsidRPr="00C56699">
        <w:t xml:space="preserve">igh </w:t>
      </w:r>
      <w:r w:rsidR="00D54FEF" w:rsidRPr="00C56699">
        <w:rPr>
          <w:i/>
        </w:rPr>
        <w:t>AGR2</w:t>
      </w:r>
      <w:r w:rsidR="00D54FEF" w:rsidRPr="00C56699">
        <w:t xml:space="preserve"> RNA expression </w:t>
      </w:r>
      <w:r w:rsidRPr="00C56699">
        <w:t xml:space="preserve">in </w:t>
      </w:r>
      <w:r w:rsidR="00E555C0" w:rsidRPr="00C56699">
        <w:t xml:space="preserve">the </w:t>
      </w:r>
      <w:r w:rsidRPr="00C56699">
        <w:t xml:space="preserve">TCGA cohort was </w:t>
      </w:r>
      <w:r w:rsidR="00D54FEF" w:rsidRPr="00C56699">
        <w:t>associate</w:t>
      </w:r>
      <w:r w:rsidR="00E555C0" w:rsidRPr="00C56699">
        <w:t>d</w:t>
      </w:r>
      <w:r w:rsidR="00D54FEF" w:rsidRPr="00C56699">
        <w:t xml:space="preserve"> with </w:t>
      </w:r>
      <w:r w:rsidR="00E555C0" w:rsidRPr="00C56699">
        <w:t xml:space="preserve">longer </w:t>
      </w:r>
      <w:r w:rsidR="00D54FEF" w:rsidRPr="00C56699">
        <w:t>overall survival (</w:t>
      </w:r>
      <w:r w:rsidRPr="00C56699">
        <w:t xml:space="preserve">n=589, </w:t>
      </w:r>
      <w:r w:rsidR="00D54FEF" w:rsidRPr="00C56699">
        <w:t>clear separation of the KM plot, although p&gt;0.05, supplementary Fig</w:t>
      </w:r>
      <w:r w:rsidR="003A1AC1" w:rsidRPr="00C56699">
        <w:t>ure 2</w:t>
      </w:r>
      <w:r w:rsidR="00315404" w:rsidRPr="00C56699">
        <w:t>B</w:t>
      </w:r>
      <w:r w:rsidR="00D54FEF" w:rsidRPr="00C56699">
        <w:t xml:space="preserve">). </w:t>
      </w:r>
      <w:r w:rsidR="00DE26CA" w:rsidRPr="00C56699">
        <w:t xml:space="preserve">When </w:t>
      </w:r>
      <w:r w:rsidR="00D91FA2" w:rsidRPr="00C56699">
        <w:t xml:space="preserve">only </w:t>
      </w:r>
      <w:r w:rsidR="00294DFD" w:rsidRPr="00C56699">
        <w:t xml:space="preserve">the </w:t>
      </w:r>
      <w:r w:rsidR="00DE26CA" w:rsidRPr="00C56699">
        <w:t xml:space="preserve">high </w:t>
      </w:r>
      <w:r w:rsidR="00294DFD" w:rsidRPr="00C56699">
        <w:t>ER</w:t>
      </w:r>
      <w:r w:rsidR="00294DFD" w:rsidRPr="00C56699">
        <w:rPr>
          <w:rFonts w:ascii="Symbol" w:hAnsi="Symbol"/>
        </w:rPr>
        <w:t></w:t>
      </w:r>
      <w:r w:rsidR="00294DFD" w:rsidRPr="00C56699">
        <w:t>-</w:t>
      </w:r>
      <w:r w:rsidR="00DE26CA" w:rsidRPr="00C56699">
        <w:t xml:space="preserve">expressing group (n=86) was </w:t>
      </w:r>
      <w:r w:rsidRPr="00C56699">
        <w:t>considered</w:t>
      </w:r>
      <w:r w:rsidR="00DE26CA" w:rsidRPr="00C56699">
        <w:t xml:space="preserve">, </w:t>
      </w:r>
      <w:r w:rsidR="0040570A" w:rsidRPr="00C56699">
        <w:t xml:space="preserve">a </w:t>
      </w:r>
      <w:r w:rsidR="00DE26CA" w:rsidRPr="00C56699">
        <w:t>similar trend to our IHC data was observed with hig</w:t>
      </w:r>
      <w:r w:rsidR="00294DFD" w:rsidRPr="00C56699">
        <w:t>h</w:t>
      </w:r>
      <w:r w:rsidR="00294DFD" w:rsidRPr="00C56699">
        <w:rPr>
          <w:i/>
        </w:rPr>
        <w:t xml:space="preserve"> </w:t>
      </w:r>
      <w:r w:rsidR="00DE26CA" w:rsidRPr="00C56699">
        <w:rPr>
          <w:i/>
          <w:iCs/>
        </w:rPr>
        <w:t>AGR2</w:t>
      </w:r>
      <w:r w:rsidR="00DE26CA" w:rsidRPr="00C56699">
        <w:t xml:space="preserve"> </w:t>
      </w:r>
      <w:r w:rsidR="00294DFD" w:rsidRPr="00C56699">
        <w:t xml:space="preserve">RNA </w:t>
      </w:r>
      <w:r w:rsidR="00DE26CA" w:rsidRPr="00C56699">
        <w:t>associating with poor survival (</w:t>
      </w:r>
      <w:r w:rsidR="00BB721E" w:rsidRPr="00C56699">
        <w:t>S</w:t>
      </w:r>
      <w:r w:rsidR="00DE26CA" w:rsidRPr="00C56699">
        <w:t>upplementary Fig</w:t>
      </w:r>
      <w:r w:rsidR="0040570A" w:rsidRPr="00C56699">
        <w:t>ure</w:t>
      </w:r>
      <w:r w:rsidR="003E7061" w:rsidRPr="00C56699">
        <w:t xml:space="preserve"> 2</w:t>
      </w:r>
      <w:r w:rsidR="00315404" w:rsidRPr="00C56699">
        <w:t>C</w:t>
      </w:r>
      <w:r w:rsidR="00DE26CA" w:rsidRPr="00C56699">
        <w:t>)</w:t>
      </w:r>
      <w:r w:rsidR="00D91FA2" w:rsidRPr="00C56699">
        <w:t>. However</w:t>
      </w:r>
      <w:r w:rsidR="0040570A" w:rsidRPr="00C56699">
        <w:t>,</w:t>
      </w:r>
      <w:r w:rsidR="00DE26CA" w:rsidRPr="00C56699">
        <w:t xml:space="preserve"> the small sample size with very few </w:t>
      </w:r>
      <w:r w:rsidR="00294DFD" w:rsidRPr="00C56699">
        <w:t xml:space="preserve">recorded </w:t>
      </w:r>
      <w:r w:rsidR="00DE26CA" w:rsidRPr="00C56699">
        <w:t>events</w:t>
      </w:r>
      <w:r w:rsidR="00D91FA2" w:rsidRPr="00C56699">
        <w:t xml:space="preserve"> precluded statistical testing of this apparent observation</w:t>
      </w:r>
      <w:r w:rsidR="00DE26CA" w:rsidRPr="00C56699">
        <w:t xml:space="preserve">.  </w:t>
      </w:r>
      <w:r w:rsidR="00384F98" w:rsidRPr="00C56699">
        <w:t xml:space="preserve">Furthermore, there was a significant positive correlation between </w:t>
      </w:r>
      <w:r w:rsidR="00384F98" w:rsidRPr="00C56699">
        <w:rPr>
          <w:i/>
        </w:rPr>
        <w:t>AGR2</w:t>
      </w:r>
      <w:r w:rsidR="00384F98" w:rsidRPr="00C56699">
        <w:t xml:space="preserve"> and </w:t>
      </w:r>
      <w:r w:rsidR="00384F98" w:rsidRPr="00C56699">
        <w:rPr>
          <w:i/>
        </w:rPr>
        <w:t>AGR3</w:t>
      </w:r>
      <w:r w:rsidR="00384F98" w:rsidRPr="00C56699">
        <w:t xml:space="preserve"> RNA expression in the EC samples (</w:t>
      </w:r>
      <w:r w:rsidR="003A206E" w:rsidRPr="00C56699">
        <w:t>p=3.3E-48, r=0.58, S</w:t>
      </w:r>
      <w:r w:rsidR="00384F98" w:rsidRPr="00C56699">
        <w:t>upplementary F</w:t>
      </w:r>
      <w:r w:rsidR="00E775DA" w:rsidRPr="00C56699">
        <w:t>igure 3</w:t>
      </w:r>
      <w:r w:rsidR="00384F98" w:rsidRPr="00C56699">
        <w:t>).</w:t>
      </w:r>
      <w:r w:rsidR="00DE26CA" w:rsidRPr="00C56699">
        <w:t xml:space="preserve"> </w:t>
      </w:r>
    </w:p>
    <w:p w14:paraId="6550FFA4" w14:textId="2C0D83CB" w:rsidR="00A4491B" w:rsidRPr="00C56699" w:rsidRDefault="00A4491B" w:rsidP="00A4491B">
      <w:pPr>
        <w:rPr>
          <w:rFonts w:eastAsia="Times New Roman"/>
        </w:rPr>
      </w:pPr>
      <w:r w:rsidRPr="00C56699">
        <w:rPr>
          <w:rFonts w:eastAsia="Times New Roman"/>
        </w:rPr>
        <w:t xml:space="preserve">We have also </w:t>
      </w:r>
      <w:r w:rsidR="00A15A92" w:rsidRPr="00C56699">
        <w:rPr>
          <w:rFonts w:eastAsia="Times New Roman"/>
        </w:rPr>
        <w:t>validated our data by interrogating</w:t>
      </w:r>
      <w:r w:rsidRPr="00C56699">
        <w:rPr>
          <w:rFonts w:ascii="Arial" w:hAnsi="Arial" w:cs="Arial"/>
          <w:sz w:val="18"/>
          <w:szCs w:val="18"/>
        </w:rPr>
        <w:t xml:space="preserve"> </w:t>
      </w:r>
      <w:r w:rsidR="003A206E" w:rsidRPr="00C56699">
        <w:rPr>
          <w:rFonts w:ascii="Arial" w:hAnsi="Arial" w:cs="Arial"/>
          <w:sz w:val="18"/>
          <w:szCs w:val="18"/>
        </w:rPr>
        <w:t xml:space="preserve">3 </w:t>
      </w:r>
      <w:r w:rsidRPr="00C56699">
        <w:rPr>
          <w:rFonts w:eastAsia="Times New Roman"/>
        </w:rPr>
        <w:t xml:space="preserve">further independent </w:t>
      </w:r>
      <w:r w:rsidR="00A15A92" w:rsidRPr="00C56699">
        <w:rPr>
          <w:rFonts w:eastAsia="Times New Roman"/>
        </w:rPr>
        <w:t xml:space="preserve">publically available </w:t>
      </w:r>
      <w:r w:rsidR="00A94A7B" w:rsidRPr="00C56699">
        <w:rPr>
          <w:rFonts w:eastAsia="Times New Roman"/>
        </w:rPr>
        <w:t>EC</w:t>
      </w:r>
      <w:r w:rsidR="00A15A92" w:rsidRPr="00C56699">
        <w:rPr>
          <w:rFonts w:eastAsia="Times New Roman"/>
        </w:rPr>
        <w:t xml:space="preserve"> microarray </w:t>
      </w:r>
      <w:r w:rsidRPr="00C56699">
        <w:rPr>
          <w:rFonts w:eastAsia="Times New Roman"/>
        </w:rPr>
        <w:t>sample sets, to include 63 G</w:t>
      </w:r>
      <w:r w:rsidR="00A15A92" w:rsidRPr="00C56699">
        <w:rPr>
          <w:rFonts w:eastAsia="Times New Roman"/>
        </w:rPr>
        <w:t xml:space="preserve">rade </w:t>
      </w:r>
      <w:r w:rsidRPr="00C56699">
        <w:rPr>
          <w:rFonts w:eastAsia="Times New Roman"/>
        </w:rPr>
        <w:t>1 endometrioid cancers and 68 G</w:t>
      </w:r>
      <w:r w:rsidR="00A15A92" w:rsidRPr="00C56699">
        <w:rPr>
          <w:rFonts w:eastAsia="Times New Roman"/>
        </w:rPr>
        <w:t xml:space="preserve">rade </w:t>
      </w:r>
      <w:r w:rsidRPr="00C56699">
        <w:rPr>
          <w:rFonts w:eastAsia="Times New Roman"/>
        </w:rPr>
        <w:t xml:space="preserve">3 </w:t>
      </w:r>
      <w:r w:rsidRPr="00C56699">
        <w:rPr>
          <w:rFonts w:eastAsia="Times New Roman"/>
        </w:rPr>
        <w:lastRenderedPageBreak/>
        <w:t xml:space="preserve">Endometrioid and Serous EC. Significant decrease in </w:t>
      </w:r>
      <w:r w:rsidRPr="00C56699">
        <w:rPr>
          <w:rFonts w:eastAsia="Times New Roman"/>
          <w:i/>
          <w:iCs/>
        </w:rPr>
        <w:t>AGR2</w:t>
      </w:r>
      <w:r w:rsidR="00BB721E" w:rsidRPr="00C56699">
        <w:rPr>
          <w:rFonts w:eastAsia="Times New Roman"/>
        </w:rPr>
        <w:t xml:space="preserve"> gene</w:t>
      </w:r>
      <w:r w:rsidRPr="00C56699">
        <w:rPr>
          <w:rFonts w:eastAsia="Times New Roman"/>
        </w:rPr>
        <w:t xml:space="preserve"> expression was noted with G</w:t>
      </w:r>
      <w:r w:rsidR="00A15A92" w:rsidRPr="00C56699">
        <w:rPr>
          <w:rFonts w:eastAsia="Times New Roman"/>
        </w:rPr>
        <w:t xml:space="preserve">rade </w:t>
      </w:r>
      <w:r w:rsidRPr="00C56699">
        <w:rPr>
          <w:rFonts w:eastAsia="Times New Roman"/>
        </w:rPr>
        <w:t>3 cancers compared with G</w:t>
      </w:r>
      <w:r w:rsidR="00A15A92" w:rsidRPr="00C56699">
        <w:rPr>
          <w:rFonts w:eastAsia="Times New Roman"/>
        </w:rPr>
        <w:t xml:space="preserve">rade </w:t>
      </w:r>
      <w:r w:rsidRPr="00C56699">
        <w:rPr>
          <w:rFonts w:eastAsia="Times New Roman"/>
        </w:rPr>
        <w:t>1 endometrioid cancers</w:t>
      </w:r>
      <w:r w:rsidR="00A15A92" w:rsidRPr="00C56699">
        <w:rPr>
          <w:rFonts w:eastAsia="Times New Roman"/>
        </w:rPr>
        <w:t xml:space="preserve"> (S</w:t>
      </w:r>
      <w:r w:rsidR="00E775DA" w:rsidRPr="00C56699">
        <w:rPr>
          <w:rFonts w:eastAsia="Times New Roman"/>
        </w:rPr>
        <w:t>upplementary Figure 4</w:t>
      </w:r>
      <w:r w:rsidR="00A15A92" w:rsidRPr="00C56699">
        <w:rPr>
          <w:rFonts w:eastAsia="Times New Roman"/>
        </w:rPr>
        <w:t>)</w:t>
      </w:r>
      <w:r w:rsidRPr="00C56699">
        <w:rPr>
          <w:rFonts w:eastAsia="Times New Roman"/>
        </w:rPr>
        <w:t xml:space="preserve">. </w:t>
      </w:r>
    </w:p>
    <w:p w14:paraId="288C108E" w14:textId="652922CF" w:rsidR="00294DFD" w:rsidRPr="00C56699" w:rsidRDefault="00A4491B" w:rsidP="0038541E">
      <w:r w:rsidRPr="00C56699">
        <w:t xml:space="preserve">Further </w:t>
      </w:r>
      <w:r w:rsidRPr="00C56699">
        <w:rPr>
          <w:i/>
        </w:rPr>
        <w:t>in silico</w:t>
      </w:r>
      <w:r w:rsidRPr="00C56699">
        <w:t xml:space="preserve"> analysis highlighted </w:t>
      </w:r>
      <w:r w:rsidRPr="00C56699">
        <w:rPr>
          <w:i/>
          <w:iCs/>
        </w:rPr>
        <w:t>AGR2</w:t>
      </w:r>
      <w:r w:rsidRPr="00C56699">
        <w:t xml:space="preserve"> gene </w:t>
      </w:r>
      <w:r w:rsidR="00366E86" w:rsidRPr="00C56699">
        <w:t xml:space="preserve">expression </w:t>
      </w:r>
      <w:r w:rsidRPr="00C56699">
        <w:t xml:space="preserve">to be perturbed by the mutation or knockdown of many drivers of endometrial carcinogenesis, such as </w:t>
      </w:r>
      <w:r w:rsidR="00A94A7B" w:rsidRPr="00C56699">
        <w:rPr>
          <w:i/>
        </w:rPr>
        <w:t xml:space="preserve">PTEN, </w:t>
      </w:r>
      <w:r w:rsidRPr="00C56699">
        <w:rPr>
          <w:i/>
        </w:rPr>
        <w:t>KRAS</w:t>
      </w:r>
      <w:r w:rsidRPr="00C56699">
        <w:t xml:space="preserve"> and </w:t>
      </w:r>
      <w:r w:rsidR="00A94A7B" w:rsidRPr="00C56699">
        <w:rPr>
          <w:i/>
        </w:rPr>
        <w:t>TP53</w:t>
      </w:r>
      <w:r w:rsidR="00A94A7B" w:rsidRPr="00C56699">
        <w:t xml:space="preserve">, </w:t>
      </w:r>
      <w:r w:rsidR="00600F00" w:rsidRPr="00C56699">
        <w:t>(</w:t>
      </w:r>
      <w:r w:rsidR="0038541E" w:rsidRPr="00C56699">
        <w:t>S</w:t>
      </w:r>
      <w:r w:rsidR="00600F00" w:rsidRPr="00C56699">
        <w:t xml:space="preserve">upplementary </w:t>
      </w:r>
      <w:r w:rsidR="0038541E" w:rsidRPr="00C56699">
        <w:t>T</w:t>
      </w:r>
      <w:r w:rsidR="00600F00" w:rsidRPr="00C56699">
        <w:t>able 2</w:t>
      </w:r>
      <w:r w:rsidRPr="00C56699">
        <w:t>)</w:t>
      </w:r>
      <w:r w:rsidR="00366E86" w:rsidRPr="00C56699">
        <w:t xml:space="preserve"> suggesting an increase in </w:t>
      </w:r>
      <w:r w:rsidR="00600F00" w:rsidRPr="00C56699">
        <w:rPr>
          <w:i/>
        </w:rPr>
        <w:t>AGR2</w:t>
      </w:r>
      <w:r w:rsidR="00366E86" w:rsidRPr="00C56699">
        <w:t xml:space="preserve"> expression is an important feature of low grade </w:t>
      </w:r>
      <w:r w:rsidR="00A94A7B" w:rsidRPr="00C56699">
        <w:t>EC</w:t>
      </w:r>
      <w:r w:rsidR="00366E86" w:rsidRPr="00C56699">
        <w:t>s</w:t>
      </w:r>
      <w:r w:rsidRPr="00C56699">
        <w:t>.</w:t>
      </w:r>
      <w:r w:rsidR="00D43549" w:rsidRPr="00C56699">
        <w:t xml:space="preserve"> </w:t>
      </w:r>
      <w:r w:rsidR="00D43549" w:rsidRPr="00C56699">
        <w:rPr>
          <w:rFonts w:eastAsia="Times New Roman"/>
        </w:rPr>
        <w:t xml:space="preserve">Significantly high </w:t>
      </w:r>
      <w:r w:rsidR="00D43549" w:rsidRPr="00C56699">
        <w:rPr>
          <w:rFonts w:eastAsia="Times New Roman"/>
          <w:i/>
          <w:iCs/>
        </w:rPr>
        <w:t xml:space="preserve">AGR2 </w:t>
      </w:r>
      <w:r w:rsidR="00D43549" w:rsidRPr="00C56699">
        <w:rPr>
          <w:rFonts w:eastAsia="Times New Roman"/>
        </w:rPr>
        <w:t xml:space="preserve">expression was observed </w:t>
      </w:r>
      <w:r w:rsidR="00D43549" w:rsidRPr="00C56699">
        <w:rPr>
          <w:rFonts w:eastAsia="Times New Roman"/>
          <w:i/>
        </w:rPr>
        <w:t>in PTEN, KRAS</w:t>
      </w:r>
      <w:r w:rsidR="00D43549" w:rsidRPr="00C56699">
        <w:rPr>
          <w:rFonts w:eastAsia="Times New Roman"/>
        </w:rPr>
        <w:t xml:space="preserve"> (the commonest mutations seen in endometrioid cancer</w:t>
      </w:r>
      <w:r w:rsidR="00600F00" w:rsidRPr="00C56699">
        <w:rPr>
          <w:rFonts w:eastAsia="Times New Roman"/>
        </w:rPr>
        <w:t>s</w:t>
      </w:r>
      <w:r w:rsidR="00D43549" w:rsidRPr="00C56699">
        <w:rPr>
          <w:rFonts w:eastAsia="Times New Roman"/>
        </w:rPr>
        <w:t>)</w:t>
      </w:r>
      <w:r w:rsidR="00600F00" w:rsidRPr="00C56699">
        <w:rPr>
          <w:rFonts w:eastAsia="Times New Roman"/>
        </w:rPr>
        <w:t xml:space="preserve"> mutated cancers compared with wild type cancers (p=5.29E-8 and p=</w:t>
      </w:r>
      <w:r w:rsidR="00E775DA" w:rsidRPr="00C56699">
        <w:rPr>
          <w:rFonts w:eastAsia="Times New Roman"/>
        </w:rPr>
        <w:t>4.74E-4 respectively, results not shown)</w:t>
      </w:r>
      <w:r w:rsidR="00D43549" w:rsidRPr="00C56699">
        <w:rPr>
          <w:rFonts w:eastAsia="Times New Roman"/>
        </w:rPr>
        <w:t xml:space="preserve">, and contrastingly low </w:t>
      </w:r>
      <w:r w:rsidR="00D43549" w:rsidRPr="00C56699">
        <w:rPr>
          <w:rFonts w:eastAsia="Times New Roman"/>
          <w:i/>
          <w:iCs/>
        </w:rPr>
        <w:t>AGR2</w:t>
      </w:r>
      <w:r w:rsidR="00D43549" w:rsidRPr="00C56699">
        <w:rPr>
          <w:rFonts w:eastAsia="Times New Roman"/>
        </w:rPr>
        <w:t xml:space="preserve"> levels were seen in </w:t>
      </w:r>
      <w:r w:rsidR="00D43549" w:rsidRPr="00C56699">
        <w:rPr>
          <w:rFonts w:eastAsia="Times New Roman"/>
          <w:i/>
        </w:rPr>
        <w:t>TP53</w:t>
      </w:r>
      <w:r w:rsidR="00D43549" w:rsidRPr="00C56699">
        <w:rPr>
          <w:rFonts w:eastAsia="Times New Roman"/>
        </w:rPr>
        <w:t xml:space="preserve"> mutated cancers (commonest mutations seen in high grade</w:t>
      </w:r>
      <w:r w:rsidR="00E775DA" w:rsidRPr="00C56699">
        <w:rPr>
          <w:rFonts w:eastAsia="Times New Roman"/>
        </w:rPr>
        <w:t>/ type 2</w:t>
      </w:r>
      <w:r w:rsidR="00D43549" w:rsidRPr="00C56699">
        <w:rPr>
          <w:rFonts w:eastAsia="Times New Roman"/>
        </w:rPr>
        <w:t xml:space="preserve"> cancers) compared with the wild type cancers in the TCGA dataset </w:t>
      </w:r>
      <w:r w:rsidR="00E775DA" w:rsidRPr="00C56699">
        <w:rPr>
          <w:rFonts w:eastAsia="Times New Roman"/>
        </w:rPr>
        <w:t xml:space="preserve">(p=9.98E-8, </w:t>
      </w:r>
      <w:r w:rsidR="00D43549" w:rsidRPr="00C56699">
        <w:rPr>
          <w:rFonts w:eastAsia="Times New Roman"/>
        </w:rPr>
        <w:t xml:space="preserve">results not shown). This data further support the data </w:t>
      </w:r>
      <w:r w:rsidR="00E775DA" w:rsidRPr="00C56699">
        <w:rPr>
          <w:rFonts w:eastAsia="Times New Roman"/>
        </w:rPr>
        <w:t xml:space="preserve">generated </w:t>
      </w:r>
      <w:r w:rsidR="00366E86" w:rsidRPr="00C56699">
        <w:rPr>
          <w:rFonts w:eastAsia="Times New Roman"/>
        </w:rPr>
        <w:t xml:space="preserve">from </w:t>
      </w:r>
      <w:r w:rsidR="0038541E" w:rsidRPr="00C56699">
        <w:rPr>
          <w:rFonts w:eastAsia="Times New Roman"/>
        </w:rPr>
        <w:t xml:space="preserve">our </w:t>
      </w:r>
      <w:r w:rsidR="00172A6E" w:rsidRPr="00C56699">
        <w:rPr>
          <w:rFonts w:eastAsia="Times New Roman"/>
        </w:rPr>
        <w:t>study</w:t>
      </w:r>
      <w:r w:rsidR="00D43549" w:rsidRPr="00C56699">
        <w:rPr>
          <w:rFonts w:eastAsia="Times New Roman"/>
        </w:rPr>
        <w:t xml:space="preserve"> cohort</w:t>
      </w:r>
      <w:r w:rsidR="00E775DA" w:rsidRPr="00C56699">
        <w:rPr>
          <w:rFonts w:eastAsia="Times New Roman"/>
        </w:rPr>
        <w:t xml:space="preserve">, suggesting higher AGR2 is an important feature of low grade </w:t>
      </w:r>
      <w:r w:rsidR="00A94A7B" w:rsidRPr="00C56699">
        <w:rPr>
          <w:rFonts w:eastAsia="Times New Roman"/>
        </w:rPr>
        <w:t>ECs</w:t>
      </w:r>
      <w:r w:rsidR="00D43549" w:rsidRPr="00C56699">
        <w:rPr>
          <w:rFonts w:eastAsia="Times New Roman"/>
        </w:rPr>
        <w:t xml:space="preserve">.  </w:t>
      </w:r>
    </w:p>
    <w:p w14:paraId="255AB7AF" w14:textId="6AC9B556" w:rsidR="003E5549" w:rsidRPr="00C56699" w:rsidRDefault="00CE5F12" w:rsidP="00F826A6">
      <w:pPr>
        <w:pStyle w:val="Heading2"/>
      </w:pPr>
      <w:r w:rsidRPr="00C56699">
        <w:t xml:space="preserve">Androgen treatment </w:t>
      </w:r>
      <w:r w:rsidRPr="00C56699">
        <w:rPr>
          <w:noProof/>
        </w:rPr>
        <w:t>downregulate</w:t>
      </w:r>
      <w:r w:rsidR="003F6D71" w:rsidRPr="00C56699">
        <w:rPr>
          <w:noProof/>
        </w:rPr>
        <w:t>s</w:t>
      </w:r>
      <w:r w:rsidRPr="00C56699">
        <w:t xml:space="preserve"> </w:t>
      </w:r>
      <w:r w:rsidR="00CD35D9" w:rsidRPr="00C56699">
        <w:t xml:space="preserve">the transcript for </w:t>
      </w:r>
      <w:r w:rsidRPr="00C56699">
        <w:rPr>
          <w:i/>
        </w:rPr>
        <w:t>AGR2</w:t>
      </w:r>
      <w:r w:rsidRPr="00C56699">
        <w:t xml:space="preserve"> </w:t>
      </w:r>
    </w:p>
    <w:p w14:paraId="46968C2E" w14:textId="55469319" w:rsidR="004A779C" w:rsidRPr="00C56699" w:rsidRDefault="004A779C" w:rsidP="004A779C">
      <w:r w:rsidRPr="00C56699">
        <w:t xml:space="preserve">In order to understand the relationships between </w:t>
      </w:r>
      <w:r w:rsidRPr="00C56699">
        <w:rPr>
          <w:i/>
        </w:rPr>
        <w:t>AGR2</w:t>
      </w:r>
      <w:r w:rsidRPr="00C56699">
        <w:t xml:space="preserve"> expression and hormone receptor status, a</w:t>
      </w:r>
      <w:r w:rsidR="006103E9" w:rsidRPr="00C56699">
        <w:t>n</w:t>
      </w:r>
      <w:r w:rsidRPr="00C56699">
        <w:t xml:space="preserve"> </w:t>
      </w:r>
      <w:r w:rsidR="00D91FA2" w:rsidRPr="00C56699">
        <w:rPr>
          <w:i/>
        </w:rPr>
        <w:t>in vitro</w:t>
      </w:r>
      <w:r w:rsidR="00D91FA2" w:rsidRPr="00C56699">
        <w:t xml:space="preserve"> </w:t>
      </w:r>
      <w:r w:rsidRPr="00C56699">
        <w:t>culture model of Ishikawa (ISK) cells was used.</w:t>
      </w:r>
    </w:p>
    <w:p w14:paraId="77F0124B" w14:textId="304CBF24" w:rsidR="00F00174" w:rsidRPr="00C56699" w:rsidRDefault="004A779C" w:rsidP="00E87175">
      <w:r w:rsidRPr="00C56699">
        <w:t xml:space="preserve">We </w:t>
      </w:r>
      <w:r w:rsidR="00E5280B" w:rsidRPr="00C56699">
        <w:t xml:space="preserve">initially characterized four </w:t>
      </w:r>
      <w:r w:rsidR="00D91FA2" w:rsidRPr="00C56699">
        <w:t>EC</w:t>
      </w:r>
      <w:r w:rsidR="00E5280B" w:rsidRPr="00C56699">
        <w:t xml:space="preserve"> cell lines for steroid hormone </w:t>
      </w:r>
      <w:r w:rsidR="009D2649" w:rsidRPr="00C56699">
        <w:t>receptor</w:t>
      </w:r>
      <w:r w:rsidR="00154035" w:rsidRPr="00C56699">
        <w:t xml:space="preserve"> </w:t>
      </w:r>
      <w:r w:rsidR="0002400E" w:rsidRPr="00C56699">
        <w:fldChar w:fldCharType="begin" w:fldLock="1"/>
      </w:r>
      <w:r w:rsidR="008004D4" w:rsidRPr="00C56699">
        <w:instrText>ADDIN CSL_CITATION {"citationItems":[{"id":"ITEM-1","itemData":{"DOI":"10.1097/IGC.0000000000001121","ISSN":"1048-891X","PMID":"28953135","abstract":"OBJECTIVE Translational endometrial cancer (EC) research benefits from an in vitro experimental approach using EC cell lines. We demonstrated the steps that are required to examine estrogen-induced proliferative response, a simple yet important research question pertinent to EC, and devised a pragmatic methodological workflow for using EC cell lines in experimental models. METHODS Comprehensive review of all commercially available EC cell lines was carried out, and Ishikawa cell line was selected to study the estrogen responsiveness with HEC1A, RL95-2, and MFE280 cell lines as comparators where appropriate, examining relevant differential molecular (steroid receptors) and functional (phenotype, anchorage-independent growth, hormone responsiveness, migration, invasion, and chemosensitivity) characteristics in 2-dimensional and 3-dimensional cultures in vitro using immunocytochemistry, immunofluorescence, quantitative polymerase chain reaction, and Western blotting. In vivo tumor, formation, and chemosensitivity were also assessed in a chick chorioallantoic membrane model. RESULTS Short tandem repeat analysis authenticated the purchased cell lines, whereas gifted cells deviated significantly from the published profile. We demonstrate the importance of prior assessment of the suitability of each cell line for the chosen in vitro experimental technique. Prior establishment of baseline, nonenriched conditions was required to induce a proliferative response to estrogen. The chorioallantoic membrane model was a suitable in vivo multicellular animal model for EC for producing rapid and reproducible data. CONCLUSIONS We have developed a methodological guide for EC researchers when using endometrial cell lines to answer important translational research questions (exemplified by estrogen-responsive cell proliferation) to facilitate robust data, while saving time and resources.","author":[{"dropping-particle":"","family":"Parkes","given":"Christina","non-dropping-particle":"","parse-names":false,"suffix":""},{"dropping-particle":"","family":"Kamal","given":"Areege","non-dropping-particle":"","parse-names":false,"suffix":""},{"dropping-particle":"","family":"Valentijn","given":"Anthony J.","non-dropping-particle":"","parse-names":false,"suffix":""},{"dropping-particle":"","family":"Alnafakh","given":"Rafah","non-dropping-particle":"","parse-names":false,"suffix":""},{"dropping-particle":"","family":"Gross","given":"Stephane R.","non-dropping-particle":"","parse-names":false,"suffix":""},{"dropping-particle":"","family":"Barraclough","given":"Roger","non-dropping-particle":"","parse-names":false,"suffix":""},{"dropping-particle":"","family":"Moss","given":"Diana","non-dropping-particle":"","parse-names":false,"suffix":""},{"dropping-particle":"","family":"Kirwan","given":"John","non-dropping-particle":"","parse-names":false,"suffix":""},{"dropping-particle":"","family":"Hapangama","given":"Dharani K.","non-dropping-particle":"","parse-names":false,"suffix":""}],"container-title":"International Journal of Gynecological Cancer","id":"ITEM-1","issued":{"date-parts":[["2017","10","3"]]},"page":"1","title":"Assessing Estrogen-Induced Proliferative Response in an Endometrial Cancer Cell Line Using a Universally Applicable Methodological Guide","type":"article-journal"},"uris":["http://www.mendeley.com/documents/?uuid=c692bbd5-9c6b-3dd8-b8f5-68ad6bec6e7a"]}],"mendeley":{"formattedCitation":"[24]","plainTextFormattedCitation":"[24]","previouslyFormattedCitation":"[24]"},"properties":{"noteIndex":0},"schema":"https://github.com/citation-style-language/schema/raw/master/csl-citation.json"}</w:instrText>
      </w:r>
      <w:r w:rsidR="0002400E" w:rsidRPr="00C56699">
        <w:fldChar w:fldCharType="separate"/>
      </w:r>
      <w:r w:rsidR="00411DA0" w:rsidRPr="00C56699">
        <w:rPr>
          <w:noProof/>
        </w:rPr>
        <w:t>[24]</w:t>
      </w:r>
      <w:r w:rsidR="0002400E" w:rsidRPr="00C56699">
        <w:fldChar w:fldCharType="end"/>
      </w:r>
      <w:r w:rsidR="00154035" w:rsidRPr="00C56699">
        <w:t xml:space="preserve"> and </w:t>
      </w:r>
      <w:r w:rsidR="00154035" w:rsidRPr="00C56699">
        <w:rPr>
          <w:i/>
        </w:rPr>
        <w:t>AGR2</w:t>
      </w:r>
      <w:r w:rsidR="00154035" w:rsidRPr="00C56699">
        <w:t xml:space="preserve"> </w:t>
      </w:r>
      <w:r w:rsidR="00E5280B" w:rsidRPr="00C56699">
        <w:t>expression</w:t>
      </w:r>
      <w:r w:rsidR="009E246C" w:rsidRPr="00C56699">
        <w:t xml:space="preserve"> (Figure </w:t>
      </w:r>
      <w:r w:rsidR="00AB5AB4" w:rsidRPr="00C56699">
        <w:t>6A</w:t>
      </w:r>
      <w:r w:rsidR="009E246C" w:rsidRPr="00C56699">
        <w:t>).</w:t>
      </w:r>
      <w:r w:rsidR="00154035" w:rsidRPr="00C56699">
        <w:t xml:space="preserve"> </w:t>
      </w:r>
      <w:r w:rsidR="009D2649" w:rsidRPr="00C56699">
        <w:t xml:space="preserve">All </w:t>
      </w:r>
      <w:r w:rsidR="002944B2" w:rsidRPr="00C56699">
        <w:t>f</w:t>
      </w:r>
      <w:r w:rsidR="00A736EF" w:rsidRPr="00C56699">
        <w:t xml:space="preserve">our </w:t>
      </w:r>
      <w:r w:rsidR="00D91FA2" w:rsidRPr="00C56699">
        <w:t>EC</w:t>
      </w:r>
      <w:r w:rsidR="00C93561" w:rsidRPr="00C56699">
        <w:t xml:space="preserve"> cell lines</w:t>
      </w:r>
      <w:r w:rsidR="009040ED" w:rsidRPr="00C56699">
        <w:t xml:space="preserve"> </w:t>
      </w:r>
      <w:r w:rsidR="002944B2" w:rsidRPr="00C56699">
        <w:t xml:space="preserve">expressed </w:t>
      </w:r>
      <w:r w:rsidR="000E2BF9" w:rsidRPr="00C56699">
        <w:rPr>
          <w:i/>
          <w:iCs/>
        </w:rPr>
        <w:t>AGR2</w:t>
      </w:r>
      <w:r w:rsidR="00C93561" w:rsidRPr="00C56699">
        <w:t xml:space="preserve"> </w:t>
      </w:r>
      <w:r w:rsidR="00327EC7" w:rsidRPr="00C56699">
        <w:t>mRNA</w:t>
      </w:r>
      <w:r w:rsidR="002944B2" w:rsidRPr="00C56699">
        <w:t xml:space="preserve"> </w:t>
      </w:r>
      <w:r w:rsidR="00510219" w:rsidRPr="00C56699">
        <w:t xml:space="preserve">(Figure </w:t>
      </w:r>
      <w:r w:rsidR="00AB5AB4" w:rsidRPr="00C56699">
        <w:t>6A</w:t>
      </w:r>
      <w:r w:rsidR="009E246C" w:rsidRPr="00C56699">
        <w:t>)</w:t>
      </w:r>
      <w:r w:rsidR="00327EC7" w:rsidRPr="00C56699">
        <w:t>.</w:t>
      </w:r>
      <w:r w:rsidR="009E246C" w:rsidRPr="00C56699">
        <w:t xml:space="preserve"> </w:t>
      </w:r>
      <w:r w:rsidR="00327EC7" w:rsidRPr="00C56699">
        <w:t>All 4 steroid receptors were expressed o</w:t>
      </w:r>
      <w:r w:rsidR="009D2649" w:rsidRPr="00C56699">
        <w:t>nly</w:t>
      </w:r>
      <w:r w:rsidR="009040ED" w:rsidRPr="00C56699">
        <w:t xml:space="preserve"> </w:t>
      </w:r>
      <w:r w:rsidR="00327EC7" w:rsidRPr="00C56699">
        <w:t xml:space="preserve">in </w:t>
      </w:r>
      <w:r w:rsidR="00A512F5" w:rsidRPr="00C56699">
        <w:t>ISK</w:t>
      </w:r>
      <w:r w:rsidR="00EE190F" w:rsidRPr="00C56699">
        <w:t xml:space="preserve"> cells</w:t>
      </w:r>
      <w:r w:rsidR="00A512F5" w:rsidRPr="00C56699">
        <w:t xml:space="preserve"> </w:t>
      </w:r>
      <w:r w:rsidR="00E36CEE" w:rsidRPr="00C56699">
        <w:t xml:space="preserve">that </w:t>
      </w:r>
      <w:r w:rsidRPr="00C56699">
        <w:rPr>
          <w:lang w:val="en-GB"/>
        </w:rPr>
        <w:t>was established from a well-differentiated grade</w:t>
      </w:r>
      <w:r w:rsidR="00327EC7" w:rsidRPr="00C56699">
        <w:rPr>
          <w:lang w:val="en-GB"/>
        </w:rPr>
        <w:t>-</w:t>
      </w:r>
      <w:r w:rsidRPr="00C56699">
        <w:rPr>
          <w:lang w:val="en-GB"/>
        </w:rPr>
        <w:t xml:space="preserve">1 human endometrial adenocarcinoma </w:t>
      </w:r>
      <w:r w:rsidR="00E87175" w:rsidRPr="00C56699">
        <w:rPr>
          <w:lang w:val="en-GB"/>
        </w:rPr>
        <w:fldChar w:fldCharType="begin" w:fldLock="1"/>
      </w:r>
      <w:r w:rsidR="00E87175" w:rsidRPr="00C56699">
        <w:rPr>
          <w:lang w:val="en-GB"/>
        </w:rPr>
        <w:instrText>ADDIN CSL_CITATION {"citationItems":[{"id":"ITEM-1","itemData":{"author":[{"dropping-particle":"","family":"M.","given":"Iwasaki Nishida M. Kasahara K. Kaneko","non-dropping-particle":"","parse-names":false,"suffix":""}],"container-title":"Actu Obst. Gynuec. Jpn","id":"ITEM-1","issued":{"date-parts":[["1985"]]},"page":"1103-1111","title":"Establishment of a new human endometrial adenocarcinoma cell line, Ishikawa cells, containing estrogen and progesterone receptors","type":"article-journal","volume":"37"},"uris":["http://www.mendeley.com/documents/?uuid=302d5ed4-50ea-4fe1-9352-dafabfac8f62"]}],"mendeley":{"formattedCitation":"[25]","plainTextFormattedCitation":"[25]","previouslyFormattedCitation":"[25]"},"properties":{"noteIndex":0},"schema":"https://github.com/citation-style-language/schema/raw/master/csl-citation.json"}</w:instrText>
      </w:r>
      <w:r w:rsidR="00E87175" w:rsidRPr="00C56699">
        <w:rPr>
          <w:lang w:val="en-GB"/>
        </w:rPr>
        <w:fldChar w:fldCharType="separate"/>
      </w:r>
      <w:r w:rsidR="00E87175" w:rsidRPr="00C56699">
        <w:rPr>
          <w:noProof/>
          <w:lang w:val="en-GB"/>
        </w:rPr>
        <w:t>[25]</w:t>
      </w:r>
      <w:r w:rsidR="00E87175" w:rsidRPr="00C56699">
        <w:rPr>
          <w:lang w:val="en-GB"/>
        </w:rPr>
        <w:fldChar w:fldCharType="end"/>
      </w:r>
      <w:r w:rsidRPr="00C56699">
        <w:rPr>
          <w:lang w:val="en-GB"/>
        </w:rPr>
        <w:t xml:space="preserve"> representing LGEC in our cohort, </w:t>
      </w:r>
      <w:r w:rsidRPr="00C56699">
        <w:t>t</w:t>
      </w:r>
      <w:r w:rsidR="009040ED" w:rsidRPr="00C56699">
        <w:t>herefore</w:t>
      </w:r>
      <w:r w:rsidR="009E246C" w:rsidRPr="00C56699">
        <w:t>,</w:t>
      </w:r>
      <w:r w:rsidR="00006DBD" w:rsidRPr="00C56699">
        <w:t xml:space="preserve"> </w:t>
      </w:r>
      <w:r w:rsidR="00E36CEE" w:rsidRPr="00C56699">
        <w:t xml:space="preserve">was chosen to ascertain the effect of estrogen and androgen </w:t>
      </w:r>
      <w:r w:rsidR="00327EC7" w:rsidRPr="00C56699">
        <w:t>on</w:t>
      </w:r>
      <w:r w:rsidR="00A512F5" w:rsidRPr="00C56699">
        <w:t xml:space="preserve"> </w:t>
      </w:r>
      <w:r w:rsidR="002944B2" w:rsidRPr="00C56699">
        <w:t xml:space="preserve">the </w:t>
      </w:r>
      <w:r w:rsidR="00A512F5" w:rsidRPr="00C56699">
        <w:rPr>
          <w:i/>
        </w:rPr>
        <w:t>AGR2</w:t>
      </w:r>
      <w:r w:rsidR="00A512F5" w:rsidRPr="00C56699">
        <w:t xml:space="preserve"> transcript</w:t>
      </w:r>
      <w:r w:rsidR="00327EC7" w:rsidRPr="00C56699">
        <w:t>ion</w:t>
      </w:r>
      <w:r w:rsidR="00BC278A" w:rsidRPr="00C56699">
        <w:t>.</w:t>
      </w:r>
      <w:r w:rsidR="009E246C" w:rsidRPr="00C56699">
        <w:t xml:space="preserve"> </w:t>
      </w:r>
      <w:r w:rsidR="002944B2" w:rsidRPr="00C56699">
        <w:t xml:space="preserve"> </w:t>
      </w:r>
      <w:r w:rsidR="00BC278A" w:rsidRPr="00C56699">
        <w:t>There w</w:t>
      </w:r>
      <w:r w:rsidR="0040570A" w:rsidRPr="00C56699">
        <w:t>ere</w:t>
      </w:r>
      <w:r w:rsidR="00BC278A" w:rsidRPr="00C56699">
        <w:t xml:space="preserve"> no significant </w:t>
      </w:r>
      <w:r w:rsidR="00327EC7" w:rsidRPr="00C56699">
        <w:t>changes detected</w:t>
      </w:r>
      <w:r w:rsidR="00BC278A" w:rsidRPr="00C56699">
        <w:t xml:space="preserve"> in the </w:t>
      </w:r>
      <w:r w:rsidR="00154035" w:rsidRPr="00C56699">
        <w:rPr>
          <w:i/>
        </w:rPr>
        <w:t>AGR2</w:t>
      </w:r>
      <w:r w:rsidR="00154035" w:rsidRPr="00C56699">
        <w:t xml:space="preserve"> </w:t>
      </w:r>
      <w:r w:rsidR="00BC278A" w:rsidRPr="00C56699">
        <w:t>mRNA level</w:t>
      </w:r>
      <w:r w:rsidR="0040570A" w:rsidRPr="00C56699">
        <w:t>s</w:t>
      </w:r>
      <w:r w:rsidR="00BC278A" w:rsidRPr="00C56699">
        <w:t xml:space="preserve"> after E2 or DHT treatment</w:t>
      </w:r>
      <w:r w:rsidR="00404695" w:rsidRPr="00C56699">
        <w:t xml:space="preserve"> in monocultures of ISK cells</w:t>
      </w:r>
      <w:r w:rsidR="009636E4" w:rsidRPr="00C56699">
        <w:t xml:space="preserve"> (Fig</w:t>
      </w:r>
      <w:r w:rsidR="006103E9" w:rsidRPr="00C56699">
        <w:t>ure</w:t>
      </w:r>
      <w:r w:rsidR="009636E4" w:rsidRPr="00C56699">
        <w:t xml:space="preserve"> </w:t>
      </w:r>
      <w:r w:rsidR="00AB5AB4" w:rsidRPr="00C56699">
        <w:t>6B</w:t>
      </w:r>
      <w:r w:rsidR="00154035" w:rsidRPr="00C56699">
        <w:t>)</w:t>
      </w:r>
      <w:r w:rsidR="00BC278A" w:rsidRPr="00C56699">
        <w:t xml:space="preserve">. </w:t>
      </w:r>
      <w:r w:rsidR="00327EC7" w:rsidRPr="00C56699">
        <w:t>However, w</w:t>
      </w:r>
      <w:r w:rsidR="00404695" w:rsidRPr="00C56699">
        <w:t>hen the</w:t>
      </w:r>
      <w:r w:rsidR="00327EC7" w:rsidRPr="00C56699">
        <w:t>y</w:t>
      </w:r>
      <w:r w:rsidR="00404695" w:rsidRPr="00C56699">
        <w:t xml:space="preserve"> were cultured with </w:t>
      </w:r>
      <w:proofErr w:type="spellStart"/>
      <w:r w:rsidR="00404695" w:rsidRPr="00C56699">
        <w:t>hESC</w:t>
      </w:r>
      <w:proofErr w:type="spellEnd"/>
      <w:r w:rsidR="00404695" w:rsidRPr="00C56699">
        <w:t xml:space="preserve"> (co-culture system), t</w:t>
      </w:r>
      <w:r w:rsidR="00AD2B8F" w:rsidRPr="00C56699">
        <w:t xml:space="preserve">he </w:t>
      </w:r>
      <w:r w:rsidR="00327EC7" w:rsidRPr="00C56699">
        <w:t xml:space="preserve">DHT treatment significantly reduced </w:t>
      </w:r>
      <w:r w:rsidR="00327EC7" w:rsidRPr="00C56699">
        <w:rPr>
          <w:i/>
        </w:rPr>
        <w:t>AGR2</w:t>
      </w:r>
      <w:r w:rsidR="00327EC7" w:rsidRPr="00C56699">
        <w:t xml:space="preserve"> mRNA (P&lt; 0.031),</w:t>
      </w:r>
      <w:r w:rsidR="00E36225" w:rsidRPr="00C56699">
        <w:t xml:space="preserve"> </w:t>
      </w:r>
      <w:r w:rsidR="00327EC7" w:rsidRPr="00C56699">
        <w:t>while it</w:t>
      </w:r>
      <w:r w:rsidR="00404695" w:rsidRPr="00C56699">
        <w:t xml:space="preserve"> </w:t>
      </w:r>
      <w:r w:rsidR="00E36CEE" w:rsidRPr="00C56699">
        <w:t>was not altered by</w:t>
      </w:r>
      <w:r w:rsidR="00AD2B8F" w:rsidRPr="00C56699">
        <w:t xml:space="preserve"> E2</w:t>
      </w:r>
      <w:r w:rsidR="00327EC7" w:rsidRPr="00C56699">
        <w:t xml:space="preserve"> (</w:t>
      </w:r>
      <w:r w:rsidR="00E21ADD" w:rsidRPr="00C56699">
        <w:t xml:space="preserve">Figure </w:t>
      </w:r>
      <w:r w:rsidR="00AB5AB4" w:rsidRPr="00C56699">
        <w:t>6C</w:t>
      </w:r>
      <w:r w:rsidR="00E21ADD" w:rsidRPr="00C56699">
        <w:t>)</w:t>
      </w:r>
      <w:r w:rsidR="00AD2B8F" w:rsidRPr="00C56699">
        <w:t>.</w:t>
      </w:r>
      <w:r w:rsidR="009E246C" w:rsidRPr="00C56699">
        <w:t xml:space="preserve"> Maximum reduction of </w:t>
      </w:r>
      <w:r w:rsidR="009E246C" w:rsidRPr="00C56699">
        <w:rPr>
          <w:i/>
        </w:rPr>
        <w:t>AGR2</w:t>
      </w:r>
      <w:r w:rsidR="009E246C" w:rsidRPr="00C56699">
        <w:t xml:space="preserve"> mRNA was seen after 24h of DHT</w:t>
      </w:r>
      <w:r w:rsidR="00327EC7" w:rsidRPr="00C56699">
        <w:t>-treatment but</w:t>
      </w:r>
      <w:r w:rsidR="0040570A" w:rsidRPr="00C56699">
        <w:t xml:space="preserve"> </w:t>
      </w:r>
      <w:r w:rsidR="0040570A" w:rsidRPr="00C56699">
        <w:lastRenderedPageBreak/>
        <w:t>th</w:t>
      </w:r>
      <w:r w:rsidR="00327EC7" w:rsidRPr="00C56699">
        <w:t>e</w:t>
      </w:r>
      <w:r w:rsidR="0040570A" w:rsidRPr="00C56699">
        <w:t xml:space="preserve"> level</w:t>
      </w:r>
      <w:r w:rsidR="00327EC7" w:rsidRPr="00C56699">
        <w:t>s</w:t>
      </w:r>
      <w:r w:rsidR="0040570A" w:rsidRPr="00C56699">
        <w:t xml:space="preserve"> </w:t>
      </w:r>
      <w:r w:rsidR="009E246C" w:rsidRPr="00C56699">
        <w:t>subsequently return</w:t>
      </w:r>
      <w:r w:rsidR="00327EC7" w:rsidRPr="00C56699">
        <w:t>ed</w:t>
      </w:r>
      <w:r w:rsidR="009E246C" w:rsidRPr="00C56699">
        <w:t xml:space="preserve"> to </w:t>
      </w:r>
      <w:r w:rsidR="00E36CEE" w:rsidRPr="00C56699">
        <w:t xml:space="preserve">the </w:t>
      </w:r>
      <w:r w:rsidR="009E246C" w:rsidRPr="00C56699">
        <w:t>base line by 72h (Supplementary Figure</w:t>
      </w:r>
      <w:r w:rsidR="00DB45F0" w:rsidRPr="00C56699">
        <w:t xml:space="preserve"> </w:t>
      </w:r>
      <w:r w:rsidR="00AB5AB4" w:rsidRPr="00C56699">
        <w:t>1B</w:t>
      </w:r>
      <w:r w:rsidR="009E246C" w:rsidRPr="00C56699">
        <w:t>).</w:t>
      </w:r>
      <w:r w:rsidR="00874F7D" w:rsidRPr="00C56699">
        <w:t xml:space="preserve"> </w:t>
      </w:r>
      <w:r w:rsidR="00FD61F0" w:rsidRPr="00C56699">
        <w:t xml:space="preserve">This </w:t>
      </w:r>
      <w:r w:rsidR="00327EC7" w:rsidRPr="00C56699">
        <w:t>DHT-</w:t>
      </w:r>
      <w:r w:rsidR="00E36CEE" w:rsidRPr="00C56699">
        <w:t xml:space="preserve">effect </w:t>
      </w:r>
      <w:r w:rsidR="00404695" w:rsidRPr="00C56699">
        <w:t xml:space="preserve">in the co-culture system </w:t>
      </w:r>
      <w:r w:rsidR="00FD61F0" w:rsidRPr="00C56699">
        <w:t>was partially reversed by AR antagonist</w:t>
      </w:r>
      <w:r w:rsidR="009E246C" w:rsidRPr="00C56699">
        <w:t xml:space="preserve"> </w:t>
      </w:r>
      <w:r w:rsidR="00327EC7" w:rsidRPr="00C56699">
        <w:t>(</w:t>
      </w:r>
      <w:r w:rsidR="009E246C" w:rsidRPr="00C56699">
        <w:t xml:space="preserve">Figure </w:t>
      </w:r>
      <w:r w:rsidR="00AB5AB4" w:rsidRPr="00C56699">
        <w:t>6D</w:t>
      </w:r>
      <w:r w:rsidR="00327EC7" w:rsidRPr="00C56699">
        <w:t>)</w:t>
      </w:r>
      <w:r w:rsidR="00FD61F0" w:rsidRPr="00C56699">
        <w:t>.</w:t>
      </w:r>
    </w:p>
    <w:p w14:paraId="244571F1" w14:textId="166C99F1" w:rsidR="00444260" w:rsidRPr="00C56699" w:rsidRDefault="00444260" w:rsidP="00411DA0">
      <w:pPr>
        <w:pStyle w:val="Heading1"/>
      </w:pPr>
      <w:r w:rsidRPr="00C56699">
        <w:t>Discussion</w:t>
      </w:r>
    </w:p>
    <w:p w14:paraId="1EFEE9EF" w14:textId="502F3548" w:rsidR="004C028A" w:rsidRPr="00C56699" w:rsidRDefault="00870F9B" w:rsidP="00814B63">
      <w:r w:rsidRPr="00C56699">
        <w:t>We describe for the first time</w:t>
      </w:r>
      <w:r w:rsidR="00E36CEE" w:rsidRPr="00C56699">
        <w:t>,</w:t>
      </w:r>
      <w:r w:rsidRPr="00C56699">
        <w:t xml:space="preserve"> </w:t>
      </w:r>
      <w:r w:rsidR="008659C9" w:rsidRPr="00C56699">
        <w:t xml:space="preserve">the </w:t>
      </w:r>
      <w:r w:rsidRPr="00C56699">
        <w:t>expression of AGR2</w:t>
      </w:r>
      <w:r w:rsidR="00382A3D" w:rsidRPr="00C56699">
        <w:t>, as assessed by IHC,</w:t>
      </w:r>
      <w:r w:rsidRPr="00C56699">
        <w:t xml:space="preserve"> in </w:t>
      </w:r>
      <w:r w:rsidR="00E36CEE" w:rsidRPr="00C56699">
        <w:t>EC</w:t>
      </w:r>
      <w:r w:rsidR="008659C9" w:rsidRPr="00C56699">
        <w:t xml:space="preserve"> subtypes and the </w:t>
      </w:r>
      <w:r w:rsidR="005C78E6" w:rsidRPr="00C56699">
        <w:t xml:space="preserve">modulatory </w:t>
      </w:r>
      <w:r w:rsidR="008659C9" w:rsidRPr="00C56699">
        <w:t>effect of steroid hormone</w:t>
      </w:r>
      <w:r w:rsidR="00187AED" w:rsidRPr="00C56699">
        <w:t>s</w:t>
      </w:r>
      <w:r w:rsidR="008659C9" w:rsidRPr="00C56699">
        <w:t xml:space="preserve"> on </w:t>
      </w:r>
      <w:r w:rsidR="00B50F4A" w:rsidRPr="00C56699">
        <w:t xml:space="preserve">the transcript for </w:t>
      </w:r>
      <w:r w:rsidR="008659C9" w:rsidRPr="00C56699">
        <w:rPr>
          <w:i/>
          <w:iCs/>
        </w:rPr>
        <w:t>AGR</w:t>
      </w:r>
      <w:r w:rsidR="00F846C9" w:rsidRPr="00C56699">
        <w:rPr>
          <w:i/>
          <w:iCs/>
        </w:rPr>
        <w:t>2</w:t>
      </w:r>
      <w:r w:rsidR="00EB6875" w:rsidRPr="00C56699">
        <w:t>, data supported by the TCGA</w:t>
      </w:r>
      <w:r w:rsidR="00C3551D" w:rsidRPr="00C56699">
        <w:t>.</w:t>
      </w:r>
    </w:p>
    <w:p w14:paraId="2A4EEA05" w14:textId="3A876D66" w:rsidR="00745820" w:rsidRPr="00C56699" w:rsidRDefault="00745820" w:rsidP="00E87175">
      <w:r w:rsidRPr="00C56699">
        <w:t>Immunofluorescence and immunohistoc</w:t>
      </w:r>
      <w:r w:rsidR="00FC1132" w:rsidRPr="00C56699">
        <w:t>hemistry staining of Ishikawa</w:t>
      </w:r>
      <w:r w:rsidRPr="00C56699">
        <w:t xml:space="preserve"> cells and endometrium show an intracellular staining pattern for AGR2</w:t>
      </w:r>
      <w:r w:rsidR="00DE4FDB" w:rsidRPr="00C56699">
        <w:t xml:space="preserve"> that is in part consistent with </w:t>
      </w:r>
      <w:r w:rsidR="00E36CEE" w:rsidRPr="00C56699">
        <w:t>localization to the</w:t>
      </w:r>
      <w:r w:rsidR="00DE4FDB" w:rsidRPr="00C56699">
        <w:t xml:space="preserve"> </w:t>
      </w:r>
      <w:r w:rsidR="00E36CEE" w:rsidRPr="00C56699">
        <w:t>endoplasmic reticulum</w:t>
      </w:r>
      <w:r w:rsidRPr="00C56699">
        <w:t>. AGR2 has a KTEL motif in its C-terminal domain that directs it</w:t>
      </w:r>
      <w:r w:rsidR="00E36CEE" w:rsidRPr="00C56699">
        <w:t xml:space="preserve"> to the endoplasmic reticulum</w:t>
      </w:r>
      <w:r w:rsidRPr="00C56699">
        <w:t xml:space="preserve"> through binding to one of three KDEL receptors</w:t>
      </w:r>
      <w:r w:rsidR="00AF3B1D" w:rsidRPr="00C56699">
        <w:t xml:space="preserve"> </w:t>
      </w:r>
      <w:r w:rsidR="00AF3B1D" w:rsidRPr="00C56699">
        <w:fldChar w:fldCharType="begin" w:fldLock="1"/>
      </w:r>
      <w:r w:rsidR="00E87175" w:rsidRPr="00C56699">
        <w:instrText>ADDIN CSL_CITATION {"citationItems":[{"id":"ITEM-1","itemData":{"DOI":"10.1016/j.jmb.2011.03.070","ISSN":"1089-8638","PMID":"21477593","abstract":"The C-terminal amino acid sequence of a protein plays an important role in determining the endoplasmic reticulum (ER) localization of many soluble proteins that enter the secretory pathway. While it is known that the four amino acids found at the extreme C-terminus of the protein (e.g., KDEL) play a critical role in the interaction with the receptors that mediate retrograde transport back to the ER, other factors within the protein are less well known. Here we show that positions -5 and -6 play an important role in determining the ER localization of soluble proteins, with the amino acids at these positions playing an essential role in ER localization of the human protein disulfide isomerase family member, ERp18. Three other naturally occurring C-terminal motifs were also found that work efficiently in ER localization as six-amino-acid variants, but inefficiently as the four-amino-acid variant. Using bimolecular fluorescence complementation, we demonstrate that positions -5 and -6 from the C-terminus of the protein play an important role in the recognition of KDEL-like ER retrieval motifs, with the three different human KDEL receptors showing different specificities for changes at these positions for both inefficient and efficient ER localization four-amino-acid motifs.","author":[{"dropping-particle":"","family":"Alanen","given":"Heli I","non-dropping-particle":"","parse-names":false,"suffix":""},{"dropping-particle":"","family":"Raykhel","given":"Irina B","non-dropping-particle":"","parse-names":false,"suffix":""},{"dropping-particle":"","family":"Luukas","given":"Marja J","non-dropping-particle":"","parse-names":false,"suffix":""},{"dropping-particle":"","family":"Salo","given":"Kirsi E H","non-dropping-particle":"","parse-names":false,"suffix":""},{"dropping-particle":"","family":"Ruddock","given":"Lloyd W","non-dropping-particle":"","parse-names":false,"suffix":""}],"container-title":"Journal of molecular biology","id":"ITEM-1","issue":"3","issued":{"date-parts":[["2011","6","10"]]},"page":"291-7","title":"Beyond KDEL: the role of positions 5 and 6 in determining ER localization.","type":"article-journal","volume":"409"},"uris":["http://www.mendeley.com/documents/?uuid=b6968dc0-9736-3a73-81e1-ced9540657c1"]},{"id":"ITEM-2","itemData":{"DOI":"10.1074/jbc.M111.301531","ISSN":"1083-351X","PMID":"22184114","abstract":"Soluble proteins are enriched in the endoplasmic reticulum (ER) by retrograde transport from the Golgi that is mediated by the KDEL receptors. In addition to the classic carboxyl-terminal KDEL motif, a variety of sequence variants are also capable of receptor binding that result in ER localization. Although different ER localization signals that exhibit varying affinities for the KDEL receptors exist, whether there are functional implications was unknown. The present study determines whether AGR2 requires a specific ER localization signal to be functionally active. AGR2 is expressed in most human adenocarcinomas and serves a role in promoting growth and the transformed phenotype. Using two different cell lines in which AGR2 induces expression of either the EGFR ligand amphiregulin or the transcription factor CDX2, only the highly conserved wild-type carboxyl-terminal KTEL motif results in the appropriate outcome. Deletion of the KTEL motif results in AGR2 secretion and loss of AGR2 function. AGR2 function is also lost when ER residence is achieved with a carboxyl-terminal KDEL or KSEL instead of a KTEL motif. Thus variations in ER localization sequences may serve a specific functional role, and in the case of AGR2, this role is served specifically by KTEL.","author":[{"dropping-particle":"","family":"Gupta","given":"Aparna","non-dropping-particle":"","parse-names":false,"suffix":""},{"dropping-particle":"","family":"Dong","given":"Aiwen","non-dropping-particle":"","parse-names":false,"suffix":""},{"dropping-particle":"","family":"Lowe","given":"Anson W","non-dropping-particle":"","parse-names":false,"suffix":""}],"container-title":"The Journal of biological chemistry","id":"ITEM-2","issue":"7","issued":{"date-parts":[["2012","2","10"]]},"page":"4773-82","publisher":"American Society for Biochemistry and Molecular Biology","title":"AGR2 gene function requires a unique endoplasmic reticulum localization motif.","type":"article-journal","volume":"287"},"uris":["http://www.mendeley.com/documents/?uuid=fc06bca6-659b-39dc-b8bb-1f9c5d1143e0"]}],"mendeley":{"formattedCitation":"[26,27]","plainTextFormattedCitation":"[26,27]","previouslyFormattedCitation":"[26,27]"},"properties":{"noteIndex":0},"schema":"https://github.com/citation-style-language/schema/raw/master/csl-citation.json"}</w:instrText>
      </w:r>
      <w:r w:rsidR="00AF3B1D" w:rsidRPr="00C56699">
        <w:fldChar w:fldCharType="separate"/>
      </w:r>
      <w:r w:rsidR="00E87175" w:rsidRPr="00C56699">
        <w:rPr>
          <w:noProof/>
        </w:rPr>
        <w:t>[26,27]</w:t>
      </w:r>
      <w:r w:rsidR="00AF3B1D" w:rsidRPr="00C56699">
        <w:fldChar w:fldCharType="end"/>
      </w:r>
      <w:r w:rsidRPr="00C56699">
        <w:t xml:space="preserve">. </w:t>
      </w:r>
      <w:r w:rsidR="00F24E0C" w:rsidRPr="00C56699">
        <w:t>D</w:t>
      </w:r>
      <w:r w:rsidRPr="00C56699">
        <w:t>ifferent affinities for the KDEL receptors may impact on the subcellular localization of AGR2</w:t>
      </w:r>
      <w:r w:rsidR="008004D4" w:rsidRPr="00C56699">
        <w:t xml:space="preserve"> </w:t>
      </w:r>
      <w:r w:rsidR="008004D4" w:rsidRPr="00C56699">
        <w:fldChar w:fldCharType="begin" w:fldLock="1"/>
      </w:r>
      <w:r w:rsidR="00E87175" w:rsidRPr="00C56699">
        <w:instrText>ADDIN CSL_CITATION {"citationItems":[{"id":"ITEM-1","itemData":{"DOI":"10.1083/jcb.200705180","ISSN":"0021-9525","PMID":"18086916","abstract":"AC-terminal KDEL-like motif prevents secretion of soluble endoplasmic reticulum (ER)-resident proteins. This motif interacts with KDEL receptors localized in the intermediate compartment and Golgi apparatus. Such binding triggers retrieval back to the ER via a coat protein I-dependent pathway. To date, two human KDEL receptors have been reported. Here, we report the Golgi localization of a third human KDEL receptor. Using a reporter construct system from a screen of 152 variants, we identified 35 KDEL-like variants that result in efficient ER localization but do not match the current Prosite motif for ER localization ([KRHQSA]-[DENQ]-E-L). We cloned 16 human proteins with one of these motifs and all were found in the ER. A subsequent screen by bimolecular fluorescence complementation determined the specificities of the three human KDEL receptors. Each KDEL receptor has a unique pattern of motifs with which it interacts. This suggests a specificity in the retrieval of human proteins that contain different KDEL variants.","author":[{"dropping-particle":"","family":"Raykhel","given":"Irina","non-dropping-particle":"","parse-names":false,"suffix":""},{"dropping-particle":"","family":"Alanen","given":"Heli","non-dropping-particle":"","parse-names":false,"suffix":""},{"dropping-particle":"","family":"Salo","given":"Kirsi","non-dropping-particle":"","parse-names":false,"suffix":""},{"dropping-particle":"","family":"Jurvansuu","given":"Jaana","non-dropping-particle":"","parse-names":false,"suffix":""},{"dropping-particle":"","family":"Nguyen","given":"Van Dat","non-dropping-particle":"","parse-names":false,"suffix":""},{"dropping-particle":"","family":"Latva-Ranta","given":"Maria","non-dropping-particle":"","parse-names":false,"suffix":""},{"dropping-particle":"","family":"Ruddock","given":"Lloyd","non-dropping-particle":"","parse-names":false,"suffix":""}],"container-title":"The Journal of Cell Biology","id":"ITEM-1","issue":"6","issued":{"date-parts":[["2007","12","17"]]},"page":"1193-1204","title":"A molecular specificity code for the three mammalian KDEL receptors","type":"article-journal","volume":"179"},"uris":["http://www.mendeley.com/documents/?uuid=43abe16e-fc7b-3a59-90dd-346937dce336"]}],"mendeley":{"formattedCitation":"[28]","plainTextFormattedCitation":"[28]","previouslyFormattedCitation":"[28]"},"properties":{"noteIndex":0},"schema":"https://github.com/citation-style-language/schema/raw/master/csl-citation.json"}</w:instrText>
      </w:r>
      <w:r w:rsidR="008004D4" w:rsidRPr="00C56699">
        <w:fldChar w:fldCharType="separate"/>
      </w:r>
      <w:r w:rsidR="00E87175" w:rsidRPr="00C56699">
        <w:rPr>
          <w:noProof/>
        </w:rPr>
        <w:t>[28]</w:t>
      </w:r>
      <w:r w:rsidR="008004D4" w:rsidRPr="00C56699">
        <w:fldChar w:fldCharType="end"/>
      </w:r>
      <w:r w:rsidRPr="00C56699">
        <w:t xml:space="preserve">such that AGR2 could be found in the cytoplasm, the </w:t>
      </w:r>
      <w:r w:rsidR="00E36CEE" w:rsidRPr="00C56699">
        <w:t>endoplasmic reticulum</w:t>
      </w:r>
      <w:r w:rsidRPr="00C56699">
        <w:t xml:space="preserve"> and the extracellular environment</w:t>
      </w:r>
      <w:r w:rsidR="00AF3B1D" w:rsidRPr="00C56699">
        <w:t xml:space="preserve"> </w:t>
      </w:r>
      <w:r w:rsidR="00AF3B1D" w:rsidRPr="00C56699">
        <w:fldChar w:fldCharType="begin" w:fldLock="1"/>
      </w:r>
      <w:r w:rsidR="00E87175" w:rsidRPr="00C56699">
        <w:instrText>ADDIN CSL_CITATION {"citationItems":[{"id":"ITEM-1","itemData":{"DOI":"10.1016/j.jmb.2011.03.070","ISSN":"1089-8638","PMID":"21477593","abstract":"The C-terminal amino acid sequence of a protein plays an important role in determining the endoplasmic reticulum (ER) localization of many soluble proteins that enter the secretory pathway. While it is known that the four amino acids found at the extreme C-terminus of the protein (e.g., KDEL) play a critical role in the interaction with the receptors that mediate retrograde transport back to the ER, other factors within the protein are less well known. Here we show that positions -5 and -6 play an important role in determining the ER localization of soluble proteins, with the amino acids at these positions playing an essential role in ER localization of the human protein disulfide isomerase family member, ERp18. Three other naturally occurring C-terminal motifs were also found that work efficiently in ER localization as six-amino-acid variants, but inefficiently as the four-amino-acid variant. Using bimolecular fluorescence complementation, we demonstrate that positions -5 and -6 from the C-terminus of the protein play an important role in the recognition of KDEL-like ER retrieval motifs, with the three different human KDEL receptors showing different specificities for changes at these positions for both inefficient and efficient ER localization four-amino-acid motifs.","author":[{"dropping-particle":"","family":"Alanen","given":"Heli I","non-dropping-particle":"","parse-names":false,"suffix":""},{"dropping-particle":"","family":"Raykhel","given":"Irina B","non-dropping-particle":"","parse-names":false,"suffix":""},{"dropping-particle":"","family":"Luukas","given":"Marja J","non-dropping-particle":"","parse-names":false,"suffix":""},{"dropping-particle":"","family":"Salo","given":"Kirsi E H","non-dropping-particle":"","parse-names":false,"suffix":""},{"dropping-particle":"","family":"Ruddock","given":"Lloyd W","non-dropping-particle":"","parse-names":false,"suffix":""}],"container-title":"Journal of molecular biology","id":"ITEM-1","issue":"3","issued":{"date-parts":[["2011","6","10"]]},"page":"291-7","title":"Beyond KDEL: the role of positions 5 and 6 in determining ER localization.","type":"article-journal","volume":"409"},"uris":["http://www.mendeley.com/documents/?uuid=b6968dc0-9736-3a73-81e1-ced9540657c1"]}],"mendeley":{"formattedCitation":"[26]","plainTextFormattedCitation":"[26]","previouslyFormattedCitation":"[26]"},"properties":{"noteIndex":0},"schema":"https://github.com/citation-style-language/schema/raw/master/csl-citation.json"}</w:instrText>
      </w:r>
      <w:r w:rsidR="00AF3B1D" w:rsidRPr="00C56699">
        <w:fldChar w:fldCharType="separate"/>
      </w:r>
      <w:r w:rsidR="00E87175" w:rsidRPr="00C56699">
        <w:rPr>
          <w:noProof/>
        </w:rPr>
        <w:t>[26]</w:t>
      </w:r>
      <w:r w:rsidR="00AF3B1D" w:rsidRPr="00C56699">
        <w:fldChar w:fldCharType="end"/>
      </w:r>
      <w:r w:rsidRPr="00C56699">
        <w:t xml:space="preserve">. In support of this, </w:t>
      </w:r>
      <w:r w:rsidR="00964B83" w:rsidRPr="00C56699">
        <w:t>subcellular fractionation of Ishikawa cells</w:t>
      </w:r>
      <w:r w:rsidRPr="00C56699">
        <w:t xml:space="preserve"> </w:t>
      </w:r>
      <w:r w:rsidR="00964B83" w:rsidRPr="00C56699">
        <w:t xml:space="preserve">showed that </w:t>
      </w:r>
      <w:r w:rsidRPr="00C56699">
        <w:t xml:space="preserve">AGR2 was detectable in both the cytoplasmic </w:t>
      </w:r>
      <w:r w:rsidR="000000CA" w:rsidRPr="00C56699">
        <w:t>and</w:t>
      </w:r>
      <w:r w:rsidRPr="00C56699">
        <w:t xml:space="preserve"> membrane fraction.</w:t>
      </w:r>
      <w:r w:rsidR="00464BA2" w:rsidRPr="00C56699">
        <w:t xml:space="preserve"> However given </w:t>
      </w:r>
      <w:r w:rsidR="00F24E0C" w:rsidRPr="00C56699">
        <w:t xml:space="preserve">the </w:t>
      </w:r>
      <w:r w:rsidR="00464BA2" w:rsidRPr="00C56699">
        <w:t xml:space="preserve">low </w:t>
      </w:r>
      <w:r w:rsidR="00F24E0C" w:rsidRPr="00C56699">
        <w:t>affinity of KTEL for KDEL</w:t>
      </w:r>
      <w:r w:rsidR="00464BA2" w:rsidRPr="00C56699">
        <w:t xml:space="preserve"> receptors</w:t>
      </w:r>
      <w:r w:rsidR="00F24E0C" w:rsidRPr="00C56699">
        <w:t>, it is conceivable that the detergents used in the fractionation might have disrupted its association thereby</w:t>
      </w:r>
      <w:r w:rsidR="004810F8" w:rsidRPr="00C56699">
        <w:t xml:space="preserve"> promoting its exit from the </w:t>
      </w:r>
      <w:r w:rsidR="00AF3B1D" w:rsidRPr="00C56699">
        <w:t>endoplasmic reticulum</w:t>
      </w:r>
      <w:r w:rsidR="004810F8" w:rsidRPr="00C56699">
        <w:t xml:space="preserve"> and</w:t>
      </w:r>
      <w:r w:rsidR="00F24E0C" w:rsidRPr="00C56699">
        <w:t xml:space="preserve"> contributing to the cytoplasmic pool.</w:t>
      </w:r>
      <w:r w:rsidR="00CA6348" w:rsidRPr="00C56699">
        <w:t xml:space="preserve"> Available data and </w:t>
      </w:r>
      <w:r w:rsidR="00CA6348" w:rsidRPr="00C56699">
        <w:rPr>
          <w:i/>
        </w:rPr>
        <w:t>in silico</w:t>
      </w:r>
      <w:r w:rsidR="00CA6348" w:rsidRPr="00C56699">
        <w:t xml:space="preserve"> analyses </w:t>
      </w:r>
      <w:r w:rsidR="00CA6348" w:rsidRPr="00C56699">
        <w:rPr>
          <w:lang w:val="en-GB"/>
        </w:rPr>
        <w:t>demonstrated</w:t>
      </w:r>
      <w:r w:rsidR="00BB721E" w:rsidRPr="00C56699">
        <w:rPr>
          <w:lang w:val="en-GB"/>
        </w:rPr>
        <w:t xml:space="preserve"> </w:t>
      </w:r>
      <w:r w:rsidR="00BB721E" w:rsidRPr="00C56699">
        <w:rPr>
          <w:i/>
          <w:lang w:val="en-GB"/>
        </w:rPr>
        <w:t>AGR3</w:t>
      </w:r>
      <w:r w:rsidR="00CA6348" w:rsidRPr="00C56699">
        <w:rPr>
          <w:lang w:val="en-GB"/>
        </w:rPr>
        <w:t xml:space="preserve"> may co-express with </w:t>
      </w:r>
      <w:r w:rsidR="00CA6348" w:rsidRPr="00C56699">
        <w:rPr>
          <w:i/>
          <w:lang w:val="en-GB"/>
        </w:rPr>
        <w:t xml:space="preserve">AGR2 </w:t>
      </w:r>
      <w:r w:rsidR="00CA6348" w:rsidRPr="00C56699">
        <w:rPr>
          <w:lang w:val="en-GB"/>
        </w:rPr>
        <w:t xml:space="preserve">or uncoupled in both human healthy tissues and carcinomas in stomach, colon, pancreas, breast, female reproductive system, or respiratory system  in a tissue specific manner </w:t>
      </w:r>
      <w:r w:rsidR="00E87175" w:rsidRPr="00C56699">
        <w:rPr>
          <w:lang w:val="en-GB"/>
        </w:rPr>
        <w:fldChar w:fldCharType="begin" w:fldLock="1"/>
      </w:r>
      <w:r w:rsidR="00E87175" w:rsidRPr="00C56699">
        <w:rPr>
          <w:lang w:val="en-GB"/>
        </w:rPr>
        <w:instrText>ADDIN CSL_CITATION {"citationItems":[{"id":"ITEM-1","itemData":{"DOI":"10.1016/j.ejcb.2015.01.002","ISSN":"01719335","PMID":"25666661","abstract":"In the past decades, highly related members of the protein disulphide isomerase family, anterior gradient protein AGR2 and AGR3, attracted researchers' attention due to their putative involvement in developmental processes and carcinogenesis. While AGR2 has been widely demonstrated as a metastasis-related protein whose elevated expression predicts worse patient outcome, little is known about AGR3's role in tumour biology. Thus, we aim to confront the issue of AGR3 function in physiology and pathology in the following review by comparing this protein with the better-described homologue AGR2. Relying on available data and in silico analyses, we show that AGR proteins are co-expressed or uncoupled in context-dependent manners in diverse carcinomas and healthy tissues. Further, we discuss plausible roles of both proteins in tumour-associated processes such as differentiation, proliferation, migration, invasion and metastasis. This work brings new hints and stimulates further thoughts on hitherto unresolved conundrum of anterior gradient protein function.","author":[{"dropping-particle":"","family":"Obacz","given":"Joanna","non-dropping-particle":"","parse-names":false,"suffix":""},{"dropping-particle":"","family":"Takacova","given":"Martina","non-dropping-particle":"","parse-names":false,"suffix":""},{"dropping-particle":"","family":"Brychtova","given":"Veronika","non-dropping-particle":"","parse-names":false,"suffix":""},{"dropping-particle":"","family":"Dobes","given":"Petr","non-dropping-particle":"","parse-names":false,"suffix":""},{"dropping-particle":"","family":"Pastorekova","given":"Silvia","non-dropping-particle":"","parse-names":false,"suffix":""},{"dropping-particle":"","family":"Vojtesek","given":"Borivoj","non-dropping-particle":"","parse-names":false,"suffix":""},{"dropping-particle":"","family":"Hrstka","given":"Roman","non-dropping-particle":"","parse-names":false,"suffix":""}],"container-title":"European Journal of Cell Biology","id":"ITEM-1","issue":"3-4","issued":{"date-parts":[["2015","3"]]},"page":"139-147","title":"The role of AGR2 and AGR3 in cancer: Similar but not identical","type":"article-journal","volume":"94"},"uris":["http://www.mendeley.com/documents/?uuid=dce6521f-b384-334c-8925-b1a484528dfb"]}],"mendeley":{"formattedCitation":"[29]","plainTextFormattedCitation":"[29]","previouslyFormattedCitation":"[29]"},"properties":{"noteIndex":0},"schema":"https://github.com/citation-style-language/schema/raw/master/csl-citation.json"}</w:instrText>
      </w:r>
      <w:r w:rsidR="00E87175" w:rsidRPr="00C56699">
        <w:rPr>
          <w:lang w:val="en-GB"/>
        </w:rPr>
        <w:fldChar w:fldCharType="separate"/>
      </w:r>
      <w:r w:rsidR="00E87175" w:rsidRPr="00C56699">
        <w:rPr>
          <w:noProof/>
          <w:lang w:val="en-GB"/>
        </w:rPr>
        <w:t>[29]</w:t>
      </w:r>
      <w:r w:rsidR="00E87175" w:rsidRPr="00C56699">
        <w:rPr>
          <w:lang w:val="en-GB"/>
        </w:rPr>
        <w:fldChar w:fldCharType="end"/>
      </w:r>
      <w:r w:rsidR="00CA6348" w:rsidRPr="00C56699">
        <w:rPr>
          <w:lang w:val="en-GB"/>
        </w:rPr>
        <w:t xml:space="preserve">. </w:t>
      </w:r>
      <w:r w:rsidR="00CA6348" w:rsidRPr="00C56699">
        <w:rPr>
          <w:i/>
          <w:lang w:val="en-GB"/>
        </w:rPr>
        <w:t>AGR3</w:t>
      </w:r>
      <w:r w:rsidR="00CA6348" w:rsidRPr="00C56699">
        <w:rPr>
          <w:lang w:val="en-GB"/>
        </w:rPr>
        <w:t xml:space="preserve"> expression in the endometrium is not yet reported. </w:t>
      </w:r>
      <w:r w:rsidR="00CA6348" w:rsidRPr="00C56699">
        <w:t xml:space="preserve"> We have confirmed the </w:t>
      </w:r>
      <w:r w:rsidR="00B4406E" w:rsidRPr="00C56699">
        <w:t xml:space="preserve">specificity of the </w:t>
      </w:r>
      <w:r w:rsidR="00CA6348" w:rsidRPr="00C56699">
        <w:t>antibody we used and thus the data we report is specific to AGR2.</w:t>
      </w:r>
      <w:r w:rsidR="00A4491B" w:rsidRPr="00C56699">
        <w:t xml:space="preserve"> </w:t>
      </w:r>
    </w:p>
    <w:p w14:paraId="25BF3899" w14:textId="787CC209" w:rsidR="00A4491B" w:rsidRPr="00C56699" w:rsidRDefault="00AB5E02" w:rsidP="00CD0BFD">
      <w:r w:rsidRPr="00C56699">
        <w:t>I</w:t>
      </w:r>
      <w:r w:rsidR="00B00789" w:rsidRPr="00C56699">
        <w:t xml:space="preserve">ncreased </w:t>
      </w:r>
      <w:r w:rsidR="005508E6" w:rsidRPr="00C56699">
        <w:t>expression</w:t>
      </w:r>
      <w:r w:rsidRPr="00C56699">
        <w:t xml:space="preserve"> of AGR2</w:t>
      </w:r>
      <w:r w:rsidR="005508E6" w:rsidRPr="00C56699">
        <w:t xml:space="preserve"> was observed </w:t>
      </w:r>
      <w:r w:rsidR="00B00789" w:rsidRPr="00C56699">
        <w:t xml:space="preserve">in </w:t>
      </w:r>
      <w:r w:rsidR="005508E6" w:rsidRPr="00C56699">
        <w:t xml:space="preserve">the </w:t>
      </w:r>
      <w:r w:rsidR="00B00789" w:rsidRPr="00C56699">
        <w:t>premalignant EHA</w:t>
      </w:r>
      <w:r w:rsidR="005C78E6" w:rsidRPr="00C56699">
        <w:t>,</w:t>
      </w:r>
      <w:r w:rsidR="00B00789" w:rsidRPr="00C56699">
        <w:t xml:space="preserve"> </w:t>
      </w:r>
      <w:r w:rsidR="005C78E6" w:rsidRPr="00C56699">
        <w:t xml:space="preserve">with levels increasing further </w:t>
      </w:r>
      <w:r w:rsidR="005D35A3" w:rsidRPr="00C56699">
        <w:t>in LGEC</w:t>
      </w:r>
      <w:r w:rsidRPr="00C56699">
        <w:t xml:space="preserve"> compared with normal post-menopausal control</w:t>
      </w:r>
      <w:r w:rsidR="00E041B7" w:rsidRPr="00C56699">
        <w:t>s</w:t>
      </w:r>
      <w:r w:rsidRPr="00C56699">
        <w:t>.</w:t>
      </w:r>
      <w:r w:rsidR="002D7E47" w:rsidRPr="00C56699">
        <w:t xml:space="preserve"> </w:t>
      </w:r>
      <w:r w:rsidR="009E246C" w:rsidRPr="00C56699">
        <w:t xml:space="preserve">AGR2 was not only significantly downregulated in type II </w:t>
      </w:r>
      <w:r w:rsidR="00C11583" w:rsidRPr="00C56699">
        <w:t xml:space="preserve">EC </w:t>
      </w:r>
      <w:r w:rsidR="009E246C" w:rsidRPr="00C56699">
        <w:t xml:space="preserve">as recently reported by </w:t>
      </w:r>
      <w:r w:rsidR="00E041B7" w:rsidRPr="00C56699">
        <w:t xml:space="preserve">others </w:t>
      </w:r>
      <w:r w:rsidR="009E246C" w:rsidRPr="00C56699">
        <w:fldChar w:fldCharType="begin" w:fldLock="1"/>
      </w:r>
      <w:r w:rsidR="008004D4" w:rsidRPr="00C56699">
        <w:instrText>ADDIN CSL_CITATION {"citationItems":[{"id":"ITEM-1","itemData":{"DOI":"10.1080/07357907.2017.1309546","ISSN":"0735-7907","PMID":"28402678","abstract":"Tamoxifen treatment in breast cancer patients is associated with increased risk of endometrial malignancies. Significantly, higher AGR2 expression was found in endometrial cancers that developed in women previously treated with tamoxifen compared to those who had not been exposed to tamoxifen. An association of elevated AGR2 level with myometrial invasion occurrence and invasion depth was also found. In vitro analyses identified a stimulatory effect of AGR2 on cellular proliferation. Although adverse tamoxifen effects on endometrial cells remain elusive, our work identifies elevated AGR2 as a candidate tamoxifen-dependent mechanism of action responsible for increased incidence of endometrial cancer.","author":[{"dropping-particle":"","family":"Hrstka","given":"Roman","non-dropping-particle":"","parse-names":false,"suffix":""},{"dropping-particle":"","family":"Podhorec","given":"Jan","non-dropping-particle":"","parse-names":false,"suffix":""},{"dropping-particle":"","family":"Nenutil","given":"Rudolf","non-dropping-particle":"","parse-names":false,"suffix":""},{"dropping-particle":"","family":"Sommerova","given":"Lucia","non-dropping-particle":"","parse-names":false,"suffix":""},{"dropping-particle":"","family":"Obacz","given":"Joanna","non-dropping-particle":"","parse-names":false,"suffix":""},{"dropping-particle":"","family":"Durech","given":"Michal","non-dropping-particle":"","parse-names":false,"suffix":""},{"dropping-particle":"","family":"Faktor","given":"Jakub","non-dropping-particle":"","parse-names":false,"suffix":""},{"dropping-particle":"","family":"Bouchal","given":"Pavel","non-dropping-particle":"","parse-names":false,"suffix":""},{"dropping-particle":"","family":"Skoupilova","given":"Hana","non-dropping-particle":"","parse-names":false,"suffix":""},{"dropping-particle":"","family":"Vojtesek","given":"Borivoj","non-dropping-particle":"","parse-names":false,"suffix":""}],"container-title":"Cancer Investigation","id":"ITEM-1","issue":"5","issued":{"date-parts":[["2017","5","28"]]},"page":"313-324","title":"Tamoxifen-Dependent Induction of &lt;i&gt;AGR2&lt;/i&gt; Is Associated with Increased Aggressiveness of Endometrial Cancer Cells","type":"article-journal","volume":"35"},"uris":["http://www.mendeley.com/documents/?uuid=eb0c0c8c-435a-3494-a772-b077c99a5674"]}],"mendeley":{"formattedCitation":"[22]","plainTextFormattedCitation":"[22]","previouslyFormattedCitation":"[22]"},"properties":{"noteIndex":0},"schema":"https://github.com/citation-style-language/schema/raw/master/csl-citation.json"}</w:instrText>
      </w:r>
      <w:r w:rsidR="009E246C" w:rsidRPr="00C56699">
        <w:fldChar w:fldCharType="separate"/>
      </w:r>
      <w:r w:rsidR="00411DA0" w:rsidRPr="00C56699">
        <w:rPr>
          <w:noProof/>
        </w:rPr>
        <w:t>[22]</w:t>
      </w:r>
      <w:r w:rsidR="009E246C" w:rsidRPr="00C56699">
        <w:fldChar w:fldCharType="end"/>
      </w:r>
      <w:r w:rsidR="009E246C" w:rsidRPr="00C56699">
        <w:t xml:space="preserve"> but also in grade III endometrioid </w:t>
      </w:r>
      <w:r w:rsidR="009E246C" w:rsidRPr="00C56699">
        <w:lastRenderedPageBreak/>
        <w:t>compared to grade I and II</w:t>
      </w:r>
      <w:r w:rsidR="00E041B7" w:rsidRPr="00C56699">
        <w:t xml:space="preserve"> cancers</w:t>
      </w:r>
      <w:r w:rsidR="009E246C" w:rsidRPr="00C56699">
        <w:t xml:space="preserve">. </w:t>
      </w:r>
      <w:r w:rsidR="00E6251B" w:rsidRPr="00C56699">
        <w:t xml:space="preserve">This suggests that increased AGR2 might be an early event in </w:t>
      </w:r>
      <w:r w:rsidR="00E36CEE" w:rsidRPr="00C56699">
        <w:t>EC</w:t>
      </w:r>
      <w:r w:rsidR="00D63DA7" w:rsidRPr="00C56699">
        <w:t xml:space="preserve"> development</w:t>
      </w:r>
      <w:r w:rsidR="009824CC" w:rsidRPr="00C56699">
        <w:t>.</w:t>
      </w:r>
      <w:r w:rsidR="00D63DA7" w:rsidRPr="00C56699">
        <w:t xml:space="preserve"> </w:t>
      </w:r>
      <w:r w:rsidR="00CD0BFD" w:rsidRPr="00C56699">
        <w:t xml:space="preserve">A larger sample size is always desired however, in addition to our substantial cohort, we interrogated data available in the larger TCGA cohort and in 3 other publically available, individual microarray dataset to justify our hypothesis. The collective agreement of data from all </w:t>
      </w:r>
      <w:r w:rsidR="00BB721E" w:rsidRPr="00C56699">
        <w:t>independent</w:t>
      </w:r>
      <w:r w:rsidR="00CD0BFD" w:rsidRPr="00C56699">
        <w:t xml:space="preserve"> cohorts justify our hypothesis that high AGR2 is a feature of low grade </w:t>
      </w:r>
      <w:r w:rsidR="00BB721E" w:rsidRPr="00C56699">
        <w:t>ECs</w:t>
      </w:r>
      <w:r w:rsidR="00CD0BFD" w:rsidRPr="00C56699">
        <w:t>.</w:t>
      </w:r>
      <w:r w:rsidR="00BB721E" w:rsidRPr="00C56699">
        <w:t xml:space="preserve"> Furthermore, many driver mutations in TCGA dataset were also associated with upregulation of </w:t>
      </w:r>
      <w:r w:rsidR="00BB721E" w:rsidRPr="00C56699">
        <w:rPr>
          <w:i/>
        </w:rPr>
        <w:t>AGR2</w:t>
      </w:r>
      <w:r w:rsidR="00BB721E" w:rsidRPr="00C56699">
        <w:t>.</w:t>
      </w:r>
      <w:r w:rsidR="00CD0BFD" w:rsidRPr="00C56699">
        <w:t xml:space="preserve"> </w:t>
      </w:r>
      <w:r w:rsidR="00AF3B1D" w:rsidRPr="00C56699">
        <w:t xml:space="preserve">This </w:t>
      </w:r>
      <w:r w:rsidR="00F1408C" w:rsidRPr="00C56699">
        <w:t xml:space="preserve">high AGR2 appears to be a feature of low grade </w:t>
      </w:r>
      <w:r w:rsidR="00E36CEE" w:rsidRPr="00C56699">
        <w:t>EC</w:t>
      </w:r>
      <w:r w:rsidR="00F1408C" w:rsidRPr="00C56699">
        <w:t xml:space="preserve"> is seemingly at odds with its metastatic promoting property</w:t>
      </w:r>
      <w:r w:rsidR="00E36CEE" w:rsidRPr="00C56699">
        <w:t>.</w:t>
      </w:r>
      <w:r w:rsidR="00F1408C" w:rsidRPr="00C56699">
        <w:t xml:space="preserve"> </w:t>
      </w:r>
      <w:r w:rsidR="00AC64B5" w:rsidRPr="00C56699">
        <w:t xml:space="preserve">Evidence exists from other tumours that cells with upregulated AGR2 acquire a metastatic, proliferative and invasive phenotype </w:t>
      </w:r>
      <w:r w:rsidR="00AC64B5" w:rsidRPr="00C56699">
        <w:fldChar w:fldCharType="begin" w:fldLock="1"/>
      </w:r>
      <w:r w:rsidR="00E87175" w:rsidRPr="00C56699">
        <w:instrText>ADDIN CSL_CITATION {"citationItems":[{"id":"ITEM-1","itemData":{"DOI":"10.1158/0008-5472.CAN-04-3823","ISSN":"0008-5472","PMID":"15867376","abstract":"A suppression subtractive cDNA library representing mRNAs expressed at a higher level in the malignant human breast cancer cell line, MCF-7, relative to a benign breast tumor-derived cell line, Huma 123, contained a cDNA, M36, which was expressed in estrogen receptor alpha (ERalpha)-positive breast carcinoma cell lines but not in cell lines from normal/benign/ERalpha-negative malignant breast lesions. M36 cDNA had an identical coding sequence to anterior gradient 2 (AGR2), the human homologue of the cement gland-specific gene (Xenopus laevis). Screening of breast tumor specimens using reverse transcription-PCR and immunocytochemistry with affinity-purified anti-AGR2 antibodies showed that the presence of AGR2 mRNA and protein were both statistically significantly associated with ERalpha-positive carcinomas (P = 0.007, Fisher's exact test) and with malignancy (P &lt; or = 0.025). When an expression vector for AGR2 cDNA was introduced into benign nonmetastatic rat mammary tumor cells, and three separate clones and two pools of cells were transferred to the mammary glands of syngeneic hosts, there were no consistent differences in the mean latent periods of tumor formation. However, metastases occurred in the lungs of animals receiving the AGR2 transfectants in 77% to 92% of animals with primary tumors (P = 0.0001) compared with no metastases in the control groups. The AGR2 transfectants exhibited enhanced rates of adhesion to a plastic substratum and extracellular AGR2 enhanced the rate of attachment of AGR2-negative but not AGR2-positive cells. These experiments are the first to link mechanistically the developmental gene product, AGR2, with metastasis in vivo.","author":[{"dropping-particle":"","family":"Liu","given":"Dong","non-dropping-particle":"","parse-names":false,"suffix":""},{"dropping-particle":"","family":"Rudland","given":"Philip S","non-dropping-particle":"","parse-names":false,"suffix":""},{"dropping-particle":"","family":"Sibson","given":"D Ross","non-dropping-particle":"","parse-names":false,"suffix":""},{"dropping-particle":"","family":"Platt-Higgins","given":"Angela","non-dropping-particle":"","parse-names":false,"suffix":""},{"dropping-particle":"","family":"Barraclough","given":"Roger","non-dropping-particle":"","parse-names":false,"suffix":""}],"container-title":"Cancer Research","id":"ITEM-1","issue":"9","issued":{"date-parts":[["2005","5","1"]]},"note":"From Duplicate 1 (Human homologue of cement gland protein, a novel metastasis inducer associated with breast carcinomas - Liu, D; Rudland, P S; Sibson, D R; Platt-Higgins, A; Barraclough, R)\n\nCited By (since 1996):80\n\nFrom Duplicate 2 (Human homologue of cement gland protein, a novel metastasis inducer associated with breast carcinomas - Liu, Dong; Rudland, Philip S; Sibson, D Ross; Platt-Higgins, Angela; Barraclough, Roger)\n\nFrom Duplicate 1 (Human homologue of cement gland protein, a novel metastasis inducer associated with breast carcinomas - Liu, D; Rudland, P S; Sibson, D R; Platt-Higgins, A; Barraclough, R)\n\nCited By (since 1996):80\n\nFrom Duplicate 3 (Human homologue of cement gland protein, a novel metastasis inducer associated with breast carcinomas - Liu, Dong; Rudland, Philip S; Sibson, D Ross; Platt-Higgins, Angela; Barraclough, Roger)\n\nFrom Duplicate 1 (Human homologue of cement gland protein, a novel metastasis inducer associated with breast carcinomas - Liu, D; Rudland, P S; Sibson, D R; Platt-Higgins, A; Barraclough, R)\n\nCited By (since 1996):80","page":"3796-3805","title":"Human homologue of cement gland protein, a novel metastasis inducer associated with breast carcinomas","type":"article-journal","volume":"65"},"uris":["http://www.mendeley.com/documents/?uuid=a3e33951-601e-494b-ba96-b195a7952806"]},{"id":"ITEM-2","itemData":{"DOI":"10.1158/0008-5472.CAN-11-1367","ISSN":"1538-7445","PMID":"21948970","abstract":"Pancreatic ductal adenocarcinoma (PDAC) remains one of the most lethal cancers largely due to disseminated disease at the time of presentation. Here, we investigated the role and mechanism of action of the metastasis-associated protein anterior gradient 2 (AGR2) in the pathogenesis of pancreatic cancer. AGR2 was induced in all sporadic and familial pancreatic intraepithelial precursor lesions (PanIN), PDACs, circulating tumor cells, and metastases studied. Confocal microscopy and flow cytometric analyses indicated that AGR2 localized to the endoplasmic reticulum (ER) and the external surface of tumor cells. Furthermore, induction of AGR2 in tumor cells regulated the expression of several ER chaperones (PDI, CALU, RCN1), proteins of the ubiquitin-proteasome degradation pathway (HIP2, PSMB2, PSMA3, PSMC3, and PSMB4), and lysosomal proteases [cathepsin B (CTSB) and cathepsin D (CTSD)], in addition to promoting the secretion of the precursor form pro-CTSD. Importantly, the invasiveness of pancreatic cancer cells was proportional to the level of AGR2 expression. Functional downstream targets of the proinvasive activity of AGR2 included CTSB and CTSD in vitro, and AGR2, CTSB, and CTSD were essential for the dissemination of pancreatic cancer cells in vivo. Taken together, the results suggest that AGR2 promotes dissemination of pancreatic cancer and that its cell surface targeting may permit new strategies for early detection as well as therapeutic management.","author":[{"dropping-particle":"","family":"Dumartin","given":"Laurent","non-dropping-particle":"","parse-names":false,"suffix":""},{"dropping-particle":"","family":"Whiteman","given":"Hannah J","non-dropping-particle":"","parse-names":false,"suffix":""},{"dropping-particle":"","family":"Weeks","given":"Mark E","non-dropping-particle":"","parse-names":false,"suffix":""},{"dropping-particle":"","family":"Hariharan","given":"Deepak","non-dropping-particle":"","parse-names":false,"suffix":""},{"dropping-particle":"","family":"Dmitrovic","given":"Branko","non-dropping-particle":"","parse-names":false,"suffix":""},{"dropping-particle":"","family":"Iacobuzio-Donahue","given":"Christine A","non-dropping-particle":"","parse-names":false,"suffix":""},{"dropping-particle":"","family":"Brentnall","given":"Teresa A","non-dropping-particle":"","parse-names":false,"suffix":""},{"dropping-particle":"","family":"Bronner","given":"Mary P","non-dropping-particle":"","parse-names":false,"suffix":""},{"dropping-particle":"","family":"Feakins","given":"Roger M","non-dropping-particle":"","parse-names":false,"suffix":""},{"dropping-particle":"","family":"Timms","given":"John F","non-dropping-particle":"","parse-names":false,"suffix":""},{"dropping-particle":"","family":"Brennan","given":"Caroline","non-dropping-particle":"","parse-names":false,"suffix":""},{"dropping-particle":"","family":"Lemoine","given":"Nicholas R","non-dropping-particle":"","parse-names":false,"suffix":""},{"dropping-particle":"","family":"Crnogorac-Jurcevic","given":"Tatjana","non-dropping-particle":"","parse-names":false,"suffix":""}],"container-title":"Cancer research","id":"ITEM-2","issue":"22","issued":{"date-parts":[["2011","11","15"]]},"page":"7091-102","title":"AGR2 is a novel surface antigen that promotes the dissemination of pancreatic cancer cells through regulation of cathepsins B and D.","type":"article-journal","volume":"71"},"uris":["http://www.mendeley.com/documents/?uuid=31718ef4-7c10-3205-bb39-6eb1db4981ad"]}],"mendeley":{"formattedCitation":"[17,30]","plainTextFormattedCitation":"[17,30]","previouslyFormattedCitation":"[17,30]"},"properties":{"noteIndex":0},"schema":"https://github.com/citation-style-language/schema/raw/master/csl-citation.json"}</w:instrText>
      </w:r>
      <w:r w:rsidR="00AC64B5" w:rsidRPr="00C56699">
        <w:fldChar w:fldCharType="separate"/>
      </w:r>
      <w:r w:rsidR="00E87175" w:rsidRPr="00C56699">
        <w:rPr>
          <w:noProof/>
        </w:rPr>
        <w:t>[17,30]</w:t>
      </w:r>
      <w:r w:rsidR="00AC64B5" w:rsidRPr="00C56699">
        <w:fldChar w:fldCharType="end"/>
      </w:r>
      <w:r w:rsidR="00AC64B5" w:rsidRPr="00C56699">
        <w:t>.</w:t>
      </w:r>
      <w:r w:rsidR="00F1408C" w:rsidRPr="00C56699">
        <w:t xml:space="preserve"> </w:t>
      </w:r>
      <w:r w:rsidR="001E142A" w:rsidRPr="00C56699">
        <w:t>Breast cancer c</w:t>
      </w:r>
      <w:r w:rsidR="005227C7" w:rsidRPr="00C56699">
        <w:t>ell lines transfected with AGR2 produced metastasis in a xenograft model</w:t>
      </w:r>
      <w:r w:rsidR="00AF3B1D" w:rsidRPr="00C56699">
        <w:t xml:space="preserve"> </w:t>
      </w:r>
      <w:r w:rsidR="00AF3B1D" w:rsidRPr="00C56699">
        <w:fldChar w:fldCharType="begin" w:fldLock="1"/>
      </w:r>
      <w:r w:rsidR="008004D4" w:rsidRPr="00C56699">
        <w:instrText>ADDIN CSL_CITATION {"citationItems":[{"id":"ITEM-1","itemData":{"DOI":"10.1158/0008-5472.CAN-04-3823","ISSN":"0008-5472","PMID":"15867376","abstract":"A suppression subtractive cDNA library representing mRNAs expressed at a higher level in the malignant human breast cancer cell line, MCF-7, relative to a benign breast tumor-derived cell line, Huma 123, contained a cDNA, M36, which was expressed in estrogen receptor alpha (ERalpha)-positive breast carcinoma cell lines but not in cell lines from normal/benign/ERalpha-negative malignant breast lesions. M36 cDNA had an identical coding sequence to anterior gradient 2 (AGR2), the human homologue of the cement gland-specific gene (Xenopus laevis). Screening of breast tumor specimens using reverse transcription-PCR and immunocytochemistry with affinity-purified anti-AGR2 antibodies showed that the presence of AGR2 mRNA and protein were both statistically significantly associated with ERalpha-positive carcinomas (P = 0.007, Fisher's exact test) and with malignancy (P &lt; or = 0.025). When an expression vector for AGR2 cDNA was introduced into benign nonmetastatic rat mammary tumor cells, and three separate clones and two pools of cells were transferred to the mammary glands of syngeneic hosts, there were no consistent differences in the mean latent periods of tumor formation. However, metastases occurred in the lungs of animals receiving the AGR2 transfectants in 77% to 92% of animals with primary tumors (P = 0.0001) compared with no metastases in the control groups. The AGR2 transfectants exhibited enhanced rates of adhesion to a plastic substratum and extracellular AGR2 enhanced the rate of attachment of AGR2-negative but not AGR2-positive cells. These experiments are the first to link mechanistically the developmental gene product, AGR2, with metastasis in vivo.","author":[{"dropping-particle":"","family":"Liu","given":"Dong","non-dropping-particle":"","parse-names":false,"suffix":""},{"dropping-particle":"","family":"Rudland","given":"Philip S","non-dropping-particle":"","parse-names":false,"suffix":""},{"dropping-particle":"","family":"Sibson","given":"D Ross","non-dropping-particle":"","parse-names":false,"suffix":""},{"dropping-particle":"","family":"Platt-Higgins","given":"Angela","non-dropping-particle":"","parse-names":false,"suffix":""},{"dropping-particle":"","family":"Barraclough","given":"Roger","non-dropping-particle":"","parse-names":false,"suffix":""}],"container-title":"Cancer Research","id":"ITEM-1","issue":"9","issued":{"date-parts":[["2005","5","1"]]},"note":"From Duplicate 1 (Human homologue of cement gland protein, a novel metastasis inducer associated with breast carcinomas - Liu, D; Rudland, P S; Sibson, D R; Platt-Higgins, A; Barraclough, R)\n\nCited By (since 1996):80\n\nFrom Duplicate 2 (Human homologue of cement gland protein, a novel metastasis inducer associated with breast carcinomas - Liu, Dong; Rudland, Philip S; Sibson, D Ross; Platt-Higgins, Angela; Barraclough, Roger)\n\nFrom Duplicate 1 (Human homologue of cement gland protein, a novel metastasis inducer associated with breast carcinomas - Liu, D; Rudland, P S; Sibson, D R; Platt-Higgins, A; Barraclough, R)\n\nCited By (since 1996):80\n\nFrom Duplicate 3 (Human homologue of cement gland protein, a novel metastasis inducer associated with breast carcinomas - Liu, Dong; Rudland, Philip S; Sibson, D Ross; Platt-Higgins, Angela; Barraclough, Roger)\n\nFrom Duplicate 1 (Human homologue of cement gland protein, a novel metastasis inducer associated with breast carcinomas - Liu, D; Rudland, P S; Sibson, D R; Platt-Higgins, A; Barraclough, R)\n\nCited By (since 1996):80","page":"3796-3805","title":"Human homologue of cement gland protein, a novel metastasis inducer associated with breast carcinomas","type":"article-journal","volume":"65"},"uris":["http://www.mendeley.com/documents/?uuid=a3e33951-601e-494b-ba96-b195a7952806"]}],"mendeley":{"formattedCitation":"[17]","plainTextFormattedCitation":"[17]","previouslyFormattedCitation":"[17]"},"properties":{"noteIndex":0},"schema":"https://github.com/citation-style-language/schema/raw/master/csl-citation.json"}</w:instrText>
      </w:r>
      <w:r w:rsidR="00AF3B1D" w:rsidRPr="00C56699">
        <w:fldChar w:fldCharType="separate"/>
      </w:r>
      <w:r w:rsidR="00411DA0" w:rsidRPr="00C56699">
        <w:rPr>
          <w:noProof/>
        </w:rPr>
        <w:t>[17]</w:t>
      </w:r>
      <w:r w:rsidR="00AF3B1D" w:rsidRPr="00C56699">
        <w:fldChar w:fldCharType="end"/>
      </w:r>
      <w:r w:rsidR="005227C7" w:rsidRPr="00C56699">
        <w:t>, showed gain of anchorage-independent growth and promoted tumor growth</w:t>
      </w:r>
      <w:r w:rsidR="00AF3B1D" w:rsidRPr="00C56699">
        <w:t xml:space="preserve"> </w:t>
      </w:r>
      <w:r w:rsidR="00AF3B1D" w:rsidRPr="00C56699">
        <w:fldChar w:fldCharType="begin" w:fldLock="1"/>
      </w:r>
      <w:r w:rsidR="00E87175" w:rsidRPr="00C56699">
        <w:instrText>ADDIN CSL_CITATION {"citationItems":[{"id":"ITEM-1","itemData":{"DOI":"10.1158/0008-5472.CAN-07-2930","ISSN":"1538-7445","PMID":"18199544","abstract":"The AGR2 gene encodes a secretory protein that is highly expressed in adenocarcinomas of the esophagus, pancreas, breast, and prostate. This study explores the effect of AGR2 expression with well-established in vitro and in vivo assays that screen for cellular transformation and tumor growth. AGR2 expression in SEG-1 esophageal adenocarcinoma cells was reduced with RNA interference. Cellular transformation was examined using NIH3T3 cells that express AGR2 after stable transfection. The cell lines were studied in vitro with assays for density-dependent and anchorage-independent growth, and in vivo as tumor xenografts in nude mice. SEG-1 cells with reduced AGR2 expression showed an 82% decrease in anchorage-independent colony growth and a 60% reduction in tumor xenograft size. In vitro assays of AGR2-expressing NIH3T3 cells displayed enhanced foci formation and anchorage-independent growth. In vivo, AGR2-expressing NIH3T3 cells established tumors in nude mice. Thus, AGR2 expression promotes tumor growth in esophageal adenocarcinoma cells and is able to transform NIH3T3 cells. Immunohistochemistry of the normal mouse intestine detected AGR2 expression in proliferating and differentiated intestinal cells of secretory lineage. AGR2 may be important for the growth and development of the intestine as well as esophageal adenocarcinomas.","author":[{"dropping-particle":"","family":"Wang","given":"Zheng","non-dropping-particle":"","parse-names":false,"suffix":""},{"dropping-particle":"","family":"Hao","given":"Ying","non-dropping-particle":"","parse-names":false,"suffix":""},{"dropping-particle":"","family":"Lowe","given":"Anson W","non-dropping-particle":"","parse-names":false,"suffix":""}],"container-title":"Cancer research","id":"ITEM-1","issue":"2","issued":{"date-parts":[["2008","1","15"]]},"page":"492-7","title":"The adenocarcinoma-associated antigen, AGR2, promotes tumor growth, cell migration, and cellular transformation.","type":"article-journal","volume":"68"},"uris":["http://www.mendeley.com/documents/?uuid=8b41af44-a752-3a6d-9a05-50e7055bc59b"]}],"mendeley":{"formattedCitation":"[31]","plainTextFormattedCitation":"[31]","previouslyFormattedCitation":"[31]"},"properties":{"noteIndex":0},"schema":"https://github.com/citation-style-language/schema/raw/master/csl-citation.json"}</w:instrText>
      </w:r>
      <w:r w:rsidR="00AF3B1D" w:rsidRPr="00C56699">
        <w:fldChar w:fldCharType="separate"/>
      </w:r>
      <w:r w:rsidR="00E87175" w:rsidRPr="00C56699">
        <w:rPr>
          <w:noProof/>
        </w:rPr>
        <w:t>[31]</w:t>
      </w:r>
      <w:r w:rsidR="00AF3B1D" w:rsidRPr="00C56699">
        <w:fldChar w:fldCharType="end"/>
      </w:r>
      <w:r w:rsidR="005227C7" w:rsidRPr="00C56699">
        <w:t>.</w:t>
      </w:r>
      <w:r w:rsidR="00212C3C" w:rsidRPr="00C56699">
        <w:rPr>
          <w:lang w:val="en-GB"/>
        </w:rPr>
        <w:t xml:space="preserve"> </w:t>
      </w:r>
      <w:r w:rsidR="00F1408C" w:rsidRPr="00C56699">
        <w:t xml:space="preserve">Although a metastatic role for AGR2 in </w:t>
      </w:r>
      <w:r w:rsidR="00395934" w:rsidRPr="00C56699">
        <w:t>EC</w:t>
      </w:r>
      <w:r w:rsidR="00F1408C" w:rsidRPr="00C56699">
        <w:t xml:space="preserve"> is yet to be demonstrated, </w:t>
      </w:r>
      <w:r w:rsidR="006554B3" w:rsidRPr="00C56699">
        <w:t xml:space="preserve">overexpressing </w:t>
      </w:r>
      <w:r w:rsidR="006554B3" w:rsidRPr="00C56699">
        <w:rPr>
          <w:i/>
        </w:rPr>
        <w:t>AGR2</w:t>
      </w:r>
      <w:r w:rsidR="006554B3" w:rsidRPr="00C56699">
        <w:t xml:space="preserve"> </w:t>
      </w:r>
      <w:r w:rsidR="00F1408C" w:rsidRPr="00C56699">
        <w:t>or added</w:t>
      </w:r>
      <w:r w:rsidR="006B6053" w:rsidRPr="00C56699">
        <w:t xml:space="preserve"> recombinant AGR2 in</w:t>
      </w:r>
      <w:r w:rsidR="006554B3" w:rsidRPr="00C56699">
        <w:t xml:space="preserve"> culture medium</w:t>
      </w:r>
      <w:r w:rsidR="00F1408C" w:rsidRPr="00C56699">
        <w:t xml:space="preserve"> </w:t>
      </w:r>
      <w:r w:rsidR="006554B3" w:rsidRPr="00C56699">
        <w:t>signif</w:t>
      </w:r>
      <w:r w:rsidR="001E142A" w:rsidRPr="00C56699">
        <w:t>icantly increased proliferation in endometrial derived cancer cell lines</w:t>
      </w:r>
      <w:r w:rsidR="00AF3B1D" w:rsidRPr="00C56699">
        <w:t xml:space="preserve"> </w:t>
      </w:r>
      <w:r w:rsidR="00AF3B1D" w:rsidRPr="00C56699">
        <w:fldChar w:fldCharType="begin" w:fldLock="1"/>
      </w:r>
      <w:r w:rsidR="008004D4" w:rsidRPr="00C56699">
        <w:instrText>ADDIN CSL_CITATION {"citationItems":[{"id":"ITEM-1","itemData":{"DOI":"10.1080/07357907.2017.1309546","ISSN":"0735-7907","PMID":"28402678","abstract":"Tamoxifen treatment in breast cancer patients is associated with increased risk of endometrial malignancies. Significantly, higher AGR2 expression was found in endometrial cancers that developed in women previously treated with tamoxifen compared to those who had not been exposed to tamoxifen. An association of elevated AGR2 level with myometrial invasion occurrence and invasion depth was also found. In vitro analyses identified a stimulatory effect of AGR2 on cellular proliferation. Although adverse tamoxifen effects on endometrial cells remain elusive, our work identifies elevated AGR2 as a candidate tamoxifen-dependent mechanism of action responsible for increased incidence of endometrial cancer.","author":[{"dropping-particle":"","family":"Hrstka","given":"Roman","non-dropping-particle":"","parse-names":false,"suffix":""},{"dropping-particle":"","family":"Podhorec","given":"Jan","non-dropping-particle":"","parse-names":false,"suffix":""},{"dropping-particle":"","family":"Nenutil","given":"Rudolf","non-dropping-particle":"","parse-names":false,"suffix":""},{"dropping-particle":"","family":"Sommerova","given":"Lucia","non-dropping-particle":"","parse-names":false,"suffix":""},{"dropping-particle":"","family":"Obacz","given":"Joanna","non-dropping-particle":"","parse-names":false,"suffix":""},{"dropping-particle":"","family":"Durech","given":"Michal","non-dropping-particle":"","parse-names":false,"suffix":""},{"dropping-particle":"","family":"Faktor","given":"Jakub","non-dropping-particle":"","parse-names":false,"suffix":""},{"dropping-particle":"","family":"Bouchal","given":"Pavel","non-dropping-particle":"","parse-names":false,"suffix":""},{"dropping-particle":"","family":"Skoupilova","given":"Hana","non-dropping-particle":"","parse-names":false,"suffix":""},{"dropping-particle":"","family":"Vojtesek","given":"Borivoj","non-dropping-particle":"","parse-names":false,"suffix":""}],"container-title":"Cancer Investigation","id":"ITEM-1","issue":"5","issued":{"date-parts":[["2017","5","28"]]},"page":"313-324","title":"Tamoxifen-Dependent Induction of &lt;i&gt;AGR2&lt;/i&gt; Is Associated with Increased Aggressiveness of Endometrial Cancer Cells","type":"article-journal","volume":"35"},"uris":["http://www.mendeley.com/documents/?uuid=eb0c0c8c-435a-3494-a772-b077c99a5674"]}],"mendeley":{"formattedCitation":"[22]","plainTextFormattedCitation":"[22]","previouslyFormattedCitation":"[22]"},"properties":{"noteIndex":0},"schema":"https://github.com/citation-style-language/schema/raw/master/csl-citation.json"}</w:instrText>
      </w:r>
      <w:r w:rsidR="00AF3B1D" w:rsidRPr="00C56699">
        <w:fldChar w:fldCharType="separate"/>
      </w:r>
      <w:r w:rsidR="00411DA0" w:rsidRPr="00C56699">
        <w:rPr>
          <w:noProof/>
        </w:rPr>
        <w:t>[22]</w:t>
      </w:r>
      <w:r w:rsidR="00AF3B1D" w:rsidRPr="00C56699">
        <w:fldChar w:fldCharType="end"/>
      </w:r>
      <w:r w:rsidR="001E142A" w:rsidRPr="00C56699">
        <w:t>. C</w:t>
      </w:r>
      <w:r w:rsidR="006554B3" w:rsidRPr="00C56699">
        <w:t xml:space="preserve">onversely, </w:t>
      </w:r>
      <w:r w:rsidR="001E142A" w:rsidRPr="00C56699">
        <w:t xml:space="preserve">upon </w:t>
      </w:r>
      <w:r w:rsidR="001E142A" w:rsidRPr="00C56699">
        <w:rPr>
          <w:i/>
        </w:rPr>
        <w:t>AGR2</w:t>
      </w:r>
      <w:r w:rsidR="001E142A" w:rsidRPr="00C56699">
        <w:t xml:space="preserve"> silencing</w:t>
      </w:r>
      <w:r w:rsidR="00395934" w:rsidRPr="00C56699">
        <w:t>,</w:t>
      </w:r>
      <w:r w:rsidR="001E142A" w:rsidRPr="00C56699">
        <w:t xml:space="preserve"> </w:t>
      </w:r>
      <w:r w:rsidR="006554B3" w:rsidRPr="00C56699">
        <w:t>proliferation was reduced</w:t>
      </w:r>
      <w:r w:rsidR="00AF3B1D" w:rsidRPr="00C56699">
        <w:t xml:space="preserve"> </w:t>
      </w:r>
      <w:r w:rsidR="00AF3B1D" w:rsidRPr="00C56699">
        <w:fldChar w:fldCharType="begin" w:fldLock="1"/>
      </w:r>
      <w:r w:rsidR="008004D4" w:rsidRPr="00C56699">
        <w:instrText>ADDIN CSL_CITATION {"citationItems":[{"id":"ITEM-1","itemData":{"DOI":"10.1080/07357907.2017.1309546","ISSN":"0735-7907","PMID":"28402678","abstract":"Tamoxifen treatment in breast cancer patients is associated with increased risk of endometrial malignancies. Significantly, higher AGR2 expression was found in endometrial cancers that developed in women previously treated with tamoxifen compared to those who had not been exposed to tamoxifen. An association of elevated AGR2 level with myometrial invasion occurrence and invasion depth was also found. In vitro analyses identified a stimulatory effect of AGR2 on cellular proliferation. Although adverse tamoxifen effects on endometrial cells remain elusive, our work identifies elevated AGR2 as a candidate tamoxifen-dependent mechanism of action responsible for increased incidence of endometrial cancer.","author":[{"dropping-particle":"","family":"Hrstka","given":"Roman","non-dropping-particle":"","parse-names":false,"suffix":""},{"dropping-particle":"","family":"Podhorec","given":"Jan","non-dropping-particle":"","parse-names":false,"suffix":""},{"dropping-particle":"","family":"Nenutil","given":"Rudolf","non-dropping-particle":"","parse-names":false,"suffix":""},{"dropping-particle":"","family":"Sommerova","given":"Lucia","non-dropping-particle":"","parse-names":false,"suffix":""},{"dropping-particle":"","family":"Obacz","given":"Joanna","non-dropping-particle":"","parse-names":false,"suffix":""},{"dropping-particle":"","family":"Durech","given":"Michal","non-dropping-particle":"","parse-names":false,"suffix":""},{"dropping-particle":"","family":"Faktor","given":"Jakub","non-dropping-particle":"","parse-names":false,"suffix":""},{"dropping-particle":"","family":"Bouchal","given":"Pavel","non-dropping-particle":"","parse-names":false,"suffix":""},{"dropping-particle":"","family":"Skoupilova","given":"Hana","non-dropping-particle":"","parse-names":false,"suffix":""},{"dropping-particle":"","family":"Vojtesek","given":"Borivoj","non-dropping-particle":"","parse-names":false,"suffix":""}],"container-title":"Cancer Investigation","id":"ITEM-1","issue":"5","issued":{"date-parts":[["2017","5","28"]]},"page":"313-324","title":"Tamoxifen-Dependent Induction of &lt;i&gt;AGR2&lt;/i&gt; Is Associated with Increased Aggressiveness of Endometrial Cancer Cells","type":"article-journal","volume":"35"},"uris":["http://www.mendeley.com/documents/?uuid=eb0c0c8c-435a-3494-a772-b077c99a5674"]}],"mendeley":{"formattedCitation":"[22]","plainTextFormattedCitation":"[22]","previouslyFormattedCitation":"[22]"},"properties":{"noteIndex":0},"schema":"https://github.com/citation-style-language/schema/raw/master/csl-citation.json"}</w:instrText>
      </w:r>
      <w:r w:rsidR="00AF3B1D" w:rsidRPr="00C56699">
        <w:fldChar w:fldCharType="separate"/>
      </w:r>
      <w:r w:rsidR="00411DA0" w:rsidRPr="00C56699">
        <w:rPr>
          <w:noProof/>
        </w:rPr>
        <w:t>[22]</w:t>
      </w:r>
      <w:r w:rsidR="00AF3B1D" w:rsidRPr="00C56699">
        <w:fldChar w:fldCharType="end"/>
      </w:r>
      <w:r w:rsidR="001E142A" w:rsidRPr="00C56699">
        <w:t>.</w:t>
      </w:r>
      <w:r w:rsidR="006554B3" w:rsidRPr="00C56699">
        <w:t xml:space="preserve"> </w:t>
      </w:r>
      <w:r w:rsidR="00FC1132" w:rsidRPr="00C56699">
        <w:t xml:space="preserve">This would suggest a pro-proliferative role for AGR2 in </w:t>
      </w:r>
      <w:r w:rsidR="00395934" w:rsidRPr="00C56699">
        <w:t>EC</w:t>
      </w:r>
      <w:r w:rsidR="00FC1132" w:rsidRPr="00C56699">
        <w:t>. Such</w:t>
      </w:r>
      <w:r w:rsidR="006D1F47" w:rsidRPr="00C56699">
        <w:t xml:space="preserve"> effects</w:t>
      </w:r>
      <w:r w:rsidR="001E142A" w:rsidRPr="00C56699">
        <w:t xml:space="preserve"> </w:t>
      </w:r>
      <w:r w:rsidR="006B6053" w:rsidRPr="00C56699">
        <w:t xml:space="preserve">of AGR2 </w:t>
      </w:r>
      <w:r w:rsidR="001E142A" w:rsidRPr="00C56699">
        <w:t>on proliferation</w:t>
      </w:r>
      <w:r w:rsidR="00C16541" w:rsidRPr="00C56699">
        <w:t xml:space="preserve"> have also been demonstrated</w:t>
      </w:r>
      <w:r w:rsidR="006D1F47" w:rsidRPr="00C56699">
        <w:t xml:space="preserve"> in breast</w:t>
      </w:r>
      <w:r w:rsidR="00ED12DC" w:rsidRPr="00C56699">
        <w:t xml:space="preserve"> </w:t>
      </w:r>
      <w:r w:rsidR="006D1F47" w:rsidRPr="00C56699">
        <w:t xml:space="preserve">cancer cell lines </w:t>
      </w:r>
      <w:r w:rsidR="008F76B9" w:rsidRPr="00C56699">
        <w:fldChar w:fldCharType="begin" w:fldLock="1"/>
      </w:r>
      <w:r w:rsidR="00E87175" w:rsidRPr="00C56699">
        <w:instrText>ADDIN CSL_CITATION {"citationItems":[{"id":"ITEM-1","itemData":{"DOI":"10.1186/bcr2586","ISBN":"1465-542X (Electronic)\\r1465-5411 (Linking)","ISSN":"1465-542X","PMID":"20525379","abstract":"INTRODUCTION: Anterior-gradient 2 (AGR2) is an estrogen-responsive secreted protein. Its upregulation has been well documented in a number of cancers, particularly breast cancer, for which mixed data exist on the prognostic implications of AGR2 expression. Although emerging evidence indicates that AGR2 is associated with poor prognosis, its function and impact on cancer-relevant pathways have not been elucidated in breast cancer.\\n\\nMETHODS: To investigate the biologic role of AGR2 in breast cancer, AGR2 was transiently knocked down, by using siRNA, in T47 D and ZR-75-1 (estrogen receptor-alpha (ER)-positive) and MDA-MB-231 and SK-BR-3 (ER-negative) human breast cancer cell lines. The impact of silencing AGR2 was evaluated in both anchorage-dependent and anchorage-independent growth (soft agar, spheroid) assays. Cell-cycle profiles in ER-positive cell lines were determined with BrdU incorporation, and cell death was measured with Annexin V, JC-1, and F7-26 staining. After transiently silencing AGR2 or stimulating with recombinant AGR2, modulation of key regulators of growth and survival pathways was assessed with Western blot. Combination studies of AGR2 knockdown with the antiestrogens tamoxifen and fulvestrant were carried out and assessed at the level of anchorage-dependent growth inhibition and target modulation (cyclin D1, ER).\\n\\nRESULTS: AGR2 knockdown inhibited growth in anchorage-dependent and anchorage-independent assays, with a more-pronounced effect in ER-positive cell lines. Cyclin D1 levels and BrdU incorporation were reduced with AGR2 knockdown. Conversely, cyclin D1 was induced with recombinant AGR2. AGR2 knockdown induced cell death in ZR-75-1 and T47 D cells, and also downregulated survivin and c-Myc. Evidence of AGR2-ER crosstalk was demonstrated by a reduction of ER at the protein level after transiently silencing AGR2. AGR2 knockdown in combination with fulvestrant or tamoxifen did not preclude the efficacy of the antiestrogens, but enhanced it. In addition, p-Src, implicated in tamoxifen resistance, was downregulated with AGR2 knockdown.\\n\\nCONCLUSIONS: Transiently silencing AGR2 in ER-positive breast cancer cell lines inhibited cell growth and cell-cycle progression and induced cell death. Breast cancer drivers (ER and cyclin D1) as well as cancer-signaling nodes (pSrc, c-Myc, and survivin) were demonstrated to be downstream of AGR2. Collectively, the data presented support the utility of anti-AGR2 therapy in ER-positive breast ca…","author":[{"dropping-particle":"","family":"Vanderlaag","given":"Kathryn E","non-dropping-particle":"","parse-names":false,"suffix":""},{"dropping-particle":"","family":"Hudak","given":"Susan","non-dropping-particle":"","parse-names":false,"suffix":""},{"dropping-particle":"","family":"Bald","given":"Laura","non-dropping-particle":"","parse-names":false,"suffix":""},{"dropping-particle":"","family":"Fayadat-Dilman","given":"Laurence","non-dropping-particle":"","parse-names":false,"suffix":""},{"dropping-particle":"","family":"Sathe","given":"Manjiri","non-dropping-particle":"","parse-names":false,"suffix":""},{"dropping-particle":"","family":"Grein","given":"Jeff","non-dropping-particle":"","parse-names":false,"suffix":""},{"dropping-particle":"","family":"Janatpour","given":"Mary J","non-dropping-particle":"","parse-names":false,"suffix":""}],"container-title":"Breast cancer research","id":"ITEM-1","issue":"3","issued":{"date-parts":[["2010"]]},"page":"R32","title":"Anterior gradient-2 plays a critical role in breast cancer cell growth and survival by modulating cyclin D1, estrogen receptor-alpha and survivin.","type":"article-journal","volume":"12"},"uris":["http://www.mendeley.com/documents/?uuid=1decc592-ec41-30ec-9a40-238270271fb7"]},{"id":"ITEM-2","itemData":{"DOI":"10.1016/j.ydbio.2012.06.030","ISSN":"0012-1606","author":[{"dropping-particle":"","family":"Verma","given":"Suman","non-dropping-particle":"","parse-names":false,"suffix":""},{"dropping-particle":"","family":"Salmans","given":"Michael L","non-dropping-particle":"","parse-names":false,"suffix":""},{"dropping-particle":"","family":"Geyfman","given":"Mikhail","non-dropping-particle":"","parse-names":false,"suffix":""},{"dropping-particle":"","family":"Wang","given":"Hong","non-dropping-particle":"","parse-names":false,"suffix":""},{"dropping-particle":"","family":"Yu","given":"Zhengquan","non-dropping-particle":"","parse-names":false,"suffix":""},{"dropping-particle":"","family":"Lu","given":"Zhongxian","non-dropping-particle":"","parse-names":false,"suffix":""},{"dropping-particle":"","family":"Zhao","given":"Fang","non-dropping-particle":"","parse-names":false,"suffix":""},{"dropping-particle":"","family":"Lipkin","given":"Steven M","non-dropping-particle":"","parse-names":false,"suffix":""},{"dropping-particle":"","family":"Andersen","given":"Bogi","non-dropping-particle":"","parse-names":false,"suffix":""}],"container-title":"Developmental biology","id":"ITEM-2","issue":"2","issued":{"date-parts":[["2012"]]},"page":"249-260","title":"The estrogen-responsive Agr2 gene regulates mammary epithelial proliferation and facilitates lobuloalveolar development","type":"article-journal","volume":"369"},"uris":["http://www.mendeley.com/documents/?uuid=17cd44df-7981-4135-b6fe-d41d4b9f1d21"]}],"mendeley":{"formattedCitation":"[32,33]","plainTextFormattedCitation":"[32,33]","previouslyFormattedCitation":"[32,33]"},"properties":{"noteIndex":0},"schema":"https://github.com/citation-style-language/schema/raw/master/csl-citation.json"}</w:instrText>
      </w:r>
      <w:r w:rsidR="008F76B9" w:rsidRPr="00C56699">
        <w:fldChar w:fldCharType="separate"/>
      </w:r>
      <w:r w:rsidR="00E87175" w:rsidRPr="00C56699">
        <w:rPr>
          <w:noProof/>
        </w:rPr>
        <w:t>[32,33]</w:t>
      </w:r>
      <w:r w:rsidR="008F76B9" w:rsidRPr="00C56699">
        <w:fldChar w:fldCharType="end"/>
      </w:r>
      <w:r w:rsidR="008F76B9" w:rsidRPr="00C56699">
        <w:t>.</w:t>
      </w:r>
      <w:r w:rsidR="00212C3C" w:rsidRPr="00C56699">
        <w:rPr>
          <w:lang w:val="en-GB"/>
        </w:rPr>
        <w:t xml:space="preserve"> The positive expression of AGR2 in metastatic </w:t>
      </w:r>
      <w:r w:rsidR="00CA6348" w:rsidRPr="00C56699">
        <w:rPr>
          <w:lang w:val="en-GB"/>
        </w:rPr>
        <w:t xml:space="preserve">cytokeratin positive </w:t>
      </w:r>
      <w:r w:rsidR="00212C3C" w:rsidRPr="00C56699">
        <w:rPr>
          <w:lang w:val="en-GB"/>
        </w:rPr>
        <w:t xml:space="preserve">endometrial cells </w:t>
      </w:r>
      <w:r w:rsidR="00BB721E" w:rsidRPr="00C56699">
        <w:rPr>
          <w:lang w:val="en-GB"/>
        </w:rPr>
        <w:t xml:space="preserve">is </w:t>
      </w:r>
      <w:r w:rsidR="00212C3C" w:rsidRPr="00C56699">
        <w:rPr>
          <w:lang w:val="en-GB"/>
        </w:rPr>
        <w:t>speculated to be a consequence of several factors: These lesions also expressed high levels of AR and ER</w:t>
      </w:r>
      <w:r w:rsidR="00212C3C" w:rsidRPr="00C56699">
        <w:rPr>
          <w:rFonts w:hint="eastAsia"/>
          <w:lang w:val="en-GB"/>
        </w:rPr>
        <w:t>α</w:t>
      </w:r>
      <w:r w:rsidR="00212C3C" w:rsidRPr="00C56699">
        <w:rPr>
          <w:rFonts w:hint="eastAsia"/>
          <w:lang w:val="en-GB"/>
        </w:rPr>
        <w:t xml:space="preserve"> </w:t>
      </w:r>
      <w:r w:rsidR="00212C3C" w:rsidRPr="00C56699">
        <w:rPr>
          <w:lang w:val="en-GB"/>
        </w:rPr>
        <w:fldChar w:fldCharType="begin" w:fldLock="1"/>
      </w:r>
      <w:r w:rsidR="00E87175" w:rsidRPr="00C56699">
        <w:rPr>
          <w:lang w:val="en-GB"/>
        </w:rPr>
        <w:instrText>ADDIN CSL_CITATION {"citationItems":[{"id":"ITEM-1","itemData":{"DOI":"10.1038/bjc.2016.16","ISSN":"1532-1827","PMID":"26930451","abstract":"BACKGROUND: Endometrial cancer (EC) is a hormone-driven disease, and androgen receptor (AR) expression in high-grade EC (HGEC) and metastatic EC has not yet been described. METHODS: The expression pattern and prognostic value of AR in relation to oestrogen (ERα and ERβ) and progesterone (PR) receptors, and the proliferation marker Ki67 in all EC subtypes (n=85) were compared with that of healthy and hyperplastic endometrium, using immunohistochemisty and qPCR. RESULTS: Compared with proliferative endometrium, postmenopausal endometrtial epithelium showed significantly higher expression of AR (P&lt;0.001) and ERα (P=0.035), which persisted in hyperplastic epithelium and in low-grade EC (LGEC). High-grade EC showed a significant loss of AR (P&lt;0.0001), PR (P&lt;0.0001) and ERβ (P&lt;0.035) compared with LGEC, whilst maintaining weak to moderate ERα. Unlike PR, AR expression in metastatic lesions was significantly (P=0.039) higher than that in primary tumours. Androgen receptor expression correlated with favourable clinicopathological features and a lower proliferation index. Loss of AR, with/without the loss of PR was associated with a significantly lower disease-free survival (P&lt;0.0001, P&lt;0.0001, respectively). CONCLUSIONS: Postmenopausal endometrial epithelium acquires AR whilst preserving other steroid hormone receptors. Loss of AR, PR with retention of ERα and ERβ may promote the unrestrained growth of HGEC. Androgen receptor may therefore be a clinically relevant prognostic indicator and a potential therapeutic target in EC.","author":[{"dropping-particle":"","family":"Kamal","given":"AM","non-dropping-particle":"","parse-names":false,"suffix":""},{"dropping-particle":"","family":"Bulmer","given":"JN","non-dropping-particle":"","parse-names":false,"suffix":""},{"dropping-particle":"","family":"DeCruze","given":"SB","non-dropping-particle":"","parse-names":false,"suffix":""},{"dropping-particle":"","family":"Stringfellow","given":"HF","non-dropping-particle":"","parse-names":false,"suffix":""},{"dropping-particle":"","family":"Martin-Hirsch","given":"P","non-dropping-particle":"","parse-names":false,"suffix":""},{"dropping-particle":"","family":"Hapangama","given":"DK","non-dropping-particle":"","parse-names":false,"suffix":""}],"container-title":"British journal of cancer","id":"ITEM-1","issue":"6","issued":{"date-parts":[["2016","3","15"]]},"language":"en","page":"688-96","title":"Androgen receptors are acquired by healthy postmenopausal endometrial epithelium and their subsequent loss in endometrial cancer is associated with poor survival.","type":"article-journal","volume":"114"},"uris":["http://www.mendeley.com/documents/?uuid=77c97903-b08f-4dff-9d42-d1771be07033"]}],"mendeley":{"formattedCitation":"[34]","plainTextFormattedCitation":"[34]","previouslyFormattedCitation":"[34]"},"properties":{"noteIndex":0},"schema":"https://github.com/citation-style-language/schema/raw/master/csl-citation.json"}</w:instrText>
      </w:r>
      <w:r w:rsidR="00212C3C" w:rsidRPr="00C56699">
        <w:rPr>
          <w:lang w:val="en-GB"/>
        </w:rPr>
        <w:fldChar w:fldCharType="separate"/>
      </w:r>
      <w:r w:rsidR="00E87175" w:rsidRPr="00C56699">
        <w:rPr>
          <w:noProof/>
          <w:lang w:val="en-GB"/>
        </w:rPr>
        <w:t>[34]</w:t>
      </w:r>
      <w:r w:rsidR="00212C3C" w:rsidRPr="00C56699">
        <w:rPr>
          <w:lang w:val="en-GB"/>
        </w:rPr>
        <w:fldChar w:fldCharType="end"/>
      </w:r>
      <w:r w:rsidR="00212C3C" w:rsidRPr="00C56699">
        <w:rPr>
          <w:lang w:val="en-GB"/>
        </w:rPr>
        <w:t xml:space="preserve">. Settlement of metastatic cells in the new microenvironment of the secondary tissue is a stressful event in cellular terms </w:t>
      </w:r>
      <w:r w:rsidR="00212C3C" w:rsidRPr="00C56699">
        <w:rPr>
          <w:lang w:val="en-GB"/>
        </w:rPr>
        <w:fldChar w:fldCharType="begin" w:fldLock="1"/>
      </w:r>
      <w:r w:rsidR="00E87175" w:rsidRPr="00C56699">
        <w:rPr>
          <w:lang w:val="en-GB"/>
        </w:rPr>
        <w:instrText>ADDIN CSL_CITATION {"citationItems":[{"id":"ITEM-1","itemData":{"DOI":"10.1007/s10555-010-9225-4","ISSN":"1573-7233","PMID":"20386957","abstract":"According to a \"canonical\" view, reactive oxygen species (ROS) positively contribute, in different ways, to carcinogenesis and to malignant progression of tumor cells: they drive genomic damage and genetic instability, transduce, as signaling intermediates, mitogenic and survival inputs by growth factor receptors and adhesion molecules, promote cell motility and shape the tumor microenvironment by inducing inflammation/repair and angiogenesis. Chemopreventive and tumor-inhibitory effects of endogenous, diet-derived or supplemented antioxidants largely support this notion. However, emerging lines of evidence indicates that tumor cells also need to defend themselves from oxidative damage in order to survive and successfully spread at distance. This \"heresy\" has recently received important impulse from studies on the role of antioxidant capacity in cancer stem cells self-renewal and resistance to therapy; additionally, the transforming activity of some oncogenes has been unexpectedly linked to their capacity to maintain elevated intracellular levels of reduced glutathione (GSH), the principal redox buffer. These studies underline the importance of cellular antioxidant capacity in metastasis, as the result of a complex cell program involving enhanced motility and a profound change in energy metabolism. The glycolytic switch (Warburg effect) observed in malignant tissues is triggered by mitochondrial oxidative damage and/or activation of redox-sensitive transcription factors, and results in an increase of cell resistance to oxidants. On the other hand, cytoskeleton rearrangement underlying cell motile and tumor-aggressive behavior use ROS as intermediates and are therefore facilitated by oxidative stress. Along this line of speculation, we suggest that metastasis represents an integrated strategy for cancer cells to avoid oxidative damage and escape excess ROS in the primary tumor site, explaning why redox signaling pathways are often up-regulated in malignancy and metastasis.","author":[{"dropping-particle":"","family":"Pani","given":"Giovambattista","non-dropping-particle":"","parse-names":false,"suffix":""},{"dropping-particle":"","family":"Galeotti","given":"Tommaso","non-dropping-particle":"","parse-names":false,"suffix":""},{"dropping-particle":"","family":"Chiarugi","given":"Paola","non-dropping-particle":"","parse-names":false,"suffix":""}],"container-title":"Cancer metastasis reviews","id":"ITEM-1","issue":"2","issued":{"date-parts":[["2010","6"]]},"page":"351-78","title":"Metastasis: cancer cell's escape from oxidative stress.","type":"article-journal","volume":"29"},"uris":["http://www.mendeley.com/documents/?uuid=f0af6a75-e06b-3913-acf4-0ed0296598bd"]}],"mendeley":{"formattedCitation":"[35]","plainTextFormattedCitation":"[35]","previouslyFormattedCitation":"[35]"},"properties":{"noteIndex":0},"schema":"https://github.com/citation-style-language/schema/raw/master/csl-citation.json"}</w:instrText>
      </w:r>
      <w:r w:rsidR="00212C3C" w:rsidRPr="00C56699">
        <w:rPr>
          <w:lang w:val="en-GB"/>
        </w:rPr>
        <w:fldChar w:fldCharType="separate"/>
      </w:r>
      <w:r w:rsidR="00E87175" w:rsidRPr="00C56699">
        <w:rPr>
          <w:noProof/>
          <w:lang w:val="en-GB"/>
        </w:rPr>
        <w:t>[35]</w:t>
      </w:r>
      <w:r w:rsidR="00212C3C" w:rsidRPr="00C56699">
        <w:rPr>
          <w:lang w:val="en-GB"/>
        </w:rPr>
        <w:fldChar w:fldCharType="end"/>
      </w:r>
      <w:r w:rsidR="00212C3C" w:rsidRPr="00C56699">
        <w:rPr>
          <w:lang w:val="en-GB"/>
        </w:rPr>
        <w:t xml:space="preserve">. The expression of steroid receptors can add a further endocrine stimulated stress by inducing large alterations in gene transcription </w:t>
      </w:r>
      <w:r w:rsidR="00212C3C" w:rsidRPr="00C56699">
        <w:rPr>
          <w:lang w:val="en-GB"/>
        </w:rPr>
        <w:fldChar w:fldCharType="begin" w:fldLock="1"/>
      </w:r>
      <w:r w:rsidR="00212C3C" w:rsidRPr="00C56699">
        <w:rPr>
          <w:lang w:val="en-GB"/>
        </w:rPr>
        <w:instrText>ADDIN CSL_CITATION {"citationItems":[{"id":"ITEM-1","itemData":{"DOI":"10.1186/bcr3408","ISSN":"14655411; 1465542X","PMID":"23635006","abstract":"Initially discovered as an estrogen-responsive gene in breast cancer cell lines, anterior gradient 2 (AGR2) is a developmentally regulated gene belonging to the protein disulfide isomerase (PDI) gene family. Developmentally, AGR2 is expressed in the mammary gland in an estrogen-dependent manner, and AGR2 knockout and overexpression mouse models indicate that the gene promotes lobuloalveolar development by stimulating cell proliferation. Although AGR2 overexpression alone seems insufficient for breast tumorigenesis in mice, several lines of investigations suggest that AGR2 promotes breast tumorigenesis. Overexpression of AGR2 in several breast cancer cell lines increases cell survival in clonogenic assays and cell proliferation, whereas AGR2 loss of function leads to decreased cell cycle progression and cell death. In addition, AGR2 was shown to promote metastasis of breast epithelial cells in an in vivo metastasis assay. As a PDI, AGR2 is thought to be involved in the unfolded protein response that alleviates endoplasmic reticulum stress. Since cancer has to overcome proteotoxic stress due to excess protein production, AGR2 may be one of many pro-survival factors recruited to assist in protein folding or degradation or both. When AGR2 is secreted, it plays a role in cellular adhesion and dissemination of metastatic tumor cells. In breast cancer, AGR2 expression is associated with estrogen receptor (ER)-positive tumors; its overexpression is a predictor of poor prognosis. The AGR2 gene is directly targeted by ER-alpha, which is preferentially bound in tumors with poor outcome. Whereas aromatase inhibitor therapy decreases AGR2 expression, tamoxifen acts as an agonist of AGR2 expression in ER-positive tumors, perhaps contributing to tamoxifen resistance. AGR2 is also overexpressed in a subset of ER-negative tumors. Furthermore, AGR2 expression is associated with the dissemination of metastatic breast cancer cells and can be used as a marker to identify circulating tumor cells and metastatic cells in sentinel lymph nodes. In conclusion, AGR2 is a promising drug target in breast cancer and may serve as a useful prognostic indicator as well as a marker of breast cancer metastasis.","author":[{"dropping-particle":"","family":"Salmans","given":"Michael L","non-dropping-particle":"","parse-names":false,"suffix":""},{"dropping-particle":"","family":"Zhao","given":"Fang","non-dropping-particle":"","parse-names":false,"suffix":""},{"dropping-particle":"","family":"Andersen","given":"Bogi","non-dropping-particle":"","parse-names":false,"suffix":""},{"dropping-particle":"","family":"Zhao","given":"Fang","non-dropping-particle":"","parse-names":false,"suffix":""}],"container-title":"Breast Cancer Research","id":"ITEM-1","issue":"15","issued":{"date-parts":[["2013","4","24"]]},"note":"From Duplicate 1 (The estrogen-regulated anterior gradient 2 (AGR2) protein in breast cancer: A potential drug target and biomarker - Salmans, M L; Andersen, B; Zhao, F)\n\n(. 1. )\n(. 2. )\n(Breast Cancer Research, 24 April 2013, 15(2)) Publication Type: Academic Journal; Rights: Copyright 2013 Elsevier B.V., All rights reserved.","page":"204-18","title":"The estrogen-regulated anterior gradient 2 (AGR2) protein in breast cancer: A potential drug target and biomarker","type":"article-journal","volume":"204"},"uris":["http://www.mendeley.com/documents/?uuid=14c1c1ac-ee9d-4e07-9139-39d4909aef9d"]}],"mendeley":{"formattedCitation":"[21]","plainTextFormattedCitation":"[21]","previouslyFormattedCitation":"[21]"},"properties":{"noteIndex":0},"schema":"https://github.com/citation-style-language/schema/raw/master/csl-citation.json"}</w:instrText>
      </w:r>
      <w:r w:rsidR="00212C3C" w:rsidRPr="00C56699">
        <w:rPr>
          <w:lang w:val="en-GB"/>
        </w:rPr>
        <w:fldChar w:fldCharType="separate"/>
      </w:r>
      <w:r w:rsidR="00212C3C" w:rsidRPr="00C56699">
        <w:rPr>
          <w:noProof/>
          <w:lang w:val="en-GB"/>
        </w:rPr>
        <w:t>[21]</w:t>
      </w:r>
      <w:r w:rsidR="00212C3C" w:rsidRPr="00C56699">
        <w:rPr>
          <w:lang w:val="en-GB"/>
        </w:rPr>
        <w:fldChar w:fldCharType="end"/>
      </w:r>
      <w:r w:rsidR="00212C3C" w:rsidRPr="00C56699">
        <w:rPr>
          <w:lang w:val="en-GB"/>
        </w:rPr>
        <w:t xml:space="preserve">. The involvement of AGR2 in protein folding and endoplasmic reticulum-assisted degradation </w:t>
      </w:r>
      <w:r w:rsidR="00212C3C" w:rsidRPr="00C56699">
        <w:rPr>
          <w:lang w:val="en-GB"/>
        </w:rPr>
        <w:fldChar w:fldCharType="begin" w:fldLock="1"/>
      </w:r>
      <w:r w:rsidR="00E87175" w:rsidRPr="00C56699">
        <w:rPr>
          <w:lang w:val="en-GB"/>
        </w:rPr>
        <w:instrText>ADDIN CSL_CITATION {"citationItems":[{"id":"ITEM-1","itemData":{"DOI":"10.1074/jbc.M111.275529","ISSN":"0021-9258","PMID":"22025610","abstract":"The protein-disulfide isomerase (PDI) family member anterior gradient 2 (AGR2) is reportedly overexpressed in numerous cancers and plays a role in cancer development. However, to date the molecular functions of AGR2 remain to be characterized. Herein we have identified AGR2 as bound to newly synthesized cargo proteins using a proteomics analysis of endoplasmic reticulum (ER) membrane-bound ribosomes. Nascent protein chains that translocate into the ER associate with specific ER luminal proteins, which in turn ensures proper folding and posttranslational modifications. Using both imaging and biochemical approaches, we confirmed that AGR2 localizes to the lumen of the ER and indirectly associates with ER membrane-bound ribosomes through nascent protein chains. We showed that AGR2 expression is controlled by the unfolded protein response and is in turn is involved in the maintenance of ER homeostasis. Remarkably, we have demonstrated that siRNA-mediated knockdown of AGR2 significantly alters the expression of components of the ER-associated degradation machinery and reduces the ability of cells to cope with acute ER stress, properties that might be relevant to the role of AGR2 in cancer development.","author":[{"dropping-particle":"","family":"Higa","given":"Arisa","non-dropping-particle":"","parse-names":false,"suffix":""},{"dropping-particle":"","family":"Mulot","given":"Audrey","non-dropping-particle":"","parse-names":false,"suffix":""},{"dropping-particle":"","family":"Delom","given":"Frédéric","non-dropping-particle":"","parse-names":false,"suffix":""},{"dropping-particle":"","family":"Bouchecareilh","given":"Marion","non-dropping-particle":"","parse-names":false,"suffix":""},{"dropping-particle":"","family":"Nguyên","given":"Duc Thang","non-dropping-particle":"","parse-names":false,"suffix":""},{"dropping-particle":"","family":"Boismenu","given":"Daniel","non-dropping-particle":"","parse-names":false,"suffix":""},{"dropping-particle":"","family":"Wise","given":"Michael J.","non-dropping-particle":"","parse-names":false,"suffix":""},{"dropping-particle":"","family":"Chevet","given":"Eric","non-dropping-particle":"","parse-names":false,"suffix":""}],"container-title":"Journal of Biological Chemistry","id":"ITEM-1","issue":"52","issued":{"date-parts":[["2011","12","30"]]},"page":"44855-44868","title":"Role of Pro-oncogenic Protein Disulfide Isomerase (PDI) Family Member Anterior Gradient 2 (AGR2) in the Control of Endoplasmic Reticulum Homeostasis","type":"article-journal","volume":"286"},"uris":["http://www.mendeley.com/documents/?uuid=348cce07-28cd-32f1-9ade-2c254b1e7eb8"]}],"mendeley":{"formattedCitation":"[36]","plainTextFormattedCitation":"[36]","previouslyFormattedCitation":"[36]"},"properties":{"noteIndex":0},"schema":"https://github.com/citation-style-language/schema/raw/master/csl-citation.json"}</w:instrText>
      </w:r>
      <w:r w:rsidR="00212C3C" w:rsidRPr="00C56699">
        <w:rPr>
          <w:lang w:val="en-GB"/>
        </w:rPr>
        <w:fldChar w:fldCharType="separate"/>
      </w:r>
      <w:r w:rsidR="00E87175" w:rsidRPr="00C56699">
        <w:rPr>
          <w:noProof/>
          <w:lang w:val="en-GB"/>
        </w:rPr>
        <w:t>[36]</w:t>
      </w:r>
      <w:r w:rsidR="00212C3C" w:rsidRPr="00C56699">
        <w:rPr>
          <w:lang w:val="en-GB"/>
        </w:rPr>
        <w:fldChar w:fldCharType="end"/>
      </w:r>
      <w:r w:rsidR="00212C3C" w:rsidRPr="00C56699">
        <w:rPr>
          <w:lang w:val="en-GB"/>
        </w:rPr>
        <w:t xml:space="preserve"> may, therefore, allow tumour cells to avoid cell death. Furthermore, a</w:t>
      </w:r>
      <w:r w:rsidR="00212C3C" w:rsidRPr="00C56699">
        <w:t xml:space="preserve"> recent report suggest</w:t>
      </w:r>
      <w:r w:rsidR="008734B2" w:rsidRPr="00C56699">
        <w:t>s</w:t>
      </w:r>
      <w:r w:rsidR="00212C3C" w:rsidRPr="00C56699">
        <w:t xml:space="preserve"> that AGR2 expression </w:t>
      </w:r>
      <w:r w:rsidR="006E105F" w:rsidRPr="00C56699">
        <w:t xml:space="preserve">downregulate EMT process and </w:t>
      </w:r>
      <w:r w:rsidR="00212C3C" w:rsidRPr="00C56699">
        <w:t xml:space="preserve">maintains the epithelial phenotype </w:t>
      </w:r>
      <w:r w:rsidR="00212C3C" w:rsidRPr="00C56699">
        <w:fldChar w:fldCharType="begin" w:fldLock="1"/>
      </w:r>
      <w:r w:rsidR="00E87175" w:rsidRPr="00C56699">
        <w:instrText>ADDIN CSL_CITATION {"citationItems":[{"id":"ITEM-1","itemData":{"DOI":"10.1186/s12885-017-3537-5","ISSN":"1471-2407","PMID":"28810836","abstract":"BACKGROUND During cancer progression, epithelial cancer cells can be reprogrammed into mesenchymal-like cells with increased migratory potential through the process of epithelial-mesenchymal transition (EMT), representing an essential step of tumor progression towards metastatic state. AGR2 protein was shown to regulate several cancer-associated processes including cellular proliferation, survival and drug resistance. METHODS The expression of AGR2 was analyzed in cancer cell lines exposed to TGF-β alone or to combined treatment with TGF-β and the Erk1/2 inhibitor PD98059 or the TGF-β receptor specific inhibitor SB431542. The impact of AGR2 silencing by specific siRNAs or CRISPR/Cas9 technology on EMT was investigated by western blot analysis, quantitative PCR, immunofluorescence analysis, real-time invasion assay and adhesion assay. RESULTS Induction of EMT was associated with decreased AGR2 along with changes in cellular morphology, actin reorganization, inhibition of E-cadherin and induction of the mesenchymal markers vimentin and N-cadherin in various cancer cell lines. Conversely, induction of AGR2 caused reversion of the mesenchymal phenotype back to the epithelial phenotype and re-acquisition of epithelial markers. Activated Smad and Erk signaling cascades were identified as mutually complementary pathways responsible for TGF-β-mediated inhibition of AGR2. CONCLUSION Taken together our results highlight a crucial role for AGR2 in maintaining the epithelial phenotype by preventing the activation of key factors involved in the process of EMT.","author":[{"dropping-particle":"","family":"Sommerova","given":"Lucia","non-dropping-particle":"","parse-names":false,"suffix":""},{"dropping-particle":"","family":"Ondrouskova","given":"Eva","non-dropping-particle":"","parse-names":false,"suffix":""},{"dropping-particle":"","family":"Vojtesek","given":"Borivoj","non-dropping-particle":"","parse-names":false,"suffix":""},{"dropping-particle":"","family":"Hrstka","given":"Roman","non-dropping-particle":"","parse-names":false,"suffix":""}],"container-title":"BMC Cancer","id":"ITEM-1","issue":"1","issued":{"date-parts":[["2017","12","15"]]},"page":"546","title":"Suppression of AGR2 in a TGF-β-induced Smad regulatory pathway mediates epithelial-mesenchymal transition","type":"article-journal","volume":"17"},"uris":["http://www.mendeley.com/documents/?uuid=cf9a8546-f129-3d3a-9260-27d3c6b96e88"]}],"mendeley":{"formattedCitation":"[37]","plainTextFormattedCitation":"[37]","previouslyFormattedCitation":"[37]"},"properties":{"noteIndex":0},"schema":"https://github.com/citation-style-language/schema/raw/master/csl-citation.json"}</w:instrText>
      </w:r>
      <w:r w:rsidR="00212C3C" w:rsidRPr="00C56699">
        <w:fldChar w:fldCharType="separate"/>
      </w:r>
      <w:r w:rsidR="00E87175" w:rsidRPr="00C56699">
        <w:rPr>
          <w:noProof/>
        </w:rPr>
        <w:t>[37]</w:t>
      </w:r>
      <w:r w:rsidR="00212C3C" w:rsidRPr="00C56699">
        <w:fldChar w:fldCharType="end"/>
      </w:r>
      <w:r w:rsidR="006E105F" w:rsidRPr="00C56699">
        <w:rPr>
          <w:rFonts w:eastAsia="Times New Roman"/>
        </w:rPr>
        <w:t xml:space="preserve"> which metastatic cells may need in the new </w:t>
      </w:r>
      <w:r w:rsidR="003516A6" w:rsidRPr="00C56699">
        <w:rPr>
          <w:rFonts w:eastAsia="Times New Roman"/>
        </w:rPr>
        <w:t xml:space="preserve">metastatic </w:t>
      </w:r>
      <w:r w:rsidR="006E105F" w:rsidRPr="00C56699">
        <w:rPr>
          <w:rFonts w:eastAsia="Times New Roman"/>
        </w:rPr>
        <w:t>niche</w:t>
      </w:r>
      <w:r w:rsidR="00212C3C" w:rsidRPr="00C56699">
        <w:t>.</w:t>
      </w:r>
    </w:p>
    <w:p w14:paraId="1D20C63E" w14:textId="3467D3EA" w:rsidR="00B946EA" w:rsidRPr="00C56699" w:rsidRDefault="00343683" w:rsidP="00CD0BFD">
      <w:r w:rsidRPr="00C56699">
        <w:lastRenderedPageBreak/>
        <w:t>P</w:t>
      </w:r>
      <w:r w:rsidR="00FC246E" w:rsidRPr="00C56699">
        <w:t xml:space="preserve">revious </w:t>
      </w:r>
      <w:r w:rsidR="004B54D4" w:rsidRPr="00C56699">
        <w:t xml:space="preserve">studies </w:t>
      </w:r>
      <w:r w:rsidR="00FC246E" w:rsidRPr="00C56699">
        <w:t xml:space="preserve">from </w:t>
      </w:r>
      <w:r w:rsidR="004A15FA" w:rsidRPr="00C56699">
        <w:t xml:space="preserve">other </w:t>
      </w:r>
      <w:r w:rsidR="004A15FA" w:rsidRPr="00C56699">
        <w:rPr>
          <w:noProof/>
        </w:rPr>
        <w:t>hormone</w:t>
      </w:r>
      <w:r w:rsidR="00075A1C" w:rsidRPr="00C56699">
        <w:rPr>
          <w:noProof/>
        </w:rPr>
        <w:t>-</w:t>
      </w:r>
      <w:r w:rsidR="004A15FA" w:rsidRPr="00C56699">
        <w:rPr>
          <w:noProof/>
        </w:rPr>
        <w:t>responsive</w:t>
      </w:r>
      <w:r w:rsidR="004A15FA" w:rsidRPr="00C56699">
        <w:t xml:space="preserve"> cancers</w:t>
      </w:r>
      <w:r w:rsidR="00C11583" w:rsidRPr="00C56699">
        <w:t>,</w:t>
      </w:r>
      <w:r w:rsidR="004A15FA" w:rsidRPr="00C56699">
        <w:t xml:space="preserve"> such as </w:t>
      </w:r>
      <w:r w:rsidR="00FC246E" w:rsidRPr="00C56699">
        <w:t>breast</w:t>
      </w:r>
      <w:r w:rsidR="003F6D71" w:rsidRPr="00C56699">
        <w:t xml:space="preserve"> </w:t>
      </w:r>
      <w:r w:rsidR="001F2BF3" w:rsidRPr="00C56699">
        <w:t xml:space="preserve">and </w:t>
      </w:r>
      <w:r w:rsidR="00FC246E" w:rsidRPr="00C56699">
        <w:t>prostate</w:t>
      </w:r>
      <w:r w:rsidR="004A15FA" w:rsidRPr="00C56699">
        <w:t>,</w:t>
      </w:r>
      <w:r w:rsidR="00C21C4C" w:rsidRPr="00C56699">
        <w:t xml:space="preserve"> </w:t>
      </w:r>
      <w:r w:rsidR="004B54D4" w:rsidRPr="00C56699">
        <w:t xml:space="preserve">reported </w:t>
      </w:r>
      <w:r w:rsidR="004F66E5" w:rsidRPr="00C56699">
        <w:t>oestrogen</w:t>
      </w:r>
      <w:r w:rsidR="004B54D4" w:rsidRPr="00C56699">
        <w:t xml:space="preserve"> and androgen</w:t>
      </w:r>
      <w:r w:rsidR="000F0CFB" w:rsidRPr="00C56699">
        <w:t xml:space="preserve"> </w:t>
      </w:r>
      <w:r w:rsidR="004F66E5" w:rsidRPr="00C56699">
        <w:t>regulat</w:t>
      </w:r>
      <w:r w:rsidR="00C11583" w:rsidRPr="00C56699">
        <w:t>ion of</w:t>
      </w:r>
      <w:r w:rsidR="004A15FA" w:rsidRPr="00C56699">
        <w:t xml:space="preserve"> </w:t>
      </w:r>
      <w:r w:rsidR="00C11583" w:rsidRPr="00C56699">
        <w:t xml:space="preserve">the </w:t>
      </w:r>
      <w:r w:rsidR="004A15FA" w:rsidRPr="00C56699">
        <w:rPr>
          <w:i/>
        </w:rPr>
        <w:t>AGR2</w:t>
      </w:r>
      <w:r w:rsidR="004F66E5" w:rsidRPr="00C56699">
        <w:t xml:space="preserve"> </w:t>
      </w:r>
      <w:r w:rsidR="00C11583" w:rsidRPr="00C56699">
        <w:t xml:space="preserve">gene </w:t>
      </w:r>
      <w:r w:rsidR="00B66ADE" w:rsidRPr="00C56699">
        <w:fldChar w:fldCharType="begin" w:fldLock="1"/>
      </w:r>
      <w:r w:rsidR="008004D4" w:rsidRPr="00C56699">
        <w:instrText>ADDIN CSL_CITATION {"citationItems":[{"id":"ITEM-1","itemData":{"DOI":"10.1158/0008-5472.CAN-04-3823","ISSN":"0008-5472","PMID":"15867376","abstract":"A suppression subtractive cDNA library representing mRNAs expressed at a higher level in the malignant human breast cancer cell line, MCF-7, relative to a benign breast tumor-derived cell line, Huma 123, contained a cDNA, M36, which was expressed in estrogen receptor alpha (ERalpha)-positive breast carcinoma cell lines but not in cell lines from normal/benign/ERalpha-negative malignant breast lesions. M36 cDNA had an identical coding sequence to anterior gradient 2 (AGR2), the human homologue of the cement gland-specific gene (Xenopus laevis). Screening of breast tumor specimens using reverse transcription-PCR and immunocytochemistry with affinity-purified anti-AGR2 antibodies showed that the presence of AGR2 mRNA and protein were both statistically significantly associated with ERalpha-positive carcinomas (P = 0.007, Fisher's exact test) and with malignancy (P &lt; or = 0.025). When an expression vector for AGR2 cDNA was introduced into benign nonmetastatic rat mammary tumor cells, and three separate clones and two pools of cells were transferred to the mammary glands of syngeneic hosts, there were no consistent differences in the mean latent periods of tumor formation. However, metastases occurred in the lungs of animals receiving the AGR2 transfectants in 77% to 92% of animals with primary tumors (P = 0.0001) compared with no metastases in the control groups. The AGR2 transfectants exhibited enhanced rates of adhesion to a plastic substratum and extracellular AGR2 enhanced the rate of attachment of AGR2-negative but not AGR2-positive cells. These experiments are the first to link mechanistically the developmental gene product, AGR2, with metastasis in vivo.","author":[{"dropping-particle":"","family":"Liu","given":"Dong","non-dropping-particle":"","parse-names":false,"suffix":""},{"dropping-particle":"","family":"Rudland","given":"Philip S","non-dropping-particle":"","parse-names":false,"suffix":""},{"dropping-particle":"","family":"Sibson","given":"D Ross","non-dropping-particle":"","parse-names":false,"suffix":""},{"dropping-particle":"","family":"Platt-Higgins","given":"Angela","non-dropping-particle":"","parse-names":false,"suffix":""},{"dropping-particle":"","family":"Barraclough","given":"Roger","non-dropping-particle":"","parse-names":false,"suffix":""}],"container-title":"Cancer Research","id":"ITEM-1","issue":"9","issued":{"date-parts":[["2005","5","1"]]},"note":"From Duplicate 1 (Human homologue of cement gland protein, a novel metastasis inducer associated with breast carcinomas - Liu, D; Rudland, P S; Sibson, D R; Platt-Higgins, A; Barraclough, R)\n\nCited By (since 1996):80\n\nFrom Duplicate 2 (Human homologue of cement gland protein, a novel metastasis inducer associated with breast carcinomas - Liu, Dong; Rudland, Philip S; Sibson, D Ross; Platt-Higgins, Angela; Barraclough, Roger)\n\nFrom Duplicate 1 (Human homologue of cement gland protein, a novel metastasis inducer associated with breast carcinomas - Liu, D; Rudland, P S; Sibson, D R; Platt-Higgins, A; Barraclough, R)\n\nCited By (since 1996):80\n\nFrom Duplicate 3 (Human homologue of cement gland protein, a novel metastasis inducer associated with breast carcinomas - Liu, Dong; Rudland, Philip S; Sibson, D Ross; Platt-Higgins, Angela; Barraclough, Roger)\n\nFrom Duplicate 1 (Human homologue of cement gland protein, a novel metastasis inducer associated with breast carcinomas - Liu, D; Rudland, P S; Sibson, D R; Platt-Higgins, A; Barraclough, R)\n\nCited By (since 1996):80","page":"3796-3805","title":"Human homologue of cement gland protein, a novel metastasis inducer associated with breast carcinomas","type":"article-journal","volume":"65"},"uris":["http://www.mendeley.com/documents/?uuid=a3e33951-601e-494b-ba96-b195a7952806"]},{"id":"ITEM-2","itemData":{"DOI":"10.1111/febs.12118","ISSN":"1742-4658","PMID":"23294566","abstract":"Androgens and oestrogens have been implicated in prostatic carcinogenesis and tumour progression. Although the actions of androgens have been studied extensively, the mechanisms underlying oestrogen signalling in prostate cancer are not fully understood. In the present study, we analyzed the effect of androgens and oestrogens on the expression of anterior gradient 2 (AGR2) and anterior gradient 3 (AGR3), comprising two highly-related genes encoding secretory proteins that are expressed in prostate cancer and one of which (AGR2) has been associated with tumour metastasis. Quantitative reverse-transcriptase PCR and western blot analysis showed androgen induction of AGR2 and AGR3 in three androgen receptor positive cell lines, starting at concentrations of 0.1 nm. Both AGR genes were also transcriptionally activated by ≥ 5 nM oestradiol but not by isotype selective or nonselective oestrogen receptor agonists in DUCaP cells that harbour a high-level of wild-type androgen receptor. A functional androgen receptor but not oestrogen receptor turned out to be required for both androgen and oestrogen regulation. This pattern of androgen and oestrogen regulation was confirmed in VCaP cells and was also observed for FKBP5, a well-characterized androgen-regulated gene. Genome-wide chromatin-immunoprecipitation studies coupled with deep sequencing identified androgen receptor binding sites localized in the distal promoter and intron regions of the AGR2 and AGR3 genes, respectively. The androgen responsiveness of these enhancers was verified by luciferase reporter gene assays and site-directed mutagenesis analysis. Androgen treatment also induced p300 and RNA Pol II recruitment to androgen receptor enhancers of AGR2 and initiated local chromatin remodelling and the formation of RNA Pol II-containing androgen receptor transcription complexes.","author":[{"dropping-particle":"","family":"Bu","given":"Huajie","non-dropping-particle":"","parse-names":false,"suffix":""},{"dropping-particle":"","family":"Schweiger","given":"Michal R","non-dropping-particle":"","parse-names":false,"suffix":""},{"dropping-particle":"","family":"Manke","given":"Thomas","non-dropping-particle":"","parse-names":false,"suffix":""},{"dropping-particle":"","family":"Wunderlich","given":"Andrea","non-dropping-particle":"","parse-names":false,"suffix":""},{"dropping-particle":"","family":"Timmermann","given":"Bernd","non-dropping-particle":"","parse-names":false,"suffix":""},{"dropping-particle":"","family":"Kerick","given":"Martin","non-dropping-particle":"","parse-names":false,"suffix":""},{"dropping-particle":"","family":"Pasqualini","given":"Lorenza","non-dropping-particle":"","parse-names":false,"suffix":""},{"dropping-particle":"","family":"Shehu","given":"Erald","non-dropping-particle":"","parse-names":false,"suffix":""},{"dropping-particle":"","family":"Fuchsberger","given":"Christian","non-dropping-particle":"","parse-names":false,"suffix":""},{"dropping-particle":"","family":"Cato","given":"Andrew C B","non-dropping-particle":"","parse-names":false,"suffix":""},{"dropping-particle":"","family":"Klocker","given":"Helmut","non-dropping-particle":"","parse-names":false,"suffix":""}],"container-title":"The FEBS journal","id":"ITEM-2","issue":"5","issued":{"date-parts":[["2013","3"]]},"page":"1249-66","title":"Anterior gradient 2 and 3--two prototype androgen-responsive genes transcriptionally upregulated by androgens and by oestrogens in prostate cancer cells.","type":"article-journal","volume":"280"},"uris":["http://www.mendeley.com/documents/?uuid=f34c4c43-b535-44ca-be9d-fc99d60baf16"]}],"mendeley":{"formattedCitation":"[17,20]","plainTextFormattedCitation":"[17,20]","previouslyFormattedCitation":"[17,20]"},"properties":{"noteIndex":0},"schema":"https://github.com/citation-style-language/schema/raw/master/csl-citation.json"}</w:instrText>
      </w:r>
      <w:r w:rsidR="00B66ADE" w:rsidRPr="00C56699">
        <w:fldChar w:fldCharType="separate"/>
      </w:r>
      <w:r w:rsidR="00411DA0" w:rsidRPr="00C56699">
        <w:rPr>
          <w:noProof/>
        </w:rPr>
        <w:t>[17,20]</w:t>
      </w:r>
      <w:r w:rsidR="00B66ADE" w:rsidRPr="00C56699">
        <w:fldChar w:fldCharType="end"/>
      </w:r>
      <w:r w:rsidR="004A15FA" w:rsidRPr="00C56699">
        <w:t>.</w:t>
      </w:r>
      <w:r w:rsidR="00C21C4C" w:rsidRPr="00C56699">
        <w:t xml:space="preserve"> </w:t>
      </w:r>
      <w:r w:rsidR="004A15FA" w:rsidRPr="00C56699">
        <w:t xml:space="preserve">In the endometrium, </w:t>
      </w:r>
      <w:r w:rsidR="00E54E8F" w:rsidRPr="00C56699">
        <w:t xml:space="preserve">the </w:t>
      </w:r>
      <w:r w:rsidR="004F66E5" w:rsidRPr="00C56699">
        <w:t xml:space="preserve">ovarian </w:t>
      </w:r>
      <w:r w:rsidR="00C21C4C" w:rsidRPr="00C56699">
        <w:t>steroid receptor</w:t>
      </w:r>
      <w:r w:rsidR="004A15FA" w:rsidRPr="00C56699">
        <w:t xml:space="preserve"> genes</w:t>
      </w:r>
      <w:r w:rsidR="00C21C4C" w:rsidRPr="00C56699">
        <w:t xml:space="preserve"> are </w:t>
      </w:r>
      <w:r w:rsidR="004A15FA" w:rsidRPr="00C56699">
        <w:t>well</w:t>
      </w:r>
      <w:r w:rsidR="00075A1C" w:rsidRPr="00C56699">
        <w:t>-</w:t>
      </w:r>
      <w:r w:rsidR="004A15FA" w:rsidRPr="00C56699">
        <w:t>established downstream</w:t>
      </w:r>
      <w:r w:rsidR="00096F90" w:rsidRPr="00C56699">
        <w:t xml:space="preserve"> </w:t>
      </w:r>
      <w:r w:rsidR="00E54E8F" w:rsidRPr="00C56699">
        <w:t>targets</w:t>
      </w:r>
      <w:r w:rsidR="004A15FA" w:rsidRPr="00C56699">
        <w:t xml:space="preserve"> </w:t>
      </w:r>
      <w:r w:rsidR="00096F90" w:rsidRPr="00C56699">
        <w:t xml:space="preserve">of </w:t>
      </w:r>
      <w:r w:rsidR="00CE1A4C" w:rsidRPr="00C56699">
        <w:t xml:space="preserve">ligand (oestrogen) bound </w:t>
      </w:r>
      <w:r w:rsidR="009E246C" w:rsidRPr="00C56699">
        <w:t xml:space="preserve">ERα </w:t>
      </w:r>
      <w:r w:rsidR="00B66ADE" w:rsidRPr="00C56699">
        <w:fldChar w:fldCharType="begin" w:fldLock="1"/>
      </w:r>
      <w:r w:rsidR="00E87175" w:rsidRPr="00C56699">
        <w:instrText>ADDIN CSL_CITATION {"citationItems":[{"id":"ITEM-1","itemData":{"ISSN":"0006-3363","PMID":"8788178","abstract":"Estrogens regulate the growth, differentiation, and functioning of diverse target tissues, both within and outside of the reproductive system. Most of the actions of estrogens appear to be exerted via the estrogen receptor (ER) of target cells, an intracellular receptor that is a member of a large superfamily of proteins that function as ligand-activated transcription factors, regulating the synthesis of specific RNAs and proteins. To understand how the ER discriminates between estrogen ligands, which activate the ER, and antiestrogen ligands, which fail to effectively activate the ER, we have generated and analyzed human estrogen receptors with mutations in the ER hormone binding domain. These studies provide evidence for the promoter-specific and cell-specific actions of the estrogen-occupied and antiestrogen-occupied and antiestrogen-occupied ER, highlight a regional dissociation of the hormone binding and transcription activation functions in domain E of the receptor, and indicate that some of the contact sites of estrogens and antiestrogens in the ER are likely different. In addition, multiple interactions among different cellular signaling pathways are involved in the regulation of gene expression and cell proliferation by the ER. In several cell types, protein kinase activators and some growth factors enhance the transcriptional activity of the ER. Cyclic AMP also alters the agonist/antagonist balance of some antiestrogens. Estrogens and, to a lesser extent, antiestrogens, as well as protein kinase activators and growth factors increase phosphorylation of the ER and possibly other proteins involved in the ER-specific response pathway, suggesting that changes in cellular phosphorylation state will be important in determining the biological activity of the ER and the effectiveness of antiestrogens as estrogen antagonists. The ER also has important interrelationships with the progesterone receptor (PR) system in modulation of biological responses. Liganded PR-A and PR-B can each suppress estradiol-stimulated ER activity, with the magnitude of repression dependent on the PR isoform, progestin ligand, promoter, and cell type. These findings underscore the mounting evidence for the importance of interactions between members of the steroid hormone receptor family.","author":[{"dropping-particle":"","family":"Katzenellenbogen","given":"B S","non-dropping-particle":"","parse-names":false,"suffix":""}],"container-title":"Biology of reproduction","id":"ITEM-1","issue":"2","issued":{"date-parts":[["1996","2"]]},"page":"287-93","title":"Estrogen receptors: bioactivities and interactions with cell signaling pathways.","type":"article-journal","volume":"54"},"uris":["http://www.mendeley.com/documents/?uuid=028b2758-31b1-4669-b8e3-82c0a3c86816"]}],"mendeley":{"formattedCitation":"[38]","plainTextFormattedCitation":"[38]","previouslyFormattedCitation":"[38]"},"properties":{"noteIndex":0},"schema":"https://github.com/citation-style-language/schema/raw/master/csl-citation.json"}</w:instrText>
      </w:r>
      <w:r w:rsidR="00B66ADE" w:rsidRPr="00C56699">
        <w:fldChar w:fldCharType="separate"/>
      </w:r>
      <w:r w:rsidR="00E87175" w:rsidRPr="00C56699">
        <w:rPr>
          <w:noProof/>
        </w:rPr>
        <w:t>[38]</w:t>
      </w:r>
      <w:r w:rsidR="00B66ADE" w:rsidRPr="00C56699">
        <w:fldChar w:fldCharType="end"/>
      </w:r>
      <w:r w:rsidR="004A15FA" w:rsidRPr="00C56699">
        <w:t xml:space="preserve">. </w:t>
      </w:r>
      <w:r w:rsidR="006554B3" w:rsidRPr="00C56699">
        <w:t xml:space="preserve">In breast cancer studies, AGR2 expression is associated with ER-positive tumors and its overexpression is a predictor of poor prognosis. Moreover, the </w:t>
      </w:r>
      <w:r w:rsidR="006554B3" w:rsidRPr="00C56699">
        <w:rPr>
          <w:i/>
        </w:rPr>
        <w:t>AGR2</w:t>
      </w:r>
      <w:r w:rsidR="006554B3" w:rsidRPr="00C56699">
        <w:t xml:space="preserve"> gene is directly targeted by ERα, which is preferentially bound in tumors with poor outcome </w:t>
      </w:r>
      <w:r w:rsidR="008004D4" w:rsidRPr="00C56699">
        <w:fldChar w:fldCharType="begin" w:fldLock="1"/>
      </w:r>
      <w:r w:rsidR="008004D4" w:rsidRPr="00C56699">
        <w:instrText>ADDIN CSL_CITATION {"citationItems":[{"id":"ITEM-1","itemData":{"DOI":"10.1186/bcr3408","ISSN":"14655411; 1465542X","PMID":"23635006","abstract":"Initially discovered as an estrogen-responsive gene in breast cancer cell lines, anterior gradient 2 (AGR2) is a developmentally regulated gene belonging to the protein disulfide isomerase (PDI) gene family. Developmentally, AGR2 is expressed in the mammary gland in an estrogen-dependent manner, and AGR2 knockout and overexpression mouse models indicate that the gene promotes lobuloalveolar development by stimulating cell proliferation. Although AGR2 overexpression alone seems insufficient for breast tumorigenesis in mice, several lines of investigations suggest that AGR2 promotes breast tumorigenesis. Overexpression of AGR2 in several breast cancer cell lines increases cell survival in clonogenic assays and cell proliferation, whereas AGR2 loss of function leads to decreased cell cycle progression and cell death. In addition, AGR2 was shown to promote metastasis of breast epithelial cells in an in vivo metastasis assay. As a PDI, AGR2 is thought to be involved in the unfolded protein response that alleviates endoplasmic reticulum stress. Since cancer has to overcome proteotoxic stress due to excess protein production, AGR2 may be one of many pro-survival factors recruited to assist in protein folding or degradation or both. When AGR2 is secreted, it plays a role in cellular adhesion and dissemination of metastatic tumor cells. In breast cancer, AGR2 expression is associated with estrogen receptor (ER)-positive tumors; its overexpression is a predictor of poor prognosis. The AGR2 gene is directly targeted by ER-alpha, which is preferentially bound in tumors with poor outcome. Whereas aromatase inhibitor therapy decreases AGR2 expression, tamoxifen acts as an agonist of AGR2 expression in ER-positive tumors, perhaps contributing to tamoxifen resistance. AGR2 is also overexpressed in a subset of ER-negative tumors. Furthermore, AGR2 expression is associated with the dissemination of metastatic breast cancer cells and can be used as a marker to identify circulating tumor cells and metastatic cells in sentinel lymph nodes. In conclusion, AGR2 is a promising drug target in breast cancer and may serve as a useful prognostic indicator as well as a marker of breast cancer metastasis.","author":[{"dropping-particle":"","family":"Salmans","given":"Michael L","non-dropping-particle":"","parse-names":false,"suffix":""},{"dropping-particle":"","family":"Zhao","given":"Fang","non-dropping-particle":"","parse-names":false,"suffix":""},{"dropping-particle":"","family":"Andersen","given":"Bogi","non-dropping-particle":"","parse-names":false,"suffix":""},{"dropping-particle":"","family":"Zhao","given":"Fang","non-dropping-particle":"","parse-names":false,"suffix":""}],"container-title":"Breast Cancer Research","id":"ITEM-1","issue":"15","issued":{"date-parts":[["2013","4","24"]]},"note":"From Duplicate 1 (The estrogen-regulated anterior gradient 2 (AGR2) protein in breast cancer: A potential drug target and biomarker - Salmans, M L; Andersen, B; Zhao, F)\n\n(. 1. )\n(. 2. )\n(Breast Cancer Research, 24 April 2013, 15(2)) Publication Type: Academic Journal; Rights: Copyright 2013 Elsevier B.V., All rights reserved.","page":"204-18","title":"The estrogen-regulated anterior gradient 2 (AGR2) protein in breast cancer: A potential drug target and biomarker","type":"article-journal","volume":"204"},"uris":["http://www.mendeley.com/documents/?uuid=14c1c1ac-ee9d-4e07-9139-39d4909aef9d"]}],"mendeley":{"formattedCitation":"[21]","plainTextFormattedCitation":"[21]","previouslyFormattedCitation":"[21]"},"properties":{"noteIndex":0},"schema":"https://github.com/citation-style-language/schema/raw/master/csl-citation.json"}</w:instrText>
      </w:r>
      <w:r w:rsidR="008004D4" w:rsidRPr="00C56699">
        <w:fldChar w:fldCharType="separate"/>
      </w:r>
      <w:r w:rsidR="008004D4" w:rsidRPr="00C56699">
        <w:rPr>
          <w:noProof/>
        </w:rPr>
        <w:t>[21]</w:t>
      </w:r>
      <w:r w:rsidR="008004D4" w:rsidRPr="00C56699">
        <w:fldChar w:fldCharType="end"/>
      </w:r>
      <w:r w:rsidR="006554B3" w:rsidRPr="00C56699">
        <w:t xml:space="preserve">. </w:t>
      </w:r>
      <w:r w:rsidR="004A15FA" w:rsidRPr="00C56699">
        <w:t xml:space="preserve">We observed that </w:t>
      </w:r>
      <w:r w:rsidR="004F66E5" w:rsidRPr="00C56699">
        <w:t xml:space="preserve">the </w:t>
      </w:r>
      <w:r w:rsidR="004A15FA" w:rsidRPr="00C56699">
        <w:rPr>
          <w:iCs/>
        </w:rPr>
        <w:t>high</w:t>
      </w:r>
      <w:r w:rsidR="00ED5488" w:rsidRPr="00C56699">
        <w:rPr>
          <w:iCs/>
        </w:rPr>
        <w:t xml:space="preserve"> </w:t>
      </w:r>
      <w:r w:rsidR="004A15FA" w:rsidRPr="00C56699">
        <w:rPr>
          <w:iCs/>
        </w:rPr>
        <w:t>AGR2</w:t>
      </w:r>
      <w:r w:rsidR="004A15FA" w:rsidRPr="00C56699">
        <w:t xml:space="preserve"> </w:t>
      </w:r>
      <w:r w:rsidR="00CD0BFD" w:rsidRPr="00C56699">
        <w:rPr>
          <w:lang w:val="en-GB"/>
        </w:rPr>
        <w:t xml:space="preserve">quick </w:t>
      </w:r>
      <w:r w:rsidR="00075A1C" w:rsidRPr="00C56699">
        <w:rPr>
          <w:lang w:val="en-GB"/>
        </w:rPr>
        <w:t>scores</w:t>
      </w:r>
      <w:r w:rsidR="00A43C79" w:rsidRPr="00C56699">
        <w:rPr>
          <w:lang w:val="en-GB"/>
        </w:rPr>
        <w:t xml:space="preserve"> </w:t>
      </w:r>
      <w:r w:rsidR="004A15FA" w:rsidRPr="00C56699">
        <w:t xml:space="preserve">significantly correlated with positive </w:t>
      </w:r>
      <w:r w:rsidR="00E54E8F" w:rsidRPr="00C56699">
        <w:t xml:space="preserve">protein expression scores for </w:t>
      </w:r>
      <w:r w:rsidR="004A15FA" w:rsidRPr="00C56699">
        <w:t xml:space="preserve">ERα, PR and AR, </w:t>
      </w:r>
      <w:r w:rsidRPr="00C56699">
        <w:t>suggesting a possible</w:t>
      </w:r>
      <w:r w:rsidR="006E3A01" w:rsidRPr="00C56699">
        <w:t xml:space="preserve"> </w:t>
      </w:r>
      <w:r w:rsidRPr="00C56699">
        <w:t xml:space="preserve">role </w:t>
      </w:r>
      <w:r w:rsidR="004A15FA" w:rsidRPr="00C56699">
        <w:t>for</w:t>
      </w:r>
      <w:r w:rsidRPr="00C56699">
        <w:t xml:space="preserve"> E2 in AGR2 regulation</w:t>
      </w:r>
      <w:r w:rsidR="00786CEF" w:rsidRPr="00C56699">
        <w:t>.</w:t>
      </w:r>
      <w:r w:rsidR="006E3A01" w:rsidRPr="00C56699">
        <w:t xml:space="preserve"> Since circulatory oestrogen and androgen hormones are significantly elevated in women with EC </w:t>
      </w:r>
      <w:r w:rsidR="008004D4" w:rsidRPr="00C56699">
        <w:fldChar w:fldCharType="begin" w:fldLock="1"/>
      </w:r>
      <w:r w:rsidR="00E87175" w:rsidRPr="00C56699">
        <w:instrText>ADDIN CSL_CITATION {"citationItems":[{"id":"ITEM-1","itemData":{"DOI":"10.1038/emboj.2011.158","ISSN":"1460-2075","abstract":"The androgen receptor (AR) is a key regulator of prostate growth and the principal drug target for the treatment of prostate cancer. Previous studies have mapped AR targets and identified some candidates which may contribute to cancer progression, but did not characterize AR biology in an integrated manner. In this study, we took an interdisciplinary approach, integrating detailed genomic studies with metabolomic profiling and identify an anabolic transcriptional network involving AR as the core regulator. Restricting flux through anabolic pathways is an attractive approach to deprive tumours of the building blocks needed to sustain tumour growth. Therefore, we searched for targets of the AR that may contribute to these anabolic processes and could be amenable to therapeutic intervention by virtue of differential expression in prostate tumours. This highlighted calcium/calmodulin-dependent protein kinase kinase 2, which we show is overexpressed in prostate cancer and regulates cancer cell growth via its unexpected role as a hormone-dependent modulator of anabolic metabolism. In conclusion, it is possible to progress from transcriptional studies to a promising therapeutic target by taking an unbiased interdisciplinary approach.;","author":[{"dropping-particle":"","family":"Massie","given":"Charles E","non-dropping-particle":"","parse-names":false,"suffix":""},{"dropping-particle":"","family":"Lynch","given":"Andy","non-dropping-particle":"","parse-names":false,"suffix":""},{"dropping-particle":"","family":"Ramos-Montoya","given":"Antonio","non-dropping-particle":"","parse-names":false,"suffix":""},{"dropping-particle":"","family":"Boren","given":"Joan","non-dropping-particle":"","parse-names":false,"suffix":""},{"dropping-particle":"","family":"Stark","given":"Rory","non-dropping-particle":"","parse-names":false,"suffix":""},{"dropping-particle":"","family":"Fazli","given":"Ladan","non-dropping-particle":"","parse-names":false,"suffix":""},{"dropping-particle":"","family":"Warren","given":"Anne","non-dropping-particle":"","parse-names":false,"suffix":""},{"dropping-particle":"","family":"Scott","given":"Helen","non-dropping-particle":"","parse-names":false,"suffix":""},{"dropping-particle":"","family":"Madhu","given":"Basetti","non-dropping-particle":"","parse-names":false,"suffix":""},{"dropping-particle":"","family":"Sharma","given":"Naomi","non-dropping-particle":"","parse-names":false,"suffix":""},{"dropping-particle":"","family":"Bon","given":"Helene","non-dropping-particle":"","parse-names":false,"suffix":""},{"dropping-particle":"","family":"Zecchini","given":"Vinny","non-dropping-particle":"","parse-names":false,"suffix":""},{"dropping-particle":"","family":"Smith","given":"Donna-Michelle","non-dropping-particle":"","parse-names":false,"suffix":""},{"dropping-particle":"","family":"Denicola","given":"Gina M","non-dropping-particle":"","parse-names":false,"suffix":""},{"dropping-particle":"","family":"Mathews","given":"Nik","non-dropping-particle":"","parse-names":false,"suffix":""},{"dropping-particle":"","family":"Osborne","given":"Michelle","non-dropping-particle":"","parse-names":false,"suffix":""},{"dropping-particle":"","family":"Hadfield","given":"James","non-dropping-particle":"","parse-names":false,"suffix":""},{"dropping-particle":"","family":"Macarthur","given":"Stewart","non-dropping-particle":"","parse-names":false,"suffix":""},{"dropping-particle":"","family":"Adryan","given":"Boris","non-dropping-particle":"","parse-names":false,"suffix":""},{"dropping-particle":"","family":"Lyons","given":"Scott K","non-dropping-particle":"","parse-names":false,"suffix":""},{"dropping-particle":"","family":"Brindle","given":"Kevin M","non-dropping-particle":"","parse-names":false,"suffix":""},{"dropping-particle":"","family":"Griffiths","given":"John","non-dropping-particle":"","parse-names":false,"suffix":""},{"dropping-particle":"","family":"Gleave","given":"Martin E","non-dropping-particle":"","parse-names":false,"suffix":""},{"dropping-particle":"","family":"Rennie","given":"Paul S","non-dropping-particle":"","parse-names":false,"suffix":""},{"dropping-particle":"","family":"Neal","given":"David E","non-dropping-particle":"","parse-names":false,"suffix":""},{"dropping-particle":"","family":"Mills","given":"Ian G","non-dropping-particle":"","parse-names":false,"suffix":""}],"container-title":"The EMBO journal","id":"ITEM-1","issue":"13","issued":{"date-parts":[["2011"]]},"note":"author reply 3081. (PMID: 12069667). Cites: J Biol Chem. 1974 Dec 25;249(24):7824-31. (PMID: 4279251). Cites: Biochem Biophys Res Commun. 1990 Dec 14;173(2):534-40. (PMID: 2260966). Cites: Neoplasia. 2004 Jan-Feb;6(1):1-6. (PMID: 15068665). Cites: J Biol Chem. 2004 Jul 16;279(29):30880-7. (PMID: 15133039). Cites: Endocrinology. 2004 Aug;145(8):3913-24. (PMID: 15131019). Cites: Mol Endocrinol. 1992 Dec;6(12):2229-35. (PMID: 1491700). Cites: Nat Genet. 1995 Apr;9(4):401-6. (PMID: 7795646). Cites: Proc Int Conf Intell Syst Mol Biol. 1995;3:21-9. (PMID: 7584439). Cites: J Biol Chem. 1997 Nov 14;272(46):28875-81. (PMID: 9360955). Cites: J Biol Chem. 1998 Aug 7;273(32):20213-22. (PMID: 9685369). Cites: Nat Med. 1999 Mar;5(3):280-5. (PMID: 10086382). Cites: Biochem Biophys Res Commun. 2004 Dec 24;325(4):1312-7. (PMID: 15555570). Cites: Nucleic Acids Res. 2005;33(5):1445-53. (PMID: 15760844). Cites: J Steroid Biochem Mol Biol. 2005 Aug;96(3-4):251-8. (PMID: 15982869). Cites: Cancer Cell. 2005 Nov;8(5):393-406. (PMID: 16286247). Cites: Biochem Biophys Res Commun. 2006 Jan 6;339(1):99-106. (PMID: 16289377). Cites: Cell. 2006 Apr 21;125(2):315-26. (PMID: 16630819). Cites: Cancer Res. 2006 Aug 1;66(15):7783-92. (PMID: 16885382). Cites: Nat Genet. 2006 Nov;38(11):1289-97. (PMID: 17013392). Cites: Mol Cancer. 2006;5:64. (PMID: 17123452). Cites: Nat Cell Biol. 2007 Feb;9(2):218-24. (PMID: 17237771). Cites: Oncogene. 2007 Apr 5;26(16):2386-94. (PMID: 17016436). Cites: Cell. 2007 May 18;129(4):823-37. (PMID: 17512414). Cites: Science. 2007 Jun 8;316(5830):1497-502. (PMID: 17540862). Cites: Genome Res. 2007 Jun;17(6):960-4. (PMID: 17568012). Cites: Oncogene. 2007 Jun 28;26(30):4453-63. (PMID: 17297473). Cites: Mol Cancer. 2007;6:38. (PMID: 17553164). Cites: Mol Cancer. 2007;6:39. (PMID: 17553165). Cites: Prostate. 2007 Sep 15;67(13):1371-83. (PMID: 17624924). Cites: Mol Cell. 2007 Aug 3;27(3):380-92. (PMID: 17679089). Cites: Genes Dev. 2007 Aug 15;21(16):2005-17. (PMID: 17699749). Cites: EMBO Rep. 2007 Sep;8(9):871-8. (PMID: 17721441). Cites: Bioinformatics. 2007 Aug 15;23(16):2183-4. (PMID: 17586828). Cites: Anal Biochem. 2008 Jan 15;372(2):204-12. (PMID: 17963684). Cites: Cancer Res. 2008 Feb 15;68(4):1128-35. (PMID: 18281488). Cites: Nature. 2008 Mar 13;452(7184):230-3. (PMID: 18337823). Cites: Mol Cell. 2008 Apr 25;30(2):214-26. (PMID: 18439900). Cites: Cell Metab. 2008 May;7(5):377-88. (PMID: 18460329). Cites: Cancer Res. 2008 Sep 15;68(18):7475-83. (PMID: 18794135). Cites: Science. 2008 Oct 17;322(5900):434-8. (PMID: 18787134). Cites: Genome Res. 2008 Nov;18(11):1851-8. (PMID: 18714091). Cites: PLoS One. 2008;3(11):e3645. (PMID: 18997859). Cites: PLoS One. 2008;3(11):e3713. (PMID: 19002256). Cites: Science. 2008 Dec 19;322(5909):1845-8. (PMID: 19056941). Cites: Clin Cancer Res. 2009 Jan 1;15(1):39-47. (PMID: 19118031). Cites: J Natl Cancer Inst. 2009 Apr 1;101(7):519-32. (PMID: 19318631). Cites: Mol Cancer Ther. 2009 Apr;8(4):733-41. (PMID: 19372545). Cites: Oncogene. 2009 May 7;28(18):1993-2002. (PMID: 19347029). Cites: Science. 2009 May 8;324(5928):787-90. (PMID: 19359544). Cites: Cancer Res. 2009 May 15;69(10):4434-42. (PMID: 19366804). Cites: Science. 2009 May 22;324(5930):1029-33. (PMID: 19460998). Cites: Cell. 2009 Jul 23;138(2):245-56. (PMID: 19632176). Cites: J Clin Oncol. 2009 Aug 10;27(23):3742-8. (PMID: 19470933). Cites: PLoS One. 2009;4(8):e6589. (PMID: 19668381). Cites: Cancer Res. 2009 Aug 15;69(16):6522-30. (PMID: 19654297). Cites: Proc Natl Acad Sci U S A. 2009 Dec 22;106(51):21660-5. (PMID: 19995986). Cites: Cancer Cell. 2010 May 18;17(5):443-54. (PMID: 20478527). Cites: Science. 2010 Sep 17;329(5998):1492-9. (PMID: 20847263). Cites: Mol Cell Endocrinol. 2011 Jan 1;331(1):57-65. (PMID: 20728506). Comment in: EMBO J. 2011 Jul 6;30(13):2516-7. (PMID: 21731047). Linking ISSN: 02614189. Subset: IM; Grant Information: United Kingdom Cancer Research UK Date of Electronic Publication: 2011 May 20. Current Imprints: Publication: London : Nature Pub. Group; Original Imprints: Publication: Eynsham, Oxford, England : Published for the European Molecular Biology Organization by IRL Press, c1982-","page":"2719-2733","publisher-place":"CRUK Cambridge Research Institute, Cambridge, UK.","title":"The androgen receptor fuels prostate cancer by regulating central metabolism and biosynthesis","type":"article-journal","volume":"30"},"uris":["http://www.mendeley.com/documents/?uuid=aa7afeb6-de91-4f62-a610-f446776d828a"]}],"mendeley":{"formattedCitation":"[39]","plainTextFormattedCitation":"[39]","previouslyFormattedCitation":"[39]"},"properties":{"noteIndex":0},"schema":"https://github.com/citation-style-language/schema/raw/master/csl-citation.json"}</w:instrText>
      </w:r>
      <w:r w:rsidR="008004D4" w:rsidRPr="00C56699">
        <w:fldChar w:fldCharType="separate"/>
      </w:r>
      <w:r w:rsidR="00E87175" w:rsidRPr="00C56699">
        <w:rPr>
          <w:noProof/>
        </w:rPr>
        <w:t>[39]</w:t>
      </w:r>
      <w:r w:rsidR="008004D4" w:rsidRPr="00C56699">
        <w:fldChar w:fldCharType="end"/>
      </w:r>
      <w:r w:rsidR="006E3A01" w:rsidRPr="00C56699">
        <w:t xml:space="preserve">, we examined their effect on endometrial epithelial </w:t>
      </w:r>
      <w:r w:rsidR="006E3A01" w:rsidRPr="00C56699">
        <w:rPr>
          <w:i/>
          <w:iCs/>
        </w:rPr>
        <w:t>AGR2</w:t>
      </w:r>
      <w:r w:rsidR="006E3A01" w:rsidRPr="00C56699">
        <w:t xml:space="preserve"> gene expression using two </w:t>
      </w:r>
      <w:r w:rsidR="006E3A01" w:rsidRPr="00C56699">
        <w:rPr>
          <w:i/>
        </w:rPr>
        <w:t>in vitro</w:t>
      </w:r>
      <w:r w:rsidR="006E3A01" w:rsidRPr="00C56699">
        <w:t xml:space="preserve"> models: one monoculture; the other co-culture. In the absence of stromal cells, E2 and DHT failed to induce significant changes in </w:t>
      </w:r>
      <w:r w:rsidR="006E3A01" w:rsidRPr="00C56699">
        <w:rPr>
          <w:i/>
          <w:iCs/>
        </w:rPr>
        <w:t>AGR2</w:t>
      </w:r>
      <w:r w:rsidR="006E3A01" w:rsidRPr="00C56699">
        <w:t xml:space="preserve"> mRNA levels in the Ishikawa cells. However this is in contrast to a recent study showing that both estrogen and tamoxifen induced AGR2 protein expression in Ishikawa cells after 24 hours </w:t>
      </w:r>
      <w:r w:rsidR="008004D4" w:rsidRPr="00C56699">
        <w:fldChar w:fldCharType="begin" w:fldLock="1"/>
      </w:r>
      <w:r w:rsidR="008004D4" w:rsidRPr="00C56699">
        <w:instrText>ADDIN CSL_CITATION {"citationItems":[{"id":"ITEM-1","itemData":{"DOI":"10.1080/07357907.2017.1309546","ISSN":"0735-7907","PMID":"28402678","abstract":"Tamoxifen treatment in breast cancer patients is associated with increased risk of endometrial malignancies. Significantly, higher AGR2 expression was found in endometrial cancers that developed in women previously treated with tamoxifen compared to those who had not been exposed to tamoxifen. An association of elevated AGR2 level with myometrial invasion occurrence and invasion depth was also found. In vitro analyses identified a stimulatory effect of AGR2 on cellular proliferation. Although adverse tamoxifen effects on endometrial cells remain elusive, our work identifies elevated AGR2 as a candidate tamoxifen-dependent mechanism of action responsible for increased incidence of endometrial cancer.","author":[{"dropping-particle":"","family":"Hrstka","given":"Roman","non-dropping-particle":"","parse-names":false,"suffix":""},{"dropping-particle":"","family":"Podhorec","given":"Jan","non-dropping-particle":"","parse-names":false,"suffix":""},{"dropping-particle":"","family":"Nenutil","given":"Rudolf","non-dropping-particle":"","parse-names":false,"suffix":""},{"dropping-particle":"","family":"Sommerova","given":"Lucia","non-dropping-particle":"","parse-names":false,"suffix":""},{"dropping-particle":"","family":"Obacz","given":"Joanna","non-dropping-particle":"","parse-names":false,"suffix":""},{"dropping-particle":"","family":"Durech","given":"Michal","non-dropping-particle":"","parse-names":false,"suffix":""},{"dropping-particle":"","family":"Faktor","given":"Jakub","non-dropping-particle":"","parse-names":false,"suffix":""},{"dropping-particle":"","family":"Bouchal","given":"Pavel","non-dropping-particle":"","parse-names":false,"suffix":""},{"dropping-particle":"","family":"Skoupilova","given":"Hana","non-dropping-particle":"","parse-names":false,"suffix":""},{"dropping-particle":"","family":"Vojtesek","given":"Borivoj","non-dropping-particle":"","parse-names":false,"suffix":""}],"container-title":"Cancer Investigation","id":"ITEM-1","issue":"5","issued":{"date-parts":[["2017","5","28"]]},"page":"313-324","title":"Tamoxifen-Dependent Induction of &lt;i&gt;AGR2&lt;/i&gt; Is Associated with Increased Aggressiveness of Endometrial Cancer Cells","type":"article-journal","volume":"35"},"uris":["http://www.mendeley.com/documents/?uuid=eb0c0c8c-435a-3494-a772-b077c99a5674"]}],"mendeley":{"formattedCitation":"[22]","plainTextFormattedCitation":"[22]","previouslyFormattedCitation":"[22]"},"properties":{"noteIndex":0},"schema":"https://github.com/citation-style-language/schema/raw/master/csl-citation.json"}</w:instrText>
      </w:r>
      <w:r w:rsidR="008004D4" w:rsidRPr="00C56699">
        <w:fldChar w:fldCharType="separate"/>
      </w:r>
      <w:r w:rsidR="008004D4" w:rsidRPr="00C56699">
        <w:rPr>
          <w:noProof/>
        </w:rPr>
        <w:t>[22]</w:t>
      </w:r>
      <w:r w:rsidR="008004D4" w:rsidRPr="00C56699">
        <w:fldChar w:fldCharType="end"/>
      </w:r>
      <w:r w:rsidR="006E3A01" w:rsidRPr="00C56699">
        <w:t xml:space="preserve">. Contrastingly, in our co-culture experiments, high dose DHT caused a modest, but significant reduction of </w:t>
      </w:r>
      <w:r w:rsidR="006E3A01" w:rsidRPr="00C56699">
        <w:rPr>
          <w:i/>
          <w:iCs/>
        </w:rPr>
        <w:t>AGR2</w:t>
      </w:r>
      <w:r w:rsidR="006E3A01" w:rsidRPr="00C56699">
        <w:t xml:space="preserve"> mRNA. Although the AR antagonist did not completely restore the basal level of </w:t>
      </w:r>
      <w:r w:rsidR="006E3A01" w:rsidRPr="00C56699">
        <w:rPr>
          <w:i/>
          <w:iCs/>
        </w:rPr>
        <w:t>AGR2</w:t>
      </w:r>
      <w:r w:rsidR="006E3A01" w:rsidRPr="00C56699">
        <w:t xml:space="preserve"> mRNA, we can conclude that down regulation of the </w:t>
      </w:r>
      <w:r w:rsidR="006E3A01" w:rsidRPr="00C56699">
        <w:rPr>
          <w:i/>
        </w:rPr>
        <w:t xml:space="preserve">AGR2 </w:t>
      </w:r>
      <w:r w:rsidR="006E3A01" w:rsidRPr="00C56699">
        <w:t xml:space="preserve">gene can be, at least partially induced through AR. Physiological stress such as serum depletion and hypoxia, is seen as an alternative regulatory pathway for induction of AGR2 independent of steroid hormones </w:t>
      </w:r>
      <w:r w:rsidR="008004D4" w:rsidRPr="00C56699">
        <w:fldChar w:fldCharType="begin" w:fldLock="1"/>
      </w:r>
      <w:r w:rsidR="00E87175" w:rsidRPr="00C56699">
        <w:instrText>ADDIN CSL_CITATION {"citationItems":[{"id":"ITEM-1","itemData":{"DOI":"10.1007/s11010-007-9562-y","ISSN":"0300-8177","author":[{"dropping-particle":"","family":"Zweitzig","given":"Daniel R.","non-dropping-particle":"","parse-names":false,"suffix":""},{"dropping-particle":"","family":"Smirnov","given":"Denis A.","non-dropping-particle":"","parse-names":false,"suffix":""},{"dropping-particle":"","family":"Connelly","given":"Mark C.","non-dropping-particle":"","parse-names":false,"suffix":""},{"dropping-particle":"","family":"Terstappen","given":"Leon W. M. M.","non-dropping-particle":"","parse-names":false,"suffix":""},{"dropping-particle":"","family":"O’Hara","given":"S. Mark","non-dropping-particle":"","parse-names":false,"suffix":""},{"dropping-particle":"","family":"Moran","given":"Elizabeth","non-dropping-particle":"","parse-names":false,"suffix":""}],"container-title":"Molecular and Cellular Biochemistry","id":"ITEM-1","issue":"1-2","issued":{"date-parts":[["2007","10","18"]]},"page":"255-260","title":"Physiological stress induces the metastasis marker AGR2 in breast cancer cells","type":"article-journal","volume":"306"},"uris":["http://www.mendeley.com/documents/?uuid=1c301346-4aac-3804-ab1b-aced6f8ab91b"]}],"mendeley":{"formattedCitation":"[40]","plainTextFormattedCitation":"[40]","previouslyFormattedCitation":"[40]"},"properties":{"noteIndex":0},"schema":"https://github.com/citation-style-language/schema/raw/master/csl-citation.json"}</w:instrText>
      </w:r>
      <w:r w:rsidR="008004D4" w:rsidRPr="00C56699">
        <w:fldChar w:fldCharType="separate"/>
      </w:r>
      <w:r w:rsidR="00E87175" w:rsidRPr="00C56699">
        <w:rPr>
          <w:noProof/>
        </w:rPr>
        <w:t>[40]</w:t>
      </w:r>
      <w:r w:rsidR="008004D4" w:rsidRPr="00C56699">
        <w:fldChar w:fldCharType="end"/>
      </w:r>
      <w:r w:rsidR="006E3A01" w:rsidRPr="00C56699">
        <w:t>.</w:t>
      </w:r>
    </w:p>
    <w:p w14:paraId="6C195652" w14:textId="6527798E" w:rsidR="000C59C4" w:rsidRPr="00C56699" w:rsidRDefault="006E3A01" w:rsidP="00B946EA">
      <w:r w:rsidRPr="00C56699">
        <w:t xml:space="preserve">    </w:t>
      </w:r>
      <w:r w:rsidR="00AF3B1D" w:rsidRPr="00C56699">
        <w:t xml:space="preserve">                                                                                                                                                                                                                                                     </w:t>
      </w:r>
    </w:p>
    <w:p w14:paraId="5F5A7A68" w14:textId="1A2D0072" w:rsidR="009501DC" w:rsidRPr="00C56699" w:rsidRDefault="00A1614F" w:rsidP="00411DA0">
      <w:pPr>
        <w:pStyle w:val="Heading1"/>
      </w:pPr>
      <w:r w:rsidRPr="00C56699">
        <w:t>Conclusion</w:t>
      </w:r>
    </w:p>
    <w:p w14:paraId="098B58D3" w14:textId="7A3063AB" w:rsidR="00814B63" w:rsidRPr="00C56699" w:rsidRDefault="001F36BD" w:rsidP="00814B63">
      <w:r w:rsidRPr="00C56699">
        <w:rPr>
          <w:lang w:val="en-GB"/>
        </w:rPr>
        <w:t>Therefore, c</w:t>
      </w:r>
      <w:r w:rsidR="007855D3" w:rsidRPr="00C56699">
        <w:rPr>
          <w:lang w:val="en-GB"/>
        </w:rPr>
        <w:t>ollectively</w:t>
      </w:r>
      <w:r w:rsidR="00814B63" w:rsidRPr="00C56699">
        <w:rPr>
          <w:lang w:val="en-GB"/>
        </w:rPr>
        <w:t xml:space="preserve">, </w:t>
      </w:r>
      <w:r w:rsidR="007855D3" w:rsidRPr="00C56699">
        <w:rPr>
          <w:lang w:val="en-GB"/>
        </w:rPr>
        <w:t xml:space="preserve">our data suggest, </w:t>
      </w:r>
      <w:r w:rsidR="00814B63" w:rsidRPr="00C56699">
        <w:rPr>
          <w:lang w:val="en-GB"/>
        </w:rPr>
        <w:t xml:space="preserve">the upregulation of AGR2 is an early event in endometrial carcinogenesis and </w:t>
      </w:r>
      <w:r w:rsidR="007855D3" w:rsidRPr="00C56699">
        <w:rPr>
          <w:lang w:val="en-GB"/>
        </w:rPr>
        <w:t xml:space="preserve">is </w:t>
      </w:r>
      <w:r w:rsidR="00814B63" w:rsidRPr="00C56699">
        <w:rPr>
          <w:lang w:val="en-GB"/>
        </w:rPr>
        <w:t>associate</w:t>
      </w:r>
      <w:r w:rsidR="007855D3" w:rsidRPr="00C56699">
        <w:rPr>
          <w:lang w:val="en-GB"/>
        </w:rPr>
        <w:t>d</w:t>
      </w:r>
      <w:r w:rsidR="00814B63" w:rsidRPr="00C56699">
        <w:rPr>
          <w:lang w:val="en-GB"/>
        </w:rPr>
        <w:t xml:space="preserve"> with well differentiated tumours but may also contribute to </w:t>
      </w:r>
      <w:r w:rsidR="007855D3" w:rsidRPr="00C56699">
        <w:rPr>
          <w:lang w:val="en-GB"/>
        </w:rPr>
        <w:t xml:space="preserve">the </w:t>
      </w:r>
      <w:r w:rsidR="00814B63" w:rsidRPr="00C56699">
        <w:rPr>
          <w:lang w:val="en-GB"/>
        </w:rPr>
        <w:t>tumour progression and metastasis</w:t>
      </w:r>
      <w:r w:rsidR="007855D3" w:rsidRPr="00C56699">
        <w:rPr>
          <w:lang w:val="en-GB"/>
        </w:rPr>
        <w:t xml:space="preserve"> in a subset of those ECs</w:t>
      </w:r>
      <w:r w:rsidR="00814B63" w:rsidRPr="00C56699">
        <w:rPr>
          <w:lang w:val="en-GB"/>
        </w:rPr>
        <w:t xml:space="preserve">. </w:t>
      </w:r>
      <w:r w:rsidR="00814B63" w:rsidRPr="00C56699">
        <w:rPr>
          <w:iCs/>
          <w:lang w:val="en-GB"/>
        </w:rPr>
        <w:t>AGR2</w:t>
      </w:r>
      <w:r w:rsidR="00814B63" w:rsidRPr="00C56699">
        <w:rPr>
          <w:lang w:val="en-GB"/>
        </w:rPr>
        <w:t xml:space="preserve"> </w:t>
      </w:r>
      <w:r w:rsidR="007855D3" w:rsidRPr="00C56699">
        <w:rPr>
          <w:lang w:val="en-GB"/>
        </w:rPr>
        <w:t xml:space="preserve">expression </w:t>
      </w:r>
      <w:r w:rsidR="00814B63" w:rsidRPr="00C56699">
        <w:rPr>
          <w:lang w:val="en-GB"/>
        </w:rPr>
        <w:lastRenderedPageBreak/>
        <w:t>in EC is likely to be under the regulation of ovarian hormones</w:t>
      </w:r>
      <w:r w:rsidR="007855D3" w:rsidRPr="00C56699">
        <w:rPr>
          <w:lang w:val="en-GB"/>
        </w:rPr>
        <w:t>.</w:t>
      </w:r>
      <w:r w:rsidR="00225E5C" w:rsidRPr="00C56699">
        <w:t xml:space="preserve"> </w:t>
      </w:r>
      <w:r w:rsidR="00225E5C" w:rsidRPr="00C56699">
        <w:rPr>
          <w:lang w:val="en-GB"/>
        </w:rPr>
        <w:t>The precise function of AGR2 and the mechanisms of its regulation in the</w:t>
      </w:r>
      <w:r w:rsidR="002A51C5" w:rsidRPr="00C56699">
        <w:rPr>
          <w:lang w:val="en-GB"/>
        </w:rPr>
        <w:t xml:space="preserve"> normal and cancerous</w:t>
      </w:r>
      <w:r w:rsidR="00225E5C" w:rsidRPr="00C56699">
        <w:rPr>
          <w:lang w:val="en-GB"/>
        </w:rPr>
        <w:t xml:space="preserve"> endometrium remain to be elucidated</w:t>
      </w:r>
      <w:r w:rsidR="002A51C5" w:rsidRPr="00C56699">
        <w:rPr>
          <w:lang w:val="en-GB"/>
        </w:rPr>
        <w:t xml:space="preserve"> and warrant further investigation.</w:t>
      </w:r>
    </w:p>
    <w:p w14:paraId="0A159F57" w14:textId="77777777" w:rsidR="00411DA0" w:rsidRPr="00C56699" w:rsidRDefault="00411DA0" w:rsidP="00411DA0">
      <w:pPr>
        <w:pStyle w:val="Heading1"/>
      </w:pPr>
      <w:r w:rsidRPr="00C56699">
        <w:t>Materials and methods</w:t>
      </w:r>
    </w:p>
    <w:p w14:paraId="7A8E7DC1" w14:textId="77777777" w:rsidR="00411DA0" w:rsidRPr="00C56699" w:rsidRDefault="00411DA0" w:rsidP="00411DA0">
      <w:pPr>
        <w:pStyle w:val="Heading2"/>
      </w:pPr>
      <w:r w:rsidRPr="00C56699">
        <w:t xml:space="preserve">Study groups: </w:t>
      </w:r>
    </w:p>
    <w:p w14:paraId="477B5B4F" w14:textId="231DA252" w:rsidR="00411DA0" w:rsidRPr="00C56699" w:rsidRDefault="00411DA0" w:rsidP="00E04B9C">
      <w:r w:rsidRPr="00C56699">
        <w:t xml:space="preserve">The study was approved by Liverpool and Cambridge Adult Research Ethics Committee (LREC 09/H1005/55, </w:t>
      </w:r>
      <w:r w:rsidRPr="00C56699">
        <w:rPr>
          <w:noProof/>
        </w:rPr>
        <w:t>11/H1005/4,</w:t>
      </w:r>
      <w:r w:rsidRPr="00C56699">
        <w:t xml:space="preserve"> and CREC 10/H0308/75).  As shown in Table 1, one hundred EC, 16 metastatic lesions (3 lymph node, 7 soft tissue, 3 </w:t>
      </w:r>
      <w:proofErr w:type="spellStart"/>
      <w:r w:rsidRPr="00C56699">
        <w:t>parametrium</w:t>
      </w:r>
      <w:proofErr w:type="spellEnd"/>
      <w:r w:rsidRPr="00C56699">
        <w:t xml:space="preserve">, 3 </w:t>
      </w:r>
      <w:proofErr w:type="spellStart"/>
      <w:r w:rsidRPr="00C56699">
        <w:t>omentum</w:t>
      </w:r>
      <w:proofErr w:type="spellEnd"/>
      <w:r w:rsidRPr="00C56699">
        <w:t xml:space="preserve">), </w:t>
      </w:r>
      <w:r w:rsidR="00E04B9C" w:rsidRPr="00C56699">
        <w:t xml:space="preserve">11 </w:t>
      </w:r>
      <w:r w:rsidRPr="00C56699">
        <w:t xml:space="preserve">hyperplastic with cytological atypia EHA) and </w:t>
      </w:r>
      <w:r w:rsidR="00E04B9C" w:rsidRPr="00C56699">
        <w:t xml:space="preserve">31 </w:t>
      </w:r>
      <w:r w:rsidRPr="00C56699">
        <w:t xml:space="preserve">full thickness normal endometrial biopsies were collected from patients undergoing hysterectomy in Liverpool Women’s Hospital and Lancashire Teaching Hospitals, Trusts from 2009-2014. The histological type and grade of EC specimens were assigned by experienced clinical gynecological pathologists in Lancaster and Liverpool as part of the routine clinical diagnostic workflow according to the International Federation of Gynecology and Obstetrics (FIGO) </w:t>
      </w:r>
      <w:r w:rsidRPr="00C56699">
        <w:fldChar w:fldCharType="begin"/>
      </w:r>
      <w:r w:rsidRPr="00C56699">
        <w:instrText xml:space="preserve"> ADDIN EN.CITE &lt;EndNote&gt;&lt;Cite&gt;&lt;Author&gt;Zaino&lt;/Author&gt;&lt;Year&gt;1995&lt;/Year&gt;&lt;IDText&gt;The utility of the revised International Federation of Gynecology and Obstetrics histologic grading of endometrial adenocarcinoma using a defined nuclear grading system: A Gynecologic Oncology Group study&lt;/IDText&gt;&lt;DisplayText&gt;[19]&lt;/DisplayText&gt;&lt;record&gt;&lt;keywords&gt;&lt;keyword&gt;endometrial cancer&lt;/keyword&gt;&lt;keyword&gt;histologic grade&lt;/keyword&gt;&lt;keyword&gt;International Federation of Gynecology and Obstetrics grade&lt;/keyword&gt;&lt;keyword&gt;nuclear atypia&lt;/keyword&gt;&lt;keyword&gt;pathology&lt;/keyword&gt;&lt;/keywords&gt;&lt;urls&gt;&lt;related-urls&gt;&lt;url&gt;http://search.ebscohost.com.ezproxy.liv.ac.uk/login.aspx?direct=true&amp;amp;db=edselc&amp;amp;AN=edselc.2-52.0-0028821557&amp;amp;site=eds-live&amp;amp;scope=site&lt;/url&gt;&lt;/related-urls&gt;&lt;/urls&gt;&lt;isbn&gt;0008543X&lt;/isbn&gt;&lt;titles&gt;&lt;title&gt;The utility of the revised International Federation of Gynecology and Obstetrics histologic grading of endometrial adenocarcinoma using a defined nuclear grading system: A Gynecologic Oncology Group study&lt;/title&gt;&lt;secondary-title&gt;Cancer&lt;/secondary-title&gt;&lt;/titles&gt;&lt;pages&gt;81-86&lt;/pages&gt;&lt;number&gt;1&lt;/number&gt;&lt;access-date&gt;/ 01 / 01 /&lt;/access-date&gt;&lt;contributors&gt;&lt;authors&gt;&lt;author&gt;Zaino, R. J.&lt;/author&gt;&lt;author&gt;Kurman, R. J.&lt;/author&gt;&lt;author&gt;Diana, K. L.&lt;/author&gt;&lt;author&gt;Morrow, C. P.&lt;/author&gt;&lt;/authors&gt;&lt;/contributors&gt;&lt;added-date format="utc"&gt;1430300027&lt;/added-date&gt;&lt;ref-type name="Journal Article"&gt;17&lt;/ref-type&gt;&lt;auth-address&gt;GOGAO&lt;/auth-address&gt;&lt;dates&gt;&lt;year&gt;1995&lt;/year&gt;&lt;/dates&gt;&lt;rec-number&gt;1023&lt;/rec-number&gt;&lt;last-updated-date format="utc"&gt;1430300027&lt;/last-updated-date&gt;&lt;accession-num&gt;edselc.2-52.0-0028821557&lt;/accession-num&gt;&lt;electronic-resource-num&gt;10.1002/1097-0142(19950101)75:1&amp;lt;81::AID-CNCR2820750114&amp;gt;3.0.CO;2-F&lt;/electronic-resource-num&gt;&lt;volume&gt;75&lt;/volume&gt;&lt;/record&gt;&lt;/Cite&gt;&lt;/EndNote&gt;</w:instrText>
      </w:r>
      <w:r w:rsidRPr="00C56699">
        <w:fldChar w:fldCharType="separate"/>
      </w:r>
      <w:r w:rsidRPr="00C56699">
        <w:rPr>
          <w:noProof/>
        </w:rPr>
        <w:t>[19]</w:t>
      </w:r>
      <w:r w:rsidRPr="00C56699">
        <w:fldChar w:fldCharType="end"/>
      </w:r>
      <w:r w:rsidRPr="00C56699">
        <w:t xml:space="preserve">. ECs were categorized as low grade (LGEC, including FIGO Grade 1 and Grade 2 endometrioid EC), or high grade tumours (HGEC, including FIGO Grade 3 endometrioid, serous, clear cell carcinoma and carcinosarcoma) </w:t>
      </w:r>
      <w:r w:rsidRPr="00C56699">
        <w:fldChar w:fldCharType="begin" w:fldLock="1"/>
      </w:r>
      <w:r w:rsidR="00E87175" w:rsidRPr="00C56699">
        <w:instrText xml:space="preserve">ADDIN CSL_CITATION {"citationItems":[{"id":"ITEM-1","itemData":{"DOI":"10.1016/j.ygyno.2011.07.030","ISSN":"0090-8258","abstract":"Objective Endometrial cancer is classified into: Type I estrogen-dependent endometrioid adenocarcinoma, with good prognosis and type 2 non-estrogen-dependent cancer with serous or clear cell histology and poor prognosis. Grade 3 endometrioid cancers (G3 EEC), share features of type 1 and type 2 cancer and have not been classified as either. This study compares immunohistochemistry and survival in G3 EEC and type 2 cancers. Methods Clinicopathological data compared with immunohistochemistry and survival in 156 consecutive patients with poor prognosis cancer—G3 EEC, uterine papillary serous (UPSC) and clear cell carcinoma (CC), sarcoma, carcinosarcoma and endometrial tumors of mixed histology. 131 (84%) datasets were complete, 25 tumors comprising sarcoma, carcinosarcoma or mixed histologies were excluded. Tissue microarray constructed and tested for estrogen receptor (ER), progesterone receptor (PR), p53 and human epidermal growth factor receptor-2 (Her-2). Results There was no significant difference in the mean age for G3 EEC (n=68) and USPC+CC (n=38), (68.01 and 67.08 respectively, p=0.697) or stage at diagnosis (p=0.384). For ER, PR, p53 and Her-2, there was no significant difference in marker positivity between G3 EEC and UPSC+CC (p=0.612, 0.132, 0.16 and 0.132 respectively). With a mean follow-up time 148months Disease specific and recurrence-free survival between G3 EEC and USPC+CC was similar (p=0.842 and 0.863). Conclusion G3 EEC and UPSC+CC share similar clinical, immunohistochemistry and poor survival. G3 EEC is better characterised as type 2 cancer and should be treated with similar adjuvant therapy to UPSC/CC.","author":[{"dropping-particle":"","family":"Voss","given":"Martin A","non-dropping-particle":"","parse-names":false,"suffix":""},{"dropping-particle":"","family":"Ganesan","given":"Raji","non-dropping-particle":"","parse-names":false,"suffix":""},{"dropping-particle":"","family":"Ludeman","given":"Linmarie","non-dropping-particle":"","parse-names":false,"suffix":""},{"dropping-particle":"","family":"McCarthy","given":"Keith","non-dropping-particle":"","parse-names":false,"suffix":""},{"dropping-particle":"","family":"Gornall","given":"Robert","non-dropping-particle":"","parse-names":false,"suffix":""},{"dropping-particle":"","family":"Schaller","given":"Gerhard","non-dropping-particle":"","parse-names":false,"suffix":""},{"dropping-particle":"","family":"Wei","given":"Wenbin","non-dropping-particle":"","parse-names":false,"suffix":""},{"dropping-particle":"","family":"Sundar","given":"Sudha","non-dropping-particle":"","parse-names":false,"suffix":""}],"container-title":"Gynecologic Oncology","id":"ITEM-1","issued":{"date-parts":[["2012"]]},"note":"From Duplicate 1 (Should grade 3 endometrioid endometrial carcinoma be considered a type 2 cancer—A clinical and pathological evaluation - Voss, Martin A; Ganesan, Raji; Ludeman, Linmarie; McCarthy, Keith; Gornall, Robert; Schaller, Gerhard; Wei, Wenbin; Sundar, Sudha)\n\nFrom Duplicate 3 (Should grade 3 endometrioid endometrial carcinoma be considered a type 2 cancer—A clinical and pathological evaluation - Voss, Martin A; Ganesan, Raji; Ludeman, Linmarie; McCarthy, Keith; Gornall, Robert; Schaller, Gerhard; Wei, Wenbin; Sundar, Sudha)\n\nGynecologic Oncology\nAuthor: Voss, Martin A. (a, b); Author: Ganesan, Raji (c); Author: Ludeman, Linmarie (d); Author: McCarthy, Keith (d); Author: Gornall, Robert (a); Author: Schaller, Gerhard (e); Author: Wei, Wenbin (b); Author: Sundar, Sudha (b, </w:instrText>
      </w:r>
      <w:r w:rsidR="00E87175" w:rsidRPr="00C56699">
        <w:rPr>
          <w:rFonts w:ascii="Arial" w:hAnsi="Arial" w:cs="Arial"/>
        </w:rPr>
        <w:instrText>⁎</w:instrText>
      </w:r>
      <w:r w:rsidR="00E87175" w:rsidRPr="00C56699">
        <w:instrText xml:space="preserve">); Affiliation: Department of Obstetrics and Gynaecology, Cheltenham General Hospital, Gloucestershire, UK; Affiliation: School of Cancer Sciences, University of Birmingham, UK; Affiliation: Department of Pathology, Birmingham Women's Hospital NHS trust, Birmingham, UK; Affiliation: Department of Pathology, Cheltenham General Hospital, Gloucestershire, UK; Affiliation: Breast Care Institute (BCI), Munich, Germany; Number of Pages: 6; Language: English;\n\nFrom Duplicate 2 (Should grade 3 endometrioid endometrial carcinoma be considered a type 2 cancer—A clinical and pathological evaluation - Voss, Martin A; Ganesan, Raji; Ludeman, Linmarie; McCarthy, Keith; Gornall, Robert; Schaller, Gerhard; Wei, Wenbin; Sundar, Sudha)\n\nGynecologic Oncology\nAuthor: Voss, Martin A. (a, b); Author: Ganesan, Raji (c); Author: Ludeman, Linmarie (d); Author: McCarthy, Keith (d); Author: Gornall, Robert (a); Author: Schaller, Gerhard (e); Author: Wei, Wenbin (b); Author: Sundar, Sudha (b, </w:instrText>
      </w:r>
      <w:r w:rsidR="00E87175" w:rsidRPr="00C56699">
        <w:rPr>
          <w:rFonts w:ascii="Arial" w:hAnsi="Arial" w:cs="Arial"/>
        </w:rPr>
        <w:instrText>⁎</w:instrText>
      </w:r>
      <w:r w:rsidR="00E87175" w:rsidRPr="00C56699">
        <w:instrText>); Affiliation: Department of Obstetrics and Gynaecology, Cheltenham General Hospital, Gloucestershire, UK; Affiliation: School of Cancer Sciences, University of Birmingham, UK; Affiliation: Department of Pathology, Birmingham Women's Hospital NHS trust, Birmingham, UK; Affiliation: Department of Pathology, Cheltenham General Hospital, Gloucestershire, UK; Affiliation: Breast Care Institute (BCI), Munich, Germany; Number of Pages: 6; Language: English;","page":"15-20","title":"Should grade 3 endometrioid endometrial carcinoma be considered a type 2 cancer—A clinical and pathological evaluation","type":"article-journal","volume":"124"},"uris":["http://www.mendeley.com/documents/?uuid=b6092885-e77a-4ff2-ab7d-14c7b48e5ac0"]},{"id":"ITEM-2","itemData":{"DOI":"10.1038/bjc.2016.16","ISSN":"1532-1827","PMID":"26930451","abstract":"BACKGROUND: Endometrial cancer (EC) is a hormone-driven disease, and androgen receptor (AR) expression in high-grade EC (HGEC) and metastatic EC has not yet been described. METHODS: The expression pattern and prognostic value of AR in relation to oestrogen (ERα and ERβ) and progesterone (PR) receptors, and the proliferation marker Ki67 in all EC subtypes (n=85) were compared with that of healthy and hyperplastic endometrium, using immunohistochemisty and qPCR. RESULTS: Compared with proliferative endometrium, postmenopausal endometrtial epithelium showed significantly higher expression of AR (P&lt;0.001) and ERα (P=0.035), which persisted in hyperplastic epithelium and in low-grade EC (LGEC). High-grade EC showed a significant loss of AR (P&lt;0.0001), PR (P&lt;0.0001) and ERβ (P&lt;0.035) compared with LGEC, whilst maintaining weak to moderate ERα. Unlike PR, AR expression in metastatic lesions was significantly (P=0.039) higher than that in primary tumours. Androgen receptor expression correlated with favourable clinicopathological features and a lower proliferation index. Loss of AR, with/without the loss of PR was associated with a significantly lower disease-free survival (P&lt;0.0001, P&lt;0.0001, respectively). CONCLUSIONS: Postmenopausal endometrial epithelium acquires AR whilst preserving other steroid hormone receptors. Loss of AR, PR with retention of ERα and ERβ may promote the unrestrained growth of HGEC. Androgen receptor may therefore be a clinically relevant prognostic indicator and a potential therapeutic target in EC.","author":[{"dropping-particle":"","family":"Kamal","given":"AM","non-dropping-particle":"","parse-names":false,"suffix":""},{"dropping-particle":"","family":"Bulmer","given":"JN","non-dropping-particle":"","parse-names":false,"suffix":""},{"dropping-particle":"","family":"DeCruze","given":"SB","non-dropping-particle":"","parse-names":false,"suffix":""},{"dropping-particle":"","family":"Stringfellow","given":"HF","non-dropping-particle":"","parse-names":false,"suffix":""},{"dropping-particle":"","family":"Martin-Hirsch","given":"P","non-dropping-particle":"","parse-names":false,"suffix":""},{"dropping-particle":"","family":"Hapangama","given":"DK","non-dropping-particle":"","parse-names":false,"suffix":""}],"container-title":"British journal of cancer","id":"ITEM-2","issue":"6","issued":{"date-parts":[["2016","3","15"]]},"language":"en","page":"688-96","title":"Androgen receptors are acquired by healthy postmenopausal endometrial epithelium and their subsequent loss in endometrial cancer is associated with poor survival.","type":"article-journal","volume":"114"},"uris":["http://www.mendeley.com/documents/?uuid=77c97903-b08f-4dff-9d42-d1771be07033"]}],"mendeley":{"formattedCitation":"[34,41]","plainTextFormattedCitation":"[34,41]","previouslyFormattedCitation":"[34,41]"},"properties":{"noteIndex":0},"schema":"https://github.com/citation-style-language/schema/raw/master/csl-citation.json"}</w:instrText>
      </w:r>
      <w:r w:rsidRPr="00C56699">
        <w:fldChar w:fldCharType="separate"/>
      </w:r>
      <w:r w:rsidR="00E87175" w:rsidRPr="00C56699">
        <w:rPr>
          <w:noProof/>
        </w:rPr>
        <w:t>[34,41]</w:t>
      </w:r>
      <w:r w:rsidRPr="00C56699">
        <w:fldChar w:fldCharType="end"/>
      </w:r>
      <w:r w:rsidRPr="00C56699">
        <w:t xml:space="preserve"> for subsequent analysis of IHC data (Table 1). Proliferative phase specimens were assigned according to last menstrual date (LMP) and histological criteria </w:t>
      </w:r>
      <w:r w:rsidRPr="00C56699">
        <w:fldChar w:fldCharType="begin" w:fldLock="1"/>
      </w:r>
      <w:r w:rsidR="00E87175" w:rsidRPr="00C56699">
        <w:instrText>ADDIN CSL_CITATION {"citationItems":[{"id":"ITEM-1","itemData":{"ISSN":"0015-0282","author":[{"dropping-particle":"","family":"Noyes","given":"R W","non-dropping-particle":"","parse-names":false,"suffix":""},{"dropping-particle":"","family":"Hertig","given":"A T","non-dropping-particle":"","parse-names":false,"suffix":""},{"dropping-particle":"","family":"Rock","given":"J","non-dropping-particle":"","parse-names":false,"suffix":""}],"container-title":"Fertility and Sterility","id":"ITEM-1","issue":"1","issued":{"date-parts":[["1950"]]},"language":"English","note":"From Duplicate 2 (Dating the Endometrial Biopsy - Noyes, R W; Hertig, A T; Rock, J)\n\nFrom Duplicate 1 (DATING THE ENDOMETRIAL BIOPSY - Noyes, R W; Hertig, A T; Rock, J)\n\nISI Document Delivery No.: UX887\nTimes Cited: 2471\nCited Reference Count: 30\nNOYES, RW HERTIG, AT ROCK, J\n2494\nELSEVIER SCIENCE INC\nNEW YORK\nFERTIL STERIL","page":"3-25","title":"Dating the Endometrial Biopsy","type":"article-journal","volume":"1"},"uris":["http://www.mendeley.com/documents/?uuid=ebad12da-febb-46ab-a31a-7baa9d476a06"]}],"mendeley":{"formattedCitation":"[42]","plainTextFormattedCitation":"[42]","previouslyFormattedCitation":"[42]"},"properties":{"noteIndex":0},"schema":"https://github.com/citation-style-language/schema/raw/master/csl-citation.json"}</w:instrText>
      </w:r>
      <w:r w:rsidRPr="00C56699">
        <w:fldChar w:fldCharType="separate"/>
      </w:r>
      <w:r w:rsidR="00E87175" w:rsidRPr="00C56699">
        <w:rPr>
          <w:noProof/>
        </w:rPr>
        <w:t>[42]</w:t>
      </w:r>
      <w:r w:rsidRPr="00C56699">
        <w:fldChar w:fldCharType="end"/>
      </w:r>
      <w:r w:rsidRPr="00C56699" w:rsidDel="00E22FF3">
        <w:t xml:space="preserve"> </w:t>
      </w:r>
      <w:r w:rsidRPr="00C56699">
        <w:t xml:space="preserve">.  All samples were divided </w:t>
      </w:r>
      <w:r w:rsidRPr="00C56699">
        <w:rPr>
          <w:noProof/>
        </w:rPr>
        <w:t>into</w:t>
      </w:r>
      <w:r w:rsidRPr="00C56699">
        <w:t xml:space="preserve"> 2 parts; one fixed (</w:t>
      </w:r>
      <w:r w:rsidRPr="00C56699">
        <w:sym w:font="Symbol" w:char="F0B3"/>
      </w:r>
      <w:r w:rsidRPr="00C56699">
        <w:t xml:space="preserve">24 h in 4% (v/v) buffered formalin) and paraffin-embedded for </w:t>
      </w:r>
      <w:proofErr w:type="spellStart"/>
      <w:r w:rsidRPr="00C56699">
        <w:t>immunohistochemical</w:t>
      </w:r>
      <w:proofErr w:type="spellEnd"/>
      <w:r w:rsidRPr="00C56699">
        <w:t xml:space="preserve"> staining and the other part immediately placed into </w:t>
      </w:r>
      <w:proofErr w:type="spellStart"/>
      <w:r w:rsidRPr="00C56699">
        <w:t>RNA</w:t>
      </w:r>
      <w:r w:rsidRPr="00C56699">
        <w:rPr>
          <w:i/>
          <w:iCs/>
        </w:rPr>
        <w:t>later</w:t>
      </w:r>
      <w:proofErr w:type="spellEnd"/>
      <w:r w:rsidRPr="00C56699">
        <w:t xml:space="preserve"> ® (Sigma, Dorset, UK) for subsequent RNA extraction and qPCR. </w:t>
      </w:r>
    </w:p>
    <w:p w14:paraId="626ACBD3" w14:textId="67D4EE8F" w:rsidR="00411DA0" w:rsidRPr="00C56699" w:rsidRDefault="00411DA0" w:rsidP="00411DA0">
      <w:r w:rsidRPr="00C56699">
        <w:t xml:space="preserve">Patient </w:t>
      </w:r>
      <w:r w:rsidRPr="00C56699">
        <w:rPr>
          <w:noProof/>
        </w:rPr>
        <w:t>clinicopathological</w:t>
      </w:r>
      <w:r w:rsidRPr="00C56699">
        <w:t xml:space="preserve"> and demographic details were retrieved by review of hospital notes and clinical databases. Steroid receptors expression was available for 68 EC samples </w:t>
      </w:r>
      <w:r w:rsidRPr="00C56699">
        <w:fldChar w:fldCharType="begin" w:fldLock="1"/>
      </w:r>
      <w:r w:rsidR="00E87175" w:rsidRPr="00C56699">
        <w:instrText>ADDIN CSL_CITATION {"citationItems":[{"id":"ITEM-1","itemData":{"DOI":"10.1038/bjc.2016.16","ISSN":"1532-1827","PMID":"26930451","abstract":"BACKGROUND: Endometrial cancer (EC) is a hormone-driven disease, and androgen receptor (AR) expression in high-grade EC (HGEC) and metastatic EC has not yet been described. METHODS: The expression pattern and prognostic value of AR in relation to oestrogen (ERα and ERβ) and progesterone (PR) receptors, and the proliferation marker Ki67 in all EC subtypes (n=85) were compared with that of healthy and hyperplastic endometrium, using immunohistochemisty and qPCR. RESULTS: Compared with proliferative endometrium, postmenopausal endometrtial epithelium showed significantly higher expression of AR (P&lt;0.001) and ERα (P=0.035), which persisted in hyperplastic epithelium and in low-grade EC (LGEC). High-grade EC showed a significant loss of AR (P&lt;0.0001), PR (P&lt;0.0001) and ERβ (P&lt;0.035) compared with LGEC, whilst maintaining weak to moderate ERα. Unlike PR, AR expression in metastatic lesions was significantly (P=0.039) higher than that in primary tumours. Androgen receptor expression correlated with favourable clinicopathological features and a lower proliferation index. Loss of AR, with/without the loss of PR was associated with a significantly lower disease-free survival (P&lt;0.0001, P&lt;0.0001, respectively). CONCLUSIONS: Postmenopausal endometrial epithelium acquires AR whilst preserving other steroid hormone receptors. Loss of AR, PR with retention of ERα and ERβ may promote the unrestrained growth of HGEC. Androgen receptor may therefore be a clinically relevant prognostic indicator and a potential therapeutic target in EC.","author":[{"dropping-particle":"","family":"Kamal","given":"AM","non-dropping-particle":"","parse-names":false,"suffix":""},{"dropping-particle":"","family":"Bulmer","given":"JN","non-dropping-particle":"","parse-names":false,"suffix":""},{"dropping-particle":"","family":"DeCruze","given":"SB","non-dropping-particle":"","parse-names":false,"suffix":""},{"dropping-particle":"","family":"Stringfellow","given":"HF","non-dropping-particle":"","parse-names":false,"suffix":""},{"dropping-particle":"","family":"Martin-Hirsch","given":"P","non-dropping-particle":"","parse-names":false,"suffix":""},{"dropping-particle":"","family":"Hapangama","given":"DK","non-dropping-particle":"","parse-names":false,"suffix":""}],"container-title":"British journal of cancer","id":"ITEM-1","issue":"6","issued":{"date-parts":[["2016","3","15"]]},"language":"en","page":"688-96","title":"Androgen receptors are acquired by healthy postmenopausal endometrial epithelium and their subsequent loss in endometrial cancer is associated with poor survival.","type":"article-journal","volume":"114"},"uris":["http://www.mendeley.com/documents/?uuid=77c97903-b08f-4dff-9d42-d1771be07033"]}],"mendeley":{"formattedCitation":"[34]","plainTextFormattedCitation":"[34]","previouslyFormattedCitation":"[34]"},"properties":{"noteIndex":0},"schema":"https://github.com/citation-style-language/schema/raw/master/csl-citation.json"}</w:instrText>
      </w:r>
      <w:r w:rsidRPr="00C56699">
        <w:fldChar w:fldCharType="separate"/>
      </w:r>
      <w:r w:rsidR="00E87175" w:rsidRPr="00C56699">
        <w:rPr>
          <w:noProof/>
        </w:rPr>
        <w:t>[34]</w:t>
      </w:r>
      <w:r w:rsidRPr="00C56699">
        <w:fldChar w:fldCharType="end"/>
      </w:r>
      <w:r w:rsidRPr="00C56699">
        <w:t xml:space="preserve">. None of the patients received hormonal treatments, chemotherapy or pelvic radiation prior to surgery. </w:t>
      </w:r>
    </w:p>
    <w:p w14:paraId="361A4D99" w14:textId="77777777" w:rsidR="00411DA0" w:rsidRPr="00C56699" w:rsidRDefault="00411DA0" w:rsidP="00411DA0">
      <w:pPr>
        <w:pStyle w:val="Heading2"/>
        <w:rPr>
          <w:lang w:val="en-GB"/>
        </w:rPr>
      </w:pPr>
      <w:proofErr w:type="spellStart"/>
      <w:r w:rsidRPr="00C56699">
        <w:rPr>
          <w:lang w:val="en-GB"/>
        </w:rPr>
        <w:lastRenderedPageBreak/>
        <w:t>Immunohistochemical</w:t>
      </w:r>
      <w:proofErr w:type="spellEnd"/>
      <w:r w:rsidRPr="00C56699">
        <w:rPr>
          <w:lang w:val="en-GB"/>
        </w:rPr>
        <w:t xml:space="preserve"> staining and evaluation</w:t>
      </w:r>
    </w:p>
    <w:p w14:paraId="2A1FA84C" w14:textId="42E8F11D" w:rsidR="00411DA0" w:rsidRPr="00C56699" w:rsidRDefault="00411DA0" w:rsidP="00411DA0">
      <w:pPr>
        <w:rPr>
          <w:rFonts w:cs="Arial"/>
          <w:noProof/>
        </w:rPr>
      </w:pPr>
      <w:r w:rsidRPr="00C56699">
        <w:rPr>
          <w:rFonts w:ascii="Arial" w:eastAsia="Arial" w:hAnsi="Arial" w:cs="Arial"/>
          <w:noProof/>
        </w:rPr>
        <w:t xml:space="preserve">Immunohistochemistry was performed as described previously </w:t>
      </w:r>
      <w:r w:rsidRPr="00C56699">
        <w:rPr>
          <w:rFonts w:ascii="Arial" w:eastAsia="Arial" w:hAnsi="Arial" w:cs="Arial"/>
          <w:noProof/>
        </w:rPr>
        <w:fldChar w:fldCharType="begin" w:fldLock="1"/>
      </w:r>
      <w:r w:rsidR="00E87175" w:rsidRPr="00C56699">
        <w:rPr>
          <w:rFonts w:ascii="Arial" w:eastAsia="Arial" w:hAnsi="Arial" w:cs="Arial"/>
          <w:noProof/>
        </w:rPr>
        <w:instrText>ADDIN CSL_CITATION {"citationItems":[{"id":"ITEM-1","itemData":{"ISSN":"02681161","author":[{"dropping-particle":"","family":"Hapangama","given":"D K","non-dropping-particle":"","parse-names":false,"suffix":""},{"dropping-particle":"","family":"Raju","given":"R S","non-dropping-particle":"","parse-names":false,"suffix":""},{"dropping-particle":"","family":"Valentijn","given":"A J","non-dropping-particle":"","parse-names":false,"suffix":""},{"dropping-particle":"","family":"Barraclough","given":"D","non-dropping-particle":"","parse-names":false,"suffix":""},{"dropping-particle":"","family":"Hart","given":"A","non-dropping-particle":"","parse-names":false,"suffix":""},{"dropping-particle":"","family":"Turner","given":"M A","non-dropping-particle":"","parse-names":false,"suffix":""},{"dropping-particle":"","family":"Platt-Higgins","given":"A","non-dropping-particle":"","parse-names":false,"suffix":""},{"dropping-particle":"","family":"Barraclough","given":"R","non-dropping-particle":"","parse-names":false,"suffix":""},{"dropping-particle":"","family":"Rudland","given":"P S","non-dropping-particle":"","parse-names":false,"suffix":""}],"container-title":"Human Reproduction","id":"ITEM-1","issue":"2","issued":{"date-parts":[["2012","2"]]},"page":"394-407","title":"Aberrant expression of metastasis-inducing proteins in ectopic and matched eutopic endometrium of women with endometriosis: implications for the pathogenesis of endometriosis","type":"article-journal","volume":"27"},"uris":["http://www.mendeley.com/documents/?uuid=cf749d37-cc5a-4817-a5c1-823a51b33c5b"]},{"id":"ITEM-2","itemData":{"DOI":"10.1093/humrep/det285","ISSN":"02681161; 14602350","author":[{"dropping-particle":"","family":"Valentijn","given":"A J","non-dropping-particle":"","parse-names":false,"suffix":""},{"dropping-particle":"","family":"Palial","given":"K","non-dropping-particle":"","parse-names":false,"suffix":""},{"dropping-particle":"","family":"Al-Lamee","given":"H","non-dropping-particle":"","parse-names":false,"suffix":""},{"dropping-particle":"","family":"Tempest","given":"N","non-dropping-particle":"","parse-names":false,"suffix":""},{"dropping-particle":"","family":"Drury","given":"J","non-dropping-particle":"","parse-names":false,"suffix":""},{"dropping-particle":"","family":"Hapangama","given":"D K","non-dropping-particle":"","parse-names":false,"suffix":""},{"dropping-particle":"","family":"Murray","given":"P","non-dropping-particle":"","parse-names":false,"suffix":""},{"dropping-particle":"","family":"Zglinicki","given":"T","non-dropping-particle":"Von","parse-names":false,"suffix":""},{"dropping-particle":"","family":"Saretzki","given":"G","non-dropping-particle":"","parse-names":false,"suffix":""},{"dropping-particle":"","family":"Gargett","given":"C E","non-dropping-particle":"","parse-names":false,"suffix":""}],"container-title":"Human Reproduction","id":"ITEM-2","issue":"10","issued":{"date-parts":[["2013","10","1"]]},"note":"(. 1. )\n(. 2. )\n( 3 )\n(. 3. )\n(. 4. )\n(Human Reproduction, October 2013, 28(10):2695-2708) Publication Type: Academic Journal; Rights: Copyright 2013 Elsevier B.V., All rights reserved.","page":"2695-2708","title":"SSEA-1 isolates human endometrial basal glandular epithelial cells: Phenotypic and functional characterization and implications in the pathogenesis of endometriosis","type":"article-journal","volume":"28"},"uris":["http://www.mendeley.com/documents/?uuid=86e7bfa5-2f0b-42d0-83f3-d245baf20c1a"]}],"mendeley":{"formattedCitation":"[43,44]","plainTextFormattedCitation":"[43,44]","previouslyFormattedCitation":"[43,44]"},"properties":{"noteIndex":0},"schema":"https://github.com/citation-style-language/schema/raw/master/csl-citation.json"}</w:instrText>
      </w:r>
      <w:r w:rsidRPr="00C56699">
        <w:rPr>
          <w:rFonts w:ascii="Arial" w:eastAsia="Arial" w:hAnsi="Arial" w:cs="Arial"/>
          <w:noProof/>
        </w:rPr>
        <w:fldChar w:fldCharType="separate"/>
      </w:r>
      <w:r w:rsidR="00E87175" w:rsidRPr="00C56699">
        <w:rPr>
          <w:rFonts w:ascii="Arial" w:eastAsia="Arial" w:hAnsi="Arial" w:cs="Arial"/>
          <w:noProof/>
        </w:rPr>
        <w:t>[43,44]</w:t>
      </w:r>
      <w:r w:rsidRPr="00C56699">
        <w:rPr>
          <w:rFonts w:ascii="Arial" w:eastAsia="Arial" w:hAnsi="Arial" w:cs="Arial"/>
          <w:noProof/>
        </w:rPr>
        <w:fldChar w:fldCharType="end"/>
      </w:r>
      <w:r w:rsidRPr="00C56699">
        <w:rPr>
          <w:rFonts w:ascii="Arial" w:eastAsia="Arial" w:hAnsi="Arial" w:cs="Arial"/>
        </w:rPr>
        <w:t xml:space="preserve">. Briefly, </w:t>
      </w:r>
      <w:r w:rsidRPr="00C56699">
        <w:rPr>
          <w:rFonts w:ascii="Arial" w:eastAsia="Arial" w:hAnsi="Arial" w:cs="Arial"/>
          <w:noProof/>
        </w:rPr>
        <w:t>3μm formalin- fixed, paraffin embedded, tissue sections were incubated with antibody specific to human AGR2 protein, steroid receptors, and to Ki67,</w:t>
      </w:r>
      <w:r w:rsidRPr="00C56699">
        <w:rPr>
          <w:rFonts w:ascii="Arial" w:eastAsia="Arial" w:hAnsi="Arial" w:cs="Arial"/>
        </w:rPr>
        <w:t xml:space="preserve"> all after antigen retrieval at pH6; antibody sources, </w:t>
      </w:r>
      <w:r w:rsidRPr="00C56699">
        <w:rPr>
          <w:rFonts w:ascii="Arial" w:eastAsia="Arial" w:hAnsi="Arial" w:cs="Arial"/>
          <w:noProof/>
          <w:lang w:val="fr-FR"/>
        </w:rPr>
        <w:t>concentrations,</w:t>
      </w:r>
      <w:r w:rsidRPr="00C56699">
        <w:rPr>
          <w:rFonts w:ascii="Arial" w:eastAsia="Arial" w:hAnsi="Arial" w:cs="Arial"/>
          <w:lang w:val="fr-FR"/>
        </w:rPr>
        <w:t xml:space="preserve"> </w:t>
      </w:r>
      <w:r w:rsidRPr="00C56699">
        <w:rPr>
          <w:rFonts w:ascii="Arial" w:eastAsia="Arial" w:hAnsi="Arial" w:cs="Arial"/>
        </w:rPr>
        <w:t>and incubation conditions are detailed in Supplementary Table 1</w:t>
      </w:r>
      <w:r w:rsidRPr="00C56699">
        <w:rPr>
          <w:rFonts w:ascii="Arial" w:eastAsia="Arial" w:hAnsi="Arial" w:cs="Arial"/>
          <w:noProof/>
        </w:rPr>
        <w:t xml:space="preserve">. Primary antibody was detected using the ImmPRESS-polymer-based system (Vector Laboratories, Peterborough, UK)  and visualizated with ImmPACT DAB (Vector Laboratories, Peterborough, UK) following manufacturer’s instructions, as previously described </w:t>
      </w:r>
      <w:r w:rsidRPr="00C56699">
        <w:rPr>
          <w:rFonts w:ascii="Arial" w:eastAsia="Arial" w:hAnsi="Arial" w:cs="Arial"/>
          <w:noProof/>
        </w:rPr>
        <w:fldChar w:fldCharType="begin" w:fldLock="1"/>
      </w:r>
      <w:r w:rsidR="00E87175" w:rsidRPr="00C56699">
        <w:rPr>
          <w:rFonts w:ascii="Arial" w:eastAsia="Arial" w:hAnsi="Arial" w:cs="Arial"/>
          <w:noProof/>
        </w:rPr>
        <w:instrText>ADDIN CSL_CITATION {"citationItems":[{"id":"ITEM-1","itemData":{"ISSN":"02681161","author":[{"dropping-particle":"","family":"Hapangama","given":"D K","non-dropping-particle":"","parse-names":false,"suffix":""},{"dropping-particle":"","family":"Raju","given":"R S","non-dropping-particle":"","parse-names":false,"suffix":""},{"dropping-particle":"","family":"Valentijn","given":"A J","non-dropping-particle":"","parse-names":false,"suffix":""},{"dropping-particle":"","family":"Barraclough","given":"D","non-dropping-particle":"","parse-names":false,"suffix":""},{"dropping-particle":"","family":"Hart","given":"A","non-dropping-particle":"","parse-names":false,"suffix":""},{"dropping-particle":"","family":"Turner","given":"M A","non-dropping-particle":"","parse-names":false,"suffix":""},{"dropping-particle":"","family":"Platt-Higgins","given":"A","non-dropping-particle":"","parse-names":false,"suffix":""},{"dropping-particle":"","family":"Barraclough","given":"R","non-dropping-particle":"","parse-names":false,"suffix":""},{"dropping-particle":"","family":"Rudland","given":"P S","non-dropping-particle":"","parse-names":false,"suffix":""}],"container-title":"Human Reproduction","id":"ITEM-1","issue":"2","issued":{"date-parts":[["2012","2"]]},"page":"394-407","title":"Aberrant expression of metastasis-inducing proteins in ectopic and matched eutopic endometrium of women with endometriosis: implications for the pathogenesis of endometriosis","type":"article-journal","volume":"27"},"uris":["http://www.mendeley.com/documents/?uuid=cf749d37-cc5a-4817-a5c1-823a51b33c5b"]}],"mendeley":{"formattedCitation":"[43]","plainTextFormattedCitation":"[43]","previouslyFormattedCitation":"[43]"},"properties":{"noteIndex":0},"schema":"https://github.com/citation-style-language/schema/raw/master/csl-citation.json"}</w:instrText>
      </w:r>
      <w:r w:rsidRPr="00C56699">
        <w:rPr>
          <w:rFonts w:ascii="Arial" w:eastAsia="Arial" w:hAnsi="Arial" w:cs="Arial"/>
          <w:noProof/>
        </w:rPr>
        <w:fldChar w:fldCharType="separate"/>
      </w:r>
      <w:r w:rsidR="00E87175" w:rsidRPr="00C56699">
        <w:rPr>
          <w:rFonts w:ascii="Arial" w:eastAsia="Arial" w:hAnsi="Arial" w:cs="Arial"/>
          <w:noProof/>
        </w:rPr>
        <w:t>[43]</w:t>
      </w:r>
      <w:r w:rsidRPr="00C56699">
        <w:rPr>
          <w:rFonts w:ascii="Arial" w:eastAsia="Arial" w:hAnsi="Arial" w:cs="Arial"/>
          <w:noProof/>
        </w:rPr>
        <w:fldChar w:fldCharType="end"/>
      </w:r>
      <w:r w:rsidRPr="00C56699">
        <w:rPr>
          <w:rFonts w:ascii="Arial" w:eastAsia="Arial" w:hAnsi="Arial" w:cs="Arial"/>
          <w:noProof/>
        </w:rPr>
        <w:t>.  Sections were lightly counterstained in Gill’s Haematoxylin (Thermo Scientific, Runcorn, UK), dehydrated, cleared and mounted in synthetic resin.  Matching isotype (0.5 µg/mL) replaced the primary antibody as a negative control, with internal positive control</w:t>
      </w:r>
      <w:r w:rsidR="00E04B9C" w:rsidRPr="00C56699">
        <w:rPr>
          <w:rFonts w:ascii="Arial" w:eastAsia="Arial" w:hAnsi="Arial" w:cs="Arial"/>
          <w:noProof/>
        </w:rPr>
        <w:t xml:space="preserve"> </w:t>
      </w:r>
      <w:r w:rsidRPr="00C56699">
        <w:rPr>
          <w:rFonts w:ascii="Arial" w:eastAsia="Arial" w:hAnsi="Arial" w:cs="Arial"/>
          <w:noProof/>
        </w:rPr>
        <w:t>of a specific postmenopausal endoemtrial sample with known high AGR2 protein expression included in each staining run.</w:t>
      </w:r>
    </w:p>
    <w:p w14:paraId="1B882A8D" w14:textId="1E5E9238" w:rsidR="00411DA0" w:rsidRPr="00C56699" w:rsidRDefault="00411DA0" w:rsidP="00411DA0">
      <w:pPr>
        <w:rPr>
          <w:rFonts w:cs="Arial"/>
          <w:noProof/>
          <w:lang w:val="en-GB"/>
        </w:rPr>
      </w:pPr>
      <w:r w:rsidRPr="00C56699">
        <w:rPr>
          <w:rFonts w:cs="Arial"/>
          <w:noProof/>
          <w:lang w:val="en-GB"/>
        </w:rPr>
        <w:t xml:space="preserve">Levels of </w:t>
      </w:r>
      <w:r w:rsidRPr="00C56699">
        <w:rPr>
          <w:rFonts w:cs="Arial"/>
          <w:noProof/>
        </w:rPr>
        <w:t xml:space="preserve">epithelial cytoplasmic AGR2 expression were semi-quantified using a quick score, consisting of a four-tiered scoring system for the % of epithelial cells stained positive for AGR2 protein (1%-10% =1, 11%-30% =2, 31%-50% =3, and &gt;50%=4) combined with a score for the intensity of AGR2 staining (0= no staining, 1= weak staining, 2= moderate staining and 3= strong staining). The total score was produced by multiplying </w:t>
      </w:r>
      <w:r w:rsidRPr="00C56699">
        <w:rPr>
          <w:rFonts w:cs="Arial"/>
          <w:noProof/>
          <w:lang w:val="en-GB"/>
        </w:rPr>
        <w:t xml:space="preserve">the score for the proportion of positive cells by the staining intensity category to achieve a final maximum total score of 12 per sample.  Steroid receptors expression using </w:t>
      </w:r>
      <w:r w:rsidRPr="00C56699">
        <w:rPr>
          <w:shd w:val="clear" w:color="auto" w:fill="FFFFFF"/>
        </w:rPr>
        <w:t>Liverpool endometrial steroid quick score</w:t>
      </w:r>
      <w:r w:rsidRPr="00C56699">
        <w:rPr>
          <w:rFonts w:cs="Arial"/>
          <w:noProof/>
          <w:lang w:val="en-GB"/>
        </w:rPr>
        <w:t xml:space="preserve"> and proliferation index Ki67 were avaiable for 86 sample and were scored as described before </w:t>
      </w:r>
      <w:r w:rsidRPr="00C56699">
        <w:rPr>
          <w:rFonts w:cs="Arial"/>
          <w:noProof/>
          <w:lang w:val="en-GB"/>
        </w:rPr>
        <w:fldChar w:fldCharType="begin" w:fldLock="1"/>
      </w:r>
      <w:r w:rsidR="00E87175" w:rsidRPr="00C56699">
        <w:rPr>
          <w:rFonts w:cs="Arial"/>
          <w:noProof/>
          <w:lang w:val="en-GB"/>
        </w:rPr>
        <w:instrText>ADDIN CSL_CITATION {"citationItems":[{"id":"ITEM-1","itemData":{"DOI":"10.1038/bjc.2016.16","ISSN":"1532-1827","PMID":"26930451","abstract":"BACKGROUND: Endometrial cancer (EC) is a hormone-driven disease, and androgen receptor (AR) expression in high-grade EC (HGEC) and metastatic EC has not yet been described. METHODS: The expression pattern and prognostic value of AR in relation to oestrogen (ERα and ERβ) and progesterone (PR) receptors, and the proliferation marker Ki67 in all EC subtypes (n=85) were compared with that of healthy and hyperplastic endometrium, using immunohistochemisty and qPCR. RESULTS: Compared with proliferative endometrium, postmenopausal endometrtial epithelium showed significantly higher expression of AR (P&lt;0.001) and ERα (P=0.035), which persisted in hyperplastic epithelium and in low-grade EC (LGEC). High-grade EC showed a significant loss of AR (P&lt;0.0001), PR (P&lt;0.0001) and ERβ (P&lt;0.035) compared with LGEC, whilst maintaining weak to moderate ERα. Unlike PR, AR expression in metastatic lesions was significantly (P=0.039) higher than that in primary tumours. Androgen receptor expression correlated with favourable clinicopathological features and a lower proliferation index. Loss of AR, with/without the loss of PR was associated with a significantly lower disease-free survival (P&lt;0.0001, P&lt;0.0001, respectively). CONCLUSIONS: Postmenopausal endometrial epithelium acquires AR whilst preserving other steroid hormone receptors. Loss of AR, PR with retention of ERα and ERβ may promote the unrestrained growth of HGEC. Androgen receptor may therefore be a clinically relevant prognostic indicator and a potential therapeutic target in EC.","author":[{"dropping-particle":"","family":"Kamal","given":"AM","non-dropping-particle":"","parse-names":false,"suffix":""},{"dropping-particle":"","family":"Bulmer","given":"JN","non-dropping-particle":"","parse-names":false,"suffix":""},{"dropping-particle":"","family":"DeCruze","given":"SB","non-dropping-particle":"","parse-names":false,"suffix":""},{"dropping-particle":"","family":"Stringfellow","given":"HF","non-dropping-particle":"","parse-names":false,"suffix":""},{"dropping-particle":"","family":"Martin-Hirsch","given":"P","non-dropping-particle":"","parse-names":false,"suffix":""},{"dropping-particle":"","family":"Hapangama","given":"DK","non-dropping-particle":"","parse-names":false,"suffix":""}],"container-title":"British journal of cancer","id":"ITEM-1","issue":"6","issued":{"date-parts":[["2016","3","15"]]},"language":"en","page":"688-96","title":"Androgen receptors are acquired by healthy postmenopausal endometrial epithelium and their subsequent loss in endometrial cancer is associated with poor survival.","type":"article-journal","volume":"114"},"uris":["http://www.mendeley.com/documents/?uuid=77c97903-b08f-4dff-9d42-d1771be07033"]}],"mendeley":{"formattedCitation":"[34]","plainTextFormattedCitation":"[34]","previouslyFormattedCitation":"[34]"},"properties":{"noteIndex":0},"schema":"https://github.com/citation-style-language/schema/raw/master/csl-citation.json"}</w:instrText>
      </w:r>
      <w:r w:rsidRPr="00C56699">
        <w:rPr>
          <w:rFonts w:cs="Arial"/>
          <w:noProof/>
          <w:lang w:val="en-GB"/>
        </w:rPr>
        <w:fldChar w:fldCharType="separate"/>
      </w:r>
      <w:r w:rsidR="00E87175" w:rsidRPr="00C56699">
        <w:rPr>
          <w:rFonts w:cs="Arial"/>
          <w:noProof/>
          <w:lang w:val="en-GB"/>
        </w:rPr>
        <w:t>[34]</w:t>
      </w:r>
      <w:r w:rsidRPr="00C56699">
        <w:rPr>
          <w:rFonts w:cs="Arial"/>
          <w:noProof/>
          <w:lang w:val="en-GB"/>
        </w:rPr>
        <w:fldChar w:fldCharType="end"/>
      </w:r>
      <w:r w:rsidRPr="00C56699" w:rsidDel="00B66ADE">
        <w:rPr>
          <w:rFonts w:cs="Arial"/>
          <w:noProof/>
          <w:lang w:val="en-GB"/>
        </w:rPr>
        <w:t xml:space="preserve"> </w:t>
      </w:r>
      <w:r w:rsidRPr="00C56699">
        <w:rPr>
          <w:rFonts w:cs="Arial"/>
          <w:noProof/>
          <w:lang w:val="en-GB"/>
        </w:rPr>
        <w:t>.</w:t>
      </w:r>
    </w:p>
    <w:p w14:paraId="51D52CE0" w14:textId="1BCAA609" w:rsidR="00411DA0" w:rsidRPr="00C56699" w:rsidRDefault="00411DA0" w:rsidP="00411DA0">
      <w:pPr>
        <w:rPr>
          <w:iCs/>
        </w:rPr>
      </w:pPr>
      <w:r w:rsidRPr="00C56699">
        <w:t xml:space="preserve">ECs were then categorized according to AGR2 expression scores to compare the expression in relation to clinicopathological parameters. Several </w:t>
      </w:r>
      <w:r w:rsidR="008C2A69" w:rsidRPr="00C56699">
        <w:t>q</w:t>
      </w:r>
      <w:r w:rsidRPr="00C56699">
        <w:t>uick</w:t>
      </w:r>
      <w:r w:rsidR="008C2A69" w:rsidRPr="00C56699">
        <w:t xml:space="preserve"> </w:t>
      </w:r>
      <w:r w:rsidRPr="00C56699">
        <w:t xml:space="preserve">score cut-off points between 1 and 5 were tested to identify the AGR2 expression cutoff that distinguished the group with the worst clinicopathological features and worst outcomes (Supplementary Figure </w:t>
      </w:r>
      <w:r w:rsidR="00AB5AB4" w:rsidRPr="00C56699">
        <w:t>1A</w:t>
      </w:r>
      <w:r w:rsidRPr="00C56699">
        <w:t xml:space="preserve">). Out of the five tested cutoffs, a </w:t>
      </w:r>
      <w:r w:rsidRPr="00C56699">
        <w:rPr>
          <w:noProof/>
        </w:rPr>
        <w:t>score</w:t>
      </w:r>
      <w:r w:rsidRPr="00C56699">
        <w:t xml:space="preserve"> of 5 showed the best categorization, thus a </w:t>
      </w:r>
      <w:r w:rsidR="008C2A69" w:rsidRPr="00C56699">
        <w:t>q</w:t>
      </w:r>
      <w:r w:rsidRPr="00C56699">
        <w:t xml:space="preserve">uick score of 5 was selected as the </w:t>
      </w:r>
      <w:r w:rsidRPr="00C56699">
        <w:lastRenderedPageBreak/>
        <w:t xml:space="preserve">AGR2 expression </w:t>
      </w:r>
      <w:r w:rsidRPr="00C56699">
        <w:rPr>
          <w:noProof/>
        </w:rPr>
        <w:t>cutoff</w:t>
      </w:r>
      <w:r w:rsidRPr="00C56699">
        <w:t xml:space="preserve"> score for this study, whereby &lt;5 represent low AGR2 and scores ≥5 represent</w:t>
      </w:r>
      <w:r w:rsidRPr="00C56699">
        <w:rPr>
          <w:i/>
          <w:iCs/>
        </w:rPr>
        <w:t xml:space="preserve"> </w:t>
      </w:r>
      <w:r w:rsidRPr="00C56699">
        <w:t>high AGR2</w:t>
      </w:r>
      <w:r w:rsidRPr="00C56699">
        <w:rPr>
          <w:i/>
          <w:iCs/>
        </w:rPr>
        <w:t xml:space="preserve">. </w:t>
      </w:r>
    </w:p>
    <w:p w14:paraId="7A277C6A" w14:textId="77777777" w:rsidR="00411DA0" w:rsidRPr="00C56699" w:rsidRDefault="00411DA0" w:rsidP="00411DA0">
      <w:pPr>
        <w:rPr>
          <w:b/>
          <w:iCs/>
          <w:sz w:val="28"/>
          <w:szCs w:val="28"/>
        </w:rPr>
      </w:pPr>
      <w:r w:rsidRPr="00C56699">
        <w:rPr>
          <w:b/>
          <w:iCs/>
          <w:sz w:val="28"/>
          <w:szCs w:val="28"/>
        </w:rPr>
        <w:t>Immunofluorescence</w:t>
      </w:r>
    </w:p>
    <w:p w14:paraId="57DCF60D" w14:textId="77777777" w:rsidR="00411DA0" w:rsidRPr="00C56699" w:rsidRDefault="00411DA0" w:rsidP="00411DA0">
      <w:pPr>
        <w:rPr>
          <w:rFonts w:ascii="Arial" w:hAnsi="Arial" w:cs="Arial"/>
        </w:rPr>
      </w:pPr>
      <w:r w:rsidRPr="00C56699">
        <w:rPr>
          <w:rFonts w:ascii="Arial" w:hAnsi="Arial" w:cs="Arial"/>
        </w:rPr>
        <w:t xml:space="preserve">Immunofluorescence was performed on 3µm paraffin embedded sections of Ishikawa spheroids, antigen retrieval at pH 6. Monolayers of Ishikawa cells grown in 8-well chamber slides (Sigma- Aldrich, Dorset, UK) were fixed in 10% NBF (Sigma- Aldrich, Dorset, UK) and </w:t>
      </w:r>
      <w:proofErr w:type="spellStart"/>
      <w:r w:rsidRPr="00C56699">
        <w:rPr>
          <w:rFonts w:ascii="Arial" w:hAnsi="Arial" w:cs="Arial"/>
        </w:rPr>
        <w:t>permeabilised</w:t>
      </w:r>
      <w:proofErr w:type="spellEnd"/>
      <w:r w:rsidRPr="00C56699">
        <w:rPr>
          <w:rFonts w:ascii="Arial" w:hAnsi="Arial" w:cs="Arial"/>
        </w:rPr>
        <w:t xml:space="preserve"> in 0.25% Triton X100 in PBS, 5min at RT. Cells were stained with AGR2 antibody (1:100) with no primary antibody as control. Alexa Fluor 488 anti-rabbit IgG was from Cell </w:t>
      </w:r>
      <w:proofErr w:type="spellStart"/>
      <w:r w:rsidRPr="00C56699">
        <w:rPr>
          <w:rFonts w:ascii="Arial" w:hAnsi="Arial" w:cs="Arial"/>
        </w:rPr>
        <w:t>Signalling</w:t>
      </w:r>
      <w:proofErr w:type="spellEnd"/>
      <w:r w:rsidRPr="00C56699">
        <w:rPr>
          <w:rFonts w:ascii="Arial" w:hAnsi="Arial" w:cs="Arial"/>
        </w:rPr>
        <w:t xml:space="preserve"> Technology (Alexa </w:t>
      </w:r>
      <w:proofErr w:type="spellStart"/>
      <w:r w:rsidRPr="00C56699">
        <w:rPr>
          <w:rFonts w:ascii="Arial" w:hAnsi="Arial" w:cs="Arial"/>
        </w:rPr>
        <w:t>FluorR</w:t>
      </w:r>
      <w:proofErr w:type="spellEnd"/>
      <w:r w:rsidRPr="00C56699">
        <w:rPr>
          <w:rFonts w:ascii="Arial" w:hAnsi="Arial" w:cs="Arial"/>
        </w:rPr>
        <w:t xml:space="preserve"> 488, anti-rabbit). Nuclei were stained with DAPI in mounting medium (</w:t>
      </w:r>
      <w:proofErr w:type="spellStart"/>
      <w:r w:rsidRPr="00C56699">
        <w:rPr>
          <w:rFonts w:ascii="Arial" w:hAnsi="Arial" w:cs="Arial"/>
        </w:rPr>
        <w:t>Vectashield</w:t>
      </w:r>
      <w:proofErr w:type="spellEnd"/>
      <w:r w:rsidRPr="00C56699">
        <w:rPr>
          <w:rFonts w:ascii="Arial" w:hAnsi="Arial" w:cs="Arial"/>
        </w:rPr>
        <w:t xml:space="preserve">, Vector Laboratories, </w:t>
      </w:r>
      <w:proofErr w:type="gramStart"/>
      <w:r w:rsidRPr="00C56699">
        <w:rPr>
          <w:rFonts w:ascii="Arial" w:hAnsi="Arial" w:cs="Arial"/>
        </w:rPr>
        <w:t>Peterborough</w:t>
      </w:r>
      <w:proofErr w:type="gramEnd"/>
      <w:r w:rsidRPr="00C56699">
        <w:rPr>
          <w:rFonts w:ascii="Arial" w:hAnsi="Arial" w:cs="Arial"/>
        </w:rPr>
        <w:t xml:space="preserve">, UK). Immunofluorescence was </w:t>
      </w:r>
      <w:proofErr w:type="spellStart"/>
      <w:r w:rsidRPr="00C56699">
        <w:rPr>
          <w:rFonts w:ascii="Arial" w:hAnsi="Arial" w:cs="Arial"/>
        </w:rPr>
        <w:t>visualised</w:t>
      </w:r>
      <w:proofErr w:type="spellEnd"/>
      <w:r w:rsidRPr="00C56699">
        <w:rPr>
          <w:rFonts w:ascii="Arial" w:hAnsi="Arial" w:cs="Arial"/>
        </w:rPr>
        <w:t xml:space="preserve"> on a Nikon Eclipse 50i microscope using NIS-Elements F for image capture and Image J for processing.</w:t>
      </w:r>
    </w:p>
    <w:p w14:paraId="52D84130" w14:textId="77777777" w:rsidR="00411DA0" w:rsidRPr="00C56699" w:rsidRDefault="00411DA0" w:rsidP="00411DA0">
      <w:pPr>
        <w:rPr>
          <w:lang w:val="en-GB"/>
        </w:rPr>
      </w:pPr>
    </w:p>
    <w:p w14:paraId="4D49C0ED" w14:textId="77777777" w:rsidR="00411DA0" w:rsidRPr="00C56699" w:rsidRDefault="00411DA0" w:rsidP="00411DA0">
      <w:pPr>
        <w:pStyle w:val="Heading2"/>
        <w:rPr>
          <w:lang w:val="en-GB"/>
        </w:rPr>
      </w:pPr>
      <w:r w:rsidRPr="00C56699">
        <w:rPr>
          <w:noProof/>
          <w:lang w:val="en-GB"/>
        </w:rPr>
        <w:t>Real-time</w:t>
      </w:r>
      <w:r w:rsidRPr="00C56699">
        <w:rPr>
          <w:lang w:val="en-GB"/>
        </w:rPr>
        <w:t xml:space="preserve"> qPCR</w:t>
      </w:r>
    </w:p>
    <w:p w14:paraId="217B32EB" w14:textId="4F5AE394" w:rsidR="00411DA0" w:rsidRPr="00C56699" w:rsidRDefault="00411DA0" w:rsidP="008C2A69">
      <w:pPr>
        <w:rPr>
          <w:rFonts w:ascii="Arial" w:hAnsi="Arial" w:cs="Arial"/>
        </w:rPr>
      </w:pPr>
      <w:r w:rsidRPr="00C56699">
        <w:rPr>
          <w:rFonts w:ascii="Arial" w:hAnsi="Arial" w:cs="Arial"/>
        </w:rPr>
        <w:t xml:space="preserve">Total RNA from tissue samples </w:t>
      </w:r>
      <w:r w:rsidRPr="00C56699">
        <w:rPr>
          <w:rFonts w:ascii="Arial" w:eastAsia="Arial" w:hAnsi="Arial" w:cs="Arial"/>
          <w:noProof/>
        </w:rPr>
        <w:t>and from cell-line pellets</w:t>
      </w:r>
      <w:r w:rsidRPr="00C56699">
        <w:rPr>
          <w:rFonts w:ascii="Arial" w:hAnsi="Arial" w:cs="Arial"/>
        </w:rPr>
        <w:t xml:space="preserve"> was extracted using </w:t>
      </w:r>
      <w:proofErr w:type="spellStart"/>
      <w:r w:rsidRPr="00C56699">
        <w:rPr>
          <w:rFonts w:ascii="Arial" w:hAnsi="Arial" w:cs="Arial"/>
        </w:rPr>
        <w:t>TRIzol</w:t>
      </w:r>
      <w:proofErr w:type="spellEnd"/>
      <w:r w:rsidRPr="00C56699">
        <w:rPr>
          <w:rFonts w:ascii="Arial" w:hAnsi="Arial" w:cs="Arial"/>
        </w:rPr>
        <w:t xml:space="preserve"> Plus RNA Purification System (Life Technologies, Paisley, UK), and quantified by </w:t>
      </w:r>
      <w:proofErr w:type="spellStart"/>
      <w:r w:rsidRPr="00C56699">
        <w:rPr>
          <w:rFonts w:ascii="Arial" w:hAnsi="Arial" w:cs="Arial"/>
        </w:rPr>
        <w:t>NanoDrop</w:t>
      </w:r>
      <w:proofErr w:type="spellEnd"/>
      <w:r w:rsidRPr="00C56699">
        <w:rPr>
          <w:rFonts w:ascii="Arial" w:hAnsi="Arial" w:cs="Arial"/>
        </w:rPr>
        <w:t xml:space="preserve"> ND-1000 (</w:t>
      </w:r>
      <w:proofErr w:type="spellStart"/>
      <w:r w:rsidRPr="00C56699">
        <w:rPr>
          <w:rFonts w:ascii="Arial" w:hAnsi="Arial" w:cs="Arial"/>
        </w:rPr>
        <w:t>Thermo</w:t>
      </w:r>
      <w:proofErr w:type="spellEnd"/>
      <w:r w:rsidRPr="00C56699">
        <w:rPr>
          <w:rFonts w:ascii="Arial" w:hAnsi="Arial" w:cs="Arial"/>
        </w:rPr>
        <w:t xml:space="preserve"> Fisher Scientific, Loughborough, UK). Total RNA was reverse transcribed using AMV First Strand cDNA synthesis kit (New England Bio Labs, Hertfordshire, UK) after DNase treatment (DNase I (#M0303), New England Bio Labs, Hertfordshire, UK), using the manufacturer's protocol as previously described </w:t>
      </w:r>
      <w:r w:rsidR="008C2A69" w:rsidRPr="00C56699">
        <w:rPr>
          <w:rFonts w:ascii="Arial" w:hAnsi="Arial" w:cs="Arial"/>
        </w:rPr>
        <w:fldChar w:fldCharType="begin" w:fldLock="1"/>
      </w:r>
      <w:r w:rsidR="008C2A69" w:rsidRPr="00C56699">
        <w:rPr>
          <w:rFonts w:ascii="Arial" w:hAnsi="Arial" w:cs="Arial"/>
        </w:rPr>
        <w:instrText>ADDIN CSL_CITATION {"citationItems":[{"id":"ITEM-1","itemData":{"DOI":"10.1038/bjc.2016.16","ISSN":"1532-1827","PMID":"26930451","abstract":"BACKGROUND: Endometrial cancer (EC) is a hormone-driven disease, and androgen receptor (AR) expression in high-grade EC (HGEC) and metastatic EC has not yet been described. METHODS: The expression pattern and prognostic value of AR in relation to oestrogen (ERα and ERβ) and progesterone (PR) receptors, and the proliferation marker Ki67 in all EC subtypes (n=85) were compared with that of healthy and hyperplastic endometrium, using immunohistochemisty and qPCR. RESULTS: Compared with proliferative endometrium, postmenopausal endometrtial epithelium showed significantly higher expression of AR (P&lt;0.001) and ERα (P=0.035), which persisted in hyperplastic epithelium and in low-grade EC (LGEC). High-grade EC showed a significant loss of AR (P&lt;0.0001), PR (P&lt;0.0001) and ERβ (P&lt;0.035) compared with LGEC, whilst maintaining weak to moderate ERα. Unlike PR, AR expression in metastatic lesions was significantly (P=0.039) higher than that in primary tumours. Androgen receptor expression correlated with favourable clinicopathological features and a lower proliferation index. Loss of AR, with/without the loss of PR was associated with a significantly lower disease-free survival (P&lt;0.0001, P&lt;0.0001, respectively). CONCLUSIONS: Postmenopausal endometrial epithelium acquires AR whilst preserving other steroid hormone receptors. Loss of AR, PR with retention of ERα and ERβ may promote the unrestrained growth of HGEC. Androgen receptor may therefore be a clinically relevant prognostic indicator and a potential therapeutic target in EC.","author":[{"dropping-particle":"","family":"Kamal","given":"AM","non-dropping-particle":"","parse-names":false,"suffix":""},{"dropping-particle":"","family":"Bulmer","given":"JN","non-dropping-particle":"","parse-names":false,"suffix":""},{"dropping-particle":"","family":"DeCruze","given":"SB","non-dropping-particle":"","parse-names":false,"suffix":""},{"dropping-particle":"","family":"Stringfellow","given":"HF","non-dropping-particle":"","parse-names":false,"suffix":""},{"dropping-particle":"","family":"Martin-Hirsch","given":"P","non-dropping-particle":"","parse-names":false,"suffix":""},{"dropping-particle":"","family":"Hapangama","given":"DK","non-dropping-particle":"","parse-names":false,"suffix":""}],"container-title":"British journal of cancer","id":"ITEM-1","issue":"6","issued":{"date-parts":[["2016","3","15"]]},"language":"en","page":"688-96","title":"Androgen receptors are acquired by healthy postmenopausal endometrial epithelium and their subsequent loss in endometrial cancer is associated with poor survival.","type":"article-journal","volume":"114"},"uris":["http://www.mendeley.com/documents/?uuid=77c97903-b08f-4dff-9d42-d1771be07033"]}],"mendeley":{"formattedCitation":"[34]","plainTextFormattedCitation":"[34]","previouslyFormattedCitation":"[34]"},"properties":{"noteIndex":0},"schema":"https://github.com/citation-style-language/schema/raw/master/csl-citation.json"}</w:instrText>
      </w:r>
      <w:r w:rsidR="008C2A69" w:rsidRPr="00C56699">
        <w:rPr>
          <w:rFonts w:ascii="Arial" w:hAnsi="Arial" w:cs="Arial"/>
        </w:rPr>
        <w:fldChar w:fldCharType="separate"/>
      </w:r>
      <w:r w:rsidR="008C2A69" w:rsidRPr="00C56699">
        <w:rPr>
          <w:rFonts w:ascii="Arial" w:hAnsi="Arial" w:cs="Arial"/>
          <w:noProof/>
        </w:rPr>
        <w:t>[34]</w:t>
      </w:r>
      <w:r w:rsidR="008C2A69" w:rsidRPr="00C56699">
        <w:rPr>
          <w:rFonts w:ascii="Arial" w:hAnsi="Arial" w:cs="Arial"/>
        </w:rPr>
        <w:fldChar w:fldCharType="end"/>
      </w:r>
      <w:r w:rsidR="008C2A69" w:rsidRPr="00C56699" w:rsidDel="008C2A69">
        <w:rPr>
          <w:rFonts w:ascii="Arial" w:hAnsi="Arial" w:cs="Arial"/>
        </w:rPr>
        <w:t xml:space="preserve"> </w:t>
      </w:r>
      <w:r w:rsidRPr="00C56699">
        <w:rPr>
          <w:rFonts w:ascii="Arial" w:hAnsi="Arial" w:cs="Arial"/>
        </w:rPr>
        <w:t xml:space="preserve">. cDNA was amplified by qPCR using </w:t>
      </w:r>
      <w:r w:rsidRPr="00C56699">
        <w:rPr>
          <w:rFonts w:ascii="Arial" w:eastAsia="Arial" w:hAnsi="Arial" w:cs="Arial"/>
          <w:noProof/>
        </w:rPr>
        <w:t xml:space="preserve">JumpStart SYBR Green supermix (Sigma, Dorset, UK ) and </w:t>
      </w:r>
      <w:r w:rsidRPr="00C56699">
        <w:t>CFX Connect Real-Time System (Bio-Rad, Hertfordshire, UK)</w:t>
      </w:r>
      <w:r w:rsidRPr="00C56699">
        <w:rPr>
          <w:rFonts w:ascii="Arial" w:hAnsi="Arial" w:cs="Arial"/>
        </w:rPr>
        <w:t xml:space="preserve"> and the following primers: </w:t>
      </w:r>
      <w:r w:rsidRPr="00C56699">
        <w:rPr>
          <w:rFonts w:ascii="Arial" w:eastAsia="Arial" w:hAnsi="Arial" w:cs="Arial"/>
          <w:i/>
          <w:noProof/>
        </w:rPr>
        <w:t>AGR2</w:t>
      </w:r>
      <w:r w:rsidRPr="00C56699">
        <w:rPr>
          <w:rFonts w:ascii="Arial" w:eastAsia="Arial" w:hAnsi="Arial" w:cs="Arial"/>
          <w:noProof/>
        </w:rPr>
        <w:t xml:space="preserve"> amplification were: forward 5’-ATTGGCAGAGCAGTTTGTCC-3’, reverse 5’-GAGCTGTATCTGCAGGTTCGT-3’ </w:t>
      </w:r>
      <w:r w:rsidRPr="00C56699">
        <w:rPr>
          <w:rFonts w:ascii="Arial" w:eastAsia="Arial" w:hAnsi="Arial" w:cs="Arial"/>
          <w:noProof/>
        </w:rPr>
        <w:fldChar w:fldCharType="begin" w:fldLock="1"/>
      </w:r>
      <w:r w:rsidR="00E87175" w:rsidRPr="00C56699">
        <w:rPr>
          <w:rFonts w:ascii="Arial" w:eastAsia="Arial" w:hAnsi="Arial" w:cs="Arial"/>
          <w:noProof/>
        </w:rPr>
        <w:instrText>ADDIN CSL_CITATION {"citationItems":[{"id":"ITEM-1","itemData":{"DOI":"10.1093/carcin/bgs141","ISBN":"1460-2180 (Electronic)\\r0143-3334 (Linking)","ISSN":"1460-2180","PMID":"22467239","abstract":"Anterior-gradient 2 (AGR2), overexpressed in many tumors including prostate cancer (PCa), is implicated in stimulation of cell proliferation, adhesion, anti-apoptosis and cell cycle regulation. Here, a potential role of AGR2 in cellular senescence was investigated. We first observed that AGR2 was overexpressed in Chinese Han PCa tissues and had a positive correlation with cyclin D1 and p-Rb but not with p16(INK4a). AGR2 expression profiles varied among cell lines, with PC3 cells being the highest level, LNCaP and DU145 relatively less. The expression of cyclin D1 showed similar pattern to the AGR2 in cell lines. Knockdown of AGR2 caused a decrease in cell viability in PC3 cells, whereas forced expression of AGR2 led to an increased cell proliferation of LNCaP and DU145 cells. Importantly, AGR2 depletion resulted in accumulation of cells at the G(0)/G(1) phase and induction of cellular senescence in all three PCa cell lines as indicated by an increase of flat, enlarged and senescence-associated β-galactosidase (SA-β-Gal) positive cells. Senescent response to AGR2 silencing was also evidenced by elevated γH2AX and fluorescent punctuate formation of tri-methyl-histone H3 in AGR2-depleted cells. Further studies indicated that LNCaP underwent a p21(CIP1)-dependent cellular senescence in response to AGR2 depletion that requires inactivation of ERK signaling, whereas PC-3 was also p21(CIP1) dependent but involved in suppression of PI3K/Akt. Unlike LNCaP and PC-3, senescent response of DU145 was found to be mainly p27(KIP1) dependent that may require upregulation of PTEN and inhibition of PI3K/Akt signaling. Thus, these findings suggest a novel role of AGR2 in regulation of cellular senescence.","author":[{"dropping-particle":"","family":"Hu","given":"Zhongyi","non-dropping-particle":"","parse-names":false,"suffix":""},{"dropping-particle":"","family":"Gu","given":"Yuanyuan","non-dropping-particle":"","parse-names":false,"suffix":""},{"dropping-particle":"","family":"Han","given":"Bo","non-dropping-particle":"","parse-names":false,"suffix":""},{"dropping-particle":"","family":"Zhang","given":"Jinsan","non-dropping-particle":"","parse-names":false,"suffix":""},{"dropping-particle":"","family":"Li","given":"Zunling","non-dropping-particle":"","parse-names":false,"suffix":""},{"dropping-particle":"","family":"Tian","given":"Keli","non-dropping-particle":"","parse-names":false,"suffix":""},{"dropping-particle":"","family":"Young","given":"Charles Y F","non-dropping-particle":"","parse-names":false,"suffix":""},{"dropping-particle":"","family":"Yuan","given":"Huiqing","non-dropping-particle":"","parse-names":false,"suffix":""}],"container-title":"Carcinogenesis","id":"ITEM-1","issue":"6","issued":{"date-parts":[["2012"]]},"page":"1178-86","title":"Knockdown of AGR2 induces cellular senescence in prostate cancer cells.","type":"article-journal","volume":"33"},"uris":["http://www.mendeley.com/documents/?uuid=96934168-64d1-4cad-aead-90b600375395"]}],"mendeley":{"formattedCitation":"[45]","plainTextFormattedCitation":"[45]","previouslyFormattedCitation":"[45]"},"properties":{"noteIndex":0},"schema":"https://github.com/citation-style-language/schema/raw/master/csl-citation.json"}</w:instrText>
      </w:r>
      <w:r w:rsidRPr="00C56699">
        <w:rPr>
          <w:rFonts w:ascii="Arial" w:eastAsia="Arial" w:hAnsi="Arial" w:cs="Arial"/>
          <w:noProof/>
        </w:rPr>
        <w:fldChar w:fldCharType="separate"/>
      </w:r>
      <w:r w:rsidR="00E87175" w:rsidRPr="00C56699">
        <w:rPr>
          <w:rFonts w:ascii="Arial" w:eastAsia="Arial" w:hAnsi="Arial" w:cs="Arial"/>
          <w:noProof/>
        </w:rPr>
        <w:t>[45]</w:t>
      </w:r>
      <w:r w:rsidRPr="00C56699">
        <w:rPr>
          <w:rFonts w:ascii="Arial" w:eastAsia="Arial" w:hAnsi="Arial" w:cs="Arial"/>
          <w:noProof/>
        </w:rPr>
        <w:fldChar w:fldCharType="end"/>
      </w:r>
      <w:r w:rsidRPr="00C56699">
        <w:rPr>
          <w:rFonts w:ascii="Arial" w:eastAsia="Arial" w:hAnsi="Arial" w:cs="Arial"/>
          <w:noProof/>
        </w:rPr>
        <w:t xml:space="preserve">; for </w:t>
      </w:r>
      <w:r w:rsidRPr="00C56699">
        <w:rPr>
          <w:rStyle w:val="st"/>
        </w:rPr>
        <w:t>Tyrosine 3-Monooxygenase/Tryptophan 5-Monooxygenase Activation Protein Zeta</w:t>
      </w:r>
      <w:r w:rsidRPr="00C56699">
        <w:rPr>
          <w:rFonts w:ascii="Arial" w:eastAsia="Arial" w:hAnsi="Arial" w:cs="Arial"/>
          <w:noProof/>
        </w:rPr>
        <w:t xml:space="preserve"> (</w:t>
      </w:r>
      <w:r w:rsidRPr="00C56699">
        <w:t>YWHAZ), forward 5’-CGTTACTTGGCTGAGGTTGCC-3’, reverse 5’-</w:t>
      </w:r>
      <w:r w:rsidRPr="00C56699">
        <w:rPr>
          <w:rFonts w:ascii="Arial" w:eastAsia="Arial" w:hAnsi="Arial" w:cs="Arial"/>
          <w:noProof/>
        </w:rPr>
        <w:t xml:space="preserve">GTATGCTTGTTGTGACTGATCGAC-3’ </w:t>
      </w:r>
      <w:r w:rsidRPr="00C56699">
        <w:rPr>
          <w:rFonts w:ascii="Arial" w:eastAsia="Arial" w:hAnsi="Arial" w:cs="Arial"/>
          <w:noProof/>
        </w:rPr>
        <w:fldChar w:fldCharType="begin" w:fldLock="1"/>
      </w:r>
      <w:r w:rsidR="00E87175" w:rsidRPr="00C56699">
        <w:rPr>
          <w:rFonts w:ascii="Arial" w:eastAsia="Arial" w:hAnsi="Arial" w:cs="Arial"/>
          <w:noProof/>
        </w:rPr>
        <w:instrText>ADDIN CSL_CITATION {"citationItems":[{"id":"ITEM-1","itemData":{"DOI":"10.1186/gb-2010-11-1-r9","ISSN":"1474-760X","PMID":"20109193","abstract":"We describe a novel strategy for mRNA normalization in quantitative real-time PCR that is based on expressed Alu repeat amplification as a measure for the mRNA fraction. We show that expressed Alu repeat amplification is a fast, accurate normalization tool that can be successfully used for quantification of selected mRNA in the human transcriptome. This result is particularly important for clinical diagnosis and biomarker validation studies based on mRNA detection in human blood.","author":[{"dropping-particle":"","family":"Marullo","given":"Manuela","non-dropping-particle":"","parse-names":false,"suffix":""},{"dropping-particle":"","family":"Zuccato","given":"Chiara","non-dropping-particle":"","parse-names":false,"suffix":""},{"dropping-particle":"","family":"Mariotti","given":"Caterina","non-dropping-particle":"","parse-names":false,"suffix":""},{"dropping-particle":"","family":"Lahiri","given":"Nayana","non-dropping-particle":"","parse-names":false,"suffix":""},{"dropping-particle":"","family":"Tabrizi","given":"Sarah J","non-dropping-particle":"","parse-names":false,"suffix":""},{"dropping-particle":"","family":"Donato","given":"Stefano","non-dropping-particle":"Di","parse-names":false,"suffix":""},{"dropping-particle":"","family":"Cattaneo","given":"Elena","non-dropping-particle":"","parse-names":false,"suffix":""}],"container-title":"Genome biology","id":"ITEM-1","issue":"1","issued":{"date-parts":[["2010","1"]]},"page":"R9","title":"Expressed Alu repeats as a novel, reliable tool for normalization of real-time quantitative RT-PCR data.","type":"article-journal","volume":"11"},"uris":["http://www.mendeley.com/documents/?uuid=b99c8612-1d9e-42be-afcf-9a97444ffd8c"]}],"mendeley":{"formattedCitation":"[46]","plainTextFormattedCitation":"[46]","previouslyFormattedCitation":"[46]"},"properties":{"noteIndex":0},"schema":"https://github.com/citation-style-language/schema/raw/master/csl-citation.json"}</w:instrText>
      </w:r>
      <w:r w:rsidRPr="00C56699">
        <w:rPr>
          <w:rFonts w:ascii="Arial" w:eastAsia="Arial" w:hAnsi="Arial" w:cs="Arial"/>
          <w:noProof/>
        </w:rPr>
        <w:fldChar w:fldCharType="separate"/>
      </w:r>
      <w:r w:rsidR="00E87175" w:rsidRPr="00C56699">
        <w:rPr>
          <w:rFonts w:ascii="Arial" w:eastAsia="Arial" w:hAnsi="Arial" w:cs="Arial"/>
          <w:noProof/>
        </w:rPr>
        <w:t>[46]</w:t>
      </w:r>
      <w:r w:rsidRPr="00C56699">
        <w:rPr>
          <w:rFonts w:ascii="Arial" w:eastAsia="Arial" w:hAnsi="Arial" w:cs="Arial"/>
          <w:noProof/>
        </w:rPr>
        <w:fldChar w:fldCharType="end"/>
      </w:r>
      <w:r w:rsidRPr="00C56699">
        <w:t>;</w:t>
      </w:r>
      <w:r w:rsidRPr="00C56699">
        <w:rPr>
          <w:rFonts w:ascii="Arial" w:eastAsia="Arial" w:hAnsi="Arial" w:cs="Arial"/>
          <w:noProof/>
        </w:rPr>
        <w:t xml:space="preserve"> </w:t>
      </w:r>
      <w:r w:rsidRPr="00C56699">
        <w:rPr>
          <w:rFonts w:ascii="Arial" w:eastAsia="Arial" w:hAnsi="Arial" w:cs="Arial"/>
          <w:noProof/>
        </w:rPr>
        <w:lastRenderedPageBreak/>
        <w:t xml:space="preserve">and for </w:t>
      </w:r>
      <w:proofErr w:type="spellStart"/>
      <w:r w:rsidRPr="00C56699">
        <w:rPr>
          <w:rStyle w:val="st"/>
        </w:rPr>
        <w:t>Peptidylprolyl</w:t>
      </w:r>
      <w:proofErr w:type="spellEnd"/>
      <w:r w:rsidRPr="00C56699">
        <w:rPr>
          <w:rStyle w:val="st"/>
        </w:rPr>
        <w:t xml:space="preserve"> Isomerase A (</w:t>
      </w:r>
      <w:r w:rsidRPr="00C56699">
        <w:rPr>
          <w:rFonts w:ascii="Arial" w:eastAsia="Arial" w:hAnsi="Arial" w:cs="Arial"/>
          <w:noProof/>
        </w:rPr>
        <w:t xml:space="preserve">PPIA), forward 5’-AGACAAGGTCCCAAAGAC-3’ and reverse 5’-ACCACCCTGACACATAAA-3’ </w:t>
      </w:r>
      <w:r w:rsidRPr="00C56699">
        <w:rPr>
          <w:rFonts w:ascii="Arial" w:eastAsia="Arial" w:hAnsi="Arial" w:cs="Arial"/>
          <w:noProof/>
        </w:rPr>
        <w:fldChar w:fldCharType="begin" w:fldLock="1"/>
      </w:r>
      <w:r w:rsidR="00E87175" w:rsidRPr="00C56699">
        <w:rPr>
          <w:rFonts w:ascii="Arial" w:eastAsia="Arial" w:hAnsi="Arial" w:cs="Arial"/>
          <w:noProof/>
        </w:rPr>
        <w:instrText>ADDIN CSL_CITATION {"citationItems":[{"id":"ITEM-1","itemData":{"DOI":"10.1371/journal.pone.0059180","ISBN":"1932-6203 (Electronic)\\n1932-6203 (Linking)","ISSN":"1932-6203","PMID":"23554992","abstract":"Reverse Transcription - quantitative Polymerase Chain Reaction (RT-qPCR) is a standard technique in most laboratories. The selection of reference genes is essential for data normalization and the selection of suitable reference genes remains critical. Our aim was to 1) review the literature since implementation of the MIQE guidelines in order to identify the degree of acceptance; 2) compare various algorithms in their expression stability; 3) identify a set of suitable and most reliable reference genes for a variety of human cancer cell lines. A PubMed database review was performed and publications since 2009 were selected. Twelve putative reference genes were profiled in normal and various cancer cell lines (n = 25) using 2-step RT-qPCR. Investigated reference genes were ranked according to their expression stability by five algorithms (geNorm, Normfinder, BestKeeper, comparative ΔCt, and RefFinder). Our review revealed 37 publications, with two thirds patient samples and one third cell lines. qPCR efficiency was given in 68.4% of all publications, but only 28.9% of all studies provided RNA/cDNA amount and standard curves. GeNorm and Normfinder algorithms were used in 60.5% in combination. In our selection of 25 cancer cell lines, we identified HSPCB, RRN18S, and RPS13 as the most stable expressed reference genes. In the subset of ovarian cancer cell lines, the reference genes were PPIA, RPS13 and SDHA, clearly demonstrating the necessity to select genes depending on the research focus. Moreover, a cohort of at least three suitable reference genes needs to be established in advance to the experiments, according to the guidelines. For establishing a set of reference genes for gene normalization we recommend the use of ideally three reference genes selected by at least three stability algorithms. The unfortunate lack of compliance to the MIQE guidelines reflects that these need to be further established in the research community.","author":[{"dropping-particle":"","family":"Jacob","given":"Francis","non-dropping-particle":"","parse-names":false,"suffix":""},{"dropping-particle":"","family":"Guertler","given":"Rea","non-dropping-particle":"","parse-names":false,"suffix":""},{"dropping-particle":"","family":"Naim","given":"Stephanie","non-dropping-particle":"","parse-names":false,"suffix":""},{"dropping-particle":"","family":"Nixdorf","given":"Sheri","non-dropping-particle":"","parse-names":false,"suffix":""},{"dropping-particle":"","family":"Fedier","given":"André","non-dropping-particle":"","parse-names":false,"suffix":""},{"dropping-particle":"","family":"Hacker","given":"Neville F","non-dropping-particle":"","parse-names":false,"suffix":""},{"dropping-particle":"","family":"Heinzelmann-Schwarz","given":"Viola","non-dropping-particle":"","parse-names":false,"suffix":""}],"container-title":"PloS one","id":"ITEM-1","issue":"3","issued":{"date-parts":[["2013"]]},"page":"e59180","title":"Careful selection of reference genes is required for reliable performance of RT-qPCR in human normal and cancer cell lines.","type":"article-journal","volume":"8"},"uris":["http://www.mendeley.com/documents/?uuid=e32cc983-0762-41ed-a90c-457caf7296ad"]}],"mendeley":{"formattedCitation":"[47]","plainTextFormattedCitation":"[47]","previouslyFormattedCitation":"[47]"},"properties":{"noteIndex":0},"schema":"https://github.com/citation-style-language/schema/raw/master/csl-citation.json"}</w:instrText>
      </w:r>
      <w:r w:rsidRPr="00C56699">
        <w:rPr>
          <w:rFonts w:ascii="Arial" w:eastAsia="Arial" w:hAnsi="Arial" w:cs="Arial"/>
          <w:noProof/>
        </w:rPr>
        <w:fldChar w:fldCharType="separate"/>
      </w:r>
      <w:r w:rsidR="00E87175" w:rsidRPr="00C56699">
        <w:rPr>
          <w:rFonts w:ascii="Arial" w:eastAsia="Arial" w:hAnsi="Arial" w:cs="Arial"/>
          <w:noProof/>
        </w:rPr>
        <w:t>[47]</w:t>
      </w:r>
      <w:r w:rsidRPr="00C56699">
        <w:rPr>
          <w:rFonts w:ascii="Arial" w:eastAsia="Arial" w:hAnsi="Arial" w:cs="Arial"/>
          <w:noProof/>
        </w:rPr>
        <w:fldChar w:fldCharType="end"/>
      </w:r>
      <w:r w:rsidRPr="00C56699">
        <w:rPr>
          <w:rFonts w:ascii="Arial" w:eastAsia="Arial" w:hAnsi="Arial" w:cs="Arial"/>
          <w:noProof/>
        </w:rPr>
        <w:t xml:space="preserve">. </w:t>
      </w:r>
      <w:r w:rsidRPr="00C56699">
        <w:rPr>
          <w:rFonts w:ascii="Arial" w:hAnsi="Arial" w:cs="Arial"/>
        </w:rPr>
        <w:t xml:space="preserve">Relative transcript expression was calculated using the ΔΔCT method, </w:t>
      </w:r>
      <w:proofErr w:type="spellStart"/>
      <w:r w:rsidRPr="00C56699">
        <w:rPr>
          <w:rFonts w:ascii="Arial" w:hAnsi="Arial" w:cs="Arial"/>
        </w:rPr>
        <w:t>normalised</w:t>
      </w:r>
      <w:proofErr w:type="spellEnd"/>
      <w:r w:rsidRPr="00C56699">
        <w:rPr>
          <w:rFonts w:ascii="Arial" w:hAnsi="Arial" w:cs="Arial"/>
        </w:rPr>
        <w:t xml:space="preserve"> to the reference genes </w:t>
      </w:r>
      <w:r w:rsidRPr="00C56699">
        <w:rPr>
          <w:rFonts w:ascii="Arial" w:eastAsia="Arial" w:hAnsi="Arial" w:cs="Arial"/>
          <w:noProof/>
        </w:rPr>
        <w:t xml:space="preserve">YWHAZ and PPIA </w:t>
      </w:r>
      <w:proofErr w:type="gramStart"/>
      <w:r w:rsidRPr="00C56699">
        <w:rPr>
          <w:rFonts w:ascii="Arial" w:eastAsia="Arial" w:hAnsi="Arial" w:cs="Arial"/>
          <w:noProof/>
        </w:rPr>
        <w:t xml:space="preserve">using </w:t>
      </w:r>
      <w:r w:rsidRPr="00C56699">
        <w:rPr>
          <w:rFonts w:ascii="Arial" w:hAnsi="Arial" w:cs="Arial"/>
        </w:rPr>
        <w:t xml:space="preserve"> </w:t>
      </w:r>
      <w:proofErr w:type="spellStart"/>
      <w:r w:rsidRPr="00C56699">
        <w:rPr>
          <w:rFonts w:ascii="Arial" w:hAnsi="Arial" w:cs="Arial"/>
        </w:rPr>
        <w:t>Biorad</w:t>
      </w:r>
      <w:proofErr w:type="spellEnd"/>
      <w:proofErr w:type="gramEnd"/>
      <w:r w:rsidRPr="00C56699">
        <w:rPr>
          <w:rFonts w:ascii="Arial" w:hAnsi="Arial" w:cs="Arial"/>
        </w:rPr>
        <w:t xml:space="preserve"> CFX manager.</w:t>
      </w:r>
    </w:p>
    <w:p w14:paraId="0E5D2DA7" w14:textId="77777777" w:rsidR="00411DA0" w:rsidRPr="00C56699" w:rsidRDefault="00411DA0" w:rsidP="00411DA0">
      <w:pPr>
        <w:pStyle w:val="Heading2"/>
        <w:rPr>
          <w:lang w:val="en-GB"/>
        </w:rPr>
      </w:pPr>
      <w:r w:rsidRPr="00C56699">
        <w:rPr>
          <w:lang w:val="en-GB"/>
        </w:rPr>
        <w:t>Cell culture</w:t>
      </w:r>
    </w:p>
    <w:p w14:paraId="27AD0FB3" w14:textId="29312E83" w:rsidR="00411DA0" w:rsidRPr="00C56699" w:rsidRDefault="00A94A7B" w:rsidP="008C2A69">
      <w:pPr>
        <w:rPr>
          <w:lang w:val="en-GB"/>
        </w:rPr>
      </w:pPr>
      <w:r w:rsidRPr="00C56699">
        <w:rPr>
          <w:lang w:val="en-GB"/>
        </w:rPr>
        <w:t>EC</w:t>
      </w:r>
      <w:r w:rsidR="00411DA0" w:rsidRPr="00C56699">
        <w:rPr>
          <w:lang w:val="en-GB"/>
        </w:rPr>
        <w:t xml:space="preserve"> cell lines, Ishikawa, HEC1A, </w:t>
      </w:r>
      <w:r w:rsidR="00411DA0" w:rsidRPr="00C56699">
        <w:rPr>
          <w:noProof/>
          <w:lang w:val="en-GB"/>
        </w:rPr>
        <w:t>RL95-2,</w:t>
      </w:r>
      <w:r w:rsidR="00411DA0" w:rsidRPr="00C56699">
        <w:rPr>
          <w:lang w:val="en-GB"/>
        </w:rPr>
        <w:t xml:space="preserve"> and MFE280 were purchased from commercial biobanks. The STR profile of the 4 obtained cell lines exhibited their published profile initially and at the end of our experimental process only with a few minor peaks indicating the beginnings of genetic drift but well within the 80-100% profile match as we previously described </w:t>
      </w:r>
      <w:r w:rsidR="00411DA0" w:rsidRPr="00C56699">
        <w:rPr>
          <w:lang w:val="en-GB"/>
        </w:rPr>
        <w:fldChar w:fldCharType="begin" w:fldLock="1"/>
      </w:r>
      <w:r w:rsidR="008004D4" w:rsidRPr="00C56699">
        <w:rPr>
          <w:lang w:val="en-GB"/>
        </w:rPr>
        <w:instrText>ADDIN CSL_CITATION {"citationItems":[{"id":"ITEM-1","itemData":{"DOI":"10.1097/IGC.0000000000001121","ISSN":"1048-891X","PMID":"28953135","abstract":"OBJECTIVE Translational endometrial cancer (EC) research benefits from an in vitro experimental approach using EC cell lines. We demonstrated the steps that are required to examine estrogen-induced proliferative response, a simple yet important research question pertinent to EC, and devised a pragmatic methodological workflow for using EC cell lines in experimental models. METHODS Comprehensive review of all commercially available EC cell lines was carried out, and Ishikawa cell line was selected to study the estrogen responsiveness with HEC1A, RL95-2, and MFE280 cell lines as comparators where appropriate, examining relevant differential molecular (steroid receptors) and functional (phenotype, anchorage-independent growth, hormone responsiveness, migration, invasion, and chemosensitivity) characteristics in 2-dimensional and 3-dimensional cultures in vitro using immunocytochemistry, immunofluorescence, quantitative polymerase chain reaction, and Western blotting. In vivo tumor, formation, and chemosensitivity were also assessed in a chick chorioallantoic membrane model. RESULTS Short tandem repeat analysis authenticated the purchased cell lines, whereas gifted cells deviated significantly from the published profile. We demonstrate the importance of prior assessment of the suitability of each cell line for the chosen in vitro experimental technique. Prior establishment of baseline, nonenriched conditions was required to induce a proliferative response to estrogen. The chorioallantoic membrane model was a suitable in vivo multicellular animal model for EC for producing rapid and reproducible data. CONCLUSIONS We have developed a methodological guide for EC researchers when using endometrial cell lines to answer important translational research questions (exemplified by estrogen-responsive cell proliferation) to facilitate robust data, while saving time and resources.","author":[{"dropping-particle":"","family":"Parkes","given":"Christina","non-dropping-particle":"","parse-names":false,"suffix":""},{"dropping-particle":"","family":"Kamal","given":"Areege","non-dropping-particle":"","parse-names":false,"suffix":""},{"dropping-particle":"","family":"Valentijn","given":"Anthony J.","non-dropping-particle":"","parse-names":false,"suffix":""},{"dropping-particle":"","family":"Alnafakh","given":"Rafah","non-dropping-particle":"","parse-names":false,"suffix":""},{"dropping-particle":"","family":"Gross","given":"Stephane R.","non-dropping-particle":"","parse-names":false,"suffix":""},{"dropping-particle":"","family":"Barraclough","given":"Roger","non-dropping-particle":"","parse-names":false,"suffix":""},{"dropping-particle":"","family":"Moss","given":"Diana","non-dropping-particle":"","parse-names":false,"suffix":""},{"dropping-particle":"","family":"Kirwan","given":"John","non-dropping-particle":"","parse-names":false,"suffix":""},{"dropping-particle":"","family":"Hapangama","given":"Dharani K.","non-dropping-particle":"","parse-names":false,"suffix":""}],"container-title":"International Journal of Gynecological Cancer","id":"ITEM-1","issued":{"date-parts":[["2017","10","3"]]},"page":"1","title":"Assessing Estrogen-Induced Proliferative Response in an Endometrial Cancer Cell Line Using a Universally Applicable Methodological Guide","type":"article-journal"},"uris":["http://www.mendeley.com/documents/?uuid=c692bbd5-9c6b-3dd8-b8f5-68ad6bec6e7a"]}],"mendeley":{"formattedCitation":"[24]","plainTextFormattedCitation":"[24]","previouslyFormattedCitation":"[24]"},"properties":{"noteIndex":0},"schema":"https://github.com/citation-style-language/schema/raw/master/csl-citation.json"}</w:instrText>
      </w:r>
      <w:r w:rsidR="00411DA0" w:rsidRPr="00C56699">
        <w:rPr>
          <w:lang w:val="en-GB"/>
        </w:rPr>
        <w:fldChar w:fldCharType="separate"/>
      </w:r>
      <w:r w:rsidR="00411DA0" w:rsidRPr="00C56699">
        <w:rPr>
          <w:noProof/>
          <w:lang w:val="en-GB"/>
        </w:rPr>
        <w:t>[24]</w:t>
      </w:r>
      <w:r w:rsidR="00411DA0" w:rsidRPr="00C56699">
        <w:rPr>
          <w:lang w:val="en-GB"/>
        </w:rPr>
        <w:fldChar w:fldCharType="end"/>
      </w:r>
      <w:r w:rsidR="00411DA0" w:rsidRPr="00C56699">
        <w:rPr>
          <w:lang w:val="en-GB"/>
        </w:rPr>
        <w:t xml:space="preserve">. Immortalized </w:t>
      </w:r>
      <w:r w:rsidR="00411DA0" w:rsidRPr="00C56699">
        <w:t xml:space="preserve">normal human endometrial stromal cells, hTERT, were kindly donated by </w:t>
      </w:r>
      <w:proofErr w:type="spellStart"/>
      <w:r w:rsidR="00411DA0" w:rsidRPr="00C56699">
        <w:t>Dr</w:t>
      </w:r>
      <w:proofErr w:type="spellEnd"/>
      <w:r w:rsidR="00411DA0" w:rsidRPr="00C56699">
        <w:t xml:space="preserve"> </w:t>
      </w:r>
      <w:r w:rsidR="00411DA0" w:rsidRPr="00C56699">
        <w:rPr>
          <w:lang w:val="en"/>
        </w:rPr>
        <w:t xml:space="preserve">Graciela </w:t>
      </w:r>
      <w:proofErr w:type="spellStart"/>
      <w:r w:rsidR="00411DA0" w:rsidRPr="00C56699">
        <w:rPr>
          <w:lang w:val="en"/>
        </w:rPr>
        <w:t>Krikun</w:t>
      </w:r>
      <w:proofErr w:type="spellEnd"/>
      <w:r w:rsidR="00411DA0" w:rsidRPr="00C56699">
        <w:t xml:space="preserve"> of Yale University, USA </w:t>
      </w:r>
      <w:r w:rsidR="008C2A69" w:rsidRPr="00C56699">
        <w:fldChar w:fldCharType="begin" w:fldLock="1"/>
      </w:r>
      <w:r w:rsidR="008346A3" w:rsidRPr="00C56699">
        <w:instrText>ADDIN CSL_CITATION {"citationItems":[{"id":"ITEM-1","itemData":{"DOI":"10.1210/en.2003-1606","ISSN":"0013-7227","author":[{"dropping-particle":"","family":"Krikun","given":"Graciela","non-dropping-particle":"","parse-names":false,"suffix":""},{"dropping-particle":"","family":"Mor","given":"Gil","non-dropping-particle":"","parse-names":false,"suffix":""},{"dropping-particle":"","family":"Alvero","given":"Ayesha","non-dropping-particle":"","parse-names":false,"suffix":""},{"dropping-particle":"","family":"Guller","given":"Seth","non-dropping-particle":"","parse-names":false,"suffix":""},{"dropping-particle":"","family":"Schatz","given":"Frederick","non-dropping-particle":"","parse-names":false,"suffix":""},{"dropping-particle":"","family":"Sapi","given":"Eva","non-dropping-particle":"","parse-names":false,"suffix":""},{"dropping-particle":"","family":"Rahman","given":"Mizanur","non-dropping-particle":"","parse-names":false,"suffix":""},{"dropping-particle":"","family":"Caze","given":"Rebeca","non-dropping-particle":"","parse-names":false,"suffix":""},{"dropping-particle":"","family":"Qumsiyeh","given":"Mazin","non-dropping-particle":"","parse-names":false,"suffix":""},{"dropping-particle":"","family":"Lockwood","given":"Charles J.","non-dropping-particle":"","parse-names":false,"suffix":""}],"container-title":"Endocrinology","id":"ITEM-1","issue":"5","issued":{"date-parts":[["2004"]]},"page":"2291-2296","title":"A Novel Immortalized Human Endometrial Stromal Cell Line with Normal Progestational Response","type":"article-journal","volume":"145"},"uris":["http://www.mendeley.com/documents/?uuid=3cb59d66-3963-4b75-8c39-bcccdba09411"]}],"mendeley":{"formattedCitation":"[48]","plainTextFormattedCitation":"[48]","previouslyFormattedCitation":"[48]"},"properties":{"noteIndex":0},"schema":"https://github.com/citation-style-language/schema/raw/master/csl-citation.json"}</w:instrText>
      </w:r>
      <w:r w:rsidR="008C2A69" w:rsidRPr="00C56699">
        <w:fldChar w:fldCharType="separate"/>
      </w:r>
      <w:r w:rsidR="008C2A69" w:rsidRPr="00C56699">
        <w:rPr>
          <w:noProof/>
        </w:rPr>
        <w:t>[48]</w:t>
      </w:r>
      <w:r w:rsidR="008C2A69" w:rsidRPr="00C56699">
        <w:fldChar w:fldCharType="end"/>
      </w:r>
      <w:r w:rsidR="00411DA0" w:rsidRPr="00C56699">
        <w:t xml:space="preserve">. </w:t>
      </w:r>
      <w:r w:rsidR="00411DA0" w:rsidRPr="00C56699">
        <w:rPr>
          <w:lang w:val="en-GB"/>
        </w:rPr>
        <w:t xml:space="preserve">Cells were maintained in 1:1 mixture of Dulbecco’s Modiﬁed Eagles’ </w:t>
      </w:r>
      <w:proofErr w:type="spellStart"/>
      <w:r w:rsidR="00411DA0" w:rsidRPr="00C56699">
        <w:rPr>
          <w:lang w:val="en-GB"/>
        </w:rPr>
        <w:t>Medium</w:t>
      </w:r>
      <w:proofErr w:type="gramStart"/>
      <w:r w:rsidR="00411DA0" w:rsidRPr="00C56699">
        <w:rPr>
          <w:lang w:val="en-GB"/>
        </w:rPr>
        <w:t>:Ham’s</w:t>
      </w:r>
      <w:proofErr w:type="spellEnd"/>
      <w:proofErr w:type="gramEnd"/>
      <w:r w:rsidR="00411DA0" w:rsidRPr="00C56699">
        <w:rPr>
          <w:lang w:val="en-GB"/>
        </w:rPr>
        <w:t xml:space="preserve"> F-12 supplemented with 10% </w:t>
      </w:r>
      <w:proofErr w:type="spellStart"/>
      <w:r w:rsidR="00411DA0" w:rsidRPr="00C56699">
        <w:rPr>
          <w:lang w:val="en-GB"/>
        </w:rPr>
        <w:t>fetal</w:t>
      </w:r>
      <w:proofErr w:type="spellEnd"/>
      <w:r w:rsidR="00411DA0" w:rsidRPr="00C56699">
        <w:rPr>
          <w:lang w:val="en-GB"/>
        </w:rPr>
        <w:t xml:space="preserve"> bovine serum, 200 </w:t>
      </w:r>
      <w:proofErr w:type="spellStart"/>
      <w:r w:rsidR="00411DA0" w:rsidRPr="00C56699">
        <w:rPr>
          <w:lang w:val="en-GB"/>
        </w:rPr>
        <w:t>mM</w:t>
      </w:r>
      <w:proofErr w:type="spellEnd"/>
      <w:r w:rsidR="00411DA0" w:rsidRPr="00C56699">
        <w:rPr>
          <w:lang w:val="en-GB"/>
        </w:rPr>
        <w:t xml:space="preserve"> L-glutamine, and penicillin/streptomycin at 37°C in 5% CO</w:t>
      </w:r>
      <w:r w:rsidR="00411DA0" w:rsidRPr="00C56699">
        <w:rPr>
          <w:rFonts w:ascii="Arial (Theme Body CS)" w:eastAsia="Arial (Theme Body CS)" w:hAnsi="Arial (Theme Body CS)" w:cs="Arial (Theme Body CS)"/>
          <w:vertAlign w:val="subscript"/>
          <w:lang w:val="en-GB"/>
        </w:rPr>
        <w:t>2</w:t>
      </w:r>
      <w:r w:rsidR="00411DA0" w:rsidRPr="00C56699">
        <w:rPr>
          <w:lang w:val="en-GB"/>
        </w:rPr>
        <w:t xml:space="preserve">. RL95-2 cells required insulin supplementation in accordance with supplier instructions. For 3D culture of Ishikawa, 5000 cells were seeded in 50µl Matrigel (BD Biosciences) and cultured in the above medium for up to 14 days. All cell-culture reagents were obtained from </w:t>
      </w:r>
      <w:r w:rsidR="00411DA0" w:rsidRPr="00C56699">
        <w:rPr>
          <w:noProof/>
          <w:lang w:val="en-GB"/>
        </w:rPr>
        <w:t>Sigma-Aldrich</w:t>
      </w:r>
      <w:r w:rsidR="00411DA0" w:rsidRPr="00C56699">
        <w:rPr>
          <w:lang w:val="en-GB"/>
        </w:rPr>
        <w:t xml:space="preserve"> (Dorset, UK) except where otherwise speciﬁed </w:t>
      </w:r>
      <w:r w:rsidR="00411DA0" w:rsidRPr="00C56699">
        <w:rPr>
          <w:lang w:val="en-GB"/>
        </w:rPr>
        <w:fldChar w:fldCharType="begin" w:fldLock="1"/>
      </w:r>
      <w:r w:rsidR="008004D4" w:rsidRPr="00C56699">
        <w:rPr>
          <w:lang w:val="en-GB"/>
        </w:rPr>
        <w:instrText>ADDIN CSL_CITATION {"citationItems":[{"id":"ITEM-1","itemData":{"DOI":"10.1097/IGC.0000000000001121","ISSN":"1048-891X","PMID":"28953135","abstract":"OBJECTIVE Translational endometrial cancer (EC) research benefits from an in vitro experimental approach using EC cell lines. We demonstrated the steps that are required to examine estrogen-induced proliferative response, a simple yet important research question pertinent to EC, and devised a pragmatic methodological workflow for using EC cell lines in experimental models. METHODS Comprehensive review of all commercially available EC cell lines was carried out, and Ishikawa cell line was selected to study the estrogen responsiveness with HEC1A, RL95-2, and MFE280 cell lines as comparators where appropriate, examining relevant differential molecular (steroid receptors) and functional (phenotype, anchorage-independent growth, hormone responsiveness, migration, invasion, and chemosensitivity) characteristics in 2-dimensional and 3-dimensional cultures in vitro using immunocytochemistry, immunofluorescence, quantitative polymerase chain reaction, and Western blotting. In vivo tumor, formation, and chemosensitivity were also assessed in a chick chorioallantoic membrane model. RESULTS Short tandem repeat analysis authenticated the purchased cell lines, whereas gifted cells deviated significantly from the published profile. We demonstrate the importance of prior assessment of the suitability of each cell line for the chosen in vitro experimental technique. Prior establishment of baseline, nonenriched conditions was required to induce a proliferative response to estrogen. The chorioallantoic membrane model was a suitable in vivo multicellular animal model for EC for producing rapid and reproducible data. CONCLUSIONS We have developed a methodological guide for EC researchers when using endometrial cell lines to answer important translational research questions (exemplified by estrogen-responsive cell proliferation) to facilitate robust data, while saving time and resources.","author":[{"dropping-particle":"","family":"Parkes","given":"Christina","non-dropping-particle":"","parse-names":false,"suffix":""},{"dropping-particle":"","family":"Kamal","given":"Areege","non-dropping-particle":"","parse-names":false,"suffix":""},{"dropping-particle":"","family":"Valentijn","given":"Anthony J.","non-dropping-particle":"","parse-names":false,"suffix":""},{"dropping-particle":"","family":"Alnafakh","given":"Rafah","non-dropping-particle":"","parse-names":false,"suffix":""},{"dropping-particle":"","family":"Gross","given":"Stephane R.","non-dropping-particle":"","parse-names":false,"suffix":""},{"dropping-particle":"","family":"Barraclough","given":"Roger","non-dropping-particle":"","parse-names":false,"suffix":""},{"dropping-particle":"","family":"Moss","given":"Diana","non-dropping-particle":"","parse-names":false,"suffix":""},{"dropping-particle":"","family":"Kirwan","given":"John","non-dropping-particle":"","parse-names":false,"suffix":""},{"dropping-particle":"","family":"Hapangama","given":"Dharani K.","non-dropping-particle":"","parse-names":false,"suffix":""}],"container-title":"International Journal of Gynecological Cancer","id":"ITEM-1","issued":{"date-parts":[["2017","10","3"]]},"page":"1","title":"Assessing Estrogen-Induced Proliferative Response in an Endometrial Cancer Cell Line Using a Universally Applicable Methodological Guide","type":"article-journal"},"uris":["http://www.mendeley.com/documents/?uuid=c692bbd5-9c6b-3dd8-b8f5-68ad6bec6e7a"]}],"mendeley":{"formattedCitation":"[24]","plainTextFormattedCitation":"[24]","previouslyFormattedCitation":"[24]"},"properties":{"noteIndex":0},"schema":"https://github.com/citation-style-language/schema/raw/master/csl-citation.json"}</w:instrText>
      </w:r>
      <w:r w:rsidR="00411DA0" w:rsidRPr="00C56699">
        <w:rPr>
          <w:lang w:val="en-GB"/>
        </w:rPr>
        <w:fldChar w:fldCharType="separate"/>
      </w:r>
      <w:r w:rsidR="00411DA0" w:rsidRPr="00C56699">
        <w:rPr>
          <w:noProof/>
          <w:lang w:val="en-GB"/>
        </w:rPr>
        <w:t>[24]</w:t>
      </w:r>
      <w:r w:rsidR="00411DA0" w:rsidRPr="00C56699">
        <w:rPr>
          <w:lang w:val="en-GB"/>
        </w:rPr>
        <w:fldChar w:fldCharType="end"/>
      </w:r>
      <w:r w:rsidR="00411DA0" w:rsidRPr="00C56699">
        <w:rPr>
          <w:lang w:val="en-GB"/>
        </w:rPr>
        <w:t xml:space="preserve">. </w:t>
      </w:r>
    </w:p>
    <w:p w14:paraId="35400A10" w14:textId="77777777" w:rsidR="00411DA0" w:rsidRPr="00C56699" w:rsidRDefault="00411DA0" w:rsidP="00411DA0">
      <w:pPr>
        <w:rPr>
          <w:lang w:val="en-GB"/>
        </w:rPr>
      </w:pPr>
      <w:r w:rsidRPr="00C56699">
        <w:t xml:space="preserve">Since endometrial epithelial and stromal cell cross-talk is proposed to play a vital role in regulating endometrial growth and differentiation, ISK cells were co-cultured with </w:t>
      </w:r>
      <w:proofErr w:type="spellStart"/>
      <w:r w:rsidRPr="00C56699">
        <w:t>immortalised</w:t>
      </w:r>
      <w:proofErr w:type="spellEnd"/>
      <w:r w:rsidRPr="00C56699">
        <w:t xml:space="preserve"> human endometrial stromal cell line (</w:t>
      </w:r>
      <w:proofErr w:type="spellStart"/>
      <w:r w:rsidRPr="00C56699">
        <w:t>hESC</w:t>
      </w:r>
      <w:proofErr w:type="spellEnd"/>
      <w:r w:rsidRPr="00C56699">
        <w:t xml:space="preserve">) to model the intimate interaction between endometrial epithelial and stromal cells </w:t>
      </w:r>
      <w:r w:rsidRPr="00C56699">
        <w:rPr>
          <w:i/>
        </w:rPr>
        <w:t>in vivo</w:t>
      </w:r>
      <w:r w:rsidRPr="00C56699">
        <w:t>.</w:t>
      </w:r>
      <w:r w:rsidRPr="00C56699">
        <w:rPr>
          <w:lang w:val="en-GB"/>
        </w:rPr>
        <w:t xml:space="preserve"> The cells were co-cultured using a </w:t>
      </w:r>
      <w:proofErr w:type="spellStart"/>
      <w:r w:rsidRPr="00C56699">
        <w:rPr>
          <w:lang w:val="en-GB"/>
        </w:rPr>
        <w:t>Transwell</w:t>
      </w:r>
      <w:proofErr w:type="spellEnd"/>
      <w:r w:rsidRPr="00C56699">
        <w:rPr>
          <w:lang w:val="en-GB"/>
        </w:rPr>
        <w:t xml:space="preserve"> system (</w:t>
      </w:r>
      <w:r w:rsidRPr="00C56699">
        <w:t xml:space="preserve">0.4 </w:t>
      </w:r>
      <w:r w:rsidRPr="00C56699">
        <w:rPr>
          <w:rFonts w:ascii="Symbol" w:hAnsi="Symbol"/>
        </w:rPr>
        <w:t></w:t>
      </w:r>
      <w:r w:rsidRPr="00C56699">
        <w:t>m pores; Corning):</w:t>
      </w:r>
      <w:r w:rsidRPr="00C56699">
        <w:rPr>
          <w:lang w:val="en-GB"/>
        </w:rPr>
        <w:t xml:space="preserve"> Ishikawa cells (3x10</w:t>
      </w:r>
      <w:r w:rsidRPr="00C56699">
        <w:rPr>
          <w:vertAlign w:val="superscript"/>
          <w:lang w:val="en-GB"/>
        </w:rPr>
        <w:t>5</w:t>
      </w:r>
      <w:r w:rsidRPr="00C56699">
        <w:rPr>
          <w:lang w:val="en-GB"/>
        </w:rPr>
        <w:t xml:space="preserve"> cells) in the insert (upper) and HESC (cell 1.5x10</w:t>
      </w:r>
      <w:r w:rsidRPr="00C56699">
        <w:rPr>
          <w:vertAlign w:val="superscript"/>
          <w:lang w:val="en-GB"/>
        </w:rPr>
        <w:t>5</w:t>
      </w:r>
      <w:r w:rsidRPr="00C56699">
        <w:rPr>
          <w:lang w:val="en-GB"/>
        </w:rPr>
        <w:t xml:space="preserve">) in the 6-well plate (bottom). </w:t>
      </w:r>
      <w:r w:rsidRPr="00C56699">
        <w:t xml:space="preserve">Both cells lines </w:t>
      </w:r>
      <w:r w:rsidRPr="00C56699">
        <w:rPr>
          <w:lang w:val="en-GB"/>
        </w:rPr>
        <w:t>were maintained in phenol red-free DMEM/F12 medium in the presence of 2% (v/v) charcoal-stripped FBS for 48 hours prior to hormone treatment. Steroid hormones, 0.01μM 17 β-</w:t>
      </w:r>
      <w:proofErr w:type="spellStart"/>
      <w:r w:rsidRPr="00C56699">
        <w:rPr>
          <w:lang w:val="en-GB"/>
        </w:rPr>
        <w:t>estradiol</w:t>
      </w:r>
      <w:proofErr w:type="spellEnd"/>
      <w:r w:rsidRPr="00C56699">
        <w:rPr>
          <w:lang w:val="en-GB"/>
        </w:rPr>
        <w:t xml:space="preserve"> (E2; </w:t>
      </w:r>
      <w:r w:rsidRPr="00C56699">
        <w:t>E8875-1G</w:t>
      </w:r>
      <w:r w:rsidRPr="00C56699">
        <w:rPr>
          <w:lang w:val="en-GB"/>
        </w:rPr>
        <w:t xml:space="preserve">) and 1μM 5α-dihydrotestosterone (DHT; </w:t>
      </w:r>
      <w:r w:rsidRPr="00C56699">
        <w:t>D-073-1ML</w:t>
      </w:r>
      <w:r w:rsidRPr="00C56699">
        <w:rPr>
          <w:lang w:val="en-GB"/>
        </w:rPr>
        <w:t>), individually or in combination with the AR antagonist, 1μM</w:t>
      </w:r>
      <w:r w:rsidRPr="00C56699">
        <w:rPr>
          <w:vertAlign w:val="superscript"/>
          <w:lang w:val="en-GB"/>
        </w:rPr>
        <w:t xml:space="preserve"> </w:t>
      </w:r>
      <w:proofErr w:type="spellStart"/>
      <w:r w:rsidRPr="00C56699">
        <w:rPr>
          <w:lang w:val="en-GB"/>
        </w:rPr>
        <w:t>Bicalutamide</w:t>
      </w:r>
      <w:proofErr w:type="spellEnd"/>
      <w:r w:rsidRPr="00C56699">
        <w:rPr>
          <w:lang w:val="en-GB"/>
        </w:rPr>
        <w:t xml:space="preserve"> (</w:t>
      </w:r>
      <w:proofErr w:type="spellStart"/>
      <w:r w:rsidRPr="00C56699">
        <w:rPr>
          <w:lang w:val="en-GB"/>
        </w:rPr>
        <w:t>Casodex</w:t>
      </w:r>
      <w:proofErr w:type="spellEnd"/>
      <w:r w:rsidRPr="00C56699">
        <w:rPr>
          <w:lang w:val="en-GB"/>
        </w:rPr>
        <w:t xml:space="preserve"> (CDX); </w:t>
      </w:r>
      <w:r w:rsidRPr="00C56699">
        <w:rPr>
          <w:lang w:val="en-GB"/>
        </w:rPr>
        <w:lastRenderedPageBreak/>
        <w:t>B9061-1mg) were added and cells cultured for a further 24 hours. Stock solutions of hormones were made in methanol; control was methanol alone. All experiments were repeated six times with different batches of cultured cells.</w:t>
      </w:r>
    </w:p>
    <w:p w14:paraId="72408856" w14:textId="77777777" w:rsidR="00583D8D" w:rsidRPr="00C56699" w:rsidRDefault="00583D8D" w:rsidP="00583D8D">
      <w:pPr>
        <w:pStyle w:val="Heading2"/>
        <w:rPr>
          <w:rFonts w:ascii="Arial" w:hAnsi="Arial"/>
          <w:b w:val="0"/>
        </w:rPr>
      </w:pPr>
      <w:r w:rsidRPr="00C56699">
        <w:rPr>
          <w:rFonts w:ascii="Arial" w:hAnsi="Arial"/>
        </w:rPr>
        <w:t>SDS-PAGE </w:t>
      </w:r>
      <w:r w:rsidRPr="00C56699">
        <w:rPr>
          <w:rFonts w:ascii="Arial" w:eastAsia="Times New Roman" w:hAnsi="Arial" w:cs="Arial"/>
          <w:lang w:eastAsia="en-GB"/>
        </w:rPr>
        <w:t>and immuno</w:t>
      </w:r>
      <w:r w:rsidRPr="00C56699">
        <w:rPr>
          <w:rFonts w:ascii="Arial" w:hAnsi="Arial" w:cs="Arial"/>
        </w:rPr>
        <w:t>blotting</w:t>
      </w:r>
    </w:p>
    <w:p w14:paraId="3F4C19FF" w14:textId="24A16E46" w:rsidR="00411DA0" w:rsidRPr="00C56699" w:rsidRDefault="00411DA0" w:rsidP="00411DA0">
      <w:r w:rsidRPr="00C56699">
        <w:rPr>
          <w:rStyle w:val="normaltextrun1"/>
        </w:rPr>
        <w:t>E</w:t>
      </w:r>
      <w:r w:rsidR="00A94A7B" w:rsidRPr="00C56699">
        <w:rPr>
          <w:rStyle w:val="normaltextrun1"/>
        </w:rPr>
        <w:t>C</w:t>
      </w:r>
      <w:r w:rsidRPr="00C56699">
        <w:rPr>
          <w:rStyle w:val="normaltextrun1"/>
        </w:rPr>
        <w:t xml:space="preserve"> cell lines were extracted in RIPA buffer (50 </w:t>
      </w:r>
      <w:proofErr w:type="spellStart"/>
      <w:r w:rsidRPr="00C56699">
        <w:rPr>
          <w:rStyle w:val="spellingerror"/>
        </w:rPr>
        <w:t>mM</w:t>
      </w:r>
      <w:proofErr w:type="spellEnd"/>
      <w:r w:rsidRPr="00C56699">
        <w:rPr>
          <w:rStyle w:val="normaltextrun1"/>
        </w:rPr>
        <w:t xml:space="preserve"> </w:t>
      </w:r>
      <w:proofErr w:type="spellStart"/>
      <w:r w:rsidRPr="00C56699">
        <w:rPr>
          <w:rStyle w:val="normaltextrun1"/>
        </w:rPr>
        <w:t>Tris</w:t>
      </w:r>
      <w:proofErr w:type="spellEnd"/>
      <w:r w:rsidRPr="00C56699">
        <w:rPr>
          <w:rStyle w:val="normaltextrun1"/>
        </w:rPr>
        <w:t xml:space="preserve">-Cl, pH8.0, 150 </w:t>
      </w:r>
      <w:proofErr w:type="spellStart"/>
      <w:r w:rsidRPr="00C56699">
        <w:rPr>
          <w:rStyle w:val="spellingerror"/>
        </w:rPr>
        <w:t>mM</w:t>
      </w:r>
      <w:proofErr w:type="spellEnd"/>
      <w:r w:rsidRPr="00C56699">
        <w:rPr>
          <w:rStyle w:val="normaltextrun1"/>
        </w:rPr>
        <w:t xml:space="preserve"> </w:t>
      </w:r>
      <w:proofErr w:type="spellStart"/>
      <w:r w:rsidRPr="00C56699">
        <w:rPr>
          <w:rStyle w:val="spellingerror"/>
        </w:rPr>
        <w:t>NaCl</w:t>
      </w:r>
      <w:proofErr w:type="spellEnd"/>
      <w:r w:rsidRPr="00C56699">
        <w:rPr>
          <w:rStyle w:val="normaltextrun1"/>
        </w:rPr>
        <w:t xml:space="preserve">, 1% (v/v) NP-40, 0.5% (w/v) sodium </w:t>
      </w:r>
      <w:proofErr w:type="spellStart"/>
      <w:r w:rsidRPr="00C56699">
        <w:rPr>
          <w:rStyle w:val="normaltextrun1"/>
        </w:rPr>
        <w:t>deoxycholate</w:t>
      </w:r>
      <w:proofErr w:type="spellEnd"/>
      <w:r w:rsidRPr="00C56699">
        <w:rPr>
          <w:rStyle w:val="normaltextrun1"/>
        </w:rPr>
        <w:t xml:space="preserve"> and 0.1% (w/v) sodium dodecyl </w:t>
      </w:r>
      <w:proofErr w:type="spellStart"/>
      <w:r w:rsidRPr="00C56699">
        <w:rPr>
          <w:rStyle w:val="normaltextrun1"/>
        </w:rPr>
        <w:t>sulphate</w:t>
      </w:r>
      <w:proofErr w:type="spellEnd"/>
      <w:r w:rsidRPr="00C56699">
        <w:rPr>
          <w:rStyle w:val="normaltextrun1"/>
        </w:rPr>
        <w:t xml:space="preserve"> (SDS)) supplemented with protease (P8340, Sigma, Dorset, UK) and phosphatase inhibitors (</w:t>
      </w:r>
      <w:proofErr w:type="spellStart"/>
      <w:r w:rsidRPr="00C56699">
        <w:rPr>
          <w:rStyle w:val="spellingerror"/>
        </w:rPr>
        <w:t>PhosSTOP</w:t>
      </w:r>
      <w:proofErr w:type="spellEnd"/>
      <w:r w:rsidRPr="00C56699">
        <w:rPr>
          <w:rStyle w:val="normaltextrun1"/>
        </w:rPr>
        <w:t xml:space="preserve">, Roche Diagnostics, West Sussex, UK). Lysates were analysed by SDS-PAGE under reducing conditions on precast 4-15% (w/v) gradient gels (Mini-PROTEAN TGX, Bio-Rad, Hertfordshire, UK) and transferred to </w:t>
      </w:r>
      <w:proofErr w:type="spellStart"/>
      <w:r w:rsidRPr="00C56699">
        <w:rPr>
          <w:rStyle w:val="normaltextrun1"/>
        </w:rPr>
        <w:t>polyvinylidene</w:t>
      </w:r>
      <w:proofErr w:type="spellEnd"/>
      <w:r w:rsidRPr="00C56699">
        <w:rPr>
          <w:rStyle w:val="normaltextrun1"/>
        </w:rPr>
        <w:t xml:space="preserve"> difluoride membrane (Bio-Rad). Recombinant AGR2 (ab151803) and AGR3 (ab152081) were from </w:t>
      </w:r>
      <w:proofErr w:type="spellStart"/>
      <w:r w:rsidRPr="00C56699">
        <w:rPr>
          <w:rStyle w:val="normaltextrun1"/>
        </w:rPr>
        <w:t>Abcam</w:t>
      </w:r>
      <w:proofErr w:type="spellEnd"/>
      <w:r w:rsidRPr="00C56699">
        <w:rPr>
          <w:rStyle w:val="normaltextrun1"/>
        </w:rPr>
        <w:t xml:space="preserve">; 10 ng recombinant protein /lane. For subcellular analysis, Ishikawa cells were fractionated using a kit (#9038; New England Bio Labs, Hertfordshire, UK), which is based on differential detergent solubility and centrifugation, according to the manufacturer’s instructions. The following antibodies were used to assess the relative purity of each fraction: cytosolic, GAPDH (G8795, Sigma-Aldrich); membrane, AIF (Apoptosis-Inducing Factor, #5318, Cell </w:t>
      </w:r>
      <w:proofErr w:type="spellStart"/>
      <w:r w:rsidRPr="00C56699">
        <w:rPr>
          <w:rStyle w:val="normaltextrun1"/>
        </w:rPr>
        <w:t>Signalling</w:t>
      </w:r>
      <w:proofErr w:type="spellEnd"/>
      <w:r w:rsidRPr="00C56699">
        <w:rPr>
          <w:rStyle w:val="normaltextrun1"/>
        </w:rPr>
        <w:t xml:space="preserve"> Technology); cytoskeletal, vimentin (ab137321, </w:t>
      </w:r>
      <w:proofErr w:type="spellStart"/>
      <w:r w:rsidRPr="00C56699">
        <w:rPr>
          <w:rStyle w:val="normaltextrun1"/>
        </w:rPr>
        <w:t>Abcam</w:t>
      </w:r>
      <w:proofErr w:type="spellEnd"/>
      <w:r w:rsidRPr="00C56699">
        <w:rPr>
          <w:rStyle w:val="normaltextrun1"/>
        </w:rPr>
        <w:t xml:space="preserve">) and nuclear, H2AX (ab 188819 </w:t>
      </w:r>
      <w:proofErr w:type="spellStart"/>
      <w:r w:rsidRPr="00C56699">
        <w:rPr>
          <w:rStyle w:val="normaltextrun1"/>
        </w:rPr>
        <w:t>Abcam</w:t>
      </w:r>
      <w:proofErr w:type="spellEnd"/>
      <w:r w:rsidRPr="00C56699">
        <w:rPr>
          <w:rStyle w:val="normaltextrun1"/>
        </w:rPr>
        <w:t xml:space="preserve">). All used at 1:1000 apart from vimentin, 1:2000. HRP-linked secondary antibodies were from </w:t>
      </w:r>
      <w:proofErr w:type="spellStart"/>
      <w:r w:rsidRPr="00C56699">
        <w:rPr>
          <w:rStyle w:val="normaltextrun1"/>
        </w:rPr>
        <w:t>ThermoScientific</w:t>
      </w:r>
      <w:proofErr w:type="spellEnd"/>
      <w:r w:rsidRPr="00C56699">
        <w:rPr>
          <w:rStyle w:val="normaltextrun1"/>
        </w:rPr>
        <w:t xml:space="preserve">, UK. Signal detection was performed using </w:t>
      </w:r>
      <w:proofErr w:type="spellStart"/>
      <w:r w:rsidRPr="00C56699">
        <w:rPr>
          <w:rStyle w:val="normaltextrun1"/>
        </w:rPr>
        <w:t>SuperSignalTM</w:t>
      </w:r>
      <w:proofErr w:type="spellEnd"/>
      <w:r w:rsidRPr="00C56699">
        <w:rPr>
          <w:rStyle w:val="normaltextrun1"/>
        </w:rPr>
        <w:t xml:space="preserve"> West Dura Chemiluminescent substrate (</w:t>
      </w:r>
      <w:proofErr w:type="spellStart"/>
      <w:r w:rsidRPr="00C56699">
        <w:rPr>
          <w:rStyle w:val="normaltextrun1"/>
        </w:rPr>
        <w:t>ThermoScientific</w:t>
      </w:r>
      <w:proofErr w:type="spellEnd"/>
      <w:r w:rsidRPr="00C56699">
        <w:rPr>
          <w:rStyle w:val="normaltextrun1"/>
        </w:rPr>
        <w:t>) and CL-</w:t>
      </w:r>
      <w:proofErr w:type="spellStart"/>
      <w:r w:rsidRPr="00C56699">
        <w:rPr>
          <w:rStyle w:val="normaltextrun1"/>
        </w:rPr>
        <w:t>Xposure</w:t>
      </w:r>
      <w:proofErr w:type="spellEnd"/>
      <w:r w:rsidRPr="00C56699">
        <w:rPr>
          <w:rStyle w:val="normaltextrun1"/>
        </w:rPr>
        <w:t xml:space="preserve"> film (</w:t>
      </w:r>
      <w:proofErr w:type="spellStart"/>
      <w:r w:rsidRPr="00C56699">
        <w:rPr>
          <w:rStyle w:val="normaltextrun1"/>
        </w:rPr>
        <w:t>ThermoScientific</w:t>
      </w:r>
      <w:proofErr w:type="spellEnd"/>
      <w:r w:rsidRPr="00C56699">
        <w:rPr>
          <w:rStyle w:val="normaltextrun1"/>
        </w:rPr>
        <w:t>).</w:t>
      </w:r>
      <w:r w:rsidRPr="00C56699">
        <w:t xml:space="preserve"> </w:t>
      </w:r>
    </w:p>
    <w:p w14:paraId="658E2014" w14:textId="77777777" w:rsidR="00411DA0" w:rsidRPr="00C56699" w:rsidRDefault="00411DA0" w:rsidP="00411DA0">
      <w:pPr>
        <w:rPr>
          <w:sz w:val="28"/>
          <w:szCs w:val="28"/>
          <w:lang w:val="en-GB"/>
        </w:rPr>
      </w:pPr>
    </w:p>
    <w:p w14:paraId="1871944E" w14:textId="77777777" w:rsidR="00411DA0" w:rsidRPr="00C56699" w:rsidRDefault="00411DA0" w:rsidP="00411DA0">
      <w:pPr>
        <w:pStyle w:val="Heading2"/>
        <w:rPr>
          <w:lang w:val="en-GB"/>
        </w:rPr>
      </w:pPr>
      <w:r w:rsidRPr="00C56699">
        <w:rPr>
          <w:lang w:val="en-GB"/>
        </w:rPr>
        <w:t>Statistical analysis</w:t>
      </w:r>
    </w:p>
    <w:p w14:paraId="58534389" w14:textId="23893AF7" w:rsidR="00411DA0" w:rsidRPr="00C56699" w:rsidRDefault="00411DA0" w:rsidP="008346A3">
      <w:r w:rsidRPr="00C56699">
        <w:t>Statistical differences between groups were calculated by non-parametric tests (</w:t>
      </w:r>
      <w:proofErr w:type="spellStart"/>
      <w:r w:rsidRPr="00C56699">
        <w:t>Kruskal</w:t>
      </w:r>
      <w:proofErr w:type="spellEnd"/>
      <w:r w:rsidRPr="00C56699">
        <w:t xml:space="preserve">–Wallis and/or Mann–Whitney U-test or Wilcoxon signed rank test) using Statistical Package for the Social </w:t>
      </w:r>
      <w:r w:rsidRPr="00C56699">
        <w:lastRenderedPageBreak/>
        <w:t xml:space="preserve">Sciences (SPSS) version 21 and </w:t>
      </w:r>
      <w:proofErr w:type="spellStart"/>
      <w:r w:rsidRPr="00C56699">
        <w:t>GraphPad</w:t>
      </w:r>
      <w:proofErr w:type="spellEnd"/>
      <w:r w:rsidRPr="00C56699">
        <w:t xml:space="preserve"> Prism 5. Dunn’s test was used for small set multiple comparisons. Descriptive values were presented as median and range. The association between immuno-scores and the multiple clinicopathological parameters was examined with Pearson Chi-square tests. Disease-free survival and overall survival were calculated from the date of surgery to the date of recurrence/ death or the date on which the patient was last seen. For survival </w:t>
      </w:r>
      <w:r w:rsidR="008346A3" w:rsidRPr="00C56699">
        <w:t xml:space="preserve">analyses </w:t>
      </w:r>
      <w:r w:rsidRPr="00C56699">
        <w:t xml:space="preserve">each parameter was categorized, and survival curves were obtained using the Kaplan Meier method. For all statistical tests, </w:t>
      </w:r>
      <w:r w:rsidRPr="00C56699">
        <w:rPr>
          <w:i/>
          <w:iCs/>
        </w:rPr>
        <w:t>P</w:t>
      </w:r>
      <w:r w:rsidRPr="00C56699">
        <w:t xml:space="preserve"> &lt;0.05 was considered significant. </w:t>
      </w:r>
    </w:p>
    <w:p w14:paraId="0D52B863" w14:textId="77777777" w:rsidR="00411DA0" w:rsidRPr="00C56699" w:rsidRDefault="00411DA0" w:rsidP="00411DA0"/>
    <w:p w14:paraId="39786ABB" w14:textId="62A7CCCD" w:rsidR="00411DA0" w:rsidRPr="00C56699" w:rsidRDefault="00411DA0" w:rsidP="00FF2C3E">
      <w:pPr>
        <w:pStyle w:val="Heading2"/>
      </w:pPr>
      <w:r w:rsidRPr="00C56699">
        <w:t xml:space="preserve">TCGA </w:t>
      </w:r>
      <w:r w:rsidR="00A94A7B" w:rsidRPr="00C56699">
        <w:t>Uterine</w:t>
      </w:r>
      <w:r w:rsidRPr="00C56699">
        <w:t xml:space="preserve"> cancer series</w:t>
      </w:r>
    </w:p>
    <w:p w14:paraId="5BA36DAF" w14:textId="7FDC833C" w:rsidR="00411DA0" w:rsidRPr="00C56699" w:rsidRDefault="00411DA0" w:rsidP="008346A3">
      <w:r w:rsidRPr="00C56699">
        <w:t xml:space="preserve">Experimental data were extended by examining </w:t>
      </w:r>
      <w:r w:rsidRPr="00C56699">
        <w:rPr>
          <w:i/>
          <w:iCs/>
        </w:rPr>
        <w:t>AGR2</w:t>
      </w:r>
      <w:r w:rsidRPr="00C56699">
        <w:t xml:space="preserve"> RNA expression data obtained from the publicly-available The Cancer Genome Atlas (TCGA) cohort of uterine cancer with follow-up data </w:t>
      </w:r>
      <w:r w:rsidRPr="00C56699">
        <w:rPr>
          <w:rFonts w:ascii="Arial" w:hAnsi="Arial" w:cs="Arial"/>
        </w:rPr>
        <w:t xml:space="preserve">using Illumina’s </w:t>
      </w:r>
      <w:proofErr w:type="spellStart"/>
      <w:r w:rsidRPr="00C56699">
        <w:rPr>
          <w:rFonts w:ascii="Arial" w:hAnsi="Arial" w:cs="Arial"/>
        </w:rPr>
        <w:t>BaseSpace</w:t>
      </w:r>
      <w:proofErr w:type="spellEnd"/>
      <w:r w:rsidRPr="00C56699">
        <w:rPr>
          <w:rFonts w:ascii="Arial" w:hAnsi="Arial" w:cs="Arial"/>
        </w:rPr>
        <w:t xml:space="preserve"> Cohort </w:t>
      </w:r>
      <w:proofErr w:type="spellStart"/>
      <w:r w:rsidRPr="00C56699">
        <w:rPr>
          <w:rFonts w:ascii="Arial" w:hAnsi="Arial" w:cs="Arial"/>
        </w:rPr>
        <w:t>analyser</w:t>
      </w:r>
      <w:proofErr w:type="spellEnd"/>
      <w:r w:rsidRPr="00C56699">
        <w:rPr>
          <w:rFonts w:ascii="Arial" w:hAnsi="Arial" w:cs="Arial"/>
        </w:rPr>
        <w:t xml:space="preserve"> application in BSCA </w:t>
      </w:r>
      <w:r w:rsidR="008346A3" w:rsidRPr="00C56699">
        <w:rPr>
          <w:rFonts w:ascii="Arial" w:hAnsi="Arial" w:cs="Arial"/>
        </w:rPr>
        <w:fldChar w:fldCharType="begin" w:fldLock="1"/>
      </w:r>
      <w:r w:rsidR="008346A3" w:rsidRPr="00C56699">
        <w:rPr>
          <w:rFonts w:ascii="Arial" w:hAnsi="Arial" w:cs="Arial"/>
        </w:rPr>
        <w:instrText>ADDIN CSL_CITATION {"citationItems":[{"id":"ITEM-1","itemData":{"DOI":"10.1371/journal.pone.0013066","ISSN":"1932-6203","abstract":"Background The investigation of the interconnections between the molecular and genetic events that govern biological systems is essential if we are to understand the development of disease and design effective novel treatments. Microarray and next-generation sequencing technologies have the potential to provide this information. However, taking full advantage of these approaches requires that biological connections be made across large quantities of highly heterogeneous genomic datasets. Leveraging the increasingly huge quantities of genomic data in the public domain is fast becoming one of the key challenges in the research community today.  Methodology/Results We have developed a novel data mining framework that enables researchers to use this growing collection of public high-throughput data to investigate any set of genes or proteins. The connectivity between molecular states across thousands of heterogeneous datasets from microarrays and other genomic platforms is determined through a combination of rank-based enrichment statistics, meta-analyses, and biomedical ontologies. We address data quality concerns through dataset replication and meta-analysis and ensure that the majority of the findings are derived using multiple lines of evidence. As an example of our strategy and the utility of this framework, we apply our data mining approach to explore the biology of brown fat within the context of the thousands of publicly available gene expression datasets.  Conclusions Our work presents a practical strategy for organizing, mining, and correlating global collections of large-scale genomic data to explore normal and disease biology. Using a hypothesis-free approach, we demonstrate how a data-driven analysis across very large collections of genomic data can reveal novel discoveries and evidence to support existing hypothesis.","author":[{"dropping-particle":"","family":"Kupershmidt","given":"Ilya","non-dropping-particle":"","parse-names":false,"suffix":""},{"dropping-particle":"","family":"Su","given":"Qiaojuan Jane","non-dropping-particle":"","parse-names":false,"suffix":""},{"dropping-particle":"","family":"Grewal","given":"Anoop","non-dropping-particle":"","parse-names":false,"suffix":""},{"dropping-particle":"","family":"Sundaresh","given":"Suman","non-dropping-particle":"","parse-names":false,"suffix":""},{"dropping-particle":"","family":"Halperin","given":"Inbal","non-dropping-particle":"","parse-names":false,"suffix":""},{"dropping-particle":"","family":"Flynn","given":"James","non-dropping-particle":"","parse-names":false,"suffix":""},{"dropping-particle":"","family":"Shekar","given":"Mamatha","non-dropping-particle":"","parse-names":false,"suffix":""},{"dropping-particle":"","family":"Wang","given":"Helen","non-dropping-particle":"","parse-names":false,"suffix":""},{"dropping-particle":"","family":"Park","given":"Jenny","non-dropping-particle":"","parse-names":false,"suffix":""},{"dropping-particle":"","family":"Cui","given":"Wenwu","non-dropping-particle":"","parse-names":false,"suffix":""},{"dropping-particle":"","family":"Wall","given":"Gregory D.","non-dropping-particle":"","parse-names":false,"suffix":""},{"dropping-particle":"","family":"Wisotzkey","given":"Robert","non-dropping-particle":"","parse-names":false,"suffix":""},{"dropping-particle":"","family":"Alag","given":"Satnam","non-dropping-particle":"","parse-names":false,"suffix":""},{"dropping-particle":"","family":"Akhtari","given":"Saeid","non-dropping-particle":"","parse-names":false,"suffix":""},{"dropping-particle":"","family":"Ronaghi","given":"Mostafa","non-dropping-particle":"","parse-names":false,"suffix":""}],"container-title":"PLoS ONE","editor":[{"dropping-particle":"","family":"Aziz","given":"Ramy K.","non-dropping-particle":"","parse-names":false,"suffix":""}],"id":"ITEM-1","issue":"9","issued":{"date-parts":[["2010","9","29"]]},"page":"e13066","publisher":"Public Library of Science","title":"Ontology-Based Meta-Analysis of Global Collections of High-Throughput Public Data","type":"article-journal","volume":"5"},"uris":["http://www.mendeley.com/documents/?uuid=502feb0e-812f-33d4-9660-5aee9c9b4e14"]}],"mendeley":{"formattedCitation":"[49]","plainTextFormattedCitation":"[49]"},"properties":{"noteIndex":0},"schema":"https://github.com/citation-style-language/schema/raw/master/csl-citation.json"}</w:instrText>
      </w:r>
      <w:r w:rsidR="008346A3" w:rsidRPr="00C56699">
        <w:rPr>
          <w:rFonts w:ascii="Arial" w:hAnsi="Arial" w:cs="Arial"/>
        </w:rPr>
        <w:fldChar w:fldCharType="separate"/>
      </w:r>
      <w:r w:rsidR="008346A3" w:rsidRPr="00C56699">
        <w:rPr>
          <w:rFonts w:ascii="Arial" w:hAnsi="Arial" w:cs="Arial"/>
          <w:noProof/>
        </w:rPr>
        <w:t>[49]</w:t>
      </w:r>
      <w:r w:rsidR="008346A3" w:rsidRPr="00C56699">
        <w:rPr>
          <w:rFonts w:ascii="Arial" w:hAnsi="Arial" w:cs="Arial"/>
        </w:rPr>
        <w:fldChar w:fldCharType="end"/>
      </w:r>
      <w:r w:rsidR="008346A3" w:rsidRPr="00C56699" w:rsidDel="008346A3">
        <w:rPr>
          <w:rFonts w:ascii="Arial" w:hAnsi="Arial" w:cs="Arial"/>
        </w:rPr>
        <w:t xml:space="preserve"> </w:t>
      </w:r>
      <w:r w:rsidRPr="00C56699">
        <w:rPr>
          <w:rFonts w:ascii="Arial" w:hAnsi="Arial" w:cs="Arial"/>
        </w:rPr>
        <w:t xml:space="preserve"> software;https://www.illumina.com/informatics/research/biological-data-interpretation/nextbio.html; Illumina, San Diego, CA, USA)</w:t>
      </w:r>
      <w:r w:rsidRPr="00C56699">
        <w:t xml:space="preserve">. TCGA contained RNA sequencing data with patient follow up data for n= 200 of LGEC (grade I and II endometrioid EC) and n=281 of HGEC (grade III endometrioid, serous, undifferentiated EC). </w:t>
      </w:r>
      <w:r w:rsidR="00350866" w:rsidRPr="00C56699">
        <w:t>P</w:t>
      </w:r>
      <w:r w:rsidR="00A15A92" w:rsidRPr="00C56699">
        <w:t xml:space="preserve">ublished microarray datasets from 3 </w:t>
      </w:r>
      <w:r w:rsidR="00350866" w:rsidRPr="00C56699">
        <w:t xml:space="preserve">further </w:t>
      </w:r>
      <w:r w:rsidR="00A15A92" w:rsidRPr="00C56699">
        <w:t xml:space="preserve">individual studies were examined with </w:t>
      </w:r>
      <w:r w:rsidR="00A15A92" w:rsidRPr="00C56699">
        <w:rPr>
          <w:rFonts w:ascii="Arial" w:hAnsi="Arial" w:cs="Arial"/>
        </w:rPr>
        <w:t xml:space="preserve">Illumina’s </w:t>
      </w:r>
      <w:proofErr w:type="spellStart"/>
      <w:r w:rsidR="00A15A92" w:rsidRPr="00C56699">
        <w:rPr>
          <w:rFonts w:ascii="Arial" w:hAnsi="Arial" w:cs="Arial"/>
        </w:rPr>
        <w:t>BaseSpace</w:t>
      </w:r>
      <w:proofErr w:type="spellEnd"/>
      <w:r w:rsidR="00A15A92" w:rsidRPr="00C56699">
        <w:rPr>
          <w:rFonts w:ascii="Arial" w:hAnsi="Arial" w:cs="Arial"/>
        </w:rPr>
        <w:t xml:space="preserve"> Correlation Engine application in BSCA</w:t>
      </w:r>
      <w:r w:rsidR="008A4DA7" w:rsidRPr="00C56699">
        <w:rPr>
          <w:rFonts w:ascii="Arial" w:hAnsi="Arial" w:cs="Arial"/>
        </w:rPr>
        <w:t xml:space="preserve"> and genes that perturbed </w:t>
      </w:r>
      <w:r w:rsidR="008A4DA7" w:rsidRPr="00C56699">
        <w:rPr>
          <w:rFonts w:ascii="Arial" w:hAnsi="Arial" w:cs="Arial"/>
          <w:i/>
        </w:rPr>
        <w:t>AGR2</w:t>
      </w:r>
      <w:r w:rsidR="008A4DA7" w:rsidRPr="00C56699">
        <w:rPr>
          <w:rFonts w:ascii="Arial" w:hAnsi="Arial" w:cs="Arial"/>
        </w:rPr>
        <w:t xml:space="preserve"> gene when mutated knocked down were identified with the Knockout atlas application</w:t>
      </w:r>
      <w:r w:rsidR="00350866" w:rsidRPr="00C56699">
        <w:rPr>
          <w:rFonts w:ascii="Arial" w:hAnsi="Arial" w:cs="Arial"/>
        </w:rPr>
        <w:t xml:space="preserve"> as previously described</w:t>
      </w:r>
      <w:r w:rsidR="00A15A92" w:rsidRPr="00C56699">
        <w:rPr>
          <w:rFonts w:ascii="Arial" w:hAnsi="Arial" w:cs="Arial"/>
        </w:rPr>
        <w:t xml:space="preserve"> </w:t>
      </w:r>
      <w:r w:rsidR="00E87175" w:rsidRPr="00C56699">
        <w:rPr>
          <w:rFonts w:ascii="Arial" w:hAnsi="Arial" w:cs="Arial"/>
        </w:rPr>
        <w:fldChar w:fldCharType="begin" w:fldLock="1"/>
      </w:r>
      <w:r w:rsidR="008346A3" w:rsidRPr="00C56699">
        <w:rPr>
          <w:rFonts w:ascii="Arial" w:hAnsi="Arial" w:cs="Arial"/>
        </w:rPr>
        <w:instrText>ADDIN CSL_CITATION {"citationItems":[{"id":"ITEM-1","itemData":{"DOI":"10.1093/humrep/dey083","ISSN":"0268-1161","author":[{"dropping-particle":"","family":"Tempest","given":"N","non-dropping-particle":"","parse-names":false,"suffix":""},{"dropping-particle":"","family":"Baker","given":"A M","non-dropping-particle":"","parse-names":false,"suffix":""},{"dropping-particle":"","family":"Wright","given":"N A","non-dropping-particle":"","parse-names":false,"suffix":""},{"dropping-particle":"","family":"Hapangama","given":"D K","non-dropping-particle":"","parse-names":false,"suffix":""}],"container-title":"Human Reproduction","id":"ITEM-1","issue":"6","issued":{"date-parts":[["2018","6","1"]]},"page":"1052-1062","publisher":"Oxford University Press","title":"Does human endometrial LGR5 gene expression suggest the existence of another hormonally regulated epithelial stem cell niche?","type":"article-journal","volume":"33"},"uris":["http://www.mendeley.com/documents/?uuid=e797c90c-1716-30f7-9745-6bdbc40415f7"]}],"mendeley":{"formattedCitation":"[50]","plainTextFormattedCitation":"[50]","previouslyFormattedCitation":"[49]"},"properties":{"noteIndex":0},"schema":"https://github.com/citation-style-language/schema/raw/master/csl-citation.json"}</w:instrText>
      </w:r>
      <w:r w:rsidR="00E87175" w:rsidRPr="00C56699">
        <w:rPr>
          <w:rFonts w:ascii="Arial" w:hAnsi="Arial" w:cs="Arial"/>
        </w:rPr>
        <w:fldChar w:fldCharType="separate"/>
      </w:r>
      <w:r w:rsidR="008346A3" w:rsidRPr="00C56699">
        <w:rPr>
          <w:rFonts w:ascii="Arial" w:hAnsi="Arial" w:cs="Arial"/>
          <w:noProof/>
        </w:rPr>
        <w:t>[50]</w:t>
      </w:r>
      <w:r w:rsidR="00E87175" w:rsidRPr="00C56699">
        <w:rPr>
          <w:rFonts w:ascii="Arial" w:hAnsi="Arial" w:cs="Arial"/>
        </w:rPr>
        <w:fldChar w:fldCharType="end"/>
      </w:r>
      <w:r w:rsidR="00E87175" w:rsidRPr="00C56699" w:rsidDel="00E87175">
        <w:rPr>
          <w:rFonts w:ascii="Arial" w:hAnsi="Arial" w:cs="Arial"/>
        </w:rPr>
        <w:t xml:space="preserve"> </w:t>
      </w:r>
      <w:r w:rsidR="00A15A92" w:rsidRPr="00C56699">
        <w:rPr>
          <w:rFonts w:ascii="Arial" w:hAnsi="Arial" w:cs="Arial"/>
        </w:rPr>
        <w:t>software;https://www.illumina.com/informatics/research/biological-data-interpretation/nextbio.html; Illumina, San Diego, CA, USA)</w:t>
      </w:r>
      <w:r w:rsidR="00A15A92" w:rsidRPr="00C56699">
        <w:t>.</w:t>
      </w:r>
    </w:p>
    <w:p w14:paraId="10B2BD8B" w14:textId="3B8434B5" w:rsidR="0070498A" w:rsidRPr="00C56699" w:rsidRDefault="00E87175" w:rsidP="00FF2C3E">
      <w:pPr>
        <w:pStyle w:val="Heading1"/>
      </w:pPr>
      <w:r w:rsidRPr="00C56699">
        <w:t>Author contributions</w:t>
      </w:r>
    </w:p>
    <w:p w14:paraId="137303FA" w14:textId="248C47AE" w:rsidR="0070498A" w:rsidRPr="00C56699" w:rsidRDefault="0070498A" w:rsidP="00AB4C30">
      <w:r w:rsidRPr="00C56699">
        <w:t xml:space="preserve">DKH and PM obtained the Ethical approval, and DKH conceived the study design. DKH, AMK, AJV, formulated experiments, analysed and interpreted data, produced figures and produced the </w:t>
      </w:r>
      <w:r w:rsidRPr="00C56699">
        <w:lastRenderedPageBreak/>
        <w:t xml:space="preserve">first draft. The samples </w:t>
      </w:r>
      <w:r w:rsidR="002D4A1C" w:rsidRPr="00C56699">
        <w:t xml:space="preserve">and outcome data </w:t>
      </w:r>
      <w:r w:rsidRPr="00C56699">
        <w:t xml:space="preserve">were collected by DKH, </w:t>
      </w:r>
      <w:r w:rsidR="002D4A1C" w:rsidRPr="00C56699">
        <w:t xml:space="preserve">SBD, </w:t>
      </w:r>
      <w:r w:rsidRPr="00C56699">
        <w:t>PM and HFS. Experiments were carried out and data collected by AMK, AJV and DKH was involved in obtaining funding. RB, PR and NR were involved in manuscript revision. All authors had final approval of the submitted version.</w:t>
      </w:r>
    </w:p>
    <w:p w14:paraId="36C143F3" w14:textId="77777777" w:rsidR="00411DA0" w:rsidRPr="00C56699" w:rsidRDefault="00411DA0" w:rsidP="00411DA0">
      <w:pPr>
        <w:rPr>
          <w:lang w:val="en-GB"/>
        </w:rPr>
      </w:pPr>
    </w:p>
    <w:p w14:paraId="1EC628B8" w14:textId="6DCA3FC0" w:rsidR="00960307" w:rsidRPr="00C56699" w:rsidRDefault="00960307" w:rsidP="00411DA0">
      <w:pPr>
        <w:pStyle w:val="Heading1"/>
      </w:pPr>
      <w:r w:rsidRPr="00C56699">
        <w:t>Acknowledg</w:t>
      </w:r>
      <w:r w:rsidR="00B74E9B" w:rsidRPr="00C56699">
        <w:t>e</w:t>
      </w:r>
      <w:r w:rsidRPr="00C56699">
        <w:t>ment</w:t>
      </w:r>
    </w:p>
    <w:p w14:paraId="02FC91E1" w14:textId="34A6B295" w:rsidR="003F3640" w:rsidRPr="00C56699" w:rsidRDefault="003F3640" w:rsidP="0070498A">
      <w:r w:rsidRPr="00C56699">
        <w:t xml:space="preserve">The authors are grateful for </w:t>
      </w:r>
      <w:proofErr w:type="spellStart"/>
      <w:r w:rsidRPr="00C56699">
        <w:t>Dr</w:t>
      </w:r>
      <w:proofErr w:type="spellEnd"/>
      <w:r w:rsidRPr="00C56699">
        <w:t xml:space="preserve"> Steven Lane for statistical advice</w:t>
      </w:r>
      <w:r w:rsidR="00A510A7" w:rsidRPr="00C56699">
        <w:t xml:space="preserve">, </w:t>
      </w:r>
      <w:proofErr w:type="spellStart"/>
      <w:r w:rsidR="003516A6" w:rsidRPr="00C56699">
        <w:t>Dr</w:t>
      </w:r>
      <w:proofErr w:type="spellEnd"/>
      <w:r w:rsidR="003516A6" w:rsidRPr="00C56699">
        <w:t xml:space="preserve"> James Flynn from Illumina for advice on </w:t>
      </w:r>
      <w:r w:rsidR="003516A6" w:rsidRPr="00C56699">
        <w:rPr>
          <w:i/>
        </w:rPr>
        <w:t>in silico</w:t>
      </w:r>
      <w:r w:rsidR="003516A6" w:rsidRPr="00C56699">
        <w:t xml:space="preserve"> analysis, </w:t>
      </w:r>
      <w:r w:rsidR="002D4A1C" w:rsidRPr="00C56699">
        <w:t xml:space="preserve">Jo Drury, and Sarah </w:t>
      </w:r>
      <w:proofErr w:type="spellStart"/>
      <w:r w:rsidR="002D4A1C" w:rsidRPr="00C56699">
        <w:t>Northey</w:t>
      </w:r>
      <w:proofErr w:type="spellEnd"/>
      <w:r w:rsidR="002D4A1C" w:rsidRPr="00C56699">
        <w:t xml:space="preserve"> for laboratory assistance (tissue section preparation).</w:t>
      </w:r>
    </w:p>
    <w:p w14:paraId="63F7AF8D" w14:textId="77777777" w:rsidR="0070498A" w:rsidRPr="00C56699" w:rsidRDefault="0070498A" w:rsidP="00FF2C3E">
      <w:pPr>
        <w:pStyle w:val="Heading1"/>
      </w:pPr>
      <w:r w:rsidRPr="00C56699">
        <w:t>CONFLICTS OF INTEREST</w:t>
      </w:r>
    </w:p>
    <w:p w14:paraId="301698A1" w14:textId="7A1DC5D5" w:rsidR="0070498A" w:rsidRPr="00C56699" w:rsidRDefault="002D4A1C" w:rsidP="00FF2C3E">
      <w:pPr>
        <w:rPr>
          <w:szCs w:val="24"/>
        </w:rPr>
      </w:pPr>
      <w:r w:rsidRPr="00C56699">
        <w:t>Authors have n</w:t>
      </w:r>
      <w:r w:rsidR="0070498A" w:rsidRPr="00C56699">
        <w:t>o conflict of interests to declare.</w:t>
      </w:r>
    </w:p>
    <w:p w14:paraId="6DEA1B3F" w14:textId="77777777" w:rsidR="0070498A" w:rsidRPr="00C56699" w:rsidRDefault="0070498A" w:rsidP="00FF2C3E">
      <w:pPr>
        <w:pStyle w:val="Heading1"/>
      </w:pPr>
      <w:r w:rsidRPr="00C56699">
        <w:t>FUNDING</w:t>
      </w:r>
    </w:p>
    <w:p w14:paraId="0DD2AEA8" w14:textId="461FA086" w:rsidR="0070498A" w:rsidRPr="00C56699" w:rsidRDefault="0070498A" w:rsidP="00FF2C3E">
      <w:pPr>
        <w:rPr>
          <w:rFonts w:cs="Arial"/>
        </w:rPr>
      </w:pPr>
      <w:r w:rsidRPr="00C56699">
        <w:rPr>
          <w:rFonts w:cs="Arial"/>
        </w:rPr>
        <w:t>The authors would like to acknowledge the support from Wellbeing of Women project grant RG1487 (DKH) and Higher Committee for Education Development in Iraq (AMK).</w:t>
      </w:r>
    </w:p>
    <w:p w14:paraId="36B5F11C" w14:textId="77777777" w:rsidR="0070498A" w:rsidRPr="00C56699" w:rsidRDefault="0070498A" w:rsidP="005D6BE0">
      <w:pPr>
        <w:rPr>
          <w:rFonts w:cs="Arial"/>
        </w:rPr>
      </w:pPr>
    </w:p>
    <w:p w14:paraId="4C074BE6" w14:textId="23138D29" w:rsidR="00CF2C7C" w:rsidRPr="00C56699" w:rsidRDefault="009149C7" w:rsidP="00411DA0">
      <w:pPr>
        <w:pStyle w:val="Heading1"/>
      </w:pPr>
      <w:r w:rsidRPr="00C56699">
        <w:t>References</w:t>
      </w:r>
    </w:p>
    <w:p w14:paraId="658615F0" w14:textId="41C885B6" w:rsidR="008346A3" w:rsidRPr="00C56699" w:rsidRDefault="00B66ADE" w:rsidP="00EC58C3">
      <w:pPr>
        <w:widowControl w:val="0"/>
        <w:autoSpaceDE w:val="0"/>
        <w:autoSpaceDN w:val="0"/>
        <w:adjustRightInd w:val="0"/>
        <w:spacing w:after="140"/>
        <w:ind w:left="640" w:hanging="640"/>
        <w:rPr>
          <w:rFonts w:ascii="Arial" w:hAnsi="Arial" w:cs="Arial"/>
          <w:noProof/>
          <w:szCs w:val="24"/>
        </w:rPr>
      </w:pPr>
      <w:r w:rsidRPr="00C56699">
        <w:rPr>
          <w:lang w:val="en-GB"/>
        </w:rPr>
        <w:fldChar w:fldCharType="begin" w:fldLock="1"/>
      </w:r>
      <w:r w:rsidRPr="00C56699">
        <w:rPr>
          <w:lang w:val="en-GB"/>
        </w:rPr>
        <w:instrText xml:space="preserve">ADDIN Mendeley Bibliography CSL_BIBLIOGRAPHY </w:instrText>
      </w:r>
      <w:r w:rsidRPr="00C56699">
        <w:rPr>
          <w:lang w:val="en-GB"/>
        </w:rPr>
        <w:fldChar w:fldCharType="separate"/>
      </w:r>
      <w:r w:rsidR="008346A3" w:rsidRPr="00C56699">
        <w:rPr>
          <w:rFonts w:ascii="Arial" w:hAnsi="Arial" w:cs="Arial"/>
          <w:noProof/>
          <w:szCs w:val="24"/>
        </w:rPr>
        <w:t xml:space="preserve">1. </w:t>
      </w:r>
      <w:r w:rsidR="008346A3" w:rsidRPr="00C56699">
        <w:rPr>
          <w:rFonts w:ascii="Arial" w:hAnsi="Arial" w:cs="Arial"/>
          <w:noProof/>
          <w:szCs w:val="24"/>
        </w:rPr>
        <w:tab/>
        <w:t xml:space="preserve">Mistry M, Parkin DM, Ahmad AS, Sasieni P. Cancer incidence in the United Kingdom: projections to the year 2030. Br J Cancer. Cancer Research UK; 2011; 105: 1795–803. </w:t>
      </w:r>
    </w:p>
    <w:p w14:paraId="6404983D"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2. </w:t>
      </w:r>
      <w:r w:rsidRPr="00C56699">
        <w:rPr>
          <w:rFonts w:ascii="Arial" w:hAnsi="Arial" w:cs="Arial"/>
          <w:noProof/>
          <w:szCs w:val="24"/>
        </w:rPr>
        <w:tab/>
        <w:t>Smittenaar CR, Petersen KA, Stewart K, Moitt N. Cancer incidence and mortality projections in the UK until 2035. Br J Cancer. 2016; 115: 1147–55. doi: 10.1038/bjc.2016.304.</w:t>
      </w:r>
    </w:p>
    <w:p w14:paraId="1F514643"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lastRenderedPageBreak/>
        <w:t xml:space="preserve">3. </w:t>
      </w:r>
      <w:r w:rsidRPr="00C56699">
        <w:rPr>
          <w:rFonts w:ascii="Arial" w:hAnsi="Arial" w:cs="Arial"/>
          <w:noProof/>
          <w:szCs w:val="24"/>
        </w:rPr>
        <w:tab/>
        <w:t>Colombo N, Creutzberg C, Amant F, Bosse T, González-Martín A, Ledermann J, Marth C, Nout R, Querleu D, Mirza MR, Sessa C. ESMO-ESGO-ESTRO Consensus Conference on Endometrial Cancer: diagnosis, treatment and follow-up. Ann Oncol. 2015; 27: 16–41. doi: 10.1093/annonc/mdv484.</w:t>
      </w:r>
    </w:p>
    <w:p w14:paraId="0C01339D"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4. </w:t>
      </w:r>
      <w:r w:rsidRPr="00C56699">
        <w:rPr>
          <w:rFonts w:ascii="Arial" w:hAnsi="Arial" w:cs="Arial"/>
          <w:noProof/>
          <w:szCs w:val="24"/>
        </w:rPr>
        <w:tab/>
        <w:t>Fung-Kee-Fung M, Dodge J, Elit L, Lukka H, Chambers A, Oliver T. Follow-up after primary therapy for endometrial cancer: a systematic review. Gynecol Oncol. 2006; 101: 520–9. doi: 10.1016/j.ygyno.2006.02.011.</w:t>
      </w:r>
    </w:p>
    <w:p w14:paraId="2525B526"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5. </w:t>
      </w:r>
      <w:r w:rsidRPr="00C56699">
        <w:rPr>
          <w:rFonts w:ascii="Arial" w:hAnsi="Arial" w:cs="Arial"/>
          <w:noProof/>
          <w:szCs w:val="24"/>
        </w:rPr>
        <w:tab/>
        <w:t>Koskas M, Fournier M, Vanderstraeten A, Walker F, Timmerman D, Vergote I, Amant F. Evaluation of models to predict lymph node metastasis in endometrial cancer: A multicentre study. Eur J Cancer. 2016; 61: 52–60. doi: 10.1016/j.ejca.2016.03.079.</w:t>
      </w:r>
    </w:p>
    <w:p w14:paraId="32A3459A"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6. </w:t>
      </w:r>
      <w:r w:rsidRPr="00C56699">
        <w:rPr>
          <w:rFonts w:ascii="Arial" w:hAnsi="Arial" w:cs="Arial"/>
          <w:noProof/>
          <w:szCs w:val="24"/>
        </w:rPr>
        <w:tab/>
        <w:t>Talhouk A, McConechy MK, Leung S, Li-Chang HH, Kwon JS, Melnyk N, Yang W, Senz J, Boyd N, Karnezis AN, Huntsman DG, Gilks CB, McAlpine JN. A clinically applicable molecular-based classification for endometrial cancers. Br J Cancer. 2015/07/15. 2015; 113: 299–310. doi: 10.1038/bjc.2015.190.</w:t>
      </w:r>
    </w:p>
    <w:p w14:paraId="3CB1F3C5"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7. </w:t>
      </w:r>
      <w:r w:rsidRPr="00C56699">
        <w:rPr>
          <w:rFonts w:ascii="Arial" w:hAnsi="Arial" w:cs="Arial"/>
          <w:noProof/>
          <w:szCs w:val="24"/>
        </w:rPr>
        <w:tab/>
        <w:t>Shih L-J, Lu Y-F, Chen Y-H, Lin C-C, Chen J-A, Hwang S-PL. Characterization of the agr2 gene, a homologue of X. laevis anterior gradient 2, from the zebrafish, Danio rerio. Gene Expr patterns. 2007; 7: 452–60. doi: 10.1016/j.modgep.2006.11.003.</w:t>
      </w:r>
    </w:p>
    <w:p w14:paraId="11E1A9B5"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8. </w:t>
      </w:r>
      <w:r w:rsidRPr="00C56699">
        <w:rPr>
          <w:rFonts w:ascii="Arial" w:hAnsi="Arial" w:cs="Arial"/>
          <w:noProof/>
          <w:szCs w:val="24"/>
        </w:rPr>
        <w:tab/>
        <w:t>Persson S, Rosenquist M, Knoblach B, Khosravi-Far R, Sommarin M, Michalak M. Diversity of the protein disulfide isomerase family: identification of breast tumor induced Hag2 and Hag3 as novel members of the protein family. Mol Phylogenet Evol. 2005; 36: 734–40. doi: 10.1016/j.ympev.2005.04.002.</w:t>
      </w:r>
    </w:p>
    <w:p w14:paraId="19382FC4"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9. </w:t>
      </w:r>
      <w:r w:rsidRPr="00C56699">
        <w:rPr>
          <w:rFonts w:ascii="Arial" w:hAnsi="Arial" w:cs="Arial"/>
          <w:noProof/>
          <w:szCs w:val="24"/>
        </w:rPr>
        <w:tab/>
        <w:t xml:space="preserve">Adam PJ, Boyd R, Tyson KL, Fletcher GC, Stamps A, Hudson L, Poyser HR, Redpath N, Griffiths M, Steers G, Harris AL, Patel S, Berry J, et al. Comprehensive Proteomic Analysis of Breast Cancer Cell Membranes Reveals Unique Proteins with Potential Roles in Clinical </w:t>
      </w:r>
      <w:r w:rsidRPr="00C56699">
        <w:rPr>
          <w:rFonts w:ascii="Arial" w:hAnsi="Arial" w:cs="Arial"/>
          <w:noProof/>
          <w:szCs w:val="24"/>
        </w:rPr>
        <w:lastRenderedPageBreak/>
        <w:t>Cancer. J Biol Chem. 2003; 278: 6482–9. doi: 10.1074/jbc.M210184200.</w:t>
      </w:r>
    </w:p>
    <w:p w14:paraId="1B8D2FB9"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10. </w:t>
      </w:r>
      <w:r w:rsidRPr="00C56699">
        <w:rPr>
          <w:rFonts w:ascii="Arial" w:hAnsi="Arial" w:cs="Arial"/>
          <w:noProof/>
          <w:szCs w:val="24"/>
        </w:rPr>
        <w:tab/>
        <w:t>Fletcher GC, Patel S, Tyson K, Adam PJ, Schenker M, Loader JA, Daviet L, Legrain P, Parekh R, Harris AL, Terrett JA. hAG-2 and hAG-3, human homologues of genes involved in differentiation, are associated with oestrogen receptor-positive breast tumours and interact with metastasis gene C4.4a and dystroglycan. Br J Cancer. 2003; 88: 579–85. doi: 10.1038/sj.bjc.6600740.</w:t>
      </w:r>
    </w:p>
    <w:p w14:paraId="126C848E"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11. </w:t>
      </w:r>
      <w:r w:rsidRPr="00C56699">
        <w:rPr>
          <w:rFonts w:ascii="Arial" w:hAnsi="Arial" w:cs="Arial"/>
          <w:noProof/>
          <w:szCs w:val="24"/>
        </w:rPr>
        <w:tab/>
        <w:t>Barraclough DL, Platt-Higgins A, de Silva Rudland S, Barraclough R, Winstanley J, West CR, Rudland PS, Rudland SDS, Barraclough R, Winstanley J, West CR, Rudland PS. Regular Articles: The Metastasis-Associated Anterior Gradient 2 Protein Is Correlated with Poor Survival of Breast Cancer Patients. Am J Pathol. 2009; 175: 1848–57. doi: 10.2353/ajpath.2009.090246.</w:t>
      </w:r>
    </w:p>
    <w:p w14:paraId="682605D6"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12. </w:t>
      </w:r>
      <w:r w:rsidRPr="00C56699">
        <w:rPr>
          <w:rFonts w:ascii="Arial" w:hAnsi="Arial" w:cs="Arial"/>
          <w:noProof/>
          <w:szCs w:val="24"/>
        </w:rPr>
        <w:tab/>
        <w:t>Innes HE, Liu D, Barraclough R, Davies MPA, O’Neill PA, Platt-Higgins A, de Silva Rudland S, Sibson DR, Rudland PS. Significance of the metastasis-inducing protein AGR2 for outcome in hormonally treated breast cancer patients. Br J Cancer. 2006; 94: 1057–65. doi: 10.1038/sj.bjc.6603065.</w:t>
      </w:r>
    </w:p>
    <w:p w14:paraId="15BAE32C"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13. </w:t>
      </w:r>
      <w:r w:rsidRPr="00C56699">
        <w:rPr>
          <w:rFonts w:ascii="Arial" w:hAnsi="Arial" w:cs="Arial"/>
          <w:noProof/>
          <w:szCs w:val="24"/>
        </w:rPr>
        <w:tab/>
        <w:t>Kani K, Malihi PD, Jiang Y, Wang H, Wang Y, Ruderman DL, Agus DB, Mallick P, Gross ME. Anterior gradient 2 (AGR2): blood-based biomarker elevated in metastatic prostate cancer associated with the neuroendocrine phenotype. Prostate. 2013; 73: 306–15. doi: 10.1002/pros.22569.</w:t>
      </w:r>
    </w:p>
    <w:p w14:paraId="3DA9CF33"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14. </w:t>
      </w:r>
      <w:r w:rsidRPr="00C56699">
        <w:rPr>
          <w:rFonts w:ascii="Arial" w:hAnsi="Arial" w:cs="Arial"/>
          <w:noProof/>
          <w:szCs w:val="24"/>
        </w:rPr>
        <w:tab/>
        <w:t>Edgell TA, Barraclough DL, Rajic A, Dhulia J, Lewis KJ, Armes JE, Barraclough R, Rudland PS, Rice GE, Autelitano DJ. Increased plasma concentrations of anterior gradient 2 protein are positively associated with ovarian cancer. Clin Sci. 2010; 118: 717–25. doi: 10.1042/CS20090537.</w:t>
      </w:r>
    </w:p>
    <w:p w14:paraId="367EA48E"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15. </w:t>
      </w:r>
      <w:r w:rsidRPr="00C56699">
        <w:rPr>
          <w:rFonts w:ascii="Arial" w:hAnsi="Arial" w:cs="Arial"/>
          <w:noProof/>
          <w:szCs w:val="24"/>
        </w:rPr>
        <w:tab/>
        <w:t xml:space="preserve">Gray TA, MacLaine NJ, Murray E, Howie J, Maslon MM, Hupp TR, Langdon S, Hayward </w:t>
      </w:r>
      <w:r w:rsidRPr="00C56699">
        <w:rPr>
          <w:rFonts w:ascii="Arial" w:hAnsi="Arial" w:cs="Arial"/>
          <w:noProof/>
          <w:szCs w:val="24"/>
        </w:rPr>
        <w:lastRenderedPageBreak/>
        <w:t>L, Michie CO, Gourley C, Bouchalova P, Hrstka R, Nenutil R, et al. Anterior Gradient-3: A novel biomarker for ovarian cancer that mediates cisplatin resistance in xenograft models. J Immunol Methods. 2012; 378: 20–32. doi: 10.1016/j.jim.2012.01.013.</w:t>
      </w:r>
    </w:p>
    <w:p w14:paraId="337BAAF0"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16. </w:t>
      </w:r>
      <w:r w:rsidRPr="00C56699">
        <w:rPr>
          <w:rFonts w:ascii="Arial" w:hAnsi="Arial" w:cs="Arial"/>
          <w:noProof/>
          <w:szCs w:val="24"/>
        </w:rPr>
        <w:tab/>
        <w:t>Hengel SM, Panchaud A, Goodlett DR, Murray E, Langdon S, Hayward L, O’Donoghue J, Hupp T, Panchaud A, Hupp T, Goodlett DR. Data-independent proteomic screen identifies novel tamoxifen agonist that mediates drug resistance. J Proteome Res. 2011; 10: 4567–78. doi: 10.1021/pr2004117.</w:t>
      </w:r>
    </w:p>
    <w:p w14:paraId="2A597A60"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17. </w:t>
      </w:r>
      <w:r w:rsidRPr="00C56699">
        <w:rPr>
          <w:rFonts w:ascii="Arial" w:hAnsi="Arial" w:cs="Arial"/>
          <w:noProof/>
          <w:szCs w:val="24"/>
        </w:rPr>
        <w:tab/>
        <w:t>Liu D, Rudland PS, Sibson DR, Platt-Higgins A, Barraclough R. Human homologue of cement gland protein, a novel metastasis inducer associated with breast carcinomas. Cancer Res. 2005; 65: 3796–805. doi: 10.1158/0008-5472.CAN-04-3823.</w:t>
      </w:r>
    </w:p>
    <w:p w14:paraId="45B88FC3"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18. </w:t>
      </w:r>
      <w:r w:rsidRPr="00C56699">
        <w:rPr>
          <w:rFonts w:ascii="Arial" w:hAnsi="Arial" w:cs="Arial"/>
          <w:noProof/>
          <w:szCs w:val="24"/>
        </w:rPr>
        <w:tab/>
        <w:t>Clarke C, Rudland P, Barraclough R. The metastasis-inducing protein AGR2 is O-glycosylated upon secretion from mammary epithelial cells. Mol Cell Biochem. 2015; 408: 245–52. doi: 10.1007/s11010-015-2502-3.</w:t>
      </w:r>
    </w:p>
    <w:p w14:paraId="54701257"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19. </w:t>
      </w:r>
      <w:r w:rsidRPr="00C56699">
        <w:rPr>
          <w:rFonts w:ascii="Arial" w:hAnsi="Arial" w:cs="Arial"/>
          <w:noProof/>
          <w:szCs w:val="24"/>
        </w:rPr>
        <w:tab/>
        <w:t>Wayner EA, Quek SI, Ahmad R, Ho ME, Loprieno MA, Ellis WJ, Liu AY, Zhou Y, True LD. Development of an ELISA to detect the secreted prostate cancer biomarker AGR2 in voided urine. Prostate. 2012; 72: 1023–34. doi: 10.1002/pros.21508.</w:t>
      </w:r>
    </w:p>
    <w:p w14:paraId="6A7C8006"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20. </w:t>
      </w:r>
      <w:r w:rsidRPr="00C56699">
        <w:rPr>
          <w:rFonts w:ascii="Arial" w:hAnsi="Arial" w:cs="Arial"/>
          <w:noProof/>
          <w:szCs w:val="24"/>
        </w:rPr>
        <w:tab/>
        <w:t>Bu H, Schweiger MR, Manke T, Wunderlich A, Timmermann B, Kerick M, Pasqualini L, Shehu E, Fuchsberger C, Cato ACB, Klocker H. Anterior gradient 2 and 3--two prototype androgen-responsive genes transcriptionally upregulated by androgens and by oestrogens in prostate cancer cells. FEBS J. 2013; 280: 1249–66. doi: 10.1111/febs.12118.</w:t>
      </w:r>
    </w:p>
    <w:p w14:paraId="45486003"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21. </w:t>
      </w:r>
      <w:r w:rsidRPr="00C56699">
        <w:rPr>
          <w:rFonts w:ascii="Arial" w:hAnsi="Arial" w:cs="Arial"/>
          <w:noProof/>
          <w:szCs w:val="24"/>
        </w:rPr>
        <w:tab/>
        <w:t>Salmans ML, Zhao F, Andersen B, Zhao F. The estrogen-regulated anterior gradient 2 (AGR2) protein in breast cancer: A potential drug target and biomarker. Breast Cancer Res. 2013; 204: 204–18. doi: 10.1186/bcr3408.</w:t>
      </w:r>
    </w:p>
    <w:p w14:paraId="04983A45"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22. </w:t>
      </w:r>
      <w:r w:rsidRPr="00C56699">
        <w:rPr>
          <w:rFonts w:ascii="Arial" w:hAnsi="Arial" w:cs="Arial"/>
          <w:noProof/>
          <w:szCs w:val="24"/>
        </w:rPr>
        <w:tab/>
        <w:t xml:space="preserve">Hrstka R, Podhorec J, Nenutil R, Sommerova L, Obacz J, Durech M, Faktor J, Bouchal P, </w:t>
      </w:r>
      <w:r w:rsidRPr="00C56699">
        <w:rPr>
          <w:rFonts w:ascii="Arial" w:hAnsi="Arial" w:cs="Arial"/>
          <w:noProof/>
          <w:szCs w:val="24"/>
        </w:rPr>
        <w:lastRenderedPageBreak/>
        <w:t xml:space="preserve">Skoupilova H, Vojtesek B. Tamoxifen-Dependent Induction of </w:t>
      </w:r>
      <w:r w:rsidRPr="00C56699">
        <w:rPr>
          <w:rFonts w:ascii="Arial" w:hAnsi="Arial" w:cs="Arial"/>
          <w:i/>
          <w:iCs/>
          <w:noProof/>
          <w:szCs w:val="24"/>
        </w:rPr>
        <w:t>AGR2</w:t>
      </w:r>
      <w:r w:rsidRPr="00C56699">
        <w:rPr>
          <w:rFonts w:ascii="Arial" w:hAnsi="Arial" w:cs="Arial"/>
          <w:noProof/>
          <w:szCs w:val="24"/>
        </w:rPr>
        <w:t xml:space="preserve"> Is Associated with Increased Aggressiveness of Endometrial Cancer Cells. Cancer Invest. 2017; 35: 313–24. doi: 10.1080/07357907.2017.1309546.</w:t>
      </w:r>
    </w:p>
    <w:p w14:paraId="5F00211C"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23. </w:t>
      </w:r>
      <w:r w:rsidRPr="00C56699">
        <w:rPr>
          <w:rFonts w:ascii="Arial" w:hAnsi="Arial" w:cs="Arial"/>
          <w:noProof/>
          <w:szCs w:val="24"/>
        </w:rPr>
        <w:tab/>
        <w:t>Kamal A, Tempest N, Parkes C, Alnafakh R, Makrydima S, Adishesh M, Hapangama DK. Hormones and endometrial carcinogenesis. Horm Mol Biol Clin Investig. 2016; 25: 129–48. doi: 10.1515/hmbci-2016-0005.</w:t>
      </w:r>
    </w:p>
    <w:p w14:paraId="23032A48"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24. </w:t>
      </w:r>
      <w:r w:rsidRPr="00C56699">
        <w:rPr>
          <w:rFonts w:ascii="Arial" w:hAnsi="Arial" w:cs="Arial"/>
          <w:noProof/>
          <w:szCs w:val="24"/>
        </w:rPr>
        <w:tab/>
        <w:t>Parkes C, Kamal A, Valentijn AJ, Alnafakh R, Gross SR, Barraclough R, Moss D, Kirwan J, Hapangama DK. Assessing Estrogen-Induced Proliferative Response in an Endometrial Cancer Cell Line Using a Universally Applicable Methodological Guide. Int J Gynecol Cancer. 2017; : 1. doi: 10.1097/IGC.0000000000001121.</w:t>
      </w:r>
    </w:p>
    <w:p w14:paraId="4B79D057"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25. </w:t>
      </w:r>
      <w:r w:rsidRPr="00C56699">
        <w:rPr>
          <w:rFonts w:ascii="Arial" w:hAnsi="Arial" w:cs="Arial"/>
          <w:noProof/>
          <w:szCs w:val="24"/>
        </w:rPr>
        <w:tab/>
        <w:t xml:space="preserve">M. INMKKK. Establishment of a new human endometrial adenocarcinoma cell line, Ishikawa cells, containing estrogen and progesterone receptors. Actu Obs Gynuec Jpn. 1985; 37: 1103–11. </w:t>
      </w:r>
    </w:p>
    <w:p w14:paraId="1B3A7EB0"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26. </w:t>
      </w:r>
      <w:r w:rsidRPr="00C56699">
        <w:rPr>
          <w:rFonts w:ascii="Arial" w:hAnsi="Arial" w:cs="Arial"/>
          <w:noProof/>
          <w:szCs w:val="24"/>
        </w:rPr>
        <w:tab/>
        <w:t>Alanen HI, Raykhel IB, Luukas MJ, Salo KEH, Ruddock LW. Beyond KDEL: the role of positions 5 and 6 in determining ER localization. J Mol Biol. 2011; 409: 291–7. doi: 10.1016/j.jmb.2011.03.070.</w:t>
      </w:r>
    </w:p>
    <w:p w14:paraId="2E1ADAB0"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27. </w:t>
      </w:r>
      <w:r w:rsidRPr="00C56699">
        <w:rPr>
          <w:rFonts w:ascii="Arial" w:hAnsi="Arial" w:cs="Arial"/>
          <w:noProof/>
          <w:szCs w:val="24"/>
        </w:rPr>
        <w:tab/>
        <w:t>Gupta A, Dong A, Lowe AW. AGR2 gene function requires a unique endoplasmic reticulum localization motif. J Biol Chem. American Society for Biochemistry and Molecular Biology; 2012; 287: 4773–82. doi: 10.1074/jbc.M111.301531.</w:t>
      </w:r>
    </w:p>
    <w:p w14:paraId="574466FB"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28. </w:t>
      </w:r>
      <w:r w:rsidRPr="00C56699">
        <w:rPr>
          <w:rFonts w:ascii="Arial" w:hAnsi="Arial" w:cs="Arial"/>
          <w:noProof/>
          <w:szCs w:val="24"/>
        </w:rPr>
        <w:tab/>
        <w:t>Raykhel I, Alanen H, Salo K, Jurvansuu J, Nguyen VD, Latva-Ranta M, Ruddock L. A molecular specificity code for the three mammalian KDEL receptors. J Cell Biol. 2007; 179: 1193–204. doi: 10.1083/jcb.200705180.</w:t>
      </w:r>
    </w:p>
    <w:p w14:paraId="762F8B3D"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29. </w:t>
      </w:r>
      <w:r w:rsidRPr="00C56699">
        <w:rPr>
          <w:rFonts w:ascii="Arial" w:hAnsi="Arial" w:cs="Arial"/>
          <w:noProof/>
          <w:szCs w:val="24"/>
        </w:rPr>
        <w:tab/>
        <w:t>Obacz J, Takacova M, Brychtova V, Dobes P, Pastorekova S, Vojtesek B, Hrstka R. The role of AGR2 and AGR3 in cancer: Similar but not identical. Eur J Cell Biol. 2015; 94: 139–</w:t>
      </w:r>
      <w:r w:rsidRPr="00C56699">
        <w:rPr>
          <w:rFonts w:ascii="Arial" w:hAnsi="Arial" w:cs="Arial"/>
          <w:noProof/>
          <w:szCs w:val="24"/>
        </w:rPr>
        <w:lastRenderedPageBreak/>
        <w:t>47. doi: 10.1016/j.ejcb.2015.01.002.</w:t>
      </w:r>
    </w:p>
    <w:p w14:paraId="18FD9E1F"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30. </w:t>
      </w:r>
      <w:r w:rsidRPr="00C56699">
        <w:rPr>
          <w:rFonts w:ascii="Arial" w:hAnsi="Arial" w:cs="Arial"/>
          <w:noProof/>
          <w:szCs w:val="24"/>
        </w:rPr>
        <w:tab/>
        <w:t>Dumartin L, Whiteman HJ, Weeks ME, Hariharan D, Dmitrovic B, Iacobuzio-Donahue CA, Brentnall TA, Bronner MP, Feakins RM, Timms JF, Brennan C, Lemoine NR, Crnogorac-Jurcevic T. AGR2 is a novel surface antigen that promotes the dissemination of pancreatic cancer cells through regulation of cathepsins B and D. Cancer Res. 2011; 71: 7091–102. doi: 10.1158/0008-5472.CAN-11-1367.</w:t>
      </w:r>
    </w:p>
    <w:p w14:paraId="54A7C195"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31. </w:t>
      </w:r>
      <w:r w:rsidRPr="00C56699">
        <w:rPr>
          <w:rFonts w:ascii="Arial" w:hAnsi="Arial" w:cs="Arial"/>
          <w:noProof/>
          <w:szCs w:val="24"/>
        </w:rPr>
        <w:tab/>
        <w:t>Wang Z, Hao Y, Lowe AW. The adenocarcinoma-associated antigen, AGR2, promotes tumor growth, cell migration, and cellular transformation. Cancer Res. 2008; 68: 492–7. doi: 10.1158/0008-5472.CAN-07-2930.</w:t>
      </w:r>
    </w:p>
    <w:p w14:paraId="42BA656B"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32. </w:t>
      </w:r>
      <w:r w:rsidRPr="00C56699">
        <w:rPr>
          <w:rFonts w:ascii="Arial" w:hAnsi="Arial" w:cs="Arial"/>
          <w:noProof/>
          <w:szCs w:val="24"/>
        </w:rPr>
        <w:tab/>
        <w:t>Vanderlaag KE, Hudak S, Bald L, Fayadat-Dilman L, Sathe M, Grein J, Janatpour MJ. Anterior gradient-2 plays a critical role in breast cancer cell growth and survival by modulating cyclin D1, estrogen receptor-alpha and survivin. Breast cancer Res. 2010; 12: R32. doi: 10.1186/bcr2586.</w:t>
      </w:r>
    </w:p>
    <w:p w14:paraId="03D1901E"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33. </w:t>
      </w:r>
      <w:r w:rsidRPr="00C56699">
        <w:rPr>
          <w:rFonts w:ascii="Arial" w:hAnsi="Arial" w:cs="Arial"/>
          <w:noProof/>
          <w:szCs w:val="24"/>
        </w:rPr>
        <w:tab/>
        <w:t>Verma S, Salmans ML, Geyfman M, Wang H, Yu Z, Lu Z, Zhao F, Lipkin SM, Andersen B. The estrogen-responsive Agr2 gene regulates mammary epithelial proliferation and facilitates lobuloalveolar development. Dev Biol. 2012; 369: 249–60. doi: 10.1016/j.ydbio.2012.06.030.</w:t>
      </w:r>
    </w:p>
    <w:p w14:paraId="19928500"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34. </w:t>
      </w:r>
      <w:r w:rsidRPr="00C56699">
        <w:rPr>
          <w:rFonts w:ascii="Arial" w:hAnsi="Arial" w:cs="Arial"/>
          <w:noProof/>
          <w:szCs w:val="24"/>
        </w:rPr>
        <w:tab/>
        <w:t>Kamal A, Bulmer J, DeCruze S, Stringfellow H, Martin-Hirsch P, Hapangama D. Androgen receptors are acquired by healthy postmenopausal endometrial epithelium and their subsequent loss in endometrial cancer is associated with poor survival. Br J Cancer. 2016; 114: 688–96. doi: 10.1038/bjc.2016.16.</w:t>
      </w:r>
    </w:p>
    <w:p w14:paraId="25050A06"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35. </w:t>
      </w:r>
      <w:r w:rsidRPr="00C56699">
        <w:rPr>
          <w:rFonts w:ascii="Arial" w:hAnsi="Arial" w:cs="Arial"/>
          <w:noProof/>
          <w:szCs w:val="24"/>
        </w:rPr>
        <w:tab/>
        <w:t>Pani G, Galeotti T, Chiarugi P. Metastasis: cancer cell’s escape from oxidative stress. Cancer Metastasis Rev. 2010; 29: 351–78. doi: 10.1007/s10555-010-9225-4.</w:t>
      </w:r>
    </w:p>
    <w:p w14:paraId="4D5E446C"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36. </w:t>
      </w:r>
      <w:r w:rsidRPr="00C56699">
        <w:rPr>
          <w:rFonts w:ascii="Arial" w:hAnsi="Arial" w:cs="Arial"/>
          <w:noProof/>
          <w:szCs w:val="24"/>
        </w:rPr>
        <w:tab/>
        <w:t xml:space="preserve">Higa A, Mulot A, Delom F, Bouchecareilh M, Nguyên DT, Boismenu D, Wise MJ, Chevet </w:t>
      </w:r>
      <w:r w:rsidRPr="00C56699">
        <w:rPr>
          <w:rFonts w:ascii="Arial" w:hAnsi="Arial" w:cs="Arial"/>
          <w:noProof/>
          <w:szCs w:val="24"/>
        </w:rPr>
        <w:lastRenderedPageBreak/>
        <w:t>E. Role of Pro-oncogenic Protein Disulfide Isomerase (PDI) Family Member Anterior Gradient 2 (AGR2) in the Control of Endoplasmic Reticulum Homeostasis. J Biol Chem. 2011; 286: 44855–68. doi: 10.1074/jbc.M111.275529.</w:t>
      </w:r>
    </w:p>
    <w:p w14:paraId="3473BE93"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37. </w:t>
      </w:r>
      <w:r w:rsidRPr="00C56699">
        <w:rPr>
          <w:rFonts w:ascii="Arial" w:hAnsi="Arial" w:cs="Arial"/>
          <w:noProof/>
          <w:szCs w:val="24"/>
        </w:rPr>
        <w:tab/>
        <w:t>Sommerova L, Ondrouskova E, Vojtesek B, Hrstka R. Suppression of AGR2 in a TGF-β-induced Smad regulatory pathway mediates epithelial-mesenchymal transition. BMC Cancer. 2017; 17: 546. doi: 10.1186/s12885-017-3537-5.</w:t>
      </w:r>
    </w:p>
    <w:p w14:paraId="5762D0FD"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38. </w:t>
      </w:r>
      <w:r w:rsidRPr="00C56699">
        <w:rPr>
          <w:rFonts w:ascii="Arial" w:hAnsi="Arial" w:cs="Arial"/>
          <w:noProof/>
          <w:szCs w:val="24"/>
        </w:rPr>
        <w:tab/>
        <w:t xml:space="preserve">Katzenellenbogen BS. Estrogen receptors: bioactivities and interactions with cell signaling pathways. Biol Reprod. 1996; 54: 287–93. </w:t>
      </w:r>
    </w:p>
    <w:p w14:paraId="04F84D9C"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39. </w:t>
      </w:r>
      <w:r w:rsidRPr="00C56699">
        <w:rPr>
          <w:rFonts w:ascii="Arial" w:hAnsi="Arial" w:cs="Arial"/>
          <w:noProof/>
          <w:szCs w:val="24"/>
        </w:rPr>
        <w:tab/>
        <w:t>Massie CE, Lynch A, Ramos-Montoya A, Boren J, Stark R, Fazli L, Warren A, Scott H, Madhu B, Sharma N, Bon H, Zecchini V, Smith D-M, et al. The androgen receptor fuels prostate cancer by regulating central metabolism and biosynthesis. EMBO J. CRUK Cambridge Research Institute, Cambridge, UK.; 2011; 30: 2719–33. doi: 10.1038/emboj.2011.158.</w:t>
      </w:r>
    </w:p>
    <w:p w14:paraId="44C60907"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40. </w:t>
      </w:r>
      <w:r w:rsidRPr="00C56699">
        <w:rPr>
          <w:rFonts w:ascii="Arial" w:hAnsi="Arial" w:cs="Arial"/>
          <w:noProof/>
          <w:szCs w:val="24"/>
        </w:rPr>
        <w:tab/>
        <w:t>Zweitzig DR, Smirnov DA, Connelly MC, Terstappen LWMM, O’Hara SM, Moran E. Physiological stress induces the metastasis marker AGR2 in breast cancer cells. Mol Cell Biochem. 2007; 306: 255–60. doi: 10.1007/s11010-007-9562-y.</w:t>
      </w:r>
    </w:p>
    <w:p w14:paraId="7C552396"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41. </w:t>
      </w:r>
      <w:r w:rsidRPr="00C56699">
        <w:rPr>
          <w:rFonts w:ascii="Arial" w:hAnsi="Arial" w:cs="Arial"/>
          <w:noProof/>
          <w:szCs w:val="24"/>
        </w:rPr>
        <w:tab/>
        <w:t>Voss MA, Ganesan R, Ludeman L, McCarthy K, Gornall R, Schaller G, Wei W, Sundar S. Should grade 3 endometrioid endometrial carcinoma be considered a type 2 cancer—A clinical and pathological evaluation. Gynecol Oncol. 2012; 124: 15–20. doi: 10.1016/j.ygyno.2011.07.030.</w:t>
      </w:r>
    </w:p>
    <w:p w14:paraId="69432DB9"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42. </w:t>
      </w:r>
      <w:r w:rsidRPr="00C56699">
        <w:rPr>
          <w:rFonts w:ascii="Arial" w:hAnsi="Arial" w:cs="Arial"/>
          <w:noProof/>
          <w:szCs w:val="24"/>
        </w:rPr>
        <w:tab/>
        <w:t xml:space="preserve">Noyes RW, Hertig AT, Rock J. Dating the Endometrial Biopsy. Fertil Steril. 1950; 1: 3–25. </w:t>
      </w:r>
    </w:p>
    <w:p w14:paraId="513DF257"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43. </w:t>
      </w:r>
      <w:r w:rsidRPr="00C56699">
        <w:rPr>
          <w:rFonts w:ascii="Arial" w:hAnsi="Arial" w:cs="Arial"/>
          <w:noProof/>
          <w:szCs w:val="24"/>
        </w:rPr>
        <w:tab/>
        <w:t xml:space="preserve">Hapangama DK, Raju RS, Valentijn AJ, Barraclough D, Hart A, Turner MA, Platt-Higgins A, Barraclough R, Rudland PS. Aberrant expression of metastasis-inducing proteins in ectopic and matched eutopic endometrium of women with endometriosis: implications for </w:t>
      </w:r>
      <w:r w:rsidRPr="00C56699">
        <w:rPr>
          <w:rFonts w:ascii="Arial" w:hAnsi="Arial" w:cs="Arial"/>
          <w:noProof/>
          <w:szCs w:val="24"/>
        </w:rPr>
        <w:lastRenderedPageBreak/>
        <w:t xml:space="preserve">the pathogenesis of endometriosis. Hum Reprod. 2012; 27: 394–407. </w:t>
      </w:r>
    </w:p>
    <w:p w14:paraId="5086CF2B"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44. </w:t>
      </w:r>
      <w:r w:rsidRPr="00C56699">
        <w:rPr>
          <w:rFonts w:ascii="Arial" w:hAnsi="Arial" w:cs="Arial"/>
          <w:noProof/>
          <w:szCs w:val="24"/>
        </w:rPr>
        <w:tab/>
        <w:t>Valentijn AJ, Palial K, Al-Lamee H, Tempest N, Drury J, Hapangama DK, Murray P, Von Zglinicki T, Saretzki G, Gargett CE. SSEA-1 isolates human endometrial basal glandular epithelial cells: Phenotypic and functional characterization and implications in the pathogenesis of endometriosis. Hum Reprod. 2013; 28: 2695–708. doi: 10.1093/humrep/det285.</w:t>
      </w:r>
    </w:p>
    <w:p w14:paraId="5EC67D1C"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45. </w:t>
      </w:r>
      <w:r w:rsidRPr="00C56699">
        <w:rPr>
          <w:rFonts w:ascii="Arial" w:hAnsi="Arial" w:cs="Arial"/>
          <w:noProof/>
          <w:szCs w:val="24"/>
        </w:rPr>
        <w:tab/>
        <w:t>Hu Z, Gu Y, Han B, Zhang J, Li Z, Tian K, Young CYF, Yuan H. Knockdown of AGR2 induces cellular senescence in prostate cancer cells. Carcinogenesis. 2012; 33: 1178–86. doi: 10.1093/carcin/bgs141.</w:t>
      </w:r>
    </w:p>
    <w:p w14:paraId="7FBA88DD"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46. </w:t>
      </w:r>
      <w:r w:rsidRPr="00C56699">
        <w:rPr>
          <w:rFonts w:ascii="Arial" w:hAnsi="Arial" w:cs="Arial"/>
          <w:noProof/>
          <w:szCs w:val="24"/>
        </w:rPr>
        <w:tab/>
        <w:t>Marullo M, Zuccato C, Mariotti C, Lahiri N, Tabrizi SJ, Di Donato S, Cattaneo E. Expressed Alu repeats as a novel, reliable tool for normalization of real-time quantitative RT-PCR data. Genome Biol. 2010; 11: R9. doi: 10.1186/gb-2010-11-1-r9.</w:t>
      </w:r>
    </w:p>
    <w:p w14:paraId="3221837E"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47. </w:t>
      </w:r>
      <w:r w:rsidRPr="00C56699">
        <w:rPr>
          <w:rFonts w:ascii="Arial" w:hAnsi="Arial" w:cs="Arial"/>
          <w:noProof/>
          <w:szCs w:val="24"/>
        </w:rPr>
        <w:tab/>
        <w:t>Jacob F, Guertler R, Naim S, Nixdorf S, Fedier A, Hacker NF, Heinzelmann-Schwarz V. Careful selection of reference genes is required for reliable performance of RT-qPCR in human normal and cancer cell lines. PLoS One. 2013; 8: e59180. doi: 10.1371/journal.pone.0059180.</w:t>
      </w:r>
    </w:p>
    <w:p w14:paraId="4ABE4054"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48. </w:t>
      </w:r>
      <w:r w:rsidRPr="00C56699">
        <w:rPr>
          <w:rFonts w:ascii="Arial" w:hAnsi="Arial" w:cs="Arial"/>
          <w:noProof/>
          <w:szCs w:val="24"/>
        </w:rPr>
        <w:tab/>
        <w:t>Krikun G, Mor G, Alvero A, Guller S, Schatz F, Sapi E, Rahman M, Caze R, Qumsiyeh M, Lockwood CJ. A Novel Immortalized Human Endometrial Stromal Cell Line with Normal Progestational Response. Endocrinology. 2004; 145: 2291–6. doi: 10.1210/en.2003-1606.</w:t>
      </w:r>
    </w:p>
    <w:p w14:paraId="7FB6C242" w14:textId="77777777" w:rsidR="008346A3" w:rsidRPr="00C56699" w:rsidRDefault="008346A3" w:rsidP="00EC58C3">
      <w:pPr>
        <w:widowControl w:val="0"/>
        <w:autoSpaceDE w:val="0"/>
        <w:autoSpaceDN w:val="0"/>
        <w:adjustRightInd w:val="0"/>
        <w:spacing w:after="140"/>
        <w:ind w:left="640" w:hanging="640"/>
        <w:rPr>
          <w:rFonts w:ascii="Arial" w:hAnsi="Arial" w:cs="Arial"/>
          <w:noProof/>
          <w:szCs w:val="24"/>
        </w:rPr>
      </w:pPr>
      <w:r w:rsidRPr="00C56699">
        <w:rPr>
          <w:rFonts w:ascii="Arial" w:hAnsi="Arial" w:cs="Arial"/>
          <w:noProof/>
          <w:szCs w:val="24"/>
        </w:rPr>
        <w:t xml:space="preserve">49. </w:t>
      </w:r>
      <w:r w:rsidRPr="00C56699">
        <w:rPr>
          <w:rFonts w:ascii="Arial" w:hAnsi="Arial" w:cs="Arial"/>
          <w:noProof/>
          <w:szCs w:val="24"/>
        </w:rPr>
        <w:tab/>
        <w:t>Kupershmidt I, Su QJ, Grewal A, Sundaresh S, Halperin I, Flynn J, Shekar M, Wang H, Park J, Cui W, Wall GD, Wisotzkey R, Alag S, et al. Ontology-Based Meta-Analysis of Global Collections of High-Throughput Public Data. Aziz RK, editor. PLoS One. Public Library of Science; 2010; 5: e13066. doi: 10.1371/journal.pone.0013066.</w:t>
      </w:r>
    </w:p>
    <w:p w14:paraId="214765D3" w14:textId="77777777" w:rsidR="008346A3" w:rsidRPr="00C56699" w:rsidRDefault="008346A3" w:rsidP="00EC58C3">
      <w:pPr>
        <w:widowControl w:val="0"/>
        <w:autoSpaceDE w:val="0"/>
        <w:autoSpaceDN w:val="0"/>
        <w:adjustRightInd w:val="0"/>
        <w:spacing w:after="140"/>
        <w:ind w:left="640" w:hanging="640"/>
        <w:rPr>
          <w:rFonts w:ascii="Arial" w:hAnsi="Arial" w:cs="Arial"/>
          <w:noProof/>
        </w:rPr>
      </w:pPr>
      <w:r w:rsidRPr="00C56699">
        <w:rPr>
          <w:rFonts w:ascii="Arial" w:hAnsi="Arial" w:cs="Arial"/>
          <w:noProof/>
          <w:szCs w:val="24"/>
        </w:rPr>
        <w:t xml:space="preserve">50. </w:t>
      </w:r>
      <w:r w:rsidRPr="00C56699">
        <w:rPr>
          <w:rFonts w:ascii="Arial" w:hAnsi="Arial" w:cs="Arial"/>
          <w:noProof/>
          <w:szCs w:val="24"/>
        </w:rPr>
        <w:tab/>
        <w:t xml:space="preserve">Tempest N, Baker AM, Wright NA, Hapangama DK. Does human endometrial LGR5 gene </w:t>
      </w:r>
      <w:r w:rsidRPr="00C56699">
        <w:rPr>
          <w:rFonts w:ascii="Arial" w:hAnsi="Arial" w:cs="Arial"/>
          <w:noProof/>
          <w:szCs w:val="24"/>
        </w:rPr>
        <w:lastRenderedPageBreak/>
        <w:t>expression suggest the existence of another hormonally regulated epithelial stem cell niche? Hum Reprod. Oxford University Press; 2018; 33: 1052–62. doi: 10.1093/humrep/dey083.</w:t>
      </w:r>
    </w:p>
    <w:p w14:paraId="04E65DFB" w14:textId="2B7FEC9E" w:rsidR="009149C7" w:rsidRPr="00C56699" w:rsidRDefault="00B66ADE" w:rsidP="008346A3">
      <w:pPr>
        <w:rPr>
          <w:lang w:val="en-GB"/>
        </w:rPr>
      </w:pPr>
      <w:r w:rsidRPr="00C56699">
        <w:rPr>
          <w:lang w:val="en-GB"/>
        </w:rPr>
        <w:fldChar w:fldCharType="end"/>
      </w:r>
    </w:p>
    <w:p w14:paraId="65A52BA2" w14:textId="6F5DACF2" w:rsidR="008346A3" w:rsidRPr="00C56699" w:rsidRDefault="008346A3" w:rsidP="008346A3">
      <w:pPr>
        <w:rPr>
          <w:lang w:val="en-GB"/>
        </w:rPr>
      </w:pPr>
    </w:p>
    <w:p w14:paraId="77C0B88C" w14:textId="19EBC8D1" w:rsidR="008346A3" w:rsidRPr="00C56699" w:rsidRDefault="008346A3" w:rsidP="008346A3">
      <w:pPr>
        <w:rPr>
          <w:lang w:val="en-GB"/>
        </w:rPr>
      </w:pPr>
    </w:p>
    <w:p w14:paraId="0583A922" w14:textId="55498FCD" w:rsidR="008346A3" w:rsidRPr="00C56699" w:rsidRDefault="008346A3" w:rsidP="008346A3">
      <w:pPr>
        <w:rPr>
          <w:lang w:val="en-GB"/>
        </w:rPr>
      </w:pPr>
    </w:p>
    <w:p w14:paraId="021E80D2" w14:textId="3C42B42A" w:rsidR="008346A3" w:rsidRPr="00C56699" w:rsidRDefault="008346A3" w:rsidP="008346A3">
      <w:pPr>
        <w:rPr>
          <w:lang w:val="en-GB"/>
        </w:rPr>
      </w:pPr>
    </w:p>
    <w:p w14:paraId="6606711E" w14:textId="5C6A5D1E" w:rsidR="008346A3" w:rsidRPr="00C56699" w:rsidRDefault="008346A3" w:rsidP="008346A3">
      <w:pPr>
        <w:rPr>
          <w:lang w:val="en-GB"/>
        </w:rPr>
      </w:pPr>
    </w:p>
    <w:p w14:paraId="77834207" w14:textId="582A58DD" w:rsidR="008346A3" w:rsidRPr="00C56699" w:rsidRDefault="008346A3" w:rsidP="008346A3">
      <w:pPr>
        <w:rPr>
          <w:lang w:val="en-GB"/>
        </w:rPr>
      </w:pPr>
    </w:p>
    <w:p w14:paraId="0720AE6C" w14:textId="46C82274" w:rsidR="008346A3" w:rsidRPr="00C56699" w:rsidRDefault="008346A3" w:rsidP="008346A3">
      <w:pPr>
        <w:rPr>
          <w:lang w:val="en-GB"/>
        </w:rPr>
      </w:pPr>
    </w:p>
    <w:p w14:paraId="06DEA3D8" w14:textId="50A2A0F1" w:rsidR="008346A3" w:rsidRPr="00C56699" w:rsidRDefault="008346A3" w:rsidP="00EC58C3">
      <w:pPr>
        <w:pStyle w:val="Heading1"/>
      </w:pPr>
      <w:r w:rsidRPr="00C56699">
        <w:lastRenderedPageBreak/>
        <w:t>Tables</w:t>
      </w:r>
    </w:p>
    <w:p w14:paraId="37AE8C16" w14:textId="1458410B" w:rsidR="009149C7" w:rsidRPr="00C56699" w:rsidRDefault="005631F0" w:rsidP="003F3640">
      <w:pPr>
        <w:rPr>
          <w:lang w:val="en-GB"/>
        </w:rPr>
      </w:pPr>
      <w:r w:rsidRPr="00C56699">
        <w:rPr>
          <w:lang w:val="en-GB"/>
        </w:rPr>
        <w:object w:dxaOrig="7322" w:dyaOrig="5238" w14:anchorId="14AA0A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pt;height:262.2pt" o:ole="">
            <v:imagedata r:id="rId7" o:title=""/>
          </v:shape>
          <o:OLEObject Type="Embed" ProgID="Excel.Sheet.12" ShapeID="_x0000_i1025" DrawAspect="Content" ObjectID="_1592194668" r:id="rId8"/>
        </w:object>
      </w:r>
    </w:p>
    <w:p w14:paraId="7A1BB2CF" w14:textId="7D4367D5" w:rsidR="00A20B69" w:rsidRPr="00C56699" w:rsidRDefault="00A20B69" w:rsidP="003F3640">
      <w:pPr>
        <w:rPr>
          <w:lang w:val="en-GB"/>
        </w:rPr>
      </w:pPr>
    </w:p>
    <w:p w14:paraId="1DF34BF2" w14:textId="0CBA3241" w:rsidR="00A20B69" w:rsidRPr="00C56699" w:rsidRDefault="00A20B69" w:rsidP="003F3640">
      <w:pPr>
        <w:rPr>
          <w:lang w:val="en-GB"/>
        </w:rPr>
      </w:pPr>
    </w:p>
    <w:bookmarkStart w:id="3" w:name="_MON_1585255079"/>
    <w:bookmarkEnd w:id="3"/>
    <w:p w14:paraId="5E269325" w14:textId="627C5D96" w:rsidR="00A20B69" w:rsidRPr="00C56699" w:rsidRDefault="005631F0" w:rsidP="003F3640">
      <w:pPr>
        <w:rPr>
          <w:lang w:val="en-GB"/>
        </w:rPr>
      </w:pPr>
      <w:r w:rsidRPr="00C56699">
        <w:rPr>
          <w:lang w:val="en-GB"/>
        </w:rPr>
        <w:object w:dxaOrig="8278" w:dyaOrig="9022" w14:anchorId="28B43213">
          <v:shape id="_x0000_i1026" type="#_x0000_t75" style="width:416.4pt;height:450.6pt" o:ole="">
            <v:imagedata r:id="rId9" o:title=""/>
          </v:shape>
          <o:OLEObject Type="Embed" ProgID="Excel.Sheet.12" ShapeID="_x0000_i1026" DrawAspect="Content" ObjectID="_1592194669" r:id="rId10"/>
        </w:object>
      </w:r>
    </w:p>
    <w:p w14:paraId="1881892D" w14:textId="56FC55C3" w:rsidR="00A20B69" w:rsidRPr="00C56699" w:rsidRDefault="00A20B69" w:rsidP="00A20B69">
      <w:pPr>
        <w:rPr>
          <w:lang w:val="en-GB"/>
        </w:rPr>
      </w:pPr>
    </w:p>
    <w:p w14:paraId="2972F5EE" w14:textId="4B430DC7" w:rsidR="00A20B69" w:rsidRPr="00C56699" w:rsidRDefault="00A20B69" w:rsidP="00FF2C3E">
      <w:pPr>
        <w:rPr>
          <w:lang w:val="en-GB"/>
        </w:rPr>
      </w:pPr>
    </w:p>
    <w:p w14:paraId="66746AAD" w14:textId="77777777" w:rsidR="00563E9C" w:rsidRPr="00C56699" w:rsidRDefault="00563E9C" w:rsidP="00FF2C3E">
      <w:pPr>
        <w:rPr>
          <w:lang w:val="en-GB"/>
        </w:rPr>
      </w:pPr>
    </w:p>
    <w:p w14:paraId="2825BC2F" w14:textId="147009D1" w:rsidR="00F11782" w:rsidRPr="00C56699" w:rsidRDefault="00035E3E" w:rsidP="00411DA0">
      <w:pPr>
        <w:pStyle w:val="Heading1"/>
      </w:pPr>
      <w:r w:rsidRPr="00C56699">
        <w:lastRenderedPageBreak/>
        <w:t>Figure</w:t>
      </w:r>
      <w:r w:rsidR="005631F0" w:rsidRPr="00C56699">
        <w:t xml:space="preserve"> and table</w:t>
      </w:r>
      <w:r w:rsidRPr="00C56699">
        <w:t xml:space="preserve"> legends</w:t>
      </w:r>
    </w:p>
    <w:p w14:paraId="3B602B9B" w14:textId="1AEF85F9" w:rsidR="0098612A" w:rsidRPr="00C56699" w:rsidRDefault="00AF3B1D" w:rsidP="00212C3C">
      <w:pPr>
        <w:rPr>
          <w:rFonts w:ascii="Arial" w:hAnsi="Arial"/>
        </w:rPr>
      </w:pPr>
      <w:r w:rsidRPr="00C56699">
        <w:rPr>
          <w:b/>
          <w:bCs/>
        </w:rPr>
        <w:t>Figure 1</w:t>
      </w:r>
      <w:r w:rsidR="000932B8" w:rsidRPr="00C56699">
        <w:rPr>
          <w:b/>
          <w:bCs/>
        </w:rPr>
        <w:t xml:space="preserve"> </w:t>
      </w:r>
      <w:proofErr w:type="gramStart"/>
      <w:r w:rsidR="000932B8" w:rsidRPr="00C56699">
        <w:rPr>
          <w:b/>
          <w:bCs/>
        </w:rPr>
        <w:t>The</w:t>
      </w:r>
      <w:proofErr w:type="gramEnd"/>
      <w:r w:rsidR="000932B8" w:rsidRPr="00C56699">
        <w:rPr>
          <w:b/>
          <w:bCs/>
        </w:rPr>
        <w:t xml:space="preserve"> pattern of AGR2 staining and specificity</w:t>
      </w:r>
      <w:r w:rsidR="00DC2728" w:rsidRPr="00C56699">
        <w:rPr>
          <w:b/>
          <w:bCs/>
        </w:rPr>
        <w:t>.</w:t>
      </w:r>
      <w:r w:rsidRPr="00C56699">
        <w:t xml:space="preserve"> A) The </w:t>
      </w:r>
      <w:r w:rsidRPr="00C56699">
        <w:rPr>
          <w:rFonts w:ascii="Arial" w:hAnsi="Arial"/>
        </w:rPr>
        <w:t>specif</w:t>
      </w:r>
      <w:r w:rsidRPr="00C56699">
        <w:t>i</w:t>
      </w:r>
      <w:r w:rsidR="000932B8" w:rsidRPr="00C56699">
        <w:t>ci</w:t>
      </w:r>
      <w:r w:rsidRPr="00C56699">
        <w:t xml:space="preserve">ty of </w:t>
      </w:r>
      <w:r w:rsidR="0098612A" w:rsidRPr="00C56699">
        <w:t>R</w:t>
      </w:r>
      <w:r w:rsidRPr="00C56699">
        <w:t>abbit polyclonal anti</w:t>
      </w:r>
      <w:r w:rsidR="00BB63B7" w:rsidRPr="00C56699">
        <w:t>-</w:t>
      </w:r>
      <w:r w:rsidRPr="00C56699">
        <w:t xml:space="preserve">human </w:t>
      </w:r>
      <w:r w:rsidR="00BB63B7" w:rsidRPr="00C56699">
        <w:t xml:space="preserve">AGR2 </w:t>
      </w:r>
      <w:r w:rsidRPr="00C56699">
        <w:t>antibody to recombinant AGR2</w:t>
      </w:r>
      <w:r w:rsidR="00BB63B7" w:rsidRPr="00C56699">
        <w:t xml:space="preserve"> (rAGR2) and AGR3 (rAGR3)</w:t>
      </w:r>
      <w:r w:rsidR="006E3A01" w:rsidRPr="00C56699">
        <w:t xml:space="preserve">. </w:t>
      </w:r>
      <w:r w:rsidR="005F26FE" w:rsidRPr="00C56699">
        <w:t xml:space="preserve">10ng </w:t>
      </w:r>
      <w:r w:rsidR="00583D8D" w:rsidRPr="00C56699">
        <w:t xml:space="preserve">of each </w:t>
      </w:r>
      <w:r w:rsidR="005F26FE" w:rsidRPr="00C56699">
        <w:t xml:space="preserve">recombinant protein was loaded per lane. Control, </w:t>
      </w:r>
      <w:r w:rsidR="005F26FE" w:rsidRPr="00C56699">
        <w:rPr>
          <w:rFonts w:ascii="Arial" w:hAnsi="Arial" w:cs="Arial"/>
        </w:rPr>
        <w:t>25</w:t>
      </w:r>
      <w:r w:rsidR="005F26FE" w:rsidRPr="00C56699">
        <w:rPr>
          <w:rFonts w:ascii="Symbol" w:hAnsi="Symbol"/>
        </w:rPr>
        <w:t></w:t>
      </w:r>
      <w:r w:rsidR="005F26FE" w:rsidRPr="00C56699">
        <w:rPr>
          <w:rFonts w:ascii="Arial" w:hAnsi="Arial" w:cs="Arial"/>
        </w:rPr>
        <w:t>g</w:t>
      </w:r>
      <w:r w:rsidR="005F26FE" w:rsidRPr="00C56699">
        <w:t xml:space="preserve"> total protein from a cell lysate from MEF280 cells. </w:t>
      </w:r>
      <w:r w:rsidR="006E3A01" w:rsidRPr="00C56699">
        <w:t>Asterisks denote short (*</w:t>
      </w:r>
      <w:r w:rsidR="005F26FE" w:rsidRPr="00C56699">
        <w:t xml:space="preserve">, </w:t>
      </w:r>
      <w:r w:rsidR="00143C1D" w:rsidRPr="00C56699">
        <w:t>1 min</w:t>
      </w:r>
      <w:r w:rsidR="006E3A01" w:rsidRPr="00C56699">
        <w:t>) and long (**</w:t>
      </w:r>
      <w:r w:rsidR="00143C1D" w:rsidRPr="00C56699">
        <w:t>, 5 mins</w:t>
      </w:r>
      <w:r w:rsidR="006E3A01" w:rsidRPr="00C56699">
        <w:t>) exposures.</w:t>
      </w:r>
      <w:r w:rsidRPr="00C56699">
        <w:t xml:space="preserve"> B) </w:t>
      </w:r>
      <w:r w:rsidR="005F26FE" w:rsidRPr="00C56699">
        <w:t>Ishikawa cells were sub-fractionated as described. Whole c</w:t>
      </w:r>
      <w:r w:rsidR="009C12CE" w:rsidRPr="00C56699">
        <w:t>ell lysate (WCL), cytoplasmic proteins (C), integral membrane and organellular proteins (M) and nuclear a</w:t>
      </w:r>
      <w:r w:rsidR="00FE382E" w:rsidRPr="00C56699">
        <w:t>nd cytoskeletal proteins (N/CS)</w:t>
      </w:r>
      <w:r w:rsidR="006E3A01" w:rsidRPr="00C56699">
        <w:t>.</w:t>
      </w:r>
      <w:r w:rsidR="000932B8" w:rsidRPr="00C56699">
        <w:t xml:space="preserve"> </w:t>
      </w:r>
      <w:r w:rsidR="000A3006" w:rsidRPr="00C56699">
        <w:t>AIF, apoptosis</w:t>
      </w:r>
      <w:r w:rsidR="00583D8D" w:rsidRPr="00C56699">
        <w:t>-</w:t>
      </w:r>
      <w:r w:rsidR="000A3006" w:rsidRPr="00C56699">
        <w:t>inducing factor, is associated with the mitochondria</w:t>
      </w:r>
      <w:r w:rsidR="0060292C" w:rsidRPr="00C56699">
        <w:t>. Subcellular fractionation is representative of three experiments.</w:t>
      </w:r>
      <w:r w:rsidR="000932B8" w:rsidRPr="00C56699">
        <w:t xml:space="preserve"> C) AGR2 immunofluorescence of Ishikawa cells, in both monolayer and 3D </w:t>
      </w:r>
      <w:r w:rsidR="000932B8" w:rsidRPr="00C56699">
        <w:rPr>
          <w:rFonts w:ascii="Arial" w:hAnsi="Arial"/>
        </w:rPr>
        <w:t>cultur</w:t>
      </w:r>
      <w:r w:rsidR="000932B8" w:rsidRPr="00C56699">
        <w:t>e.</w:t>
      </w:r>
      <w:r w:rsidR="006E3A01" w:rsidRPr="00C56699">
        <w:t xml:space="preserve"> </w:t>
      </w:r>
      <w:r w:rsidR="0060292C" w:rsidRPr="00C56699">
        <w:t xml:space="preserve">The bright field image is a representative image of Ishikawa cells </w:t>
      </w:r>
      <w:r w:rsidR="00583D8D" w:rsidRPr="00C56699">
        <w:t>forming a spheroid</w:t>
      </w:r>
      <w:r w:rsidR="0060292C" w:rsidRPr="00C56699">
        <w:t xml:space="preserve"> 3D culture. </w:t>
      </w:r>
      <w:r w:rsidR="006E3A01" w:rsidRPr="00C56699">
        <w:t xml:space="preserve">Scale bar 50 </w:t>
      </w:r>
      <w:proofErr w:type="spellStart"/>
      <w:r w:rsidR="00B946EA" w:rsidRPr="00C56699">
        <w:t>μ</w:t>
      </w:r>
      <w:r w:rsidR="0060292C" w:rsidRPr="00C56699">
        <w:t>m</w:t>
      </w:r>
      <w:proofErr w:type="spellEnd"/>
      <w:r w:rsidR="00C56699">
        <w:t>.</w:t>
      </w:r>
    </w:p>
    <w:p w14:paraId="1B4AEE45" w14:textId="072F14F8" w:rsidR="00A20B69" w:rsidRPr="00C56699" w:rsidRDefault="00035E3E" w:rsidP="00212C3C">
      <w:r w:rsidRPr="00C56699">
        <w:rPr>
          <w:b/>
          <w:bCs/>
        </w:rPr>
        <w:t xml:space="preserve">Figure </w:t>
      </w:r>
      <w:r w:rsidR="00AF3B1D" w:rsidRPr="00C56699">
        <w:rPr>
          <w:b/>
          <w:bCs/>
        </w:rPr>
        <w:t xml:space="preserve">2 </w:t>
      </w:r>
      <w:proofErr w:type="gramStart"/>
      <w:r w:rsidRPr="00C56699">
        <w:rPr>
          <w:b/>
          <w:bCs/>
        </w:rPr>
        <w:t>The</w:t>
      </w:r>
      <w:proofErr w:type="gramEnd"/>
      <w:r w:rsidRPr="00C56699">
        <w:rPr>
          <w:b/>
          <w:bCs/>
        </w:rPr>
        <w:t xml:space="preserve"> immunoexpression of AGR2 in in normal and premalignant and malignant human endometrium.</w:t>
      </w:r>
      <w:r w:rsidRPr="00C56699">
        <w:t xml:space="preserve"> Microphotographs illustrate the expression of AGR2 in</w:t>
      </w:r>
      <w:r w:rsidR="00563E9C" w:rsidRPr="00C56699">
        <w:t xml:space="preserve"> the cytoplasm of </w:t>
      </w:r>
      <w:r w:rsidRPr="00C56699">
        <w:t xml:space="preserve"> normal proliferative phase (a), and postmenopausal endometrium (b); hyperplastic endometrium (c); endometrioid endometrial cancer grade1-3 (d-f), serous (g), clear cell (h) and </w:t>
      </w:r>
      <w:proofErr w:type="spellStart"/>
      <w:r w:rsidRPr="00C56699">
        <w:t>carcinosarcoma</w:t>
      </w:r>
      <w:proofErr w:type="spellEnd"/>
      <w:r w:rsidRPr="00C56699">
        <w:t xml:space="preserve"> (i)</w:t>
      </w:r>
      <w:r w:rsidR="00563E9C" w:rsidRPr="00C56699">
        <w:t xml:space="preserve"> positive stain appear</w:t>
      </w:r>
      <w:r w:rsidR="00212C3C" w:rsidRPr="00C56699">
        <w:t>s</w:t>
      </w:r>
      <w:r w:rsidR="00563E9C" w:rsidRPr="00C56699">
        <w:t xml:space="preserve"> b</w:t>
      </w:r>
      <w:r w:rsidR="0061585B" w:rsidRPr="00C56699">
        <w:t>r</w:t>
      </w:r>
      <w:r w:rsidR="00563E9C" w:rsidRPr="00C56699">
        <w:t>own</w:t>
      </w:r>
      <w:r w:rsidRPr="00C56699">
        <w:t xml:space="preserve">. </w:t>
      </w:r>
      <w:r w:rsidR="00A20B69" w:rsidRPr="00C56699">
        <w:t>(</w:t>
      </w:r>
      <w:proofErr w:type="spellStart"/>
      <w:r w:rsidR="00A20B69" w:rsidRPr="00C56699">
        <w:t>Abcam</w:t>
      </w:r>
      <w:proofErr w:type="spellEnd"/>
      <w:r w:rsidR="00A20B69" w:rsidRPr="00C56699">
        <w:t xml:space="preserve"> </w:t>
      </w:r>
      <w:proofErr w:type="spellStart"/>
      <w:r w:rsidR="00A20B69" w:rsidRPr="00C56699">
        <w:rPr>
          <w:lang w:val="en-GB"/>
        </w:rPr>
        <w:t>Catalog</w:t>
      </w:r>
      <w:proofErr w:type="spellEnd"/>
      <w:r w:rsidR="00A20B69" w:rsidRPr="00C56699">
        <w:rPr>
          <w:lang w:val="en-GB"/>
        </w:rPr>
        <w:t># 2574-1</w:t>
      </w:r>
      <w:r w:rsidR="00A20B69" w:rsidRPr="00C56699">
        <w:t xml:space="preserve">, rabbit monoclonal, 1:1500, magnification </w:t>
      </w:r>
      <w:r w:rsidRPr="00C56699">
        <w:t>x400</w:t>
      </w:r>
      <w:r w:rsidR="00A20B69" w:rsidRPr="00C56699">
        <w:t>)</w:t>
      </w:r>
      <w:r w:rsidRPr="00C56699">
        <w:t>. Immunoscores of AGR2 in B) Proliferative phase functionalis vs basalis layers</w:t>
      </w:r>
      <w:r w:rsidR="003F3640" w:rsidRPr="00C56699">
        <w:t xml:space="preserve"> (n=12)</w:t>
      </w:r>
      <w:r w:rsidRPr="00C56699">
        <w:t>. C) Proliferative phase layers vs postmenopausal endometrium, PM</w:t>
      </w:r>
      <w:r w:rsidR="003F3640" w:rsidRPr="00C56699">
        <w:t xml:space="preserve"> (n=15)</w:t>
      </w:r>
      <w:r w:rsidRPr="00C56699">
        <w:t>. D) PM; endometrial hyperplasia with cytological atypia, EHA</w:t>
      </w:r>
      <w:r w:rsidR="003F3640" w:rsidRPr="00C56699">
        <w:t xml:space="preserve"> (n=11)</w:t>
      </w:r>
      <w:r w:rsidRPr="00C56699">
        <w:t xml:space="preserve">; </w:t>
      </w:r>
      <w:proofErr w:type="spellStart"/>
      <w:r w:rsidR="00583D8D" w:rsidRPr="00C56699">
        <w:t>histopathologically</w:t>
      </w:r>
      <w:proofErr w:type="spellEnd"/>
      <w:r w:rsidR="00583D8D" w:rsidRPr="00C56699">
        <w:t xml:space="preserve"> classified </w:t>
      </w:r>
      <w:r w:rsidRPr="00C56699">
        <w:t xml:space="preserve">low grade cancer, </w:t>
      </w:r>
      <w:r w:rsidR="003F3640" w:rsidRPr="00C56699">
        <w:t>LGEC (n=50)</w:t>
      </w:r>
      <w:r w:rsidRPr="00C56699">
        <w:t xml:space="preserve">; high grade cancer, </w:t>
      </w:r>
      <w:r w:rsidR="003F3640" w:rsidRPr="00C56699">
        <w:t>HGEC (n=50)</w:t>
      </w:r>
      <w:r w:rsidRPr="00C56699">
        <w:t xml:space="preserve">. </w:t>
      </w:r>
      <w:r w:rsidR="009E7071" w:rsidRPr="00C56699">
        <w:t>E</w:t>
      </w:r>
      <w:r w:rsidRPr="00C56699">
        <w:t xml:space="preserve">) </w:t>
      </w:r>
      <w:r w:rsidR="00342827" w:rsidRPr="00C56699">
        <w:t>Early</w:t>
      </w:r>
      <w:r w:rsidRPr="00C56699">
        <w:t xml:space="preserve"> </w:t>
      </w:r>
      <w:r w:rsidR="00583D8D" w:rsidRPr="00C56699">
        <w:t xml:space="preserve">clinical </w:t>
      </w:r>
      <w:r w:rsidRPr="00C56699">
        <w:t>stages I and II</w:t>
      </w:r>
      <w:r w:rsidR="003F3640" w:rsidRPr="00C56699">
        <w:t xml:space="preserve"> (n=60)</w:t>
      </w:r>
      <w:r w:rsidRPr="00C56699">
        <w:t xml:space="preserve"> vs advance </w:t>
      </w:r>
      <w:r w:rsidR="00583D8D" w:rsidRPr="00C56699">
        <w:t xml:space="preserve">clinical </w:t>
      </w:r>
      <w:r w:rsidRPr="00C56699">
        <w:t>stages III and IV</w:t>
      </w:r>
      <w:r w:rsidR="003F3640" w:rsidRPr="00C56699">
        <w:t xml:space="preserve"> (n=36)</w:t>
      </w:r>
      <w:r w:rsidRPr="00C56699">
        <w:t>.</w:t>
      </w:r>
    </w:p>
    <w:p w14:paraId="6E5E5D0D" w14:textId="120EAF85" w:rsidR="00AB5AB4" w:rsidRPr="00C56699" w:rsidRDefault="00AB5AB4" w:rsidP="00A20B69">
      <w:r w:rsidRPr="00C56699">
        <w:rPr>
          <w:b/>
          <w:bCs/>
        </w:rPr>
        <w:t>Figure 3</w:t>
      </w:r>
      <w:r w:rsidRPr="00C56699">
        <w:t xml:space="preserve"> </w:t>
      </w:r>
      <w:r w:rsidRPr="00C56699">
        <w:rPr>
          <w:bCs/>
        </w:rPr>
        <w:t xml:space="preserve">Average </w:t>
      </w:r>
      <w:r w:rsidRPr="00C56699">
        <w:rPr>
          <w:bCs/>
          <w:i/>
          <w:iCs/>
        </w:rPr>
        <w:t>AGR2</w:t>
      </w:r>
      <w:r w:rsidRPr="00C56699">
        <w:rPr>
          <w:bCs/>
        </w:rPr>
        <w:t xml:space="preserve"> mRNA level in human endometrial samples relative to the geometric mean of WYHAZ and PPIA; PM, postmenopausal; LGEC, low grade; HGEC, high grade endometrial cancer</w:t>
      </w:r>
      <w:r w:rsidRPr="00C56699">
        <w:t>.</w:t>
      </w:r>
    </w:p>
    <w:p w14:paraId="297C65A6" w14:textId="77777777" w:rsidR="005631F0" w:rsidRPr="00C56699" w:rsidRDefault="005631F0" w:rsidP="00A20B69"/>
    <w:p w14:paraId="5A017796" w14:textId="34B7707D" w:rsidR="005631F0" w:rsidRPr="00C56699" w:rsidRDefault="00A20B69" w:rsidP="00FF2C3E">
      <w:r w:rsidRPr="00C56699">
        <w:rPr>
          <w:b/>
          <w:bCs/>
          <w:lang w:val="en-GB"/>
        </w:rPr>
        <w:t xml:space="preserve">Figure </w:t>
      </w:r>
      <w:r w:rsidR="00AB5AB4" w:rsidRPr="00C56699">
        <w:rPr>
          <w:b/>
          <w:bCs/>
          <w:lang w:val="en-GB"/>
        </w:rPr>
        <w:t xml:space="preserve">4 </w:t>
      </w:r>
      <w:proofErr w:type="gramStart"/>
      <w:r w:rsidRPr="00C56699">
        <w:rPr>
          <w:b/>
          <w:bCs/>
          <w:lang w:val="en-GB"/>
        </w:rPr>
        <w:t>The</w:t>
      </w:r>
      <w:proofErr w:type="gramEnd"/>
      <w:r w:rsidRPr="00C56699">
        <w:rPr>
          <w:b/>
          <w:bCs/>
          <w:lang w:val="en-GB"/>
        </w:rPr>
        <w:t xml:space="preserve"> expression of AGR2 in metastatic lesions. </w:t>
      </w:r>
      <w:r w:rsidRPr="00C56699">
        <w:rPr>
          <w:lang w:val="en-GB"/>
        </w:rPr>
        <w:t xml:space="preserve">(A) </w:t>
      </w:r>
      <w:proofErr w:type="gramStart"/>
      <w:r w:rsidRPr="00C56699">
        <w:rPr>
          <w:lang w:val="en-GB"/>
        </w:rPr>
        <w:t>photomicrographs</w:t>
      </w:r>
      <w:proofErr w:type="gramEnd"/>
      <w:r w:rsidRPr="00C56699">
        <w:rPr>
          <w:lang w:val="en-GB"/>
        </w:rPr>
        <w:t xml:space="preserve"> showing the immunoexpression of AGR2 in HGEC primary endometrial cancer and matched metastatic lesion (x400 magnification). (B) Immunoscores of AGR2 in primary tumours vs matched metastases.</w:t>
      </w:r>
    </w:p>
    <w:p w14:paraId="04C04A61" w14:textId="77777777" w:rsidR="00AF3B1D" w:rsidRPr="00C56699" w:rsidRDefault="00AF3B1D" w:rsidP="00AF3B1D"/>
    <w:p w14:paraId="2AC05779" w14:textId="0548123D" w:rsidR="00035E3E" w:rsidRPr="00C56699" w:rsidRDefault="00035E3E" w:rsidP="003F3640">
      <w:r w:rsidRPr="00C56699">
        <w:rPr>
          <w:b/>
          <w:bCs/>
        </w:rPr>
        <w:t xml:space="preserve">Figure </w:t>
      </w:r>
      <w:r w:rsidR="00AB5AB4" w:rsidRPr="00C56699">
        <w:rPr>
          <w:b/>
          <w:bCs/>
        </w:rPr>
        <w:t xml:space="preserve">5 </w:t>
      </w:r>
      <w:r w:rsidRPr="00C56699">
        <w:rPr>
          <w:b/>
          <w:bCs/>
        </w:rPr>
        <w:t>Kaplan-Meier survival curves for the correlation between the immunoexpression of AGR2 and overall survival.</w:t>
      </w:r>
      <w:r w:rsidRPr="00C56699">
        <w:t xml:space="preserve"> </w:t>
      </w:r>
      <w:r w:rsidR="003F3640" w:rsidRPr="00C56699">
        <w:t>A</w:t>
      </w:r>
      <w:r w:rsidRPr="00C56699">
        <w:t xml:space="preserve">) </w:t>
      </w:r>
      <w:proofErr w:type="gramStart"/>
      <w:r w:rsidRPr="00C56699">
        <w:t>in</w:t>
      </w:r>
      <w:proofErr w:type="gramEnd"/>
      <w:r w:rsidRPr="00C56699">
        <w:t xml:space="preserve"> endometrial cancer cohort; </w:t>
      </w:r>
      <w:r w:rsidR="003F3640" w:rsidRPr="00C56699">
        <w:t>B</w:t>
      </w:r>
      <w:r w:rsidRPr="00C56699">
        <w:t xml:space="preserve">) in a subset of the cohort with </w:t>
      </w:r>
      <w:r w:rsidR="00CE6714" w:rsidRPr="00C56699">
        <w:t>oestrogen receptor (</w:t>
      </w:r>
      <w:r w:rsidRPr="00C56699">
        <w:t>ER</w:t>
      </w:r>
      <w:r w:rsidR="00CE6714" w:rsidRPr="00C56699">
        <w:t>)</w:t>
      </w:r>
      <w:r w:rsidRPr="00C56699">
        <w:t xml:space="preserve"> immunoscores &gt;6.  </w:t>
      </w:r>
    </w:p>
    <w:p w14:paraId="2FE879BA" w14:textId="77777777" w:rsidR="00035E3E" w:rsidRPr="00C56699" w:rsidRDefault="00035E3E" w:rsidP="003716DE">
      <w:pPr>
        <w:rPr>
          <w:rFonts w:ascii="Arial" w:hAnsi="Arial" w:cs="Arial"/>
          <w:lang w:val="en-GB"/>
        </w:rPr>
      </w:pPr>
    </w:p>
    <w:p w14:paraId="5601FEE9" w14:textId="64AB425B" w:rsidR="00035E3E" w:rsidRPr="00C56699" w:rsidRDefault="00035E3E" w:rsidP="004353EA">
      <w:r w:rsidRPr="00C56699">
        <w:rPr>
          <w:b/>
          <w:bCs/>
        </w:rPr>
        <w:t xml:space="preserve">Figure </w:t>
      </w:r>
      <w:r w:rsidR="00AB5AB4" w:rsidRPr="00C56699">
        <w:rPr>
          <w:b/>
          <w:bCs/>
        </w:rPr>
        <w:t xml:space="preserve">6 </w:t>
      </w:r>
      <w:proofErr w:type="gramStart"/>
      <w:r w:rsidRPr="00C56699">
        <w:rPr>
          <w:b/>
          <w:bCs/>
        </w:rPr>
        <w:t>The</w:t>
      </w:r>
      <w:proofErr w:type="gramEnd"/>
      <w:r w:rsidRPr="00C56699">
        <w:rPr>
          <w:b/>
          <w:bCs/>
        </w:rPr>
        <w:t xml:space="preserve"> expression of </w:t>
      </w:r>
      <w:r w:rsidRPr="00C56699">
        <w:rPr>
          <w:b/>
          <w:bCs/>
          <w:i/>
          <w:iCs/>
        </w:rPr>
        <w:t>AGR2</w:t>
      </w:r>
      <w:r w:rsidRPr="00C56699">
        <w:rPr>
          <w:b/>
          <w:bCs/>
        </w:rPr>
        <w:t xml:space="preserve"> mRNA level using RT-qPCR.</w:t>
      </w:r>
      <w:r w:rsidRPr="00C56699">
        <w:t xml:space="preserve"> </w:t>
      </w:r>
      <w:r w:rsidR="003F3640" w:rsidRPr="00C56699">
        <w:t>A</w:t>
      </w:r>
      <w:r w:rsidRPr="00C56699">
        <w:t xml:space="preserve">) </w:t>
      </w:r>
      <w:r w:rsidR="004353EA" w:rsidRPr="00C56699">
        <w:t>The bar graph represents the r</w:t>
      </w:r>
      <w:r w:rsidR="00663AB8" w:rsidRPr="00C56699">
        <w:t xml:space="preserve">elative mRNA levels </w:t>
      </w:r>
      <w:r w:rsidR="008E0794" w:rsidRPr="00C56699">
        <w:t xml:space="preserve">for </w:t>
      </w:r>
      <w:r w:rsidR="004353EA" w:rsidRPr="00C56699">
        <w:rPr>
          <w:i/>
        </w:rPr>
        <w:t>AGR2</w:t>
      </w:r>
      <w:r w:rsidR="00663AB8" w:rsidRPr="00C56699">
        <w:t xml:space="preserve"> </w:t>
      </w:r>
      <w:r w:rsidRPr="00C56699">
        <w:t xml:space="preserve">in four different </w:t>
      </w:r>
      <w:r w:rsidR="00663AB8" w:rsidRPr="00C56699">
        <w:t xml:space="preserve">endometrial cancer </w:t>
      </w:r>
      <w:r w:rsidRPr="00C56699">
        <w:t>cell lines</w:t>
      </w:r>
      <w:r w:rsidR="00AB5AB4" w:rsidRPr="00C56699">
        <w:t xml:space="preserve"> </w:t>
      </w:r>
      <w:r w:rsidR="008E0794" w:rsidRPr="00C56699">
        <w:t xml:space="preserve">and </w:t>
      </w:r>
      <w:r w:rsidR="004353EA" w:rsidRPr="00C56699">
        <w:t>the</w:t>
      </w:r>
      <w:r w:rsidR="00AB5AB4" w:rsidRPr="00C56699">
        <w:t xml:space="preserve"> </w:t>
      </w:r>
      <w:r w:rsidR="004353EA" w:rsidRPr="00C56699">
        <w:t xml:space="preserve">plus </w:t>
      </w:r>
      <w:r w:rsidR="00AB5AB4" w:rsidRPr="00C56699">
        <w:t xml:space="preserve">score </w:t>
      </w:r>
      <w:r w:rsidR="008E0794" w:rsidRPr="00C56699">
        <w:t>underneath</w:t>
      </w:r>
      <w:r w:rsidR="004353EA" w:rsidRPr="00C56699">
        <w:t xml:space="preserve"> represents the expression of steroid receptors mRNA</w:t>
      </w:r>
      <w:r w:rsidR="00AB5AB4" w:rsidRPr="00C56699">
        <w:t xml:space="preserve"> for the corresponding cell line</w:t>
      </w:r>
      <w:r w:rsidRPr="00C56699">
        <w:t xml:space="preserve">; </w:t>
      </w:r>
      <w:r w:rsidR="003F3640" w:rsidRPr="00C56699">
        <w:t>B</w:t>
      </w:r>
      <w:r w:rsidRPr="00C56699">
        <w:t xml:space="preserve">) </w:t>
      </w:r>
      <w:r w:rsidR="00CE6714" w:rsidRPr="00C56699">
        <w:rPr>
          <w:i/>
          <w:iCs/>
        </w:rPr>
        <w:t>AGR2</w:t>
      </w:r>
      <w:r w:rsidR="00CE6714" w:rsidRPr="00C56699">
        <w:t xml:space="preserve"> mRNA</w:t>
      </w:r>
      <w:r w:rsidR="00CE6714" w:rsidRPr="00C56699">
        <w:rPr>
          <w:b/>
          <w:bCs/>
        </w:rPr>
        <w:t xml:space="preserve"> </w:t>
      </w:r>
      <w:r w:rsidRPr="00C56699">
        <w:t>in Ish</w:t>
      </w:r>
      <w:r w:rsidR="00342827" w:rsidRPr="00C56699">
        <w:t>i</w:t>
      </w:r>
      <w:r w:rsidRPr="00C56699">
        <w:t xml:space="preserve">kawa cell after 24h treatment with </w:t>
      </w:r>
      <w:r w:rsidR="005B3D6F" w:rsidRPr="00C56699">
        <w:t xml:space="preserve">1 x </w:t>
      </w:r>
      <w:r w:rsidRPr="00C56699">
        <w:t>10</w:t>
      </w:r>
      <w:r w:rsidRPr="00C56699">
        <w:rPr>
          <w:vertAlign w:val="superscript"/>
        </w:rPr>
        <w:t>-8</w:t>
      </w:r>
      <w:r w:rsidR="005B3D6F" w:rsidRPr="00C56699">
        <w:t xml:space="preserve"> M</w:t>
      </w:r>
      <w:r w:rsidRPr="00C56699">
        <w:t xml:space="preserve"> </w:t>
      </w:r>
      <w:r w:rsidR="005B3D6F" w:rsidRPr="00C56699">
        <w:t>estradiol (E2)</w:t>
      </w:r>
      <w:r w:rsidRPr="00C56699">
        <w:t xml:space="preserve"> or </w:t>
      </w:r>
      <w:r w:rsidR="005B3D6F" w:rsidRPr="00C56699">
        <w:t>1 x 10</w:t>
      </w:r>
      <w:r w:rsidR="005B3D6F" w:rsidRPr="00C56699">
        <w:rPr>
          <w:vertAlign w:val="superscript"/>
        </w:rPr>
        <w:t>-6</w:t>
      </w:r>
      <w:r w:rsidR="005B3D6F" w:rsidRPr="00C56699">
        <w:t xml:space="preserve"> M</w:t>
      </w:r>
      <w:r w:rsidRPr="00C56699">
        <w:t xml:space="preserve"> dihydrotestosterone (DHT)</w:t>
      </w:r>
      <w:r w:rsidR="008D384C" w:rsidRPr="00C56699">
        <w:t xml:space="preserve"> </w:t>
      </w:r>
      <w:r w:rsidRPr="00C56699">
        <w:t xml:space="preserve">; </w:t>
      </w:r>
      <w:r w:rsidR="003F3640" w:rsidRPr="00C56699">
        <w:t>C</w:t>
      </w:r>
      <w:r w:rsidRPr="00C56699">
        <w:t xml:space="preserve">) in Ishikawa cells co-cultured with </w:t>
      </w:r>
      <w:proofErr w:type="spellStart"/>
      <w:r w:rsidRPr="00C56699">
        <w:t>hESC</w:t>
      </w:r>
      <w:proofErr w:type="spellEnd"/>
      <w:r w:rsidRPr="00C56699">
        <w:t xml:space="preserve"> treated with E2</w:t>
      </w:r>
      <w:r w:rsidR="008D384C" w:rsidRPr="00C56699">
        <w:t xml:space="preserve"> </w:t>
      </w:r>
      <w:r w:rsidRPr="00C56699">
        <w:t xml:space="preserve"> and DHT; </w:t>
      </w:r>
      <w:r w:rsidR="003F3640" w:rsidRPr="00C56699">
        <w:t>D</w:t>
      </w:r>
      <w:r w:rsidRPr="00C56699">
        <w:t xml:space="preserve">) in Ishikawa cells co-cultured with </w:t>
      </w:r>
      <w:proofErr w:type="spellStart"/>
      <w:r w:rsidRPr="00C56699">
        <w:t>hESC</w:t>
      </w:r>
      <w:proofErr w:type="spellEnd"/>
      <w:r w:rsidRPr="00C56699">
        <w:t xml:space="preserve"> 24h treatment with DHT with and without pre-blocking with </w:t>
      </w:r>
      <w:proofErr w:type="spellStart"/>
      <w:r w:rsidRPr="00C56699">
        <w:t>casodex</w:t>
      </w:r>
      <w:proofErr w:type="spellEnd"/>
      <w:r w:rsidRPr="00C56699">
        <w:t xml:space="preserve"> (CDX).</w:t>
      </w:r>
      <w:r w:rsidR="008D384C" w:rsidRPr="00C56699">
        <w:t xml:space="preserve"> N=6 for each experiment.</w:t>
      </w:r>
      <w:r w:rsidRPr="00C56699">
        <w:t xml:space="preserve"> </w:t>
      </w:r>
    </w:p>
    <w:p w14:paraId="54458A48" w14:textId="77777777" w:rsidR="00AB5AB4" w:rsidRPr="00C56699" w:rsidRDefault="00AB5AB4" w:rsidP="003F3640"/>
    <w:p w14:paraId="229AD400" w14:textId="585B8DCD" w:rsidR="005631F0" w:rsidRPr="00C56699" w:rsidRDefault="005631F0" w:rsidP="003F3640">
      <w:pPr>
        <w:rPr>
          <w:b/>
          <w:bCs/>
        </w:rPr>
      </w:pPr>
      <w:r w:rsidRPr="00C56699">
        <w:rPr>
          <w:b/>
          <w:bCs/>
        </w:rPr>
        <w:t>Table 1 Study groups and demographics</w:t>
      </w:r>
    </w:p>
    <w:p w14:paraId="255C7882" w14:textId="5E61D7B6" w:rsidR="008E0794" w:rsidRPr="00C56699" w:rsidRDefault="005631F0" w:rsidP="003716DE">
      <w:pPr>
        <w:rPr>
          <w:rFonts w:ascii="Arial" w:hAnsi="Arial" w:cs="Arial"/>
          <w:b/>
          <w:lang w:val="en-GB"/>
        </w:rPr>
      </w:pPr>
      <w:r w:rsidRPr="00C56699">
        <w:rPr>
          <w:b/>
          <w:bCs/>
          <w:lang w:val="en-GB"/>
        </w:rPr>
        <w:t xml:space="preserve">Table 2 </w:t>
      </w:r>
      <w:proofErr w:type="gramStart"/>
      <w:r w:rsidRPr="00C56699">
        <w:rPr>
          <w:b/>
          <w:bCs/>
          <w:lang w:val="en-GB"/>
        </w:rPr>
        <w:t>The</w:t>
      </w:r>
      <w:proofErr w:type="gramEnd"/>
      <w:r w:rsidRPr="00C56699">
        <w:rPr>
          <w:b/>
          <w:bCs/>
          <w:lang w:val="en-GB"/>
        </w:rPr>
        <w:t xml:space="preserve"> association of AGR2 expression with the clinicopathol</w:t>
      </w:r>
      <w:r w:rsidR="00CE6714" w:rsidRPr="00C56699">
        <w:rPr>
          <w:b/>
          <w:bCs/>
          <w:lang w:val="en-GB"/>
        </w:rPr>
        <w:t>o</w:t>
      </w:r>
      <w:r w:rsidRPr="00C56699">
        <w:rPr>
          <w:b/>
          <w:bCs/>
          <w:lang w:val="en-GB"/>
        </w:rPr>
        <w:t>gical parameters in endometrial cancer.</w:t>
      </w:r>
    </w:p>
    <w:p w14:paraId="1617F82B" w14:textId="1E103D12" w:rsidR="00035E3E" w:rsidRPr="00C56699" w:rsidRDefault="00035E3E" w:rsidP="003716DE">
      <w:pPr>
        <w:rPr>
          <w:rFonts w:ascii="Arial" w:hAnsi="Arial" w:cs="Arial"/>
          <w:b/>
          <w:lang w:val="en-GB"/>
        </w:rPr>
      </w:pPr>
      <w:r w:rsidRPr="00C56699">
        <w:rPr>
          <w:rFonts w:ascii="Arial" w:hAnsi="Arial" w:cs="Arial"/>
          <w:b/>
          <w:lang w:val="en-GB"/>
        </w:rPr>
        <w:t xml:space="preserve">Supplementary </w:t>
      </w:r>
      <w:r w:rsidR="00583D8D" w:rsidRPr="00C56699">
        <w:rPr>
          <w:rFonts w:ascii="Arial" w:hAnsi="Arial" w:cs="Arial"/>
          <w:b/>
          <w:lang w:val="en-GB"/>
        </w:rPr>
        <w:t>F</w:t>
      </w:r>
      <w:r w:rsidRPr="00C56699">
        <w:rPr>
          <w:rFonts w:ascii="Arial" w:hAnsi="Arial" w:cs="Arial"/>
          <w:b/>
          <w:lang w:val="en-GB"/>
        </w:rPr>
        <w:t xml:space="preserve">igure </w:t>
      </w:r>
      <w:r w:rsidR="00583D8D" w:rsidRPr="00C56699">
        <w:rPr>
          <w:rFonts w:ascii="Arial" w:hAnsi="Arial" w:cs="Arial"/>
          <w:b/>
          <w:lang w:val="en-GB"/>
        </w:rPr>
        <w:t>L</w:t>
      </w:r>
      <w:r w:rsidRPr="00C56699">
        <w:rPr>
          <w:rFonts w:ascii="Arial" w:hAnsi="Arial" w:cs="Arial"/>
          <w:b/>
          <w:lang w:val="en-GB"/>
        </w:rPr>
        <w:t>egends</w:t>
      </w:r>
    </w:p>
    <w:p w14:paraId="3D79E221" w14:textId="2986E32D" w:rsidR="00035E3E" w:rsidRPr="00C56699" w:rsidRDefault="00035E3E" w:rsidP="003F3640">
      <w:r w:rsidRPr="00C56699">
        <w:rPr>
          <w:b/>
          <w:bCs/>
        </w:rPr>
        <w:lastRenderedPageBreak/>
        <w:t xml:space="preserve">Supplementary Figure 1 </w:t>
      </w:r>
      <w:r w:rsidRPr="00C56699">
        <w:t>(</w:t>
      </w:r>
      <w:r w:rsidR="00AB5AB4" w:rsidRPr="00C56699">
        <w:t>A</w:t>
      </w:r>
      <w:r w:rsidRPr="00C56699">
        <w:t xml:space="preserve">) Kaplan Meier curve with different AGR2 </w:t>
      </w:r>
      <w:r w:rsidR="00583D8D" w:rsidRPr="00C56699">
        <w:t xml:space="preserve">immunostaining </w:t>
      </w:r>
      <w:proofErr w:type="spellStart"/>
      <w:r w:rsidR="00583D8D" w:rsidRPr="00C56699">
        <w:t>quickscore</w:t>
      </w:r>
      <w:proofErr w:type="spellEnd"/>
      <w:r w:rsidR="00583D8D" w:rsidRPr="00C56699">
        <w:t xml:space="preserve"> </w:t>
      </w:r>
      <w:r w:rsidRPr="00C56699">
        <w:t>cut off points; (</w:t>
      </w:r>
      <w:r w:rsidR="00AB5AB4" w:rsidRPr="00C56699">
        <w:t>B</w:t>
      </w:r>
      <w:r w:rsidRPr="00C56699">
        <w:t xml:space="preserve">) </w:t>
      </w:r>
      <w:r w:rsidRPr="00C56699">
        <w:rPr>
          <w:i/>
        </w:rPr>
        <w:t>AGR2</w:t>
      </w:r>
      <w:r w:rsidR="008E0794" w:rsidRPr="00C56699">
        <w:t xml:space="preserve"> </w:t>
      </w:r>
      <w:r w:rsidRPr="00C56699">
        <w:t xml:space="preserve">mRNA level </w:t>
      </w:r>
      <w:r w:rsidR="00583D8D" w:rsidRPr="00C56699">
        <w:t xml:space="preserve">after treatment with </w:t>
      </w:r>
      <w:r w:rsidR="00583D8D" w:rsidRPr="00C56699">
        <w:rPr>
          <w:lang w:val="en-GB"/>
        </w:rPr>
        <w:t xml:space="preserve">1μM 5α-dihydrotestosterone (DHT; </w:t>
      </w:r>
      <w:r w:rsidR="00583D8D" w:rsidRPr="00C56699">
        <w:t>D-073-1ML</w:t>
      </w:r>
      <w:r w:rsidR="00583D8D" w:rsidRPr="00C56699">
        <w:rPr>
          <w:lang w:val="en-GB"/>
        </w:rPr>
        <w:t xml:space="preserve">) </w:t>
      </w:r>
      <w:r w:rsidRPr="00C56699">
        <w:t>at different time points.</w:t>
      </w:r>
    </w:p>
    <w:p w14:paraId="5A329A09" w14:textId="77777777" w:rsidR="00035E3E" w:rsidRPr="00C56699" w:rsidRDefault="00035E3E" w:rsidP="00035E3E">
      <w:pPr>
        <w:widowControl w:val="0"/>
        <w:autoSpaceDE w:val="0"/>
        <w:autoSpaceDN w:val="0"/>
        <w:adjustRightInd w:val="0"/>
        <w:spacing w:after="0" w:line="380" w:lineRule="atLeast"/>
        <w:jc w:val="left"/>
        <w:rPr>
          <w:rFonts w:ascii="Arial" w:hAnsi="Arial" w:cs="Arial"/>
        </w:rPr>
      </w:pPr>
    </w:p>
    <w:p w14:paraId="62B14C82" w14:textId="3D520ECE" w:rsidR="00035E3E" w:rsidRPr="00C56699" w:rsidRDefault="00035E3E" w:rsidP="00C56699">
      <w:pPr>
        <w:widowControl w:val="0"/>
        <w:autoSpaceDE w:val="0"/>
        <w:autoSpaceDN w:val="0"/>
        <w:adjustRightInd w:val="0"/>
        <w:spacing w:after="0"/>
        <w:jc w:val="left"/>
        <w:rPr>
          <w:lang w:val="en-GB"/>
        </w:rPr>
      </w:pPr>
      <w:r w:rsidRPr="00C56699">
        <w:rPr>
          <w:rFonts w:ascii="Arial" w:hAnsi="Arial" w:cs="Arial"/>
          <w:b/>
          <w:bCs/>
        </w:rPr>
        <w:t>Supplementary Figure 2</w:t>
      </w:r>
      <w:r w:rsidRPr="00C56699">
        <w:rPr>
          <w:rFonts w:ascii="Arial" w:hAnsi="Arial" w:cs="Arial"/>
        </w:rPr>
        <w:t xml:space="preserve">. </w:t>
      </w:r>
      <w:r w:rsidR="00315404" w:rsidRPr="00C56699">
        <w:rPr>
          <w:rFonts w:ascii="Arial" w:hAnsi="Arial" w:cs="Arial"/>
          <w:b/>
          <w:bCs/>
        </w:rPr>
        <w:t>Validations from</w:t>
      </w:r>
      <w:r w:rsidRPr="00C56699">
        <w:rPr>
          <w:rFonts w:ascii="Arial" w:hAnsi="Arial" w:cs="Arial"/>
          <w:b/>
          <w:bCs/>
        </w:rPr>
        <w:t xml:space="preserve"> TCGA </w:t>
      </w:r>
      <w:r w:rsidR="00A94A7B" w:rsidRPr="00C56699">
        <w:rPr>
          <w:rFonts w:ascii="Arial" w:hAnsi="Arial" w:cs="Arial"/>
          <w:b/>
          <w:bCs/>
          <w:lang w:val="en-GB"/>
        </w:rPr>
        <w:t>Uterine</w:t>
      </w:r>
      <w:r w:rsidR="00583D8D" w:rsidRPr="00C56699">
        <w:rPr>
          <w:rFonts w:ascii="Arial" w:hAnsi="Arial" w:cs="Arial"/>
          <w:b/>
          <w:bCs/>
          <w:lang w:val="en-GB"/>
        </w:rPr>
        <w:t xml:space="preserve"> cancer cohort</w:t>
      </w:r>
      <w:r w:rsidR="00583D8D" w:rsidRPr="00C56699">
        <w:rPr>
          <w:rFonts w:ascii="Arial" w:hAnsi="Arial" w:cs="Arial"/>
          <w:b/>
          <w:bCs/>
        </w:rPr>
        <w:t xml:space="preserve"> </w:t>
      </w:r>
      <w:r w:rsidRPr="00C56699">
        <w:rPr>
          <w:rFonts w:ascii="Arial" w:hAnsi="Arial" w:cs="Arial"/>
          <w:b/>
          <w:bCs/>
        </w:rPr>
        <w:t>data</w:t>
      </w:r>
      <w:r w:rsidRPr="00C56699">
        <w:rPr>
          <w:rFonts w:ascii="Arial" w:hAnsi="Arial" w:cs="Arial"/>
        </w:rPr>
        <w:t xml:space="preserve">. </w:t>
      </w:r>
      <w:r w:rsidR="00315404" w:rsidRPr="00C56699">
        <w:rPr>
          <w:rFonts w:ascii="Arial" w:hAnsi="Arial" w:cs="Arial"/>
        </w:rPr>
        <w:t xml:space="preserve">A) The expression of </w:t>
      </w:r>
      <w:r w:rsidR="00315404" w:rsidRPr="00C56699">
        <w:rPr>
          <w:rFonts w:ascii="Arial" w:hAnsi="Arial" w:cs="Arial"/>
          <w:i/>
        </w:rPr>
        <w:t>AGR2</w:t>
      </w:r>
      <w:r w:rsidR="00315404" w:rsidRPr="00C56699">
        <w:rPr>
          <w:rFonts w:ascii="Arial" w:hAnsi="Arial" w:cs="Arial"/>
        </w:rPr>
        <w:t xml:space="preserve"> gene</w:t>
      </w:r>
      <w:r w:rsidR="00583D8D" w:rsidRPr="00C56699">
        <w:rPr>
          <w:rFonts w:ascii="Arial" w:hAnsi="Arial" w:cs="Arial"/>
        </w:rPr>
        <w:t xml:space="preserve"> in Group A=endometrioid EC Group B= Serous EC</w:t>
      </w:r>
      <w:r w:rsidR="00315404" w:rsidRPr="00C56699">
        <w:rPr>
          <w:rFonts w:ascii="Arial" w:hAnsi="Arial" w:cs="Arial"/>
        </w:rPr>
        <w:t xml:space="preserve">. </w:t>
      </w:r>
      <w:proofErr w:type="gramStart"/>
      <w:r w:rsidR="00315404" w:rsidRPr="00C56699">
        <w:rPr>
          <w:rFonts w:ascii="Arial" w:hAnsi="Arial" w:cs="Arial"/>
        </w:rPr>
        <w:t>B)</w:t>
      </w:r>
      <w:r w:rsidR="00315404" w:rsidRPr="00C56699">
        <w:rPr>
          <w:lang w:val="en-GB"/>
        </w:rPr>
        <w:t>Kaplan</w:t>
      </w:r>
      <w:proofErr w:type="gramEnd"/>
      <w:r w:rsidR="00315404" w:rsidRPr="00C56699">
        <w:rPr>
          <w:lang w:val="en-GB"/>
        </w:rPr>
        <w:t xml:space="preserve">-Meier survival curves for the correlation between </w:t>
      </w:r>
      <w:r w:rsidR="00315404" w:rsidRPr="00C56699">
        <w:rPr>
          <w:i/>
          <w:lang w:val="en-GB"/>
        </w:rPr>
        <w:t>AGR2</w:t>
      </w:r>
      <w:r w:rsidR="00315404" w:rsidRPr="00C56699">
        <w:rPr>
          <w:lang w:val="en-GB"/>
        </w:rPr>
        <w:t xml:space="preserve"> </w:t>
      </w:r>
      <w:r w:rsidR="00583D8D" w:rsidRPr="00C56699">
        <w:rPr>
          <w:lang w:val="en-GB"/>
        </w:rPr>
        <w:t xml:space="preserve">gene expression </w:t>
      </w:r>
      <w:r w:rsidR="00315404" w:rsidRPr="00C56699">
        <w:rPr>
          <w:lang w:val="en-GB"/>
        </w:rPr>
        <w:t xml:space="preserve">and overall survival in </w:t>
      </w:r>
      <w:r w:rsidR="00583D8D" w:rsidRPr="00C56699">
        <w:rPr>
          <w:lang w:val="en-GB"/>
        </w:rPr>
        <w:t xml:space="preserve">the entire </w:t>
      </w:r>
      <w:r w:rsidR="00315404" w:rsidRPr="00C56699">
        <w:rPr>
          <w:lang w:val="en-GB"/>
        </w:rPr>
        <w:t>endometrial cancer cohort</w:t>
      </w:r>
      <w:r w:rsidR="00583D8D" w:rsidRPr="00C56699">
        <w:rPr>
          <w:lang w:val="en-GB"/>
        </w:rPr>
        <w:t xml:space="preserve"> (n=589)</w:t>
      </w:r>
      <w:r w:rsidR="00315404" w:rsidRPr="00C56699">
        <w:rPr>
          <w:lang w:val="en-GB"/>
        </w:rPr>
        <w:t xml:space="preserve">; C) </w:t>
      </w:r>
      <w:r w:rsidR="00583D8D" w:rsidRPr="00C56699">
        <w:rPr>
          <w:lang w:val="en-GB"/>
        </w:rPr>
        <w:t xml:space="preserve">Kaplan-Meier survival curves for the correlation between </w:t>
      </w:r>
      <w:r w:rsidR="00583D8D" w:rsidRPr="00C56699">
        <w:rPr>
          <w:i/>
          <w:lang w:val="en-GB"/>
        </w:rPr>
        <w:t>AGR2</w:t>
      </w:r>
      <w:r w:rsidR="00583D8D" w:rsidRPr="00C56699">
        <w:rPr>
          <w:lang w:val="en-GB"/>
        </w:rPr>
        <w:t xml:space="preserve"> gene expression and overall survival </w:t>
      </w:r>
      <w:r w:rsidR="00315404" w:rsidRPr="00C56699">
        <w:rPr>
          <w:lang w:val="en-GB"/>
        </w:rPr>
        <w:t xml:space="preserve">in EC patients with high </w:t>
      </w:r>
      <w:r w:rsidR="00315404" w:rsidRPr="00C56699">
        <w:rPr>
          <w:i/>
          <w:lang w:val="en-GB"/>
        </w:rPr>
        <w:t>ERS1</w:t>
      </w:r>
      <w:r w:rsidR="00315404" w:rsidRPr="00C56699">
        <w:rPr>
          <w:lang w:val="en-GB"/>
        </w:rPr>
        <w:t xml:space="preserve"> (ER) </w:t>
      </w:r>
      <w:r w:rsidR="008E0794" w:rsidRPr="00C56699">
        <w:rPr>
          <w:lang w:val="en-GB"/>
        </w:rPr>
        <w:t xml:space="preserve">RNA </w:t>
      </w:r>
      <w:r w:rsidR="00315404" w:rsidRPr="00C56699">
        <w:rPr>
          <w:lang w:val="en-GB"/>
        </w:rPr>
        <w:t>expression</w:t>
      </w:r>
      <w:r w:rsidR="008E0794" w:rsidRPr="00C56699">
        <w:rPr>
          <w:lang w:val="en-GB"/>
        </w:rPr>
        <w:t xml:space="preserve"> </w:t>
      </w:r>
      <w:r w:rsidR="00583D8D" w:rsidRPr="00C56699">
        <w:rPr>
          <w:lang w:val="en-GB"/>
        </w:rPr>
        <w:t xml:space="preserve">(n=86). Data produced </w:t>
      </w:r>
      <w:r w:rsidR="008E0794" w:rsidRPr="00C56699">
        <w:rPr>
          <w:lang w:val="en-GB"/>
        </w:rPr>
        <w:t xml:space="preserve">using Illumina’s </w:t>
      </w:r>
      <w:proofErr w:type="spellStart"/>
      <w:r w:rsidR="008E0794" w:rsidRPr="00C56699">
        <w:rPr>
          <w:rFonts w:ascii="Arial" w:hAnsi="Arial" w:cs="Arial"/>
        </w:rPr>
        <w:t>BaseSpace</w:t>
      </w:r>
      <w:proofErr w:type="spellEnd"/>
      <w:r w:rsidR="008E0794" w:rsidRPr="00C56699">
        <w:rPr>
          <w:rFonts w:ascii="Arial" w:hAnsi="Arial" w:cs="Arial"/>
        </w:rPr>
        <w:t xml:space="preserve"> Cohort Analyzer application</w:t>
      </w:r>
      <w:r w:rsidR="008E0794" w:rsidRPr="00C56699">
        <w:rPr>
          <w:lang w:val="en-GB"/>
        </w:rPr>
        <w:t>.</w:t>
      </w:r>
    </w:p>
    <w:p w14:paraId="4A3E4AB0" w14:textId="77777777" w:rsidR="008C0C07" w:rsidRPr="00C56699" w:rsidRDefault="008C0C07" w:rsidP="00C56699">
      <w:pPr>
        <w:widowControl w:val="0"/>
        <w:autoSpaceDE w:val="0"/>
        <w:autoSpaceDN w:val="0"/>
        <w:adjustRightInd w:val="0"/>
        <w:spacing w:after="0"/>
        <w:jc w:val="left"/>
        <w:rPr>
          <w:lang w:val="en-GB"/>
        </w:rPr>
      </w:pPr>
    </w:p>
    <w:p w14:paraId="68CCF346" w14:textId="0E0D70CA" w:rsidR="005631F0" w:rsidRPr="00C56699" w:rsidRDefault="008C0C07" w:rsidP="00C56699">
      <w:pPr>
        <w:widowControl w:val="0"/>
        <w:autoSpaceDE w:val="0"/>
        <w:autoSpaceDN w:val="0"/>
        <w:adjustRightInd w:val="0"/>
        <w:spacing w:after="0"/>
        <w:jc w:val="left"/>
        <w:rPr>
          <w:rFonts w:ascii="Arial" w:hAnsi="Arial" w:cs="Arial"/>
          <w:bCs/>
        </w:rPr>
      </w:pPr>
      <w:r w:rsidRPr="00C56699">
        <w:rPr>
          <w:rFonts w:ascii="Arial" w:hAnsi="Arial" w:cs="Arial"/>
          <w:b/>
          <w:bCs/>
        </w:rPr>
        <w:t xml:space="preserve">Supplementary Figure </w:t>
      </w:r>
      <w:r w:rsidR="00225D02" w:rsidRPr="00C56699">
        <w:rPr>
          <w:rFonts w:ascii="Arial" w:hAnsi="Arial" w:cs="Arial"/>
          <w:b/>
          <w:bCs/>
        </w:rPr>
        <w:t>3</w:t>
      </w:r>
      <w:r w:rsidRPr="00C56699">
        <w:rPr>
          <w:rFonts w:ascii="Arial" w:hAnsi="Arial" w:cs="Arial"/>
          <w:b/>
          <w:bCs/>
        </w:rPr>
        <w:t xml:space="preserve">. Correlation of </w:t>
      </w:r>
      <w:r w:rsidRPr="00C56699">
        <w:rPr>
          <w:rFonts w:ascii="Arial" w:hAnsi="Arial" w:cs="Arial"/>
          <w:b/>
          <w:bCs/>
          <w:i/>
        </w:rPr>
        <w:t>AGR2</w:t>
      </w:r>
      <w:r w:rsidRPr="00C56699">
        <w:rPr>
          <w:rFonts w:ascii="Arial" w:hAnsi="Arial" w:cs="Arial"/>
          <w:b/>
          <w:bCs/>
        </w:rPr>
        <w:t xml:space="preserve"> and </w:t>
      </w:r>
      <w:r w:rsidRPr="00C56699">
        <w:rPr>
          <w:rFonts w:ascii="Arial" w:hAnsi="Arial" w:cs="Arial"/>
          <w:b/>
          <w:bCs/>
          <w:i/>
        </w:rPr>
        <w:t>AGR3</w:t>
      </w:r>
      <w:r w:rsidRPr="00C56699">
        <w:rPr>
          <w:rFonts w:ascii="Arial" w:hAnsi="Arial" w:cs="Arial"/>
          <w:b/>
          <w:bCs/>
        </w:rPr>
        <w:t xml:space="preserve"> RNA expression in TCGA </w:t>
      </w:r>
      <w:r w:rsidR="008E0794" w:rsidRPr="00C56699">
        <w:rPr>
          <w:rFonts w:ascii="Arial" w:hAnsi="Arial" w:cs="Arial"/>
          <w:b/>
          <w:bCs/>
        </w:rPr>
        <w:t>cohort of uterine cancer samples</w:t>
      </w:r>
      <w:r w:rsidRPr="00C56699">
        <w:rPr>
          <w:rFonts w:ascii="Arial" w:hAnsi="Arial" w:cs="Arial"/>
          <w:b/>
          <w:bCs/>
        </w:rPr>
        <w:t xml:space="preserve">. </w:t>
      </w:r>
      <w:r w:rsidRPr="00C56699">
        <w:rPr>
          <w:rFonts w:ascii="Arial" w:hAnsi="Arial" w:cs="Arial"/>
          <w:bCs/>
        </w:rPr>
        <w:t xml:space="preserve">TCGA uterine cancer samples had RNA expression data for </w:t>
      </w:r>
      <w:r w:rsidRPr="00C56699">
        <w:rPr>
          <w:rFonts w:ascii="Arial" w:hAnsi="Arial" w:cs="Arial"/>
          <w:bCs/>
          <w:i/>
        </w:rPr>
        <w:t xml:space="preserve">AGR2 </w:t>
      </w:r>
      <w:r w:rsidRPr="00C56699">
        <w:rPr>
          <w:rFonts w:ascii="Arial" w:hAnsi="Arial" w:cs="Arial"/>
          <w:bCs/>
        </w:rPr>
        <w:t>and</w:t>
      </w:r>
      <w:r w:rsidRPr="00C56699">
        <w:rPr>
          <w:rFonts w:ascii="Arial" w:hAnsi="Arial" w:cs="Arial"/>
          <w:bCs/>
          <w:i/>
        </w:rPr>
        <w:t xml:space="preserve"> AGR3 </w:t>
      </w:r>
      <w:r w:rsidRPr="00C56699">
        <w:rPr>
          <w:rFonts w:ascii="Arial" w:hAnsi="Arial" w:cs="Arial"/>
          <w:bCs/>
        </w:rPr>
        <w:t>in 516 endometrial cancer samples</w:t>
      </w:r>
      <w:r w:rsidR="00350866" w:rsidRPr="00C56699">
        <w:rPr>
          <w:rFonts w:ascii="Arial" w:hAnsi="Arial" w:cs="Arial"/>
          <w:bCs/>
        </w:rPr>
        <w:t xml:space="preserve"> </w:t>
      </w:r>
      <w:r w:rsidR="00487958" w:rsidRPr="00C56699">
        <w:rPr>
          <w:rFonts w:ascii="Arial" w:hAnsi="Arial" w:cs="Arial"/>
          <w:bCs/>
        </w:rPr>
        <w:t xml:space="preserve">(green dots) </w:t>
      </w:r>
      <w:r w:rsidR="00350866" w:rsidRPr="00C56699">
        <w:rPr>
          <w:rFonts w:ascii="Arial" w:hAnsi="Arial" w:cs="Arial"/>
          <w:bCs/>
        </w:rPr>
        <w:t>and</w:t>
      </w:r>
      <w:r w:rsidR="00487958" w:rsidRPr="00C56699">
        <w:rPr>
          <w:rFonts w:ascii="Arial" w:hAnsi="Arial" w:cs="Arial"/>
          <w:bCs/>
        </w:rPr>
        <w:t xml:space="preserve"> 35 control (black dots). T</w:t>
      </w:r>
      <w:r w:rsidR="00350866" w:rsidRPr="00C56699">
        <w:rPr>
          <w:rFonts w:ascii="Arial" w:hAnsi="Arial" w:cs="Arial"/>
          <w:bCs/>
        </w:rPr>
        <w:t>he analysis</w:t>
      </w:r>
      <w:r w:rsidRPr="00C56699">
        <w:rPr>
          <w:rFonts w:ascii="Arial" w:hAnsi="Arial" w:cs="Arial"/>
          <w:bCs/>
        </w:rPr>
        <w:t xml:space="preserve"> demonstrated </w:t>
      </w:r>
      <w:r w:rsidR="00350866" w:rsidRPr="00C56699">
        <w:rPr>
          <w:rFonts w:ascii="Arial" w:hAnsi="Arial" w:cs="Arial"/>
          <w:bCs/>
        </w:rPr>
        <w:t xml:space="preserve">a </w:t>
      </w:r>
      <w:r w:rsidRPr="00C56699">
        <w:rPr>
          <w:rFonts w:ascii="Arial" w:hAnsi="Arial" w:cs="Arial"/>
          <w:bCs/>
        </w:rPr>
        <w:t xml:space="preserve">significant positive correlation between the two genes (r=0.58, p=3.31E-48). </w:t>
      </w:r>
    </w:p>
    <w:p w14:paraId="4A151F92" w14:textId="77777777" w:rsidR="00225D02" w:rsidRPr="00C56699" w:rsidRDefault="00225D02" w:rsidP="00C56699">
      <w:pPr>
        <w:widowControl w:val="0"/>
        <w:autoSpaceDE w:val="0"/>
        <w:autoSpaceDN w:val="0"/>
        <w:adjustRightInd w:val="0"/>
        <w:spacing w:after="0"/>
        <w:jc w:val="left"/>
        <w:rPr>
          <w:rFonts w:ascii="Arial" w:hAnsi="Arial" w:cs="Arial"/>
          <w:bCs/>
        </w:rPr>
      </w:pPr>
    </w:p>
    <w:p w14:paraId="2329F1C7" w14:textId="6A300BB1" w:rsidR="00583D8D" w:rsidRPr="00C56699" w:rsidRDefault="00583D8D" w:rsidP="00C56699">
      <w:pPr>
        <w:widowControl w:val="0"/>
        <w:autoSpaceDE w:val="0"/>
        <w:autoSpaceDN w:val="0"/>
        <w:adjustRightInd w:val="0"/>
        <w:spacing w:after="0"/>
        <w:jc w:val="left"/>
        <w:rPr>
          <w:rFonts w:ascii="Arial" w:hAnsi="Arial" w:cs="Arial"/>
          <w:bCs/>
        </w:rPr>
      </w:pPr>
      <w:r w:rsidRPr="00C56699">
        <w:rPr>
          <w:rFonts w:ascii="Arial" w:hAnsi="Arial" w:cs="Arial"/>
          <w:b/>
          <w:bCs/>
        </w:rPr>
        <w:t xml:space="preserve">Supplementary Figure 4. External validation with 3 published </w:t>
      </w:r>
      <w:r w:rsidR="00A94A7B" w:rsidRPr="00C56699">
        <w:rPr>
          <w:rFonts w:ascii="Arial" w:hAnsi="Arial" w:cs="Arial"/>
          <w:b/>
          <w:bCs/>
        </w:rPr>
        <w:t xml:space="preserve">EC </w:t>
      </w:r>
      <w:r w:rsidRPr="00C56699">
        <w:rPr>
          <w:rFonts w:ascii="Arial" w:hAnsi="Arial" w:cs="Arial"/>
          <w:b/>
          <w:bCs/>
        </w:rPr>
        <w:t xml:space="preserve">microarray datasets. </w:t>
      </w:r>
      <w:r w:rsidRPr="00C56699">
        <w:rPr>
          <w:rFonts w:ascii="Arial" w:hAnsi="Arial" w:cs="Arial"/>
          <w:bCs/>
          <w:i/>
          <w:iCs/>
        </w:rPr>
        <w:t>AGR2</w:t>
      </w:r>
      <w:r w:rsidRPr="00C56699">
        <w:rPr>
          <w:rFonts w:ascii="Arial" w:hAnsi="Arial" w:cs="Arial"/>
          <w:bCs/>
        </w:rPr>
        <w:t xml:space="preserve"> gene expression in</w:t>
      </w:r>
      <w:r w:rsidRPr="00C56699">
        <w:rPr>
          <w:rFonts w:ascii="Arial" w:hAnsi="Arial" w:cs="Arial"/>
          <w:bCs/>
          <w:lang w:val="en-GB"/>
        </w:rPr>
        <w:t xml:space="preserve"> 3 independent sample sets, using Illumina’s </w:t>
      </w:r>
      <w:proofErr w:type="spellStart"/>
      <w:r w:rsidRPr="00C56699">
        <w:rPr>
          <w:rFonts w:ascii="Arial" w:hAnsi="Arial" w:cs="Arial"/>
          <w:bCs/>
        </w:rPr>
        <w:t>BaseSpace</w:t>
      </w:r>
      <w:proofErr w:type="spellEnd"/>
      <w:r w:rsidRPr="00C56699">
        <w:rPr>
          <w:rFonts w:ascii="Arial" w:hAnsi="Arial" w:cs="Arial"/>
          <w:bCs/>
        </w:rPr>
        <w:t xml:space="preserve"> Correlation Engine application (software;https://www.illumina.com/informatics/research/biological-data-interpretation/nextbio.html; Illumina, San Diego, CA, USA) to</w:t>
      </w:r>
      <w:r w:rsidRPr="00C56699">
        <w:rPr>
          <w:rFonts w:ascii="Arial" w:hAnsi="Arial" w:cs="Arial"/>
          <w:bCs/>
          <w:lang w:val="en-GB"/>
        </w:rPr>
        <w:t xml:space="preserve"> include 126 grade 1 endometrioid cancers, and 131 grade 3 endometrioid and serous EC from the following publically available microarray datasets; (1) GSE17025, 26 grade 3 versus 30 grade 1 endometrioid, (2); </w:t>
      </w:r>
      <w:r w:rsidRPr="00C56699">
        <w:rPr>
          <w:rFonts w:ascii="Arial" w:hAnsi="Arial" w:cs="Arial"/>
          <w:bCs/>
        </w:rPr>
        <w:t xml:space="preserve">GSE24537, 11 serous versus 11 </w:t>
      </w:r>
      <w:r w:rsidRPr="00C56699">
        <w:rPr>
          <w:rFonts w:ascii="Arial" w:hAnsi="Arial" w:cs="Arial"/>
          <w:bCs/>
          <w:lang w:val="en-GB"/>
        </w:rPr>
        <w:t xml:space="preserve">grade </w:t>
      </w:r>
      <w:r w:rsidRPr="00C56699">
        <w:rPr>
          <w:rFonts w:ascii="Arial" w:hAnsi="Arial" w:cs="Arial"/>
          <w:bCs/>
        </w:rPr>
        <w:t xml:space="preserve">1 (3); </w:t>
      </w:r>
      <w:r w:rsidRPr="00C56699">
        <w:rPr>
          <w:rFonts w:ascii="Arial" w:hAnsi="Arial" w:cs="Arial"/>
          <w:bCs/>
          <w:lang w:val="en-GB"/>
        </w:rPr>
        <w:t>GSE2109, 31 grade 3 versus 22 grade 1 endometrioid, (4);</w:t>
      </w:r>
      <w:r w:rsidR="0027705E" w:rsidRPr="00C56699">
        <w:rPr>
          <w:rFonts w:ascii="Arial" w:hAnsi="Arial" w:cs="Arial"/>
          <w:bCs/>
          <w:lang w:val="en-GB"/>
        </w:rPr>
        <w:t xml:space="preserve"> </w:t>
      </w:r>
      <w:r w:rsidRPr="00C56699">
        <w:rPr>
          <w:rFonts w:ascii="Arial" w:hAnsi="Arial" w:cs="Arial"/>
          <w:bCs/>
          <w:lang w:val="en-GB"/>
        </w:rPr>
        <w:t xml:space="preserve">GSE2109, 63 </w:t>
      </w:r>
      <w:r w:rsidR="0027705E" w:rsidRPr="00C56699">
        <w:rPr>
          <w:rFonts w:ascii="Arial" w:hAnsi="Arial" w:cs="Arial"/>
          <w:bCs/>
          <w:lang w:val="en-GB"/>
        </w:rPr>
        <w:t>e</w:t>
      </w:r>
      <w:r w:rsidRPr="00C56699">
        <w:rPr>
          <w:rFonts w:ascii="Arial" w:hAnsi="Arial" w:cs="Arial"/>
          <w:bCs/>
          <w:lang w:val="en-GB"/>
        </w:rPr>
        <w:t xml:space="preserve">ndometrioid </w:t>
      </w:r>
      <w:r w:rsidR="0027705E" w:rsidRPr="00C56699">
        <w:rPr>
          <w:rFonts w:ascii="Arial" w:hAnsi="Arial" w:cs="Arial"/>
          <w:bCs/>
          <w:lang w:val="en-GB"/>
        </w:rPr>
        <w:t>g</w:t>
      </w:r>
      <w:r w:rsidRPr="00C56699">
        <w:rPr>
          <w:rFonts w:ascii="Arial" w:hAnsi="Arial" w:cs="Arial"/>
          <w:bCs/>
          <w:lang w:val="en-GB"/>
        </w:rPr>
        <w:t>rade 3</w:t>
      </w:r>
      <w:r w:rsidRPr="00C56699">
        <w:rPr>
          <w:rFonts w:ascii="Arial" w:hAnsi="Arial" w:cs="Arial"/>
          <w:bCs/>
        </w:rPr>
        <w:t xml:space="preserve"> versus 22 </w:t>
      </w:r>
      <w:r w:rsidR="0027705E" w:rsidRPr="00C56699">
        <w:rPr>
          <w:rFonts w:ascii="Arial" w:hAnsi="Arial" w:cs="Arial"/>
          <w:bCs/>
          <w:lang w:val="en-GB"/>
        </w:rPr>
        <w:t>e</w:t>
      </w:r>
      <w:r w:rsidRPr="00C56699">
        <w:rPr>
          <w:rFonts w:ascii="Arial" w:hAnsi="Arial" w:cs="Arial"/>
          <w:bCs/>
          <w:lang w:val="en-GB"/>
        </w:rPr>
        <w:t xml:space="preserve">ndometrioid </w:t>
      </w:r>
      <w:r w:rsidR="0027705E" w:rsidRPr="00C56699">
        <w:rPr>
          <w:rFonts w:ascii="Arial" w:hAnsi="Arial" w:cs="Arial"/>
          <w:bCs/>
          <w:lang w:val="en-GB"/>
        </w:rPr>
        <w:t>g</w:t>
      </w:r>
      <w:r w:rsidRPr="00C56699">
        <w:rPr>
          <w:rFonts w:ascii="Arial" w:hAnsi="Arial" w:cs="Arial"/>
          <w:bCs/>
          <w:lang w:val="en-GB"/>
        </w:rPr>
        <w:t>rade 1</w:t>
      </w:r>
      <w:r w:rsidRPr="00C56699">
        <w:rPr>
          <w:rFonts w:ascii="Arial" w:hAnsi="Arial" w:cs="Arial"/>
          <w:bCs/>
        </w:rPr>
        <w:t xml:space="preserve">. </w:t>
      </w:r>
      <w:r w:rsidR="00843C45" w:rsidRPr="00C56699">
        <w:rPr>
          <w:rFonts w:ascii="Arial" w:hAnsi="Arial" w:cs="Arial"/>
          <w:bCs/>
        </w:rPr>
        <w:t xml:space="preserve">The height of each vertical bar in the score matrix graph represents the score of the correlation </w:t>
      </w:r>
      <w:r w:rsidR="00843C45" w:rsidRPr="00C56699">
        <w:rPr>
          <w:rFonts w:ascii="Arial" w:hAnsi="Arial" w:cs="Arial"/>
          <w:bCs/>
        </w:rPr>
        <w:lastRenderedPageBreak/>
        <w:t xml:space="preserve">between the </w:t>
      </w:r>
      <w:proofErr w:type="spellStart"/>
      <w:r w:rsidR="00843C45" w:rsidRPr="00C56699">
        <w:rPr>
          <w:rFonts w:ascii="Arial" w:hAnsi="Arial" w:cs="Arial"/>
          <w:bCs/>
        </w:rPr>
        <w:t>analysed</w:t>
      </w:r>
      <w:proofErr w:type="spellEnd"/>
      <w:r w:rsidR="00843C45" w:rsidRPr="00C56699">
        <w:rPr>
          <w:rFonts w:ascii="Arial" w:hAnsi="Arial" w:cs="Arial"/>
          <w:bCs/>
        </w:rPr>
        <w:t xml:space="preserve"> </w:t>
      </w:r>
      <w:proofErr w:type="spellStart"/>
      <w:r w:rsidR="00843C45" w:rsidRPr="00C56699">
        <w:rPr>
          <w:rFonts w:ascii="Arial" w:hAnsi="Arial" w:cs="Arial"/>
          <w:bCs/>
        </w:rPr>
        <w:t>biosets</w:t>
      </w:r>
      <w:proofErr w:type="spellEnd"/>
      <w:r w:rsidR="00843C45" w:rsidRPr="00C56699">
        <w:rPr>
          <w:rFonts w:ascii="Arial" w:hAnsi="Arial" w:cs="Arial"/>
          <w:bCs/>
        </w:rPr>
        <w:t xml:space="preserve"> and the </w:t>
      </w:r>
      <w:r w:rsidR="00843C45" w:rsidRPr="00C56699">
        <w:rPr>
          <w:rFonts w:ascii="Arial" w:hAnsi="Arial" w:cs="Arial"/>
          <w:bCs/>
          <w:i/>
        </w:rPr>
        <w:t>AGR2</w:t>
      </w:r>
      <w:r w:rsidR="00843C45" w:rsidRPr="00C56699">
        <w:rPr>
          <w:rFonts w:ascii="Arial" w:hAnsi="Arial" w:cs="Arial"/>
          <w:bCs/>
        </w:rPr>
        <w:t xml:space="preserve"> gene.</w:t>
      </w:r>
      <w:r w:rsidR="00843C45" w:rsidRPr="00C56699">
        <w:rPr>
          <w:rFonts w:ascii="Arial" w:hAnsi="Arial" w:cs="Arial"/>
          <w:sz w:val="19"/>
          <w:szCs w:val="19"/>
          <w:shd w:val="clear" w:color="auto" w:fill="FFFFFF"/>
        </w:rPr>
        <w:t xml:space="preserve"> </w:t>
      </w:r>
      <w:r w:rsidR="00843C45" w:rsidRPr="00C56699">
        <w:rPr>
          <w:rFonts w:ascii="Arial" w:hAnsi="Arial" w:cs="Arial"/>
          <w:bCs/>
        </w:rPr>
        <w:t xml:space="preserve">The correlation's score is based on the significance of the measurement made for the </w:t>
      </w:r>
      <w:r w:rsidR="00843C45" w:rsidRPr="00C56699">
        <w:rPr>
          <w:rFonts w:ascii="Arial" w:hAnsi="Arial" w:cs="Arial"/>
          <w:bCs/>
          <w:i/>
        </w:rPr>
        <w:t>AGR2</w:t>
      </w:r>
      <w:r w:rsidR="00843C45" w:rsidRPr="00C56699">
        <w:rPr>
          <w:rFonts w:ascii="Arial" w:hAnsi="Arial" w:cs="Arial"/>
          <w:bCs/>
        </w:rPr>
        <w:t xml:space="preserve"> gene in the </w:t>
      </w:r>
      <w:proofErr w:type="spellStart"/>
      <w:r w:rsidR="00843C45" w:rsidRPr="00C56699">
        <w:rPr>
          <w:rFonts w:ascii="Arial" w:hAnsi="Arial" w:cs="Arial"/>
          <w:bCs/>
        </w:rPr>
        <w:t>biosets</w:t>
      </w:r>
      <w:proofErr w:type="spellEnd"/>
      <w:r w:rsidR="00843C45" w:rsidRPr="00C56699">
        <w:rPr>
          <w:rFonts w:ascii="Arial" w:hAnsi="Arial" w:cs="Arial"/>
          <w:bCs/>
        </w:rPr>
        <w:t xml:space="preserve"> </w:t>
      </w:r>
      <w:proofErr w:type="spellStart"/>
      <w:r w:rsidR="00843C45" w:rsidRPr="00C56699">
        <w:rPr>
          <w:rFonts w:ascii="Arial" w:hAnsi="Arial" w:cs="Arial"/>
          <w:bCs/>
        </w:rPr>
        <w:t>analysed</w:t>
      </w:r>
      <w:proofErr w:type="spellEnd"/>
      <w:r w:rsidR="00843C45" w:rsidRPr="00C56699">
        <w:rPr>
          <w:rFonts w:ascii="Arial" w:hAnsi="Arial" w:cs="Arial"/>
          <w:bCs/>
        </w:rPr>
        <w:t xml:space="preserve">. The bar is green and appears below the midline depicting the </w:t>
      </w:r>
      <w:r w:rsidR="00843C45" w:rsidRPr="00C56699">
        <w:rPr>
          <w:rFonts w:ascii="Arial" w:hAnsi="Arial" w:cs="Arial"/>
          <w:bCs/>
          <w:i/>
        </w:rPr>
        <w:t>AGR2</w:t>
      </w:r>
      <w:r w:rsidR="00843C45" w:rsidRPr="00C56699">
        <w:rPr>
          <w:rFonts w:ascii="Arial" w:hAnsi="Arial" w:cs="Arial"/>
          <w:bCs/>
        </w:rPr>
        <w:t xml:space="preserve"> gene was significantly down-regulated or deleted in </w:t>
      </w:r>
      <w:r w:rsidR="00843C45" w:rsidRPr="00C56699">
        <w:rPr>
          <w:rFonts w:ascii="Arial" w:hAnsi="Arial" w:cs="Arial"/>
          <w:bCs/>
          <w:lang w:val="en-GB"/>
        </w:rPr>
        <w:t>in grade 3 and serous ECs compared with grade 1 ECs.</w:t>
      </w:r>
    </w:p>
    <w:p w14:paraId="70F40794" w14:textId="4D7185EC" w:rsidR="00225D02" w:rsidRPr="00C56699" w:rsidRDefault="00225D02" w:rsidP="00C56699">
      <w:pPr>
        <w:widowControl w:val="0"/>
        <w:autoSpaceDE w:val="0"/>
        <w:autoSpaceDN w:val="0"/>
        <w:adjustRightInd w:val="0"/>
        <w:spacing w:after="0"/>
        <w:jc w:val="left"/>
        <w:rPr>
          <w:rFonts w:ascii="Arial" w:hAnsi="Arial" w:cs="Arial"/>
          <w:bCs/>
        </w:rPr>
      </w:pPr>
    </w:p>
    <w:p w14:paraId="5EB2D904" w14:textId="77777777" w:rsidR="00350866" w:rsidRPr="00C56699" w:rsidRDefault="00350866" w:rsidP="00C56699">
      <w:pPr>
        <w:widowControl w:val="0"/>
        <w:autoSpaceDE w:val="0"/>
        <w:autoSpaceDN w:val="0"/>
        <w:adjustRightInd w:val="0"/>
        <w:spacing w:after="0"/>
        <w:jc w:val="left"/>
        <w:rPr>
          <w:rFonts w:ascii="Arial" w:hAnsi="Arial" w:cs="Arial"/>
        </w:rPr>
      </w:pPr>
    </w:p>
    <w:p w14:paraId="3A4050D4" w14:textId="6813F55C" w:rsidR="005631F0" w:rsidRPr="00C56699" w:rsidRDefault="005631F0" w:rsidP="00C56699">
      <w:pPr>
        <w:widowControl w:val="0"/>
        <w:autoSpaceDE w:val="0"/>
        <w:autoSpaceDN w:val="0"/>
        <w:adjustRightInd w:val="0"/>
        <w:spacing w:after="0"/>
        <w:jc w:val="left"/>
        <w:rPr>
          <w:rFonts w:ascii="Arial" w:hAnsi="Arial" w:cs="Arial"/>
        </w:rPr>
      </w:pPr>
      <w:r w:rsidRPr="00C56699">
        <w:rPr>
          <w:rFonts w:ascii="Arial" w:hAnsi="Arial" w:cs="Arial"/>
          <w:b/>
          <w:bCs/>
        </w:rPr>
        <w:t>Supplementary Table 1 Primary antibodies and their immunohistochemistry conditions</w:t>
      </w:r>
    </w:p>
    <w:p w14:paraId="07E4DABE" w14:textId="77777777" w:rsidR="00035E3E" w:rsidRPr="00C56699" w:rsidRDefault="00035E3E" w:rsidP="00A510A7">
      <w:pPr>
        <w:rPr>
          <w:rFonts w:ascii="Arial" w:hAnsi="Arial" w:cs="Arial"/>
          <w:lang w:val="en-GB"/>
        </w:rPr>
      </w:pPr>
    </w:p>
    <w:p w14:paraId="52C9FCF0" w14:textId="100EC157" w:rsidR="008C0C07" w:rsidRPr="00C56699" w:rsidRDefault="008C0C07">
      <w:r w:rsidRPr="00C56699">
        <w:rPr>
          <w:rFonts w:ascii="Arial" w:hAnsi="Arial" w:cs="Arial"/>
          <w:b/>
          <w:bCs/>
        </w:rPr>
        <w:t xml:space="preserve">Supplementary Table 2. Genes that perturb </w:t>
      </w:r>
      <w:r w:rsidRPr="00C56699">
        <w:rPr>
          <w:rFonts w:ascii="Arial" w:hAnsi="Arial" w:cs="Arial"/>
          <w:b/>
          <w:bCs/>
          <w:i/>
        </w:rPr>
        <w:t>AGR2</w:t>
      </w:r>
      <w:r w:rsidRPr="00C56699">
        <w:rPr>
          <w:rFonts w:ascii="Arial" w:hAnsi="Arial" w:cs="Arial"/>
          <w:b/>
          <w:bCs/>
        </w:rPr>
        <w:t xml:space="preserve"> when mutated or knocked down. </w:t>
      </w:r>
      <w:r w:rsidRPr="00C56699">
        <w:t xml:space="preserve">The genes that influence </w:t>
      </w:r>
      <w:r w:rsidRPr="00C56699">
        <w:rPr>
          <w:i/>
        </w:rPr>
        <w:t>AGR2</w:t>
      </w:r>
      <w:r w:rsidRPr="00C56699">
        <w:t xml:space="preserve"> expression when either mutated or knocked down were examined with </w:t>
      </w:r>
      <w:r w:rsidRPr="00C56699">
        <w:rPr>
          <w:rFonts w:ascii="Arial" w:hAnsi="Arial" w:cs="Arial"/>
        </w:rPr>
        <w:t xml:space="preserve">Illumina’s </w:t>
      </w:r>
      <w:proofErr w:type="spellStart"/>
      <w:r w:rsidRPr="00C56699">
        <w:rPr>
          <w:rFonts w:ascii="Arial" w:hAnsi="Arial" w:cs="Arial"/>
        </w:rPr>
        <w:t>BaseSpace</w:t>
      </w:r>
      <w:proofErr w:type="spellEnd"/>
      <w:r w:rsidRPr="00C56699">
        <w:rPr>
          <w:rFonts w:ascii="Arial" w:hAnsi="Arial" w:cs="Arial"/>
        </w:rPr>
        <w:t xml:space="preserve"> </w:t>
      </w:r>
      <w:r w:rsidR="00350866" w:rsidRPr="00C56699">
        <w:rPr>
          <w:rFonts w:ascii="Arial" w:hAnsi="Arial" w:cs="Arial"/>
        </w:rPr>
        <w:t xml:space="preserve">Knockout atlas application </w:t>
      </w:r>
      <w:r w:rsidR="00BB0111" w:rsidRPr="00C56699">
        <w:rPr>
          <w:rFonts w:ascii="Arial" w:hAnsi="Arial" w:cs="Arial"/>
        </w:rPr>
        <w:t>(</w:t>
      </w:r>
      <w:r w:rsidRPr="00C56699">
        <w:rPr>
          <w:rFonts w:ascii="Arial" w:hAnsi="Arial" w:cs="Arial"/>
        </w:rPr>
        <w:t>software;https://www.illumina.com/informatics/research/biological-data-interpretation/nextbio.html; Illumina, San Diego, CA, USA)</w:t>
      </w:r>
      <w:r w:rsidRPr="00C56699">
        <w:t xml:space="preserve">. </w:t>
      </w:r>
    </w:p>
    <w:p w14:paraId="028C9D8F" w14:textId="4199190E" w:rsidR="008C0C07" w:rsidRPr="00C56699" w:rsidRDefault="008C0C07">
      <w:pPr>
        <w:rPr>
          <w:rFonts w:ascii="Arial" w:hAnsi="Arial" w:cs="Arial"/>
          <w:lang w:val="en-GB"/>
        </w:rPr>
      </w:pPr>
    </w:p>
    <w:p w14:paraId="1E5AF34B" w14:textId="530610CA" w:rsidR="00035E3E" w:rsidRPr="00C56699" w:rsidRDefault="00035E3E">
      <w:pPr>
        <w:rPr>
          <w:rFonts w:ascii="Arial" w:hAnsi="Arial" w:cs="Arial"/>
          <w:lang w:val="en-GB"/>
        </w:rPr>
      </w:pPr>
    </w:p>
    <w:p w14:paraId="2ABEE5EF" w14:textId="340A06D6" w:rsidR="00A20B69" w:rsidRPr="00C56699" w:rsidRDefault="00A20B69" w:rsidP="003716DE">
      <w:pPr>
        <w:rPr>
          <w:rFonts w:ascii="Arial" w:hAnsi="Arial" w:cs="Arial"/>
          <w:lang w:val="en-GB"/>
        </w:rPr>
      </w:pPr>
    </w:p>
    <w:p w14:paraId="7FB512FC" w14:textId="3186672B" w:rsidR="00563E9C" w:rsidRPr="00C56699" w:rsidRDefault="00563E9C" w:rsidP="003716DE">
      <w:pPr>
        <w:rPr>
          <w:rFonts w:ascii="Arial" w:hAnsi="Arial" w:cs="Arial"/>
          <w:lang w:val="en-GB"/>
        </w:rPr>
      </w:pPr>
    </w:p>
    <w:p w14:paraId="376464AE" w14:textId="77777777" w:rsidR="00A510A7" w:rsidRPr="00C56699" w:rsidRDefault="00A510A7" w:rsidP="003716DE">
      <w:pPr>
        <w:rPr>
          <w:rFonts w:ascii="Arial" w:hAnsi="Arial" w:cs="Arial"/>
          <w:lang w:val="en-GB"/>
        </w:rPr>
      </w:pPr>
    </w:p>
    <w:p w14:paraId="47A58CCA" w14:textId="576D7AB6" w:rsidR="00563E9C" w:rsidRPr="00C56699" w:rsidRDefault="00563E9C" w:rsidP="00EC58C3">
      <w:pPr>
        <w:pStyle w:val="Heading1"/>
      </w:pPr>
      <w:r w:rsidRPr="00C56699">
        <w:t>Figures</w:t>
      </w:r>
    </w:p>
    <w:p w14:paraId="1E0980CB" w14:textId="68F8944D" w:rsidR="002D4A1C" w:rsidRPr="00C56699" w:rsidRDefault="002D4A1C" w:rsidP="002D4A1C">
      <w:pPr>
        <w:rPr>
          <w:lang w:val="en-GB"/>
        </w:rPr>
      </w:pPr>
      <w:r w:rsidRPr="00C56699">
        <w:rPr>
          <w:lang w:val="en-GB"/>
        </w:rPr>
        <w:t>Figure 1</w:t>
      </w:r>
    </w:p>
    <w:p w14:paraId="2C953DCD" w14:textId="5318082A" w:rsidR="00A20B69" w:rsidRPr="00C56699" w:rsidRDefault="00A20B69" w:rsidP="003716DE">
      <w:pPr>
        <w:rPr>
          <w:rFonts w:ascii="Arial" w:hAnsi="Arial" w:cs="Arial"/>
          <w:lang w:val="en-GB"/>
        </w:rPr>
      </w:pPr>
      <w:r w:rsidRPr="00C56699">
        <w:rPr>
          <w:rFonts w:ascii="Arial" w:hAnsi="Arial" w:cs="Arial"/>
          <w:noProof/>
          <w:lang w:val="en-GB" w:eastAsia="en-GB"/>
        </w:rPr>
        <w:lastRenderedPageBreak/>
        <w:drawing>
          <wp:inline distT="0" distB="0" distL="0" distR="0" wp14:anchorId="5BFE12F1" wp14:editId="3C7FCC38">
            <wp:extent cx="5943600" cy="6055995"/>
            <wp:effectExtent l="19050" t="19050" r="19050" b="209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1a.tif"/>
                    <pic:cNvPicPr/>
                  </pic:nvPicPr>
                  <pic:blipFill>
                    <a:blip r:embed="rId11"/>
                    <a:stretch>
                      <a:fillRect/>
                    </a:stretch>
                  </pic:blipFill>
                  <pic:spPr>
                    <a:xfrm>
                      <a:off x="0" y="0"/>
                      <a:ext cx="5943600" cy="6055995"/>
                    </a:xfrm>
                    <a:prstGeom prst="rect">
                      <a:avLst/>
                    </a:prstGeom>
                    <a:ln>
                      <a:solidFill>
                        <a:schemeClr val="tx1"/>
                      </a:solidFill>
                    </a:ln>
                  </pic:spPr>
                </pic:pic>
              </a:graphicData>
            </a:graphic>
          </wp:inline>
        </w:drawing>
      </w:r>
    </w:p>
    <w:p w14:paraId="4D3E4F03" w14:textId="77777777" w:rsidR="00A20B69" w:rsidRPr="00C56699" w:rsidRDefault="00A20B69" w:rsidP="00761CEE">
      <w:pPr>
        <w:rPr>
          <w:lang w:val="en-GB"/>
        </w:rPr>
      </w:pPr>
    </w:p>
    <w:p w14:paraId="17C9BA91" w14:textId="51A0B454" w:rsidR="002D4A1C" w:rsidRPr="00C56699" w:rsidRDefault="002D4A1C" w:rsidP="00761CEE">
      <w:pPr>
        <w:rPr>
          <w:lang w:val="en-GB"/>
        </w:rPr>
      </w:pPr>
    </w:p>
    <w:p w14:paraId="77A158A6" w14:textId="3916B5AB" w:rsidR="002D4A1C" w:rsidRPr="00C56699" w:rsidRDefault="002D4A1C" w:rsidP="00761CEE">
      <w:pPr>
        <w:rPr>
          <w:lang w:val="en-GB"/>
        </w:rPr>
      </w:pPr>
      <w:r w:rsidRPr="00C56699">
        <w:rPr>
          <w:lang w:val="en-GB"/>
        </w:rPr>
        <w:t>Figure 2</w:t>
      </w:r>
    </w:p>
    <w:p w14:paraId="5299DF81" w14:textId="49619F83" w:rsidR="00761CEE" w:rsidRPr="00C56699" w:rsidRDefault="00A20B69" w:rsidP="00761CEE">
      <w:pPr>
        <w:rPr>
          <w:lang w:val="en-GB"/>
        </w:rPr>
      </w:pPr>
      <w:r w:rsidRPr="00C56699">
        <w:rPr>
          <w:noProof/>
          <w:lang w:val="en-GB" w:eastAsia="en-GB"/>
        </w:rPr>
        <w:lastRenderedPageBreak/>
        <w:drawing>
          <wp:inline distT="0" distB="0" distL="0" distR="0" wp14:anchorId="35867212" wp14:editId="08182DF4">
            <wp:extent cx="5942855" cy="3607905"/>
            <wp:effectExtent l="19050" t="19050" r="20320"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a.tif"/>
                    <pic:cNvPicPr/>
                  </pic:nvPicPr>
                  <pic:blipFill>
                    <a:blip r:embed="rId12"/>
                    <a:stretch>
                      <a:fillRect/>
                    </a:stretch>
                  </pic:blipFill>
                  <pic:spPr>
                    <a:xfrm>
                      <a:off x="0" y="0"/>
                      <a:ext cx="5942855" cy="3607905"/>
                    </a:xfrm>
                    <a:prstGeom prst="rect">
                      <a:avLst/>
                    </a:prstGeom>
                    <a:ln>
                      <a:solidFill>
                        <a:schemeClr val="tx1"/>
                      </a:solidFill>
                    </a:ln>
                  </pic:spPr>
                </pic:pic>
              </a:graphicData>
            </a:graphic>
          </wp:inline>
        </w:drawing>
      </w:r>
    </w:p>
    <w:p w14:paraId="09F3D808" w14:textId="32D988A6" w:rsidR="00A20B69" w:rsidRPr="00C56699" w:rsidRDefault="00A20B69" w:rsidP="003716DE">
      <w:pPr>
        <w:rPr>
          <w:rFonts w:ascii="Arial" w:hAnsi="Arial" w:cs="Arial"/>
          <w:noProof/>
          <w:lang w:val="en-GB"/>
        </w:rPr>
      </w:pPr>
    </w:p>
    <w:p w14:paraId="5E5C1973" w14:textId="026E0A5D" w:rsidR="002D4A1C" w:rsidRPr="00C56699" w:rsidRDefault="002D4A1C" w:rsidP="003716DE">
      <w:pPr>
        <w:rPr>
          <w:rFonts w:ascii="Arial" w:hAnsi="Arial" w:cs="Arial"/>
          <w:noProof/>
          <w:lang w:val="en-GB"/>
        </w:rPr>
      </w:pPr>
    </w:p>
    <w:p w14:paraId="52905525" w14:textId="008F4916" w:rsidR="002D4A1C" w:rsidRPr="00C56699" w:rsidRDefault="002D4A1C" w:rsidP="003716DE">
      <w:pPr>
        <w:rPr>
          <w:rFonts w:ascii="Arial" w:hAnsi="Arial" w:cs="Arial"/>
          <w:noProof/>
          <w:lang w:val="en-GB"/>
        </w:rPr>
      </w:pPr>
    </w:p>
    <w:p w14:paraId="13F36F7E" w14:textId="70E851F8" w:rsidR="002D4A1C" w:rsidRPr="00C56699" w:rsidRDefault="002D4A1C" w:rsidP="003716DE">
      <w:pPr>
        <w:rPr>
          <w:rFonts w:ascii="Arial" w:hAnsi="Arial" w:cs="Arial"/>
          <w:noProof/>
          <w:lang w:val="en-GB"/>
        </w:rPr>
      </w:pPr>
    </w:p>
    <w:p w14:paraId="1B9D9893" w14:textId="0D988656" w:rsidR="002D4A1C" w:rsidRPr="00C56699" w:rsidRDefault="002D4A1C" w:rsidP="003716DE">
      <w:pPr>
        <w:rPr>
          <w:rFonts w:ascii="Arial" w:hAnsi="Arial" w:cs="Arial"/>
          <w:noProof/>
          <w:lang w:val="en-GB"/>
        </w:rPr>
      </w:pPr>
    </w:p>
    <w:p w14:paraId="2F664DC9" w14:textId="03F7FA9B" w:rsidR="002D4A1C" w:rsidRPr="00C56699" w:rsidRDefault="002D4A1C" w:rsidP="003716DE">
      <w:pPr>
        <w:rPr>
          <w:rFonts w:ascii="Arial" w:hAnsi="Arial" w:cs="Arial"/>
          <w:noProof/>
          <w:lang w:val="en-GB"/>
        </w:rPr>
      </w:pPr>
    </w:p>
    <w:p w14:paraId="5B55CE2B" w14:textId="2F69A122" w:rsidR="002D4A1C" w:rsidRPr="00C56699" w:rsidRDefault="002D4A1C" w:rsidP="003716DE">
      <w:pPr>
        <w:rPr>
          <w:rFonts w:ascii="Arial" w:hAnsi="Arial" w:cs="Arial"/>
          <w:noProof/>
          <w:lang w:val="en-GB"/>
        </w:rPr>
      </w:pPr>
    </w:p>
    <w:p w14:paraId="02575306" w14:textId="77777777" w:rsidR="002D4A1C" w:rsidRPr="00C56699" w:rsidRDefault="002D4A1C" w:rsidP="003716DE">
      <w:pPr>
        <w:rPr>
          <w:rFonts w:ascii="Arial" w:hAnsi="Arial" w:cs="Arial"/>
          <w:noProof/>
          <w:lang w:val="en-GB"/>
        </w:rPr>
      </w:pPr>
    </w:p>
    <w:p w14:paraId="0F2746D4" w14:textId="5480A391" w:rsidR="00A20B69" w:rsidRPr="00C56699" w:rsidRDefault="00A20B69" w:rsidP="003716DE">
      <w:pPr>
        <w:rPr>
          <w:rFonts w:ascii="Arial" w:hAnsi="Arial" w:cs="Arial"/>
          <w:noProof/>
          <w:lang w:val="en-GB"/>
        </w:rPr>
      </w:pPr>
    </w:p>
    <w:p w14:paraId="660FE596" w14:textId="5ADFD831" w:rsidR="002D4A1C" w:rsidRPr="00C56699" w:rsidRDefault="002D4A1C" w:rsidP="003716DE">
      <w:pPr>
        <w:rPr>
          <w:rFonts w:ascii="Arial" w:hAnsi="Arial" w:cs="Arial"/>
          <w:noProof/>
          <w:lang w:val="en-GB"/>
        </w:rPr>
      </w:pPr>
      <w:r w:rsidRPr="00C56699">
        <w:rPr>
          <w:rFonts w:ascii="Arial" w:hAnsi="Arial" w:cs="Arial"/>
          <w:noProof/>
          <w:lang w:val="en-GB"/>
        </w:rPr>
        <w:t>Figure 3</w:t>
      </w:r>
    </w:p>
    <w:p w14:paraId="06B6D87B" w14:textId="506AC526" w:rsidR="00AB5AB4" w:rsidRPr="00C56699" w:rsidRDefault="00AB5AB4" w:rsidP="003716DE">
      <w:pPr>
        <w:rPr>
          <w:rFonts w:ascii="Arial" w:hAnsi="Arial" w:cs="Arial"/>
          <w:noProof/>
          <w:lang w:val="en-GB"/>
        </w:rPr>
      </w:pPr>
      <w:r w:rsidRPr="00C56699">
        <w:rPr>
          <w:rFonts w:ascii="Arial" w:hAnsi="Arial" w:cs="Arial"/>
          <w:noProof/>
          <w:lang w:val="en-GB" w:eastAsia="en-GB"/>
        </w:rPr>
        <w:lastRenderedPageBreak/>
        <w:drawing>
          <wp:inline distT="0" distB="0" distL="0" distR="0" wp14:anchorId="3F1FB75E" wp14:editId="583B631B">
            <wp:extent cx="4413250" cy="3121025"/>
            <wp:effectExtent l="19050" t="19050" r="25400" b="22225"/>
            <wp:docPr id="1" name="Picture 1" descr="C:\Users\areege\Dropbox\Manuscripts\AGR2 paper\Oncotarget submission\Oncotarget revision\AGR2 result figures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eege\Dropbox\Manuscripts\AGR2 paper\Oncotarget submission\Oncotarget revision\AGR2 result figures 2.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13250" cy="3121025"/>
                    </a:xfrm>
                    <a:prstGeom prst="rect">
                      <a:avLst/>
                    </a:prstGeom>
                    <a:noFill/>
                    <a:ln>
                      <a:solidFill>
                        <a:schemeClr val="tx1"/>
                      </a:solidFill>
                    </a:ln>
                  </pic:spPr>
                </pic:pic>
              </a:graphicData>
            </a:graphic>
          </wp:inline>
        </w:drawing>
      </w:r>
    </w:p>
    <w:p w14:paraId="2E93733C" w14:textId="77777777" w:rsidR="00A20B69" w:rsidRPr="00C56699" w:rsidRDefault="00A20B69" w:rsidP="003716DE">
      <w:pPr>
        <w:rPr>
          <w:rFonts w:ascii="Arial" w:hAnsi="Arial" w:cs="Arial"/>
          <w:noProof/>
          <w:lang w:val="en-GB"/>
        </w:rPr>
      </w:pPr>
    </w:p>
    <w:p w14:paraId="7C0A9B4D" w14:textId="77777777" w:rsidR="00A20B69" w:rsidRPr="00C56699" w:rsidRDefault="00A20B69" w:rsidP="003716DE">
      <w:pPr>
        <w:rPr>
          <w:rFonts w:ascii="Arial" w:hAnsi="Arial" w:cs="Arial"/>
          <w:noProof/>
          <w:lang w:val="en-GB"/>
        </w:rPr>
      </w:pPr>
    </w:p>
    <w:p w14:paraId="02BD5E49" w14:textId="3F2A0874" w:rsidR="00A20B69" w:rsidRPr="00C56699" w:rsidRDefault="00A20B69" w:rsidP="003716DE">
      <w:pPr>
        <w:rPr>
          <w:rFonts w:ascii="Arial" w:hAnsi="Arial" w:cs="Arial"/>
          <w:noProof/>
          <w:lang w:val="en-GB"/>
        </w:rPr>
      </w:pPr>
    </w:p>
    <w:p w14:paraId="4A932926" w14:textId="274411A5" w:rsidR="00A20B69" w:rsidRPr="00C56699" w:rsidRDefault="00A20B69" w:rsidP="003716DE">
      <w:pPr>
        <w:rPr>
          <w:rFonts w:ascii="Arial" w:hAnsi="Arial" w:cs="Arial"/>
          <w:noProof/>
          <w:lang w:val="en-GB"/>
        </w:rPr>
      </w:pPr>
    </w:p>
    <w:p w14:paraId="7965AF18" w14:textId="432439BE" w:rsidR="002D4A1C" w:rsidRPr="00C56699" w:rsidRDefault="002D4A1C" w:rsidP="003716DE">
      <w:pPr>
        <w:rPr>
          <w:rFonts w:ascii="Arial" w:hAnsi="Arial" w:cs="Arial"/>
          <w:noProof/>
          <w:lang w:val="en-GB"/>
        </w:rPr>
      </w:pPr>
      <w:r w:rsidRPr="00C56699">
        <w:rPr>
          <w:rFonts w:ascii="Arial" w:hAnsi="Arial" w:cs="Arial"/>
          <w:noProof/>
          <w:lang w:val="en-GB"/>
        </w:rPr>
        <w:t>Figure 4</w:t>
      </w:r>
    </w:p>
    <w:p w14:paraId="17ED73BE" w14:textId="037883E7" w:rsidR="00A20B69" w:rsidRPr="00C56699" w:rsidRDefault="00A20B69" w:rsidP="003716DE">
      <w:pPr>
        <w:rPr>
          <w:rFonts w:ascii="Arial" w:hAnsi="Arial" w:cs="Arial"/>
          <w:noProof/>
          <w:lang w:val="en-GB"/>
        </w:rPr>
      </w:pPr>
      <w:r w:rsidRPr="00C56699">
        <w:rPr>
          <w:rFonts w:ascii="Arial" w:hAnsi="Arial" w:cs="Arial"/>
          <w:noProof/>
          <w:lang w:val="en-GB" w:eastAsia="en-GB"/>
        </w:rPr>
        <w:drawing>
          <wp:inline distT="0" distB="0" distL="0" distR="0" wp14:anchorId="4168D8CF" wp14:editId="05E1CBDE">
            <wp:extent cx="5943600" cy="2644140"/>
            <wp:effectExtent l="19050" t="19050" r="19050" b="228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3.tif"/>
                    <pic:cNvPicPr/>
                  </pic:nvPicPr>
                  <pic:blipFill>
                    <a:blip r:embed="rId14"/>
                    <a:stretch>
                      <a:fillRect/>
                    </a:stretch>
                  </pic:blipFill>
                  <pic:spPr>
                    <a:xfrm>
                      <a:off x="0" y="0"/>
                      <a:ext cx="5943600" cy="2644140"/>
                    </a:xfrm>
                    <a:prstGeom prst="rect">
                      <a:avLst/>
                    </a:prstGeom>
                    <a:ln>
                      <a:solidFill>
                        <a:schemeClr val="tx1"/>
                      </a:solidFill>
                    </a:ln>
                  </pic:spPr>
                </pic:pic>
              </a:graphicData>
            </a:graphic>
          </wp:inline>
        </w:drawing>
      </w:r>
    </w:p>
    <w:p w14:paraId="4E4128F7" w14:textId="12D911D5" w:rsidR="00A20B69" w:rsidRPr="00C56699" w:rsidRDefault="00A20B69" w:rsidP="003716DE">
      <w:pPr>
        <w:rPr>
          <w:rFonts w:ascii="Arial" w:hAnsi="Arial" w:cs="Arial"/>
          <w:noProof/>
          <w:lang w:val="en-GB"/>
        </w:rPr>
      </w:pPr>
    </w:p>
    <w:p w14:paraId="2C8DC3D7" w14:textId="3668901B" w:rsidR="00A20B69" w:rsidRPr="00C56699" w:rsidRDefault="00A20B69" w:rsidP="003716DE">
      <w:pPr>
        <w:rPr>
          <w:rFonts w:ascii="Arial" w:hAnsi="Arial" w:cs="Arial"/>
          <w:noProof/>
          <w:lang w:val="en-GB"/>
        </w:rPr>
      </w:pPr>
    </w:p>
    <w:p w14:paraId="646D3499" w14:textId="2232832B" w:rsidR="00A20B69" w:rsidRPr="00C56699" w:rsidRDefault="00A20B69" w:rsidP="003716DE">
      <w:pPr>
        <w:rPr>
          <w:rFonts w:ascii="Arial" w:hAnsi="Arial" w:cs="Arial"/>
          <w:noProof/>
          <w:lang w:val="en-GB"/>
        </w:rPr>
      </w:pPr>
    </w:p>
    <w:p w14:paraId="06DEC2FE" w14:textId="4888B458" w:rsidR="00A20B69" w:rsidRPr="00C56699" w:rsidRDefault="00A20B69" w:rsidP="003716DE">
      <w:pPr>
        <w:rPr>
          <w:rFonts w:ascii="Arial" w:hAnsi="Arial" w:cs="Arial"/>
          <w:noProof/>
          <w:lang w:val="en-GB"/>
        </w:rPr>
      </w:pPr>
    </w:p>
    <w:p w14:paraId="3F7B7D65" w14:textId="51297476" w:rsidR="00A20B69" w:rsidRPr="00C56699" w:rsidRDefault="00A20B69" w:rsidP="003716DE">
      <w:pPr>
        <w:rPr>
          <w:rFonts w:ascii="Arial" w:hAnsi="Arial" w:cs="Arial"/>
          <w:noProof/>
          <w:lang w:val="en-GB"/>
        </w:rPr>
      </w:pPr>
    </w:p>
    <w:p w14:paraId="3E65BDCA" w14:textId="0A0935BA" w:rsidR="00A20B69" w:rsidRPr="00C56699" w:rsidRDefault="00A20B69" w:rsidP="003716DE">
      <w:pPr>
        <w:rPr>
          <w:rFonts w:ascii="Arial" w:hAnsi="Arial" w:cs="Arial"/>
          <w:noProof/>
          <w:lang w:val="en-GB"/>
        </w:rPr>
      </w:pPr>
    </w:p>
    <w:p w14:paraId="1E5EC42A" w14:textId="7C6C5CAB" w:rsidR="00A20B69" w:rsidRPr="00C56699" w:rsidRDefault="00A20B69" w:rsidP="003716DE">
      <w:pPr>
        <w:rPr>
          <w:rFonts w:ascii="Arial" w:hAnsi="Arial" w:cs="Arial"/>
          <w:noProof/>
          <w:lang w:val="en-GB"/>
        </w:rPr>
      </w:pPr>
    </w:p>
    <w:p w14:paraId="642C12B1" w14:textId="156CE360" w:rsidR="00A20B69" w:rsidRPr="00C56699" w:rsidRDefault="00A20B69" w:rsidP="003716DE">
      <w:pPr>
        <w:rPr>
          <w:rFonts w:ascii="Arial" w:hAnsi="Arial" w:cs="Arial"/>
          <w:noProof/>
          <w:lang w:val="en-GB"/>
        </w:rPr>
      </w:pPr>
    </w:p>
    <w:p w14:paraId="0D5B87F6" w14:textId="43C1ED37" w:rsidR="00A20B69" w:rsidRPr="00C56699" w:rsidRDefault="00A20B69" w:rsidP="003716DE">
      <w:pPr>
        <w:rPr>
          <w:rFonts w:ascii="Arial" w:hAnsi="Arial" w:cs="Arial"/>
          <w:noProof/>
          <w:lang w:val="en-GB"/>
        </w:rPr>
      </w:pPr>
    </w:p>
    <w:p w14:paraId="01B630AC" w14:textId="37A75202" w:rsidR="00A20B69" w:rsidRPr="00C56699" w:rsidRDefault="00A20B69" w:rsidP="003716DE">
      <w:pPr>
        <w:rPr>
          <w:rFonts w:ascii="Arial" w:hAnsi="Arial" w:cs="Arial"/>
          <w:noProof/>
          <w:lang w:val="en-GB"/>
        </w:rPr>
      </w:pPr>
    </w:p>
    <w:p w14:paraId="2901EBC6" w14:textId="2CDBABB2" w:rsidR="00A20B69" w:rsidRPr="00C56699" w:rsidRDefault="00A20B69" w:rsidP="003716DE">
      <w:pPr>
        <w:rPr>
          <w:rFonts w:ascii="Arial" w:hAnsi="Arial" w:cs="Arial"/>
          <w:noProof/>
          <w:lang w:val="en-GB"/>
        </w:rPr>
      </w:pPr>
    </w:p>
    <w:p w14:paraId="025697B8" w14:textId="71825F65" w:rsidR="00A20B69" w:rsidRPr="00C56699" w:rsidRDefault="00A20B69" w:rsidP="003716DE">
      <w:pPr>
        <w:rPr>
          <w:rFonts w:ascii="Arial" w:hAnsi="Arial" w:cs="Arial"/>
          <w:noProof/>
          <w:lang w:val="en-GB"/>
        </w:rPr>
      </w:pPr>
    </w:p>
    <w:p w14:paraId="3192A359" w14:textId="50B61522" w:rsidR="00A20B69" w:rsidRPr="00C56699" w:rsidRDefault="002D4A1C" w:rsidP="003716DE">
      <w:pPr>
        <w:rPr>
          <w:rFonts w:ascii="Arial" w:hAnsi="Arial" w:cs="Arial"/>
          <w:noProof/>
          <w:lang w:val="en-GB"/>
        </w:rPr>
      </w:pPr>
      <w:r w:rsidRPr="00C56699">
        <w:rPr>
          <w:rFonts w:ascii="Arial" w:hAnsi="Arial" w:cs="Arial"/>
          <w:noProof/>
          <w:lang w:val="en-GB"/>
        </w:rPr>
        <w:t>Figure 5</w:t>
      </w:r>
    </w:p>
    <w:p w14:paraId="2D1E0074" w14:textId="173A67BE" w:rsidR="00A20B69" w:rsidRPr="00C56699" w:rsidRDefault="00A20B69" w:rsidP="003716DE">
      <w:pPr>
        <w:rPr>
          <w:rFonts w:ascii="Arial" w:hAnsi="Arial" w:cs="Arial"/>
          <w:lang w:val="en-GB"/>
        </w:rPr>
      </w:pPr>
      <w:r w:rsidRPr="00C56699">
        <w:rPr>
          <w:rFonts w:ascii="Arial" w:hAnsi="Arial" w:cs="Arial"/>
          <w:noProof/>
          <w:lang w:val="en-GB" w:eastAsia="en-GB"/>
        </w:rPr>
        <w:drawing>
          <wp:inline distT="0" distB="0" distL="0" distR="0" wp14:anchorId="16642AE6" wp14:editId="64DA447D">
            <wp:extent cx="5613625" cy="2202815"/>
            <wp:effectExtent l="19050" t="19050" r="25400" b="260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3a.tif"/>
                    <pic:cNvPicPr/>
                  </pic:nvPicPr>
                  <pic:blipFill>
                    <a:blip r:embed="rId15">
                      <a:extLst>
                        <a:ext uri="{28A0092B-C50C-407E-A947-70E740481C1C}">
                          <a14:useLocalDpi xmlns:a14="http://schemas.microsoft.com/office/drawing/2010/main" val="0"/>
                        </a:ext>
                      </a:extLst>
                    </a:blip>
                    <a:stretch>
                      <a:fillRect/>
                    </a:stretch>
                  </pic:blipFill>
                  <pic:spPr>
                    <a:xfrm>
                      <a:off x="0" y="0"/>
                      <a:ext cx="5613625" cy="2202815"/>
                    </a:xfrm>
                    <a:prstGeom prst="rect">
                      <a:avLst/>
                    </a:prstGeom>
                    <a:ln>
                      <a:solidFill>
                        <a:schemeClr val="tx1"/>
                      </a:solidFill>
                    </a:ln>
                  </pic:spPr>
                </pic:pic>
              </a:graphicData>
            </a:graphic>
          </wp:inline>
        </w:drawing>
      </w:r>
    </w:p>
    <w:p w14:paraId="257C6951" w14:textId="502C7D0D" w:rsidR="00A20B69" w:rsidRPr="00C56699" w:rsidRDefault="00A20B69" w:rsidP="003716DE">
      <w:pPr>
        <w:rPr>
          <w:rFonts w:ascii="Arial" w:hAnsi="Arial" w:cs="Arial"/>
          <w:lang w:val="en-GB"/>
        </w:rPr>
      </w:pPr>
    </w:p>
    <w:p w14:paraId="55C642D3" w14:textId="5BC58DC1" w:rsidR="00A20B69" w:rsidRPr="00C56699" w:rsidRDefault="00A20B69" w:rsidP="003716DE">
      <w:pPr>
        <w:rPr>
          <w:rFonts w:ascii="Arial" w:hAnsi="Arial" w:cs="Arial"/>
          <w:lang w:val="en-GB"/>
        </w:rPr>
      </w:pPr>
    </w:p>
    <w:p w14:paraId="44DC1EB9" w14:textId="63976F90" w:rsidR="00A20B69" w:rsidRPr="00C56699" w:rsidRDefault="00A20B69" w:rsidP="003716DE">
      <w:pPr>
        <w:rPr>
          <w:rFonts w:ascii="Arial" w:hAnsi="Arial" w:cs="Arial"/>
          <w:lang w:val="en-GB"/>
        </w:rPr>
      </w:pPr>
    </w:p>
    <w:p w14:paraId="439FCAD1" w14:textId="66E0B19C" w:rsidR="00A20B69" w:rsidRPr="00C56699" w:rsidRDefault="00A20B69" w:rsidP="003716DE">
      <w:pPr>
        <w:rPr>
          <w:rFonts w:ascii="Arial" w:hAnsi="Arial" w:cs="Arial"/>
          <w:lang w:val="en-GB"/>
        </w:rPr>
      </w:pPr>
    </w:p>
    <w:p w14:paraId="550AA9D4" w14:textId="087080D4" w:rsidR="00A20B69" w:rsidRPr="00C56699" w:rsidRDefault="00A20B69" w:rsidP="003716DE">
      <w:pPr>
        <w:rPr>
          <w:rFonts w:ascii="Arial" w:hAnsi="Arial" w:cs="Arial"/>
          <w:lang w:val="en-GB"/>
        </w:rPr>
      </w:pPr>
    </w:p>
    <w:p w14:paraId="5F0AF56B" w14:textId="179F8DB3" w:rsidR="00A20B69" w:rsidRPr="00C56699" w:rsidRDefault="00A20B69" w:rsidP="003716DE">
      <w:pPr>
        <w:rPr>
          <w:rFonts w:ascii="Arial" w:hAnsi="Arial" w:cs="Arial"/>
          <w:lang w:val="en-GB"/>
        </w:rPr>
      </w:pPr>
    </w:p>
    <w:p w14:paraId="5F0BCF50" w14:textId="29FA3632" w:rsidR="002D4A1C" w:rsidRPr="00C56699" w:rsidRDefault="002D4A1C" w:rsidP="003716DE">
      <w:pPr>
        <w:rPr>
          <w:rFonts w:ascii="Arial" w:hAnsi="Arial" w:cs="Arial"/>
          <w:lang w:val="en-GB"/>
        </w:rPr>
      </w:pPr>
    </w:p>
    <w:p w14:paraId="7EFDF2DA" w14:textId="5A60003A" w:rsidR="002D4A1C" w:rsidRPr="00C56699" w:rsidRDefault="002D4A1C" w:rsidP="003716DE">
      <w:pPr>
        <w:rPr>
          <w:rFonts w:ascii="Arial" w:hAnsi="Arial" w:cs="Arial"/>
          <w:lang w:val="en-GB"/>
        </w:rPr>
      </w:pPr>
    </w:p>
    <w:p w14:paraId="2FF58969" w14:textId="1865361E" w:rsidR="002D4A1C" w:rsidRPr="00C56699" w:rsidRDefault="002D4A1C" w:rsidP="003716DE">
      <w:pPr>
        <w:rPr>
          <w:rFonts w:ascii="Arial" w:hAnsi="Arial" w:cs="Arial"/>
          <w:lang w:val="en-GB"/>
        </w:rPr>
      </w:pPr>
    </w:p>
    <w:p w14:paraId="7DD9CE93" w14:textId="1122E096" w:rsidR="002D4A1C" w:rsidRPr="00C56699" w:rsidRDefault="002D4A1C" w:rsidP="003716DE">
      <w:pPr>
        <w:rPr>
          <w:rFonts w:ascii="Arial" w:hAnsi="Arial" w:cs="Arial"/>
          <w:lang w:val="en-GB"/>
        </w:rPr>
      </w:pPr>
    </w:p>
    <w:p w14:paraId="020E9517" w14:textId="3BE3F0A7" w:rsidR="002D4A1C" w:rsidRPr="00C56699" w:rsidRDefault="002D4A1C" w:rsidP="003716DE">
      <w:pPr>
        <w:rPr>
          <w:rFonts w:ascii="Arial" w:hAnsi="Arial" w:cs="Arial"/>
          <w:lang w:val="en-GB"/>
        </w:rPr>
      </w:pPr>
    </w:p>
    <w:p w14:paraId="329413CE" w14:textId="40199BF1" w:rsidR="002D4A1C" w:rsidRPr="00C56699" w:rsidRDefault="002D4A1C" w:rsidP="003716DE">
      <w:pPr>
        <w:rPr>
          <w:rFonts w:ascii="Arial" w:hAnsi="Arial" w:cs="Arial"/>
          <w:lang w:val="en-GB"/>
        </w:rPr>
      </w:pPr>
    </w:p>
    <w:p w14:paraId="3180360F" w14:textId="506E2EDA" w:rsidR="002D4A1C" w:rsidRPr="00C56699" w:rsidRDefault="002D4A1C" w:rsidP="003716DE">
      <w:pPr>
        <w:rPr>
          <w:rFonts w:ascii="Arial" w:hAnsi="Arial" w:cs="Arial"/>
          <w:lang w:val="en-GB"/>
        </w:rPr>
      </w:pPr>
    </w:p>
    <w:p w14:paraId="2E084800" w14:textId="64C7370D" w:rsidR="002D4A1C" w:rsidRPr="00C56699" w:rsidRDefault="002D4A1C" w:rsidP="003716DE">
      <w:pPr>
        <w:rPr>
          <w:rFonts w:ascii="Arial" w:hAnsi="Arial" w:cs="Arial"/>
          <w:lang w:val="en-GB"/>
        </w:rPr>
      </w:pPr>
      <w:r w:rsidRPr="00C56699">
        <w:rPr>
          <w:rFonts w:ascii="Arial" w:hAnsi="Arial" w:cs="Arial"/>
          <w:lang w:val="en-GB"/>
        </w:rPr>
        <w:t>Figure 6</w:t>
      </w:r>
    </w:p>
    <w:p w14:paraId="2234528C" w14:textId="1BA7C49B" w:rsidR="00035E3E" w:rsidRPr="00C56699" w:rsidRDefault="00A20B69" w:rsidP="003716DE">
      <w:pPr>
        <w:rPr>
          <w:rFonts w:ascii="Arial" w:hAnsi="Arial" w:cs="Arial"/>
          <w:lang w:val="en-GB"/>
        </w:rPr>
      </w:pPr>
      <w:r w:rsidRPr="00C56699">
        <w:rPr>
          <w:rFonts w:ascii="Arial" w:hAnsi="Arial" w:cs="Arial"/>
          <w:noProof/>
          <w:lang w:val="en-GB" w:eastAsia="en-GB"/>
        </w:rPr>
        <w:lastRenderedPageBreak/>
        <w:drawing>
          <wp:inline distT="0" distB="0" distL="0" distR="0" wp14:anchorId="44B919FB" wp14:editId="086A5323">
            <wp:extent cx="5943600" cy="334327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tif"/>
                    <pic:cNvPicPr/>
                  </pic:nvPicPr>
                  <pic:blipFill>
                    <a:blip r:embed="rId16"/>
                    <a:stretch>
                      <a:fillRect/>
                    </a:stretch>
                  </pic:blipFill>
                  <pic:spPr>
                    <a:xfrm>
                      <a:off x="0" y="0"/>
                      <a:ext cx="5943600" cy="3343275"/>
                    </a:xfrm>
                    <a:prstGeom prst="rect">
                      <a:avLst/>
                    </a:prstGeom>
                    <a:ln>
                      <a:solidFill>
                        <a:schemeClr val="tx1"/>
                      </a:solidFill>
                    </a:ln>
                  </pic:spPr>
                </pic:pic>
              </a:graphicData>
            </a:graphic>
          </wp:inline>
        </w:drawing>
      </w:r>
    </w:p>
    <w:sectPr w:rsidR="00035E3E" w:rsidRPr="00C56699" w:rsidSect="003F3640">
      <w:pgSz w:w="12240" w:h="15840"/>
      <w:pgMar w:top="1440" w:right="1440" w:bottom="1440" w:left="1440"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43" w:usb2="00000009" w:usb3="00000000" w:csb0="000001FF" w:csb1="00000000"/>
  </w:font>
  <w:font w:name="Yu Mincho">
    <w:charset w:val="80"/>
    <w:family w:val="roman"/>
    <w:pitch w:val="variable"/>
    <w:sig w:usb0="800002E7" w:usb1="2AC7FCFF" w:usb2="00000012" w:usb3="00000000" w:csb0="0002009F" w:csb1="00000000"/>
  </w:font>
  <w:font w:name="Arial (Theme Body CS)">
    <w:altName w:val="Arial"/>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E5F0D44C"/>
    <w:lvl w:ilvl="0">
      <w:start w:val="1"/>
      <w:numFmt w:val="decimal"/>
      <w:pStyle w:val="ListNumber"/>
      <w:lvlText w:val="%1."/>
      <w:lvlJc w:val="left"/>
      <w:pPr>
        <w:tabs>
          <w:tab w:val="num" w:pos="1080"/>
        </w:tabs>
        <w:ind w:left="1080" w:hanging="360"/>
      </w:pPr>
      <w:rPr>
        <w:rFonts w:hint="default"/>
      </w:rPr>
    </w:lvl>
  </w:abstractNum>
  <w:abstractNum w:abstractNumId="1" w15:restartNumberingAfterBreak="0">
    <w:nsid w:val="01A83FBC"/>
    <w:multiLevelType w:val="multilevel"/>
    <w:tmpl w:val="C5CA7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0A1253"/>
    <w:multiLevelType w:val="multilevel"/>
    <w:tmpl w:val="38C41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54C4A76"/>
    <w:multiLevelType w:val="multilevel"/>
    <w:tmpl w:val="95729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B4C3B8A"/>
    <w:multiLevelType w:val="multilevel"/>
    <w:tmpl w:val="B1D6D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0795C11"/>
    <w:multiLevelType w:val="multilevel"/>
    <w:tmpl w:val="6FBAC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0E75A87"/>
    <w:multiLevelType w:val="multilevel"/>
    <w:tmpl w:val="4C805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6B02054"/>
    <w:multiLevelType w:val="multilevel"/>
    <w:tmpl w:val="E5741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30A7E6C"/>
    <w:multiLevelType w:val="multilevel"/>
    <w:tmpl w:val="78E2F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A8C7062"/>
    <w:multiLevelType w:val="multilevel"/>
    <w:tmpl w:val="45983F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11363CE"/>
    <w:multiLevelType w:val="multilevel"/>
    <w:tmpl w:val="4E4AC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635550D"/>
    <w:multiLevelType w:val="multilevel"/>
    <w:tmpl w:val="1B5E4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68E06E0"/>
    <w:multiLevelType w:val="multilevel"/>
    <w:tmpl w:val="C5E20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7B41589"/>
    <w:multiLevelType w:val="multilevel"/>
    <w:tmpl w:val="A43E7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8B45310"/>
    <w:multiLevelType w:val="multilevel"/>
    <w:tmpl w:val="B4546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0"/>
    <w:lvlOverride w:ilvl="0">
      <w:startOverride w:val="1"/>
    </w:lvlOverride>
  </w:num>
  <w:num w:numId="3">
    <w:abstractNumId w:val="12"/>
  </w:num>
  <w:num w:numId="4">
    <w:abstractNumId w:val="2"/>
  </w:num>
  <w:num w:numId="5">
    <w:abstractNumId w:val="1"/>
  </w:num>
  <w:num w:numId="6">
    <w:abstractNumId w:val="13"/>
  </w:num>
  <w:num w:numId="7">
    <w:abstractNumId w:val="14"/>
  </w:num>
  <w:num w:numId="8">
    <w:abstractNumId w:val="11"/>
  </w:num>
  <w:num w:numId="9">
    <w:abstractNumId w:val="3"/>
  </w:num>
  <w:num w:numId="10">
    <w:abstractNumId w:val="5"/>
  </w:num>
  <w:num w:numId="11">
    <w:abstractNumId w:val="9"/>
  </w:num>
  <w:num w:numId="12">
    <w:abstractNumId w:val="10"/>
  </w:num>
  <w:num w:numId="13">
    <w:abstractNumId w:val="4"/>
  </w:num>
  <w:num w:numId="14">
    <w:abstractNumId w:val="7"/>
  </w:num>
  <w:num w:numId="15">
    <w:abstractNumId w:val="8"/>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DMwsTC2NDW1MLA0MDdU0lEKTi0uzszPAykwM64FAMuzu68tAAAA"/>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EB188C"/>
    <w:rsid w:val="000000CA"/>
    <w:rsid w:val="00001465"/>
    <w:rsid w:val="00002979"/>
    <w:rsid w:val="00004074"/>
    <w:rsid w:val="000049B8"/>
    <w:rsid w:val="000058E8"/>
    <w:rsid w:val="00006A59"/>
    <w:rsid w:val="00006DBD"/>
    <w:rsid w:val="00010C9C"/>
    <w:rsid w:val="00011E25"/>
    <w:rsid w:val="0001225E"/>
    <w:rsid w:val="00015431"/>
    <w:rsid w:val="00015C24"/>
    <w:rsid w:val="0001600E"/>
    <w:rsid w:val="0001699C"/>
    <w:rsid w:val="0002040F"/>
    <w:rsid w:val="00021770"/>
    <w:rsid w:val="0002400E"/>
    <w:rsid w:val="00027EAD"/>
    <w:rsid w:val="00031767"/>
    <w:rsid w:val="00031BF4"/>
    <w:rsid w:val="00033613"/>
    <w:rsid w:val="00034869"/>
    <w:rsid w:val="00035014"/>
    <w:rsid w:val="00035C6B"/>
    <w:rsid w:val="00035E3E"/>
    <w:rsid w:val="00036373"/>
    <w:rsid w:val="0003794D"/>
    <w:rsid w:val="00037CA8"/>
    <w:rsid w:val="0004032F"/>
    <w:rsid w:val="000403E0"/>
    <w:rsid w:val="00041DA8"/>
    <w:rsid w:val="000450EF"/>
    <w:rsid w:val="0004512D"/>
    <w:rsid w:val="00045D64"/>
    <w:rsid w:val="00045DD0"/>
    <w:rsid w:val="0004679E"/>
    <w:rsid w:val="00047834"/>
    <w:rsid w:val="00050C27"/>
    <w:rsid w:val="00051878"/>
    <w:rsid w:val="00053560"/>
    <w:rsid w:val="00054742"/>
    <w:rsid w:val="00062BBB"/>
    <w:rsid w:val="0006505E"/>
    <w:rsid w:val="00065532"/>
    <w:rsid w:val="000700B8"/>
    <w:rsid w:val="00073663"/>
    <w:rsid w:val="000747E3"/>
    <w:rsid w:val="00075A1C"/>
    <w:rsid w:val="00075B95"/>
    <w:rsid w:val="00082FE9"/>
    <w:rsid w:val="0008400D"/>
    <w:rsid w:val="00084CD3"/>
    <w:rsid w:val="0009071E"/>
    <w:rsid w:val="00091CBD"/>
    <w:rsid w:val="000932B8"/>
    <w:rsid w:val="00094D89"/>
    <w:rsid w:val="000959F7"/>
    <w:rsid w:val="00096F90"/>
    <w:rsid w:val="000A0EAF"/>
    <w:rsid w:val="000A25AE"/>
    <w:rsid w:val="000A3006"/>
    <w:rsid w:val="000A4D1B"/>
    <w:rsid w:val="000A55FF"/>
    <w:rsid w:val="000A6460"/>
    <w:rsid w:val="000B0DAA"/>
    <w:rsid w:val="000B2890"/>
    <w:rsid w:val="000C02A1"/>
    <w:rsid w:val="000C3681"/>
    <w:rsid w:val="000C59C4"/>
    <w:rsid w:val="000C6CF9"/>
    <w:rsid w:val="000C7C7E"/>
    <w:rsid w:val="000D1EB1"/>
    <w:rsid w:val="000D21AF"/>
    <w:rsid w:val="000D28E9"/>
    <w:rsid w:val="000D4370"/>
    <w:rsid w:val="000D55EF"/>
    <w:rsid w:val="000D6A9F"/>
    <w:rsid w:val="000D6FF3"/>
    <w:rsid w:val="000D782A"/>
    <w:rsid w:val="000D7A50"/>
    <w:rsid w:val="000E25E6"/>
    <w:rsid w:val="000E2BF9"/>
    <w:rsid w:val="000F0299"/>
    <w:rsid w:val="000F0CFB"/>
    <w:rsid w:val="000F3FFD"/>
    <w:rsid w:val="000F5EA8"/>
    <w:rsid w:val="000F6DED"/>
    <w:rsid w:val="00100B6A"/>
    <w:rsid w:val="00103D5E"/>
    <w:rsid w:val="00105149"/>
    <w:rsid w:val="00105256"/>
    <w:rsid w:val="00105650"/>
    <w:rsid w:val="00106994"/>
    <w:rsid w:val="001110DA"/>
    <w:rsid w:val="00111ACF"/>
    <w:rsid w:val="0011347A"/>
    <w:rsid w:val="0011378E"/>
    <w:rsid w:val="0011470D"/>
    <w:rsid w:val="00114DBC"/>
    <w:rsid w:val="00115CE6"/>
    <w:rsid w:val="0011656A"/>
    <w:rsid w:val="0011785C"/>
    <w:rsid w:val="00117C71"/>
    <w:rsid w:val="00120DB1"/>
    <w:rsid w:val="0012471F"/>
    <w:rsid w:val="00126DB0"/>
    <w:rsid w:val="0012722C"/>
    <w:rsid w:val="00130985"/>
    <w:rsid w:val="00131646"/>
    <w:rsid w:val="00131999"/>
    <w:rsid w:val="0013220E"/>
    <w:rsid w:val="00133FC5"/>
    <w:rsid w:val="0013554D"/>
    <w:rsid w:val="00135DA1"/>
    <w:rsid w:val="001433CD"/>
    <w:rsid w:val="00143C1D"/>
    <w:rsid w:val="001441AB"/>
    <w:rsid w:val="00145591"/>
    <w:rsid w:val="001459E4"/>
    <w:rsid w:val="001508E7"/>
    <w:rsid w:val="00152F9B"/>
    <w:rsid w:val="00153EAA"/>
    <w:rsid w:val="00153FCC"/>
    <w:rsid w:val="00154035"/>
    <w:rsid w:val="00154A5B"/>
    <w:rsid w:val="00156078"/>
    <w:rsid w:val="00156F24"/>
    <w:rsid w:val="00161E92"/>
    <w:rsid w:val="00161F80"/>
    <w:rsid w:val="00162924"/>
    <w:rsid w:val="00163919"/>
    <w:rsid w:val="00164F0E"/>
    <w:rsid w:val="001667B7"/>
    <w:rsid w:val="001718E9"/>
    <w:rsid w:val="00171CB0"/>
    <w:rsid w:val="00172A6E"/>
    <w:rsid w:val="00176D25"/>
    <w:rsid w:val="00177EE7"/>
    <w:rsid w:val="0018071A"/>
    <w:rsid w:val="00181B38"/>
    <w:rsid w:val="00181C27"/>
    <w:rsid w:val="0018210B"/>
    <w:rsid w:val="00183EE8"/>
    <w:rsid w:val="00186AC6"/>
    <w:rsid w:val="00187AED"/>
    <w:rsid w:val="00187D9C"/>
    <w:rsid w:val="00187DA6"/>
    <w:rsid w:val="00190AA2"/>
    <w:rsid w:val="0019184A"/>
    <w:rsid w:val="001928FC"/>
    <w:rsid w:val="00192A3A"/>
    <w:rsid w:val="00194871"/>
    <w:rsid w:val="0019584B"/>
    <w:rsid w:val="001A2F1D"/>
    <w:rsid w:val="001A5A6D"/>
    <w:rsid w:val="001A5B5A"/>
    <w:rsid w:val="001A7816"/>
    <w:rsid w:val="001B0317"/>
    <w:rsid w:val="001B04AA"/>
    <w:rsid w:val="001B3E9B"/>
    <w:rsid w:val="001B3FA9"/>
    <w:rsid w:val="001B4953"/>
    <w:rsid w:val="001B5432"/>
    <w:rsid w:val="001B7E72"/>
    <w:rsid w:val="001C0210"/>
    <w:rsid w:val="001C0CA1"/>
    <w:rsid w:val="001C1BD9"/>
    <w:rsid w:val="001C394A"/>
    <w:rsid w:val="001C6F8A"/>
    <w:rsid w:val="001C7966"/>
    <w:rsid w:val="001C7F69"/>
    <w:rsid w:val="001D0877"/>
    <w:rsid w:val="001D1B0E"/>
    <w:rsid w:val="001D1F4E"/>
    <w:rsid w:val="001D371C"/>
    <w:rsid w:val="001D3BF0"/>
    <w:rsid w:val="001D3CF2"/>
    <w:rsid w:val="001D49C6"/>
    <w:rsid w:val="001D4C21"/>
    <w:rsid w:val="001E142A"/>
    <w:rsid w:val="001E3F60"/>
    <w:rsid w:val="001E5556"/>
    <w:rsid w:val="001E5A6D"/>
    <w:rsid w:val="001F2BF3"/>
    <w:rsid w:val="001F3190"/>
    <w:rsid w:val="001F36BD"/>
    <w:rsid w:val="001F624A"/>
    <w:rsid w:val="001F6662"/>
    <w:rsid w:val="001F712C"/>
    <w:rsid w:val="00200D12"/>
    <w:rsid w:val="00202452"/>
    <w:rsid w:val="002026DB"/>
    <w:rsid w:val="002031AA"/>
    <w:rsid w:val="00204FDF"/>
    <w:rsid w:val="00212C3C"/>
    <w:rsid w:val="00213CD3"/>
    <w:rsid w:val="00214933"/>
    <w:rsid w:val="00214E82"/>
    <w:rsid w:val="0021749E"/>
    <w:rsid w:val="00217E5F"/>
    <w:rsid w:val="00220AC8"/>
    <w:rsid w:val="00221313"/>
    <w:rsid w:val="00221914"/>
    <w:rsid w:val="00221F3E"/>
    <w:rsid w:val="00223170"/>
    <w:rsid w:val="00225973"/>
    <w:rsid w:val="00225C24"/>
    <w:rsid w:val="00225D02"/>
    <w:rsid w:val="00225E5C"/>
    <w:rsid w:val="00226201"/>
    <w:rsid w:val="00226436"/>
    <w:rsid w:val="002273AF"/>
    <w:rsid w:val="00227D22"/>
    <w:rsid w:val="00234B3A"/>
    <w:rsid w:val="002402C0"/>
    <w:rsid w:val="00245067"/>
    <w:rsid w:val="00252862"/>
    <w:rsid w:val="00252B62"/>
    <w:rsid w:val="002538E7"/>
    <w:rsid w:val="0025399D"/>
    <w:rsid w:val="00254673"/>
    <w:rsid w:val="00254689"/>
    <w:rsid w:val="002546B2"/>
    <w:rsid w:val="002549F6"/>
    <w:rsid w:val="0025551B"/>
    <w:rsid w:val="00255F64"/>
    <w:rsid w:val="0025721F"/>
    <w:rsid w:val="00262358"/>
    <w:rsid w:val="00262CE3"/>
    <w:rsid w:val="00271ACD"/>
    <w:rsid w:val="0027327D"/>
    <w:rsid w:val="0027705E"/>
    <w:rsid w:val="00283410"/>
    <w:rsid w:val="002848B5"/>
    <w:rsid w:val="00292ECA"/>
    <w:rsid w:val="002944B2"/>
    <w:rsid w:val="002949FA"/>
    <w:rsid w:val="00294DFD"/>
    <w:rsid w:val="00297539"/>
    <w:rsid w:val="002A51C5"/>
    <w:rsid w:val="002A764E"/>
    <w:rsid w:val="002B0374"/>
    <w:rsid w:val="002B0F21"/>
    <w:rsid w:val="002B235E"/>
    <w:rsid w:val="002B2D4D"/>
    <w:rsid w:val="002B6998"/>
    <w:rsid w:val="002B7CB1"/>
    <w:rsid w:val="002B7E0D"/>
    <w:rsid w:val="002C14E7"/>
    <w:rsid w:val="002C2F42"/>
    <w:rsid w:val="002C3AB4"/>
    <w:rsid w:val="002C4E6F"/>
    <w:rsid w:val="002C506E"/>
    <w:rsid w:val="002C5D12"/>
    <w:rsid w:val="002C5D2B"/>
    <w:rsid w:val="002D197E"/>
    <w:rsid w:val="002D4A1C"/>
    <w:rsid w:val="002D6CD4"/>
    <w:rsid w:val="002D7E47"/>
    <w:rsid w:val="002E1DCB"/>
    <w:rsid w:val="002E1FA6"/>
    <w:rsid w:val="002E28DA"/>
    <w:rsid w:val="002E2903"/>
    <w:rsid w:val="002E5D8B"/>
    <w:rsid w:val="002E6108"/>
    <w:rsid w:val="002E75BB"/>
    <w:rsid w:val="002F17B9"/>
    <w:rsid w:val="002F2820"/>
    <w:rsid w:val="002F3FB6"/>
    <w:rsid w:val="002F61CA"/>
    <w:rsid w:val="002F702C"/>
    <w:rsid w:val="003023E3"/>
    <w:rsid w:val="00305D2F"/>
    <w:rsid w:val="00307FB0"/>
    <w:rsid w:val="0031013B"/>
    <w:rsid w:val="00310C95"/>
    <w:rsid w:val="00311CFC"/>
    <w:rsid w:val="0031287B"/>
    <w:rsid w:val="00313E27"/>
    <w:rsid w:val="00314C08"/>
    <w:rsid w:val="00315404"/>
    <w:rsid w:val="0032006A"/>
    <w:rsid w:val="00320179"/>
    <w:rsid w:val="00320CD4"/>
    <w:rsid w:val="003227B4"/>
    <w:rsid w:val="00325E73"/>
    <w:rsid w:val="00327EC7"/>
    <w:rsid w:val="00330056"/>
    <w:rsid w:val="003309B6"/>
    <w:rsid w:val="00330C91"/>
    <w:rsid w:val="00333463"/>
    <w:rsid w:val="00335DD5"/>
    <w:rsid w:val="0034030B"/>
    <w:rsid w:val="00340B88"/>
    <w:rsid w:val="00342827"/>
    <w:rsid w:val="00343683"/>
    <w:rsid w:val="00343833"/>
    <w:rsid w:val="00345DAB"/>
    <w:rsid w:val="00345EA2"/>
    <w:rsid w:val="003471CF"/>
    <w:rsid w:val="00350866"/>
    <w:rsid w:val="00350ADA"/>
    <w:rsid w:val="003516A6"/>
    <w:rsid w:val="00352C9C"/>
    <w:rsid w:val="00353CDE"/>
    <w:rsid w:val="003548F5"/>
    <w:rsid w:val="00356589"/>
    <w:rsid w:val="0036026D"/>
    <w:rsid w:val="00362F57"/>
    <w:rsid w:val="00363D42"/>
    <w:rsid w:val="00363E7E"/>
    <w:rsid w:val="00364209"/>
    <w:rsid w:val="00365395"/>
    <w:rsid w:val="00366E86"/>
    <w:rsid w:val="00367CD3"/>
    <w:rsid w:val="003716DE"/>
    <w:rsid w:val="00373E72"/>
    <w:rsid w:val="00374998"/>
    <w:rsid w:val="00374B40"/>
    <w:rsid w:val="00377104"/>
    <w:rsid w:val="00377AED"/>
    <w:rsid w:val="00382A3D"/>
    <w:rsid w:val="00384F98"/>
    <w:rsid w:val="0038541E"/>
    <w:rsid w:val="0038595D"/>
    <w:rsid w:val="00385C28"/>
    <w:rsid w:val="003860C0"/>
    <w:rsid w:val="0038680D"/>
    <w:rsid w:val="00387FF2"/>
    <w:rsid w:val="003905ED"/>
    <w:rsid w:val="00391313"/>
    <w:rsid w:val="003925FC"/>
    <w:rsid w:val="003929AE"/>
    <w:rsid w:val="00392D37"/>
    <w:rsid w:val="0039515A"/>
    <w:rsid w:val="0039558F"/>
    <w:rsid w:val="00395934"/>
    <w:rsid w:val="003A138A"/>
    <w:rsid w:val="003A15F9"/>
    <w:rsid w:val="003A1AC1"/>
    <w:rsid w:val="003A206E"/>
    <w:rsid w:val="003A3944"/>
    <w:rsid w:val="003A531A"/>
    <w:rsid w:val="003A5559"/>
    <w:rsid w:val="003A6107"/>
    <w:rsid w:val="003A6DD9"/>
    <w:rsid w:val="003B0F4A"/>
    <w:rsid w:val="003B292D"/>
    <w:rsid w:val="003B29C4"/>
    <w:rsid w:val="003B38E8"/>
    <w:rsid w:val="003C0E3E"/>
    <w:rsid w:val="003C26F2"/>
    <w:rsid w:val="003C2B4B"/>
    <w:rsid w:val="003C393A"/>
    <w:rsid w:val="003C3C83"/>
    <w:rsid w:val="003C64B6"/>
    <w:rsid w:val="003D0E2F"/>
    <w:rsid w:val="003D112E"/>
    <w:rsid w:val="003D1F5D"/>
    <w:rsid w:val="003D1FA8"/>
    <w:rsid w:val="003D2363"/>
    <w:rsid w:val="003D28C9"/>
    <w:rsid w:val="003D2AB2"/>
    <w:rsid w:val="003D4430"/>
    <w:rsid w:val="003D47F1"/>
    <w:rsid w:val="003E3B58"/>
    <w:rsid w:val="003E4CC1"/>
    <w:rsid w:val="003E52A6"/>
    <w:rsid w:val="003E5549"/>
    <w:rsid w:val="003E5CEC"/>
    <w:rsid w:val="003E7061"/>
    <w:rsid w:val="003E7366"/>
    <w:rsid w:val="003F23E0"/>
    <w:rsid w:val="003F3640"/>
    <w:rsid w:val="003F3C65"/>
    <w:rsid w:val="003F54AE"/>
    <w:rsid w:val="003F6368"/>
    <w:rsid w:val="003F6D71"/>
    <w:rsid w:val="003F6F3A"/>
    <w:rsid w:val="00400CB1"/>
    <w:rsid w:val="00402FA0"/>
    <w:rsid w:val="00404695"/>
    <w:rsid w:val="00404CA3"/>
    <w:rsid w:val="0040570A"/>
    <w:rsid w:val="00407B32"/>
    <w:rsid w:val="00411DA0"/>
    <w:rsid w:val="0041289A"/>
    <w:rsid w:val="00413342"/>
    <w:rsid w:val="00413653"/>
    <w:rsid w:val="00414842"/>
    <w:rsid w:val="00414B77"/>
    <w:rsid w:val="00415D4E"/>
    <w:rsid w:val="0041693D"/>
    <w:rsid w:val="00417E4B"/>
    <w:rsid w:val="00417FCC"/>
    <w:rsid w:val="004219FD"/>
    <w:rsid w:val="00422425"/>
    <w:rsid w:val="00422DA8"/>
    <w:rsid w:val="004233B7"/>
    <w:rsid w:val="0042682D"/>
    <w:rsid w:val="004315F8"/>
    <w:rsid w:val="00431904"/>
    <w:rsid w:val="00432A6B"/>
    <w:rsid w:val="00433DA8"/>
    <w:rsid w:val="004353EA"/>
    <w:rsid w:val="00435E60"/>
    <w:rsid w:val="0043746A"/>
    <w:rsid w:val="004379B2"/>
    <w:rsid w:val="00440F96"/>
    <w:rsid w:val="00444260"/>
    <w:rsid w:val="00444844"/>
    <w:rsid w:val="00444E35"/>
    <w:rsid w:val="004459C5"/>
    <w:rsid w:val="00446817"/>
    <w:rsid w:val="004475DA"/>
    <w:rsid w:val="0045125B"/>
    <w:rsid w:val="00452962"/>
    <w:rsid w:val="00463428"/>
    <w:rsid w:val="00463891"/>
    <w:rsid w:val="00463C39"/>
    <w:rsid w:val="00464BA2"/>
    <w:rsid w:val="004664E6"/>
    <w:rsid w:val="00467080"/>
    <w:rsid w:val="00474F86"/>
    <w:rsid w:val="004751BE"/>
    <w:rsid w:val="0047683C"/>
    <w:rsid w:val="00480565"/>
    <w:rsid w:val="00480C80"/>
    <w:rsid w:val="00480F8C"/>
    <w:rsid w:val="00480FA3"/>
    <w:rsid w:val="004810F8"/>
    <w:rsid w:val="00482064"/>
    <w:rsid w:val="004820CB"/>
    <w:rsid w:val="00482366"/>
    <w:rsid w:val="00482C5C"/>
    <w:rsid w:val="00483980"/>
    <w:rsid w:val="00484D46"/>
    <w:rsid w:val="00487958"/>
    <w:rsid w:val="00487B22"/>
    <w:rsid w:val="00490E50"/>
    <w:rsid w:val="00493AA7"/>
    <w:rsid w:val="00493C8D"/>
    <w:rsid w:val="004979D3"/>
    <w:rsid w:val="004A09E5"/>
    <w:rsid w:val="004A15FA"/>
    <w:rsid w:val="004A209D"/>
    <w:rsid w:val="004A6AA3"/>
    <w:rsid w:val="004A6D0C"/>
    <w:rsid w:val="004A779C"/>
    <w:rsid w:val="004B0A40"/>
    <w:rsid w:val="004B1757"/>
    <w:rsid w:val="004B28F0"/>
    <w:rsid w:val="004B54D4"/>
    <w:rsid w:val="004B5EB9"/>
    <w:rsid w:val="004B6344"/>
    <w:rsid w:val="004B6FC9"/>
    <w:rsid w:val="004C028A"/>
    <w:rsid w:val="004C076D"/>
    <w:rsid w:val="004C0F4B"/>
    <w:rsid w:val="004C1E40"/>
    <w:rsid w:val="004C460A"/>
    <w:rsid w:val="004C5826"/>
    <w:rsid w:val="004D4BFC"/>
    <w:rsid w:val="004D5383"/>
    <w:rsid w:val="004E287F"/>
    <w:rsid w:val="004E3DFF"/>
    <w:rsid w:val="004E5F81"/>
    <w:rsid w:val="004E5F97"/>
    <w:rsid w:val="004E61D9"/>
    <w:rsid w:val="004E7020"/>
    <w:rsid w:val="004E7513"/>
    <w:rsid w:val="004F3CD2"/>
    <w:rsid w:val="004F4E9C"/>
    <w:rsid w:val="004F5F3B"/>
    <w:rsid w:val="004F66E5"/>
    <w:rsid w:val="00503B88"/>
    <w:rsid w:val="00504238"/>
    <w:rsid w:val="00505438"/>
    <w:rsid w:val="00505644"/>
    <w:rsid w:val="005059CC"/>
    <w:rsid w:val="00506A44"/>
    <w:rsid w:val="00510219"/>
    <w:rsid w:val="00510415"/>
    <w:rsid w:val="005104F3"/>
    <w:rsid w:val="00514192"/>
    <w:rsid w:val="0051479B"/>
    <w:rsid w:val="00514A4B"/>
    <w:rsid w:val="00514C52"/>
    <w:rsid w:val="00514F37"/>
    <w:rsid w:val="0051541E"/>
    <w:rsid w:val="00520621"/>
    <w:rsid w:val="005227C7"/>
    <w:rsid w:val="0052479A"/>
    <w:rsid w:val="00524D46"/>
    <w:rsid w:val="005255B0"/>
    <w:rsid w:val="005259A9"/>
    <w:rsid w:val="00527754"/>
    <w:rsid w:val="005316C0"/>
    <w:rsid w:val="005372A4"/>
    <w:rsid w:val="0053752C"/>
    <w:rsid w:val="00537605"/>
    <w:rsid w:val="005405A9"/>
    <w:rsid w:val="0054068F"/>
    <w:rsid w:val="0054159F"/>
    <w:rsid w:val="0054192C"/>
    <w:rsid w:val="00542CBA"/>
    <w:rsid w:val="005442D3"/>
    <w:rsid w:val="00545FFA"/>
    <w:rsid w:val="00546216"/>
    <w:rsid w:val="00547D71"/>
    <w:rsid w:val="00547D8A"/>
    <w:rsid w:val="005508E6"/>
    <w:rsid w:val="00550D46"/>
    <w:rsid w:val="00555061"/>
    <w:rsid w:val="00555B29"/>
    <w:rsid w:val="0055612A"/>
    <w:rsid w:val="00556F23"/>
    <w:rsid w:val="00560770"/>
    <w:rsid w:val="00561616"/>
    <w:rsid w:val="005631F0"/>
    <w:rsid w:val="00563780"/>
    <w:rsid w:val="00563E9C"/>
    <w:rsid w:val="005642AE"/>
    <w:rsid w:val="00564652"/>
    <w:rsid w:val="00564E27"/>
    <w:rsid w:val="00567374"/>
    <w:rsid w:val="00567A37"/>
    <w:rsid w:val="00567A5E"/>
    <w:rsid w:val="0057406A"/>
    <w:rsid w:val="00574CF8"/>
    <w:rsid w:val="005754E0"/>
    <w:rsid w:val="00575DB5"/>
    <w:rsid w:val="0057616E"/>
    <w:rsid w:val="005777C3"/>
    <w:rsid w:val="00581FC4"/>
    <w:rsid w:val="005822D2"/>
    <w:rsid w:val="0058271B"/>
    <w:rsid w:val="00583019"/>
    <w:rsid w:val="005830C4"/>
    <w:rsid w:val="00583D8D"/>
    <w:rsid w:val="00583E35"/>
    <w:rsid w:val="00590C7E"/>
    <w:rsid w:val="0059104A"/>
    <w:rsid w:val="00591685"/>
    <w:rsid w:val="00592682"/>
    <w:rsid w:val="005A0647"/>
    <w:rsid w:val="005A1380"/>
    <w:rsid w:val="005A2DA8"/>
    <w:rsid w:val="005A644F"/>
    <w:rsid w:val="005A688A"/>
    <w:rsid w:val="005A710E"/>
    <w:rsid w:val="005B0503"/>
    <w:rsid w:val="005B2B25"/>
    <w:rsid w:val="005B3D6F"/>
    <w:rsid w:val="005B681B"/>
    <w:rsid w:val="005C0627"/>
    <w:rsid w:val="005C1BE2"/>
    <w:rsid w:val="005C1C0F"/>
    <w:rsid w:val="005C53A9"/>
    <w:rsid w:val="005C57A4"/>
    <w:rsid w:val="005C6D36"/>
    <w:rsid w:val="005C78E6"/>
    <w:rsid w:val="005D1A3C"/>
    <w:rsid w:val="005D35A3"/>
    <w:rsid w:val="005D4F38"/>
    <w:rsid w:val="005D4F4E"/>
    <w:rsid w:val="005D6BE0"/>
    <w:rsid w:val="005D70E5"/>
    <w:rsid w:val="005D74C3"/>
    <w:rsid w:val="005D7DC2"/>
    <w:rsid w:val="005E1C79"/>
    <w:rsid w:val="005E4FFC"/>
    <w:rsid w:val="005E5805"/>
    <w:rsid w:val="005E6E53"/>
    <w:rsid w:val="005F0219"/>
    <w:rsid w:val="005F04C6"/>
    <w:rsid w:val="005F26FE"/>
    <w:rsid w:val="005F4EE7"/>
    <w:rsid w:val="005F5CA5"/>
    <w:rsid w:val="005F7304"/>
    <w:rsid w:val="005F77A4"/>
    <w:rsid w:val="00600F00"/>
    <w:rsid w:val="0060292C"/>
    <w:rsid w:val="006046E2"/>
    <w:rsid w:val="006048AA"/>
    <w:rsid w:val="006058BE"/>
    <w:rsid w:val="0060595E"/>
    <w:rsid w:val="006103E9"/>
    <w:rsid w:val="00612EC4"/>
    <w:rsid w:val="00612EEF"/>
    <w:rsid w:val="0061585B"/>
    <w:rsid w:val="00615995"/>
    <w:rsid w:val="0062088E"/>
    <w:rsid w:val="00621A3E"/>
    <w:rsid w:val="00623CC8"/>
    <w:rsid w:val="00625F7D"/>
    <w:rsid w:val="00630934"/>
    <w:rsid w:val="00630FE5"/>
    <w:rsid w:val="006311B2"/>
    <w:rsid w:val="006320E0"/>
    <w:rsid w:val="006330AD"/>
    <w:rsid w:val="0063411C"/>
    <w:rsid w:val="00634B5A"/>
    <w:rsid w:val="0063629A"/>
    <w:rsid w:val="0063634A"/>
    <w:rsid w:val="00637EF0"/>
    <w:rsid w:val="00642451"/>
    <w:rsid w:val="0064403D"/>
    <w:rsid w:val="006502D0"/>
    <w:rsid w:val="006554B3"/>
    <w:rsid w:val="00656DC1"/>
    <w:rsid w:val="00657C78"/>
    <w:rsid w:val="00661922"/>
    <w:rsid w:val="006622C9"/>
    <w:rsid w:val="006624AF"/>
    <w:rsid w:val="00663AB8"/>
    <w:rsid w:val="00673DBF"/>
    <w:rsid w:val="00675A00"/>
    <w:rsid w:val="00676ED0"/>
    <w:rsid w:val="00676F85"/>
    <w:rsid w:val="00677390"/>
    <w:rsid w:val="00681199"/>
    <w:rsid w:val="00681A47"/>
    <w:rsid w:val="00681A74"/>
    <w:rsid w:val="00682C4C"/>
    <w:rsid w:val="0069012A"/>
    <w:rsid w:val="00690D4A"/>
    <w:rsid w:val="00692996"/>
    <w:rsid w:val="00694065"/>
    <w:rsid w:val="006A2A27"/>
    <w:rsid w:val="006A3324"/>
    <w:rsid w:val="006A3788"/>
    <w:rsid w:val="006A67A9"/>
    <w:rsid w:val="006A6C90"/>
    <w:rsid w:val="006B003E"/>
    <w:rsid w:val="006B0EE5"/>
    <w:rsid w:val="006B1598"/>
    <w:rsid w:val="006B1AC2"/>
    <w:rsid w:val="006B20D8"/>
    <w:rsid w:val="006B42C6"/>
    <w:rsid w:val="006B432E"/>
    <w:rsid w:val="006B4744"/>
    <w:rsid w:val="006B6053"/>
    <w:rsid w:val="006C315F"/>
    <w:rsid w:val="006C3A47"/>
    <w:rsid w:val="006C748D"/>
    <w:rsid w:val="006D05DF"/>
    <w:rsid w:val="006D0D8F"/>
    <w:rsid w:val="006D1F47"/>
    <w:rsid w:val="006D2165"/>
    <w:rsid w:val="006D3752"/>
    <w:rsid w:val="006D54A1"/>
    <w:rsid w:val="006D5C79"/>
    <w:rsid w:val="006D7887"/>
    <w:rsid w:val="006E105F"/>
    <w:rsid w:val="006E27B3"/>
    <w:rsid w:val="006E3A01"/>
    <w:rsid w:val="006E636F"/>
    <w:rsid w:val="006F005A"/>
    <w:rsid w:val="006F11A6"/>
    <w:rsid w:val="006F3E0E"/>
    <w:rsid w:val="006F62D9"/>
    <w:rsid w:val="0070498A"/>
    <w:rsid w:val="0071078E"/>
    <w:rsid w:val="00711AC0"/>
    <w:rsid w:val="00712582"/>
    <w:rsid w:val="00712F60"/>
    <w:rsid w:val="00720078"/>
    <w:rsid w:val="0072009C"/>
    <w:rsid w:val="00720686"/>
    <w:rsid w:val="00730202"/>
    <w:rsid w:val="007303FC"/>
    <w:rsid w:val="00731F4B"/>
    <w:rsid w:val="00734C40"/>
    <w:rsid w:val="00742AB9"/>
    <w:rsid w:val="00743062"/>
    <w:rsid w:val="0074454B"/>
    <w:rsid w:val="00745503"/>
    <w:rsid w:val="00745820"/>
    <w:rsid w:val="007462C8"/>
    <w:rsid w:val="0075220A"/>
    <w:rsid w:val="007545DA"/>
    <w:rsid w:val="00757AC5"/>
    <w:rsid w:val="00760389"/>
    <w:rsid w:val="007619A7"/>
    <w:rsid w:val="00761CEE"/>
    <w:rsid w:val="007672A7"/>
    <w:rsid w:val="00770D04"/>
    <w:rsid w:val="00771EC3"/>
    <w:rsid w:val="007733CA"/>
    <w:rsid w:val="007736B8"/>
    <w:rsid w:val="00774906"/>
    <w:rsid w:val="00775760"/>
    <w:rsid w:val="0077599E"/>
    <w:rsid w:val="00777548"/>
    <w:rsid w:val="007815CC"/>
    <w:rsid w:val="007822C3"/>
    <w:rsid w:val="007855D3"/>
    <w:rsid w:val="00785CD7"/>
    <w:rsid w:val="00786CEF"/>
    <w:rsid w:val="007879B1"/>
    <w:rsid w:val="00791965"/>
    <w:rsid w:val="0079526A"/>
    <w:rsid w:val="007965B2"/>
    <w:rsid w:val="007A1494"/>
    <w:rsid w:val="007A2C16"/>
    <w:rsid w:val="007A74DE"/>
    <w:rsid w:val="007B1AA1"/>
    <w:rsid w:val="007B264B"/>
    <w:rsid w:val="007B2F17"/>
    <w:rsid w:val="007B371C"/>
    <w:rsid w:val="007B5A16"/>
    <w:rsid w:val="007C17D9"/>
    <w:rsid w:val="007C1D05"/>
    <w:rsid w:val="007C3BB4"/>
    <w:rsid w:val="007C49D2"/>
    <w:rsid w:val="007D1C09"/>
    <w:rsid w:val="007D6A95"/>
    <w:rsid w:val="007E209B"/>
    <w:rsid w:val="007E3B2A"/>
    <w:rsid w:val="007E4188"/>
    <w:rsid w:val="007F2A68"/>
    <w:rsid w:val="007F4A59"/>
    <w:rsid w:val="007F5A56"/>
    <w:rsid w:val="007F6780"/>
    <w:rsid w:val="007F7525"/>
    <w:rsid w:val="007F75DF"/>
    <w:rsid w:val="008004D4"/>
    <w:rsid w:val="00802418"/>
    <w:rsid w:val="00804126"/>
    <w:rsid w:val="008048B7"/>
    <w:rsid w:val="00804C72"/>
    <w:rsid w:val="00806359"/>
    <w:rsid w:val="00810B83"/>
    <w:rsid w:val="008111E6"/>
    <w:rsid w:val="0081137E"/>
    <w:rsid w:val="008120DA"/>
    <w:rsid w:val="00812B08"/>
    <w:rsid w:val="00814B63"/>
    <w:rsid w:val="00820404"/>
    <w:rsid w:val="00822010"/>
    <w:rsid w:val="0082258D"/>
    <w:rsid w:val="00822EF6"/>
    <w:rsid w:val="008346A3"/>
    <w:rsid w:val="008421DD"/>
    <w:rsid w:val="00843C45"/>
    <w:rsid w:val="008458C2"/>
    <w:rsid w:val="00846C4D"/>
    <w:rsid w:val="00847037"/>
    <w:rsid w:val="00847169"/>
    <w:rsid w:val="00847F1D"/>
    <w:rsid w:val="00851D81"/>
    <w:rsid w:val="00855664"/>
    <w:rsid w:val="00855ED5"/>
    <w:rsid w:val="0086060A"/>
    <w:rsid w:val="00860D82"/>
    <w:rsid w:val="00860F1B"/>
    <w:rsid w:val="008658AB"/>
    <w:rsid w:val="0086593F"/>
    <w:rsid w:val="008659C9"/>
    <w:rsid w:val="00867708"/>
    <w:rsid w:val="00870F9B"/>
    <w:rsid w:val="00872C2B"/>
    <w:rsid w:val="008734B2"/>
    <w:rsid w:val="00874F7D"/>
    <w:rsid w:val="008811AE"/>
    <w:rsid w:val="0088166C"/>
    <w:rsid w:val="008819C7"/>
    <w:rsid w:val="00883B1B"/>
    <w:rsid w:val="00884B92"/>
    <w:rsid w:val="00885161"/>
    <w:rsid w:val="00885D44"/>
    <w:rsid w:val="008873CF"/>
    <w:rsid w:val="00887EAA"/>
    <w:rsid w:val="00892700"/>
    <w:rsid w:val="00893C85"/>
    <w:rsid w:val="008A4DA7"/>
    <w:rsid w:val="008A63B3"/>
    <w:rsid w:val="008B0931"/>
    <w:rsid w:val="008B0956"/>
    <w:rsid w:val="008B13BB"/>
    <w:rsid w:val="008B207A"/>
    <w:rsid w:val="008B2304"/>
    <w:rsid w:val="008B47B1"/>
    <w:rsid w:val="008B6729"/>
    <w:rsid w:val="008B694E"/>
    <w:rsid w:val="008B6F21"/>
    <w:rsid w:val="008B7785"/>
    <w:rsid w:val="008B7A9E"/>
    <w:rsid w:val="008B7D43"/>
    <w:rsid w:val="008C0C07"/>
    <w:rsid w:val="008C1A17"/>
    <w:rsid w:val="008C2A69"/>
    <w:rsid w:val="008C40DF"/>
    <w:rsid w:val="008C5E8F"/>
    <w:rsid w:val="008C7369"/>
    <w:rsid w:val="008C780C"/>
    <w:rsid w:val="008D0979"/>
    <w:rsid w:val="008D1B6D"/>
    <w:rsid w:val="008D384C"/>
    <w:rsid w:val="008D5173"/>
    <w:rsid w:val="008D599B"/>
    <w:rsid w:val="008D7D61"/>
    <w:rsid w:val="008E0794"/>
    <w:rsid w:val="008E1155"/>
    <w:rsid w:val="008E2CEF"/>
    <w:rsid w:val="008E5435"/>
    <w:rsid w:val="008F0C62"/>
    <w:rsid w:val="008F117C"/>
    <w:rsid w:val="008F12B3"/>
    <w:rsid w:val="008F4447"/>
    <w:rsid w:val="008F665A"/>
    <w:rsid w:val="008F76B9"/>
    <w:rsid w:val="009040ED"/>
    <w:rsid w:val="0090423F"/>
    <w:rsid w:val="00904C1A"/>
    <w:rsid w:val="00910738"/>
    <w:rsid w:val="00911D25"/>
    <w:rsid w:val="009145B8"/>
    <w:rsid w:val="009149C7"/>
    <w:rsid w:val="00921926"/>
    <w:rsid w:val="00922BE1"/>
    <w:rsid w:val="0092768B"/>
    <w:rsid w:val="00927F92"/>
    <w:rsid w:val="00932B6A"/>
    <w:rsid w:val="00933B3A"/>
    <w:rsid w:val="00936279"/>
    <w:rsid w:val="0094007A"/>
    <w:rsid w:val="00940EF0"/>
    <w:rsid w:val="00940F0C"/>
    <w:rsid w:val="009448F0"/>
    <w:rsid w:val="0094536C"/>
    <w:rsid w:val="009501DC"/>
    <w:rsid w:val="00954539"/>
    <w:rsid w:val="00956852"/>
    <w:rsid w:val="00957387"/>
    <w:rsid w:val="009602CC"/>
    <w:rsid w:val="00960307"/>
    <w:rsid w:val="009623B2"/>
    <w:rsid w:val="009636E4"/>
    <w:rsid w:val="009639E5"/>
    <w:rsid w:val="00964B83"/>
    <w:rsid w:val="0097002D"/>
    <w:rsid w:val="00971C2A"/>
    <w:rsid w:val="00971E9B"/>
    <w:rsid w:val="00972D7F"/>
    <w:rsid w:val="009802E4"/>
    <w:rsid w:val="0098059A"/>
    <w:rsid w:val="009824CC"/>
    <w:rsid w:val="009824D3"/>
    <w:rsid w:val="00982F38"/>
    <w:rsid w:val="00983DFE"/>
    <w:rsid w:val="009856D1"/>
    <w:rsid w:val="00985735"/>
    <w:rsid w:val="0098612A"/>
    <w:rsid w:val="00987188"/>
    <w:rsid w:val="009875BE"/>
    <w:rsid w:val="009901B5"/>
    <w:rsid w:val="009950C2"/>
    <w:rsid w:val="009B0BB4"/>
    <w:rsid w:val="009B2A1C"/>
    <w:rsid w:val="009B68AA"/>
    <w:rsid w:val="009B7505"/>
    <w:rsid w:val="009C0861"/>
    <w:rsid w:val="009C12CE"/>
    <w:rsid w:val="009C2207"/>
    <w:rsid w:val="009C3BA6"/>
    <w:rsid w:val="009C661F"/>
    <w:rsid w:val="009C74EC"/>
    <w:rsid w:val="009D01A2"/>
    <w:rsid w:val="009D0B12"/>
    <w:rsid w:val="009D0F4D"/>
    <w:rsid w:val="009D2039"/>
    <w:rsid w:val="009D223E"/>
    <w:rsid w:val="009D2649"/>
    <w:rsid w:val="009D335A"/>
    <w:rsid w:val="009D500F"/>
    <w:rsid w:val="009D556E"/>
    <w:rsid w:val="009D7827"/>
    <w:rsid w:val="009E10B1"/>
    <w:rsid w:val="009E1440"/>
    <w:rsid w:val="009E14F7"/>
    <w:rsid w:val="009E190D"/>
    <w:rsid w:val="009E1B5A"/>
    <w:rsid w:val="009E246C"/>
    <w:rsid w:val="009E2FEF"/>
    <w:rsid w:val="009E495E"/>
    <w:rsid w:val="009E5F48"/>
    <w:rsid w:val="009E7071"/>
    <w:rsid w:val="009F0C23"/>
    <w:rsid w:val="009F693E"/>
    <w:rsid w:val="00A025D4"/>
    <w:rsid w:val="00A040B1"/>
    <w:rsid w:val="00A10F06"/>
    <w:rsid w:val="00A1126A"/>
    <w:rsid w:val="00A11524"/>
    <w:rsid w:val="00A12EE8"/>
    <w:rsid w:val="00A13F87"/>
    <w:rsid w:val="00A15A92"/>
    <w:rsid w:val="00A15E6E"/>
    <w:rsid w:val="00A1614F"/>
    <w:rsid w:val="00A178C5"/>
    <w:rsid w:val="00A2083B"/>
    <w:rsid w:val="00A20B69"/>
    <w:rsid w:val="00A24E83"/>
    <w:rsid w:val="00A25663"/>
    <w:rsid w:val="00A30932"/>
    <w:rsid w:val="00A30F6F"/>
    <w:rsid w:val="00A320B1"/>
    <w:rsid w:val="00A32466"/>
    <w:rsid w:val="00A34F56"/>
    <w:rsid w:val="00A350BD"/>
    <w:rsid w:val="00A40B91"/>
    <w:rsid w:val="00A43C79"/>
    <w:rsid w:val="00A43D77"/>
    <w:rsid w:val="00A4402D"/>
    <w:rsid w:val="00A4491B"/>
    <w:rsid w:val="00A44AEF"/>
    <w:rsid w:val="00A44E96"/>
    <w:rsid w:val="00A46F53"/>
    <w:rsid w:val="00A478F8"/>
    <w:rsid w:val="00A510A7"/>
    <w:rsid w:val="00A512F5"/>
    <w:rsid w:val="00A518D7"/>
    <w:rsid w:val="00A52312"/>
    <w:rsid w:val="00A53549"/>
    <w:rsid w:val="00A53ACB"/>
    <w:rsid w:val="00A5486A"/>
    <w:rsid w:val="00A55BC0"/>
    <w:rsid w:val="00A568FD"/>
    <w:rsid w:val="00A5721D"/>
    <w:rsid w:val="00A576FF"/>
    <w:rsid w:val="00A6060D"/>
    <w:rsid w:val="00A60C6F"/>
    <w:rsid w:val="00A60E5D"/>
    <w:rsid w:val="00A611A8"/>
    <w:rsid w:val="00A6127B"/>
    <w:rsid w:val="00A61936"/>
    <w:rsid w:val="00A619D4"/>
    <w:rsid w:val="00A62CA5"/>
    <w:rsid w:val="00A64A91"/>
    <w:rsid w:val="00A651C0"/>
    <w:rsid w:val="00A657B1"/>
    <w:rsid w:val="00A66732"/>
    <w:rsid w:val="00A6712A"/>
    <w:rsid w:val="00A7035B"/>
    <w:rsid w:val="00A70B9C"/>
    <w:rsid w:val="00A71788"/>
    <w:rsid w:val="00A736EF"/>
    <w:rsid w:val="00A73AA0"/>
    <w:rsid w:val="00A7691E"/>
    <w:rsid w:val="00A80E7B"/>
    <w:rsid w:val="00A819B7"/>
    <w:rsid w:val="00A85F8B"/>
    <w:rsid w:val="00A8740D"/>
    <w:rsid w:val="00A87E21"/>
    <w:rsid w:val="00A92F27"/>
    <w:rsid w:val="00A94A7B"/>
    <w:rsid w:val="00A977D6"/>
    <w:rsid w:val="00AA129A"/>
    <w:rsid w:val="00AA3E09"/>
    <w:rsid w:val="00AA494A"/>
    <w:rsid w:val="00AA4F43"/>
    <w:rsid w:val="00AA51E7"/>
    <w:rsid w:val="00AA683D"/>
    <w:rsid w:val="00AB1884"/>
    <w:rsid w:val="00AB2950"/>
    <w:rsid w:val="00AB353C"/>
    <w:rsid w:val="00AB4C30"/>
    <w:rsid w:val="00AB4FFE"/>
    <w:rsid w:val="00AB5AB4"/>
    <w:rsid w:val="00AB5C0B"/>
    <w:rsid w:val="00AB5E02"/>
    <w:rsid w:val="00AB6860"/>
    <w:rsid w:val="00AC0FE4"/>
    <w:rsid w:val="00AC2DBE"/>
    <w:rsid w:val="00AC3FA0"/>
    <w:rsid w:val="00AC4277"/>
    <w:rsid w:val="00AC4D51"/>
    <w:rsid w:val="00AC64B5"/>
    <w:rsid w:val="00AD01E3"/>
    <w:rsid w:val="00AD22D2"/>
    <w:rsid w:val="00AD2B8F"/>
    <w:rsid w:val="00AD357E"/>
    <w:rsid w:val="00AD3B43"/>
    <w:rsid w:val="00AE64C1"/>
    <w:rsid w:val="00AE6B05"/>
    <w:rsid w:val="00AE6E34"/>
    <w:rsid w:val="00AF07B5"/>
    <w:rsid w:val="00AF22F5"/>
    <w:rsid w:val="00AF2B05"/>
    <w:rsid w:val="00AF2C47"/>
    <w:rsid w:val="00AF3B1D"/>
    <w:rsid w:val="00AF672C"/>
    <w:rsid w:val="00AF69E0"/>
    <w:rsid w:val="00AF717F"/>
    <w:rsid w:val="00B00789"/>
    <w:rsid w:val="00B03E4A"/>
    <w:rsid w:val="00B04134"/>
    <w:rsid w:val="00B048BF"/>
    <w:rsid w:val="00B04C79"/>
    <w:rsid w:val="00B04DFC"/>
    <w:rsid w:val="00B06DA5"/>
    <w:rsid w:val="00B10FEF"/>
    <w:rsid w:val="00B1377D"/>
    <w:rsid w:val="00B3737A"/>
    <w:rsid w:val="00B4038C"/>
    <w:rsid w:val="00B40CB4"/>
    <w:rsid w:val="00B4406E"/>
    <w:rsid w:val="00B44111"/>
    <w:rsid w:val="00B44612"/>
    <w:rsid w:val="00B44EC4"/>
    <w:rsid w:val="00B45571"/>
    <w:rsid w:val="00B46665"/>
    <w:rsid w:val="00B47E8B"/>
    <w:rsid w:val="00B50C2C"/>
    <w:rsid w:val="00B50F4A"/>
    <w:rsid w:val="00B51AE1"/>
    <w:rsid w:val="00B520F2"/>
    <w:rsid w:val="00B618C5"/>
    <w:rsid w:val="00B620A5"/>
    <w:rsid w:val="00B62B0A"/>
    <w:rsid w:val="00B62F68"/>
    <w:rsid w:val="00B63358"/>
    <w:rsid w:val="00B64FD5"/>
    <w:rsid w:val="00B66ADE"/>
    <w:rsid w:val="00B673F3"/>
    <w:rsid w:val="00B67BCE"/>
    <w:rsid w:val="00B70844"/>
    <w:rsid w:val="00B73791"/>
    <w:rsid w:val="00B73C02"/>
    <w:rsid w:val="00B74E9B"/>
    <w:rsid w:val="00B75CB3"/>
    <w:rsid w:val="00B75D58"/>
    <w:rsid w:val="00B762C0"/>
    <w:rsid w:val="00B77233"/>
    <w:rsid w:val="00B774A4"/>
    <w:rsid w:val="00B801E1"/>
    <w:rsid w:val="00B8248F"/>
    <w:rsid w:val="00B827B9"/>
    <w:rsid w:val="00B84046"/>
    <w:rsid w:val="00B85247"/>
    <w:rsid w:val="00B85A46"/>
    <w:rsid w:val="00B87C01"/>
    <w:rsid w:val="00B91D83"/>
    <w:rsid w:val="00B91EAE"/>
    <w:rsid w:val="00B925FB"/>
    <w:rsid w:val="00B92E68"/>
    <w:rsid w:val="00B93170"/>
    <w:rsid w:val="00B946EA"/>
    <w:rsid w:val="00B94CE8"/>
    <w:rsid w:val="00BA1A6D"/>
    <w:rsid w:val="00BA3E0F"/>
    <w:rsid w:val="00BA51D1"/>
    <w:rsid w:val="00BA5D4A"/>
    <w:rsid w:val="00BA745B"/>
    <w:rsid w:val="00BB0019"/>
    <w:rsid w:val="00BB0111"/>
    <w:rsid w:val="00BB27DE"/>
    <w:rsid w:val="00BB496D"/>
    <w:rsid w:val="00BB5206"/>
    <w:rsid w:val="00BB59B1"/>
    <w:rsid w:val="00BB63B7"/>
    <w:rsid w:val="00BB721E"/>
    <w:rsid w:val="00BB73C8"/>
    <w:rsid w:val="00BC278A"/>
    <w:rsid w:val="00BC2BCD"/>
    <w:rsid w:val="00BC40F5"/>
    <w:rsid w:val="00BC4269"/>
    <w:rsid w:val="00BC4A10"/>
    <w:rsid w:val="00BD17CF"/>
    <w:rsid w:val="00BD225B"/>
    <w:rsid w:val="00BD3CA5"/>
    <w:rsid w:val="00BD509A"/>
    <w:rsid w:val="00BD634D"/>
    <w:rsid w:val="00BD7C20"/>
    <w:rsid w:val="00BE3389"/>
    <w:rsid w:val="00BE3F2C"/>
    <w:rsid w:val="00BE44D9"/>
    <w:rsid w:val="00BE6CF8"/>
    <w:rsid w:val="00BE6EC9"/>
    <w:rsid w:val="00BF10C4"/>
    <w:rsid w:val="00BF3ED3"/>
    <w:rsid w:val="00BF4D12"/>
    <w:rsid w:val="00BF5718"/>
    <w:rsid w:val="00BF7195"/>
    <w:rsid w:val="00C04613"/>
    <w:rsid w:val="00C07931"/>
    <w:rsid w:val="00C11583"/>
    <w:rsid w:val="00C12F6A"/>
    <w:rsid w:val="00C16541"/>
    <w:rsid w:val="00C20FB2"/>
    <w:rsid w:val="00C21C4C"/>
    <w:rsid w:val="00C236CD"/>
    <w:rsid w:val="00C2697C"/>
    <w:rsid w:val="00C3551D"/>
    <w:rsid w:val="00C3722D"/>
    <w:rsid w:val="00C4166C"/>
    <w:rsid w:val="00C432BF"/>
    <w:rsid w:val="00C44388"/>
    <w:rsid w:val="00C44FAD"/>
    <w:rsid w:val="00C45977"/>
    <w:rsid w:val="00C50192"/>
    <w:rsid w:val="00C50544"/>
    <w:rsid w:val="00C509D8"/>
    <w:rsid w:val="00C51DDF"/>
    <w:rsid w:val="00C53BD4"/>
    <w:rsid w:val="00C56699"/>
    <w:rsid w:val="00C568CD"/>
    <w:rsid w:val="00C56B06"/>
    <w:rsid w:val="00C56DB7"/>
    <w:rsid w:val="00C601B2"/>
    <w:rsid w:val="00C61342"/>
    <w:rsid w:val="00C6258D"/>
    <w:rsid w:val="00C62F35"/>
    <w:rsid w:val="00C63C8D"/>
    <w:rsid w:val="00C64157"/>
    <w:rsid w:val="00C65C94"/>
    <w:rsid w:val="00C67A2B"/>
    <w:rsid w:val="00C67E25"/>
    <w:rsid w:val="00C67F47"/>
    <w:rsid w:val="00C7083A"/>
    <w:rsid w:val="00C70E98"/>
    <w:rsid w:val="00C72300"/>
    <w:rsid w:val="00C72F46"/>
    <w:rsid w:val="00C73E04"/>
    <w:rsid w:val="00C8303E"/>
    <w:rsid w:val="00C86E62"/>
    <w:rsid w:val="00C875D7"/>
    <w:rsid w:val="00C87C46"/>
    <w:rsid w:val="00C90D09"/>
    <w:rsid w:val="00C91CFE"/>
    <w:rsid w:val="00C93561"/>
    <w:rsid w:val="00C942C5"/>
    <w:rsid w:val="00C94450"/>
    <w:rsid w:val="00C95A80"/>
    <w:rsid w:val="00C9681B"/>
    <w:rsid w:val="00CA0CB5"/>
    <w:rsid w:val="00CA1C87"/>
    <w:rsid w:val="00CA3C83"/>
    <w:rsid w:val="00CA4C00"/>
    <w:rsid w:val="00CA4F89"/>
    <w:rsid w:val="00CA6348"/>
    <w:rsid w:val="00CA75BE"/>
    <w:rsid w:val="00CB42AD"/>
    <w:rsid w:val="00CB4CEF"/>
    <w:rsid w:val="00CB62F7"/>
    <w:rsid w:val="00CB7523"/>
    <w:rsid w:val="00CB77B0"/>
    <w:rsid w:val="00CC0E38"/>
    <w:rsid w:val="00CD0BFD"/>
    <w:rsid w:val="00CD1615"/>
    <w:rsid w:val="00CD35D9"/>
    <w:rsid w:val="00CD369E"/>
    <w:rsid w:val="00CD47AB"/>
    <w:rsid w:val="00CD5516"/>
    <w:rsid w:val="00CD5C55"/>
    <w:rsid w:val="00CE1167"/>
    <w:rsid w:val="00CE1A4C"/>
    <w:rsid w:val="00CE307B"/>
    <w:rsid w:val="00CE3AD7"/>
    <w:rsid w:val="00CE4471"/>
    <w:rsid w:val="00CE4BD3"/>
    <w:rsid w:val="00CE5F12"/>
    <w:rsid w:val="00CE6714"/>
    <w:rsid w:val="00CF09B9"/>
    <w:rsid w:val="00CF1460"/>
    <w:rsid w:val="00CF221C"/>
    <w:rsid w:val="00CF2C7C"/>
    <w:rsid w:val="00CF3E04"/>
    <w:rsid w:val="00CF4BE5"/>
    <w:rsid w:val="00CF5535"/>
    <w:rsid w:val="00CF58FB"/>
    <w:rsid w:val="00D039D4"/>
    <w:rsid w:val="00D056E3"/>
    <w:rsid w:val="00D11C8E"/>
    <w:rsid w:val="00D12BAD"/>
    <w:rsid w:val="00D13102"/>
    <w:rsid w:val="00D1452D"/>
    <w:rsid w:val="00D20141"/>
    <w:rsid w:val="00D2169A"/>
    <w:rsid w:val="00D222E1"/>
    <w:rsid w:val="00D22DB3"/>
    <w:rsid w:val="00D257DF"/>
    <w:rsid w:val="00D26FC5"/>
    <w:rsid w:val="00D27781"/>
    <w:rsid w:val="00D309BE"/>
    <w:rsid w:val="00D318BF"/>
    <w:rsid w:val="00D31B3A"/>
    <w:rsid w:val="00D321D9"/>
    <w:rsid w:val="00D32BDA"/>
    <w:rsid w:val="00D3487E"/>
    <w:rsid w:val="00D36496"/>
    <w:rsid w:val="00D366A1"/>
    <w:rsid w:val="00D377FD"/>
    <w:rsid w:val="00D41E60"/>
    <w:rsid w:val="00D43549"/>
    <w:rsid w:val="00D438D3"/>
    <w:rsid w:val="00D445C3"/>
    <w:rsid w:val="00D476DC"/>
    <w:rsid w:val="00D511EE"/>
    <w:rsid w:val="00D520F0"/>
    <w:rsid w:val="00D547D8"/>
    <w:rsid w:val="00D54FEF"/>
    <w:rsid w:val="00D55660"/>
    <w:rsid w:val="00D56B3B"/>
    <w:rsid w:val="00D601C5"/>
    <w:rsid w:val="00D60E1A"/>
    <w:rsid w:val="00D62395"/>
    <w:rsid w:val="00D63C94"/>
    <w:rsid w:val="00D63DA7"/>
    <w:rsid w:val="00D6428B"/>
    <w:rsid w:val="00D652F7"/>
    <w:rsid w:val="00D735AF"/>
    <w:rsid w:val="00D73FD1"/>
    <w:rsid w:val="00D74AF9"/>
    <w:rsid w:val="00D75117"/>
    <w:rsid w:val="00D76666"/>
    <w:rsid w:val="00D77B10"/>
    <w:rsid w:val="00D81E61"/>
    <w:rsid w:val="00D83EA4"/>
    <w:rsid w:val="00D86778"/>
    <w:rsid w:val="00D91FA2"/>
    <w:rsid w:val="00D929B5"/>
    <w:rsid w:val="00D951A5"/>
    <w:rsid w:val="00D955AE"/>
    <w:rsid w:val="00D96C4F"/>
    <w:rsid w:val="00D975B3"/>
    <w:rsid w:val="00DA08E9"/>
    <w:rsid w:val="00DA0E15"/>
    <w:rsid w:val="00DA3D8A"/>
    <w:rsid w:val="00DA7ECE"/>
    <w:rsid w:val="00DB0B3B"/>
    <w:rsid w:val="00DB1512"/>
    <w:rsid w:val="00DB176D"/>
    <w:rsid w:val="00DB2B5F"/>
    <w:rsid w:val="00DB45F0"/>
    <w:rsid w:val="00DB4AC7"/>
    <w:rsid w:val="00DB600C"/>
    <w:rsid w:val="00DB6AA1"/>
    <w:rsid w:val="00DC2728"/>
    <w:rsid w:val="00DC786D"/>
    <w:rsid w:val="00DD09A7"/>
    <w:rsid w:val="00DD2B99"/>
    <w:rsid w:val="00DD3D4A"/>
    <w:rsid w:val="00DD4454"/>
    <w:rsid w:val="00DD4BF9"/>
    <w:rsid w:val="00DD5A70"/>
    <w:rsid w:val="00DE26CA"/>
    <w:rsid w:val="00DE4FDB"/>
    <w:rsid w:val="00DE5159"/>
    <w:rsid w:val="00DE5B42"/>
    <w:rsid w:val="00DE683F"/>
    <w:rsid w:val="00DE76B4"/>
    <w:rsid w:val="00E0223E"/>
    <w:rsid w:val="00E0300B"/>
    <w:rsid w:val="00E041B7"/>
    <w:rsid w:val="00E0452D"/>
    <w:rsid w:val="00E04664"/>
    <w:rsid w:val="00E04B9C"/>
    <w:rsid w:val="00E0642A"/>
    <w:rsid w:val="00E073BA"/>
    <w:rsid w:val="00E12C0D"/>
    <w:rsid w:val="00E1385A"/>
    <w:rsid w:val="00E13C52"/>
    <w:rsid w:val="00E16607"/>
    <w:rsid w:val="00E171EC"/>
    <w:rsid w:val="00E17EEB"/>
    <w:rsid w:val="00E2085A"/>
    <w:rsid w:val="00E20E99"/>
    <w:rsid w:val="00E21ADD"/>
    <w:rsid w:val="00E22FF3"/>
    <w:rsid w:val="00E25499"/>
    <w:rsid w:val="00E311D1"/>
    <w:rsid w:val="00E3154D"/>
    <w:rsid w:val="00E36225"/>
    <w:rsid w:val="00E36C23"/>
    <w:rsid w:val="00E36CEE"/>
    <w:rsid w:val="00E37779"/>
    <w:rsid w:val="00E400A7"/>
    <w:rsid w:val="00E40A6C"/>
    <w:rsid w:val="00E41B90"/>
    <w:rsid w:val="00E427CF"/>
    <w:rsid w:val="00E43854"/>
    <w:rsid w:val="00E43D1C"/>
    <w:rsid w:val="00E5280B"/>
    <w:rsid w:val="00E537B8"/>
    <w:rsid w:val="00E54E8F"/>
    <w:rsid w:val="00E555C0"/>
    <w:rsid w:val="00E6251B"/>
    <w:rsid w:val="00E65E0E"/>
    <w:rsid w:val="00E66C2C"/>
    <w:rsid w:val="00E7124B"/>
    <w:rsid w:val="00E72F30"/>
    <w:rsid w:val="00E73197"/>
    <w:rsid w:val="00E747AC"/>
    <w:rsid w:val="00E775DA"/>
    <w:rsid w:val="00E77F1F"/>
    <w:rsid w:val="00E80F99"/>
    <w:rsid w:val="00E86098"/>
    <w:rsid w:val="00E87175"/>
    <w:rsid w:val="00E905C2"/>
    <w:rsid w:val="00E90B63"/>
    <w:rsid w:val="00E91C50"/>
    <w:rsid w:val="00E93AE9"/>
    <w:rsid w:val="00E93DAA"/>
    <w:rsid w:val="00E965E6"/>
    <w:rsid w:val="00EA4FA0"/>
    <w:rsid w:val="00EA7099"/>
    <w:rsid w:val="00EA7F3B"/>
    <w:rsid w:val="00EA7F90"/>
    <w:rsid w:val="00EB188C"/>
    <w:rsid w:val="00EB3B38"/>
    <w:rsid w:val="00EB3DE1"/>
    <w:rsid w:val="00EB451C"/>
    <w:rsid w:val="00EB5924"/>
    <w:rsid w:val="00EB6255"/>
    <w:rsid w:val="00EB6875"/>
    <w:rsid w:val="00EC0873"/>
    <w:rsid w:val="00EC22B8"/>
    <w:rsid w:val="00EC2381"/>
    <w:rsid w:val="00EC4F30"/>
    <w:rsid w:val="00EC50D5"/>
    <w:rsid w:val="00EC58C3"/>
    <w:rsid w:val="00EC6DD9"/>
    <w:rsid w:val="00ED12DC"/>
    <w:rsid w:val="00ED242D"/>
    <w:rsid w:val="00ED3FBB"/>
    <w:rsid w:val="00ED541C"/>
    <w:rsid w:val="00ED5488"/>
    <w:rsid w:val="00ED6C4D"/>
    <w:rsid w:val="00ED6EFE"/>
    <w:rsid w:val="00ED70E7"/>
    <w:rsid w:val="00EE190F"/>
    <w:rsid w:val="00EE2B45"/>
    <w:rsid w:val="00EE337C"/>
    <w:rsid w:val="00EE601A"/>
    <w:rsid w:val="00EE674A"/>
    <w:rsid w:val="00EE6996"/>
    <w:rsid w:val="00EF0C0F"/>
    <w:rsid w:val="00EF2131"/>
    <w:rsid w:val="00EF4A02"/>
    <w:rsid w:val="00EF5744"/>
    <w:rsid w:val="00EF5779"/>
    <w:rsid w:val="00EF5FE3"/>
    <w:rsid w:val="00EF7AC3"/>
    <w:rsid w:val="00F00174"/>
    <w:rsid w:val="00F02BA3"/>
    <w:rsid w:val="00F034A1"/>
    <w:rsid w:val="00F0441F"/>
    <w:rsid w:val="00F11782"/>
    <w:rsid w:val="00F12E34"/>
    <w:rsid w:val="00F13947"/>
    <w:rsid w:val="00F1408C"/>
    <w:rsid w:val="00F14277"/>
    <w:rsid w:val="00F17CF7"/>
    <w:rsid w:val="00F20E82"/>
    <w:rsid w:val="00F21450"/>
    <w:rsid w:val="00F21892"/>
    <w:rsid w:val="00F2196B"/>
    <w:rsid w:val="00F22726"/>
    <w:rsid w:val="00F232C6"/>
    <w:rsid w:val="00F2345F"/>
    <w:rsid w:val="00F242B4"/>
    <w:rsid w:val="00F24E0C"/>
    <w:rsid w:val="00F30513"/>
    <w:rsid w:val="00F31252"/>
    <w:rsid w:val="00F31AEE"/>
    <w:rsid w:val="00F324F6"/>
    <w:rsid w:val="00F32A6F"/>
    <w:rsid w:val="00F371BA"/>
    <w:rsid w:val="00F37D4B"/>
    <w:rsid w:val="00F40AF6"/>
    <w:rsid w:val="00F41868"/>
    <w:rsid w:val="00F449AE"/>
    <w:rsid w:val="00F44F9F"/>
    <w:rsid w:val="00F45543"/>
    <w:rsid w:val="00F4646B"/>
    <w:rsid w:val="00F4699D"/>
    <w:rsid w:val="00F516C1"/>
    <w:rsid w:val="00F56C21"/>
    <w:rsid w:val="00F5789B"/>
    <w:rsid w:val="00F61D3F"/>
    <w:rsid w:val="00F63BEE"/>
    <w:rsid w:val="00F65098"/>
    <w:rsid w:val="00F6766C"/>
    <w:rsid w:val="00F70DA0"/>
    <w:rsid w:val="00F70DB1"/>
    <w:rsid w:val="00F71A6A"/>
    <w:rsid w:val="00F724FE"/>
    <w:rsid w:val="00F73303"/>
    <w:rsid w:val="00F75107"/>
    <w:rsid w:val="00F759BF"/>
    <w:rsid w:val="00F767CB"/>
    <w:rsid w:val="00F76DEF"/>
    <w:rsid w:val="00F779FC"/>
    <w:rsid w:val="00F80EAA"/>
    <w:rsid w:val="00F826A6"/>
    <w:rsid w:val="00F8280B"/>
    <w:rsid w:val="00F846C9"/>
    <w:rsid w:val="00F869C7"/>
    <w:rsid w:val="00F91E55"/>
    <w:rsid w:val="00F96D43"/>
    <w:rsid w:val="00FA0528"/>
    <w:rsid w:val="00FA0E7B"/>
    <w:rsid w:val="00FA3AD0"/>
    <w:rsid w:val="00FA3B19"/>
    <w:rsid w:val="00FA48CA"/>
    <w:rsid w:val="00FA6E78"/>
    <w:rsid w:val="00FA7972"/>
    <w:rsid w:val="00FA7E3F"/>
    <w:rsid w:val="00FB3877"/>
    <w:rsid w:val="00FB5494"/>
    <w:rsid w:val="00FB68C4"/>
    <w:rsid w:val="00FB7852"/>
    <w:rsid w:val="00FC1132"/>
    <w:rsid w:val="00FC246E"/>
    <w:rsid w:val="00FC2866"/>
    <w:rsid w:val="00FC67F4"/>
    <w:rsid w:val="00FC73FE"/>
    <w:rsid w:val="00FD0220"/>
    <w:rsid w:val="00FD23A2"/>
    <w:rsid w:val="00FD61F0"/>
    <w:rsid w:val="00FD7048"/>
    <w:rsid w:val="00FE058B"/>
    <w:rsid w:val="00FE073D"/>
    <w:rsid w:val="00FE3497"/>
    <w:rsid w:val="00FE382E"/>
    <w:rsid w:val="00FF0666"/>
    <w:rsid w:val="00FF2C3E"/>
    <w:rsid w:val="00FF536A"/>
    <w:rsid w:val="00FF63F3"/>
    <w:rsid w:val="01E79870"/>
    <w:rsid w:val="023CE379"/>
    <w:rsid w:val="0417A88B"/>
    <w:rsid w:val="04CD401B"/>
    <w:rsid w:val="05B596A9"/>
    <w:rsid w:val="05BE91BD"/>
    <w:rsid w:val="0874023A"/>
    <w:rsid w:val="09555E74"/>
    <w:rsid w:val="0A0C0028"/>
    <w:rsid w:val="0A1416EE"/>
    <w:rsid w:val="0A6567A7"/>
    <w:rsid w:val="0B4179CD"/>
    <w:rsid w:val="0B6D2E9D"/>
    <w:rsid w:val="0F4E3D3F"/>
    <w:rsid w:val="0F8671F7"/>
    <w:rsid w:val="10111E8B"/>
    <w:rsid w:val="11755ECC"/>
    <w:rsid w:val="1229866C"/>
    <w:rsid w:val="124BB419"/>
    <w:rsid w:val="128F89AD"/>
    <w:rsid w:val="129B2CD1"/>
    <w:rsid w:val="1464D993"/>
    <w:rsid w:val="14CA5EA9"/>
    <w:rsid w:val="152A96B0"/>
    <w:rsid w:val="1573EE55"/>
    <w:rsid w:val="158FD24C"/>
    <w:rsid w:val="17378350"/>
    <w:rsid w:val="19FAA7E2"/>
    <w:rsid w:val="1A2959F0"/>
    <w:rsid w:val="1A93F701"/>
    <w:rsid w:val="1B53B396"/>
    <w:rsid w:val="1F2649F6"/>
    <w:rsid w:val="209D80E1"/>
    <w:rsid w:val="20CAA300"/>
    <w:rsid w:val="215293FA"/>
    <w:rsid w:val="21F2C6BC"/>
    <w:rsid w:val="22674AE3"/>
    <w:rsid w:val="22B48261"/>
    <w:rsid w:val="237E908C"/>
    <w:rsid w:val="237ED6CE"/>
    <w:rsid w:val="254C50C1"/>
    <w:rsid w:val="25A97F7C"/>
    <w:rsid w:val="278B8798"/>
    <w:rsid w:val="289E2F8F"/>
    <w:rsid w:val="29974BED"/>
    <w:rsid w:val="2B25238C"/>
    <w:rsid w:val="2B382B70"/>
    <w:rsid w:val="2C6FEF28"/>
    <w:rsid w:val="2DC4F9DF"/>
    <w:rsid w:val="326F6C73"/>
    <w:rsid w:val="33C08F44"/>
    <w:rsid w:val="343CD673"/>
    <w:rsid w:val="3495A75C"/>
    <w:rsid w:val="37B24AA4"/>
    <w:rsid w:val="3C4A50D0"/>
    <w:rsid w:val="3D23487B"/>
    <w:rsid w:val="3E8EFE81"/>
    <w:rsid w:val="3EE8035B"/>
    <w:rsid w:val="3F5E8FF6"/>
    <w:rsid w:val="4018CF1D"/>
    <w:rsid w:val="41B27307"/>
    <w:rsid w:val="44A9EE69"/>
    <w:rsid w:val="47717073"/>
    <w:rsid w:val="48A5D666"/>
    <w:rsid w:val="49C9E7E8"/>
    <w:rsid w:val="4A276EDA"/>
    <w:rsid w:val="4BDB89DE"/>
    <w:rsid w:val="4C0BD1C5"/>
    <w:rsid w:val="4ECA27F2"/>
    <w:rsid w:val="4F18F3BC"/>
    <w:rsid w:val="4FD3F573"/>
    <w:rsid w:val="50367546"/>
    <w:rsid w:val="5199600E"/>
    <w:rsid w:val="526F4726"/>
    <w:rsid w:val="537A8372"/>
    <w:rsid w:val="537C1680"/>
    <w:rsid w:val="55408CB3"/>
    <w:rsid w:val="56A73C9F"/>
    <w:rsid w:val="586AE5A7"/>
    <w:rsid w:val="5B0D6F30"/>
    <w:rsid w:val="5D5DB34F"/>
    <w:rsid w:val="5EBB96EF"/>
    <w:rsid w:val="5F62BC64"/>
    <w:rsid w:val="5FCD1FD5"/>
    <w:rsid w:val="62036FEE"/>
    <w:rsid w:val="63FA2A7C"/>
    <w:rsid w:val="645A543E"/>
    <w:rsid w:val="6541B4FE"/>
    <w:rsid w:val="66DD4B8A"/>
    <w:rsid w:val="68922D6D"/>
    <w:rsid w:val="6B6C9090"/>
    <w:rsid w:val="6E1665CA"/>
    <w:rsid w:val="6F706991"/>
    <w:rsid w:val="6FE921C4"/>
    <w:rsid w:val="6FEC7763"/>
    <w:rsid w:val="71575C78"/>
    <w:rsid w:val="719974AA"/>
    <w:rsid w:val="743AAAE6"/>
    <w:rsid w:val="74BD54DD"/>
    <w:rsid w:val="7562F2FC"/>
    <w:rsid w:val="75D3B515"/>
    <w:rsid w:val="7640CC80"/>
    <w:rsid w:val="77B9C355"/>
    <w:rsid w:val="7A780F86"/>
    <w:rsid w:val="7B8B4BCE"/>
    <w:rsid w:val="7E44B85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DE7294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4403D"/>
    <w:pPr>
      <w:spacing w:line="480" w:lineRule="auto"/>
      <w:jc w:val="both"/>
    </w:pPr>
    <w:rPr>
      <w:rFonts w:asciiTheme="minorBidi" w:hAnsiTheme="minorBidi"/>
    </w:rPr>
  </w:style>
  <w:style w:type="paragraph" w:styleId="Heading1">
    <w:name w:val="heading 1"/>
    <w:basedOn w:val="Normal"/>
    <w:next w:val="Normal"/>
    <w:link w:val="Heading1Char"/>
    <w:uiPriority w:val="9"/>
    <w:qFormat/>
    <w:rsid w:val="00411DA0"/>
    <w:pPr>
      <w:keepNext/>
      <w:keepLines/>
      <w:spacing w:before="240" w:after="0"/>
      <w:outlineLvl w:val="0"/>
    </w:pPr>
    <w:rPr>
      <w:rFonts w:eastAsiaTheme="majorEastAsia" w:cstheme="majorBidi"/>
      <w:b/>
      <w:sz w:val="32"/>
      <w:szCs w:val="32"/>
      <w:lang w:val="en-GB"/>
    </w:rPr>
  </w:style>
  <w:style w:type="paragraph" w:styleId="Heading2">
    <w:name w:val="heading 2"/>
    <w:basedOn w:val="Normal"/>
    <w:next w:val="Normal"/>
    <w:link w:val="Heading2Char"/>
    <w:uiPriority w:val="9"/>
    <w:unhideWhenUsed/>
    <w:qFormat/>
    <w:rsid w:val="009C2207"/>
    <w:pPr>
      <w:keepNext/>
      <w:keepLines/>
      <w:spacing w:before="40" w:after="0"/>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444260"/>
    <w:pPr>
      <w:keepNext/>
      <w:keepLines/>
      <w:spacing w:before="40" w:after="0"/>
      <w:outlineLvl w:val="2"/>
    </w:pPr>
    <w:rPr>
      <w:rFonts w:eastAsiaTheme="majorEastAsia" w:cstheme="majorBidi"/>
      <w:b/>
      <w:i/>
      <w:sz w:val="24"/>
      <w:szCs w:val="24"/>
    </w:rPr>
  </w:style>
  <w:style w:type="paragraph" w:styleId="Heading4">
    <w:name w:val="heading 4"/>
    <w:basedOn w:val="Normal"/>
    <w:next w:val="Normal"/>
    <w:link w:val="Heading4Char"/>
    <w:uiPriority w:val="9"/>
    <w:semiHidden/>
    <w:unhideWhenUsed/>
    <w:qFormat/>
    <w:rsid w:val="00EB451C"/>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ighlight">
    <w:name w:val="highlight"/>
    <w:rsid w:val="00EB188C"/>
  </w:style>
  <w:style w:type="character" w:customStyle="1" w:styleId="Heading1Char">
    <w:name w:val="Heading 1 Char"/>
    <w:basedOn w:val="DefaultParagraphFont"/>
    <w:link w:val="Heading1"/>
    <w:uiPriority w:val="9"/>
    <w:rsid w:val="00411DA0"/>
    <w:rPr>
      <w:rFonts w:asciiTheme="minorBidi" w:eastAsiaTheme="majorEastAsia" w:hAnsiTheme="minorBidi" w:cstheme="majorBidi"/>
      <w:b/>
      <w:sz w:val="32"/>
      <w:szCs w:val="32"/>
      <w:lang w:val="en-GB"/>
    </w:rPr>
  </w:style>
  <w:style w:type="character" w:customStyle="1" w:styleId="Heading2Char">
    <w:name w:val="Heading 2 Char"/>
    <w:basedOn w:val="DefaultParagraphFont"/>
    <w:link w:val="Heading2"/>
    <w:uiPriority w:val="9"/>
    <w:rsid w:val="009C2207"/>
    <w:rPr>
      <w:rFonts w:asciiTheme="minorBidi" w:eastAsiaTheme="majorEastAsia" w:hAnsiTheme="minorBidi" w:cstheme="majorBidi"/>
      <w:b/>
      <w:sz w:val="28"/>
      <w:szCs w:val="26"/>
    </w:rPr>
  </w:style>
  <w:style w:type="paragraph" w:styleId="Title">
    <w:name w:val="Title"/>
    <w:basedOn w:val="Normal"/>
    <w:next w:val="Normal"/>
    <w:link w:val="TitleChar"/>
    <w:uiPriority w:val="10"/>
    <w:qFormat/>
    <w:rsid w:val="0044426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4260"/>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444260"/>
    <w:rPr>
      <w:rFonts w:asciiTheme="minorBidi" w:eastAsiaTheme="majorEastAsia" w:hAnsiTheme="minorBidi" w:cstheme="majorBidi"/>
      <w:b/>
      <w:i/>
      <w:sz w:val="24"/>
      <w:szCs w:val="24"/>
    </w:rPr>
  </w:style>
  <w:style w:type="character" w:customStyle="1" w:styleId="Heading4Char">
    <w:name w:val="Heading 4 Char"/>
    <w:basedOn w:val="DefaultParagraphFont"/>
    <w:link w:val="Heading4"/>
    <w:uiPriority w:val="9"/>
    <w:semiHidden/>
    <w:rsid w:val="00EB451C"/>
    <w:rPr>
      <w:rFonts w:asciiTheme="majorHAnsi" w:eastAsiaTheme="majorEastAsia" w:hAnsiTheme="majorHAnsi" w:cstheme="majorBidi"/>
      <w:i/>
      <w:iCs/>
      <w:color w:val="2E74B5" w:themeColor="accent1" w:themeShade="BF"/>
    </w:rPr>
  </w:style>
  <w:style w:type="character" w:styleId="CommentReference">
    <w:name w:val="annotation reference"/>
    <w:basedOn w:val="DefaultParagraphFont"/>
    <w:uiPriority w:val="99"/>
    <w:semiHidden/>
    <w:unhideWhenUsed/>
    <w:rsid w:val="00103D5E"/>
    <w:rPr>
      <w:sz w:val="16"/>
      <w:szCs w:val="16"/>
    </w:rPr>
  </w:style>
  <w:style w:type="paragraph" w:styleId="CommentText">
    <w:name w:val="annotation text"/>
    <w:basedOn w:val="Normal"/>
    <w:link w:val="CommentTextChar"/>
    <w:uiPriority w:val="99"/>
    <w:semiHidden/>
    <w:unhideWhenUsed/>
    <w:rsid w:val="00103D5E"/>
    <w:pPr>
      <w:spacing w:line="240" w:lineRule="auto"/>
    </w:pPr>
    <w:rPr>
      <w:sz w:val="20"/>
      <w:szCs w:val="20"/>
    </w:rPr>
  </w:style>
  <w:style w:type="character" w:customStyle="1" w:styleId="CommentTextChar">
    <w:name w:val="Comment Text Char"/>
    <w:basedOn w:val="DefaultParagraphFont"/>
    <w:link w:val="CommentText"/>
    <w:uiPriority w:val="99"/>
    <w:semiHidden/>
    <w:rsid w:val="00103D5E"/>
    <w:rPr>
      <w:rFonts w:asciiTheme="minorBidi" w:hAnsiTheme="minorBidi"/>
      <w:sz w:val="20"/>
      <w:szCs w:val="20"/>
    </w:rPr>
  </w:style>
  <w:style w:type="paragraph" w:styleId="CommentSubject">
    <w:name w:val="annotation subject"/>
    <w:basedOn w:val="CommentText"/>
    <w:next w:val="CommentText"/>
    <w:link w:val="CommentSubjectChar"/>
    <w:uiPriority w:val="99"/>
    <w:semiHidden/>
    <w:unhideWhenUsed/>
    <w:rsid w:val="00103D5E"/>
    <w:rPr>
      <w:b/>
      <w:bCs/>
    </w:rPr>
  </w:style>
  <w:style w:type="character" w:customStyle="1" w:styleId="CommentSubjectChar">
    <w:name w:val="Comment Subject Char"/>
    <w:basedOn w:val="CommentTextChar"/>
    <w:link w:val="CommentSubject"/>
    <w:uiPriority w:val="99"/>
    <w:semiHidden/>
    <w:rsid w:val="00103D5E"/>
    <w:rPr>
      <w:rFonts w:asciiTheme="minorBidi" w:hAnsiTheme="minorBidi"/>
      <w:b/>
      <w:bCs/>
      <w:sz w:val="20"/>
      <w:szCs w:val="20"/>
    </w:rPr>
  </w:style>
  <w:style w:type="paragraph" w:styleId="BalloonText">
    <w:name w:val="Balloon Text"/>
    <w:basedOn w:val="Normal"/>
    <w:link w:val="BalloonTextChar"/>
    <w:uiPriority w:val="99"/>
    <w:semiHidden/>
    <w:unhideWhenUsed/>
    <w:rsid w:val="00103D5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03D5E"/>
    <w:rPr>
      <w:rFonts w:ascii="Segoe UI" w:hAnsi="Segoe UI" w:cs="Segoe UI"/>
      <w:sz w:val="18"/>
      <w:szCs w:val="18"/>
    </w:rPr>
  </w:style>
  <w:style w:type="character" w:styleId="Hyperlink">
    <w:name w:val="Hyperlink"/>
    <w:basedOn w:val="DefaultParagraphFont"/>
    <w:uiPriority w:val="99"/>
    <w:unhideWhenUsed/>
    <w:rsid w:val="00B67BCE"/>
    <w:rPr>
      <w:color w:val="0563C1" w:themeColor="hyperlink"/>
      <w:u w:val="single"/>
    </w:rPr>
  </w:style>
  <w:style w:type="paragraph" w:styleId="ListNumber">
    <w:name w:val="List Number"/>
    <w:basedOn w:val="Normal"/>
    <w:uiPriority w:val="9"/>
    <w:unhideWhenUsed/>
    <w:qFormat/>
    <w:rsid w:val="00855664"/>
    <w:pPr>
      <w:numPr>
        <w:numId w:val="1"/>
      </w:numPr>
      <w:tabs>
        <w:tab w:val="clear" w:pos="1080"/>
        <w:tab w:val="num" w:pos="786"/>
      </w:tabs>
      <w:spacing w:before="100" w:beforeAutospacing="1" w:after="100" w:afterAutospacing="1" w:line="360" w:lineRule="auto"/>
      <w:ind w:left="786"/>
      <w:contextualSpacing/>
    </w:pPr>
    <w:rPr>
      <w:rFonts w:ascii="Arial" w:eastAsia="SimSun" w:hAnsi="Arial" w:cs="Times New Roman"/>
      <w:kern w:val="24"/>
      <w:sz w:val="24"/>
      <w:szCs w:val="24"/>
      <w:lang w:eastAsia="ja-JP"/>
    </w:rPr>
  </w:style>
  <w:style w:type="paragraph" w:customStyle="1" w:styleId="EndNoteBibliographyTitle">
    <w:name w:val="EndNote Bibliography Title"/>
    <w:basedOn w:val="Normal"/>
    <w:link w:val="EndNoteBibliographyTitleChar"/>
    <w:rsid w:val="00F11782"/>
    <w:pPr>
      <w:spacing w:after="0"/>
      <w:jc w:val="center"/>
    </w:pPr>
    <w:rPr>
      <w:rFonts w:ascii="Arial" w:hAnsi="Arial" w:cs="Arial"/>
      <w:noProof/>
    </w:rPr>
  </w:style>
  <w:style w:type="character" w:customStyle="1" w:styleId="EndNoteBibliographyTitleChar">
    <w:name w:val="EndNote Bibliography Title Char"/>
    <w:basedOn w:val="DefaultParagraphFont"/>
    <w:link w:val="EndNoteBibliographyTitle"/>
    <w:rsid w:val="00F11782"/>
    <w:rPr>
      <w:rFonts w:ascii="Arial" w:hAnsi="Arial" w:cs="Arial"/>
      <w:noProof/>
    </w:rPr>
  </w:style>
  <w:style w:type="paragraph" w:customStyle="1" w:styleId="EndNoteBibliography">
    <w:name w:val="EndNote Bibliography"/>
    <w:basedOn w:val="Normal"/>
    <w:link w:val="EndNoteBibliographyChar"/>
    <w:rsid w:val="00F11782"/>
    <w:pPr>
      <w:spacing w:line="240" w:lineRule="auto"/>
    </w:pPr>
    <w:rPr>
      <w:rFonts w:ascii="Arial" w:hAnsi="Arial" w:cs="Arial"/>
      <w:noProof/>
    </w:rPr>
  </w:style>
  <w:style w:type="character" w:customStyle="1" w:styleId="EndNoteBibliographyChar">
    <w:name w:val="EndNote Bibliography Char"/>
    <w:basedOn w:val="DefaultParagraphFont"/>
    <w:link w:val="EndNoteBibliography"/>
    <w:rsid w:val="00F11782"/>
    <w:rPr>
      <w:rFonts w:ascii="Arial" w:hAnsi="Arial" w:cs="Arial"/>
      <w:noProof/>
    </w:rPr>
  </w:style>
  <w:style w:type="character" w:customStyle="1" w:styleId="st">
    <w:name w:val="st"/>
    <w:basedOn w:val="DefaultParagraphFont"/>
    <w:rsid w:val="008C1A17"/>
  </w:style>
  <w:style w:type="paragraph" w:customStyle="1" w:styleId="title1">
    <w:name w:val="title1"/>
    <w:basedOn w:val="Normal"/>
    <w:rsid w:val="007F7525"/>
    <w:pPr>
      <w:spacing w:after="0" w:line="240" w:lineRule="auto"/>
      <w:jc w:val="left"/>
    </w:pPr>
    <w:rPr>
      <w:rFonts w:ascii="Times New Roman" w:eastAsia="Times New Roman" w:hAnsi="Times New Roman" w:cs="Times New Roman"/>
      <w:sz w:val="27"/>
      <w:szCs w:val="27"/>
      <w:lang w:val="en-GB" w:eastAsia="en-GB"/>
    </w:rPr>
  </w:style>
  <w:style w:type="paragraph" w:customStyle="1" w:styleId="desc2">
    <w:name w:val="desc2"/>
    <w:basedOn w:val="Normal"/>
    <w:rsid w:val="007F7525"/>
    <w:pPr>
      <w:spacing w:after="0" w:line="240" w:lineRule="auto"/>
      <w:jc w:val="left"/>
    </w:pPr>
    <w:rPr>
      <w:rFonts w:ascii="Times New Roman" w:eastAsia="Times New Roman" w:hAnsi="Times New Roman" w:cs="Times New Roman"/>
      <w:sz w:val="26"/>
      <w:szCs w:val="26"/>
      <w:lang w:val="en-GB" w:eastAsia="en-GB"/>
    </w:rPr>
  </w:style>
  <w:style w:type="paragraph" w:customStyle="1" w:styleId="details1">
    <w:name w:val="details1"/>
    <w:basedOn w:val="Normal"/>
    <w:rsid w:val="007F7525"/>
    <w:pPr>
      <w:spacing w:after="0" w:line="240" w:lineRule="auto"/>
      <w:jc w:val="left"/>
    </w:pPr>
    <w:rPr>
      <w:rFonts w:ascii="Times New Roman" w:eastAsia="Times New Roman" w:hAnsi="Times New Roman" w:cs="Times New Roman"/>
      <w:lang w:val="en-GB" w:eastAsia="en-GB"/>
    </w:rPr>
  </w:style>
  <w:style w:type="character" w:customStyle="1" w:styleId="jrnl">
    <w:name w:val="jrnl"/>
    <w:basedOn w:val="DefaultParagraphFont"/>
    <w:rsid w:val="007F7525"/>
  </w:style>
  <w:style w:type="character" w:customStyle="1" w:styleId="highlight2">
    <w:name w:val="highlight2"/>
    <w:basedOn w:val="DefaultParagraphFont"/>
    <w:rsid w:val="007F7525"/>
  </w:style>
  <w:style w:type="paragraph" w:styleId="Revision">
    <w:name w:val="Revision"/>
    <w:hidden/>
    <w:uiPriority w:val="99"/>
    <w:semiHidden/>
    <w:rsid w:val="00D511EE"/>
    <w:pPr>
      <w:spacing w:after="0" w:line="240" w:lineRule="auto"/>
    </w:pPr>
    <w:rPr>
      <w:rFonts w:asciiTheme="minorBidi" w:hAnsiTheme="minorBidi"/>
    </w:rPr>
  </w:style>
  <w:style w:type="table" w:styleId="TableGrid">
    <w:name w:val="Table Grid"/>
    <w:basedOn w:val="TableNormal"/>
    <w:uiPriority w:val="39"/>
    <w:rsid w:val="00AF07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9184A"/>
    <w:pPr>
      <w:spacing w:before="100" w:beforeAutospacing="1" w:after="100" w:afterAutospacing="1" w:line="240" w:lineRule="auto"/>
      <w:jc w:val="left"/>
    </w:pPr>
    <w:rPr>
      <w:rFonts w:ascii="Times New Roman" w:eastAsia="Times New Roman" w:hAnsi="Times New Roman" w:cs="Times New Roman"/>
      <w:sz w:val="24"/>
      <w:szCs w:val="24"/>
      <w:lang w:val="en-GB" w:eastAsia="en-GB"/>
    </w:rPr>
  </w:style>
  <w:style w:type="character" w:customStyle="1" w:styleId="apple-converted-space">
    <w:name w:val="apple-converted-space"/>
    <w:basedOn w:val="DefaultParagraphFont"/>
    <w:rsid w:val="0019184A"/>
  </w:style>
  <w:style w:type="character" w:customStyle="1" w:styleId="mixed-citation">
    <w:name w:val="mixed-citation"/>
    <w:basedOn w:val="DefaultParagraphFont"/>
    <w:rsid w:val="006F3E0E"/>
  </w:style>
  <w:style w:type="character" w:customStyle="1" w:styleId="ref-journal">
    <w:name w:val="ref-journal"/>
    <w:basedOn w:val="DefaultParagraphFont"/>
    <w:rsid w:val="006F3E0E"/>
  </w:style>
  <w:style w:type="character" w:customStyle="1" w:styleId="ref-vol">
    <w:name w:val="ref-vol"/>
    <w:basedOn w:val="DefaultParagraphFont"/>
    <w:rsid w:val="006F3E0E"/>
  </w:style>
  <w:style w:type="character" w:customStyle="1" w:styleId="spellingerror">
    <w:name w:val="spellingerror"/>
    <w:basedOn w:val="DefaultParagraphFont"/>
    <w:rsid w:val="005259A9"/>
  </w:style>
  <w:style w:type="character" w:customStyle="1" w:styleId="normaltextrun1">
    <w:name w:val="normaltextrun1"/>
    <w:basedOn w:val="DefaultParagraphFont"/>
    <w:rsid w:val="005259A9"/>
  </w:style>
  <w:style w:type="character" w:customStyle="1" w:styleId="element-invisible">
    <w:name w:val="element-invisible"/>
    <w:basedOn w:val="DefaultParagraphFont"/>
    <w:rsid w:val="00514A4B"/>
  </w:style>
  <w:style w:type="character" w:styleId="Emphasis">
    <w:name w:val="Emphasis"/>
    <w:basedOn w:val="DefaultParagraphFont"/>
    <w:uiPriority w:val="20"/>
    <w:qFormat/>
    <w:rsid w:val="009636E4"/>
    <w:rPr>
      <w:i/>
      <w:iCs/>
    </w:rPr>
  </w:style>
  <w:style w:type="character" w:styleId="LineNumber">
    <w:name w:val="line number"/>
    <w:basedOn w:val="DefaultParagraphFont"/>
    <w:uiPriority w:val="99"/>
    <w:semiHidden/>
    <w:unhideWhenUsed/>
    <w:rsid w:val="003F3640"/>
  </w:style>
  <w:style w:type="character" w:customStyle="1" w:styleId="UnresolvedMention1">
    <w:name w:val="Unresolved Mention1"/>
    <w:basedOn w:val="DefaultParagraphFont"/>
    <w:uiPriority w:val="99"/>
    <w:semiHidden/>
    <w:unhideWhenUsed/>
    <w:rsid w:val="00411DA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376633">
      <w:bodyDiv w:val="1"/>
      <w:marLeft w:val="0"/>
      <w:marRight w:val="0"/>
      <w:marTop w:val="0"/>
      <w:marBottom w:val="0"/>
      <w:divBdr>
        <w:top w:val="none" w:sz="0" w:space="0" w:color="auto"/>
        <w:left w:val="none" w:sz="0" w:space="0" w:color="auto"/>
        <w:bottom w:val="none" w:sz="0" w:space="0" w:color="auto"/>
        <w:right w:val="none" w:sz="0" w:space="0" w:color="auto"/>
      </w:divBdr>
      <w:divsChild>
        <w:div w:id="138156485">
          <w:marLeft w:val="0"/>
          <w:marRight w:val="0"/>
          <w:marTop w:val="0"/>
          <w:marBottom w:val="0"/>
          <w:divBdr>
            <w:top w:val="none" w:sz="0" w:space="0" w:color="auto"/>
            <w:left w:val="none" w:sz="0" w:space="0" w:color="auto"/>
            <w:bottom w:val="none" w:sz="0" w:space="0" w:color="auto"/>
            <w:right w:val="none" w:sz="0" w:space="0" w:color="auto"/>
          </w:divBdr>
        </w:div>
        <w:div w:id="178127752">
          <w:marLeft w:val="0"/>
          <w:marRight w:val="0"/>
          <w:marTop w:val="0"/>
          <w:marBottom w:val="0"/>
          <w:divBdr>
            <w:top w:val="none" w:sz="0" w:space="0" w:color="auto"/>
            <w:left w:val="none" w:sz="0" w:space="0" w:color="auto"/>
            <w:bottom w:val="none" w:sz="0" w:space="0" w:color="auto"/>
            <w:right w:val="none" w:sz="0" w:space="0" w:color="auto"/>
          </w:divBdr>
        </w:div>
        <w:div w:id="299072908">
          <w:marLeft w:val="0"/>
          <w:marRight w:val="0"/>
          <w:marTop w:val="0"/>
          <w:marBottom w:val="0"/>
          <w:divBdr>
            <w:top w:val="none" w:sz="0" w:space="0" w:color="auto"/>
            <w:left w:val="none" w:sz="0" w:space="0" w:color="auto"/>
            <w:bottom w:val="none" w:sz="0" w:space="0" w:color="auto"/>
            <w:right w:val="none" w:sz="0" w:space="0" w:color="auto"/>
          </w:divBdr>
        </w:div>
        <w:div w:id="421882117">
          <w:marLeft w:val="0"/>
          <w:marRight w:val="0"/>
          <w:marTop w:val="0"/>
          <w:marBottom w:val="0"/>
          <w:divBdr>
            <w:top w:val="none" w:sz="0" w:space="0" w:color="auto"/>
            <w:left w:val="none" w:sz="0" w:space="0" w:color="auto"/>
            <w:bottom w:val="none" w:sz="0" w:space="0" w:color="auto"/>
            <w:right w:val="none" w:sz="0" w:space="0" w:color="auto"/>
          </w:divBdr>
        </w:div>
        <w:div w:id="513228524">
          <w:marLeft w:val="0"/>
          <w:marRight w:val="0"/>
          <w:marTop w:val="0"/>
          <w:marBottom w:val="0"/>
          <w:divBdr>
            <w:top w:val="none" w:sz="0" w:space="0" w:color="auto"/>
            <w:left w:val="none" w:sz="0" w:space="0" w:color="auto"/>
            <w:bottom w:val="none" w:sz="0" w:space="0" w:color="auto"/>
            <w:right w:val="none" w:sz="0" w:space="0" w:color="auto"/>
          </w:divBdr>
        </w:div>
        <w:div w:id="610819642">
          <w:marLeft w:val="0"/>
          <w:marRight w:val="0"/>
          <w:marTop w:val="0"/>
          <w:marBottom w:val="0"/>
          <w:divBdr>
            <w:top w:val="none" w:sz="0" w:space="0" w:color="auto"/>
            <w:left w:val="none" w:sz="0" w:space="0" w:color="auto"/>
            <w:bottom w:val="none" w:sz="0" w:space="0" w:color="auto"/>
            <w:right w:val="none" w:sz="0" w:space="0" w:color="auto"/>
          </w:divBdr>
        </w:div>
        <w:div w:id="795098752">
          <w:marLeft w:val="0"/>
          <w:marRight w:val="0"/>
          <w:marTop w:val="0"/>
          <w:marBottom w:val="0"/>
          <w:divBdr>
            <w:top w:val="none" w:sz="0" w:space="0" w:color="auto"/>
            <w:left w:val="none" w:sz="0" w:space="0" w:color="auto"/>
            <w:bottom w:val="none" w:sz="0" w:space="0" w:color="auto"/>
            <w:right w:val="none" w:sz="0" w:space="0" w:color="auto"/>
          </w:divBdr>
        </w:div>
        <w:div w:id="890068924">
          <w:marLeft w:val="0"/>
          <w:marRight w:val="0"/>
          <w:marTop w:val="0"/>
          <w:marBottom w:val="0"/>
          <w:divBdr>
            <w:top w:val="none" w:sz="0" w:space="0" w:color="auto"/>
            <w:left w:val="none" w:sz="0" w:space="0" w:color="auto"/>
            <w:bottom w:val="none" w:sz="0" w:space="0" w:color="auto"/>
            <w:right w:val="none" w:sz="0" w:space="0" w:color="auto"/>
          </w:divBdr>
        </w:div>
        <w:div w:id="1221789109">
          <w:marLeft w:val="0"/>
          <w:marRight w:val="0"/>
          <w:marTop w:val="0"/>
          <w:marBottom w:val="0"/>
          <w:divBdr>
            <w:top w:val="none" w:sz="0" w:space="0" w:color="auto"/>
            <w:left w:val="none" w:sz="0" w:space="0" w:color="auto"/>
            <w:bottom w:val="none" w:sz="0" w:space="0" w:color="auto"/>
            <w:right w:val="none" w:sz="0" w:space="0" w:color="auto"/>
          </w:divBdr>
        </w:div>
        <w:div w:id="1316302310">
          <w:marLeft w:val="0"/>
          <w:marRight w:val="0"/>
          <w:marTop w:val="0"/>
          <w:marBottom w:val="0"/>
          <w:divBdr>
            <w:top w:val="none" w:sz="0" w:space="0" w:color="auto"/>
            <w:left w:val="none" w:sz="0" w:space="0" w:color="auto"/>
            <w:bottom w:val="none" w:sz="0" w:space="0" w:color="auto"/>
            <w:right w:val="none" w:sz="0" w:space="0" w:color="auto"/>
          </w:divBdr>
        </w:div>
        <w:div w:id="1376154422">
          <w:marLeft w:val="0"/>
          <w:marRight w:val="0"/>
          <w:marTop w:val="0"/>
          <w:marBottom w:val="0"/>
          <w:divBdr>
            <w:top w:val="none" w:sz="0" w:space="0" w:color="auto"/>
            <w:left w:val="none" w:sz="0" w:space="0" w:color="auto"/>
            <w:bottom w:val="none" w:sz="0" w:space="0" w:color="auto"/>
            <w:right w:val="none" w:sz="0" w:space="0" w:color="auto"/>
          </w:divBdr>
        </w:div>
        <w:div w:id="1609893062">
          <w:marLeft w:val="0"/>
          <w:marRight w:val="0"/>
          <w:marTop w:val="0"/>
          <w:marBottom w:val="0"/>
          <w:divBdr>
            <w:top w:val="none" w:sz="0" w:space="0" w:color="auto"/>
            <w:left w:val="none" w:sz="0" w:space="0" w:color="auto"/>
            <w:bottom w:val="none" w:sz="0" w:space="0" w:color="auto"/>
            <w:right w:val="none" w:sz="0" w:space="0" w:color="auto"/>
          </w:divBdr>
        </w:div>
        <w:div w:id="1864124052">
          <w:marLeft w:val="0"/>
          <w:marRight w:val="0"/>
          <w:marTop w:val="0"/>
          <w:marBottom w:val="0"/>
          <w:divBdr>
            <w:top w:val="none" w:sz="0" w:space="0" w:color="auto"/>
            <w:left w:val="none" w:sz="0" w:space="0" w:color="auto"/>
            <w:bottom w:val="none" w:sz="0" w:space="0" w:color="auto"/>
            <w:right w:val="none" w:sz="0" w:space="0" w:color="auto"/>
          </w:divBdr>
        </w:div>
        <w:div w:id="1939943362">
          <w:marLeft w:val="0"/>
          <w:marRight w:val="0"/>
          <w:marTop w:val="0"/>
          <w:marBottom w:val="0"/>
          <w:divBdr>
            <w:top w:val="none" w:sz="0" w:space="0" w:color="auto"/>
            <w:left w:val="none" w:sz="0" w:space="0" w:color="auto"/>
            <w:bottom w:val="none" w:sz="0" w:space="0" w:color="auto"/>
            <w:right w:val="none" w:sz="0" w:space="0" w:color="auto"/>
          </w:divBdr>
        </w:div>
        <w:div w:id="2036032584">
          <w:marLeft w:val="0"/>
          <w:marRight w:val="0"/>
          <w:marTop w:val="0"/>
          <w:marBottom w:val="0"/>
          <w:divBdr>
            <w:top w:val="none" w:sz="0" w:space="0" w:color="auto"/>
            <w:left w:val="none" w:sz="0" w:space="0" w:color="auto"/>
            <w:bottom w:val="none" w:sz="0" w:space="0" w:color="auto"/>
            <w:right w:val="none" w:sz="0" w:space="0" w:color="auto"/>
          </w:divBdr>
        </w:div>
        <w:div w:id="2083596185">
          <w:marLeft w:val="0"/>
          <w:marRight w:val="0"/>
          <w:marTop w:val="0"/>
          <w:marBottom w:val="0"/>
          <w:divBdr>
            <w:top w:val="none" w:sz="0" w:space="0" w:color="auto"/>
            <w:left w:val="none" w:sz="0" w:space="0" w:color="auto"/>
            <w:bottom w:val="none" w:sz="0" w:space="0" w:color="auto"/>
            <w:right w:val="none" w:sz="0" w:space="0" w:color="auto"/>
          </w:divBdr>
        </w:div>
        <w:div w:id="2133788383">
          <w:marLeft w:val="0"/>
          <w:marRight w:val="0"/>
          <w:marTop w:val="0"/>
          <w:marBottom w:val="0"/>
          <w:divBdr>
            <w:top w:val="none" w:sz="0" w:space="0" w:color="auto"/>
            <w:left w:val="none" w:sz="0" w:space="0" w:color="auto"/>
            <w:bottom w:val="none" w:sz="0" w:space="0" w:color="auto"/>
            <w:right w:val="none" w:sz="0" w:space="0" w:color="auto"/>
          </w:divBdr>
        </w:div>
      </w:divsChild>
    </w:div>
    <w:div w:id="105007057">
      <w:bodyDiv w:val="1"/>
      <w:marLeft w:val="0"/>
      <w:marRight w:val="0"/>
      <w:marTop w:val="0"/>
      <w:marBottom w:val="0"/>
      <w:divBdr>
        <w:top w:val="none" w:sz="0" w:space="0" w:color="auto"/>
        <w:left w:val="none" w:sz="0" w:space="0" w:color="auto"/>
        <w:bottom w:val="none" w:sz="0" w:space="0" w:color="auto"/>
        <w:right w:val="none" w:sz="0" w:space="0" w:color="auto"/>
      </w:divBdr>
      <w:divsChild>
        <w:div w:id="1856459575">
          <w:marLeft w:val="0"/>
          <w:marRight w:val="1"/>
          <w:marTop w:val="0"/>
          <w:marBottom w:val="0"/>
          <w:divBdr>
            <w:top w:val="none" w:sz="0" w:space="0" w:color="auto"/>
            <w:left w:val="none" w:sz="0" w:space="0" w:color="auto"/>
            <w:bottom w:val="none" w:sz="0" w:space="0" w:color="auto"/>
            <w:right w:val="none" w:sz="0" w:space="0" w:color="auto"/>
          </w:divBdr>
          <w:divsChild>
            <w:div w:id="571768540">
              <w:marLeft w:val="0"/>
              <w:marRight w:val="0"/>
              <w:marTop w:val="0"/>
              <w:marBottom w:val="0"/>
              <w:divBdr>
                <w:top w:val="none" w:sz="0" w:space="0" w:color="auto"/>
                <w:left w:val="none" w:sz="0" w:space="0" w:color="auto"/>
                <w:bottom w:val="none" w:sz="0" w:space="0" w:color="auto"/>
                <w:right w:val="none" w:sz="0" w:space="0" w:color="auto"/>
              </w:divBdr>
              <w:divsChild>
                <w:div w:id="1433747768">
                  <w:marLeft w:val="0"/>
                  <w:marRight w:val="1"/>
                  <w:marTop w:val="0"/>
                  <w:marBottom w:val="0"/>
                  <w:divBdr>
                    <w:top w:val="none" w:sz="0" w:space="0" w:color="auto"/>
                    <w:left w:val="none" w:sz="0" w:space="0" w:color="auto"/>
                    <w:bottom w:val="none" w:sz="0" w:space="0" w:color="auto"/>
                    <w:right w:val="none" w:sz="0" w:space="0" w:color="auto"/>
                  </w:divBdr>
                  <w:divsChild>
                    <w:div w:id="2110806435">
                      <w:marLeft w:val="0"/>
                      <w:marRight w:val="0"/>
                      <w:marTop w:val="0"/>
                      <w:marBottom w:val="0"/>
                      <w:divBdr>
                        <w:top w:val="none" w:sz="0" w:space="0" w:color="auto"/>
                        <w:left w:val="none" w:sz="0" w:space="0" w:color="auto"/>
                        <w:bottom w:val="none" w:sz="0" w:space="0" w:color="auto"/>
                        <w:right w:val="none" w:sz="0" w:space="0" w:color="auto"/>
                      </w:divBdr>
                      <w:divsChild>
                        <w:div w:id="1617566049">
                          <w:marLeft w:val="0"/>
                          <w:marRight w:val="0"/>
                          <w:marTop w:val="0"/>
                          <w:marBottom w:val="0"/>
                          <w:divBdr>
                            <w:top w:val="none" w:sz="0" w:space="0" w:color="auto"/>
                            <w:left w:val="none" w:sz="0" w:space="0" w:color="auto"/>
                            <w:bottom w:val="none" w:sz="0" w:space="0" w:color="auto"/>
                            <w:right w:val="none" w:sz="0" w:space="0" w:color="auto"/>
                          </w:divBdr>
                          <w:divsChild>
                            <w:div w:id="659583212">
                              <w:marLeft w:val="0"/>
                              <w:marRight w:val="0"/>
                              <w:marTop w:val="45"/>
                              <w:marBottom w:val="0"/>
                              <w:divBdr>
                                <w:top w:val="single" w:sz="6" w:space="2" w:color="CCCCCC"/>
                                <w:left w:val="single" w:sz="6" w:space="2" w:color="CCCCCC"/>
                                <w:bottom w:val="single" w:sz="6" w:space="2" w:color="CCCCCC"/>
                                <w:right w:val="single" w:sz="6" w:space="2" w:color="CCCCCC"/>
                              </w:divBdr>
                              <w:divsChild>
                                <w:div w:id="122426913">
                                  <w:marLeft w:val="0"/>
                                  <w:marRight w:val="0"/>
                                  <w:marTop w:val="0"/>
                                  <w:marBottom w:val="0"/>
                                  <w:divBdr>
                                    <w:top w:val="none" w:sz="0" w:space="0" w:color="auto"/>
                                    <w:left w:val="none" w:sz="0" w:space="0" w:color="auto"/>
                                    <w:bottom w:val="none" w:sz="0" w:space="0" w:color="auto"/>
                                    <w:right w:val="none" w:sz="0" w:space="0" w:color="auto"/>
                                  </w:divBdr>
                                  <w:divsChild>
                                    <w:div w:id="157160680">
                                      <w:marLeft w:val="0"/>
                                      <w:marRight w:val="0"/>
                                      <w:marTop w:val="0"/>
                                      <w:marBottom w:val="0"/>
                                      <w:divBdr>
                                        <w:top w:val="none" w:sz="0" w:space="0" w:color="auto"/>
                                        <w:left w:val="none" w:sz="0" w:space="0" w:color="auto"/>
                                        <w:bottom w:val="none" w:sz="0" w:space="0" w:color="auto"/>
                                        <w:right w:val="none" w:sz="0" w:space="0" w:color="auto"/>
                                      </w:divBdr>
                                    </w:div>
                                  </w:divsChild>
                                </w:div>
                                <w:div w:id="369375708">
                                  <w:marLeft w:val="0"/>
                                  <w:marRight w:val="0"/>
                                  <w:marTop w:val="0"/>
                                  <w:marBottom w:val="0"/>
                                  <w:divBdr>
                                    <w:top w:val="none" w:sz="0" w:space="0" w:color="auto"/>
                                    <w:left w:val="none" w:sz="0" w:space="0" w:color="auto"/>
                                    <w:bottom w:val="none" w:sz="0" w:space="0" w:color="auto"/>
                                    <w:right w:val="none" w:sz="0" w:space="0" w:color="auto"/>
                                  </w:divBdr>
                                </w:div>
                                <w:div w:id="536503858">
                                  <w:marLeft w:val="0"/>
                                  <w:marRight w:val="0"/>
                                  <w:marTop w:val="0"/>
                                  <w:marBottom w:val="0"/>
                                  <w:divBdr>
                                    <w:top w:val="none" w:sz="0" w:space="0" w:color="auto"/>
                                    <w:left w:val="none" w:sz="0" w:space="0" w:color="auto"/>
                                    <w:bottom w:val="none" w:sz="0" w:space="0" w:color="auto"/>
                                    <w:right w:val="none" w:sz="0" w:space="0" w:color="auto"/>
                                  </w:divBdr>
                                </w:div>
                                <w:div w:id="1203130454">
                                  <w:marLeft w:val="0"/>
                                  <w:marRight w:val="0"/>
                                  <w:marTop w:val="0"/>
                                  <w:marBottom w:val="0"/>
                                  <w:divBdr>
                                    <w:top w:val="none" w:sz="0" w:space="0" w:color="auto"/>
                                    <w:left w:val="none" w:sz="0" w:space="0" w:color="auto"/>
                                    <w:bottom w:val="none" w:sz="0" w:space="0" w:color="auto"/>
                                    <w:right w:val="none" w:sz="0" w:space="0" w:color="auto"/>
                                  </w:divBdr>
                                </w:div>
                                <w:div w:id="1944219909">
                                  <w:marLeft w:val="0"/>
                                  <w:marRight w:val="0"/>
                                  <w:marTop w:val="0"/>
                                  <w:marBottom w:val="0"/>
                                  <w:divBdr>
                                    <w:top w:val="none" w:sz="0" w:space="0" w:color="auto"/>
                                    <w:left w:val="none" w:sz="0" w:space="0" w:color="auto"/>
                                    <w:bottom w:val="none" w:sz="0" w:space="0" w:color="auto"/>
                                    <w:right w:val="none" w:sz="0" w:space="0" w:color="auto"/>
                                  </w:divBdr>
                                </w:div>
                                <w:div w:id="1952660062">
                                  <w:marLeft w:val="0"/>
                                  <w:marRight w:val="0"/>
                                  <w:marTop w:val="0"/>
                                  <w:marBottom w:val="0"/>
                                  <w:divBdr>
                                    <w:top w:val="none" w:sz="0" w:space="0" w:color="auto"/>
                                    <w:left w:val="none" w:sz="0" w:space="0" w:color="auto"/>
                                    <w:bottom w:val="none" w:sz="0" w:space="0" w:color="auto"/>
                                    <w:right w:val="none" w:sz="0" w:space="0" w:color="auto"/>
                                  </w:divBdr>
                                </w:div>
                                <w:div w:id="2104371746">
                                  <w:marLeft w:val="0"/>
                                  <w:marRight w:val="0"/>
                                  <w:marTop w:val="0"/>
                                  <w:marBottom w:val="0"/>
                                  <w:divBdr>
                                    <w:top w:val="none" w:sz="0" w:space="0" w:color="auto"/>
                                    <w:left w:val="none" w:sz="0" w:space="0" w:color="auto"/>
                                    <w:bottom w:val="none" w:sz="0" w:space="0" w:color="auto"/>
                                    <w:right w:val="none" w:sz="0" w:space="0" w:color="auto"/>
                                  </w:divBdr>
                                </w:div>
                              </w:divsChild>
                            </w:div>
                            <w:div w:id="303701965">
                              <w:marLeft w:val="240"/>
                              <w:marRight w:val="0"/>
                              <w:marTop w:val="0"/>
                              <w:marBottom w:val="0"/>
                              <w:divBdr>
                                <w:top w:val="none" w:sz="0" w:space="0" w:color="auto"/>
                                <w:left w:val="none" w:sz="0" w:space="0" w:color="auto"/>
                                <w:bottom w:val="none" w:sz="0" w:space="0" w:color="auto"/>
                                <w:right w:val="none" w:sz="0" w:space="0" w:color="auto"/>
                              </w:divBdr>
                            </w:div>
                            <w:div w:id="621158074">
                              <w:marLeft w:val="0"/>
                              <w:marRight w:val="0"/>
                              <w:marTop w:val="0"/>
                              <w:marBottom w:val="0"/>
                              <w:divBdr>
                                <w:top w:val="none" w:sz="0" w:space="0" w:color="auto"/>
                                <w:left w:val="none" w:sz="0" w:space="0" w:color="auto"/>
                                <w:bottom w:val="none" w:sz="0" w:space="0" w:color="auto"/>
                                <w:right w:val="none" w:sz="0" w:space="0" w:color="auto"/>
                              </w:divBdr>
                            </w:div>
                          </w:divsChild>
                        </w:div>
                        <w:div w:id="1273242473">
                          <w:marLeft w:val="0"/>
                          <w:marRight w:val="0"/>
                          <w:marTop w:val="0"/>
                          <w:marBottom w:val="0"/>
                          <w:divBdr>
                            <w:top w:val="none" w:sz="0" w:space="0" w:color="auto"/>
                            <w:left w:val="none" w:sz="0" w:space="0" w:color="auto"/>
                            <w:bottom w:val="none" w:sz="0" w:space="0" w:color="auto"/>
                            <w:right w:val="none" w:sz="0" w:space="0" w:color="auto"/>
                          </w:divBdr>
                          <w:divsChild>
                            <w:div w:id="1418136412">
                              <w:marLeft w:val="0"/>
                              <w:marRight w:val="0"/>
                              <w:marTop w:val="120"/>
                              <w:marBottom w:val="360"/>
                              <w:divBdr>
                                <w:top w:val="none" w:sz="0" w:space="0" w:color="auto"/>
                                <w:left w:val="none" w:sz="0" w:space="0" w:color="auto"/>
                                <w:bottom w:val="none" w:sz="0" w:space="0" w:color="auto"/>
                                <w:right w:val="none" w:sz="0" w:space="0" w:color="auto"/>
                              </w:divBdr>
                              <w:divsChild>
                                <w:div w:id="235866839">
                                  <w:marLeft w:val="0"/>
                                  <w:marRight w:val="0"/>
                                  <w:marTop w:val="0"/>
                                  <w:marBottom w:val="0"/>
                                  <w:divBdr>
                                    <w:top w:val="none" w:sz="0" w:space="0" w:color="auto"/>
                                    <w:left w:val="none" w:sz="0" w:space="0" w:color="auto"/>
                                    <w:bottom w:val="none" w:sz="0" w:space="0" w:color="auto"/>
                                    <w:right w:val="none" w:sz="0" w:space="0" w:color="auto"/>
                                  </w:divBdr>
                                </w:div>
                                <w:div w:id="1733886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786302">
                          <w:marLeft w:val="0"/>
                          <w:marRight w:val="0"/>
                          <w:marTop w:val="0"/>
                          <w:marBottom w:val="0"/>
                          <w:divBdr>
                            <w:top w:val="none" w:sz="0" w:space="0" w:color="auto"/>
                            <w:left w:val="none" w:sz="0" w:space="0" w:color="auto"/>
                            <w:bottom w:val="none" w:sz="0" w:space="0" w:color="auto"/>
                            <w:right w:val="none" w:sz="0" w:space="0" w:color="auto"/>
                          </w:divBdr>
                          <w:divsChild>
                            <w:div w:id="81587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399993">
      <w:bodyDiv w:val="1"/>
      <w:marLeft w:val="0"/>
      <w:marRight w:val="0"/>
      <w:marTop w:val="0"/>
      <w:marBottom w:val="0"/>
      <w:divBdr>
        <w:top w:val="none" w:sz="0" w:space="0" w:color="auto"/>
        <w:left w:val="none" w:sz="0" w:space="0" w:color="auto"/>
        <w:bottom w:val="none" w:sz="0" w:space="0" w:color="auto"/>
        <w:right w:val="none" w:sz="0" w:space="0" w:color="auto"/>
      </w:divBdr>
      <w:divsChild>
        <w:div w:id="1185901229">
          <w:marLeft w:val="0"/>
          <w:marRight w:val="0"/>
          <w:marTop w:val="0"/>
          <w:marBottom w:val="0"/>
          <w:divBdr>
            <w:top w:val="none" w:sz="0" w:space="0" w:color="auto"/>
            <w:left w:val="none" w:sz="0" w:space="0" w:color="auto"/>
            <w:bottom w:val="none" w:sz="0" w:space="0" w:color="auto"/>
            <w:right w:val="none" w:sz="0" w:space="0" w:color="auto"/>
          </w:divBdr>
          <w:divsChild>
            <w:div w:id="668825657">
              <w:marLeft w:val="0"/>
              <w:marRight w:val="0"/>
              <w:marTop w:val="0"/>
              <w:marBottom w:val="0"/>
              <w:divBdr>
                <w:top w:val="none" w:sz="0" w:space="0" w:color="auto"/>
                <w:left w:val="none" w:sz="0" w:space="0" w:color="auto"/>
                <w:bottom w:val="none" w:sz="0" w:space="0" w:color="auto"/>
                <w:right w:val="none" w:sz="0" w:space="0" w:color="auto"/>
              </w:divBdr>
              <w:divsChild>
                <w:div w:id="980354236">
                  <w:marLeft w:val="0"/>
                  <w:marRight w:val="0"/>
                  <w:marTop w:val="0"/>
                  <w:marBottom w:val="0"/>
                  <w:divBdr>
                    <w:top w:val="none" w:sz="0" w:space="0" w:color="auto"/>
                    <w:left w:val="none" w:sz="0" w:space="0" w:color="auto"/>
                    <w:bottom w:val="none" w:sz="0" w:space="0" w:color="auto"/>
                    <w:right w:val="none" w:sz="0" w:space="0" w:color="auto"/>
                  </w:divBdr>
                  <w:divsChild>
                    <w:div w:id="2074228274">
                      <w:marLeft w:val="0"/>
                      <w:marRight w:val="0"/>
                      <w:marTop w:val="100"/>
                      <w:marBottom w:val="100"/>
                      <w:divBdr>
                        <w:top w:val="none" w:sz="0" w:space="0" w:color="auto"/>
                        <w:left w:val="none" w:sz="0" w:space="0" w:color="auto"/>
                        <w:bottom w:val="none" w:sz="0" w:space="0" w:color="auto"/>
                        <w:right w:val="none" w:sz="0" w:space="0" w:color="auto"/>
                      </w:divBdr>
                      <w:divsChild>
                        <w:div w:id="1420982327">
                          <w:marLeft w:val="-1"/>
                          <w:marRight w:val="-1"/>
                          <w:marTop w:val="0"/>
                          <w:marBottom w:val="0"/>
                          <w:divBdr>
                            <w:top w:val="none" w:sz="0" w:space="0" w:color="auto"/>
                            <w:left w:val="none" w:sz="0" w:space="0" w:color="auto"/>
                            <w:bottom w:val="none" w:sz="0" w:space="0" w:color="auto"/>
                            <w:right w:val="none" w:sz="0" w:space="0" w:color="auto"/>
                          </w:divBdr>
                          <w:divsChild>
                            <w:div w:id="115682846">
                              <w:marLeft w:val="0"/>
                              <w:marRight w:val="0"/>
                              <w:marTop w:val="0"/>
                              <w:marBottom w:val="0"/>
                              <w:divBdr>
                                <w:top w:val="none" w:sz="0" w:space="0" w:color="auto"/>
                                <w:left w:val="none" w:sz="0" w:space="0" w:color="auto"/>
                                <w:bottom w:val="none" w:sz="0" w:space="0" w:color="auto"/>
                                <w:right w:val="none" w:sz="0" w:space="0" w:color="auto"/>
                              </w:divBdr>
                              <w:divsChild>
                                <w:div w:id="1868978472">
                                  <w:marLeft w:val="0"/>
                                  <w:marRight w:val="0"/>
                                  <w:marTop w:val="0"/>
                                  <w:marBottom w:val="0"/>
                                  <w:divBdr>
                                    <w:top w:val="none" w:sz="0" w:space="0" w:color="auto"/>
                                    <w:left w:val="none" w:sz="0" w:space="0" w:color="auto"/>
                                    <w:bottom w:val="none" w:sz="0" w:space="0" w:color="auto"/>
                                    <w:right w:val="none" w:sz="0" w:space="0" w:color="auto"/>
                                  </w:divBdr>
                                  <w:divsChild>
                                    <w:div w:id="748384874">
                                      <w:marLeft w:val="0"/>
                                      <w:marRight w:val="0"/>
                                      <w:marTop w:val="0"/>
                                      <w:marBottom w:val="0"/>
                                      <w:divBdr>
                                        <w:top w:val="none" w:sz="0" w:space="0" w:color="auto"/>
                                        <w:left w:val="none" w:sz="0" w:space="0" w:color="auto"/>
                                        <w:bottom w:val="none" w:sz="0" w:space="0" w:color="auto"/>
                                        <w:right w:val="none" w:sz="0" w:space="0" w:color="auto"/>
                                      </w:divBdr>
                                      <w:divsChild>
                                        <w:div w:id="151369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9589626">
      <w:bodyDiv w:val="1"/>
      <w:marLeft w:val="0"/>
      <w:marRight w:val="0"/>
      <w:marTop w:val="0"/>
      <w:marBottom w:val="0"/>
      <w:divBdr>
        <w:top w:val="none" w:sz="0" w:space="0" w:color="auto"/>
        <w:left w:val="none" w:sz="0" w:space="0" w:color="auto"/>
        <w:bottom w:val="none" w:sz="0" w:space="0" w:color="auto"/>
        <w:right w:val="none" w:sz="0" w:space="0" w:color="auto"/>
      </w:divBdr>
    </w:div>
    <w:div w:id="211163895">
      <w:bodyDiv w:val="1"/>
      <w:marLeft w:val="0"/>
      <w:marRight w:val="0"/>
      <w:marTop w:val="0"/>
      <w:marBottom w:val="0"/>
      <w:divBdr>
        <w:top w:val="none" w:sz="0" w:space="0" w:color="auto"/>
        <w:left w:val="none" w:sz="0" w:space="0" w:color="auto"/>
        <w:bottom w:val="none" w:sz="0" w:space="0" w:color="auto"/>
        <w:right w:val="none" w:sz="0" w:space="0" w:color="auto"/>
      </w:divBdr>
    </w:div>
    <w:div w:id="242616673">
      <w:bodyDiv w:val="1"/>
      <w:marLeft w:val="0"/>
      <w:marRight w:val="0"/>
      <w:marTop w:val="0"/>
      <w:marBottom w:val="0"/>
      <w:divBdr>
        <w:top w:val="none" w:sz="0" w:space="0" w:color="auto"/>
        <w:left w:val="none" w:sz="0" w:space="0" w:color="auto"/>
        <w:bottom w:val="none" w:sz="0" w:space="0" w:color="auto"/>
        <w:right w:val="none" w:sz="0" w:space="0" w:color="auto"/>
      </w:divBdr>
      <w:divsChild>
        <w:div w:id="1568177581">
          <w:marLeft w:val="0"/>
          <w:marRight w:val="1"/>
          <w:marTop w:val="0"/>
          <w:marBottom w:val="0"/>
          <w:divBdr>
            <w:top w:val="none" w:sz="0" w:space="0" w:color="auto"/>
            <w:left w:val="none" w:sz="0" w:space="0" w:color="auto"/>
            <w:bottom w:val="none" w:sz="0" w:space="0" w:color="auto"/>
            <w:right w:val="none" w:sz="0" w:space="0" w:color="auto"/>
          </w:divBdr>
          <w:divsChild>
            <w:div w:id="1627540815">
              <w:marLeft w:val="0"/>
              <w:marRight w:val="0"/>
              <w:marTop w:val="0"/>
              <w:marBottom w:val="0"/>
              <w:divBdr>
                <w:top w:val="none" w:sz="0" w:space="0" w:color="auto"/>
                <w:left w:val="none" w:sz="0" w:space="0" w:color="auto"/>
                <w:bottom w:val="none" w:sz="0" w:space="0" w:color="auto"/>
                <w:right w:val="none" w:sz="0" w:space="0" w:color="auto"/>
              </w:divBdr>
              <w:divsChild>
                <w:div w:id="206138965">
                  <w:marLeft w:val="0"/>
                  <w:marRight w:val="1"/>
                  <w:marTop w:val="0"/>
                  <w:marBottom w:val="0"/>
                  <w:divBdr>
                    <w:top w:val="none" w:sz="0" w:space="0" w:color="auto"/>
                    <w:left w:val="none" w:sz="0" w:space="0" w:color="auto"/>
                    <w:bottom w:val="none" w:sz="0" w:space="0" w:color="auto"/>
                    <w:right w:val="none" w:sz="0" w:space="0" w:color="auto"/>
                  </w:divBdr>
                  <w:divsChild>
                    <w:div w:id="1753156465">
                      <w:marLeft w:val="0"/>
                      <w:marRight w:val="0"/>
                      <w:marTop w:val="0"/>
                      <w:marBottom w:val="0"/>
                      <w:divBdr>
                        <w:top w:val="none" w:sz="0" w:space="0" w:color="auto"/>
                        <w:left w:val="none" w:sz="0" w:space="0" w:color="auto"/>
                        <w:bottom w:val="none" w:sz="0" w:space="0" w:color="auto"/>
                        <w:right w:val="none" w:sz="0" w:space="0" w:color="auto"/>
                      </w:divBdr>
                      <w:divsChild>
                        <w:div w:id="21709581">
                          <w:marLeft w:val="0"/>
                          <w:marRight w:val="0"/>
                          <w:marTop w:val="0"/>
                          <w:marBottom w:val="0"/>
                          <w:divBdr>
                            <w:top w:val="none" w:sz="0" w:space="0" w:color="auto"/>
                            <w:left w:val="none" w:sz="0" w:space="0" w:color="auto"/>
                            <w:bottom w:val="none" w:sz="0" w:space="0" w:color="auto"/>
                            <w:right w:val="none" w:sz="0" w:space="0" w:color="auto"/>
                          </w:divBdr>
                          <w:divsChild>
                            <w:div w:id="421339839">
                              <w:marLeft w:val="0"/>
                              <w:marRight w:val="0"/>
                              <w:marTop w:val="120"/>
                              <w:marBottom w:val="360"/>
                              <w:divBdr>
                                <w:top w:val="none" w:sz="0" w:space="0" w:color="auto"/>
                                <w:left w:val="none" w:sz="0" w:space="0" w:color="auto"/>
                                <w:bottom w:val="none" w:sz="0" w:space="0" w:color="auto"/>
                                <w:right w:val="none" w:sz="0" w:space="0" w:color="auto"/>
                              </w:divBdr>
                              <w:divsChild>
                                <w:div w:id="377441466">
                                  <w:marLeft w:val="420"/>
                                  <w:marRight w:val="0"/>
                                  <w:marTop w:val="0"/>
                                  <w:marBottom w:val="0"/>
                                  <w:divBdr>
                                    <w:top w:val="none" w:sz="0" w:space="0" w:color="auto"/>
                                    <w:left w:val="none" w:sz="0" w:space="0" w:color="auto"/>
                                    <w:bottom w:val="none" w:sz="0" w:space="0" w:color="auto"/>
                                    <w:right w:val="none" w:sz="0" w:space="0" w:color="auto"/>
                                  </w:divBdr>
                                  <w:divsChild>
                                    <w:div w:id="1226722394">
                                      <w:marLeft w:val="0"/>
                                      <w:marRight w:val="0"/>
                                      <w:marTop w:val="34"/>
                                      <w:marBottom w:val="34"/>
                                      <w:divBdr>
                                        <w:top w:val="none" w:sz="0" w:space="0" w:color="auto"/>
                                        <w:left w:val="none" w:sz="0" w:space="0" w:color="auto"/>
                                        <w:bottom w:val="none" w:sz="0" w:space="0" w:color="auto"/>
                                        <w:right w:val="none" w:sz="0" w:space="0" w:color="auto"/>
                                      </w:divBdr>
                                    </w:div>
                                    <w:div w:id="1888298327">
                                      <w:marLeft w:val="0"/>
                                      <w:marRight w:val="0"/>
                                      <w:marTop w:val="0"/>
                                      <w:marBottom w:val="0"/>
                                      <w:divBdr>
                                        <w:top w:val="none" w:sz="0" w:space="0" w:color="auto"/>
                                        <w:left w:val="none" w:sz="0" w:space="0" w:color="auto"/>
                                        <w:bottom w:val="none" w:sz="0" w:space="0" w:color="auto"/>
                                        <w:right w:val="none" w:sz="0" w:space="0" w:color="auto"/>
                                      </w:divBdr>
                                      <w:divsChild>
                                        <w:div w:id="1219174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79604400">
      <w:bodyDiv w:val="1"/>
      <w:marLeft w:val="0"/>
      <w:marRight w:val="0"/>
      <w:marTop w:val="0"/>
      <w:marBottom w:val="0"/>
      <w:divBdr>
        <w:top w:val="none" w:sz="0" w:space="0" w:color="auto"/>
        <w:left w:val="none" w:sz="0" w:space="0" w:color="auto"/>
        <w:bottom w:val="none" w:sz="0" w:space="0" w:color="auto"/>
        <w:right w:val="none" w:sz="0" w:space="0" w:color="auto"/>
      </w:divBdr>
      <w:divsChild>
        <w:div w:id="1007098939">
          <w:marLeft w:val="0"/>
          <w:marRight w:val="1"/>
          <w:marTop w:val="0"/>
          <w:marBottom w:val="0"/>
          <w:divBdr>
            <w:top w:val="none" w:sz="0" w:space="0" w:color="auto"/>
            <w:left w:val="none" w:sz="0" w:space="0" w:color="auto"/>
            <w:bottom w:val="none" w:sz="0" w:space="0" w:color="auto"/>
            <w:right w:val="none" w:sz="0" w:space="0" w:color="auto"/>
          </w:divBdr>
          <w:divsChild>
            <w:div w:id="1901819814">
              <w:marLeft w:val="0"/>
              <w:marRight w:val="0"/>
              <w:marTop w:val="0"/>
              <w:marBottom w:val="0"/>
              <w:divBdr>
                <w:top w:val="none" w:sz="0" w:space="0" w:color="auto"/>
                <w:left w:val="none" w:sz="0" w:space="0" w:color="auto"/>
                <w:bottom w:val="none" w:sz="0" w:space="0" w:color="auto"/>
                <w:right w:val="none" w:sz="0" w:space="0" w:color="auto"/>
              </w:divBdr>
              <w:divsChild>
                <w:div w:id="1369992476">
                  <w:marLeft w:val="0"/>
                  <w:marRight w:val="1"/>
                  <w:marTop w:val="0"/>
                  <w:marBottom w:val="0"/>
                  <w:divBdr>
                    <w:top w:val="none" w:sz="0" w:space="0" w:color="auto"/>
                    <w:left w:val="none" w:sz="0" w:space="0" w:color="auto"/>
                    <w:bottom w:val="none" w:sz="0" w:space="0" w:color="auto"/>
                    <w:right w:val="none" w:sz="0" w:space="0" w:color="auto"/>
                  </w:divBdr>
                  <w:divsChild>
                    <w:div w:id="1696728096">
                      <w:marLeft w:val="0"/>
                      <w:marRight w:val="0"/>
                      <w:marTop w:val="0"/>
                      <w:marBottom w:val="0"/>
                      <w:divBdr>
                        <w:top w:val="none" w:sz="0" w:space="0" w:color="auto"/>
                        <w:left w:val="none" w:sz="0" w:space="0" w:color="auto"/>
                        <w:bottom w:val="none" w:sz="0" w:space="0" w:color="auto"/>
                        <w:right w:val="none" w:sz="0" w:space="0" w:color="auto"/>
                      </w:divBdr>
                      <w:divsChild>
                        <w:div w:id="1316954708">
                          <w:marLeft w:val="0"/>
                          <w:marRight w:val="0"/>
                          <w:marTop w:val="0"/>
                          <w:marBottom w:val="0"/>
                          <w:divBdr>
                            <w:top w:val="none" w:sz="0" w:space="0" w:color="auto"/>
                            <w:left w:val="none" w:sz="0" w:space="0" w:color="auto"/>
                            <w:bottom w:val="none" w:sz="0" w:space="0" w:color="auto"/>
                            <w:right w:val="none" w:sz="0" w:space="0" w:color="auto"/>
                          </w:divBdr>
                          <w:divsChild>
                            <w:div w:id="91754017">
                              <w:marLeft w:val="0"/>
                              <w:marRight w:val="0"/>
                              <w:marTop w:val="45"/>
                              <w:marBottom w:val="0"/>
                              <w:divBdr>
                                <w:top w:val="single" w:sz="6" w:space="2" w:color="CCCCCC"/>
                                <w:left w:val="single" w:sz="6" w:space="2" w:color="CCCCCC"/>
                                <w:bottom w:val="single" w:sz="6" w:space="2" w:color="CCCCCC"/>
                                <w:right w:val="single" w:sz="6" w:space="2" w:color="CCCCCC"/>
                              </w:divBdr>
                              <w:divsChild>
                                <w:div w:id="88426583">
                                  <w:marLeft w:val="0"/>
                                  <w:marRight w:val="0"/>
                                  <w:marTop w:val="0"/>
                                  <w:marBottom w:val="0"/>
                                  <w:divBdr>
                                    <w:top w:val="none" w:sz="0" w:space="0" w:color="auto"/>
                                    <w:left w:val="none" w:sz="0" w:space="0" w:color="auto"/>
                                    <w:bottom w:val="none" w:sz="0" w:space="0" w:color="auto"/>
                                    <w:right w:val="none" w:sz="0" w:space="0" w:color="auto"/>
                                  </w:divBdr>
                                </w:div>
                                <w:div w:id="229389347">
                                  <w:marLeft w:val="0"/>
                                  <w:marRight w:val="0"/>
                                  <w:marTop w:val="0"/>
                                  <w:marBottom w:val="0"/>
                                  <w:divBdr>
                                    <w:top w:val="none" w:sz="0" w:space="0" w:color="auto"/>
                                    <w:left w:val="none" w:sz="0" w:space="0" w:color="auto"/>
                                    <w:bottom w:val="none" w:sz="0" w:space="0" w:color="auto"/>
                                    <w:right w:val="none" w:sz="0" w:space="0" w:color="auto"/>
                                  </w:divBdr>
                                </w:div>
                                <w:div w:id="568154242">
                                  <w:marLeft w:val="0"/>
                                  <w:marRight w:val="0"/>
                                  <w:marTop w:val="0"/>
                                  <w:marBottom w:val="0"/>
                                  <w:divBdr>
                                    <w:top w:val="none" w:sz="0" w:space="0" w:color="auto"/>
                                    <w:left w:val="none" w:sz="0" w:space="0" w:color="auto"/>
                                    <w:bottom w:val="none" w:sz="0" w:space="0" w:color="auto"/>
                                    <w:right w:val="none" w:sz="0" w:space="0" w:color="auto"/>
                                  </w:divBdr>
                                  <w:divsChild>
                                    <w:div w:id="1916234420">
                                      <w:marLeft w:val="0"/>
                                      <w:marRight w:val="0"/>
                                      <w:marTop w:val="0"/>
                                      <w:marBottom w:val="0"/>
                                      <w:divBdr>
                                        <w:top w:val="none" w:sz="0" w:space="0" w:color="auto"/>
                                        <w:left w:val="none" w:sz="0" w:space="0" w:color="auto"/>
                                        <w:bottom w:val="none" w:sz="0" w:space="0" w:color="auto"/>
                                        <w:right w:val="none" w:sz="0" w:space="0" w:color="auto"/>
                                      </w:divBdr>
                                    </w:div>
                                  </w:divsChild>
                                </w:div>
                                <w:div w:id="1140001606">
                                  <w:marLeft w:val="0"/>
                                  <w:marRight w:val="0"/>
                                  <w:marTop w:val="0"/>
                                  <w:marBottom w:val="0"/>
                                  <w:divBdr>
                                    <w:top w:val="none" w:sz="0" w:space="0" w:color="auto"/>
                                    <w:left w:val="none" w:sz="0" w:space="0" w:color="auto"/>
                                    <w:bottom w:val="none" w:sz="0" w:space="0" w:color="auto"/>
                                    <w:right w:val="none" w:sz="0" w:space="0" w:color="auto"/>
                                  </w:divBdr>
                                </w:div>
                                <w:div w:id="1155419404">
                                  <w:marLeft w:val="0"/>
                                  <w:marRight w:val="0"/>
                                  <w:marTop w:val="0"/>
                                  <w:marBottom w:val="0"/>
                                  <w:divBdr>
                                    <w:top w:val="none" w:sz="0" w:space="0" w:color="auto"/>
                                    <w:left w:val="none" w:sz="0" w:space="0" w:color="auto"/>
                                    <w:bottom w:val="none" w:sz="0" w:space="0" w:color="auto"/>
                                    <w:right w:val="none" w:sz="0" w:space="0" w:color="auto"/>
                                  </w:divBdr>
                                </w:div>
                                <w:div w:id="1407219820">
                                  <w:marLeft w:val="0"/>
                                  <w:marRight w:val="0"/>
                                  <w:marTop w:val="0"/>
                                  <w:marBottom w:val="0"/>
                                  <w:divBdr>
                                    <w:top w:val="none" w:sz="0" w:space="0" w:color="auto"/>
                                    <w:left w:val="none" w:sz="0" w:space="0" w:color="auto"/>
                                    <w:bottom w:val="none" w:sz="0" w:space="0" w:color="auto"/>
                                    <w:right w:val="none" w:sz="0" w:space="0" w:color="auto"/>
                                  </w:divBdr>
                                </w:div>
                                <w:div w:id="1593470661">
                                  <w:marLeft w:val="0"/>
                                  <w:marRight w:val="0"/>
                                  <w:marTop w:val="0"/>
                                  <w:marBottom w:val="0"/>
                                  <w:divBdr>
                                    <w:top w:val="none" w:sz="0" w:space="0" w:color="auto"/>
                                    <w:left w:val="none" w:sz="0" w:space="0" w:color="auto"/>
                                    <w:bottom w:val="none" w:sz="0" w:space="0" w:color="auto"/>
                                    <w:right w:val="none" w:sz="0" w:space="0" w:color="auto"/>
                                  </w:divBdr>
                                </w:div>
                              </w:divsChild>
                            </w:div>
                            <w:div w:id="486095171">
                              <w:marLeft w:val="0"/>
                              <w:marRight w:val="0"/>
                              <w:marTop w:val="0"/>
                              <w:marBottom w:val="0"/>
                              <w:divBdr>
                                <w:top w:val="none" w:sz="0" w:space="0" w:color="auto"/>
                                <w:left w:val="none" w:sz="0" w:space="0" w:color="auto"/>
                                <w:bottom w:val="none" w:sz="0" w:space="0" w:color="auto"/>
                                <w:right w:val="none" w:sz="0" w:space="0" w:color="auto"/>
                              </w:divBdr>
                            </w:div>
                            <w:div w:id="543955474">
                              <w:marLeft w:val="240"/>
                              <w:marRight w:val="0"/>
                              <w:marTop w:val="0"/>
                              <w:marBottom w:val="0"/>
                              <w:divBdr>
                                <w:top w:val="none" w:sz="0" w:space="0" w:color="auto"/>
                                <w:left w:val="none" w:sz="0" w:space="0" w:color="auto"/>
                                <w:bottom w:val="none" w:sz="0" w:space="0" w:color="auto"/>
                                <w:right w:val="none" w:sz="0" w:space="0" w:color="auto"/>
                              </w:divBdr>
                            </w:div>
                          </w:divsChild>
                        </w:div>
                        <w:div w:id="1150436880">
                          <w:marLeft w:val="0"/>
                          <w:marRight w:val="0"/>
                          <w:marTop w:val="0"/>
                          <w:marBottom w:val="0"/>
                          <w:divBdr>
                            <w:top w:val="none" w:sz="0" w:space="0" w:color="auto"/>
                            <w:left w:val="none" w:sz="0" w:space="0" w:color="auto"/>
                            <w:bottom w:val="none" w:sz="0" w:space="0" w:color="auto"/>
                            <w:right w:val="none" w:sz="0" w:space="0" w:color="auto"/>
                          </w:divBdr>
                          <w:divsChild>
                            <w:div w:id="2146729818">
                              <w:marLeft w:val="0"/>
                              <w:marRight w:val="0"/>
                              <w:marTop w:val="120"/>
                              <w:marBottom w:val="360"/>
                              <w:divBdr>
                                <w:top w:val="none" w:sz="0" w:space="0" w:color="auto"/>
                                <w:left w:val="none" w:sz="0" w:space="0" w:color="auto"/>
                                <w:bottom w:val="none" w:sz="0" w:space="0" w:color="auto"/>
                                <w:right w:val="none" w:sz="0" w:space="0" w:color="auto"/>
                              </w:divBdr>
                              <w:divsChild>
                                <w:div w:id="468787971">
                                  <w:marLeft w:val="0"/>
                                  <w:marRight w:val="0"/>
                                  <w:marTop w:val="0"/>
                                  <w:marBottom w:val="0"/>
                                  <w:divBdr>
                                    <w:top w:val="none" w:sz="0" w:space="0" w:color="auto"/>
                                    <w:left w:val="none" w:sz="0" w:space="0" w:color="auto"/>
                                    <w:bottom w:val="none" w:sz="0" w:space="0" w:color="auto"/>
                                    <w:right w:val="none" w:sz="0" w:space="0" w:color="auto"/>
                                  </w:divBdr>
                                </w:div>
                                <w:div w:id="10380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811867">
                          <w:marLeft w:val="0"/>
                          <w:marRight w:val="0"/>
                          <w:marTop w:val="0"/>
                          <w:marBottom w:val="0"/>
                          <w:divBdr>
                            <w:top w:val="none" w:sz="0" w:space="0" w:color="auto"/>
                            <w:left w:val="none" w:sz="0" w:space="0" w:color="auto"/>
                            <w:bottom w:val="none" w:sz="0" w:space="0" w:color="auto"/>
                            <w:right w:val="none" w:sz="0" w:space="0" w:color="auto"/>
                          </w:divBdr>
                          <w:divsChild>
                            <w:div w:id="188625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3599017">
      <w:bodyDiv w:val="1"/>
      <w:marLeft w:val="0"/>
      <w:marRight w:val="0"/>
      <w:marTop w:val="0"/>
      <w:marBottom w:val="0"/>
      <w:divBdr>
        <w:top w:val="none" w:sz="0" w:space="0" w:color="auto"/>
        <w:left w:val="none" w:sz="0" w:space="0" w:color="auto"/>
        <w:bottom w:val="none" w:sz="0" w:space="0" w:color="auto"/>
        <w:right w:val="none" w:sz="0" w:space="0" w:color="auto"/>
      </w:divBdr>
    </w:div>
    <w:div w:id="452485860">
      <w:bodyDiv w:val="1"/>
      <w:marLeft w:val="0"/>
      <w:marRight w:val="0"/>
      <w:marTop w:val="0"/>
      <w:marBottom w:val="0"/>
      <w:divBdr>
        <w:top w:val="none" w:sz="0" w:space="0" w:color="auto"/>
        <w:left w:val="none" w:sz="0" w:space="0" w:color="auto"/>
        <w:bottom w:val="none" w:sz="0" w:space="0" w:color="auto"/>
        <w:right w:val="none" w:sz="0" w:space="0" w:color="auto"/>
      </w:divBdr>
      <w:divsChild>
        <w:div w:id="668682719">
          <w:marLeft w:val="0"/>
          <w:marRight w:val="0"/>
          <w:marTop w:val="0"/>
          <w:marBottom w:val="0"/>
          <w:divBdr>
            <w:top w:val="none" w:sz="0" w:space="0" w:color="auto"/>
            <w:left w:val="none" w:sz="0" w:space="0" w:color="auto"/>
            <w:bottom w:val="none" w:sz="0" w:space="0" w:color="auto"/>
            <w:right w:val="none" w:sz="0" w:space="0" w:color="auto"/>
          </w:divBdr>
        </w:div>
      </w:divsChild>
    </w:div>
    <w:div w:id="493759822">
      <w:bodyDiv w:val="1"/>
      <w:marLeft w:val="0"/>
      <w:marRight w:val="0"/>
      <w:marTop w:val="0"/>
      <w:marBottom w:val="0"/>
      <w:divBdr>
        <w:top w:val="none" w:sz="0" w:space="0" w:color="auto"/>
        <w:left w:val="none" w:sz="0" w:space="0" w:color="auto"/>
        <w:bottom w:val="none" w:sz="0" w:space="0" w:color="auto"/>
        <w:right w:val="none" w:sz="0" w:space="0" w:color="auto"/>
      </w:divBdr>
    </w:div>
    <w:div w:id="494106058">
      <w:bodyDiv w:val="1"/>
      <w:marLeft w:val="0"/>
      <w:marRight w:val="0"/>
      <w:marTop w:val="0"/>
      <w:marBottom w:val="0"/>
      <w:divBdr>
        <w:top w:val="none" w:sz="0" w:space="0" w:color="auto"/>
        <w:left w:val="none" w:sz="0" w:space="0" w:color="auto"/>
        <w:bottom w:val="none" w:sz="0" w:space="0" w:color="auto"/>
        <w:right w:val="none" w:sz="0" w:space="0" w:color="auto"/>
      </w:divBdr>
      <w:divsChild>
        <w:div w:id="1628974547">
          <w:marLeft w:val="0"/>
          <w:marRight w:val="0"/>
          <w:marTop w:val="0"/>
          <w:marBottom w:val="0"/>
          <w:divBdr>
            <w:top w:val="none" w:sz="0" w:space="0" w:color="auto"/>
            <w:left w:val="none" w:sz="0" w:space="0" w:color="auto"/>
            <w:bottom w:val="none" w:sz="0" w:space="0" w:color="auto"/>
            <w:right w:val="none" w:sz="0" w:space="0" w:color="auto"/>
          </w:divBdr>
          <w:divsChild>
            <w:div w:id="1494032786">
              <w:marLeft w:val="0"/>
              <w:marRight w:val="0"/>
              <w:marTop w:val="0"/>
              <w:marBottom w:val="0"/>
              <w:divBdr>
                <w:top w:val="none" w:sz="0" w:space="0" w:color="auto"/>
                <w:left w:val="none" w:sz="0" w:space="0" w:color="auto"/>
                <w:bottom w:val="none" w:sz="0" w:space="0" w:color="auto"/>
                <w:right w:val="none" w:sz="0" w:space="0" w:color="auto"/>
              </w:divBdr>
              <w:divsChild>
                <w:div w:id="1353216407">
                  <w:marLeft w:val="0"/>
                  <w:marRight w:val="0"/>
                  <w:marTop w:val="0"/>
                  <w:marBottom w:val="0"/>
                  <w:divBdr>
                    <w:top w:val="none" w:sz="0" w:space="0" w:color="auto"/>
                    <w:left w:val="none" w:sz="0" w:space="0" w:color="auto"/>
                    <w:bottom w:val="none" w:sz="0" w:space="0" w:color="auto"/>
                    <w:right w:val="none" w:sz="0" w:space="0" w:color="auto"/>
                  </w:divBdr>
                  <w:divsChild>
                    <w:div w:id="250814818">
                      <w:marLeft w:val="0"/>
                      <w:marRight w:val="0"/>
                      <w:marTop w:val="0"/>
                      <w:marBottom w:val="0"/>
                      <w:divBdr>
                        <w:top w:val="none" w:sz="0" w:space="0" w:color="auto"/>
                        <w:left w:val="none" w:sz="0" w:space="0" w:color="auto"/>
                        <w:bottom w:val="none" w:sz="0" w:space="0" w:color="auto"/>
                        <w:right w:val="none" w:sz="0" w:space="0" w:color="auto"/>
                      </w:divBdr>
                      <w:divsChild>
                        <w:div w:id="308171335">
                          <w:marLeft w:val="0"/>
                          <w:marRight w:val="0"/>
                          <w:marTop w:val="0"/>
                          <w:marBottom w:val="0"/>
                          <w:divBdr>
                            <w:top w:val="none" w:sz="0" w:space="0" w:color="auto"/>
                            <w:left w:val="none" w:sz="0" w:space="0" w:color="auto"/>
                            <w:bottom w:val="none" w:sz="0" w:space="0" w:color="auto"/>
                            <w:right w:val="none" w:sz="0" w:space="0" w:color="auto"/>
                          </w:divBdr>
                          <w:divsChild>
                            <w:div w:id="1280145624">
                              <w:marLeft w:val="-225"/>
                              <w:marRight w:val="-225"/>
                              <w:marTop w:val="0"/>
                              <w:marBottom w:val="0"/>
                              <w:divBdr>
                                <w:top w:val="none" w:sz="0" w:space="0" w:color="auto"/>
                                <w:left w:val="none" w:sz="0" w:space="0" w:color="auto"/>
                                <w:bottom w:val="none" w:sz="0" w:space="0" w:color="auto"/>
                                <w:right w:val="none" w:sz="0" w:space="0" w:color="auto"/>
                              </w:divBdr>
                              <w:divsChild>
                                <w:div w:id="1883206910">
                                  <w:marLeft w:val="0"/>
                                  <w:marRight w:val="0"/>
                                  <w:marTop w:val="0"/>
                                  <w:marBottom w:val="0"/>
                                  <w:divBdr>
                                    <w:top w:val="none" w:sz="0" w:space="0" w:color="auto"/>
                                    <w:left w:val="none" w:sz="0" w:space="0" w:color="auto"/>
                                    <w:bottom w:val="none" w:sz="0" w:space="0" w:color="auto"/>
                                    <w:right w:val="none" w:sz="0" w:space="0" w:color="auto"/>
                                  </w:divBdr>
                                  <w:divsChild>
                                    <w:div w:id="294066494">
                                      <w:marLeft w:val="-150"/>
                                      <w:marRight w:val="-150"/>
                                      <w:marTop w:val="0"/>
                                      <w:marBottom w:val="0"/>
                                      <w:divBdr>
                                        <w:top w:val="none" w:sz="0" w:space="0" w:color="auto"/>
                                        <w:left w:val="none" w:sz="0" w:space="0" w:color="auto"/>
                                        <w:bottom w:val="none" w:sz="0" w:space="0" w:color="auto"/>
                                        <w:right w:val="none" w:sz="0" w:space="0" w:color="auto"/>
                                      </w:divBdr>
                                      <w:divsChild>
                                        <w:div w:id="1653800980">
                                          <w:marLeft w:val="0"/>
                                          <w:marRight w:val="0"/>
                                          <w:marTop w:val="0"/>
                                          <w:marBottom w:val="0"/>
                                          <w:divBdr>
                                            <w:top w:val="none" w:sz="0" w:space="0" w:color="auto"/>
                                            <w:left w:val="none" w:sz="0" w:space="0" w:color="auto"/>
                                            <w:bottom w:val="none" w:sz="0" w:space="0" w:color="auto"/>
                                            <w:right w:val="none" w:sz="0" w:space="0" w:color="auto"/>
                                          </w:divBdr>
                                          <w:divsChild>
                                            <w:div w:id="1422948730">
                                              <w:marLeft w:val="0"/>
                                              <w:marRight w:val="0"/>
                                              <w:marTop w:val="0"/>
                                              <w:marBottom w:val="0"/>
                                              <w:divBdr>
                                                <w:top w:val="none" w:sz="0" w:space="0" w:color="auto"/>
                                                <w:left w:val="none" w:sz="0" w:space="0" w:color="auto"/>
                                                <w:bottom w:val="none" w:sz="0" w:space="0" w:color="auto"/>
                                                <w:right w:val="none" w:sz="0" w:space="0" w:color="auto"/>
                                              </w:divBdr>
                                              <w:divsChild>
                                                <w:div w:id="2120172577">
                                                  <w:marLeft w:val="0"/>
                                                  <w:marRight w:val="0"/>
                                                  <w:marTop w:val="0"/>
                                                  <w:marBottom w:val="0"/>
                                                  <w:divBdr>
                                                    <w:top w:val="none" w:sz="0" w:space="0" w:color="auto"/>
                                                    <w:left w:val="none" w:sz="0" w:space="0" w:color="auto"/>
                                                    <w:bottom w:val="none" w:sz="0" w:space="0" w:color="auto"/>
                                                    <w:right w:val="none" w:sz="0" w:space="0" w:color="auto"/>
                                                  </w:divBdr>
                                                  <w:divsChild>
                                                    <w:div w:id="835724664">
                                                      <w:marLeft w:val="0"/>
                                                      <w:marRight w:val="0"/>
                                                      <w:marTop w:val="0"/>
                                                      <w:marBottom w:val="0"/>
                                                      <w:divBdr>
                                                        <w:top w:val="none" w:sz="0" w:space="0" w:color="auto"/>
                                                        <w:left w:val="none" w:sz="0" w:space="0" w:color="auto"/>
                                                        <w:bottom w:val="none" w:sz="0" w:space="0" w:color="auto"/>
                                                        <w:right w:val="none" w:sz="0" w:space="0" w:color="auto"/>
                                                      </w:divBdr>
                                                      <w:divsChild>
                                                        <w:div w:id="1196456997">
                                                          <w:marLeft w:val="150"/>
                                                          <w:marRight w:val="150"/>
                                                          <w:marTop w:val="150"/>
                                                          <w:marBottom w:val="300"/>
                                                          <w:divBdr>
                                                            <w:top w:val="none" w:sz="0" w:space="0" w:color="auto"/>
                                                            <w:left w:val="none" w:sz="0" w:space="0" w:color="auto"/>
                                                            <w:bottom w:val="none" w:sz="0" w:space="0" w:color="auto"/>
                                                            <w:right w:val="none" w:sz="0" w:space="0" w:color="auto"/>
                                                          </w:divBdr>
                                                          <w:divsChild>
                                                            <w:div w:id="799491342">
                                                              <w:marLeft w:val="0"/>
                                                              <w:marRight w:val="0"/>
                                                              <w:marTop w:val="0"/>
                                                              <w:marBottom w:val="0"/>
                                                              <w:divBdr>
                                                                <w:top w:val="none" w:sz="0" w:space="0" w:color="auto"/>
                                                                <w:left w:val="none" w:sz="0" w:space="0" w:color="auto"/>
                                                                <w:bottom w:val="none" w:sz="0" w:space="0" w:color="auto"/>
                                                                <w:right w:val="none" w:sz="0" w:space="0" w:color="auto"/>
                                                              </w:divBdr>
                                                              <w:divsChild>
                                                                <w:div w:id="988099152">
                                                                  <w:marLeft w:val="0"/>
                                                                  <w:marRight w:val="0"/>
                                                                  <w:marTop w:val="0"/>
                                                                  <w:marBottom w:val="0"/>
                                                                  <w:divBdr>
                                                                    <w:top w:val="none" w:sz="0" w:space="0" w:color="auto"/>
                                                                    <w:left w:val="none" w:sz="0" w:space="0" w:color="auto"/>
                                                                    <w:bottom w:val="none" w:sz="0" w:space="0" w:color="auto"/>
                                                                    <w:right w:val="none" w:sz="0" w:space="0" w:color="auto"/>
                                                                  </w:divBdr>
                                                                  <w:divsChild>
                                                                    <w:div w:id="123737441">
                                                                      <w:marLeft w:val="0"/>
                                                                      <w:marRight w:val="0"/>
                                                                      <w:marTop w:val="0"/>
                                                                      <w:marBottom w:val="0"/>
                                                                      <w:divBdr>
                                                                        <w:top w:val="none" w:sz="0" w:space="0" w:color="auto"/>
                                                                        <w:left w:val="none" w:sz="0" w:space="0" w:color="auto"/>
                                                                        <w:bottom w:val="none" w:sz="0" w:space="0" w:color="auto"/>
                                                                        <w:right w:val="none" w:sz="0" w:space="0" w:color="auto"/>
                                                                      </w:divBdr>
                                                                      <w:divsChild>
                                                                        <w:div w:id="30571062">
                                                                          <w:marLeft w:val="0"/>
                                                                          <w:marRight w:val="0"/>
                                                                          <w:marTop w:val="0"/>
                                                                          <w:marBottom w:val="0"/>
                                                                          <w:divBdr>
                                                                            <w:top w:val="none" w:sz="0" w:space="0" w:color="auto"/>
                                                                            <w:left w:val="none" w:sz="0" w:space="0" w:color="auto"/>
                                                                            <w:bottom w:val="none" w:sz="0" w:space="0" w:color="auto"/>
                                                                            <w:right w:val="none" w:sz="0" w:space="0" w:color="auto"/>
                                                                          </w:divBdr>
                                                                        </w:div>
                                                                        <w:div w:id="51195791">
                                                                          <w:marLeft w:val="0"/>
                                                                          <w:marRight w:val="0"/>
                                                                          <w:marTop w:val="0"/>
                                                                          <w:marBottom w:val="0"/>
                                                                          <w:divBdr>
                                                                            <w:top w:val="none" w:sz="0" w:space="0" w:color="auto"/>
                                                                            <w:left w:val="none" w:sz="0" w:space="0" w:color="auto"/>
                                                                            <w:bottom w:val="none" w:sz="0" w:space="0" w:color="auto"/>
                                                                            <w:right w:val="none" w:sz="0" w:space="0" w:color="auto"/>
                                                                          </w:divBdr>
                                                                        </w:div>
                                                                        <w:div w:id="94643926">
                                                                          <w:marLeft w:val="0"/>
                                                                          <w:marRight w:val="0"/>
                                                                          <w:marTop w:val="0"/>
                                                                          <w:marBottom w:val="0"/>
                                                                          <w:divBdr>
                                                                            <w:top w:val="none" w:sz="0" w:space="0" w:color="auto"/>
                                                                            <w:left w:val="none" w:sz="0" w:space="0" w:color="auto"/>
                                                                            <w:bottom w:val="none" w:sz="0" w:space="0" w:color="auto"/>
                                                                            <w:right w:val="none" w:sz="0" w:space="0" w:color="auto"/>
                                                                          </w:divBdr>
                                                                        </w:div>
                                                                        <w:div w:id="381757313">
                                                                          <w:marLeft w:val="0"/>
                                                                          <w:marRight w:val="0"/>
                                                                          <w:marTop w:val="0"/>
                                                                          <w:marBottom w:val="0"/>
                                                                          <w:divBdr>
                                                                            <w:top w:val="none" w:sz="0" w:space="0" w:color="auto"/>
                                                                            <w:left w:val="none" w:sz="0" w:space="0" w:color="auto"/>
                                                                            <w:bottom w:val="none" w:sz="0" w:space="0" w:color="auto"/>
                                                                            <w:right w:val="none" w:sz="0" w:space="0" w:color="auto"/>
                                                                          </w:divBdr>
                                                                        </w:div>
                                                                        <w:div w:id="384911548">
                                                                          <w:marLeft w:val="0"/>
                                                                          <w:marRight w:val="0"/>
                                                                          <w:marTop w:val="0"/>
                                                                          <w:marBottom w:val="0"/>
                                                                          <w:divBdr>
                                                                            <w:top w:val="none" w:sz="0" w:space="0" w:color="auto"/>
                                                                            <w:left w:val="none" w:sz="0" w:space="0" w:color="auto"/>
                                                                            <w:bottom w:val="none" w:sz="0" w:space="0" w:color="auto"/>
                                                                            <w:right w:val="none" w:sz="0" w:space="0" w:color="auto"/>
                                                                          </w:divBdr>
                                                                        </w:div>
                                                                        <w:div w:id="440733922">
                                                                          <w:marLeft w:val="0"/>
                                                                          <w:marRight w:val="0"/>
                                                                          <w:marTop w:val="0"/>
                                                                          <w:marBottom w:val="0"/>
                                                                          <w:divBdr>
                                                                            <w:top w:val="none" w:sz="0" w:space="0" w:color="auto"/>
                                                                            <w:left w:val="none" w:sz="0" w:space="0" w:color="auto"/>
                                                                            <w:bottom w:val="none" w:sz="0" w:space="0" w:color="auto"/>
                                                                            <w:right w:val="none" w:sz="0" w:space="0" w:color="auto"/>
                                                                          </w:divBdr>
                                                                        </w:div>
                                                                        <w:div w:id="442264845">
                                                                          <w:marLeft w:val="0"/>
                                                                          <w:marRight w:val="0"/>
                                                                          <w:marTop w:val="0"/>
                                                                          <w:marBottom w:val="0"/>
                                                                          <w:divBdr>
                                                                            <w:top w:val="none" w:sz="0" w:space="0" w:color="auto"/>
                                                                            <w:left w:val="none" w:sz="0" w:space="0" w:color="auto"/>
                                                                            <w:bottom w:val="none" w:sz="0" w:space="0" w:color="auto"/>
                                                                            <w:right w:val="none" w:sz="0" w:space="0" w:color="auto"/>
                                                                          </w:divBdr>
                                                                        </w:div>
                                                                        <w:div w:id="567231011">
                                                                          <w:marLeft w:val="0"/>
                                                                          <w:marRight w:val="0"/>
                                                                          <w:marTop w:val="0"/>
                                                                          <w:marBottom w:val="0"/>
                                                                          <w:divBdr>
                                                                            <w:top w:val="none" w:sz="0" w:space="0" w:color="auto"/>
                                                                            <w:left w:val="none" w:sz="0" w:space="0" w:color="auto"/>
                                                                            <w:bottom w:val="none" w:sz="0" w:space="0" w:color="auto"/>
                                                                            <w:right w:val="none" w:sz="0" w:space="0" w:color="auto"/>
                                                                          </w:divBdr>
                                                                        </w:div>
                                                                        <w:div w:id="718017227">
                                                                          <w:marLeft w:val="0"/>
                                                                          <w:marRight w:val="0"/>
                                                                          <w:marTop w:val="0"/>
                                                                          <w:marBottom w:val="0"/>
                                                                          <w:divBdr>
                                                                            <w:top w:val="none" w:sz="0" w:space="0" w:color="auto"/>
                                                                            <w:left w:val="none" w:sz="0" w:space="0" w:color="auto"/>
                                                                            <w:bottom w:val="none" w:sz="0" w:space="0" w:color="auto"/>
                                                                            <w:right w:val="none" w:sz="0" w:space="0" w:color="auto"/>
                                                                          </w:divBdr>
                                                                        </w:div>
                                                                        <w:div w:id="751240172">
                                                                          <w:marLeft w:val="0"/>
                                                                          <w:marRight w:val="0"/>
                                                                          <w:marTop w:val="0"/>
                                                                          <w:marBottom w:val="0"/>
                                                                          <w:divBdr>
                                                                            <w:top w:val="none" w:sz="0" w:space="0" w:color="auto"/>
                                                                            <w:left w:val="none" w:sz="0" w:space="0" w:color="auto"/>
                                                                            <w:bottom w:val="none" w:sz="0" w:space="0" w:color="auto"/>
                                                                            <w:right w:val="none" w:sz="0" w:space="0" w:color="auto"/>
                                                                          </w:divBdr>
                                                                        </w:div>
                                                                        <w:div w:id="927034572">
                                                                          <w:marLeft w:val="0"/>
                                                                          <w:marRight w:val="0"/>
                                                                          <w:marTop w:val="0"/>
                                                                          <w:marBottom w:val="0"/>
                                                                          <w:divBdr>
                                                                            <w:top w:val="none" w:sz="0" w:space="0" w:color="auto"/>
                                                                            <w:left w:val="none" w:sz="0" w:space="0" w:color="auto"/>
                                                                            <w:bottom w:val="none" w:sz="0" w:space="0" w:color="auto"/>
                                                                            <w:right w:val="none" w:sz="0" w:space="0" w:color="auto"/>
                                                                          </w:divBdr>
                                                                        </w:div>
                                                                        <w:div w:id="932278436">
                                                                          <w:marLeft w:val="0"/>
                                                                          <w:marRight w:val="0"/>
                                                                          <w:marTop w:val="0"/>
                                                                          <w:marBottom w:val="0"/>
                                                                          <w:divBdr>
                                                                            <w:top w:val="none" w:sz="0" w:space="0" w:color="auto"/>
                                                                            <w:left w:val="none" w:sz="0" w:space="0" w:color="auto"/>
                                                                            <w:bottom w:val="none" w:sz="0" w:space="0" w:color="auto"/>
                                                                            <w:right w:val="none" w:sz="0" w:space="0" w:color="auto"/>
                                                                          </w:divBdr>
                                                                        </w:div>
                                                                        <w:div w:id="961377450">
                                                                          <w:marLeft w:val="0"/>
                                                                          <w:marRight w:val="0"/>
                                                                          <w:marTop w:val="0"/>
                                                                          <w:marBottom w:val="0"/>
                                                                          <w:divBdr>
                                                                            <w:top w:val="none" w:sz="0" w:space="0" w:color="auto"/>
                                                                            <w:left w:val="none" w:sz="0" w:space="0" w:color="auto"/>
                                                                            <w:bottom w:val="none" w:sz="0" w:space="0" w:color="auto"/>
                                                                            <w:right w:val="none" w:sz="0" w:space="0" w:color="auto"/>
                                                                          </w:divBdr>
                                                                        </w:div>
                                                                        <w:div w:id="1009134637">
                                                                          <w:marLeft w:val="0"/>
                                                                          <w:marRight w:val="0"/>
                                                                          <w:marTop w:val="0"/>
                                                                          <w:marBottom w:val="0"/>
                                                                          <w:divBdr>
                                                                            <w:top w:val="none" w:sz="0" w:space="0" w:color="auto"/>
                                                                            <w:left w:val="none" w:sz="0" w:space="0" w:color="auto"/>
                                                                            <w:bottom w:val="none" w:sz="0" w:space="0" w:color="auto"/>
                                                                            <w:right w:val="none" w:sz="0" w:space="0" w:color="auto"/>
                                                                          </w:divBdr>
                                                                        </w:div>
                                                                        <w:div w:id="1074813049">
                                                                          <w:marLeft w:val="0"/>
                                                                          <w:marRight w:val="0"/>
                                                                          <w:marTop w:val="0"/>
                                                                          <w:marBottom w:val="0"/>
                                                                          <w:divBdr>
                                                                            <w:top w:val="none" w:sz="0" w:space="0" w:color="auto"/>
                                                                            <w:left w:val="none" w:sz="0" w:space="0" w:color="auto"/>
                                                                            <w:bottom w:val="none" w:sz="0" w:space="0" w:color="auto"/>
                                                                            <w:right w:val="none" w:sz="0" w:space="0" w:color="auto"/>
                                                                          </w:divBdr>
                                                                        </w:div>
                                                                        <w:div w:id="1151946591">
                                                                          <w:marLeft w:val="0"/>
                                                                          <w:marRight w:val="0"/>
                                                                          <w:marTop w:val="0"/>
                                                                          <w:marBottom w:val="0"/>
                                                                          <w:divBdr>
                                                                            <w:top w:val="none" w:sz="0" w:space="0" w:color="auto"/>
                                                                            <w:left w:val="none" w:sz="0" w:space="0" w:color="auto"/>
                                                                            <w:bottom w:val="none" w:sz="0" w:space="0" w:color="auto"/>
                                                                            <w:right w:val="none" w:sz="0" w:space="0" w:color="auto"/>
                                                                          </w:divBdr>
                                                                        </w:div>
                                                                        <w:div w:id="1238317923">
                                                                          <w:marLeft w:val="0"/>
                                                                          <w:marRight w:val="0"/>
                                                                          <w:marTop w:val="0"/>
                                                                          <w:marBottom w:val="0"/>
                                                                          <w:divBdr>
                                                                            <w:top w:val="none" w:sz="0" w:space="0" w:color="auto"/>
                                                                            <w:left w:val="none" w:sz="0" w:space="0" w:color="auto"/>
                                                                            <w:bottom w:val="none" w:sz="0" w:space="0" w:color="auto"/>
                                                                            <w:right w:val="none" w:sz="0" w:space="0" w:color="auto"/>
                                                                          </w:divBdr>
                                                                        </w:div>
                                                                        <w:div w:id="1260137723">
                                                                          <w:marLeft w:val="0"/>
                                                                          <w:marRight w:val="0"/>
                                                                          <w:marTop w:val="0"/>
                                                                          <w:marBottom w:val="0"/>
                                                                          <w:divBdr>
                                                                            <w:top w:val="none" w:sz="0" w:space="0" w:color="auto"/>
                                                                            <w:left w:val="none" w:sz="0" w:space="0" w:color="auto"/>
                                                                            <w:bottom w:val="none" w:sz="0" w:space="0" w:color="auto"/>
                                                                            <w:right w:val="none" w:sz="0" w:space="0" w:color="auto"/>
                                                                          </w:divBdr>
                                                                        </w:div>
                                                                        <w:div w:id="1308169309">
                                                                          <w:marLeft w:val="0"/>
                                                                          <w:marRight w:val="0"/>
                                                                          <w:marTop w:val="0"/>
                                                                          <w:marBottom w:val="0"/>
                                                                          <w:divBdr>
                                                                            <w:top w:val="none" w:sz="0" w:space="0" w:color="auto"/>
                                                                            <w:left w:val="none" w:sz="0" w:space="0" w:color="auto"/>
                                                                            <w:bottom w:val="none" w:sz="0" w:space="0" w:color="auto"/>
                                                                            <w:right w:val="none" w:sz="0" w:space="0" w:color="auto"/>
                                                                          </w:divBdr>
                                                                        </w:div>
                                                                        <w:div w:id="1333872123">
                                                                          <w:marLeft w:val="0"/>
                                                                          <w:marRight w:val="0"/>
                                                                          <w:marTop w:val="0"/>
                                                                          <w:marBottom w:val="0"/>
                                                                          <w:divBdr>
                                                                            <w:top w:val="none" w:sz="0" w:space="0" w:color="auto"/>
                                                                            <w:left w:val="none" w:sz="0" w:space="0" w:color="auto"/>
                                                                            <w:bottom w:val="none" w:sz="0" w:space="0" w:color="auto"/>
                                                                            <w:right w:val="none" w:sz="0" w:space="0" w:color="auto"/>
                                                                          </w:divBdr>
                                                                        </w:div>
                                                                        <w:div w:id="1401059522">
                                                                          <w:marLeft w:val="0"/>
                                                                          <w:marRight w:val="0"/>
                                                                          <w:marTop w:val="0"/>
                                                                          <w:marBottom w:val="0"/>
                                                                          <w:divBdr>
                                                                            <w:top w:val="none" w:sz="0" w:space="0" w:color="auto"/>
                                                                            <w:left w:val="none" w:sz="0" w:space="0" w:color="auto"/>
                                                                            <w:bottom w:val="none" w:sz="0" w:space="0" w:color="auto"/>
                                                                            <w:right w:val="none" w:sz="0" w:space="0" w:color="auto"/>
                                                                          </w:divBdr>
                                                                        </w:div>
                                                                        <w:div w:id="1433670016">
                                                                          <w:marLeft w:val="0"/>
                                                                          <w:marRight w:val="0"/>
                                                                          <w:marTop w:val="0"/>
                                                                          <w:marBottom w:val="0"/>
                                                                          <w:divBdr>
                                                                            <w:top w:val="none" w:sz="0" w:space="0" w:color="auto"/>
                                                                            <w:left w:val="none" w:sz="0" w:space="0" w:color="auto"/>
                                                                            <w:bottom w:val="none" w:sz="0" w:space="0" w:color="auto"/>
                                                                            <w:right w:val="none" w:sz="0" w:space="0" w:color="auto"/>
                                                                          </w:divBdr>
                                                                        </w:div>
                                                                        <w:div w:id="1463226999">
                                                                          <w:marLeft w:val="0"/>
                                                                          <w:marRight w:val="0"/>
                                                                          <w:marTop w:val="0"/>
                                                                          <w:marBottom w:val="0"/>
                                                                          <w:divBdr>
                                                                            <w:top w:val="none" w:sz="0" w:space="0" w:color="auto"/>
                                                                            <w:left w:val="none" w:sz="0" w:space="0" w:color="auto"/>
                                                                            <w:bottom w:val="none" w:sz="0" w:space="0" w:color="auto"/>
                                                                            <w:right w:val="none" w:sz="0" w:space="0" w:color="auto"/>
                                                                          </w:divBdr>
                                                                        </w:div>
                                                                        <w:div w:id="1516264772">
                                                                          <w:marLeft w:val="0"/>
                                                                          <w:marRight w:val="0"/>
                                                                          <w:marTop w:val="0"/>
                                                                          <w:marBottom w:val="0"/>
                                                                          <w:divBdr>
                                                                            <w:top w:val="none" w:sz="0" w:space="0" w:color="auto"/>
                                                                            <w:left w:val="none" w:sz="0" w:space="0" w:color="auto"/>
                                                                            <w:bottom w:val="none" w:sz="0" w:space="0" w:color="auto"/>
                                                                            <w:right w:val="none" w:sz="0" w:space="0" w:color="auto"/>
                                                                          </w:divBdr>
                                                                        </w:div>
                                                                        <w:div w:id="1752964077">
                                                                          <w:marLeft w:val="0"/>
                                                                          <w:marRight w:val="0"/>
                                                                          <w:marTop w:val="0"/>
                                                                          <w:marBottom w:val="0"/>
                                                                          <w:divBdr>
                                                                            <w:top w:val="none" w:sz="0" w:space="0" w:color="auto"/>
                                                                            <w:left w:val="none" w:sz="0" w:space="0" w:color="auto"/>
                                                                            <w:bottom w:val="none" w:sz="0" w:space="0" w:color="auto"/>
                                                                            <w:right w:val="none" w:sz="0" w:space="0" w:color="auto"/>
                                                                          </w:divBdr>
                                                                        </w:div>
                                                                        <w:div w:id="1854759635">
                                                                          <w:marLeft w:val="0"/>
                                                                          <w:marRight w:val="0"/>
                                                                          <w:marTop w:val="0"/>
                                                                          <w:marBottom w:val="0"/>
                                                                          <w:divBdr>
                                                                            <w:top w:val="none" w:sz="0" w:space="0" w:color="auto"/>
                                                                            <w:left w:val="none" w:sz="0" w:space="0" w:color="auto"/>
                                                                            <w:bottom w:val="none" w:sz="0" w:space="0" w:color="auto"/>
                                                                            <w:right w:val="none" w:sz="0" w:space="0" w:color="auto"/>
                                                                          </w:divBdr>
                                                                        </w:div>
                                                                        <w:div w:id="1925453590">
                                                                          <w:marLeft w:val="0"/>
                                                                          <w:marRight w:val="0"/>
                                                                          <w:marTop w:val="0"/>
                                                                          <w:marBottom w:val="0"/>
                                                                          <w:divBdr>
                                                                            <w:top w:val="none" w:sz="0" w:space="0" w:color="auto"/>
                                                                            <w:left w:val="none" w:sz="0" w:space="0" w:color="auto"/>
                                                                            <w:bottom w:val="none" w:sz="0" w:space="0" w:color="auto"/>
                                                                            <w:right w:val="none" w:sz="0" w:space="0" w:color="auto"/>
                                                                          </w:divBdr>
                                                                        </w:div>
                                                                        <w:div w:id="2065711639">
                                                                          <w:marLeft w:val="0"/>
                                                                          <w:marRight w:val="0"/>
                                                                          <w:marTop w:val="0"/>
                                                                          <w:marBottom w:val="0"/>
                                                                          <w:divBdr>
                                                                            <w:top w:val="none" w:sz="0" w:space="0" w:color="auto"/>
                                                                            <w:left w:val="none" w:sz="0" w:space="0" w:color="auto"/>
                                                                            <w:bottom w:val="none" w:sz="0" w:space="0" w:color="auto"/>
                                                                            <w:right w:val="none" w:sz="0" w:space="0" w:color="auto"/>
                                                                          </w:divBdr>
                                                                        </w:div>
                                                                        <w:div w:id="209138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36085593">
      <w:bodyDiv w:val="1"/>
      <w:marLeft w:val="0"/>
      <w:marRight w:val="0"/>
      <w:marTop w:val="0"/>
      <w:marBottom w:val="0"/>
      <w:divBdr>
        <w:top w:val="none" w:sz="0" w:space="0" w:color="auto"/>
        <w:left w:val="none" w:sz="0" w:space="0" w:color="auto"/>
        <w:bottom w:val="none" w:sz="0" w:space="0" w:color="auto"/>
        <w:right w:val="none" w:sz="0" w:space="0" w:color="auto"/>
      </w:divBdr>
    </w:div>
    <w:div w:id="595210348">
      <w:bodyDiv w:val="1"/>
      <w:marLeft w:val="0"/>
      <w:marRight w:val="0"/>
      <w:marTop w:val="0"/>
      <w:marBottom w:val="0"/>
      <w:divBdr>
        <w:top w:val="none" w:sz="0" w:space="0" w:color="auto"/>
        <w:left w:val="none" w:sz="0" w:space="0" w:color="auto"/>
        <w:bottom w:val="none" w:sz="0" w:space="0" w:color="auto"/>
        <w:right w:val="none" w:sz="0" w:space="0" w:color="auto"/>
      </w:divBdr>
    </w:div>
    <w:div w:id="653410850">
      <w:bodyDiv w:val="1"/>
      <w:marLeft w:val="0"/>
      <w:marRight w:val="0"/>
      <w:marTop w:val="0"/>
      <w:marBottom w:val="0"/>
      <w:divBdr>
        <w:top w:val="none" w:sz="0" w:space="0" w:color="auto"/>
        <w:left w:val="none" w:sz="0" w:space="0" w:color="auto"/>
        <w:bottom w:val="none" w:sz="0" w:space="0" w:color="auto"/>
        <w:right w:val="none" w:sz="0" w:space="0" w:color="auto"/>
      </w:divBdr>
    </w:div>
    <w:div w:id="726877728">
      <w:bodyDiv w:val="1"/>
      <w:marLeft w:val="0"/>
      <w:marRight w:val="0"/>
      <w:marTop w:val="0"/>
      <w:marBottom w:val="0"/>
      <w:divBdr>
        <w:top w:val="none" w:sz="0" w:space="0" w:color="auto"/>
        <w:left w:val="none" w:sz="0" w:space="0" w:color="auto"/>
        <w:bottom w:val="none" w:sz="0" w:space="0" w:color="auto"/>
        <w:right w:val="none" w:sz="0" w:space="0" w:color="auto"/>
      </w:divBdr>
    </w:div>
    <w:div w:id="813644597">
      <w:bodyDiv w:val="1"/>
      <w:marLeft w:val="0"/>
      <w:marRight w:val="0"/>
      <w:marTop w:val="0"/>
      <w:marBottom w:val="0"/>
      <w:divBdr>
        <w:top w:val="none" w:sz="0" w:space="0" w:color="auto"/>
        <w:left w:val="none" w:sz="0" w:space="0" w:color="auto"/>
        <w:bottom w:val="none" w:sz="0" w:space="0" w:color="auto"/>
        <w:right w:val="none" w:sz="0" w:space="0" w:color="auto"/>
      </w:divBdr>
    </w:div>
    <w:div w:id="977027046">
      <w:bodyDiv w:val="1"/>
      <w:marLeft w:val="0"/>
      <w:marRight w:val="0"/>
      <w:marTop w:val="0"/>
      <w:marBottom w:val="0"/>
      <w:divBdr>
        <w:top w:val="none" w:sz="0" w:space="0" w:color="auto"/>
        <w:left w:val="none" w:sz="0" w:space="0" w:color="auto"/>
        <w:bottom w:val="none" w:sz="0" w:space="0" w:color="auto"/>
        <w:right w:val="none" w:sz="0" w:space="0" w:color="auto"/>
      </w:divBdr>
      <w:divsChild>
        <w:div w:id="1509828122">
          <w:marLeft w:val="0"/>
          <w:marRight w:val="1"/>
          <w:marTop w:val="0"/>
          <w:marBottom w:val="0"/>
          <w:divBdr>
            <w:top w:val="none" w:sz="0" w:space="0" w:color="auto"/>
            <w:left w:val="none" w:sz="0" w:space="0" w:color="auto"/>
            <w:bottom w:val="none" w:sz="0" w:space="0" w:color="auto"/>
            <w:right w:val="none" w:sz="0" w:space="0" w:color="auto"/>
          </w:divBdr>
          <w:divsChild>
            <w:div w:id="2101099737">
              <w:marLeft w:val="0"/>
              <w:marRight w:val="0"/>
              <w:marTop w:val="0"/>
              <w:marBottom w:val="0"/>
              <w:divBdr>
                <w:top w:val="none" w:sz="0" w:space="0" w:color="auto"/>
                <w:left w:val="none" w:sz="0" w:space="0" w:color="auto"/>
                <w:bottom w:val="none" w:sz="0" w:space="0" w:color="auto"/>
                <w:right w:val="none" w:sz="0" w:space="0" w:color="auto"/>
              </w:divBdr>
              <w:divsChild>
                <w:div w:id="1044020293">
                  <w:marLeft w:val="0"/>
                  <w:marRight w:val="1"/>
                  <w:marTop w:val="0"/>
                  <w:marBottom w:val="0"/>
                  <w:divBdr>
                    <w:top w:val="none" w:sz="0" w:space="0" w:color="auto"/>
                    <w:left w:val="none" w:sz="0" w:space="0" w:color="auto"/>
                    <w:bottom w:val="none" w:sz="0" w:space="0" w:color="auto"/>
                    <w:right w:val="none" w:sz="0" w:space="0" w:color="auto"/>
                  </w:divBdr>
                  <w:divsChild>
                    <w:div w:id="440802284">
                      <w:marLeft w:val="0"/>
                      <w:marRight w:val="0"/>
                      <w:marTop w:val="0"/>
                      <w:marBottom w:val="0"/>
                      <w:divBdr>
                        <w:top w:val="none" w:sz="0" w:space="0" w:color="auto"/>
                        <w:left w:val="none" w:sz="0" w:space="0" w:color="auto"/>
                        <w:bottom w:val="none" w:sz="0" w:space="0" w:color="auto"/>
                        <w:right w:val="none" w:sz="0" w:space="0" w:color="auto"/>
                      </w:divBdr>
                      <w:divsChild>
                        <w:div w:id="441996465">
                          <w:marLeft w:val="0"/>
                          <w:marRight w:val="0"/>
                          <w:marTop w:val="0"/>
                          <w:marBottom w:val="0"/>
                          <w:divBdr>
                            <w:top w:val="none" w:sz="0" w:space="0" w:color="auto"/>
                            <w:left w:val="none" w:sz="0" w:space="0" w:color="auto"/>
                            <w:bottom w:val="none" w:sz="0" w:space="0" w:color="auto"/>
                            <w:right w:val="none" w:sz="0" w:space="0" w:color="auto"/>
                          </w:divBdr>
                          <w:divsChild>
                            <w:div w:id="1613632974">
                              <w:marLeft w:val="0"/>
                              <w:marRight w:val="0"/>
                              <w:marTop w:val="120"/>
                              <w:marBottom w:val="360"/>
                              <w:divBdr>
                                <w:top w:val="none" w:sz="0" w:space="0" w:color="auto"/>
                                <w:left w:val="none" w:sz="0" w:space="0" w:color="auto"/>
                                <w:bottom w:val="none" w:sz="0" w:space="0" w:color="auto"/>
                                <w:right w:val="none" w:sz="0" w:space="0" w:color="auto"/>
                              </w:divBdr>
                              <w:divsChild>
                                <w:div w:id="432630197">
                                  <w:marLeft w:val="420"/>
                                  <w:marRight w:val="0"/>
                                  <w:marTop w:val="0"/>
                                  <w:marBottom w:val="0"/>
                                  <w:divBdr>
                                    <w:top w:val="none" w:sz="0" w:space="0" w:color="auto"/>
                                    <w:left w:val="none" w:sz="0" w:space="0" w:color="auto"/>
                                    <w:bottom w:val="none" w:sz="0" w:space="0" w:color="auto"/>
                                    <w:right w:val="none" w:sz="0" w:space="0" w:color="auto"/>
                                  </w:divBdr>
                                  <w:divsChild>
                                    <w:div w:id="701781956">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9116164">
      <w:bodyDiv w:val="1"/>
      <w:marLeft w:val="0"/>
      <w:marRight w:val="0"/>
      <w:marTop w:val="0"/>
      <w:marBottom w:val="0"/>
      <w:divBdr>
        <w:top w:val="none" w:sz="0" w:space="0" w:color="auto"/>
        <w:left w:val="none" w:sz="0" w:space="0" w:color="auto"/>
        <w:bottom w:val="none" w:sz="0" w:space="0" w:color="auto"/>
        <w:right w:val="none" w:sz="0" w:space="0" w:color="auto"/>
      </w:divBdr>
    </w:div>
    <w:div w:id="1006439527">
      <w:bodyDiv w:val="1"/>
      <w:marLeft w:val="0"/>
      <w:marRight w:val="0"/>
      <w:marTop w:val="0"/>
      <w:marBottom w:val="0"/>
      <w:divBdr>
        <w:top w:val="none" w:sz="0" w:space="0" w:color="auto"/>
        <w:left w:val="none" w:sz="0" w:space="0" w:color="auto"/>
        <w:bottom w:val="none" w:sz="0" w:space="0" w:color="auto"/>
        <w:right w:val="none" w:sz="0" w:space="0" w:color="auto"/>
      </w:divBdr>
      <w:divsChild>
        <w:div w:id="710616565">
          <w:marLeft w:val="0"/>
          <w:marRight w:val="0"/>
          <w:marTop w:val="0"/>
          <w:marBottom w:val="0"/>
          <w:divBdr>
            <w:top w:val="none" w:sz="0" w:space="0" w:color="auto"/>
            <w:left w:val="none" w:sz="0" w:space="0" w:color="auto"/>
            <w:bottom w:val="none" w:sz="0" w:space="0" w:color="auto"/>
            <w:right w:val="none" w:sz="0" w:space="0" w:color="auto"/>
          </w:divBdr>
          <w:divsChild>
            <w:div w:id="1020936421">
              <w:marLeft w:val="0"/>
              <w:marRight w:val="0"/>
              <w:marTop w:val="100"/>
              <w:marBottom w:val="100"/>
              <w:divBdr>
                <w:top w:val="none" w:sz="0" w:space="0" w:color="auto"/>
                <w:left w:val="none" w:sz="0" w:space="0" w:color="auto"/>
                <w:bottom w:val="none" w:sz="0" w:space="0" w:color="auto"/>
                <w:right w:val="none" w:sz="0" w:space="0" w:color="auto"/>
              </w:divBdr>
              <w:divsChild>
                <w:div w:id="2100103931">
                  <w:marLeft w:val="0"/>
                  <w:marRight w:val="0"/>
                  <w:marTop w:val="0"/>
                  <w:marBottom w:val="0"/>
                  <w:divBdr>
                    <w:top w:val="none" w:sz="0" w:space="0" w:color="auto"/>
                    <w:left w:val="none" w:sz="0" w:space="0" w:color="auto"/>
                    <w:bottom w:val="none" w:sz="0" w:space="0" w:color="auto"/>
                    <w:right w:val="none" w:sz="0" w:space="0" w:color="auto"/>
                  </w:divBdr>
                  <w:divsChild>
                    <w:div w:id="147989249">
                      <w:marLeft w:val="0"/>
                      <w:marRight w:val="0"/>
                      <w:marTop w:val="0"/>
                      <w:marBottom w:val="0"/>
                      <w:divBdr>
                        <w:top w:val="none" w:sz="0" w:space="0" w:color="auto"/>
                        <w:left w:val="none" w:sz="0" w:space="0" w:color="auto"/>
                        <w:bottom w:val="none" w:sz="0" w:space="0" w:color="auto"/>
                        <w:right w:val="none" w:sz="0" w:space="0" w:color="auto"/>
                      </w:divBdr>
                      <w:divsChild>
                        <w:div w:id="39020578">
                          <w:marLeft w:val="0"/>
                          <w:marRight w:val="0"/>
                          <w:marTop w:val="0"/>
                          <w:marBottom w:val="540"/>
                          <w:divBdr>
                            <w:top w:val="none" w:sz="0" w:space="0" w:color="auto"/>
                            <w:left w:val="none" w:sz="0" w:space="0" w:color="auto"/>
                            <w:bottom w:val="none" w:sz="0" w:space="0" w:color="auto"/>
                            <w:right w:val="none" w:sz="0" w:space="0" w:color="auto"/>
                          </w:divBdr>
                          <w:divsChild>
                            <w:div w:id="163980928">
                              <w:marLeft w:val="0"/>
                              <w:marRight w:val="0"/>
                              <w:marTop w:val="0"/>
                              <w:marBottom w:val="0"/>
                              <w:divBdr>
                                <w:top w:val="none" w:sz="0" w:space="0" w:color="auto"/>
                                <w:left w:val="none" w:sz="0" w:space="0" w:color="auto"/>
                                <w:bottom w:val="none" w:sz="0" w:space="0" w:color="auto"/>
                                <w:right w:val="none" w:sz="0" w:space="0" w:color="auto"/>
                              </w:divBdr>
                              <w:divsChild>
                                <w:div w:id="621881387">
                                  <w:marLeft w:val="0"/>
                                  <w:marRight w:val="0"/>
                                  <w:marTop w:val="0"/>
                                  <w:marBottom w:val="60"/>
                                  <w:divBdr>
                                    <w:top w:val="none" w:sz="0" w:space="0" w:color="auto"/>
                                    <w:left w:val="none" w:sz="0" w:space="0" w:color="auto"/>
                                    <w:bottom w:val="none" w:sz="0" w:space="0" w:color="auto"/>
                                    <w:right w:val="none" w:sz="0" w:space="0" w:color="auto"/>
                                  </w:divBdr>
                                  <w:divsChild>
                                    <w:div w:id="1690065457">
                                      <w:marLeft w:val="0"/>
                                      <w:marRight w:val="0"/>
                                      <w:marTop w:val="0"/>
                                      <w:marBottom w:val="0"/>
                                      <w:divBdr>
                                        <w:top w:val="none" w:sz="0" w:space="0" w:color="auto"/>
                                        <w:left w:val="none" w:sz="0" w:space="0" w:color="auto"/>
                                        <w:bottom w:val="none" w:sz="0" w:space="0" w:color="auto"/>
                                        <w:right w:val="none" w:sz="0" w:space="0" w:color="auto"/>
                                      </w:divBdr>
                                      <w:divsChild>
                                        <w:div w:id="824586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976179">
                                  <w:marLeft w:val="0"/>
                                  <w:marRight w:val="0"/>
                                  <w:marTop w:val="0"/>
                                  <w:marBottom w:val="240"/>
                                  <w:divBdr>
                                    <w:top w:val="none" w:sz="0" w:space="0" w:color="auto"/>
                                    <w:left w:val="none" w:sz="0" w:space="0" w:color="auto"/>
                                    <w:bottom w:val="none" w:sz="0" w:space="0" w:color="auto"/>
                                    <w:right w:val="none" w:sz="0" w:space="0" w:color="auto"/>
                                  </w:divBdr>
                                </w:div>
                                <w:div w:id="1781341383">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9131495">
      <w:bodyDiv w:val="1"/>
      <w:marLeft w:val="0"/>
      <w:marRight w:val="0"/>
      <w:marTop w:val="0"/>
      <w:marBottom w:val="0"/>
      <w:divBdr>
        <w:top w:val="none" w:sz="0" w:space="0" w:color="auto"/>
        <w:left w:val="none" w:sz="0" w:space="0" w:color="auto"/>
        <w:bottom w:val="none" w:sz="0" w:space="0" w:color="auto"/>
        <w:right w:val="none" w:sz="0" w:space="0" w:color="auto"/>
      </w:divBdr>
      <w:divsChild>
        <w:div w:id="2139491317">
          <w:marLeft w:val="0"/>
          <w:marRight w:val="1"/>
          <w:marTop w:val="0"/>
          <w:marBottom w:val="0"/>
          <w:divBdr>
            <w:top w:val="none" w:sz="0" w:space="0" w:color="auto"/>
            <w:left w:val="none" w:sz="0" w:space="0" w:color="auto"/>
            <w:bottom w:val="none" w:sz="0" w:space="0" w:color="auto"/>
            <w:right w:val="none" w:sz="0" w:space="0" w:color="auto"/>
          </w:divBdr>
          <w:divsChild>
            <w:div w:id="173883203">
              <w:marLeft w:val="0"/>
              <w:marRight w:val="0"/>
              <w:marTop w:val="0"/>
              <w:marBottom w:val="0"/>
              <w:divBdr>
                <w:top w:val="none" w:sz="0" w:space="0" w:color="auto"/>
                <w:left w:val="none" w:sz="0" w:space="0" w:color="auto"/>
                <w:bottom w:val="none" w:sz="0" w:space="0" w:color="auto"/>
                <w:right w:val="none" w:sz="0" w:space="0" w:color="auto"/>
              </w:divBdr>
              <w:divsChild>
                <w:div w:id="974094322">
                  <w:marLeft w:val="0"/>
                  <w:marRight w:val="1"/>
                  <w:marTop w:val="0"/>
                  <w:marBottom w:val="0"/>
                  <w:divBdr>
                    <w:top w:val="none" w:sz="0" w:space="0" w:color="auto"/>
                    <w:left w:val="none" w:sz="0" w:space="0" w:color="auto"/>
                    <w:bottom w:val="none" w:sz="0" w:space="0" w:color="auto"/>
                    <w:right w:val="none" w:sz="0" w:space="0" w:color="auto"/>
                  </w:divBdr>
                  <w:divsChild>
                    <w:div w:id="30764438">
                      <w:marLeft w:val="0"/>
                      <w:marRight w:val="0"/>
                      <w:marTop w:val="0"/>
                      <w:marBottom w:val="0"/>
                      <w:divBdr>
                        <w:top w:val="none" w:sz="0" w:space="0" w:color="auto"/>
                        <w:left w:val="none" w:sz="0" w:space="0" w:color="auto"/>
                        <w:bottom w:val="none" w:sz="0" w:space="0" w:color="auto"/>
                        <w:right w:val="none" w:sz="0" w:space="0" w:color="auto"/>
                      </w:divBdr>
                      <w:divsChild>
                        <w:div w:id="475492163">
                          <w:marLeft w:val="0"/>
                          <w:marRight w:val="0"/>
                          <w:marTop w:val="0"/>
                          <w:marBottom w:val="0"/>
                          <w:divBdr>
                            <w:top w:val="none" w:sz="0" w:space="0" w:color="auto"/>
                            <w:left w:val="none" w:sz="0" w:space="0" w:color="auto"/>
                            <w:bottom w:val="none" w:sz="0" w:space="0" w:color="auto"/>
                            <w:right w:val="none" w:sz="0" w:space="0" w:color="auto"/>
                          </w:divBdr>
                          <w:divsChild>
                            <w:div w:id="1631936876">
                              <w:marLeft w:val="0"/>
                              <w:marRight w:val="0"/>
                              <w:marTop w:val="120"/>
                              <w:marBottom w:val="360"/>
                              <w:divBdr>
                                <w:top w:val="none" w:sz="0" w:space="0" w:color="auto"/>
                                <w:left w:val="none" w:sz="0" w:space="0" w:color="auto"/>
                                <w:bottom w:val="none" w:sz="0" w:space="0" w:color="auto"/>
                                <w:right w:val="none" w:sz="0" w:space="0" w:color="auto"/>
                              </w:divBdr>
                              <w:divsChild>
                                <w:div w:id="175467887">
                                  <w:marLeft w:val="0"/>
                                  <w:marRight w:val="0"/>
                                  <w:marTop w:val="0"/>
                                  <w:marBottom w:val="0"/>
                                  <w:divBdr>
                                    <w:top w:val="none" w:sz="0" w:space="0" w:color="auto"/>
                                    <w:left w:val="none" w:sz="0" w:space="0" w:color="auto"/>
                                    <w:bottom w:val="none" w:sz="0" w:space="0" w:color="auto"/>
                                    <w:right w:val="none" w:sz="0" w:space="0" w:color="auto"/>
                                  </w:divBdr>
                                </w:div>
                                <w:div w:id="45602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5533321">
      <w:bodyDiv w:val="1"/>
      <w:marLeft w:val="0"/>
      <w:marRight w:val="0"/>
      <w:marTop w:val="0"/>
      <w:marBottom w:val="0"/>
      <w:divBdr>
        <w:top w:val="none" w:sz="0" w:space="0" w:color="auto"/>
        <w:left w:val="none" w:sz="0" w:space="0" w:color="auto"/>
        <w:bottom w:val="none" w:sz="0" w:space="0" w:color="auto"/>
        <w:right w:val="none" w:sz="0" w:space="0" w:color="auto"/>
      </w:divBdr>
      <w:divsChild>
        <w:div w:id="1578710198">
          <w:marLeft w:val="0"/>
          <w:marRight w:val="1"/>
          <w:marTop w:val="0"/>
          <w:marBottom w:val="0"/>
          <w:divBdr>
            <w:top w:val="none" w:sz="0" w:space="0" w:color="auto"/>
            <w:left w:val="none" w:sz="0" w:space="0" w:color="auto"/>
            <w:bottom w:val="none" w:sz="0" w:space="0" w:color="auto"/>
            <w:right w:val="none" w:sz="0" w:space="0" w:color="auto"/>
          </w:divBdr>
          <w:divsChild>
            <w:div w:id="868645819">
              <w:marLeft w:val="0"/>
              <w:marRight w:val="0"/>
              <w:marTop w:val="0"/>
              <w:marBottom w:val="0"/>
              <w:divBdr>
                <w:top w:val="none" w:sz="0" w:space="0" w:color="auto"/>
                <w:left w:val="none" w:sz="0" w:space="0" w:color="auto"/>
                <w:bottom w:val="none" w:sz="0" w:space="0" w:color="auto"/>
                <w:right w:val="none" w:sz="0" w:space="0" w:color="auto"/>
              </w:divBdr>
              <w:divsChild>
                <w:div w:id="88432304">
                  <w:marLeft w:val="0"/>
                  <w:marRight w:val="1"/>
                  <w:marTop w:val="0"/>
                  <w:marBottom w:val="0"/>
                  <w:divBdr>
                    <w:top w:val="none" w:sz="0" w:space="0" w:color="auto"/>
                    <w:left w:val="none" w:sz="0" w:space="0" w:color="auto"/>
                    <w:bottom w:val="none" w:sz="0" w:space="0" w:color="auto"/>
                    <w:right w:val="none" w:sz="0" w:space="0" w:color="auto"/>
                  </w:divBdr>
                  <w:divsChild>
                    <w:div w:id="361635692">
                      <w:marLeft w:val="0"/>
                      <w:marRight w:val="0"/>
                      <w:marTop w:val="0"/>
                      <w:marBottom w:val="0"/>
                      <w:divBdr>
                        <w:top w:val="none" w:sz="0" w:space="0" w:color="auto"/>
                        <w:left w:val="none" w:sz="0" w:space="0" w:color="auto"/>
                        <w:bottom w:val="none" w:sz="0" w:space="0" w:color="auto"/>
                        <w:right w:val="none" w:sz="0" w:space="0" w:color="auto"/>
                      </w:divBdr>
                      <w:divsChild>
                        <w:div w:id="1268537214">
                          <w:marLeft w:val="0"/>
                          <w:marRight w:val="0"/>
                          <w:marTop w:val="0"/>
                          <w:marBottom w:val="0"/>
                          <w:divBdr>
                            <w:top w:val="none" w:sz="0" w:space="0" w:color="auto"/>
                            <w:left w:val="none" w:sz="0" w:space="0" w:color="auto"/>
                            <w:bottom w:val="none" w:sz="0" w:space="0" w:color="auto"/>
                            <w:right w:val="none" w:sz="0" w:space="0" w:color="auto"/>
                          </w:divBdr>
                          <w:divsChild>
                            <w:div w:id="995885788">
                              <w:marLeft w:val="0"/>
                              <w:marRight w:val="0"/>
                              <w:marTop w:val="120"/>
                              <w:marBottom w:val="360"/>
                              <w:divBdr>
                                <w:top w:val="none" w:sz="0" w:space="0" w:color="auto"/>
                                <w:left w:val="none" w:sz="0" w:space="0" w:color="auto"/>
                                <w:bottom w:val="none" w:sz="0" w:space="0" w:color="auto"/>
                                <w:right w:val="none" w:sz="0" w:space="0" w:color="auto"/>
                              </w:divBdr>
                              <w:divsChild>
                                <w:div w:id="1229342425">
                                  <w:marLeft w:val="0"/>
                                  <w:marRight w:val="0"/>
                                  <w:marTop w:val="0"/>
                                  <w:marBottom w:val="0"/>
                                  <w:divBdr>
                                    <w:top w:val="none" w:sz="0" w:space="0" w:color="auto"/>
                                    <w:left w:val="none" w:sz="0" w:space="0" w:color="auto"/>
                                    <w:bottom w:val="none" w:sz="0" w:space="0" w:color="auto"/>
                                    <w:right w:val="none" w:sz="0" w:space="0" w:color="auto"/>
                                  </w:divBdr>
                                </w:div>
                                <w:div w:id="212260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3512158">
      <w:bodyDiv w:val="1"/>
      <w:marLeft w:val="0"/>
      <w:marRight w:val="0"/>
      <w:marTop w:val="0"/>
      <w:marBottom w:val="0"/>
      <w:divBdr>
        <w:top w:val="none" w:sz="0" w:space="0" w:color="auto"/>
        <w:left w:val="none" w:sz="0" w:space="0" w:color="auto"/>
        <w:bottom w:val="none" w:sz="0" w:space="0" w:color="auto"/>
        <w:right w:val="none" w:sz="0" w:space="0" w:color="auto"/>
      </w:divBdr>
      <w:divsChild>
        <w:div w:id="1739093436">
          <w:marLeft w:val="0"/>
          <w:marRight w:val="1"/>
          <w:marTop w:val="0"/>
          <w:marBottom w:val="0"/>
          <w:divBdr>
            <w:top w:val="none" w:sz="0" w:space="0" w:color="auto"/>
            <w:left w:val="none" w:sz="0" w:space="0" w:color="auto"/>
            <w:bottom w:val="none" w:sz="0" w:space="0" w:color="auto"/>
            <w:right w:val="none" w:sz="0" w:space="0" w:color="auto"/>
          </w:divBdr>
          <w:divsChild>
            <w:div w:id="889875653">
              <w:marLeft w:val="0"/>
              <w:marRight w:val="0"/>
              <w:marTop w:val="0"/>
              <w:marBottom w:val="0"/>
              <w:divBdr>
                <w:top w:val="none" w:sz="0" w:space="0" w:color="auto"/>
                <w:left w:val="none" w:sz="0" w:space="0" w:color="auto"/>
                <w:bottom w:val="none" w:sz="0" w:space="0" w:color="auto"/>
                <w:right w:val="none" w:sz="0" w:space="0" w:color="auto"/>
              </w:divBdr>
              <w:divsChild>
                <w:div w:id="274292107">
                  <w:marLeft w:val="0"/>
                  <w:marRight w:val="1"/>
                  <w:marTop w:val="0"/>
                  <w:marBottom w:val="0"/>
                  <w:divBdr>
                    <w:top w:val="none" w:sz="0" w:space="0" w:color="auto"/>
                    <w:left w:val="none" w:sz="0" w:space="0" w:color="auto"/>
                    <w:bottom w:val="none" w:sz="0" w:space="0" w:color="auto"/>
                    <w:right w:val="none" w:sz="0" w:space="0" w:color="auto"/>
                  </w:divBdr>
                  <w:divsChild>
                    <w:div w:id="104203668">
                      <w:marLeft w:val="0"/>
                      <w:marRight w:val="0"/>
                      <w:marTop w:val="0"/>
                      <w:marBottom w:val="0"/>
                      <w:divBdr>
                        <w:top w:val="none" w:sz="0" w:space="0" w:color="auto"/>
                        <w:left w:val="none" w:sz="0" w:space="0" w:color="auto"/>
                        <w:bottom w:val="none" w:sz="0" w:space="0" w:color="auto"/>
                        <w:right w:val="none" w:sz="0" w:space="0" w:color="auto"/>
                      </w:divBdr>
                      <w:divsChild>
                        <w:div w:id="251551567">
                          <w:marLeft w:val="0"/>
                          <w:marRight w:val="0"/>
                          <w:marTop w:val="0"/>
                          <w:marBottom w:val="0"/>
                          <w:divBdr>
                            <w:top w:val="none" w:sz="0" w:space="0" w:color="auto"/>
                            <w:left w:val="none" w:sz="0" w:space="0" w:color="auto"/>
                            <w:bottom w:val="none" w:sz="0" w:space="0" w:color="auto"/>
                            <w:right w:val="none" w:sz="0" w:space="0" w:color="auto"/>
                          </w:divBdr>
                          <w:divsChild>
                            <w:div w:id="781073399">
                              <w:marLeft w:val="0"/>
                              <w:marRight w:val="0"/>
                              <w:marTop w:val="120"/>
                              <w:marBottom w:val="360"/>
                              <w:divBdr>
                                <w:top w:val="none" w:sz="0" w:space="0" w:color="auto"/>
                                <w:left w:val="none" w:sz="0" w:space="0" w:color="auto"/>
                                <w:bottom w:val="none" w:sz="0" w:space="0" w:color="auto"/>
                                <w:right w:val="none" w:sz="0" w:space="0" w:color="auto"/>
                              </w:divBdr>
                              <w:divsChild>
                                <w:div w:id="1609967717">
                                  <w:marLeft w:val="0"/>
                                  <w:marRight w:val="0"/>
                                  <w:marTop w:val="0"/>
                                  <w:marBottom w:val="0"/>
                                  <w:divBdr>
                                    <w:top w:val="none" w:sz="0" w:space="0" w:color="auto"/>
                                    <w:left w:val="none" w:sz="0" w:space="0" w:color="auto"/>
                                    <w:bottom w:val="none" w:sz="0" w:space="0" w:color="auto"/>
                                    <w:right w:val="none" w:sz="0" w:space="0" w:color="auto"/>
                                  </w:divBdr>
                                </w:div>
                                <w:div w:id="1705862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639441">
                          <w:marLeft w:val="0"/>
                          <w:marRight w:val="0"/>
                          <w:marTop w:val="0"/>
                          <w:marBottom w:val="0"/>
                          <w:divBdr>
                            <w:top w:val="none" w:sz="0" w:space="0" w:color="auto"/>
                            <w:left w:val="none" w:sz="0" w:space="0" w:color="auto"/>
                            <w:bottom w:val="none" w:sz="0" w:space="0" w:color="auto"/>
                            <w:right w:val="none" w:sz="0" w:space="0" w:color="auto"/>
                          </w:divBdr>
                          <w:divsChild>
                            <w:div w:id="1458180613">
                              <w:marLeft w:val="0"/>
                              <w:marRight w:val="0"/>
                              <w:marTop w:val="0"/>
                              <w:marBottom w:val="0"/>
                              <w:divBdr>
                                <w:top w:val="none" w:sz="0" w:space="0" w:color="auto"/>
                                <w:left w:val="none" w:sz="0" w:space="0" w:color="auto"/>
                                <w:bottom w:val="none" w:sz="0" w:space="0" w:color="auto"/>
                                <w:right w:val="none" w:sz="0" w:space="0" w:color="auto"/>
                              </w:divBdr>
                            </w:div>
                          </w:divsChild>
                        </w:div>
                        <w:div w:id="2110393043">
                          <w:marLeft w:val="0"/>
                          <w:marRight w:val="0"/>
                          <w:marTop w:val="0"/>
                          <w:marBottom w:val="0"/>
                          <w:divBdr>
                            <w:top w:val="none" w:sz="0" w:space="0" w:color="auto"/>
                            <w:left w:val="none" w:sz="0" w:space="0" w:color="auto"/>
                            <w:bottom w:val="none" w:sz="0" w:space="0" w:color="auto"/>
                            <w:right w:val="none" w:sz="0" w:space="0" w:color="auto"/>
                          </w:divBdr>
                          <w:divsChild>
                            <w:div w:id="330568542">
                              <w:marLeft w:val="0"/>
                              <w:marRight w:val="0"/>
                              <w:marTop w:val="0"/>
                              <w:marBottom w:val="0"/>
                              <w:divBdr>
                                <w:top w:val="none" w:sz="0" w:space="0" w:color="auto"/>
                                <w:left w:val="none" w:sz="0" w:space="0" w:color="auto"/>
                                <w:bottom w:val="none" w:sz="0" w:space="0" w:color="auto"/>
                                <w:right w:val="none" w:sz="0" w:space="0" w:color="auto"/>
                              </w:divBdr>
                            </w:div>
                            <w:div w:id="1222902777">
                              <w:marLeft w:val="240"/>
                              <w:marRight w:val="0"/>
                              <w:marTop w:val="0"/>
                              <w:marBottom w:val="0"/>
                              <w:divBdr>
                                <w:top w:val="none" w:sz="0" w:space="0" w:color="auto"/>
                                <w:left w:val="none" w:sz="0" w:space="0" w:color="auto"/>
                                <w:bottom w:val="none" w:sz="0" w:space="0" w:color="auto"/>
                                <w:right w:val="none" w:sz="0" w:space="0" w:color="auto"/>
                              </w:divBdr>
                            </w:div>
                            <w:div w:id="2097095936">
                              <w:marLeft w:val="0"/>
                              <w:marRight w:val="0"/>
                              <w:marTop w:val="45"/>
                              <w:marBottom w:val="0"/>
                              <w:divBdr>
                                <w:top w:val="single" w:sz="6" w:space="2" w:color="CCCCCC"/>
                                <w:left w:val="single" w:sz="6" w:space="2" w:color="CCCCCC"/>
                                <w:bottom w:val="single" w:sz="6" w:space="2" w:color="CCCCCC"/>
                                <w:right w:val="single" w:sz="6" w:space="2" w:color="CCCCCC"/>
                              </w:divBdr>
                              <w:divsChild>
                                <w:div w:id="738597754">
                                  <w:marLeft w:val="0"/>
                                  <w:marRight w:val="0"/>
                                  <w:marTop w:val="0"/>
                                  <w:marBottom w:val="0"/>
                                  <w:divBdr>
                                    <w:top w:val="none" w:sz="0" w:space="0" w:color="auto"/>
                                    <w:left w:val="none" w:sz="0" w:space="0" w:color="auto"/>
                                    <w:bottom w:val="none" w:sz="0" w:space="0" w:color="auto"/>
                                    <w:right w:val="none" w:sz="0" w:space="0" w:color="auto"/>
                                  </w:divBdr>
                                </w:div>
                                <w:div w:id="843939422">
                                  <w:marLeft w:val="0"/>
                                  <w:marRight w:val="0"/>
                                  <w:marTop w:val="0"/>
                                  <w:marBottom w:val="0"/>
                                  <w:divBdr>
                                    <w:top w:val="none" w:sz="0" w:space="0" w:color="auto"/>
                                    <w:left w:val="none" w:sz="0" w:space="0" w:color="auto"/>
                                    <w:bottom w:val="none" w:sz="0" w:space="0" w:color="auto"/>
                                    <w:right w:val="none" w:sz="0" w:space="0" w:color="auto"/>
                                  </w:divBdr>
                                </w:div>
                                <w:div w:id="1142312918">
                                  <w:marLeft w:val="0"/>
                                  <w:marRight w:val="0"/>
                                  <w:marTop w:val="0"/>
                                  <w:marBottom w:val="0"/>
                                  <w:divBdr>
                                    <w:top w:val="none" w:sz="0" w:space="0" w:color="auto"/>
                                    <w:left w:val="none" w:sz="0" w:space="0" w:color="auto"/>
                                    <w:bottom w:val="none" w:sz="0" w:space="0" w:color="auto"/>
                                    <w:right w:val="none" w:sz="0" w:space="0" w:color="auto"/>
                                  </w:divBdr>
                                </w:div>
                                <w:div w:id="1404909326">
                                  <w:marLeft w:val="0"/>
                                  <w:marRight w:val="0"/>
                                  <w:marTop w:val="0"/>
                                  <w:marBottom w:val="0"/>
                                  <w:divBdr>
                                    <w:top w:val="none" w:sz="0" w:space="0" w:color="auto"/>
                                    <w:left w:val="none" w:sz="0" w:space="0" w:color="auto"/>
                                    <w:bottom w:val="none" w:sz="0" w:space="0" w:color="auto"/>
                                    <w:right w:val="none" w:sz="0" w:space="0" w:color="auto"/>
                                  </w:divBdr>
                                </w:div>
                                <w:div w:id="1816292854">
                                  <w:marLeft w:val="0"/>
                                  <w:marRight w:val="0"/>
                                  <w:marTop w:val="0"/>
                                  <w:marBottom w:val="0"/>
                                  <w:divBdr>
                                    <w:top w:val="none" w:sz="0" w:space="0" w:color="auto"/>
                                    <w:left w:val="none" w:sz="0" w:space="0" w:color="auto"/>
                                    <w:bottom w:val="none" w:sz="0" w:space="0" w:color="auto"/>
                                    <w:right w:val="none" w:sz="0" w:space="0" w:color="auto"/>
                                  </w:divBdr>
                                  <w:divsChild>
                                    <w:div w:id="258878350">
                                      <w:marLeft w:val="0"/>
                                      <w:marRight w:val="0"/>
                                      <w:marTop w:val="0"/>
                                      <w:marBottom w:val="0"/>
                                      <w:divBdr>
                                        <w:top w:val="none" w:sz="0" w:space="0" w:color="auto"/>
                                        <w:left w:val="none" w:sz="0" w:space="0" w:color="auto"/>
                                        <w:bottom w:val="none" w:sz="0" w:space="0" w:color="auto"/>
                                        <w:right w:val="none" w:sz="0" w:space="0" w:color="auto"/>
                                      </w:divBdr>
                                    </w:div>
                                  </w:divsChild>
                                </w:div>
                                <w:div w:id="1983075173">
                                  <w:marLeft w:val="0"/>
                                  <w:marRight w:val="0"/>
                                  <w:marTop w:val="0"/>
                                  <w:marBottom w:val="0"/>
                                  <w:divBdr>
                                    <w:top w:val="none" w:sz="0" w:space="0" w:color="auto"/>
                                    <w:left w:val="none" w:sz="0" w:space="0" w:color="auto"/>
                                    <w:bottom w:val="none" w:sz="0" w:space="0" w:color="auto"/>
                                    <w:right w:val="none" w:sz="0" w:space="0" w:color="auto"/>
                                  </w:divBdr>
                                </w:div>
                                <w:div w:id="211288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8190917">
      <w:bodyDiv w:val="1"/>
      <w:marLeft w:val="0"/>
      <w:marRight w:val="0"/>
      <w:marTop w:val="0"/>
      <w:marBottom w:val="0"/>
      <w:divBdr>
        <w:top w:val="none" w:sz="0" w:space="0" w:color="auto"/>
        <w:left w:val="none" w:sz="0" w:space="0" w:color="auto"/>
        <w:bottom w:val="none" w:sz="0" w:space="0" w:color="auto"/>
        <w:right w:val="none" w:sz="0" w:space="0" w:color="auto"/>
      </w:divBdr>
    </w:div>
    <w:div w:id="1392774028">
      <w:bodyDiv w:val="1"/>
      <w:marLeft w:val="0"/>
      <w:marRight w:val="0"/>
      <w:marTop w:val="0"/>
      <w:marBottom w:val="0"/>
      <w:divBdr>
        <w:top w:val="none" w:sz="0" w:space="0" w:color="auto"/>
        <w:left w:val="none" w:sz="0" w:space="0" w:color="auto"/>
        <w:bottom w:val="none" w:sz="0" w:space="0" w:color="auto"/>
        <w:right w:val="none" w:sz="0" w:space="0" w:color="auto"/>
      </w:divBdr>
      <w:divsChild>
        <w:div w:id="1686050202">
          <w:marLeft w:val="0"/>
          <w:marRight w:val="0"/>
          <w:marTop w:val="0"/>
          <w:marBottom w:val="0"/>
          <w:divBdr>
            <w:top w:val="none" w:sz="0" w:space="0" w:color="auto"/>
            <w:left w:val="none" w:sz="0" w:space="0" w:color="auto"/>
            <w:bottom w:val="none" w:sz="0" w:space="0" w:color="auto"/>
            <w:right w:val="none" w:sz="0" w:space="0" w:color="auto"/>
          </w:divBdr>
          <w:divsChild>
            <w:div w:id="1937130313">
              <w:marLeft w:val="0"/>
              <w:marRight w:val="0"/>
              <w:marTop w:val="100"/>
              <w:marBottom w:val="100"/>
              <w:divBdr>
                <w:top w:val="none" w:sz="0" w:space="0" w:color="auto"/>
                <w:left w:val="none" w:sz="0" w:space="0" w:color="auto"/>
                <w:bottom w:val="none" w:sz="0" w:space="0" w:color="auto"/>
                <w:right w:val="none" w:sz="0" w:space="0" w:color="auto"/>
              </w:divBdr>
              <w:divsChild>
                <w:div w:id="196743526">
                  <w:marLeft w:val="0"/>
                  <w:marRight w:val="0"/>
                  <w:marTop w:val="0"/>
                  <w:marBottom w:val="0"/>
                  <w:divBdr>
                    <w:top w:val="none" w:sz="0" w:space="0" w:color="auto"/>
                    <w:left w:val="none" w:sz="0" w:space="0" w:color="auto"/>
                    <w:bottom w:val="none" w:sz="0" w:space="0" w:color="auto"/>
                    <w:right w:val="none" w:sz="0" w:space="0" w:color="auto"/>
                  </w:divBdr>
                  <w:divsChild>
                    <w:div w:id="903296514">
                      <w:marLeft w:val="0"/>
                      <w:marRight w:val="0"/>
                      <w:marTop w:val="0"/>
                      <w:marBottom w:val="0"/>
                      <w:divBdr>
                        <w:top w:val="none" w:sz="0" w:space="0" w:color="auto"/>
                        <w:left w:val="none" w:sz="0" w:space="0" w:color="auto"/>
                        <w:bottom w:val="none" w:sz="0" w:space="0" w:color="auto"/>
                        <w:right w:val="none" w:sz="0" w:space="0" w:color="auto"/>
                      </w:divBdr>
                      <w:divsChild>
                        <w:div w:id="944194222">
                          <w:marLeft w:val="0"/>
                          <w:marRight w:val="0"/>
                          <w:marTop w:val="0"/>
                          <w:marBottom w:val="540"/>
                          <w:divBdr>
                            <w:top w:val="none" w:sz="0" w:space="0" w:color="auto"/>
                            <w:left w:val="none" w:sz="0" w:space="0" w:color="auto"/>
                            <w:bottom w:val="none" w:sz="0" w:space="0" w:color="auto"/>
                            <w:right w:val="none" w:sz="0" w:space="0" w:color="auto"/>
                          </w:divBdr>
                          <w:divsChild>
                            <w:div w:id="1457720205">
                              <w:marLeft w:val="0"/>
                              <w:marRight w:val="0"/>
                              <w:marTop w:val="0"/>
                              <w:marBottom w:val="0"/>
                              <w:divBdr>
                                <w:top w:val="none" w:sz="0" w:space="0" w:color="auto"/>
                                <w:left w:val="none" w:sz="0" w:space="0" w:color="auto"/>
                                <w:bottom w:val="none" w:sz="0" w:space="0" w:color="auto"/>
                                <w:right w:val="none" w:sz="0" w:space="0" w:color="auto"/>
                              </w:divBdr>
                              <w:divsChild>
                                <w:div w:id="1335456618">
                                  <w:marLeft w:val="0"/>
                                  <w:marRight w:val="0"/>
                                  <w:marTop w:val="0"/>
                                  <w:marBottom w:val="60"/>
                                  <w:divBdr>
                                    <w:top w:val="none" w:sz="0" w:space="0" w:color="auto"/>
                                    <w:left w:val="none" w:sz="0" w:space="0" w:color="auto"/>
                                    <w:bottom w:val="none" w:sz="0" w:space="0" w:color="auto"/>
                                    <w:right w:val="none" w:sz="0" w:space="0" w:color="auto"/>
                                  </w:divBdr>
                                  <w:divsChild>
                                    <w:div w:id="1627929209">
                                      <w:marLeft w:val="0"/>
                                      <w:marRight w:val="0"/>
                                      <w:marTop w:val="0"/>
                                      <w:marBottom w:val="0"/>
                                      <w:divBdr>
                                        <w:top w:val="none" w:sz="0" w:space="0" w:color="auto"/>
                                        <w:left w:val="none" w:sz="0" w:space="0" w:color="auto"/>
                                        <w:bottom w:val="none" w:sz="0" w:space="0" w:color="auto"/>
                                        <w:right w:val="none" w:sz="0" w:space="0" w:color="auto"/>
                                      </w:divBdr>
                                      <w:divsChild>
                                        <w:div w:id="143643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566954">
                                  <w:marLeft w:val="0"/>
                                  <w:marRight w:val="0"/>
                                  <w:marTop w:val="0"/>
                                  <w:marBottom w:val="240"/>
                                  <w:divBdr>
                                    <w:top w:val="none" w:sz="0" w:space="0" w:color="auto"/>
                                    <w:left w:val="none" w:sz="0" w:space="0" w:color="auto"/>
                                    <w:bottom w:val="none" w:sz="0" w:space="0" w:color="auto"/>
                                    <w:right w:val="none" w:sz="0" w:space="0" w:color="auto"/>
                                  </w:divBdr>
                                  <w:divsChild>
                                    <w:div w:id="1870534419">
                                      <w:marLeft w:val="0"/>
                                      <w:marRight w:val="0"/>
                                      <w:marTop w:val="0"/>
                                      <w:marBottom w:val="0"/>
                                      <w:divBdr>
                                        <w:top w:val="none" w:sz="0" w:space="0" w:color="auto"/>
                                        <w:left w:val="none" w:sz="0" w:space="0" w:color="auto"/>
                                        <w:bottom w:val="none" w:sz="0" w:space="0" w:color="auto"/>
                                        <w:right w:val="none" w:sz="0" w:space="0" w:color="auto"/>
                                      </w:divBdr>
                                      <w:divsChild>
                                        <w:div w:id="67607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212349">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3195572">
      <w:bodyDiv w:val="1"/>
      <w:marLeft w:val="0"/>
      <w:marRight w:val="0"/>
      <w:marTop w:val="0"/>
      <w:marBottom w:val="0"/>
      <w:divBdr>
        <w:top w:val="none" w:sz="0" w:space="0" w:color="auto"/>
        <w:left w:val="none" w:sz="0" w:space="0" w:color="auto"/>
        <w:bottom w:val="none" w:sz="0" w:space="0" w:color="auto"/>
        <w:right w:val="none" w:sz="0" w:space="0" w:color="auto"/>
      </w:divBdr>
      <w:divsChild>
        <w:div w:id="804083707">
          <w:marLeft w:val="0"/>
          <w:marRight w:val="0"/>
          <w:marTop w:val="0"/>
          <w:marBottom w:val="0"/>
          <w:divBdr>
            <w:top w:val="none" w:sz="0" w:space="0" w:color="auto"/>
            <w:left w:val="none" w:sz="0" w:space="0" w:color="auto"/>
            <w:bottom w:val="none" w:sz="0" w:space="0" w:color="auto"/>
            <w:right w:val="none" w:sz="0" w:space="0" w:color="auto"/>
          </w:divBdr>
          <w:divsChild>
            <w:div w:id="1048531291">
              <w:marLeft w:val="0"/>
              <w:marRight w:val="0"/>
              <w:marTop w:val="0"/>
              <w:marBottom w:val="0"/>
              <w:divBdr>
                <w:top w:val="none" w:sz="0" w:space="0" w:color="auto"/>
                <w:left w:val="none" w:sz="0" w:space="0" w:color="auto"/>
                <w:bottom w:val="none" w:sz="0" w:space="0" w:color="auto"/>
                <w:right w:val="none" w:sz="0" w:space="0" w:color="auto"/>
              </w:divBdr>
              <w:divsChild>
                <w:div w:id="278337936">
                  <w:marLeft w:val="0"/>
                  <w:marRight w:val="0"/>
                  <w:marTop w:val="0"/>
                  <w:marBottom w:val="0"/>
                  <w:divBdr>
                    <w:top w:val="none" w:sz="0" w:space="0" w:color="auto"/>
                    <w:left w:val="none" w:sz="0" w:space="0" w:color="auto"/>
                    <w:bottom w:val="none" w:sz="0" w:space="0" w:color="auto"/>
                    <w:right w:val="none" w:sz="0" w:space="0" w:color="auto"/>
                  </w:divBdr>
                  <w:divsChild>
                    <w:div w:id="536548814">
                      <w:marLeft w:val="0"/>
                      <w:marRight w:val="0"/>
                      <w:marTop w:val="0"/>
                      <w:marBottom w:val="0"/>
                      <w:divBdr>
                        <w:top w:val="none" w:sz="0" w:space="0" w:color="auto"/>
                        <w:left w:val="none" w:sz="0" w:space="0" w:color="auto"/>
                        <w:bottom w:val="none" w:sz="0" w:space="0" w:color="auto"/>
                        <w:right w:val="none" w:sz="0" w:space="0" w:color="auto"/>
                      </w:divBdr>
                      <w:divsChild>
                        <w:div w:id="719207702">
                          <w:marLeft w:val="0"/>
                          <w:marRight w:val="0"/>
                          <w:marTop w:val="0"/>
                          <w:marBottom w:val="0"/>
                          <w:divBdr>
                            <w:top w:val="none" w:sz="0" w:space="0" w:color="auto"/>
                            <w:left w:val="none" w:sz="0" w:space="0" w:color="auto"/>
                            <w:bottom w:val="none" w:sz="0" w:space="0" w:color="auto"/>
                            <w:right w:val="none" w:sz="0" w:space="0" w:color="auto"/>
                          </w:divBdr>
                          <w:divsChild>
                            <w:div w:id="1714306046">
                              <w:marLeft w:val="0"/>
                              <w:marRight w:val="0"/>
                              <w:marTop w:val="0"/>
                              <w:marBottom w:val="0"/>
                              <w:divBdr>
                                <w:top w:val="none" w:sz="0" w:space="0" w:color="auto"/>
                                <w:left w:val="none" w:sz="0" w:space="0" w:color="auto"/>
                                <w:bottom w:val="none" w:sz="0" w:space="0" w:color="auto"/>
                                <w:right w:val="none" w:sz="0" w:space="0" w:color="auto"/>
                              </w:divBdr>
                              <w:divsChild>
                                <w:div w:id="1526560499">
                                  <w:marLeft w:val="0"/>
                                  <w:marRight w:val="0"/>
                                  <w:marTop w:val="0"/>
                                  <w:marBottom w:val="0"/>
                                  <w:divBdr>
                                    <w:top w:val="none" w:sz="0" w:space="0" w:color="auto"/>
                                    <w:left w:val="none" w:sz="0" w:space="0" w:color="auto"/>
                                    <w:bottom w:val="none" w:sz="0" w:space="0" w:color="auto"/>
                                    <w:right w:val="none" w:sz="0" w:space="0" w:color="auto"/>
                                  </w:divBdr>
                                  <w:divsChild>
                                    <w:div w:id="1347362874">
                                      <w:marLeft w:val="0"/>
                                      <w:marRight w:val="0"/>
                                      <w:marTop w:val="0"/>
                                      <w:marBottom w:val="0"/>
                                      <w:divBdr>
                                        <w:top w:val="none" w:sz="0" w:space="0" w:color="auto"/>
                                        <w:left w:val="none" w:sz="0" w:space="0" w:color="auto"/>
                                        <w:bottom w:val="none" w:sz="0" w:space="0" w:color="auto"/>
                                        <w:right w:val="none" w:sz="0" w:space="0" w:color="auto"/>
                                      </w:divBdr>
                                      <w:divsChild>
                                        <w:div w:id="1145392215">
                                          <w:marLeft w:val="0"/>
                                          <w:marRight w:val="0"/>
                                          <w:marTop w:val="0"/>
                                          <w:marBottom w:val="0"/>
                                          <w:divBdr>
                                            <w:top w:val="none" w:sz="0" w:space="0" w:color="auto"/>
                                            <w:left w:val="none" w:sz="0" w:space="0" w:color="auto"/>
                                            <w:bottom w:val="none" w:sz="0" w:space="0" w:color="auto"/>
                                            <w:right w:val="none" w:sz="0" w:space="0" w:color="auto"/>
                                          </w:divBdr>
                                          <w:divsChild>
                                            <w:div w:id="479348322">
                                              <w:marLeft w:val="0"/>
                                              <w:marRight w:val="0"/>
                                              <w:marTop w:val="0"/>
                                              <w:marBottom w:val="0"/>
                                              <w:divBdr>
                                                <w:top w:val="none" w:sz="0" w:space="0" w:color="auto"/>
                                                <w:left w:val="none" w:sz="0" w:space="0" w:color="auto"/>
                                                <w:bottom w:val="none" w:sz="0" w:space="0" w:color="auto"/>
                                                <w:right w:val="none" w:sz="0" w:space="0" w:color="auto"/>
                                              </w:divBdr>
                                              <w:divsChild>
                                                <w:div w:id="697119395">
                                                  <w:marLeft w:val="0"/>
                                                  <w:marRight w:val="0"/>
                                                  <w:marTop w:val="0"/>
                                                  <w:marBottom w:val="0"/>
                                                  <w:divBdr>
                                                    <w:top w:val="single" w:sz="6" w:space="0" w:color="ABABAB"/>
                                                    <w:left w:val="single" w:sz="6" w:space="0" w:color="ABABAB"/>
                                                    <w:bottom w:val="none" w:sz="0" w:space="0" w:color="auto"/>
                                                    <w:right w:val="single" w:sz="6" w:space="0" w:color="ABABAB"/>
                                                  </w:divBdr>
                                                  <w:divsChild>
                                                    <w:div w:id="1573077895">
                                                      <w:marLeft w:val="0"/>
                                                      <w:marRight w:val="0"/>
                                                      <w:marTop w:val="0"/>
                                                      <w:marBottom w:val="0"/>
                                                      <w:divBdr>
                                                        <w:top w:val="none" w:sz="0" w:space="0" w:color="auto"/>
                                                        <w:left w:val="none" w:sz="0" w:space="0" w:color="auto"/>
                                                        <w:bottom w:val="none" w:sz="0" w:space="0" w:color="auto"/>
                                                        <w:right w:val="none" w:sz="0" w:space="0" w:color="auto"/>
                                                      </w:divBdr>
                                                      <w:divsChild>
                                                        <w:div w:id="200435054">
                                                          <w:marLeft w:val="0"/>
                                                          <w:marRight w:val="0"/>
                                                          <w:marTop w:val="0"/>
                                                          <w:marBottom w:val="0"/>
                                                          <w:divBdr>
                                                            <w:top w:val="none" w:sz="0" w:space="0" w:color="auto"/>
                                                            <w:left w:val="none" w:sz="0" w:space="0" w:color="auto"/>
                                                            <w:bottom w:val="none" w:sz="0" w:space="0" w:color="auto"/>
                                                            <w:right w:val="none" w:sz="0" w:space="0" w:color="auto"/>
                                                          </w:divBdr>
                                                          <w:divsChild>
                                                            <w:div w:id="181093698">
                                                              <w:marLeft w:val="0"/>
                                                              <w:marRight w:val="0"/>
                                                              <w:marTop w:val="0"/>
                                                              <w:marBottom w:val="0"/>
                                                              <w:divBdr>
                                                                <w:top w:val="none" w:sz="0" w:space="0" w:color="auto"/>
                                                                <w:left w:val="none" w:sz="0" w:space="0" w:color="auto"/>
                                                                <w:bottom w:val="none" w:sz="0" w:space="0" w:color="auto"/>
                                                                <w:right w:val="none" w:sz="0" w:space="0" w:color="auto"/>
                                                              </w:divBdr>
                                                              <w:divsChild>
                                                                <w:div w:id="1329671188">
                                                                  <w:marLeft w:val="0"/>
                                                                  <w:marRight w:val="0"/>
                                                                  <w:marTop w:val="0"/>
                                                                  <w:marBottom w:val="0"/>
                                                                  <w:divBdr>
                                                                    <w:top w:val="none" w:sz="0" w:space="0" w:color="auto"/>
                                                                    <w:left w:val="none" w:sz="0" w:space="0" w:color="auto"/>
                                                                    <w:bottom w:val="none" w:sz="0" w:space="0" w:color="auto"/>
                                                                    <w:right w:val="none" w:sz="0" w:space="0" w:color="auto"/>
                                                                  </w:divBdr>
                                                                  <w:divsChild>
                                                                    <w:div w:id="325058815">
                                                                      <w:marLeft w:val="0"/>
                                                                      <w:marRight w:val="0"/>
                                                                      <w:marTop w:val="0"/>
                                                                      <w:marBottom w:val="0"/>
                                                                      <w:divBdr>
                                                                        <w:top w:val="none" w:sz="0" w:space="0" w:color="auto"/>
                                                                        <w:left w:val="none" w:sz="0" w:space="0" w:color="auto"/>
                                                                        <w:bottom w:val="none" w:sz="0" w:space="0" w:color="auto"/>
                                                                        <w:right w:val="none" w:sz="0" w:space="0" w:color="auto"/>
                                                                      </w:divBdr>
                                                                      <w:divsChild>
                                                                        <w:div w:id="521746870">
                                                                          <w:marLeft w:val="0"/>
                                                                          <w:marRight w:val="0"/>
                                                                          <w:marTop w:val="0"/>
                                                                          <w:marBottom w:val="0"/>
                                                                          <w:divBdr>
                                                                            <w:top w:val="none" w:sz="0" w:space="0" w:color="auto"/>
                                                                            <w:left w:val="none" w:sz="0" w:space="0" w:color="auto"/>
                                                                            <w:bottom w:val="none" w:sz="0" w:space="0" w:color="auto"/>
                                                                            <w:right w:val="none" w:sz="0" w:space="0" w:color="auto"/>
                                                                          </w:divBdr>
                                                                          <w:divsChild>
                                                                            <w:div w:id="739064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84895708">
      <w:bodyDiv w:val="1"/>
      <w:marLeft w:val="0"/>
      <w:marRight w:val="0"/>
      <w:marTop w:val="0"/>
      <w:marBottom w:val="0"/>
      <w:divBdr>
        <w:top w:val="none" w:sz="0" w:space="0" w:color="auto"/>
        <w:left w:val="none" w:sz="0" w:space="0" w:color="auto"/>
        <w:bottom w:val="none" w:sz="0" w:space="0" w:color="auto"/>
        <w:right w:val="none" w:sz="0" w:space="0" w:color="auto"/>
      </w:divBdr>
      <w:divsChild>
        <w:div w:id="64379513">
          <w:marLeft w:val="0"/>
          <w:marRight w:val="0"/>
          <w:marTop w:val="0"/>
          <w:marBottom w:val="0"/>
          <w:divBdr>
            <w:top w:val="none" w:sz="0" w:space="0" w:color="auto"/>
            <w:left w:val="none" w:sz="0" w:space="0" w:color="auto"/>
            <w:bottom w:val="none" w:sz="0" w:space="0" w:color="auto"/>
            <w:right w:val="none" w:sz="0" w:space="0" w:color="auto"/>
          </w:divBdr>
          <w:divsChild>
            <w:div w:id="1891648523">
              <w:marLeft w:val="0"/>
              <w:marRight w:val="0"/>
              <w:marTop w:val="0"/>
              <w:marBottom w:val="0"/>
              <w:divBdr>
                <w:top w:val="none" w:sz="0" w:space="0" w:color="auto"/>
                <w:left w:val="none" w:sz="0" w:space="0" w:color="auto"/>
                <w:bottom w:val="none" w:sz="0" w:space="0" w:color="auto"/>
                <w:right w:val="none" w:sz="0" w:space="0" w:color="auto"/>
              </w:divBdr>
              <w:divsChild>
                <w:div w:id="1210343170">
                  <w:marLeft w:val="0"/>
                  <w:marRight w:val="0"/>
                  <w:marTop w:val="0"/>
                  <w:marBottom w:val="0"/>
                  <w:divBdr>
                    <w:top w:val="none" w:sz="0" w:space="0" w:color="auto"/>
                    <w:left w:val="none" w:sz="0" w:space="0" w:color="auto"/>
                    <w:bottom w:val="none" w:sz="0" w:space="0" w:color="auto"/>
                    <w:right w:val="none" w:sz="0" w:space="0" w:color="auto"/>
                  </w:divBdr>
                  <w:divsChild>
                    <w:div w:id="124202716">
                      <w:marLeft w:val="0"/>
                      <w:marRight w:val="0"/>
                      <w:marTop w:val="0"/>
                      <w:marBottom w:val="0"/>
                      <w:divBdr>
                        <w:top w:val="none" w:sz="0" w:space="0" w:color="auto"/>
                        <w:left w:val="none" w:sz="0" w:space="0" w:color="auto"/>
                        <w:bottom w:val="none" w:sz="0" w:space="0" w:color="auto"/>
                        <w:right w:val="none" w:sz="0" w:space="0" w:color="auto"/>
                      </w:divBdr>
                      <w:divsChild>
                        <w:div w:id="10106594">
                          <w:marLeft w:val="0"/>
                          <w:marRight w:val="0"/>
                          <w:marTop w:val="0"/>
                          <w:marBottom w:val="0"/>
                          <w:divBdr>
                            <w:top w:val="none" w:sz="0" w:space="0" w:color="auto"/>
                            <w:left w:val="none" w:sz="0" w:space="0" w:color="auto"/>
                            <w:bottom w:val="none" w:sz="0" w:space="0" w:color="auto"/>
                            <w:right w:val="none" w:sz="0" w:space="0" w:color="auto"/>
                          </w:divBdr>
                          <w:divsChild>
                            <w:div w:id="2019037932">
                              <w:marLeft w:val="0"/>
                              <w:marRight w:val="0"/>
                              <w:marTop w:val="0"/>
                              <w:marBottom w:val="0"/>
                              <w:divBdr>
                                <w:top w:val="none" w:sz="0" w:space="0" w:color="auto"/>
                                <w:left w:val="none" w:sz="0" w:space="0" w:color="auto"/>
                                <w:bottom w:val="none" w:sz="0" w:space="0" w:color="auto"/>
                                <w:right w:val="none" w:sz="0" w:space="0" w:color="auto"/>
                              </w:divBdr>
                              <w:divsChild>
                                <w:div w:id="694572571">
                                  <w:marLeft w:val="0"/>
                                  <w:marRight w:val="0"/>
                                  <w:marTop w:val="0"/>
                                  <w:marBottom w:val="0"/>
                                  <w:divBdr>
                                    <w:top w:val="none" w:sz="0" w:space="0" w:color="auto"/>
                                    <w:left w:val="none" w:sz="0" w:space="0" w:color="auto"/>
                                    <w:bottom w:val="none" w:sz="0" w:space="0" w:color="auto"/>
                                    <w:right w:val="none" w:sz="0" w:space="0" w:color="auto"/>
                                  </w:divBdr>
                                  <w:divsChild>
                                    <w:div w:id="1755204027">
                                      <w:marLeft w:val="0"/>
                                      <w:marRight w:val="0"/>
                                      <w:marTop w:val="0"/>
                                      <w:marBottom w:val="0"/>
                                      <w:divBdr>
                                        <w:top w:val="none" w:sz="0" w:space="0" w:color="auto"/>
                                        <w:left w:val="none" w:sz="0" w:space="0" w:color="auto"/>
                                        <w:bottom w:val="none" w:sz="0" w:space="0" w:color="auto"/>
                                        <w:right w:val="none" w:sz="0" w:space="0" w:color="auto"/>
                                      </w:divBdr>
                                      <w:divsChild>
                                        <w:div w:id="1356539342">
                                          <w:marLeft w:val="0"/>
                                          <w:marRight w:val="0"/>
                                          <w:marTop w:val="0"/>
                                          <w:marBottom w:val="0"/>
                                          <w:divBdr>
                                            <w:top w:val="none" w:sz="0" w:space="0" w:color="auto"/>
                                            <w:left w:val="none" w:sz="0" w:space="0" w:color="auto"/>
                                            <w:bottom w:val="none" w:sz="0" w:space="0" w:color="auto"/>
                                            <w:right w:val="none" w:sz="0" w:space="0" w:color="auto"/>
                                          </w:divBdr>
                                          <w:divsChild>
                                            <w:div w:id="2023312291">
                                              <w:marLeft w:val="0"/>
                                              <w:marRight w:val="0"/>
                                              <w:marTop w:val="0"/>
                                              <w:marBottom w:val="0"/>
                                              <w:divBdr>
                                                <w:top w:val="none" w:sz="0" w:space="0" w:color="auto"/>
                                                <w:left w:val="none" w:sz="0" w:space="0" w:color="auto"/>
                                                <w:bottom w:val="none" w:sz="0" w:space="0" w:color="auto"/>
                                                <w:right w:val="none" w:sz="0" w:space="0" w:color="auto"/>
                                              </w:divBdr>
                                              <w:divsChild>
                                                <w:div w:id="1268268540">
                                                  <w:marLeft w:val="0"/>
                                                  <w:marRight w:val="0"/>
                                                  <w:marTop w:val="0"/>
                                                  <w:marBottom w:val="0"/>
                                                  <w:divBdr>
                                                    <w:top w:val="none" w:sz="0" w:space="0" w:color="auto"/>
                                                    <w:left w:val="none" w:sz="0" w:space="0" w:color="auto"/>
                                                    <w:bottom w:val="none" w:sz="0" w:space="0" w:color="auto"/>
                                                    <w:right w:val="none" w:sz="0" w:space="0" w:color="auto"/>
                                                  </w:divBdr>
                                                  <w:divsChild>
                                                    <w:div w:id="1478259957">
                                                      <w:marLeft w:val="0"/>
                                                      <w:marRight w:val="0"/>
                                                      <w:marTop w:val="0"/>
                                                      <w:marBottom w:val="0"/>
                                                      <w:divBdr>
                                                        <w:top w:val="none" w:sz="0" w:space="0" w:color="auto"/>
                                                        <w:left w:val="none" w:sz="0" w:space="0" w:color="auto"/>
                                                        <w:bottom w:val="none" w:sz="0" w:space="0" w:color="auto"/>
                                                        <w:right w:val="none" w:sz="0" w:space="0" w:color="auto"/>
                                                      </w:divBdr>
                                                      <w:divsChild>
                                                        <w:div w:id="1003239957">
                                                          <w:marLeft w:val="0"/>
                                                          <w:marRight w:val="0"/>
                                                          <w:marTop w:val="0"/>
                                                          <w:marBottom w:val="0"/>
                                                          <w:divBdr>
                                                            <w:top w:val="none" w:sz="0" w:space="0" w:color="auto"/>
                                                            <w:left w:val="none" w:sz="0" w:space="0" w:color="auto"/>
                                                            <w:bottom w:val="none" w:sz="0" w:space="0" w:color="auto"/>
                                                            <w:right w:val="none" w:sz="0" w:space="0" w:color="auto"/>
                                                          </w:divBdr>
                                                          <w:divsChild>
                                                            <w:div w:id="28266823">
                                                              <w:marLeft w:val="0"/>
                                                              <w:marRight w:val="0"/>
                                                              <w:marTop w:val="0"/>
                                                              <w:marBottom w:val="0"/>
                                                              <w:divBdr>
                                                                <w:top w:val="none" w:sz="0" w:space="0" w:color="auto"/>
                                                                <w:left w:val="none" w:sz="0" w:space="0" w:color="auto"/>
                                                                <w:bottom w:val="none" w:sz="0" w:space="0" w:color="auto"/>
                                                                <w:right w:val="none" w:sz="0" w:space="0" w:color="auto"/>
                                                              </w:divBdr>
                                                              <w:divsChild>
                                                                <w:div w:id="746807763">
                                                                  <w:marLeft w:val="0"/>
                                                                  <w:marRight w:val="0"/>
                                                                  <w:marTop w:val="0"/>
                                                                  <w:marBottom w:val="0"/>
                                                                  <w:divBdr>
                                                                    <w:top w:val="none" w:sz="0" w:space="0" w:color="auto"/>
                                                                    <w:left w:val="none" w:sz="0" w:space="0" w:color="auto"/>
                                                                    <w:bottom w:val="none" w:sz="0" w:space="0" w:color="auto"/>
                                                                    <w:right w:val="none" w:sz="0" w:space="0" w:color="auto"/>
                                                                  </w:divBdr>
                                                                  <w:divsChild>
                                                                    <w:div w:id="333722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352371">
                                                              <w:marLeft w:val="0"/>
                                                              <w:marRight w:val="0"/>
                                                              <w:marTop w:val="0"/>
                                                              <w:marBottom w:val="0"/>
                                                              <w:divBdr>
                                                                <w:top w:val="none" w:sz="0" w:space="0" w:color="auto"/>
                                                                <w:left w:val="none" w:sz="0" w:space="0" w:color="auto"/>
                                                                <w:bottom w:val="none" w:sz="0" w:space="0" w:color="auto"/>
                                                                <w:right w:val="none" w:sz="0" w:space="0" w:color="auto"/>
                                                              </w:divBdr>
                                                              <w:divsChild>
                                                                <w:div w:id="725496040">
                                                                  <w:marLeft w:val="0"/>
                                                                  <w:marRight w:val="0"/>
                                                                  <w:marTop w:val="0"/>
                                                                  <w:marBottom w:val="0"/>
                                                                  <w:divBdr>
                                                                    <w:top w:val="none" w:sz="0" w:space="0" w:color="auto"/>
                                                                    <w:left w:val="none" w:sz="0" w:space="0" w:color="auto"/>
                                                                    <w:bottom w:val="none" w:sz="0" w:space="0" w:color="auto"/>
                                                                    <w:right w:val="none" w:sz="0" w:space="0" w:color="auto"/>
                                                                  </w:divBdr>
                                                                  <w:divsChild>
                                                                    <w:div w:id="1066342876">
                                                                      <w:marLeft w:val="0"/>
                                                                      <w:marRight w:val="0"/>
                                                                      <w:marTop w:val="0"/>
                                                                      <w:marBottom w:val="0"/>
                                                                      <w:divBdr>
                                                                        <w:top w:val="none" w:sz="0" w:space="0" w:color="auto"/>
                                                                        <w:left w:val="none" w:sz="0" w:space="0" w:color="auto"/>
                                                                        <w:bottom w:val="none" w:sz="0" w:space="0" w:color="auto"/>
                                                                        <w:right w:val="none" w:sz="0" w:space="0" w:color="auto"/>
                                                                      </w:divBdr>
                                                                    </w:div>
                                                                    <w:div w:id="116709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5209934">
                                                      <w:marLeft w:val="0"/>
                                                      <w:marRight w:val="0"/>
                                                      <w:marTop w:val="0"/>
                                                      <w:marBottom w:val="0"/>
                                                      <w:divBdr>
                                                        <w:top w:val="none" w:sz="0" w:space="0" w:color="auto"/>
                                                        <w:left w:val="none" w:sz="0" w:space="0" w:color="auto"/>
                                                        <w:bottom w:val="none" w:sz="0" w:space="0" w:color="auto"/>
                                                        <w:right w:val="none" w:sz="0" w:space="0" w:color="auto"/>
                                                      </w:divBdr>
                                                      <w:divsChild>
                                                        <w:div w:id="1952743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3188831">
                                      <w:marLeft w:val="0"/>
                                      <w:marRight w:val="0"/>
                                      <w:marTop w:val="0"/>
                                      <w:marBottom w:val="0"/>
                                      <w:divBdr>
                                        <w:top w:val="none" w:sz="0" w:space="0" w:color="auto"/>
                                        <w:left w:val="none" w:sz="0" w:space="0" w:color="auto"/>
                                        <w:bottom w:val="none" w:sz="0" w:space="0" w:color="auto"/>
                                        <w:right w:val="none" w:sz="0" w:space="0" w:color="auto"/>
                                      </w:divBdr>
                                      <w:divsChild>
                                        <w:div w:id="206204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5057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Excel_Worksheet1.xlsx"/><Relationship Id="rId13" Type="http://schemas.openxmlformats.org/officeDocument/2006/relationships/image" Target="media/image5.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1.emf"/><Relationship Id="rId12" Type="http://schemas.openxmlformats.org/officeDocument/2006/relationships/image" Target="media/image4.ti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tif"/><Relationship Id="rId1" Type="http://schemas.openxmlformats.org/officeDocument/2006/relationships/customXml" Target="../customXml/item1.xml"/><Relationship Id="rId6" Type="http://schemas.openxmlformats.org/officeDocument/2006/relationships/hyperlink" Target="mailto:dharani@liv.ac.uk" TargetMode="External"/><Relationship Id="rId11" Type="http://schemas.openxmlformats.org/officeDocument/2006/relationships/image" Target="media/image3.tif"/><Relationship Id="rId5" Type="http://schemas.openxmlformats.org/officeDocument/2006/relationships/webSettings" Target="webSettings.xml"/><Relationship Id="rId15" Type="http://schemas.openxmlformats.org/officeDocument/2006/relationships/image" Target="media/image7.tif"/><Relationship Id="rId10" Type="http://schemas.openxmlformats.org/officeDocument/2006/relationships/package" Target="embeddings/Microsoft_Excel_Worksheet2.xlsx"/><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74CF65-925A-4FDD-983B-117162B003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40773</Words>
  <Characters>232409</Characters>
  <Application>Microsoft Office Word</Application>
  <DocSecurity>0</DocSecurity>
  <Lines>1936</Lines>
  <Paragraphs>545</Paragraphs>
  <ScaleCrop>false</ScaleCrop>
  <HeadingPairs>
    <vt:vector size="2" baseType="variant">
      <vt:variant>
        <vt:lpstr>Title</vt:lpstr>
      </vt:variant>
      <vt:variant>
        <vt:i4>1</vt:i4>
      </vt:variant>
    </vt:vector>
  </HeadingPairs>
  <TitlesOfParts>
    <vt:vector size="1" baseType="lpstr">
      <vt:lpstr/>
    </vt:vector>
  </TitlesOfParts>
  <Company>The University of Liverpool</Company>
  <LinksUpToDate>false</LinksUpToDate>
  <CharactersWithSpaces>272637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Areege Kamal</dc:creator>
  <cp:keywords/>
  <dc:description/>
  <cp:lastModifiedBy>Hapangama, Dharani</cp:lastModifiedBy>
  <cp:revision>2</cp:revision>
  <dcterms:created xsi:type="dcterms:W3CDTF">2018-07-04T06:31:00Z</dcterms:created>
  <dcterms:modified xsi:type="dcterms:W3CDTF">2018-07-04T06:31:00Z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http://www.zotero.org/styles/american-sociological-association</vt:lpwstr>
  </property>
  <property fmtid="{D5CDD505-2E9C-101B-9397-08002B2CF9AE}" pid="4" name="Mendeley Recent Style Name 0_1">
    <vt:lpwstr>American Sociological Association</vt:lpwstr>
  </property>
  <property fmtid="{D5CDD505-2E9C-101B-9397-08002B2CF9AE}" pid="5" name="Mendeley Recent Style Id 1_1">
    <vt:lpwstr>http://www.zotero.org/styles/british-journal-of-cancer</vt:lpwstr>
  </property>
  <property fmtid="{D5CDD505-2E9C-101B-9397-08002B2CF9AE}" pid="6" name="Mendeley Recent Style Name 1_1">
    <vt:lpwstr>British Journal of Cancer</vt:lpwstr>
  </property>
  <property fmtid="{D5CDD505-2E9C-101B-9397-08002B2CF9AE}" pid="7" name="Mendeley Recent Style Id 2_1">
    <vt:lpwstr>http://www.zotero.org/styles/elsevier-harvard-without-titles</vt:lpwstr>
  </property>
  <property fmtid="{D5CDD505-2E9C-101B-9397-08002B2CF9AE}" pid="8" name="Mendeley Recent Style Name 2_1">
    <vt:lpwstr>Elsevier Harvard (without titles)</vt:lpwstr>
  </property>
  <property fmtid="{D5CDD505-2E9C-101B-9397-08002B2CF9AE}" pid="9" name="Mendeley Recent Style Id 3_1">
    <vt:lpwstr>http://www.zotero.org/styles/elsevier-harvard2</vt:lpwstr>
  </property>
  <property fmtid="{D5CDD505-2E9C-101B-9397-08002B2CF9AE}" pid="10" name="Mendeley Recent Style Name 3_1">
    <vt:lpwstr>Elsevier Harvard 2</vt:lpwstr>
  </property>
  <property fmtid="{D5CDD505-2E9C-101B-9397-08002B2CF9AE}" pid="11" name="Mendeley Recent Style Id 4_1">
    <vt:lpwstr>http://www.zotero.org/styles/harvard-kings-college-london</vt:lpwstr>
  </property>
  <property fmtid="{D5CDD505-2E9C-101B-9397-08002B2CF9AE}" pid="12" name="Mendeley Recent Style Name 4_1">
    <vt:lpwstr>Harvard - King's College London</vt:lpwstr>
  </property>
  <property fmtid="{D5CDD505-2E9C-101B-9397-08002B2CF9AE}" pid="13" name="Mendeley Recent Style Id 5_1">
    <vt:lpwstr>http://www.zotero.org/styles/harvard-manchester-metropolitan-university</vt:lpwstr>
  </property>
  <property fmtid="{D5CDD505-2E9C-101B-9397-08002B2CF9AE}" pid="14" name="Mendeley Recent Style Name 5_1">
    <vt:lpwstr>Harvard - Manchester Metropolitan University</vt:lpwstr>
  </property>
  <property fmtid="{D5CDD505-2E9C-101B-9397-08002B2CF9AE}" pid="15" name="Mendeley Recent Style Id 6_1">
    <vt:lpwstr>http://www.zotero.org/styles/harvard-north-west-university</vt:lpwstr>
  </property>
  <property fmtid="{D5CDD505-2E9C-101B-9397-08002B2CF9AE}" pid="16" name="Mendeley Recent Style Name 6_1">
    <vt:lpwstr>Harvard - North-West University</vt:lpwstr>
  </property>
  <property fmtid="{D5CDD505-2E9C-101B-9397-08002B2CF9AE}" pid="17" name="Mendeley Recent Style Id 7_1">
    <vt:lpwstr>http://www.zotero.org/styles/harvard1</vt:lpwstr>
  </property>
  <property fmtid="{D5CDD505-2E9C-101B-9397-08002B2CF9AE}" pid="18" name="Mendeley Recent Style Name 7_1">
    <vt:lpwstr>Harvard Reference format 1 (author-date)</vt:lpwstr>
  </property>
  <property fmtid="{D5CDD505-2E9C-101B-9397-08002B2CF9AE}" pid="19" name="Mendeley Recent Style Id 8_1">
    <vt:lpwstr>http://www.zotero.org/styles/oncotarget</vt:lpwstr>
  </property>
  <property fmtid="{D5CDD505-2E9C-101B-9397-08002B2CF9AE}" pid="20" name="Mendeley Recent Style Name 8_1">
    <vt:lpwstr>Oncotarget</vt:lpwstr>
  </property>
  <property fmtid="{D5CDD505-2E9C-101B-9397-08002B2CF9AE}" pid="21" name="Mendeley Recent Style Id 9_1">
    <vt:lpwstr>http://www.zotero.org/styles/vancouver</vt:lpwstr>
  </property>
  <property fmtid="{D5CDD505-2E9C-101B-9397-08002B2CF9AE}" pid="22" name="Mendeley Recent Style Name 9_1">
    <vt:lpwstr>Vancouver</vt:lpwstr>
  </property>
  <property fmtid="{D5CDD505-2E9C-101B-9397-08002B2CF9AE}" pid="23" name="Mendeley Citation Style_1">
    <vt:lpwstr>http://www.zotero.org/styles/oncotarget</vt:lpwstr>
  </property>
  <property fmtid="{D5CDD505-2E9C-101B-9397-08002B2CF9AE}" pid="24" name="Mendeley Unique User Id_1">
    <vt:lpwstr>8bc866e7-539e-3428-87f1-c6f9c4d83cbc</vt:lpwstr>
  </property>
</Properties>
</file>