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B07CE">
      <w:pPr>
        <w:widowControl w:val="0"/>
        <w:autoSpaceDE w:val="0"/>
        <w:autoSpaceDN w:val="0"/>
        <w:adjustRightInd w:val="0"/>
        <w:spacing w:after="0" w:line="360" w:lineRule="auto"/>
        <w:ind w:right="-7"/>
        <w:rPr>
          <w:rFonts w:ascii="ArialMT" w:hAnsi="ArialMT" w:cs="ArialMT"/>
          <w:b/>
          <w:bCs/>
          <w:spacing w:val="6"/>
          <w:kern w:val="1"/>
          <w:sz w:val="24"/>
          <w:szCs w:val="24"/>
        </w:rPr>
      </w:pPr>
      <w:bookmarkStart w:id="0" w:name="_GoBack"/>
      <w:bookmarkEnd w:id="0"/>
      <w:r>
        <w:rPr>
          <w:rFonts w:ascii="ArialMT" w:hAnsi="ArialMT" w:cs="ArialMT"/>
          <w:b/>
          <w:bCs/>
          <w:spacing w:val="6"/>
          <w:kern w:val="1"/>
          <w:sz w:val="20"/>
          <w:szCs w:val="20"/>
        </w:rPr>
        <w:t>Body</w:t>
      </w:r>
    </w:p>
    <w:p w:rsidR="00000000" w:rsidRDefault="003B07CE">
      <w:pPr>
        <w:widowControl w:val="0"/>
        <w:autoSpaceDE w:val="0"/>
        <w:autoSpaceDN w:val="0"/>
        <w:adjustRightInd w:val="0"/>
        <w:spacing w:after="0" w:line="360" w:lineRule="auto"/>
        <w:ind w:right="-7" w:firstLine="386"/>
        <w:rPr>
          <w:rFonts w:ascii="ArialMT" w:hAnsi="ArialMT" w:cs="ArialMT"/>
          <w:spacing w:val="-1"/>
          <w:kern w:val="1"/>
          <w:sz w:val="24"/>
          <w:szCs w:val="24"/>
        </w:rPr>
      </w:pPr>
      <w:proofErr w:type="spellStart"/>
      <w:r>
        <w:rPr>
          <w:rFonts w:ascii="ArialMT" w:hAnsi="ArialMT" w:cs="ArialMT"/>
          <w:spacing w:val="-1"/>
          <w:kern w:val="1"/>
          <w:sz w:val="24"/>
          <w:szCs w:val="24"/>
        </w:rPr>
        <w:t>Dr.</w:t>
      </w:r>
      <w:proofErr w:type="spellEnd"/>
      <w:r>
        <w:rPr>
          <w:rFonts w:ascii="ArialMT" w:hAnsi="ArialMT" w:cs="ArialMT"/>
          <w:spacing w:val="-1"/>
          <w:kern w:val="1"/>
          <w:sz w:val="24"/>
          <w:szCs w:val="24"/>
        </w:rPr>
        <w:t xml:space="preserve"> Gordon </w:t>
      </w:r>
      <w:proofErr w:type="spellStart"/>
      <w:r>
        <w:rPr>
          <w:rFonts w:ascii="ArialMT" w:hAnsi="ArialMT" w:cs="ArialMT"/>
          <w:spacing w:val="-1"/>
          <w:kern w:val="1"/>
          <w:sz w:val="24"/>
          <w:szCs w:val="24"/>
        </w:rPr>
        <w:t>Klintworth</w:t>
      </w:r>
      <w:proofErr w:type="spellEnd"/>
      <w:r>
        <w:rPr>
          <w:rFonts w:ascii="ArialMT" w:hAnsi="ArialMT" w:cs="ArialMT"/>
          <w:spacing w:val="-1"/>
          <w:kern w:val="1"/>
          <w:sz w:val="24"/>
          <w:szCs w:val="24"/>
        </w:rPr>
        <w:t xml:space="preserve"> was the first president of the International Society of Ophthalmic Pathologists (ISOP; </w:t>
      </w:r>
      <w:r>
        <w:rPr>
          <w:rFonts w:ascii="ArialMT" w:hAnsi="ArialMT" w:cs="ArialMT"/>
          <w:color w:val="FF0000"/>
          <w:spacing w:val="-1"/>
          <w:kern w:val="1"/>
          <w:sz w:val="24"/>
          <w:szCs w:val="24"/>
        </w:rPr>
        <w:t>www.isop-new.com</w:t>
      </w:r>
      <w:r>
        <w:rPr>
          <w:rFonts w:ascii="ArialMT" w:hAnsi="ArialMT" w:cs="ArialMT"/>
          <w:spacing w:val="-1"/>
          <w:kern w:val="1"/>
          <w:sz w:val="24"/>
          <w:szCs w:val="24"/>
        </w:rPr>
        <w:t xml:space="preserve">) when it was founded in 1988. He was a true world leader in corneal research, primarily in the area of genetically determined corneal disease. </w:t>
      </w:r>
      <w:proofErr w:type="spellStart"/>
      <w:r>
        <w:rPr>
          <w:rFonts w:ascii="ArialMT" w:hAnsi="ArialMT" w:cs="ArialMT"/>
          <w:spacing w:val="-1"/>
          <w:kern w:val="1"/>
          <w:sz w:val="24"/>
          <w:szCs w:val="24"/>
        </w:rPr>
        <w:t>Dr.</w:t>
      </w:r>
      <w:proofErr w:type="spellEnd"/>
      <w:r>
        <w:rPr>
          <w:rFonts w:ascii="ArialMT" w:hAnsi="ArialMT" w:cs="ArialMT"/>
          <w:spacing w:val="-1"/>
          <w:kern w:val="1"/>
          <w:sz w:val="24"/>
          <w:szCs w:val="24"/>
        </w:rPr>
        <w:t xml:space="preserve"> </w:t>
      </w:r>
      <w:proofErr w:type="spellStart"/>
      <w:r>
        <w:rPr>
          <w:rFonts w:ascii="ArialMT" w:hAnsi="ArialMT" w:cs="ArialMT"/>
          <w:spacing w:val="-1"/>
          <w:kern w:val="1"/>
          <w:sz w:val="24"/>
          <w:szCs w:val="24"/>
        </w:rPr>
        <w:t>Klintworth</w:t>
      </w:r>
      <w:proofErr w:type="spellEnd"/>
      <w:r>
        <w:rPr>
          <w:rFonts w:ascii="ArialMT" w:hAnsi="ArialMT" w:cs="ArialMT"/>
          <w:spacing w:val="-1"/>
          <w:kern w:val="1"/>
          <w:sz w:val="24"/>
          <w:szCs w:val="24"/>
        </w:rPr>
        <w:t xml:space="preserve"> died on August 8, 2014 from cancer.</w:t>
      </w:r>
    </w:p>
    <w:p w:rsidR="00000000" w:rsidRDefault="003B07CE">
      <w:pPr>
        <w:widowControl w:val="0"/>
        <w:autoSpaceDE w:val="0"/>
        <w:autoSpaceDN w:val="0"/>
        <w:adjustRightInd w:val="0"/>
        <w:spacing w:after="0" w:line="360" w:lineRule="auto"/>
        <w:ind w:right="-7" w:firstLine="386"/>
        <w:rPr>
          <w:rFonts w:ascii="ArialMT" w:hAnsi="ArialMT" w:cs="ArialMT"/>
          <w:spacing w:val="-1"/>
          <w:kern w:val="1"/>
          <w:sz w:val="24"/>
          <w:szCs w:val="24"/>
        </w:rPr>
      </w:pPr>
      <w:r>
        <w:rPr>
          <w:rFonts w:ascii="ArialMT" w:hAnsi="ArialMT" w:cs="ArialMT"/>
          <w:spacing w:val="-1"/>
          <w:kern w:val="1"/>
          <w:sz w:val="24"/>
          <w:szCs w:val="24"/>
        </w:rPr>
        <w:t xml:space="preserve">The durability and productivity of Gordon </w:t>
      </w:r>
      <w:proofErr w:type="spellStart"/>
      <w:r>
        <w:rPr>
          <w:rFonts w:ascii="ArialMT" w:hAnsi="ArialMT" w:cs="ArialMT"/>
          <w:spacing w:val="-1"/>
          <w:kern w:val="1"/>
          <w:sz w:val="24"/>
          <w:szCs w:val="24"/>
        </w:rPr>
        <w:t>Klintworth’</w:t>
      </w:r>
      <w:r>
        <w:rPr>
          <w:rFonts w:ascii="ArialMT" w:hAnsi="ArialMT" w:cs="ArialMT"/>
          <w:spacing w:val="-1"/>
          <w:kern w:val="1"/>
          <w:sz w:val="24"/>
          <w:szCs w:val="24"/>
        </w:rPr>
        <w:t>s</w:t>
      </w:r>
      <w:proofErr w:type="spellEnd"/>
      <w:r>
        <w:rPr>
          <w:rFonts w:ascii="ArialMT" w:hAnsi="ArialMT" w:cs="ArialMT"/>
          <w:spacing w:val="-1"/>
          <w:kern w:val="1"/>
          <w:sz w:val="24"/>
          <w:szCs w:val="24"/>
        </w:rPr>
        <w:t xml:space="preserve"> academic medical research career is verified by his having been continuously funded for more than 50 years: from his National Institutes of Health-funded Fellowship in Neuropathology in 1962 until his retirement from Duke University in 2011.</w:t>
      </w:r>
    </w:p>
    <w:p w:rsidR="00000000" w:rsidRDefault="003B07CE">
      <w:pPr>
        <w:widowControl w:val="0"/>
        <w:autoSpaceDE w:val="0"/>
        <w:autoSpaceDN w:val="0"/>
        <w:adjustRightInd w:val="0"/>
        <w:spacing w:after="0" w:line="360" w:lineRule="auto"/>
        <w:ind w:right="-7" w:firstLine="386"/>
        <w:rPr>
          <w:rFonts w:ascii="ArialMT" w:hAnsi="ArialMT" w:cs="ArialMT"/>
          <w:spacing w:val="-1"/>
          <w:kern w:val="1"/>
          <w:sz w:val="24"/>
          <w:szCs w:val="24"/>
        </w:rPr>
      </w:pPr>
      <w:proofErr w:type="spellStart"/>
      <w:r>
        <w:rPr>
          <w:rFonts w:ascii="ArialMT" w:hAnsi="ArialMT" w:cs="ArialMT"/>
          <w:spacing w:val="-1"/>
          <w:kern w:val="1"/>
          <w:sz w:val="24"/>
          <w:szCs w:val="24"/>
        </w:rPr>
        <w:t>Dr.</w:t>
      </w:r>
      <w:proofErr w:type="spellEnd"/>
      <w:r>
        <w:rPr>
          <w:rFonts w:ascii="ArialMT" w:hAnsi="ArialMT" w:cs="ArialMT"/>
          <w:spacing w:val="-1"/>
          <w:kern w:val="1"/>
          <w:sz w:val="24"/>
          <w:szCs w:val="24"/>
        </w:rPr>
        <w:t xml:space="preserve"> </w:t>
      </w:r>
      <w:proofErr w:type="spellStart"/>
      <w:r>
        <w:rPr>
          <w:rFonts w:ascii="ArialMT" w:hAnsi="ArialMT" w:cs="ArialMT"/>
          <w:spacing w:val="-1"/>
          <w:kern w:val="1"/>
          <w:sz w:val="24"/>
          <w:szCs w:val="24"/>
        </w:rPr>
        <w:t>Klintwor</w:t>
      </w:r>
      <w:r>
        <w:rPr>
          <w:rFonts w:ascii="ArialMT" w:hAnsi="ArialMT" w:cs="ArialMT"/>
          <w:spacing w:val="-1"/>
          <w:kern w:val="1"/>
          <w:sz w:val="24"/>
          <w:szCs w:val="24"/>
        </w:rPr>
        <w:t>th</w:t>
      </w:r>
      <w:proofErr w:type="spellEnd"/>
      <w:r>
        <w:rPr>
          <w:rFonts w:ascii="ArialMT" w:hAnsi="ArialMT" w:cs="ArialMT"/>
          <w:spacing w:val="-1"/>
          <w:kern w:val="1"/>
          <w:sz w:val="24"/>
          <w:szCs w:val="24"/>
        </w:rPr>
        <w:t xml:space="preserve"> was born on August 4, 1932 in Southern Rhodesia (now Zimbabwe). He graduated from the University of the Witwatersrand, a public research institution in Johannesburg, South Africa, initially with an interest in neurology that evolved into intense fascina</w:t>
      </w:r>
      <w:r>
        <w:rPr>
          <w:rFonts w:ascii="ArialMT" w:hAnsi="ArialMT" w:cs="ArialMT"/>
          <w:spacing w:val="-1"/>
          <w:kern w:val="1"/>
          <w:sz w:val="24"/>
          <w:szCs w:val="24"/>
        </w:rPr>
        <w:t>tion with neuropathology. However, because of civil unrest in South Africa and with the encouragement of his mentor, Neville Proctor, he decided to emigrate with his wife, Felicity, and their oldest daughter, Susan, to Duke University. He had never visited</w:t>
      </w:r>
      <w:r>
        <w:rPr>
          <w:rFonts w:ascii="ArialMT" w:hAnsi="ArialMT" w:cs="ArialMT"/>
          <w:spacing w:val="-1"/>
          <w:kern w:val="1"/>
          <w:sz w:val="24"/>
          <w:szCs w:val="24"/>
        </w:rPr>
        <w:t xml:space="preserve"> the United States prior to that time and knew very little about Duke University.</w:t>
      </w:r>
    </w:p>
    <w:p w:rsidR="00000000" w:rsidRDefault="003B07CE">
      <w:pPr>
        <w:widowControl w:val="0"/>
        <w:autoSpaceDE w:val="0"/>
        <w:autoSpaceDN w:val="0"/>
        <w:adjustRightInd w:val="0"/>
        <w:spacing w:after="0" w:line="360" w:lineRule="auto"/>
        <w:ind w:right="-7" w:firstLine="386"/>
        <w:rPr>
          <w:rFonts w:ascii="ArialMT" w:hAnsi="ArialMT" w:cs="ArialMT"/>
          <w:spacing w:val="-1"/>
          <w:kern w:val="1"/>
          <w:sz w:val="24"/>
          <w:szCs w:val="24"/>
        </w:rPr>
      </w:pPr>
      <w:r>
        <w:rPr>
          <w:rFonts w:ascii="ArialMT" w:hAnsi="ArialMT" w:cs="ArialMT"/>
          <w:spacing w:val="-1"/>
          <w:kern w:val="1"/>
          <w:sz w:val="24"/>
          <w:szCs w:val="24"/>
        </w:rPr>
        <w:t xml:space="preserve">He arrived at Duke University at a very propitious time: ophthalmic pathology was emerging as a defined service in the Department of Pathology, </w:t>
      </w:r>
      <w:proofErr w:type="spellStart"/>
      <w:r>
        <w:rPr>
          <w:rFonts w:ascii="ArialMT" w:hAnsi="ArialMT" w:cs="ArialMT"/>
          <w:spacing w:val="-1"/>
          <w:kern w:val="1"/>
          <w:sz w:val="24"/>
          <w:szCs w:val="24"/>
        </w:rPr>
        <w:t>Dr.</w:t>
      </w:r>
      <w:proofErr w:type="spellEnd"/>
      <w:r>
        <w:rPr>
          <w:rFonts w:ascii="ArialMT" w:hAnsi="ArialMT" w:cs="ArialMT"/>
          <w:spacing w:val="-1"/>
          <w:kern w:val="1"/>
          <w:sz w:val="24"/>
          <w:szCs w:val="24"/>
        </w:rPr>
        <w:t xml:space="preserve"> Joseph A.C. Wadsworth was </w:t>
      </w:r>
      <w:r>
        <w:rPr>
          <w:rFonts w:ascii="ArialMT" w:hAnsi="ArialMT" w:cs="ArialMT"/>
          <w:spacing w:val="-1"/>
          <w:kern w:val="1"/>
          <w:sz w:val="24"/>
          <w:szCs w:val="24"/>
        </w:rPr>
        <w:t xml:space="preserve">appointed as the first chair of the new Department of Ophthalmology, and with the encouragement of Research to Prevent Blindness, </w:t>
      </w:r>
      <w:proofErr w:type="gramStart"/>
      <w:r>
        <w:rPr>
          <w:rFonts w:ascii="ArialMT" w:hAnsi="ArialMT" w:cs="ArialMT"/>
          <w:spacing w:val="-1"/>
          <w:kern w:val="1"/>
          <w:sz w:val="24"/>
          <w:szCs w:val="24"/>
        </w:rPr>
        <w:t>the</w:t>
      </w:r>
      <w:proofErr w:type="gramEnd"/>
      <w:r>
        <w:rPr>
          <w:rFonts w:ascii="ArialMT" w:hAnsi="ArialMT" w:cs="ArialMT"/>
          <w:spacing w:val="-1"/>
          <w:kern w:val="1"/>
          <w:sz w:val="24"/>
          <w:szCs w:val="24"/>
        </w:rPr>
        <w:t xml:space="preserve"> National Eye Institute (NEI) was established. He was among the first to apply for and be awarded a grant at the NEI, initi</w:t>
      </w:r>
      <w:r>
        <w:rPr>
          <w:rFonts w:ascii="ArialMT" w:hAnsi="ArialMT" w:cs="ArialMT"/>
          <w:spacing w:val="-1"/>
          <w:kern w:val="1"/>
          <w:sz w:val="24"/>
          <w:szCs w:val="24"/>
        </w:rPr>
        <w:t>ally a RO1 grant and subsequently a Career Development Award.</w:t>
      </w:r>
    </w:p>
    <w:p w:rsidR="00000000" w:rsidRDefault="003B07CE">
      <w:pPr>
        <w:widowControl w:val="0"/>
        <w:autoSpaceDE w:val="0"/>
        <w:autoSpaceDN w:val="0"/>
        <w:adjustRightInd w:val="0"/>
        <w:spacing w:after="0" w:line="360" w:lineRule="auto"/>
        <w:ind w:right="-7" w:firstLine="386"/>
        <w:rPr>
          <w:rFonts w:ascii="ArialMT" w:hAnsi="ArialMT" w:cs="ArialMT"/>
          <w:spacing w:val="-1"/>
          <w:kern w:val="1"/>
          <w:sz w:val="24"/>
          <w:szCs w:val="24"/>
        </w:rPr>
      </w:pPr>
      <w:r>
        <w:rPr>
          <w:rFonts w:ascii="ArialMT" w:hAnsi="ArialMT" w:cs="ArialMT"/>
          <w:spacing w:val="-1"/>
          <w:kern w:val="1"/>
          <w:sz w:val="24"/>
          <w:szCs w:val="24"/>
        </w:rPr>
        <w:t>Some of his earliest work was with the neuro-ophthalmologist Lawton Smith in determining the anatomic basis of skew deviation. Throughout his career, he was among the first to use innovative inv</w:t>
      </w:r>
      <w:r>
        <w:rPr>
          <w:rFonts w:ascii="ArialMT" w:hAnsi="ArialMT" w:cs="ArialMT"/>
          <w:spacing w:val="-1"/>
          <w:kern w:val="1"/>
          <w:sz w:val="24"/>
          <w:szCs w:val="24"/>
        </w:rPr>
        <w:t>estigative techniques such as transmission electron microscopy, immunohistochemistry, and molecular biology. He was the first to describe the biologic defect in macular corneal dystrophy (</w:t>
      </w:r>
      <w:proofErr w:type="spellStart"/>
      <w:r>
        <w:rPr>
          <w:rFonts w:ascii="ArialMT" w:hAnsi="ArialMT" w:cs="ArialMT"/>
          <w:spacing w:val="-1"/>
          <w:kern w:val="1"/>
          <w:sz w:val="24"/>
          <w:szCs w:val="24"/>
        </w:rPr>
        <w:t>mucopolysaccharide</w:t>
      </w:r>
      <w:proofErr w:type="spellEnd"/>
      <w:r>
        <w:rPr>
          <w:rFonts w:ascii="ArialMT" w:hAnsi="ArialMT" w:cs="ArialMT"/>
          <w:spacing w:val="-1"/>
          <w:kern w:val="1"/>
          <w:sz w:val="24"/>
          <w:szCs w:val="24"/>
        </w:rPr>
        <w:t xml:space="preserve"> abnormality) and lattice corneal dystrophy (amylo</w:t>
      </w:r>
      <w:r>
        <w:rPr>
          <w:rFonts w:ascii="ArialMT" w:hAnsi="ArialMT" w:cs="ArialMT"/>
          <w:spacing w:val="-1"/>
          <w:kern w:val="1"/>
          <w:sz w:val="24"/>
          <w:szCs w:val="24"/>
        </w:rPr>
        <w:t>id abnormality). He also was at the forefront of identifying a single genetic defect (BIGH3, TGFBI) as the basis for three clinical entities that had been thought to be separate clinical entities.</w:t>
      </w:r>
    </w:p>
    <w:p w:rsidR="00000000" w:rsidRDefault="003B07CE">
      <w:pPr>
        <w:widowControl w:val="0"/>
        <w:autoSpaceDE w:val="0"/>
        <w:autoSpaceDN w:val="0"/>
        <w:adjustRightInd w:val="0"/>
        <w:spacing w:after="0" w:line="360" w:lineRule="auto"/>
        <w:ind w:right="-7" w:firstLine="386"/>
        <w:rPr>
          <w:rFonts w:ascii="ArialMT" w:hAnsi="ArialMT" w:cs="ArialMT"/>
          <w:spacing w:val="-1"/>
          <w:kern w:val="1"/>
          <w:sz w:val="24"/>
          <w:szCs w:val="24"/>
        </w:rPr>
      </w:pPr>
      <w:proofErr w:type="spellStart"/>
      <w:r>
        <w:rPr>
          <w:rFonts w:ascii="ArialMT" w:hAnsi="ArialMT" w:cs="ArialMT"/>
          <w:spacing w:val="-1"/>
          <w:kern w:val="1"/>
          <w:sz w:val="24"/>
          <w:szCs w:val="24"/>
        </w:rPr>
        <w:t>Dr.</w:t>
      </w:r>
      <w:proofErr w:type="spellEnd"/>
      <w:r>
        <w:rPr>
          <w:rFonts w:ascii="ArialMT" w:hAnsi="ArialMT" w:cs="ArialMT"/>
          <w:spacing w:val="-1"/>
          <w:kern w:val="1"/>
          <w:sz w:val="24"/>
          <w:szCs w:val="24"/>
        </w:rPr>
        <w:t xml:space="preserve"> Wadsworth encouraged the majority of his early research</w:t>
      </w:r>
      <w:r>
        <w:rPr>
          <w:rFonts w:ascii="ArialMT" w:hAnsi="ArialMT" w:cs="ArialMT"/>
          <w:spacing w:val="-1"/>
          <w:kern w:val="1"/>
          <w:sz w:val="24"/>
          <w:szCs w:val="24"/>
        </w:rPr>
        <w:t xml:space="preserve">, although they could not agree on whether the ophthalmic pathology laboratory should be in the Department of Pathology or the Department of Ophthalmology. Ultimately, </w:t>
      </w:r>
      <w:proofErr w:type="spellStart"/>
      <w:r>
        <w:rPr>
          <w:rFonts w:ascii="ArialMT" w:hAnsi="ArialMT" w:cs="ArialMT"/>
          <w:spacing w:val="-1"/>
          <w:kern w:val="1"/>
          <w:sz w:val="24"/>
          <w:szCs w:val="24"/>
        </w:rPr>
        <w:t>Dr.</w:t>
      </w:r>
      <w:proofErr w:type="spellEnd"/>
      <w:r>
        <w:rPr>
          <w:rFonts w:ascii="ArialMT" w:hAnsi="ArialMT" w:cs="ArialMT"/>
          <w:spacing w:val="-1"/>
          <w:kern w:val="1"/>
          <w:sz w:val="24"/>
          <w:szCs w:val="24"/>
        </w:rPr>
        <w:t xml:space="preserve"> </w:t>
      </w:r>
      <w:proofErr w:type="spellStart"/>
      <w:r>
        <w:rPr>
          <w:rFonts w:ascii="ArialMT" w:hAnsi="ArialMT" w:cs="ArialMT"/>
          <w:spacing w:val="-1"/>
          <w:kern w:val="1"/>
          <w:sz w:val="24"/>
          <w:szCs w:val="24"/>
        </w:rPr>
        <w:t>Klintworth’s</w:t>
      </w:r>
      <w:proofErr w:type="spellEnd"/>
      <w:r>
        <w:rPr>
          <w:rFonts w:ascii="ArialMT" w:hAnsi="ArialMT" w:cs="ArialMT"/>
          <w:spacing w:val="-1"/>
          <w:kern w:val="1"/>
          <w:sz w:val="24"/>
          <w:szCs w:val="24"/>
        </w:rPr>
        <w:t xml:space="preserve"> position prevailed, which has subsequently influenced a national and in</w:t>
      </w:r>
      <w:r>
        <w:rPr>
          <w:rFonts w:ascii="ArialMT" w:hAnsi="ArialMT" w:cs="ArialMT"/>
          <w:spacing w:val="-1"/>
          <w:kern w:val="1"/>
          <w:sz w:val="24"/>
          <w:szCs w:val="24"/>
        </w:rPr>
        <w:t xml:space="preserve">ternational trend for </w:t>
      </w:r>
      <w:proofErr w:type="gramStart"/>
      <w:r>
        <w:rPr>
          <w:rFonts w:ascii="ArialMT" w:hAnsi="ArialMT" w:cs="ArialMT"/>
          <w:spacing w:val="-1"/>
          <w:kern w:val="1"/>
          <w:sz w:val="24"/>
          <w:szCs w:val="24"/>
        </w:rPr>
        <w:t>pathology</w:t>
      </w:r>
      <w:proofErr w:type="gramEnd"/>
      <w:r>
        <w:rPr>
          <w:rFonts w:ascii="ArialMT" w:hAnsi="ArialMT" w:cs="ArialMT"/>
          <w:spacing w:val="-1"/>
          <w:kern w:val="1"/>
          <w:sz w:val="24"/>
          <w:szCs w:val="24"/>
        </w:rPr>
        <w:t xml:space="preserve"> departments to include ophthalmic pathology.</w:t>
      </w:r>
    </w:p>
    <w:p w:rsidR="00000000" w:rsidRDefault="003B07CE">
      <w:pPr>
        <w:widowControl w:val="0"/>
        <w:autoSpaceDE w:val="0"/>
        <w:autoSpaceDN w:val="0"/>
        <w:adjustRightInd w:val="0"/>
        <w:spacing w:after="0" w:line="360" w:lineRule="auto"/>
        <w:ind w:right="-7" w:firstLine="386"/>
        <w:rPr>
          <w:rFonts w:ascii="ArialMT" w:hAnsi="ArialMT" w:cs="ArialMT"/>
          <w:spacing w:val="-1"/>
          <w:kern w:val="1"/>
          <w:sz w:val="24"/>
          <w:szCs w:val="24"/>
        </w:rPr>
      </w:pPr>
      <w:proofErr w:type="spellStart"/>
      <w:r>
        <w:rPr>
          <w:rFonts w:ascii="ArialMT" w:hAnsi="ArialMT" w:cs="ArialMT"/>
          <w:spacing w:val="-1"/>
          <w:kern w:val="1"/>
          <w:sz w:val="24"/>
          <w:szCs w:val="24"/>
        </w:rPr>
        <w:t>Dr.</w:t>
      </w:r>
      <w:proofErr w:type="spellEnd"/>
      <w:r>
        <w:rPr>
          <w:rFonts w:ascii="ArialMT" w:hAnsi="ArialMT" w:cs="ArialMT"/>
          <w:spacing w:val="-1"/>
          <w:kern w:val="1"/>
          <w:sz w:val="24"/>
          <w:szCs w:val="24"/>
        </w:rPr>
        <w:t xml:space="preserve"> </w:t>
      </w:r>
      <w:proofErr w:type="spellStart"/>
      <w:r>
        <w:rPr>
          <w:rFonts w:ascii="ArialMT" w:hAnsi="ArialMT" w:cs="ArialMT"/>
          <w:spacing w:val="-1"/>
          <w:kern w:val="1"/>
          <w:sz w:val="24"/>
          <w:szCs w:val="24"/>
        </w:rPr>
        <w:t>Klintworth</w:t>
      </w:r>
      <w:proofErr w:type="spellEnd"/>
      <w:r>
        <w:rPr>
          <w:rFonts w:ascii="ArialMT" w:hAnsi="ArialMT" w:cs="ArialMT"/>
          <w:spacing w:val="-1"/>
          <w:kern w:val="1"/>
          <w:sz w:val="24"/>
          <w:szCs w:val="24"/>
        </w:rPr>
        <w:t xml:space="preserve"> was appointed Director of Research in the Department of </w:t>
      </w:r>
      <w:r>
        <w:rPr>
          <w:rFonts w:ascii="ArialMT" w:hAnsi="ArialMT" w:cs="ArialMT"/>
          <w:spacing w:val="-1"/>
          <w:kern w:val="1"/>
          <w:sz w:val="24"/>
          <w:szCs w:val="24"/>
        </w:rPr>
        <w:lastRenderedPageBreak/>
        <w:t xml:space="preserve">Ophthalmology by the subsequent chair, Robert </w:t>
      </w:r>
      <w:proofErr w:type="spellStart"/>
      <w:r>
        <w:rPr>
          <w:rFonts w:ascii="ArialMT" w:hAnsi="ArialMT" w:cs="ArialMT"/>
          <w:spacing w:val="-1"/>
          <w:kern w:val="1"/>
          <w:sz w:val="24"/>
          <w:szCs w:val="24"/>
        </w:rPr>
        <w:t>Machemer</w:t>
      </w:r>
      <w:proofErr w:type="spellEnd"/>
      <w:r>
        <w:rPr>
          <w:rFonts w:ascii="ArialMT" w:hAnsi="ArialMT" w:cs="ArialMT"/>
          <w:spacing w:val="-1"/>
          <w:kern w:val="1"/>
          <w:sz w:val="24"/>
          <w:szCs w:val="24"/>
        </w:rPr>
        <w:t xml:space="preserve">. </w:t>
      </w:r>
      <w:proofErr w:type="spellStart"/>
      <w:r>
        <w:rPr>
          <w:rFonts w:ascii="ArialMT" w:hAnsi="ArialMT" w:cs="ArialMT"/>
          <w:spacing w:val="-1"/>
          <w:kern w:val="1"/>
          <w:sz w:val="24"/>
          <w:szCs w:val="24"/>
        </w:rPr>
        <w:t>Dr.</w:t>
      </w:r>
      <w:proofErr w:type="spellEnd"/>
      <w:r>
        <w:rPr>
          <w:rFonts w:ascii="ArialMT" w:hAnsi="ArialMT" w:cs="ArialMT"/>
          <w:spacing w:val="-1"/>
          <w:kern w:val="1"/>
          <w:sz w:val="24"/>
          <w:szCs w:val="24"/>
        </w:rPr>
        <w:t xml:space="preserve"> </w:t>
      </w:r>
      <w:proofErr w:type="spellStart"/>
      <w:r>
        <w:rPr>
          <w:rFonts w:ascii="ArialMT" w:hAnsi="ArialMT" w:cs="ArialMT"/>
          <w:spacing w:val="-1"/>
          <w:kern w:val="1"/>
          <w:sz w:val="24"/>
          <w:szCs w:val="24"/>
        </w:rPr>
        <w:t>Klintworth</w:t>
      </w:r>
      <w:proofErr w:type="spellEnd"/>
      <w:r>
        <w:rPr>
          <w:rFonts w:ascii="ArialMT" w:hAnsi="ArialMT" w:cs="ArialMT"/>
          <w:spacing w:val="-1"/>
          <w:kern w:val="1"/>
          <w:sz w:val="24"/>
          <w:szCs w:val="24"/>
        </w:rPr>
        <w:t xml:space="preserve"> promoted ophthalmic pathology researc</w:t>
      </w:r>
      <w:r>
        <w:rPr>
          <w:rFonts w:ascii="ArialMT" w:hAnsi="ArialMT" w:cs="ArialMT"/>
          <w:spacing w:val="-1"/>
          <w:kern w:val="1"/>
          <w:sz w:val="24"/>
          <w:szCs w:val="24"/>
        </w:rPr>
        <w:t xml:space="preserve">h to medical students and clinician-scientists inclusively. During his time, </w:t>
      </w:r>
      <w:proofErr w:type="spellStart"/>
      <w:r>
        <w:rPr>
          <w:rFonts w:ascii="ArialMT" w:hAnsi="ArialMT" w:cs="ArialMT"/>
          <w:spacing w:val="-1"/>
          <w:kern w:val="1"/>
          <w:sz w:val="24"/>
          <w:szCs w:val="24"/>
        </w:rPr>
        <w:t>Dr.</w:t>
      </w:r>
      <w:proofErr w:type="spellEnd"/>
      <w:r>
        <w:rPr>
          <w:rFonts w:ascii="ArialMT" w:hAnsi="ArialMT" w:cs="ArialMT"/>
          <w:spacing w:val="-1"/>
          <w:kern w:val="1"/>
          <w:sz w:val="24"/>
          <w:szCs w:val="24"/>
        </w:rPr>
        <w:t xml:space="preserve"> </w:t>
      </w:r>
      <w:proofErr w:type="spellStart"/>
      <w:r>
        <w:rPr>
          <w:rFonts w:ascii="ArialMT" w:hAnsi="ArialMT" w:cs="ArialMT"/>
          <w:spacing w:val="-1"/>
          <w:kern w:val="1"/>
          <w:sz w:val="24"/>
          <w:szCs w:val="24"/>
        </w:rPr>
        <w:t>Klintworth</w:t>
      </w:r>
      <w:proofErr w:type="spellEnd"/>
      <w:r>
        <w:rPr>
          <w:rFonts w:ascii="ArialMT" w:hAnsi="ArialMT" w:cs="ArialMT"/>
          <w:spacing w:val="-1"/>
          <w:kern w:val="1"/>
          <w:sz w:val="24"/>
          <w:szCs w:val="24"/>
        </w:rPr>
        <w:t xml:space="preserve"> was awarded an NIH Core Grant by coordinating the research efforts of Duke University, The University of North Carolina, and North Carolina State University (“Trian</w:t>
      </w:r>
      <w:r>
        <w:rPr>
          <w:rFonts w:ascii="ArialMT" w:hAnsi="ArialMT" w:cs="ArialMT"/>
          <w:spacing w:val="-1"/>
          <w:kern w:val="1"/>
          <w:sz w:val="24"/>
          <w:szCs w:val="24"/>
        </w:rPr>
        <w:t>gle Park”), which continue as a research consortium to this day.</w:t>
      </w:r>
    </w:p>
    <w:p w:rsidR="00000000" w:rsidRDefault="003B07CE">
      <w:pPr>
        <w:widowControl w:val="0"/>
        <w:autoSpaceDE w:val="0"/>
        <w:autoSpaceDN w:val="0"/>
        <w:adjustRightInd w:val="0"/>
        <w:spacing w:after="0" w:line="360" w:lineRule="auto"/>
        <w:ind w:right="-7" w:firstLine="386"/>
        <w:rPr>
          <w:rFonts w:ascii="ArialMT" w:hAnsi="ArialMT" w:cs="ArialMT"/>
          <w:spacing w:val="-1"/>
          <w:kern w:val="1"/>
          <w:sz w:val="24"/>
          <w:szCs w:val="24"/>
        </w:rPr>
      </w:pPr>
      <w:proofErr w:type="spellStart"/>
      <w:r>
        <w:rPr>
          <w:rFonts w:ascii="ArialMT" w:hAnsi="ArialMT" w:cs="ArialMT"/>
          <w:spacing w:val="-1"/>
          <w:kern w:val="1"/>
          <w:sz w:val="24"/>
          <w:szCs w:val="24"/>
        </w:rPr>
        <w:t>Dr.</w:t>
      </w:r>
      <w:proofErr w:type="spellEnd"/>
      <w:r>
        <w:rPr>
          <w:rFonts w:ascii="ArialMT" w:hAnsi="ArialMT" w:cs="ArialMT"/>
          <w:spacing w:val="-1"/>
          <w:kern w:val="1"/>
          <w:sz w:val="24"/>
          <w:szCs w:val="24"/>
        </w:rPr>
        <w:t xml:space="preserve"> </w:t>
      </w:r>
      <w:proofErr w:type="spellStart"/>
      <w:r>
        <w:rPr>
          <w:rFonts w:ascii="ArialMT" w:hAnsi="ArialMT" w:cs="ArialMT"/>
          <w:spacing w:val="-1"/>
          <w:kern w:val="1"/>
          <w:sz w:val="24"/>
          <w:szCs w:val="24"/>
        </w:rPr>
        <w:t>Klintworth</w:t>
      </w:r>
      <w:proofErr w:type="spellEnd"/>
      <w:r>
        <w:rPr>
          <w:rFonts w:ascii="ArialMT" w:hAnsi="ArialMT" w:cs="ArialMT"/>
          <w:spacing w:val="-1"/>
          <w:kern w:val="1"/>
          <w:sz w:val="24"/>
          <w:szCs w:val="24"/>
        </w:rPr>
        <w:t xml:space="preserve"> was an active participant of the tremendous expansion of both clinical and research activities at Duke accomplished by the next chair of Ophthalmology, David Epstein. Of his ma</w:t>
      </w:r>
      <w:r>
        <w:rPr>
          <w:rFonts w:ascii="ArialMT" w:hAnsi="ArialMT" w:cs="ArialMT"/>
          <w:spacing w:val="-1"/>
          <w:kern w:val="1"/>
          <w:sz w:val="24"/>
          <w:szCs w:val="24"/>
        </w:rPr>
        <w:t xml:space="preserve">ny publications, his two-volume work </w:t>
      </w:r>
      <w:r>
        <w:rPr>
          <w:rFonts w:ascii="ArialMT" w:hAnsi="ArialMT" w:cs="ArialMT"/>
          <w:i/>
          <w:iCs/>
          <w:spacing w:val="-1"/>
          <w:kern w:val="1"/>
          <w:sz w:val="24"/>
          <w:szCs w:val="24"/>
        </w:rPr>
        <w:t xml:space="preserve">Garner and </w:t>
      </w:r>
      <w:proofErr w:type="spellStart"/>
      <w:r>
        <w:rPr>
          <w:rFonts w:ascii="ArialMT" w:hAnsi="ArialMT" w:cs="ArialMT"/>
          <w:i/>
          <w:iCs/>
          <w:spacing w:val="-1"/>
          <w:kern w:val="1"/>
          <w:sz w:val="24"/>
          <w:szCs w:val="24"/>
        </w:rPr>
        <w:t>Klintworth</w:t>
      </w:r>
      <w:proofErr w:type="spellEnd"/>
      <w:r>
        <w:rPr>
          <w:rFonts w:ascii="ArialMT" w:hAnsi="ArialMT" w:cs="ArialMT"/>
          <w:i/>
          <w:iCs/>
          <w:spacing w:val="-1"/>
          <w:kern w:val="1"/>
          <w:sz w:val="24"/>
          <w:szCs w:val="24"/>
        </w:rPr>
        <w:t>: Pathobiology of Ocular Disease</w:t>
      </w:r>
      <w:r>
        <w:rPr>
          <w:rFonts w:ascii="ArialMT" w:hAnsi="ArialMT" w:cs="ArialMT"/>
          <w:spacing w:val="-1"/>
          <w:kern w:val="1"/>
          <w:sz w:val="24"/>
          <w:szCs w:val="24"/>
        </w:rPr>
        <w:t xml:space="preserve"> with noted British ophthalmic pathologist Alec Garner was probably among the most influential.</w:t>
      </w:r>
    </w:p>
    <w:p w:rsidR="00000000" w:rsidRDefault="003B07CE">
      <w:pPr>
        <w:widowControl w:val="0"/>
        <w:autoSpaceDE w:val="0"/>
        <w:autoSpaceDN w:val="0"/>
        <w:adjustRightInd w:val="0"/>
        <w:spacing w:after="0" w:line="360" w:lineRule="auto"/>
        <w:ind w:right="-7" w:firstLine="386"/>
        <w:rPr>
          <w:rFonts w:ascii="ArialMT" w:hAnsi="ArialMT" w:cs="ArialMT"/>
          <w:spacing w:val="-1"/>
          <w:kern w:val="1"/>
          <w:sz w:val="24"/>
          <w:szCs w:val="24"/>
        </w:rPr>
      </w:pPr>
      <w:r>
        <w:rPr>
          <w:rFonts w:ascii="ArialMT" w:hAnsi="ArialMT" w:cs="ArialMT"/>
          <w:spacing w:val="-1"/>
          <w:kern w:val="1"/>
          <w:sz w:val="24"/>
          <w:szCs w:val="24"/>
        </w:rPr>
        <w:t xml:space="preserve">Since the founding of the ISOP in 1988 by </w:t>
      </w:r>
      <w:proofErr w:type="spellStart"/>
      <w:r>
        <w:rPr>
          <w:rFonts w:ascii="ArialMT" w:hAnsi="ArialMT" w:cs="ArialMT"/>
          <w:spacing w:val="-1"/>
          <w:kern w:val="1"/>
          <w:sz w:val="24"/>
          <w:szCs w:val="24"/>
        </w:rPr>
        <w:t>Dr.</w:t>
      </w:r>
      <w:proofErr w:type="spellEnd"/>
      <w:r>
        <w:rPr>
          <w:rFonts w:ascii="ArialMT" w:hAnsi="ArialMT" w:cs="ArialMT"/>
          <w:spacing w:val="-1"/>
          <w:kern w:val="1"/>
          <w:sz w:val="24"/>
          <w:szCs w:val="24"/>
        </w:rPr>
        <w:t xml:space="preserve"> </w:t>
      </w:r>
      <w:proofErr w:type="spellStart"/>
      <w:r>
        <w:rPr>
          <w:rFonts w:ascii="ArialMT" w:hAnsi="ArialMT" w:cs="ArialMT"/>
          <w:spacing w:val="-1"/>
          <w:kern w:val="1"/>
          <w:sz w:val="24"/>
          <w:szCs w:val="24"/>
        </w:rPr>
        <w:t>Klintworth</w:t>
      </w:r>
      <w:proofErr w:type="spellEnd"/>
      <w:r>
        <w:rPr>
          <w:rFonts w:ascii="ArialMT" w:hAnsi="ArialMT" w:cs="ArialMT"/>
          <w:spacing w:val="-1"/>
          <w:kern w:val="1"/>
          <w:sz w:val="24"/>
          <w:szCs w:val="24"/>
        </w:rPr>
        <w:t>, this group h</w:t>
      </w:r>
      <w:r>
        <w:rPr>
          <w:rFonts w:ascii="ArialMT" w:hAnsi="ArialMT" w:cs="ArialMT"/>
          <w:spacing w:val="-1"/>
          <w:kern w:val="1"/>
          <w:sz w:val="24"/>
          <w:szCs w:val="24"/>
        </w:rPr>
        <w:t>as continued to promote teaching and research in eye pathology through the ISOP Committee and its organized courses and symposia at various international conferences.</w:t>
      </w:r>
    </w:p>
    <w:p w:rsidR="00000000" w:rsidRDefault="003B07CE">
      <w:pPr>
        <w:widowControl w:val="0"/>
        <w:autoSpaceDE w:val="0"/>
        <w:autoSpaceDN w:val="0"/>
        <w:adjustRightInd w:val="0"/>
        <w:spacing w:after="0" w:line="360" w:lineRule="auto"/>
        <w:ind w:right="-7" w:firstLine="386"/>
        <w:rPr>
          <w:rFonts w:ascii="ArialMT" w:hAnsi="ArialMT" w:cs="ArialMT"/>
          <w:spacing w:val="-1"/>
          <w:kern w:val="1"/>
          <w:sz w:val="24"/>
          <w:szCs w:val="24"/>
        </w:rPr>
      </w:pPr>
      <w:r>
        <w:rPr>
          <w:rFonts w:ascii="ArialMT" w:hAnsi="ArialMT" w:cs="ArialMT"/>
          <w:spacing w:val="-1"/>
          <w:kern w:val="1"/>
          <w:sz w:val="24"/>
          <w:szCs w:val="24"/>
        </w:rPr>
        <w:t xml:space="preserve">In </w:t>
      </w:r>
      <w:proofErr w:type="spellStart"/>
      <w:r>
        <w:rPr>
          <w:rFonts w:ascii="ArialMT" w:hAnsi="ArialMT" w:cs="ArialMT"/>
          <w:spacing w:val="-1"/>
          <w:kern w:val="1"/>
          <w:sz w:val="24"/>
          <w:szCs w:val="24"/>
        </w:rPr>
        <w:t>honor</w:t>
      </w:r>
      <w:proofErr w:type="spellEnd"/>
      <w:r>
        <w:rPr>
          <w:rFonts w:ascii="ArialMT" w:hAnsi="ArialMT" w:cs="ArialMT"/>
          <w:spacing w:val="-1"/>
          <w:kern w:val="1"/>
          <w:sz w:val="24"/>
          <w:szCs w:val="24"/>
        </w:rPr>
        <w:t xml:space="preserve"> of </w:t>
      </w:r>
      <w:proofErr w:type="spellStart"/>
      <w:r>
        <w:rPr>
          <w:rFonts w:ascii="ArialMT" w:hAnsi="ArialMT" w:cs="ArialMT"/>
          <w:spacing w:val="-1"/>
          <w:kern w:val="1"/>
          <w:sz w:val="24"/>
          <w:szCs w:val="24"/>
        </w:rPr>
        <w:t>Dr.</w:t>
      </w:r>
      <w:proofErr w:type="spellEnd"/>
      <w:r>
        <w:rPr>
          <w:rFonts w:ascii="ArialMT" w:hAnsi="ArialMT" w:cs="ArialMT"/>
          <w:spacing w:val="-1"/>
          <w:kern w:val="1"/>
          <w:sz w:val="24"/>
          <w:szCs w:val="24"/>
        </w:rPr>
        <w:t xml:space="preserve"> </w:t>
      </w:r>
      <w:proofErr w:type="spellStart"/>
      <w:r>
        <w:rPr>
          <w:rFonts w:ascii="ArialMT" w:hAnsi="ArialMT" w:cs="ArialMT"/>
          <w:spacing w:val="-1"/>
          <w:kern w:val="1"/>
          <w:sz w:val="24"/>
          <w:szCs w:val="24"/>
        </w:rPr>
        <w:t>Klintworth’s</w:t>
      </w:r>
      <w:proofErr w:type="spellEnd"/>
      <w:r>
        <w:rPr>
          <w:rFonts w:ascii="ArialMT" w:hAnsi="ArialMT" w:cs="ArialMT"/>
          <w:spacing w:val="-1"/>
          <w:kern w:val="1"/>
          <w:sz w:val="24"/>
          <w:szCs w:val="24"/>
        </w:rPr>
        <w:t xml:space="preserve"> significant contributions to ocular pathology, the ISOP held</w:t>
      </w:r>
      <w:r>
        <w:rPr>
          <w:rFonts w:ascii="ArialMT" w:hAnsi="ArialMT" w:cs="ArialMT"/>
          <w:spacing w:val="-1"/>
          <w:kern w:val="1"/>
          <w:sz w:val="24"/>
          <w:szCs w:val="24"/>
        </w:rPr>
        <w:t xml:space="preserve"> the inaugural “</w:t>
      </w:r>
      <w:proofErr w:type="spellStart"/>
      <w:r>
        <w:rPr>
          <w:rFonts w:ascii="ArialMT" w:hAnsi="ArialMT" w:cs="ArialMT"/>
          <w:spacing w:val="-1"/>
          <w:kern w:val="1"/>
          <w:sz w:val="24"/>
          <w:szCs w:val="24"/>
        </w:rPr>
        <w:t>Klintworth</w:t>
      </w:r>
      <w:proofErr w:type="spellEnd"/>
      <w:r>
        <w:rPr>
          <w:rFonts w:ascii="ArialMT" w:hAnsi="ArialMT" w:cs="ArialMT"/>
          <w:spacing w:val="-1"/>
          <w:kern w:val="1"/>
          <w:sz w:val="24"/>
          <w:szCs w:val="24"/>
        </w:rPr>
        <w:t xml:space="preserve"> lecture” in Guadalajara, Mexico in February 2016 as part of the ISOP symposium at the World Ophthalmology Congress. It is planned that this lecture will continue to be given every 2 years by a person of standing in eye pathology.</w:t>
      </w:r>
    </w:p>
    <w:p w:rsidR="00000000" w:rsidRDefault="003B07CE">
      <w:pPr>
        <w:widowControl w:val="0"/>
        <w:autoSpaceDE w:val="0"/>
        <w:autoSpaceDN w:val="0"/>
        <w:adjustRightInd w:val="0"/>
        <w:spacing w:after="0" w:line="360" w:lineRule="auto"/>
        <w:ind w:right="-7" w:firstLine="386"/>
        <w:rPr>
          <w:rFonts w:ascii="ArialMT" w:hAnsi="ArialMT" w:cs="ArialMT"/>
          <w:spacing w:val="-1"/>
          <w:kern w:val="1"/>
          <w:sz w:val="24"/>
          <w:szCs w:val="24"/>
        </w:rPr>
      </w:pPr>
      <w:r>
        <w:rPr>
          <w:rFonts w:ascii="ArialMT" w:hAnsi="ArialMT" w:cs="ArialMT"/>
          <w:spacing w:val="-1"/>
          <w:kern w:val="1"/>
          <w:sz w:val="24"/>
          <w:szCs w:val="24"/>
        </w:rPr>
        <w:t xml:space="preserve">It was indeed a very easy decision for the ISOP to choose </w:t>
      </w:r>
      <w:proofErr w:type="spellStart"/>
      <w:r>
        <w:rPr>
          <w:rFonts w:ascii="ArialMT" w:hAnsi="ArialMT" w:cs="ArialMT"/>
          <w:spacing w:val="-1"/>
          <w:kern w:val="1"/>
          <w:sz w:val="24"/>
          <w:szCs w:val="24"/>
        </w:rPr>
        <w:t>Dr.</w:t>
      </w:r>
      <w:proofErr w:type="spellEnd"/>
      <w:r>
        <w:rPr>
          <w:rFonts w:ascii="ArialMT" w:hAnsi="ArialMT" w:cs="ArialMT"/>
          <w:spacing w:val="-1"/>
          <w:kern w:val="1"/>
          <w:sz w:val="24"/>
          <w:szCs w:val="24"/>
        </w:rPr>
        <w:t xml:space="preserve"> Ralph C. Eagle Jr., MD to give the inaugural </w:t>
      </w:r>
      <w:proofErr w:type="spellStart"/>
      <w:r>
        <w:rPr>
          <w:rFonts w:ascii="ArialMT" w:hAnsi="ArialMT" w:cs="ArialMT"/>
          <w:spacing w:val="-1"/>
          <w:kern w:val="1"/>
          <w:sz w:val="24"/>
          <w:szCs w:val="24"/>
        </w:rPr>
        <w:t>Klintworth</w:t>
      </w:r>
      <w:proofErr w:type="spellEnd"/>
      <w:r>
        <w:rPr>
          <w:rFonts w:ascii="ArialMT" w:hAnsi="ArialMT" w:cs="ArialMT"/>
          <w:spacing w:val="-1"/>
          <w:kern w:val="1"/>
          <w:sz w:val="24"/>
          <w:szCs w:val="24"/>
        </w:rPr>
        <w:t xml:space="preserve"> lecture in 2016. </w:t>
      </w:r>
      <w:proofErr w:type="spellStart"/>
      <w:r>
        <w:rPr>
          <w:rFonts w:ascii="ArialMT" w:hAnsi="ArialMT" w:cs="ArialMT"/>
          <w:spacing w:val="-1"/>
          <w:kern w:val="1"/>
          <w:sz w:val="24"/>
          <w:szCs w:val="24"/>
        </w:rPr>
        <w:t>Dr.</w:t>
      </w:r>
      <w:proofErr w:type="spellEnd"/>
      <w:r>
        <w:rPr>
          <w:rFonts w:ascii="ArialMT" w:hAnsi="ArialMT" w:cs="ArialMT"/>
          <w:spacing w:val="-1"/>
          <w:kern w:val="1"/>
          <w:sz w:val="24"/>
          <w:szCs w:val="24"/>
        </w:rPr>
        <w:t xml:space="preserve"> Eagle is the current director of the Department of Pathology at the Wills Eye Hospital in Philadelphia and has a lon</w:t>
      </w:r>
      <w:r>
        <w:rPr>
          <w:rFonts w:ascii="ArialMT" w:hAnsi="ArialMT" w:cs="ArialMT"/>
          <w:spacing w:val="-1"/>
          <w:kern w:val="1"/>
          <w:sz w:val="24"/>
          <w:szCs w:val="24"/>
        </w:rPr>
        <w:t>g track record in excellence in teaching and research in eye pathology. His lecture in Guadalajara was an absolute delight, as can be seen from the wonderful images provided in his paper below. Enjoy!</w:t>
      </w:r>
    </w:p>
    <w:p w:rsidR="00000000" w:rsidRDefault="003B07CE">
      <w:pPr>
        <w:widowControl w:val="0"/>
        <w:autoSpaceDE w:val="0"/>
        <w:autoSpaceDN w:val="0"/>
        <w:adjustRightInd w:val="0"/>
        <w:spacing w:after="0" w:line="360" w:lineRule="auto"/>
        <w:ind w:right="-7" w:firstLine="386"/>
        <w:jc w:val="right"/>
        <w:rPr>
          <w:rFonts w:ascii="ArialMT" w:hAnsi="ArialMT" w:cs="ArialMT"/>
          <w:spacing w:val="-1"/>
          <w:kern w:val="1"/>
          <w:sz w:val="24"/>
          <w:szCs w:val="24"/>
        </w:rPr>
      </w:pPr>
      <w:proofErr w:type="spellStart"/>
      <w:r>
        <w:rPr>
          <w:rFonts w:ascii="ArialMT" w:hAnsi="ArialMT" w:cs="ArialMT"/>
          <w:i/>
          <w:iCs/>
          <w:spacing w:val="-1"/>
          <w:kern w:val="1"/>
          <w:sz w:val="24"/>
          <w:szCs w:val="24"/>
        </w:rPr>
        <w:t>Prof.</w:t>
      </w:r>
      <w:proofErr w:type="spellEnd"/>
      <w:r>
        <w:rPr>
          <w:rFonts w:ascii="ArialMT" w:hAnsi="ArialMT" w:cs="ArialMT"/>
          <w:i/>
          <w:iCs/>
          <w:spacing w:val="-1"/>
          <w:kern w:val="1"/>
          <w:sz w:val="24"/>
          <w:szCs w:val="24"/>
        </w:rPr>
        <w:t xml:space="preserve"> Sarah E. Coupland</w:t>
      </w:r>
    </w:p>
    <w:p w:rsidR="00000000" w:rsidRDefault="003B07CE">
      <w:pPr>
        <w:widowControl w:val="0"/>
        <w:autoSpaceDE w:val="0"/>
        <w:autoSpaceDN w:val="0"/>
        <w:adjustRightInd w:val="0"/>
        <w:spacing w:after="0" w:line="360" w:lineRule="auto"/>
        <w:ind w:right="-7" w:firstLine="386"/>
        <w:jc w:val="right"/>
        <w:rPr>
          <w:rFonts w:ascii="ArialMT" w:hAnsi="ArialMT" w:cs="ArialMT"/>
          <w:spacing w:val="-1"/>
          <w:kern w:val="1"/>
          <w:sz w:val="24"/>
          <w:szCs w:val="24"/>
        </w:rPr>
      </w:pPr>
      <w:r>
        <w:rPr>
          <w:rFonts w:ascii="ArialMT" w:hAnsi="ArialMT" w:cs="ArialMT"/>
          <w:spacing w:val="-1"/>
          <w:kern w:val="1"/>
          <w:sz w:val="24"/>
          <w:szCs w:val="24"/>
        </w:rPr>
        <w:t>President of the ISOP</w:t>
      </w:r>
    </w:p>
    <w:p w:rsidR="00000000" w:rsidRDefault="003B07CE">
      <w:pPr>
        <w:widowControl w:val="0"/>
        <w:autoSpaceDE w:val="0"/>
        <w:autoSpaceDN w:val="0"/>
        <w:adjustRightInd w:val="0"/>
        <w:spacing w:before="520" w:after="260" w:line="360" w:lineRule="auto"/>
        <w:ind w:left="386" w:right="-7"/>
        <w:rPr>
          <w:rFonts w:ascii="ArialMT" w:hAnsi="ArialMT" w:cs="ArialMT"/>
          <w:b/>
          <w:bCs/>
          <w:spacing w:val="6"/>
          <w:kern w:val="1"/>
          <w:sz w:val="20"/>
          <w:szCs w:val="20"/>
        </w:rPr>
      </w:pPr>
      <w:r>
        <w:rPr>
          <w:rFonts w:ascii="ArialMT" w:hAnsi="ArialMT" w:cs="ArialMT"/>
          <w:b/>
          <w:bCs/>
          <w:spacing w:val="6"/>
          <w:kern w:val="1"/>
          <w:sz w:val="20"/>
          <w:szCs w:val="20"/>
        </w:rPr>
        <w:t>Reference</w:t>
      </w:r>
      <w:r>
        <w:rPr>
          <w:rFonts w:ascii="ArialMT" w:hAnsi="ArialMT" w:cs="ArialMT"/>
          <w:b/>
          <w:bCs/>
          <w:spacing w:val="6"/>
          <w:kern w:val="1"/>
          <w:sz w:val="20"/>
          <w:szCs w:val="20"/>
        </w:rPr>
        <w:t>s</w:t>
      </w:r>
    </w:p>
    <w:p w:rsidR="00000000" w:rsidRDefault="003B07CE">
      <w:pPr>
        <w:widowControl w:val="0"/>
        <w:autoSpaceDE w:val="0"/>
        <w:autoSpaceDN w:val="0"/>
        <w:adjustRightInd w:val="0"/>
        <w:spacing w:after="0" w:line="360" w:lineRule="auto"/>
        <w:ind w:left="567" w:right="-7"/>
        <w:rPr>
          <w:rFonts w:ascii="ArialMT" w:hAnsi="ArialMT" w:cs="ArialMT"/>
          <w:spacing w:val="6"/>
          <w:kern w:val="1"/>
          <w:sz w:val="24"/>
          <w:szCs w:val="24"/>
        </w:rPr>
      </w:pPr>
    </w:p>
    <w:p w:rsidR="00000000" w:rsidRDefault="003B07CE">
      <w:pPr>
        <w:widowControl w:val="0"/>
        <w:autoSpaceDE w:val="0"/>
        <w:autoSpaceDN w:val="0"/>
        <w:adjustRightInd w:val="0"/>
        <w:spacing w:after="0" w:line="360" w:lineRule="auto"/>
        <w:ind w:right="-7"/>
        <w:rPr>
          <w:rFonts w:ascii="ArialMT" w:hAnsi="ArialMT" w:cs="ArialMT"/>
          <w:b/>
          <w:bCs/>
          <w:spacing w:val="6"/>
          <w:kern w:val="1"/>
          <w:sz w:val="20"/>
          <w:szCs w:val="20"/>
        </w:rPr>
      </w:pPr>
      <w:r>
        <w:rPr>
          <w:rFonts w:ascii="ArialMT" w:hAnsi="ArialMT" w:cs="ArialMT"/>
          <w:spacing w:val="6"/>
          <w:kern w:val="1"/>
          <w:sz w:val="20"/>
          <w:szCs w:val="20"/>
        </w:rPr>
        <w:t>Appendix after References (Editorial Comments)</w:t>
      </w:r>
    </w:p>
    <w:p w:rsidR="00000000" w:rsidRDefault="003B07CE">
      <w:pPr>
        <w:widowControl w:val="0"/>
        <w:autoSpaceDE w:val="0"/>
        <w:autoSpaceDN w:val="0"/>
        <w:adjustRightInd w:val="0"/>
        <w:spacing w:after="0" w:line="360" w:lineRule="auto"/>
        <w:ind w:right="-7" w:firstLine="386"/>
        <w:rPr>
          <w:rFonts w:ascii="ArialMT" w:hAnsi="ArialMT" w:cs="ArialMT"/>
          <w:spacing w:val="-1"/>
          <w:kern w:val="1"/>
          <w:sz w:val="24"/>
          <w:szCs w:val="24"/>
        </w:rPr>
      </w:pPr>
    </w:p>
    <w:p w:rsidR="00000000" w:rsidRDefault="003B07CE">
      <w:pPr>
        <w:widowControl w:val="0"/>
        <w:autoSpaceDE w:val="0"/>
        <w:autoSpaceDN w:val="0"/>
        <w:adjustRightInd w:val="0"/>
        <w:spacing w:after="0" w:line="360" w:lineRule="auto"/>
        <w:ind w:right="-7"/>
        <w:rPr>
          <w:rFonts w:ascii="ArialMT" w:hAnsi="ArialMT" w:cs="ArialMT"/>
          <w:spacing w:val="-1"/>
          <w:kern w:val="1"/>
          <w:sz w:val="24"/>
          <w:szCs w:val="24"/>
        </w:rPr>
      </w:pPr>
      <w:r>
        <w:rPr>
          <w:rFonts w:ascii="ArialMT" w:hAnsi="ArialMT" w:cs="ArialMT"/>
          <w:spacing w:val="-1"/>
          <w:kern w:val="1"/>
          <w:sz w:val="20"/>
          <w:szCs w:val="20"/>
        </w:rPr>
        <w:t>Legend(s)</w:t>
      </w:r>
    </w:p>
    <w:p w:rsidR="00000000" w:rsidRDefault="003B07CE">
      <w:pPr>
        <w:widowControl w:val="0"/>
        <w:autoSpaceDE w:val="0"/>
        <w:autoSpaceDN w:val="0"/>
        <w:adjustRightInd w:val="0"/>
        <w:spacing w:after="0" w:line="360" w:lineRule="auto"/>
        <w:ind w:left="709" w:right="-7" w:hanging="709"/>
        <w:rPr>
          <w:rFonts w:ascii="ArialMT" w:hAnsi="ArialMT" w:cs="ArialMT"/>
          <w:spacing w:val="-1"/>
          <w:kern w:val="1"/>
          <w:sz w:val="24"/>
          <w:szCs w:val="24"/>
        </w:rPr>
      </w:pPr>
    </w:p>
    <w:p w:rsidR="00000000" w:rsidRDefault="003B07CE">
      <w:pPr>
        <w:widowControl w:val="0"/>
        <w:autoSpaceDE w:val="0"/>
        <w:autoSpaceDN w:val="0"/>
        <w:adjustRightInd w:val="0"/>
        <w:spacing w:after="0" w:line="360" w:lineRule="auto"/>
        <w:ind w:right="-7"/>
        <w:rPr>
          <w:rFonts w:ascii="ArialMT" w:hAnsi="ArialMT" w:cs="ArialMT"/>
          <w:spacing w:val="-1"/>
          <w:kern w:val="1"/>
          <w:sz w:val="24"/>
          <w:szCs w:val="24"/>
        </w:rPr>
      </w:pPr>
      <w:r>
        <w:rPr>
          <w:rFonts w:ascii="ArialMT" w:hAnsi="ArialMT" w:cs="ArialMT"/>
          <w:spacing w:val="-1"/>
          <w:kern w:val="1"/>
          <w:sz w:val="20"/>
          <w:szCs w:val="20"/>
        </w:rPr>
        <w:t>Table(s)</w:t>
      </w:r>
    </w:p>
    <w:p w:rsidR="00000000" w:rsidRDefault="003B07CE">
      <w:pPr>
        <w:widowControl w:val="0"/>
        <w:autoSpaceDE w:val="0"/>
        <w:autoSpaceDN w:val="0"/>
        <w:adjustRightInd w:val="0"/>
        <w:spacing w:after="0" w:line="360" w:lineRule="auto"/>
        <w:ind w:right="-7"/>
        <w:rPr>
          <w:rFonts w:ascii="ArialMT" w:hAnsi="ArialMT" w:cs="ArialMT"/>
          <w:spacing w:val="-1"/>
          <w:kern w:val="1"/>
          <w:sz w:val="24"/>
          <w:szCs w:val="24"/>
        </w:rPr>
      </w:pPr>
    </w:p>
    <w:p w:rsidR="00000000" w:rsidRDefault="003B07CE">
      <w:pPr>
        <w:widowControl w:val="0"/>
        <w:autoSpaceDE w:val="0"/>
        <w:autoSpaceDN w:val="0"/>
        <w:adjustRightInd w:val="0"/>
        <w:spacing w:after="0" w:line="360" w:lineRule="auto"/>
        <w:ind w:right="-7"/>
        <w:rPr>
          <w:rFonts w:ascii="ArialMT" w:hAnsi="ArialMT" w:cs="ArialMT"/>
          <w:b/>
          <w:bCs/>
          <w:spacing w:val="-1"/>
          <w:kern w:val="1"/>
          <w:sz w:val="24"/>
          <w:szCs w:val="24"/>
        </w:rPr>
      </w:pPr>
      <w:r>
        <w:rPr>
          <w:rFonts w:ascii="ArialMT" w:hAnsi="ArialMT" w:cs="ArialMT"/>
          <w:spacing w:val="-1"/>
          <w:kern w:val="1"/>
          <w:sz w:val="20"/>
          <w:szCs w:val="20"/>
        </w:rPr>
        <w:t>Footnote(s)</w:t>
      </w:r>
    </w:p>
    <w:p w:rsidR="003B07CE" w:rsidRDefault="003B07CE">
      <w:pPr>
        <w:widowControl w:val="0"/>
        <w:autoSpaceDE w:val="0"/>
        <w:autoSpaceDN w:val="0"/>
        <w:adjustRightInd w:val="0"/>
        <w:spacing w:after="0" w:line="360" w:lineRule="auto"/>
        <w:ind w:right="-7"/>
        <w:rPr>
          <w:rFonts w:ascii="ArialMT" w:hAnsi="ArialMT" w:cs="ArialMT"/>
          <w:spacing w:val="-1"/>
          <w:kern w:val="1"/>
          <w:sz w:val="24"/>
          <w:szCs w:val="24"/>
        </w:rPr>
      </w:pPr>
    </w:p>
    <w:sectPr w:rsidR="003B07CE">
      <w:pgSz w:w="11900" w:h="16840"/>
      <w:pgMar w:top="851" w:right="992"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4C"/>
    <w:rsid w:val="003B07CE"/>
    <w:rsid w:val="00895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C4FDC8A-762E-4D72-9131-ED7C583A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4097</Characters>
  <Application>Microsoft Office Word</Application>
  <DocSecurity>0</DocSecurity>
  <Lines>34</Lines>
  <Paragraphs>9</Paragraphs>
  <ScaleCrop>false</ScaleCrop>
  <Company>S. Karger AG</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für Zeitschriften</dc:title>
  <dc:subject>PRO - Neue Schriften</dc:subject>
  <dc:creator>bammerle</dc:creator>
  <cp:keywords>OnlineUmbruch</cp:keywords>
  <dc:description>K:\Avor-Leo\OOP-2296-4681\OOP484322\</dc:description>
  <cp:lastModifiedBy>Rowley, Carly</cp:lastModifiedBy>
  <cp:revision>2</cp:revision>
  <dcterms:created xsi:type="dcterms:W3CDTF">2018-09-07T14:07:00Z</dcterms:created>
  <dcterms:modified xsi:type="dcterms:W3CDTF">2018-09-07T14:07:00Z</dcterms:modified>
</cp:coreProperties>
</file>