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456F" w14:textId="63D7F99A" w:rsidR="006135AA" w:rsidRDefault="00FB75DB" w:rsidP="00804CE5">
      <w:pPr>
        <w:spacing w:after="60" w:line="480" w:lineRule="auto"/>
        <w:rPr>
          <w:rFonts w:ascii="Arial" w:hAnsi="Arial" w:cs="Arial"/>
          <w:b/>
          <w:iCs/>
        </w:rPr>
      </w:pPr>
      <w:bookmarkStart w:id="0" w:name="_GoBack"/>
      <w:bookmarkEnd w:id="0"/>
      <w:r w:rsidRPr="00C36729">
        <w:rPr>
          <w:rFonts w:ascii="Arial" w:hAnsi="Arial" w:cs="Arial"/>
          <w:b/>
          <w:iCs/>
        </w:rPr>
        <w:t xml:space="preserve">A Patient-Level </w:t>
      </w:r>
      <w:r>
        <w:rPr>
          <w:rFonts w:ascii="Arial" w:hAnsi="Arial" w:cs="Arial"/>
          <w:b/>
          <w:iCs/>
        </w:rPr>
        <w:t xml:space="preserve">Pooled </w:t>
      </w:r>
      <w:r w:rsidRPr="00C36729">
        <w:rPr>
          <w:rFonts w:ascii="Arial" w:hAnsi="Arial" w:cs="Arial"/>
          <w:b/>
          <w:iCs/>
        </w:rPr>
        <w:t xml:space="preserve">Analysis </w:t>
      </w:r>
      <w:r>
        <w:rPr>
          <w:rFonts w:ascii="Arial" w:hAnsi="Arial" w:cs="Arial"/>
          <w:b/>
          <w:iCs/>
        </w:rPr>
        <w:t xml:space="preserve">of </w:t>
      </w:r>
      <w:r w:rsidR="00F77548" w:rsidRPr="00C36729">
        <w:rPr>
          <w:rFonts w:ascii="Arial" w:hAnsi="Arial" w:cs="Arial"/>
          <w:b/>
          <w:iCs/>
        </w:rPr>
        <w:t>Treatment Shortening Regimens for Drug-Susceptible Pulmonary Tuberculosis</w:t>
      </w:r>
    </w:p>
    <w:p w14:paraId="7C5DAAA5" w14:textId="77777777" w:rsidR="00507929" w:rsidRPr="00C36729" w:rsidRDefault="00507929" w:rsidP="00804CE5">
      <w:pPr>
        <w:spacing w:after="60" w:line="480" w:lineRule="auto"/>
        <w:rPr>
          <w:rFonts w:ascii="Arial" w:hAnsi="Arial" w:cs="Arial"/>
          <w:b/>
          <w:iCs/>
        </w:rPr>
      </w:pPr>
    </w:p>
    <w:p w14:paraId="067CED27" w14:textId="0A017663" w:rsidR="00B56E3B" w:rsidRDefault="00B56E3B" w:rsidP="00804CE5">
      <w:pPr>
        <w:spacing w:line="480" w:lineRule="auto"/>
        <w:rPr>
          <w:rFonts w:ascii="Arial" w:hAnsi="Arial" w:cs="Arial"/>
        </w:rPr>
      </w:pPr>
      <w:r w:rsidRPr="00C36729">
        <w:rPr>
          <w:rFonts w:ascii="Arial" w:hAnsi="Arial" w:cs="Arial"/>
        </w:rPr>
        <w:t>Marjorie Z. Imperial</w:t>
      </w:r>
      <w:r>
        <w:rPr>
          <w:rFonts w:ascii="Arial" w:hAnsi="Arial" w:cs="Arial"/>
          <w:vertAlign w:val="superscript"/>
        </w:rPr>
        <w:t>1</w:t>
      </w:r>
      <w:r w:rsidR="00E542E5">
        <w:rPr>
          <w:rFonts w:ascii="Arial" w:hAnsi="Arial" w:cs="Arial"/>
        </w:rPr>
        <w:t>*</w:t>
      </w:r>
      <w:r w:rsidRPr="00C36729">
        <w:rPr>
          <w:rFonts w:ascii="Arial" w:hAnsi="Arial" w:cs="Arial"/>
        </w:rPr>
        <w:t>, Payam Nahid</w:t>
      </w:r>
      <w:r>
        <w:rPr>
          <w:rFonts w:ascii="Arial" w:hAnsi="Arial" w:cs="Arial"/>
          <w:vertAlign w:val="superscript"/>
        </w:rPr>
        <w:t>1</w:t>
      </w:r>
      <w:r w:rsidR="00E542E5">
        <w:rPr>
          <w:rFonts w:ascii="Arial" w:hAnsi="Arial" w:cs="Arial"/>
        </w:rPr>
        <w:t>*</w:t>
      </w:r>
      <w:r w:rsidRPr="00C36729">
        <w:rPr>
          <w:rFonts w:ascii="Arial" w:hAnsi="Arial" w:cs="Arial"/>
        </w:rPr>
        <w:t>, Patrick P. J. Phillips</w:t>
      </w:r>
      <w:r>
        <w:rPr>
          <w:rFonts w:ascii="Arial" w:hAnsi="Arial" w:cs="Arial"/>
          <w:vertAlign w:val="superscript"/>
        </w:rPr>
        <w:t>1</w:t>
      </w:r>
      <w:r w:rsidRPr="00C36729">
        <w:rPr>
          <w:rFonts w:ascii="Arial" w:hAnsi="Arial" w:cs="Arial"/>
        </w:rPr>
        <w:t>, Geraint R. Davies</w:t>
      </w:r>
      <w:r>
        <w:rPr>
          <w:rFonts w:ascii="Arial" w:hAnsi="Arial" w:cs="Arial"/>
          <w:vertAlign w:val="superscript"/>
        </w:rPr>
        <w:t>2</w:t>
      </w:r>
      <w:r w:rsidRPr="00C36729">
        <w:rPr>
          <w:rFonts w:ascii="Arial" w:hAnsi="Arial" w:cs="Arial"/>
        </w:rPr>
        <w:t>, Katherine Fielding</w:t>
      </w:r>
      <w:r>
        <w:rPr>
          <w:rFonts w:ascii="Arial" w:hAnsi="Arial" w:cs="Arial"/>
          <w:vertAlign w:val="superscript"/>
        </w:rPr>
        <w:t>3</w:t>
      </w:r>
      <w:r w:rsidRPr="00C36729">
        <w:rPr>
          <w:rFonts w:ascii="Arial" w:hAnsi="Arial" w:cs="Arial"/>
        </w:rPr>
        <w:t>, Debra Hanna</w:t>
      </w:r>
      <w:r>
        <w:rPr>
          <w:rFonts w:ascii="Arial" w:hAnsi="Arial" w:cs="Arial"/>
          <w:vertAlign w:val="superscript"/>
        </w:rPr>
        <w:t>4</w:t>
      </w:r>
      <w:r w:rsidR="00AA261C">
        <w:rPr>
          <w:rFonts w:ascii="Arial" w:hAnsi="Arial" w:cs="Arial"/>
          <w:vertAlign w:val="superscript"/>
        </w:rPr>
        <w:t>,5</w:t>
      </w:r>
      <w:r w:rsidRPr="00C36729">
        <w:rPr>
          <w:rFonts w:ascii="Arial" w:hAnsi="Arial" w:cs="Arial"/>
        </w:rPr>
        <w:t>, David Hermann</w:t>
      </w:r>
      <w:r>
        <w:rPr>
          <w:rFonts w:ascii="Arial" w:hAnsi="Arial" w:cs="Arial"/>
          <w:vertAlign w:val="superscript"/>
        </w:rPr>
        <w:t>5</w:t>
      </w:r>
      <w:r w:rsidRPr="00C36729">
        <w:rPr>
          <w:rFonts w:ascii="Arial" w:hAnsi="Arial" w:cs="Arial"/>
        </w:rPr>
        <w:t>, Robert S</w:t>
      </w:r>
      <w:r>
        <w:rPr>
          <w:rFonts w:ascii="Arial" w:hAnsi="Arial" w:cs="Arial"/>
        </w:rPr>
        <w:t>.</w:t>
      </w:r>
      <w:r w:rsidRPr="00C36729">
        <w:rPr>
          <w:rFonts w:ascii="Arial" w:hAnsi="Arial" w:cs="Arial"/>
        </w:rPr>
        <w:t xml:space="preserve"> Wallis</w:t>
      </w:r>
      <w:r>
        <w:rPr>
          <w:rFonts w:ascii="Arial" w:hAnsi="Arial" w:cs="Arial"/>
          <w:vertAlign w:val="superscript"/>
        </w:rPr>
        <w:t>6</w:t>
      </w:r>
      <w:r w:rsidRPr="00C36729">
        <w:rPr>
          <w:rFonts w:ascii="Arial" w:hAnsi="Arial" w:cs="Arial"/>
        </w:rPr>
        <w:t>,</w:t>
      </w:r>
      <w:r>
        <w:rPr>
          <w:rFonts w:ascii="Arial" w:hAnsi="Arial" w:cs="Arial"/>
        </w:rPr>
        <w:t xml:space="preserve"> </w:t>
      </w:r>
      <w:r w:rsidRPr="00C36729">
        <w:rPr>
          <w:rFonts w:ascii="Arial" w:hAnsi="Arial" w:cs="Arial"/>
        </w:rPr>
        <w:t>John L. Johnson</w:t>
      </w:r>
      <w:r>
        <w:rPr>
          <w:rFonts w:ascii="Arial" w:hAnsi="Arial" w:cs="Arial"/>
          <w:vertAlign w:val="superscript"/>
        </w:rPr>
        <w:t>7</w:t>
      </w:r>
      <w:r w:rsidRPr="00C36729">
        <w:rPr>
          <w:rFonts w:ascii="Arial" w:hAnsi="Arial" w:cs="Arial"/>
        </w:rPr>
        <w:t>,</w:t>
      </w:r>
      <w:r>
        <w:rPr>
          <w:rFonts w:ascii="Arial" w:hAnsi="Arial" w:cs="Arial"/>
        </w:rPr>
        <w:t xml:space="preserve"> </w:t>
      </w:r>
      <w:r w:rsidRPr="00C36729">
        <w:rPr>
          <w:rFonts w:ascii="Arial" w:hAnsi="Arial" w:cs="Arial"/>
        </w:rPr>
        <w:t>Christ</w:t>
      </w:r>
      <w:r>
        <w:rPr>
          <w:rFonts w:ascii="Arial" w:hAnsi="Arial" w:cs="Arial"/>
        </w:rPr>
        <w:t>ia</w:t>
      </w:r>
      <w:r w:rsidRPr="00C36729">
        <w:rPr>
          <w:rFonts w:ascii="Arial" w:hAnsi="Arial" w:cs="Arial"/>
        </w:rPr>
        <w:t>n Lienhardt</w:t>
      </w:r>
      <w:r>
        <w:rPr>
          <w:rFonts w:ascii="Arial" w:hAnsi="Arial" w:cs="Arial"/>
          <w:vertAlign w:val="superscript"/>
        </w:rPr>
        <w:t>8</w:t>
      </w:r>
      <w:r w:rsidRPr="00C36729">
        <w:rPr>
          <w:rFonts w:ascii="Arial" w:hAnsi="Arial" w:cs="Arial"/>
        </w:rPr>
        <w:t>, Rada M. Savic, Ph.D.</w:t>
      </w:r>
      <w:r>
        <w:rPr>
          <w:rFonts w:ascii="Arial" w:hAnsi="Arial" w:cs="Arial"/>
          <w:vertAlign w:val="superscript"/>
        </w:rPr>
        <w:t>1</w:t>
      </w:r>
      <w:r>
        <w:rPr>
          <w:rFonts w:ascii="Arial" w:hAnsi="Arial" w:cs="Arial"/>
        </w:rPr>
        <w:t>*</w:t>
      </w:r>
      <w:r w:rsidR="00E542E5">
        <w:rPr>
          <w:rFonts w:ascii="Arial" w:hAnsi="Arial" w:cs="Arial"/>
        </w:rPr>
        <w:t>*</w:t>
      </w:r>
    </w:p>
    <w:p w14:paraId="01A29AE8" w14:textId="77777777" w:rsidR="00B56E3B" w:rsidRPr="00C36729" w:rsidRDefault="00B56E3B" w:rsidP="00804CE5">
      <w:pPr>
        <w:spacing w:line="480" w:lineRule="auto"/>
        <w:rPr>
          <w:rFonts w:ascii="Arial" w:hAnsi="Arial" w:cs="Arial"/>
        </w:rPr>
      </w:pPr>
    </w:p>
    <w:p w14:paraId="0BE4FB41" w14:textId="4DD6B2BA" w:rsidR="00E542E5" w:rsidRDefault="00B56E3B" w:rsidP="00804CE5">
      <w:pPr>
        <w:spacing w:line="480" w:lineRule="auto"/>
        <w:rPr>
          <w:rFonts w:ascii="Arial" w:hAnsi="Arial" w:cs="Arial"/>
        </w:rPr>
      </w:pPr>
      <w:r>
        <w:rPr>
          <w:rFonts w:ascii="Arial" w:hAnsi="Arial" w:cs="Arial"/>
          <w:vertAlign w:val="superscript"/>
        </w:rPr>
        <w:t>1</w:t>
      </w:r>
      <w:r w:rsidRPr="00C36729">
        <w:rPr>
          <w:rFonts w:ascii="Arial" w:hAnsi="Arial" w:cs="Arial"/>
        </w:rPr>
        <w:t>University of California, San Francisco</w:t>
      </w:r>
      <w:r>
        <w:rPr>
          <w:rFonts w:ascii="Arial" w:hAnsi="Arial" w:cs="Arial"/>
        </w:rPr>
        <w:t xml:space="preserve">, USA. </w:t>
      </w:r>
      <w:r>
        <w:rPr>
          <w:rFonts w:ascii="Arial" w:hAnsi="Arial" w:cs="Arial"/>
          <w:vertAlign w:val="superscript"/>
        </w:rPr>
        <w:t>2</w:t>
      </w:r>
      <w:r w:rsidRPr="00C36729">
        <w:rPr>
          <w:rFonts w:ascii="Arial" w:eastAsia="Times New Roman" w:hAnsi="Arial" w:cs="Arial"/>
          <w:color w:val="000000"/>
          <w:shd w:val="clear" w:color="auto" w:fill="FFFFFF"/>
        </w:rPr>
        <w:t>University of Liverpool, Liverpool</w:t>
      </w:r>
      <w:r>
        <w:rPr>
          <w:rFonts w:ascii="Arial" w:eastAsia="Times New Roman" w:hAnsi="Arial" w:cs="Arial"/>
          <w:color w:val="000000"/>
          <w:shd w:val="clear" w:color="auto" w:fill="FFFFFF"/>
        </w:rPr>
        <w:t xml:space="preserve">, UK. </w:t>
      </w:r>
      <w:r>
        <w:rPr>
          <w:rFonts w:ascii="Arial" w:eastAsia="Times New Roman" w:hAnsi="Arial" w:cs="Arial"/>
          <w:color w:val="000000"/>
          <w:shd w:val="clear" w:color="auto" w:fill="FFFFFF"/>
          <w:vertAlign w:val="superscript"/>
        </w:rPr>
        <w:t>3</w:t>
      </w:r>
      <w:r w:rsidRPr="00C36729">
        <w:rPr>
          <w:rFonts w:ascii="Arial" w:eastAsia="Times New Roman" w:hAnsi="Arial" w:cs="Arial"/>
          <w:color w:val="000000"/>
          <w:shd w:val="clear" w:color="auto" w:fill="FFFFFF"/>
        </w:rPr>
        <w:t>London School of Hygiene and Tropical Medicine, London</w:t>
      </w:r>
      <w:r>
        <w:rPr>
          <w:rFonts w:ascii="Arial" w:eastAsia="Times New Roman" w:hAnsi="Arial" w:cs="Arial"/>
          <w:color w:val="000000"/>
          <w:shd w:val="clear" w:color="auto" w:fill="FFFFFF"/>
        </w:rPr>
        <w:t xml:space="preserve">, UK. </w:t>
      </w:r>
      <w:r>
        <w:rPr>
          <w:rFonts w:ascii="Arial" w:eastAsia="Times New Roman" w:hAnsi="Arial" w:cs="Arial"/>
          <w:color w:val="000000"/>
          <w:shd w:val="clear" w:color="auto" w:fill="FFFFFF"/>
          <w:vertAlign w:val="superscript"/>
        </w:rPr>
        <w:t>4</w:t>
      </w:r>
      <w:r w:rsidRPr="00C36729">
        <w:rPr>
          <w:rFonts w:ascii="Arial" w:hAnsi="Arial" w:cs="Arial"/>
        </w:rPr>
        <w:t>Critical Path Institute, Tuscon, AZ</w:t>
      </w:r>
      <w:r>
        <w:rPr>
          <w:rFonts w:ascii="Arial" w:hAnsi="Arial" w:cs="Arial"/>
        </w:rPr>
        <w:t xml:space="preserve">, USA. </w:t>
      </w:r>
      <w:r>
        <w:rPr>
          <w:rFonts w:ascii="Arial" w:hAnsi="Arial" w:cs="Arial"/>
          <w:vertAlign w:val="superscript"/>
        </w:rPr>
        <w:t>5</w:t>
      </w:r>
      <w:r>
        <w:rPr>
          <w:rFonts w:ascii="Arial" w:hAnsi="Arial" w:cs="Arial"/>
        </w:rPr>
        <w:t xml:space="preserve">Bill and Melinda Gates Foundation, Seattle, WA, USA. </w:t>
      </w:r>
      <w:r>
        <w:rPr>
          <w:rFonts w:ascii="Arial" w:hAnsi="Arial" w:cs="Arial"/>
          <w:vertAlign w:val="superscript"/>
        </w:rPr>
        <w:t>6</w:t>
      </w:r>
      <w:r w:rsidRPr="00C36729">
        <w:rPr>
          <w:rFonts w:ascii="Arial" w:eastAsia="Times New Roman" w:hAnsi="Arial" w:cs="Arial"/>
          <w:color w:val="000000"/>
          <w:shd w:val="clear" w:color="auto" w:fill="FFFFFF"/>
        </w:rPr>
        <w:t>Aurum Institute, Johannesburg, South Africa</w:t>
      </w:r>
      <w:r>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vertAlign w:val="superscript"/>
        </w:rPr>
        <w:t>7</w:t>
      </w:r>
      <w:r w:rsidRPr="00C36729">
        <w:rPr>
          <w:rFonts w:ascii="Arial" w:hAnsi="Arial" w:cs="Arial"/>
        </w:rPr>
        <w:t>Case Western Reserve University and University Hospitals Cleveland Medical Center, O</w:t>
      </w:r>
      <w:r>
        <w:rPr>
          <w:rFonts w:ascii="Arial" w:hAnsi="Arial" w:cs="Arial"/>
        </w:rPr>
        <w:t xml:space="preserve">H, USA. </w:t>
      </w:r>
      <w:r>
        <w:rPr>
          <w:rFonts w:ascii="Arial" w:hAnsi="Arial" w:cs="Arial"/>
          <w:vertAlign w:val="superscript"/>
        </w:rPr>
        <w:t>8</w:t>
      </w:r>
      <w:r w:rsidRPr="00C36729">
        <w:rPr>
          <w:rFonts w:ascii="Arial" w:eastAsia="Times New Roman" w:hAnsi="Arial" w:cs="Arial"/>
          <w:color w:val="000000"/>
          <w:shd w:val="clear" w:color="auto" w:fill="FFFFFF"/>
        </w:rPr>
        <w:t>Global Programme for Tuberculosis, World Health Organization, Geneva, Switzerland</w:t>
      </w:r>
      <w:r>
        <w:rPr>
          <w:rFonts w:ascii="Arial" w:eastAsia="Times New Roman" w:hAnsi="Arial" w:cs="Arial"/>
          <w:color w:val="000000"/>
          <w:shd w:val="clear" w:color="auto" w:fill="FFFFFF"/>
        </w:rPr>
        <w:t xml:space="preserve">. </w:t>
      </w:r>
    </w:p>
    <w:p w14:paraId="3704665B" w14:textId="77777777" w:rsidR="004B74B5" w:rsidRDefault="004B74B5" w:rsidP="00804CE5">
      <w:pPr>
        <w:spacing w:after="60" w:line="480" w:lineRule="auto"/>
        <w:rPr>
          <w:rFonts w:ascii="Arial" w:hAnsi="Arial" w:cs="Arial"/>
        </w:rPr>
      </w:pPr>
    </w:p>
    <w:p w14:paraId="564010F8" w14:textId="2F2B9BCA" w:rsidR="007F4F64" w:rsidRDefault="00E542E5" w:rsidP="00804CE5">
      <w:pPr>
        <w:spacing w:after="60" w:line="480" w:lineRule="auto"/>
        <w:rPr>
          <w:rFonts w:ascii="Arial" w:hAnsi="Arial" w:cs="Arial"/>
        </w:rPr>
      </w:pPr>
      <w:r>
        <w:rPr>
          <w:rFonts w:ascii="Arial" w:hAnsi="Arial" w:cs="Arial"/>
        </w:rPr>
        <w:t>*Co-</w:t>
      </w:r>
      <w:r w:rsidR="004B74B5">
        <w:rPr>
          <w:rFonts w:ascii="Arial" w:hAnsi="Arial" w:cs="Arial"/>
        </w:rPr>
        <w:t>primary authors</w:t>
      </w:r>
    </w:p>
    <w:p w14:paraId="72E03F09" w14:textId="77777777" w:rsidR="004B74B5" w:rsidRPr="00C36729" w:rsidRDefault="004B74B5" w:rsidP="00804CE5">
      <w:pPr>
        <w:spacing w:after="60" w:line="480" w:lineRule="auto"/>
        <w:rPr>
          <w:rFonts w:ascii="Arial" w:eastAsia="Times New Roman" w:hAnsi="Arial" w:cs="Arial"/>
          <w:color w:val="000000"/>
          <w:shd w:val="clear" w:color="auto" w:fill="FFFFFF"/>
        </w:rPr>
      </w:pPr>
    </w:p>
    <w:p w14:paraId="62A66685" w14:textId="75F28471" w:rsidR="00507929" w:rsidRPr="00C36729" w:rsidRDefault="00375E17" w:rsidP="00804CE5">
      <w:pPr>
        <w:spacing w:line="48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w:t>
      </w:r>
      <w:r w:rsidR="00E542E5">
        <w:rPr>
          <w:rFonts w:ascii="Arial" w:eastAsia="Times New Roman" w:hAnsi="Arial" w:cs="Arial"/>
          <w:b/>
          <w:color w:val="000000"/>
          <w:shd w:val="clear" w:color="auto" w:fill="FFFFFF"/>
        </w:rPr>
        <w:t>*</w:t>
      </w:r>
      <w:r w:rsidR="00507929" w:rsidRPr="00C36729">
        <w:rPr>
          <w:rFonts w:ascii="Arial" w:eastAsia="Times New Roman" w:hAnsi="Arial" w:cs="Arial"/>
          <w:b/>
          <w:color w:val="000000"/>
          <w:shd w:val="clear" w:color="auto" w:fill="FFFFFF"/>
        </w:rPr>
        <w:t xml:space="preserve">Corresponding Author: </w:t>
      </w:r>
    </w:p>
    <w:p w14:paraId="24B7F5A1" w14:textId="77777777" w:rsidR="00507929" w:rsidRPr="00C36729" w:rsidRDefault="00507929" w:rsidP="00804CE5">
      <w:pPr>
        <w:spacing w:line="480" w:lineRule="auto"/>
        <w:rPr>
          <w:rFonts w:ascii="Arial" w:hAnsi="Arial" w:cs="Arial"/>
          <w:color w:val="000000"/>
          <w:shd w:val="clear" w:color="auto" w:fill="FFFFFF"/>
        </w:rPr>
      </w:pPr>
      <w:r w:rsidRPr="00C36729">
        <w:rPr>
          <w:rFonts w:ascii="Arial" w:hAnsi="Arial" w:cs="Arial"/>
          <w:color w:val="000000"/>
          <w:shd w:val="clear" w:color="auto" w:fill="FFFFFF"/>
        </w:rPr>
        <w:t>Rada M. Savic, Ph.D.</w:t>
      </w:r>
    </w:p>
    <w:p w14:paraId="4056D7E3" w14:textId="77777777" w:rsidR="00507929" w:rsidRPr="00C36729" w:rsidRDefault="00507929" w:rsidP="00804CE5">
      <w:pPr>
        <w:spacing w:line="480" w:lineRule="auto"/>
        <w:rPr>
          <w:rFonts w:ascii="Arial" w:hAnsi="Arial" w:cs="Arial"/>
          <w:color w:val="000000"/>
          <w:shd w:val="clear" w:color="auto" w:fill="FFFFFF"/>
        </w:rPr>
      </w:pPr>
      <w:r w:rsidRPr="00C36729">
        <w:rPr>
          <w:rFonts w:ascii="Arial" w:hAnsi="Arial" w:cs="Arial"/>
          <w:color w:val="000000"/>
          <w:shd w:val="clear" w:color="auto" w:fill="FFFFFF"/>
        </w:rPr>
        <w:t xml:space="preserve">University of California, San Francisco </w:t>
      </w:r>
    </w:p>
    <w:p w14:paraId="793F3F8A" w14:textId="3A6C44AA" w:rsidR="00507929" w:rsidRPr="00C36729" w:rsidRDefault="00507929" w:rsidP="00804CE5">
      <w:pPr>
        <w:shd w:val="clear" w:color="auto" w:fill="FFFFFF"/>
        <w:spacing w:line="480" w:lineRule="auto"/>
        <w:rPr>
          <w:rFonts w:ascii="Arial" w:hAnsi="Arial" w:cs="Arial"/>
          <w:color w:val="000000"/>
          <w:shd w:val="clear" w:color="auto" w:fill="FFFFFF"/>
        </w:rPr>
      </w:pPr>
      <w:r w:rsidRPr="00C36729">
        <w:rPr>
          <w:rFonts w:ascii="Arial" w:hAnsi="Arial" w:cs="Arial"/>
          <w:color w:val="000000"/>
          <w:shd w:val="clear" w:color="auto" w:fill="FFFFFF"/>
        </w:rPr>
        <w:t>1700 4th St, Rm 503C</w:t>
      </w:r>
      <w:r w:rsidR="007F4F64">
        <w:rPr>
          <w:rFonts w:ascii="Arial" w:hAnsi="Arial" w:cs="Arial"/>
          <w:color w:val="000000"/>
          <w:shd w:val="clear" w:color="auto" w:fill="FFFFFF"/>
        </w:rPr>
        <w:t xml:space="preserve">, </w:t>
      </w:r>
      <w:r w:rsidRPr="00C36729">
        <w:rPr>
          <w:rFonts w:ascii="Arial" w:hAnsi="Arial" w:cs="Arial"/>
          <w:color w:val="000000"/>
          <w:shd w:val="clear" w:color="auto" w:fill="FFFFFF"/>
        </w:rPr>
        <w:t>UCSF Box 2552</w:t>
      </w:r>
    </w:p>
    <w:p w14:paraId="5BC85CD1" w14:textId="51720FDC" w:rsidR="00507929" w:rsidRPr="00C36729" w:rsidRDefault="00507929" w:rsidP="00804CE5">
      <w:pPr>
        <w:shd w:val="clear" w:color="auto" w:fill="FFFFFF"/>
        <w:spacing w:line="480" w:lineRule="auto"/>
        <w:rPr>
          <w:rFonts w:ascii="Arial" w:hAnsi="Arial" w:cs="Arial"/>
          <w:color w:val="000000"/>
          <w:shd w:val="clear" w:color="auto" w:fill="FFFFFF"/>
        </w:rPr>
      </w:pPr>
      <w:r w:rsidRPr="00C36729">
        <w:rPr>
          <w:rFonts w:ascii="Arial" w:hAnsi="Arial" w:cs="Arial"/>
          <w:color w:val="000000"/>
          <w:shd w:val="clear" w:color="auto" w:fill="FFFFFF"/>
        </w:rPr>
        <w:t>San Francisco, CA 94158</w:t>
      </w:r>
      <w:r w:rsidR="007F4F64">
        <w:rPr>
          <w:rFonts w:ascii="Arial" w:hAnsi="Arial" w:cs="Arial"/>
          <w:color w:val="000000"/>
        </w:rPr>
        <w:t xml:space="preserve">, </w:t>
      </w:r>
      <w:r w:rsidRPr="00C36729">
        <w:rPr>
          <w:rFonts w:ascii="Arial" w:hAnsi="Arial" w:cs="Arial"/>
          <w:color w:val="000000"/>
        </w:rPr>
        <w:t>United States</w:t>
      </w:r>
    </w:p>
    <w:p w14:paraId="309D92E5" w14:textId="77777777" w:rsidR="00507929" w:rsidRPr="00C36729" w:rsidRDefault="00507929" w:rsidP="00804CE5">
      <w:pPr>
        <w:spacing w:line="480" w:lineRule="auto"/>
        <w:rPr>
          <w:rFonts w:ascii="Arial" w:hAnsi="Arial" w:cs="Arial"/>
          <w:color w:val="000000"/>
          <w:shd w:val="clear" w:color="auto" w:fill="FFFFFF"/>
        </w:rPr>
      </w:pPr>
      <w:r w:rsidRPr="00C36729">
        <w:rPr>
          <w:rFonts w:ascii="Arial" w:hAnsi="Arial" w:cs="Arial"/>
          <w:color w:val="000000"/>
          <w:shd w:val="clear" w:color="auto" w:fill="FFFFFF"/>
        </w:rPr>
        <w:t>Phone: +1 415 502-0640</w:t>
      </w:r>
    </w:p>
    <w:p w14:paraId="1B0F0C8F" w14:textId="7267D9A3" w:rsidR="00B56E3B" w:rsidRDefault="00507929" w:rsidP="00804CE5">
      <w:pPr>
        <w:spacing w:line="480" w:lineRule="auto"/>
        <w:rPr>
          <w:rFonts w:ascii="Arial" w:hAnsi="Arial" w:cs="Arial"/>
          <w:b/>
        </w:rPr>
      </w:pPr>
      <w:r w:rsidRPr="00C36729">
        <w:rPr>
          <w:rFonts w:ascii="Arial" w:eastAsia="Times New Roman" w:hAnsi="Arial" w:cs="Arial"/>
          <w:color w:val="000000"/>
          <w:shd w:val="clear" w:color="auto" w:fill="FFFFFF"/>
        </w:rPr>
        <w:t xml:space="preserve">Email: </w:t>
      </w:r>
      <w:r w:rsidRPr="00C36729">
        <w:rPr>
          <w:rFonts w:ascii="Arial" w:hAnsi="Arial" w:cs="Arial"/>
          <w:color w:val="000000"/>
          <w:shd w:val="clear" w:color="auto" w:fill="FFFFFF"/>
        </w:rPr>
        <w:t>rada.savic@ucsf.edu</w:t>
      </w:r>
    </w:p>
    <w:p w14:paraId="44CB4444" w14:textId="77777777" w:rsidR="00037FAA" w:rsidRDefault="00037FAA" w:rsidP="00804CE5">
      <w:pPr>
        <w:spacing w:after="60" w:line="480" w:lineRule="auto"/>
        <w:rPr>
          <w:rFonts w:ascii="Arial" w:hAnsi="Arial" w:cs="Arial"/>
          <w:b/>
        </w:rPr>
      </w:pPr>
      <w:r>
        <w:rPr>
          <w:rFonts w:ascii="Arial" w:hAnsi="Arial" w:cs="Arial"/>
          <w:b/>
        </w:rPr>
        <w:br w:type="page"/>
      </w:r>
    </w:p>
    <w:p w14:paraId="6E5EF72D" w14:textId="63CF8F65" w:rsidR="00315981" w:rsidRDefault="00315981" w:rsidP="00804CE5">
      <w:pPr>
        <w:spacing w:after="60" w:line="480" w:lineRule="auto"/>
        <w:rPr>
          <w:rFonts w:ascii="Arial" w:hAnsi="Arial" w:cs="Arial"/>
          <w:b/>
        </w:rPr>
      </w:pPr>
      <w:r>
        <w:rPr>
          <w:rFonts w:ascii="Arial" w:hAnsi="Arial" w:cs="Arial"/>
          <w:b/>
        </w:rPr>
        <w:lastRenderedPageBreak/>
        <w:t>Abstract</w:t>
      </w:r>
    </w:p>
    <w:p w14:paraId="6D3B87B3" w14:textId="54DDB636" w:rsidR="00062D75" w:rsidRPr="00062D75" w:rsidRDefault="00C83374" w:rsidP="00804CE5">
      <w:pPr>
        <w:spacing w:after="60" w:line="480" w:lineRule="auto"/>
        <w:rPr>
          <w:rFonts w:ascii="Arial" w:hAnsi="Arial" w:cs="Arial"/>
        </w:rPr>
      </w:pPr>
      <w:bookmarkStart w:id="1" w:name="_Hlk519522769"/>
      <w:r>
        <w:rPr>
          <w:rFonts w:ascii="Arial" w:hAnsi="Arial" w:cs="Arial"/>
        </w:rPr>
        <w:t>Tuberculosis kills more people than any other infectious disease. Three</w:t>
      </w:r>
      <w:r w:rsidRPr="009439D3">
        <w:rPr>
          <w:rFonts w:ascii="Arial" w:hAnsi="Arial" w:cs="Arial"/>
          <w:b/>
        </w:rPr>
        <w:t xml:space="preserve"> </w:t>
      </w:r>
      <w:r>
        <w:rPr>
          <w:rFonts w:ascii="Arial" w:hAnsi="Arial" w:cs="Arial"/>
        </w:rPr>
        <w:t xml:space="preserve">pivotal </w:t>
      </w:r>
      <w:r w:rsidR="000A7BA0">
        <w:rPr>
          <w:rFonts w:ascii="Arial" w:hAnsi="Arial" w:cs="Arial"/>
        </w:rPr>
        <w:t>trials</w:t>
      </w:r>
      <w:r w:rsidR="0097482E">
        <w:rPr>
          <w:rFonts w:ascii="Arial" w:hAnsi="Arial" w:cs="Arial"/>
        </w:rPr>
        <w:t xml:space="preserve"> testing</w:t>
      </w:r>
      <w:r w:rsidR="000A7BA0">
        <w:rPr>
          <w:rFonts w:ascii="Arial" w:hAnsi="Arial" w:cs="Arial"/>
        </w:rPr>
        <w:t xml:space="preserve"> </w:t>
      </w:r>
      <w:r w:rsidR="0097482E">
        <w:rPr>
          <w:rFonts w:ascii="Arial" w:hAnsi="Arial" w:cs="Arial"/>
        </w:rPr>
        <w:t xml:space="preserve">4-month regimens </w:t>
      </w:r>
      <w:r w:rsidR="000A7BA0">
        <w:rPr>
          <w:rFonts w:ascii="Arial" w:hAnsi="Arial" w:cs="Arial"/>
        </w:rPr>
        <w:t xml:space="preserve">failed to </w:t>
      </w:r>
      <w:r w:rsidR="0097482E">
        <w:rPr>
          <w:rFonts w:ascii="Arial" w:hAnsi="Arial" w:cs="Arial"/>
        </w:rPr>
        <w:t>meet non-inferiority margins</w:t>
      </w:r>
      <w:r>
        <w:rPr>
          <w:rFonts w:ascii="Arial" w:hAnsi="Arial" w:cs="Arial"/>
        </w:rPr>
        <w:t>, however</w:t>
      </w:r>
      <w:r w:rsidR="00BC4F83">
        <w:rPr>
          <w:rFonts w:ascii="Arial" w:hAnsi="Arial" w:cs="Arial"/>
        </w:rPr>
        <w:t>,</w:t>
      </w:r>
      <w:r>
        <w:rPr>
          <w:rFonts w:ascii="Arial" w:hAnsi="Arial" w:cs="Arial"/>
        </w:rPr>
        <w:t xml:space="preserve"> </w:t>
      </w:r>
      <w:r w:rsidR="00BA2EF2">
        <w:rPr>
          <w:rFonts w:ascii="Arial" w:hAnsi="Arial" w:cs="Arial"/>
        </w:rPr>
        <w:t xml:space="preserve">approximately </w:t>
      </w:r>
      <w:r w:rsidR="00BC4F83">
        <w:rPr>
          <w:rFonts w:ascii="Arial" w:hAnsi="Arial" w:cs="Arial"/>
        </w:rPr>
        <w:t xml:space="preserve">four fifths </w:t>
      </w:r>
      <w:r w:rsidR="0097482E">
        <w:rPr>
          <w:rFonts w:ascii="Arial" w:hAnsi="Arial" w:cs="Arial"/>
        </w:rPr>
        <w:t xml:space="preserve">of </w:t>
      </w:r>
      <w:r w:rsidR="00BA2EF2">
        <w:rPr>
          <w:rFonts w:ascii="Arial" w:hAnsi="Arial" w:cs="Arial"/>
        </w:rPr>
        <w:t>participants</w:t>
      </w:r>
      <w:r w:rsidR="0097482E">
        <w:rPr>
          <w:rFonts w:ascii="Arial" w:hAnsi="Arial" w:cs="Arial"/>
        </w:rPr>
        <w:t xml:space="preserve"> were cured</w:t>
      </w:r>
      <w:r w:rsidR="005E6712">
        <w:rPr>
          <w:rFonts w:ascii="Arial" w:hAnsi="Arial" w:cs="Arial"/>
        </w:rPr>
        <w:t>.</w:t>
      </w:r>
      <w:r w:rsidR="005C5A51">
        <w:rPr>
          <w:rFonts w:ascii="Arial" w:hAnsi="Arial" w:cs="Arial"/>
        </w:rPr>
        <w:t xml:space="preserve"> </w:t>
      </w:r>
      <w:r w:rsidR="00B3158C">
        <w:rPr>
          <w:rFonts w:ascii="Arial" w:hAnsi="Arial" w:cs="Arial"/>
        </w:rPr>
        <w:t xml:space="preserve"> </w:t>
      </w:r>
      <w:r>
        <w:rPr>
          <w:rFonts w:ascii="Arial" w:hAnsi="Arial" w:cs="Arial"/>
        </w:rPr>
        <w:t xml:space="preserve">Through a </w:t>
      </w:r>
      <w:r w:rsidR="008007DC">
        <w:rPr>
          <w:rFonts w:ascii="Arial" w:hAnsi="Arial" w:cs="Arial"/>
        </w:rPr>
        <w:t xml:space="preserve">pooled </w:t>
      </w:r>
      <w:r>
        <w:rPr>
          <w:rFonts w:ascii="Arial" w:hAnsi="Arial" w:cs="Arial"/>
        </w:rPr>
        <w:t>analysis of patient</w:t>
      </w:r>
      <w:r w:rsidR="00E868BB">
        <w:rPr>
          <w:rFonts w:ascii="Arial" w:hAnsi="Arial" w:cs="Arial"/>
        </w:rPr>
        <w:t xml:space="preserve">-level </w:t>
      </w:r>
      <w:r>
        <w:rPr>
          <w:rFonts w:ascii="Arial" w:hAnsi="Arial" w:cs="Arial"/>
        </w:rPr>
        <w:t>data</w:t>
      </w:r>
      <w:r w:rsidR="00694E49">
        <w:rPr>
          <w:rFonts w:ascii="Arial" w:hAnsi="Arial" w:cs="Arial"/>
        </w:rPr>
        <w:t xml:space="preserve"> with external validation</w:t>
      </w:r>
      <w:r>
        <w:rPr>
          <w:rFonts w:ascii="Arial" w:hAnsi="Arial" w:cs="Arial"/>
        </w:rPr>
        <w:t xml:space="preserve">, we </w:t>
      </w:r>
      <w:r w:rsidR="00BA2EF2">
        <w:rPr>
          <w:rFonts w:ascii="Arial" w:hAnsi="Arial" w:cs="Arial"/>
        </w:rPr>
        <w:t xml:space="preserve">identify </w:t>
      </w:r>
      <w:r>
        <w:rPr>
          <w:rFonts w:ascii="Arial" w:hAnsi="Arial" w:cs="Arial"/>
        </w:rPr>
        <w:t>populations eligible for 4-month treatment</w:t>
      </w:r>
      <w:r w:rsidR="00E868BB">
        <w:rPr>
          <w:rFonts w:ascii="Arial" w:hAnsi="Arial" w:cs="Arial"/>
        </w:rPr>
        <w:t xml:space="preserve">, </w:t>
      </w:r>
      <w:r>
        <w:rPr>
          <w:rFonts w:ascii="Arial" w:hAnsi="Arial" w:cs="Arial"/>
        </w:rPr>
        <w:t>phenotypes that are hard-to-treat</w:t>
      </w:r>
      <w:r w:rsidR="00483F02">
        <w:rPr>
          <w:rFonts w:ascii="Arial" w:hAnsi="Arial" w:cs="Arial"/>
        </w:rPr>
        <w:t>,</w:t>
      </w:r>
      <w:r w:rsidR="00E868BB">
        <w:rPr>
          <w:rFonts w:ascii="Arial" w:hAnsi="Arial" w:cs="Arial"/>
        </w:rPr>
        <w:t xml:space="preserve"> and</w:t>
      </w:r>
      <w:r>
        <w:rPr>
          <w:rFonts w:ascii="Arial" w:hAnsi="Arial" w:cs="Arial"/>
        </w:rPr>
        <w:t xml:space="preserve"> </w:t>
      </w:r>
      <w:r w:rsidR="00BA2EF2">
        <w:rPr>
          <w:rFonts w:ascii="Arial" w:hAnsi="Arial" w:cs="Arial"/>
        </w:rPr>
        <w:t>evaluate the</w:t>
      </w:r>
      <w:r w:rsidR="000403D0">
        <w:rPr>
          <w:rFonts w:ascii="Arial" w:hAnsi="Arial" w:cs="Arial"/>
        </w:rPr>
        <w:t xml:space="preserve"> impact of </w:t>
      </w:r>
      <w:r w:rsidR="005B50F2">
        <w:rPr>
          <w:rFonts w:ascii="Arial" w:hAnsi="Arial" w:cs="Arial"/>
        </w:rPr>
        <w:t xml:space="preserve">adherence and </w:t>
      </w:r>
      <w:r w:rsidR="000403D0">
        <w:rPr>
          <w:rFonts w:ascii="Arial" w:hAnsi="Arial" w:cs="Arial"/>
        </w:rPr>
        <w:t xml:space="preserve">dosing </w:t>
      </w:r>
      <w:r w:rsidR="005B50F2">
        <w:rPr>
          <w:rFonts w:ascii="Arial" w:hAnsi="Arial" w:cs="Arial"/>
        </w:rPr>
        <w:t>strategy</w:t>
      </w:r>
      <w:r w:rsidR="000403D0">
        <w:rPr>
          <w:rFonts w:ascii="Arial" w:hAnsi="Arial" w:cs="Arial"/>
        </w:rPr>
        <w:t xml:space="preserve"> on outcomes.</w:t>
      </w:r>
      <w:r>
        <w:rPr>
          <w:rFonts w:ascii="Arial" w:hAnsi="Arial" w:cs="Arial"/>
        </w:rPr>
        <w:t xml:space="preserve">  </w:t>
      </w:r>
      <w:r w:rsidR="005B50F2">
        <w:rPr>
          <w:rFonts w:ascii="Arial" w:hAnsi="Arial" w:cs="Arial"/>
        </w:rPr>
        <w:t xml:space="preserve">In </w:t>
      </w:r>
      <w:r w:rsidR="00D81BA2">
        <w:rPr>
          <w:rFonts w:ascii="Arial" w:hAnsi="Arial" w:cs="Arial"/>
        </w:rPr>
        <w:t>3405 participants</w:t>
      </w:r>
      <w:r w:rsidR="00694E49">
        <w:rPr>
          <w:rFonts w:ascii="Arial" w:hAnsi="Arial" w:cs="Arial"/>
        </w:rPr>
        <w:t xml:space="preserve"> </w:t>
      </w:r>
      <w:r>
        <w:rPr>
          <w:rFonts w:ascii="Arial" w:hAnsi="Arial" w:cs="Arial"/>
        </w:rPr>
        <w:t xml:space="preserve">included in </w:t>
      </w:r>
      <w:r w:rsidR="005B50F2">
        <w:rPr>
          <w:rFonts w:ascii="Arial" w:hAnsi="Arial" w:cs="Arial"/>
        </w:rPr>
        <w:t>analyses</w:t>
      </w:r>
      <w:r>
        <w:rPr>
          <w:rFonts w:ascii="Arial" w:hAnsi="Arial" w:cs="Arial"/>
        </w:rPr>
        <w:t>,</w:t>
      </w:r>
      <w:r w:rsidR="005B50F2">
        <w:rPr>
          <w:rFonts w:ascii="Arial" w:hAnsi="Arial" w:cs="Arial"/>
        </w:rPr>
        <w:t xml:space="preserve"> baseline smear grade of 3+ </w:t>
      </w:r>
      <w:r w:rsidR="00A77AE5">
        <w:rPr>
          <w:rFonts w:ascii="Arial" w:hAnsi="Arial" w:cs="Arial"/>
        </w:rPr>
        <w:t xml:space="preserve">relative to </w:t>
      </w:r>
      <w:r w:rsidR="005E6712">
        <w:rPr>
          <w:rFonts w:ascii="Arial" w:hAnsi="Arial" w:cs="Arial"/>
        </w:rPr>
        <w:t xml:space="preserve">&lt;2+, </w:t>
      </w:r>
      <w:r>
        <w:rPr>
          <w:rFonts w:ascii="Arial" w:hAnsi="Arial" w:cs="Arial"/>
        </w:rPr>
        <w:t>HIV</w:t>
      </w:r>
      <w:r w:rsidR="00E868BB">
        <w:rPr>
          <w:rFonts w:ascii="Arial" w:hAnsi="Arial" w:cs="Arial"/>
        </w:rPr>
        <w:t xml:space="preserve"> seropositivity </w:t>
      </w:r>
      <w:r>
        <w:rPr>
          <w:rFonts w:ascii="Arial" w:hAnsi="Arial" w:cs="Arial"/>
        </w:rPr>
        <w:t xml:space="preserve">and </w:t>
      </w:r>
      <w:r w:rsidR="005B50F2">
        <w:rPr>
          <w:rFonts w:ascii="Arial" w:hAnsi="Arial" w:cs="Arial"/>
        </w:rPr>
        <w:t xml:space="preserve">adherence of </w:t>
      </w:r>
      <m:oMath>
        <m:r>
          <w:rPr>
            <w:rFonts w:ascii="Cambria Math" w:hAnsi="Cambria Math" w:cs="Arial"/>
          </w:rPr>
          <m:t>≤</m:t>
        </m:r>
      </m:oMath>
      <w:r w:rsidR="005B50F2">
        <w:rPr>
          <w:rFonts w:ascii="Arial" w:hAnsi="Arial" w:cs="Arial"/>
        </w:rPr>
        <w:t>90%</w:t>
      </w:r>
      <w:r w:rsidR="00A77AE5">
        <w:rPr>
          <w:rFonts w:ascii="Arial" w:hAnsi="Arial" w:cs="Arial"/>
        </w:rPr>
        <w:t xml:space="preserve"> </w:t>
      </w:r>
      <w:r>
        <w:rPr>
          <w:rFonts w:ascii="Arial" w:hAnsi="Arial" w:cs="Arial"/>
        </w:rPr>
        <w:t xml:space="preserve">were </w:t>
      </w:r>
      <w:r w:rsidR="00E868BB">
        <w:rPr>
          <w:rFonts w:ascii="Arial" w:hAnsi="Arial" w:cs="Arial"/>
        </w:rPr>
        <w:t xml:space="preserve">significant </w:t>
      </w:r>
      <w:r>
        <w:rPr>
          <w:rFonts w:ascii="Arial" w:hAnsi="Arial" w:cs="Arial"/>
        </w:rPr>
        <w:t>risk factors</w:t>
      </w:r>
      <w:r w:rsidR="005B50F2">
        <w:rPr>
          <w:rFonts w:ascii="Arial" w:hAnsi="Arial" w:cs="Arial"/>
        </w:rPr>
        <w:t xml:space="preserve"> for unfavorable outcome</w:t>
      </w:r>
      <w:r>
        <w:rPr>
          <w:rFonts w:ascii="Arial" w:hAnsi="Arial" w:cs="Arial"/>
        </w:rPr>
        <w:t xml:space="preserve">. </w:t>
      </w:r>
      <w:r w:rsidR="00E868BB">
        <w:rPr>
          <w:rFonts w:ascii="Arial" w:hAnsi="Arial" w:cs="Arial"/>
        </w:rPr>
        <w:t>F</w:t>
      </w:r>
      <w:r>
        <w:rPr>
          <w:rFonts w:ascii="Arial" w:hAnsi="Arial" w:cs="Arial"/>
        </w:rPr>
        <w:t xml:space="preserve">our-month regimens were non-inferior in participants with minimal disease </w:t>
      </w:r>
      <w:r w:rsidR="00483F02">
        <w:rPr>
          <w:rFonts w:ascii="Arial" w:hAnsi="Arial" w:cs="Arial"/>
        </w:rPr>
        <w:t xml:space="preserve">defined by </w:t>
      </w:r>
      <w:r w:rsidR="006076A4">
        <w:rPr>
          <w:rFonts w:ascii="Arial" w:hAnsi="Arial" w:cs="Arial"/>
        </w:rPr>
        <w:t>&lt;</w:t>
      </w:r>
      <w:r w:rsidR="00002E6A">
        <w:rPr>
          <w:rFonts w:ascii="Arial" w:hAnsi="Arial" w:cs="Arial"/>
        </w:rPr>
        <w:t>2</w:t>
      </w:r>
      <w:r>
        <w:rPr>
          <w:rFonts w:ascii="Arial" w:hAnsi="Arial" w:cs="Arial"/>
        </w:rPr>
        <w:t xml:space="preserve">+ sputum smear grade or non-cavitary </w:t>
      </w:r>
      <w:r w:rsidR="00BA2EF2">
        <w:rPr>
          <w:rFonts w:ascii="Arial" w:hAnsi="Arial" w:cs="Arial"/>
        </w:rPr>
        <w:t>disease</w:t>
      </w:r>
      <w:r w:rsidRPr="009439D3">
        <w:rPr>
          <w:rFonts w:ascii="Arial" w:hAnsi="Arial" w:cs="Arial"/>
        </w:rPr>
        <w:t>.</w:t>
      </w:r>
      <w:r>
        <w:rPr>
          <w:rFonts w:ascii="Arial" w:hAnsi="Arial" w:cs="Arial"/>
        </w:rPr>
        <w:t xml:space="preserve"> A hard-to-treat phenotype, defined by high smear</w:t>
      </w:r>
      <w:r w:rsidR="00E54B64">
        <w:rPr>
          <w:rFonts w:ascii="Arial" w:hAnsi="Arial" w:cs="Arial"/>
        </w:rPr>
        <w:t xml:space="preserve"> </w:t>
      </w:r>
      <w:r w:rsidR="00BA2EF2">
        <w:rPr>
          <w:rFonts w:ascii="Arial" w:hAnsi="Arial" w:cs="Arial"/>
        </w:rPr>
        <w:t xml:space="preserve">grades </w:t>
      </w:r>
      <w:r w:rsidR="00E54B64">
        <w:rPr>
          <w:rFonts w:ascii="Arial" w:hAnsi="Arial" w:cs="Arial"/>
        </w:rPr>
        <w:t>and</w:t>
      </w:r>
      <w:r>
        <w:rPr>
          <w:rFonts w:ascii="Arial" w:hAnsi="Arial" w:cs="Arial"/>
        </w:rPr>
        <w:t xml:space="preserve"> cavitation </w:t>
      </w:r>
      <w:r w:rsidR="00C52D30">
        <w:rPr>
          <w:rFonts w:ascii="Arial" w:hAnsi="Arial" w:cs="Arial"/>
        </w:rPr>
        <w:t xml:space="preserve">may </w:t>
      </w:r>
      <w:r>
        <w:rPr>
          <w:rFonts w:ascii="Arial" w:hAnsi="Arial" w:cs="Arial"/>
        </w:rPr>
        <w:t xml:space="preserve">require </w:t>
      </w:r>
      <w:r w:rsidRPr="000D1228">
        <w:rPr>
          <w:rFonts w:ascii="Arial" w:hAnsi="Arial" w:cs="Arial"/>
        </w:rPr>
        <w:t>duration</w:t>
      </w:r>
      <w:r>
        <w:rPr>
          <w:rFonts w:ascii="Arial" w:hAnsi="Arial" w:cs="Arial"/>
        </w:rPr>
        <w:t>s &gt; 6-months to cure all</w:t>
      </w:r>
      <w:r w:rsidR="00E868BB">
        <w:rPr>
          <w:rFonts w:ascii="Arial" w:hAnsi="Arial" w:cs="Arial"/>
        </w:rPr>
        <w:t>. R</w:t>
      </w:r>
      <w:r w:rsidR="00062D75" w:rsidRPr="00062D75">
        <w:rPr>
          <w:rFonts w:ascii="Arial" w:hAnsi="Arial" w:cs="Arial"/>
        </w:rPr>
        <w:t xml:space="preserve">egimen duration can be selected with greater precision to improve outcomes, providing a stratified medicine </w:t>
      </w:r>
      <w:r w:rsidR="00694E49">
        <w:rPr>
          <w:rFonts w:ascii="Arial" w:hAnsi="Arial" w:cs="Arial"/>
        </w:rPr>
        <w:t>approach</w:t>
      </w:r>
      <w:r w:rsidR="00694E49" w:rsidRPr="00062D75">
        <w:rPr>
          <w:rFonts w:ascii="Arial" w:hAnsi="Arial" w:cs="Arial"/>
        </w:rPr>
        <w:t xml:space="preserve"> </w:t>
      </w:r>
      <w:r w:rsidR="00694E49">
        <w:rPr>
          <w:rFonts w:ascii="Arial" w:hAnsi="Arial" w:cs="Arial"/>
        </w:rPr>
        <w:t>as an alternative to</w:t>
      </w:r>
      <w:r w:rsidR="00694E49" w:rsidRPr="00062D75">
        <w:rPr>
          <w:rFonts w:ascii="Arial" w:hAnsi="Arial" w:cs="Arial"/>
        </w:rPr>
        <w:t xml:space="preserve"> </w:t>
      </w:r>
      <w:r w:rsidR="00062D75" w:rsidRPr="00062D75">
        <w:rPr>
          <w:rFonts w:ascii="Arial" w:hAnsi="Arial" w:cs="Arial"/>
        </w:rPr>
        <w:t>the “one-size-fits-all” treatment currently used worldwide</w:t>
      </w:r>
      <w:r w:rsidR="00342DFE">
        <w:rPr>
          <w:rFonts w:ascii="Arial" w:hAnsi="Arial" w:cs="Arial"/>
        </w:rPr>
        <w:t>.</w:t>
      </w:r>
      <w:r w:rsidR="00062D75" w:rsidRPr="00062D75">
        <w:rPr>
          <w:rFonts w:ascii="Arial" w:hAnsi="Arial" w:cs="Arial"/>
        </w:rPr>
        <w:t xml:space="preserve"> </w:t>
      </w:r>
    </w:p>
    <w:bookmarkEnd w:id="1"/>
    <w:p w14:paraId="5FE9B0BA" w14:textId="77777777" w:rsidR="00062D75" w:rsidRDefault="00062D75" w:rsidP="00804CE5">
      <w:pPr>
        <w:spacing w:after="60" w:line="480" w:lineRule="auto"/>
        <w:rPr>
          <w:rFonts w:ascii="Arial" w:hAnsi="Arial" w:cs="Arial"/>
        </w:rPr>
      </w:pPr>
    </w:p>
    <w:p w14:paraId="5B3C8A92" w14:textId="77777777" w:rsidR="00CC1D42" w:rsidRDefault="00CC1D42" w:rsidP="00804CE5">
      <w:pPr>
        <w:spacing w:line="480" w:lineRule="auto"/>
        <w:rPr>
          <w:rFonts w:ascii="Arial" w:hAnsi="Arial" w:cs="Arial"/>
        </w:rPr>
      </w:pPr>
    </w:p>
    <w:p w14:paraId="3C9CE51F" w14:textId="7CC9421B" w:rsidR="00CC1D42" w:rsidRDefault="00126605" w:rsidP="00804CE5">
      <w:pPr>
        <w:spacing w:line="480" w:lineRule="auto"/>
        <w:outlineLvl w:val="0"/>
        <w:rPr>
          <w:rFonts w:ascii="Arial" w:hAnsi="Arial" w:cs="Arial"/>
        </w:rPr>
      </w:pPr>
      <w:r w:rsidRPr="00FD0033">
        <w:rPr>
          <w:rFonts w:ascii="Arial" w:hAnsi="Arial"/>
        </w:rPr>
        <w:br w:type="page"/>
      </w:r>
    </w:p>
    <w:p w14:paraId="6A0EA72F" w14:textId="61383398" w:rsidR="00CC1D42" w:rsidRDefault="00126605" w:rsidP="00804CE5">
      <w:pPr>
        <w:spacing w:line="480" w:lineRule="auto"/>
        <w:outlineLvl w:val="0"/>
        <w:rPr>
          <w:rFonts w:ascii="Arial" w:hAnsi="Arial" w:cs="Arial"/>
        </w:rPr>
      </w:pPr>
      <w:r>
        <w:rPr>
          <w:rFonts w:ascii="Arial" w:hAnsi="Arial" w:cs="Arial"/>
          <w:b/>
        </w:rPr>
        <w:lastRenderedPageBreak/>
        <w:t>Introduction</w:t>
      </w:r>
    </w:p>
    <w:p w14:paraId="2839A1D4" w14:textId="1D6153FE" w:rsidR="0046176F" w:rsidRPr="00FD0033" w:rsidRDefault="0046176F" w:rsidP="00804CE5">
      <w:pPr>
        <w:spacing w:line="480" w:lineRule="auto"/>
        <w:rPr>
          <w:rFonts w:ascii="Arial" w:hAnsi="Arial"/>
        </w:rPr>
      </w:pPr>
      <w:r>
        <w:rPr>
          <w:rFonts w:ascii="Arial" w:hAnsi="Arial" w:cs="Arial"/>
        </w:rPr>
        <w:t xml:space="preserve">Three recent international randomized phase 3 trials </w:t>
      </w:r>
      <w:r w:rsidR="00056C2E">
        <w:rPr>
          <w:rFonts w:ascii="Arial" w:hAnsi="Arial" w:cs="Arial"/>
        </w:rPr>
        <w:t xml:space="preserve">evaluating </w:t>
      </w:r>
      <w:r>
        <w:rPr>
          <w:rFonts w:ascii="Arial" w:hAnsi="Arial" w:cs="Arial"/>
        </w:rPr>
        <w:t>4-month fluoroquinolone-containing regimens</w:t>
      </w:r>
      <w:r w:rsidRPr="009439D3">
        <w:rPr>
          <w:rFonts w:ascii="Arial" w:hAnsi="Arial" w:cs="Arial"/>
        </w:rPr>
        <w:t xml:space="preserve"> </w:t>
      </w:r>
      <w:r>
        <w:rPr>
          <w:rFonts w:ascii="Arial" w:hAnsi="Arial" w:cs="Arial"/>
        </w:rPr>
        <w:t>in adults with pulmonary, drug-susceptible tuberculosis (TB) failed to achieve non-inferiority as compared to the standard 6-month control regimen (OFLOTUB</w:t>
      </w:r>
      <w:r>
        <w:rPr>
          <w:rFonts w:ascii="Arial" w:hAnsi="Arial"/>
        </w:rPr>
        <w:fldChar w:fldCharType="begin" w:fldLock="1"/>
      </w:r>
      <w:r w:rsidR="00A57045">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"mendeley" : { "formattedCitation" : "&lt;sup&gt;1&lt;/sup&gt;", "plainTextFormattedCitation" : "1", "previouslyFormattedCitation" : "&lt;sup&gt;1&lt;/sup&gt;"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1</w:t>
      </w:r>
      <w:r>
        <w:rPr>
          <w:rFonts w:ascii="Arial" w:hAnsi="Arial" w:cs="Arial"/>
        </w:rPr>
        <w:fldChar w:fldCharType="end"/>
      </w:r>
      <w:r>
        <w:rPr>
          <w:rFonts w:ascii="Arial" w:hAnsi="Arial" w:cs="Arial"/>
        </w:rPr>
        <w:t>, Clinica</w:t>
      </w:r>
      <w:r w:rsidR="0068164E">
        <w:rPr>
          <w:rFonts w:ascii="Arial" w:hAnsi="Arial" w:cs="Arial"/>
        </w:rPr>
        <w:t>lTrials.gov number, NCT00216385;</w:t>
      </w:r>
      <w:r>
        <w:rPr>
          <w:rFonts w:ascii="Arial" w:hAnsi="Arial" w:cs="Arial"/>
        </w:rPr>
        <w:t xml:space="preserve"> REMoxTB</w:t>
      </w:r>
      <w:r>
        <w:rPr>
          <w:rFonts w:ascii="Arial" w:hAnsi="Arial"/>
        </w:rPr>
        <w:fldChar w:fldCharType="begin" w:fldLock="1"/>
      </w:r>
      <w:r w:rsidR="00507929">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2</w:t>
      </w:r>
      <w:r>
        <w:rPr>
          <w:rFonts w:ascii="Arial" w:hAnsi="Arial" w:cs="Arial"/>
        </w:rPr>
        <w:fldChar w:fldCharType="end"/>
      </w:r>
      <w:r>
        <w:rPr>
          <w:rFonts w:ascii="Arial" w:hAnsi="Arial" w:cs="Arial"/>
        </w:rPr>
        <w:t>, NCT00864383; RIFAQUIN</w:t>
      </w:r>
      <w:r>
        <w:rPr>
          <w:rFonts w:ascii="Arial" w:hAnsi="Arial"/>
        </w:rPr>
        <w:fldChar w:fldCharType="begin" w:fldLock="1"/>
      </w:r>
      <w:r w:rsidR="00507929">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"&lt;sup&gt;3&lt;/sup&gt;", "plainTextFormattedCitation" : "3", "previouslyFormattedCitation" : "&lt;sup&gt;3&lt;/sup&gt;"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3</w:t>
      </w:r>
      <w:r>
        <w:rPr>
          <w:rFonts w:ascii="Arial" w:hAnsi="Arial" w:cs="Arial"/>
        </w:rPr>
        <w:fldChar w:fldCharType="end"/>
      </w:r>
      <w:r>
        <w:rPr>
          <w:rFonts w:ascii="Arial" w:hAnsi="Arial" w:cs="Arial"/>
        </w:rPr>
        <w:t>, ISRCTN number, 44153044). These trials evaluated later-generation fluoroquinolones (gatifloxacin and moxifloxacin)</w:t>
      </w:r>
      <w:r w:rsidRPr="009439D3">
        <w:rPr>
          <w:rFonts w:ascii="Arial" w:hAnsi="Arial" w:cs="Arial"/>
        </w:rPr>
        <w:t>,</w:t>
      </w:r>
      <w:r>
        <w:rPr>
          <w:rFonts w:ascii="Arial" w:hAnsi="Arial" w:cs="Arial"/>
        </w:rPr>
        <w:t xml:space="preserve"> as </w:t>
      </w:r>
      <w:r w:rsidR="00056C2E">
        <w:rPr>
          <w:rFonts w:ascii="Arial" w:hAnsi="Arial" w:cs="Arial"/>
        </w:rPr>
        <w:t xml:space="preserve">single </w:t>
      </w:r>
      <w:r>
        <w:rPr>
          <w:rFonts w:ascii="Arial" w:hAnsi="Arial" w:cs="Arial"/>
        </w:rPr>
        <w:t>substitutions for ethambutol or isoniazid in multi-drug regimens with the objective of shortening treatment duration from six to four months. In</w:t>
      </w:r>
      <w:r w:rsidRPr="009439D3">
        <w:rPr>
          <w:rFonts w:ascii="Arial" w:hAnsi="Arial" w:cs="Arial"/>
        </w:rPr>
        <w:t xml:space="preserve"> </w:t>
      </w:r>
      <w:r>
        <w:rPr>
          <w:rFonts w:ascii="Arial" w:hAnsi="Arial" w:cs="Arial"/>
        </w:rPr>
        <w:t>each of the three trials, the 4-month regimen did not satisfy the criteri</w:t>
      </w:r>
      <w:r w:rsidR="00E54B64">
        <w:rPr>
          <w:rFonts w:ascii="Arial" w:hAnsi="Arial" w:cs="Arial"/>
        </w:rPr>
        <w:t>a</w:t>
      </w:r>
      <w:r>
        <w:rPr>
          <w:rFonts w:ascii="Arial" w:hAnsi="Arial" w:cs="Arial"/>
        </w:rPr>
        <w:t xml:space="preserve"> for non-inferiority. However, the experimental four-month regimens did cure </w:t>
      </w:r>
      <w:r w:rsidR="00BC4F83">
        <w:rPr>
          <w:rFonts w:ascii="Arial" w:hAnsi="Arial" w:cs="Arial"/>
        </w:rPr>
        <w:t>approximately four fifths</w:t>
      </w:r>
      <w:r>
        <w:rPr>
          <w:rFonts w:ascii="Arial" w:hAnsi="Arial" w:cs="Arial"/>
        </w:rPr>
        <w:t xml:space="preserve"> of </w:t>
      </w:r>
      <w:r w:rsidR="008031C2">
        <w:rPr>
          <w:rFonts w:ascii="Arial" w:hAnsi="Arial" w:cs="Arial"/>
        </w:rPr>
        <w:t xml:space="preserve">the </w:t>
      </w:r>
      <w:r w:rsidR="00715665">
        <w:rPr>
          <w:rFonts w:ascii="Arial" w:hAnsi="Arial" w:cs="Arial"/>
        </w:rPr>
        <w:t>participants</w:t>
      </w:r>
      <w:r w:rsidR="008031C2">
        <w:rPr>
          <w:rFonts w:ascii="Arial" w:hAnsi="Arial" w:cs="Arial"/>
        </w:rPr>
        <w:t>,</w:t>
      </w:r>
      <w:r>
        <w:rPr>
          <w:rFonts w:ascii="Arial" w:hAnsi="Arial" w:cs="Arial"/>
        </w:rPr>
        <w:t xml:space="preserve"> suggesting that a large proportion of global TB</w:t>
      </w:r>
      <w:r w:rsidRPr="009439D3">
        <w:rPr>
          <w:rFonts w:ascii="Arial" w:hAnsi="Arial" w:cs="Arial"/>
        </w:rPr>
        <w:t xml:space="preserve"> </w:t>
      </w:r>
      <w:r>
        <w:rPr>
          <w:rFonts w:ascii="Arial" w:hAnsi="Arial" w:cs="Arial"/>
        </w:rPr>
        <w:t xml:space="preserve">cases could be successfully treated with shorter </w:t>
      </w:r>
      <w:r w:rsidR="008031C2">
        <w:rPr>
          <w:rFonts w:ascii="Arial" w:hAnsi="Arial" w:cs="Arial"/>
        </w:rPr>
        <w:t>duration</w:t>
      </w:r>
      <w:r>
        <w:rPr>
          <w:rFonts w:ascii="Arial" w:hAnsi="Arial" w:cs="Arial"/>
        </w:rPr>
        <w:t>.</w:t>
      </w:r>
      <w:r>
        <w:rPr>
          <w:rFonts w:ascii="Arial" w:hAnsi="Arial"/>
        </w:rPr>
        <w:fldChar w:fldCharType="begin" w:fldLock="1"/>
      </w:r>
      <w:r w:rsidR="00A57045">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"id" : "ITEM-2",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"ITEM-2", "issue" : "23", "issued" : { "date-parts" : [ [ "2014" ] ] }, "page" : "1588-1598", "title" : "A Four-Month Gatifloxacin-Containing Regimen for Treating Tuberculosis", "type" : "article-journal", "volume" : "371" }, "uris" : [ "http://www.mendeley.com/documents/?uuid=421f0d47-b349-3913-8b4a-d782d624da4e" ] }, { "id" : "ITEM-3",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"ITEM-3",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"&lt;sup&gt;1\u20133&lt;/sup&gt;", "plainTextFormattedCitation" : "1\u20133", "previouslyFormattedCitation" : "&lt;sup&gt;1\u20133&lt;/sup&gt;"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1–3</w:t>
      </w:r>
      <w:r>
        <w:rPr>
          <w:rFonts w:ascii="Arial" w:hAnsi="Arial" w:cs="Arial"/>
        </w:rPr>
        <w:fldChar w:fldCharType="end"/>
      </w:r>
      <w:r>
        <w:rPr>
          <w:rFonts w:ascii="Arial" w:hAnsi="Arial" w:cs="Arial"/>
        </w:rPr>
        <w:t xml:space="preserve"> </w:t>
      </w:r>
    </w:p>
    <w:p w14:paraId="4601F9E9" w14:textId="77777777" w:rsidR="0046176F" w:rsidRDefault="0046176F" w:rsidP="00804CE5">
      <w:pPr>
        <w:spacing w:line="480" w:lineRule="auto"/>
        <w:rPr>
          <w:rFonts w:ascii="Arial" w:hAnsi="Arial" w:cs="Arial"/>
          <w:iCs/>
        </w:rPr>
      </w:pPr>
    </w:p>
    <w:p w14:paraId="54DD4CD0" w14:textId="628A87E3" w:rsidR="0046176F" w:rsidRDefault="0046176F" w:rsidP="00804CE5">
      <w:pPr>
        <w:spacing w:line="480" w:lineRule="auto"/>
        <w:rPr>
          <w:rFonts w:ascii="Arial" w:hAnsi="Arial" w:cs="Arial"/>
          <w:iCs/>
        </w:rPr>
      </w:pPr>
      <w:r>
        <w:rPr>
          <w:rFonts w:ascii="Arial" w:hAnsi="Arial" w:cs="Arial"/>
          <w:iCs/>
        </w:rPr>
        <w:t xml:space="preserve">Since the introduction of highly effective rifampin-based regimens in the 1970s and 1980s, the treatment of TB has been a “one-size-fits-all” paradigm, with a 6-month regimen </w:t>
      </w:r>
      <w:r w:rsidR="00E90238">
        <w:rPr>
          <w:rFonts w:ascii="Arial" w:hAnsi="Arial" w:cs="Arial"/>
          <w:iCs/>
        </w:rPr>
        <w:t xml:space="preserve">comprised </w:t>
      </w:r>
      <w:r>
        <w:rPr>
          <w:rFonts w:ascii="Arial" w:hAnsi="Arial" w:cs="Arial"/>
          <w:iCs/>
        </w:rPr>
        <w:t>of four drugs (isoniazid, rifampin, pyrazinamide and ethambutol) used for all patients with drug-susceptible pulmonary TB.</w:t>
      </w:r>
      <w:r>
        <w:rPr>
          <w:rFonts w:ascii="Arial" w:hAnsi="Arial"/>
        </w:rPr>
        <w:fldChar w:fldCharType="begin" w:fldLock="1"/>
      </w:r>
      <w:r w:rsidR="00133F3B">
        <w:rPr>
          <w:rFonts w:ascii="Arial" w:hAnsi="Arial" w:cs="Arial"/>
          <w:iCs/>
        </w:rPr>
        <w:instrText>ADDIN CSL_CITATION { "citationItems" : [ { "id" : "ITEM-1", "itemData" : { "author" : [ { "dropping-particle" : "", "family" : "Geneva: World Health Organization", "given" : "", "non-dropping-particle" : "", "parse-names" : false, "suffix" : "" } ], "container-title" : "Licence: CC BY-NC_SA 3.0 IGO", "id" : "ITEM-1", "issued" : { "date-parts" : [ [ "2017" ] ] }, "title" : "Guidelines for treatment of drug-susceptible tuberculosis and patient care, 2017 update", "type" : "article-journal" }, "uris" : [ "http://www.mendeley.com/documents/?uuid=89c571ad-9e91-328b-bd6b-8b236fd55f9e" ] }, { "id" : "ITEM-2",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"ITEM-2",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"mendeley" : { "formattedCitation" : "&lt;sup&gt;4,5&lt;/sup&gt;", "plainTextFormattedCitation" : "4,5", "previouslyFormattedCitation" : "&lt;sup&gt;4,5&lt;/sup&gt;" }, "properties" : {  }, "schema" : "https://github.com/citation-style-language/schema/raw/master/csl-citation.json" }</w:instrText>
      </w:r>
      <w:r>
        <w:rPr>
          <w:rFonts w:ascii="Arial" w:hAnsi="Arial" w:cs="Arial"/>
          <w:iCs/>
        </w:rPr>
        <w:fldChar w:fldCharType="separate"/>
      </w:r>
      <w:r w:rsidR="00507929" w:rsidRPr="00507929">
        <w:rPr>
          <w:rFonts w:ascii="Arial" w:hAnsi="Arial" w:cs="Arial"/>
          <w:iCs/>
          <w:noProof/>
          <w:vertAlign w:val="superscript"/>
        </w:rPr>
        <w:t>4,5</w:t>
      </w:r>
      <w:r>
        <w:rPr>
          <w:rFonts w:ascii="Arial" w:hAnsi="Arial" w:cs="Arial"/>
          <w:iCs/>
        </w:rPr>
        <w:fldChar w:fldCharType="end"/>
      </w:r>
      <w:r>
        <w:rPr>
          <w:rFonts w:ascii="Arial" w:hAnsi="Arial" w:cs="Arial"/>
          <w:iCs/>
        </w:rPr>
        <w:t xml:space="preserve"> </w:t>
      </w:r>
      <w:r w:rsidRPr="00226D99">
        <w:rPr>
          <w:rFonts w:ascii="Arial" w:hAnsi="Arial" w:cs="Arial"/>
          <w:iCs/>
        </w:rPr>
        <w:t xml:space="preserve"> </w:t>
      </w:r>
      <w:r>
        <w:rPr>
          <w:rFonts w:ascii="Arial" w:hAnsi="Arial" w:cs="Arial"/>
          <w:iCs/>
        </w:rPr>
        <w:t xml:space="preserve">Regimen administration is coupled with various adherence interventions </w:t>
      </w:r>
      <w:r w:rsidRPr="009439D3">
        <w:rPr>
          <w:rFonts w:ascii="Arial" w:hAnsi="Arial" w:cs="Arial"/>
          <w:iCs/>
        </w:rPr>
        <w:t>at the programmatic level</w:t>
      </w:r>
      <w:r>
        <w:rPr>
          <w:rFonts w:ascii="Arial" w:hAnsi="Arial" w:cs="Arial"/>
          <w:iCs/>
        </w:rPr>
        <w:t>, including directly observed therapy, to ensure regimen intake.</w:t>
      </w:r>
      <w:r>
        <w:rPr>
          <w:rFonts w:ascii="Arial" w:hAnsi="Arial"/>
        </w:rPr>
        <w:fldChar w:fldCharType="begin" w:fldLock="1"/>
      </w:r>
      <w:r w:rsidR="00507929">
        <w:rPr>
          <w:rFonts w:ascii="Arial" w:hAnsi="Arial" w:cs="Arial"/>
          <w:iCs/>
        </w:rPr>
        <w:instrText>ADDIN CSL_CITATION { "citationItems" : [ { "id" : "ITEM-1", "itemData" : { "author" : [ { "dropping-particle" : "", "family" : "Geneva: World Health Organization", "given" : "", "non-dropping-particle" : "", "parse-names" : false, "suffix" : "" } ], "container-title" : "Licence: CC BY-NC_SA 3.0 IGO", "id" : "ITEM-1", "issued" : { "date-parts" : [ [ "2017" ] ] }, "title" : "Guidelines for treatment of drug-susceptible tuberculosis and patient care, 2017 update", "type" : "article-journal" }, "uris" : [ "http://www.mendeley.com/documents/?uuid=89c571ad-9e91-328b-bd6b-8b236fd55f9e" ] } ], "mendeley" : { "formattedCitation" : "&lt;sup&gt;4&lt;/sup&gt;", "plainTextFormattedCitation" : "4", "previouslyFormattedCitation" : "&lt;sup&gt;4&lt;/sup&gt;" }, "properties" : {  }, "schema" : "https://github.com/citation-style-language/schema/raw/master/csl-citation.json" }</w:instrText>
      </w:r>
      <w:r>
        <w:rPr>
          <w:rFonts w:ascii="Arial" w:hAnsi="Arial" w:cs="Arial"/>
          <w:iCs/>
        </w:rPr>
        <w:fldChar w:fldCharType="separate"/>
      </w:r>
      <w:r w:rsidR="00507929" w:rsidRPr="00507929">
        <w:rPr>
          <w:rFonts w:ascii="Arial" w:hAnsi="Arial" w:cs="Arial"/>
          <w:iCs/>
          <w:noProof/>
          <w:vertAlign w:val="superscript"/>
        </w:rPr>
        <w:t>4</w:t>
      </w:r>
      <w:r>
        <w:rPr>
          <w:rFonts w:ascii="Arial" w:hAnsi="Arial" w:cs="Arial"/>
          <w:iCs/>
        </w:rPr>
        <w:fldChar w:fldCharType="end"/>
      </w:r>
      <w:r>
        <w:rPr>
          <w:rFonts w:ascii="Arial" w:hAnsi="Arial" w:cs="Arial"/>
          <w:iCs/>
        </w:rPr>
        <w:t xml:space="preserve"> In programs, the one-size-fits-all paradigm leads to under-treatment of patients with severe forms of disease, and</w:t>
      </w:r>
      <w:r w:rsidRPr="009439D3">
        <w:rPr>
          <w:rFonts w:ascii="Arial" w:hAnsi="Arial" w:cs="Arial"/>
          <w:iCs/>
        </w:rPr>
        <w:t xml:space="preserve"> </w:t>
      </w:r>
      <w:r>
        <w:rPr>
          <w:rFonts w:ascii="Arial" w:hAnsi="Arial" w:cs="Arial"/>
          <w:iCs/>
        </w:rPr>
        <w:t>entails unnecessarily long treatment with potential toxicities for</w:t>
      </w:r>
      <w:r w:rsidRPr="009439D3">
        <w:rPr>
          <w:rFonts w:ascii="Arial" w:hAnsi="Arial" w:cs="Arial"/>
          <w:iCs/>
        </w:rPr>
        <w:t xml:space="preserve"> ma</w:t>
      </w:r>
      <w:r>
        <w:rPr>
          <w:rFonts w:ascii="Arial" w:hAnsi="Arial" w:cs="Arial"/>
          <w:iCs/>
        </w:rPr>
        <w:t>ny patients in whom there is a lower disease burden, which in turn may result in increased rates of loss to follow-up.</w:t>
      </w:r>
      <w:r>
        <w:rPr>
          <w:rFonts w:ascii="Arial" w:hAnsi="Arial"/>
        </w:rPr>
        <w:fldChar w:fldCharType="begin" w:fldLock="1"/>
      </w:r>
      <w:r w:rsidR="000F28A0">
        <w:rPr>
          <w:rFonts w:ascii="Arial" w:hAnsi="Arial" w:cs="Arial"/>
          <w:iCs/>
        </w:rPr>
        <w:instrText>ADDIN CSL_CITATION { "citationItems" : [ { "id" : "ITEM-1", "itemData" : { "DOI" : "10.1016/j.rmed.2014.01.010", "ISSN" : "09546111", "PMID" : "24518046", "abstract" : "BACKGROUND We aimed to identify the 1-year relapse rate and risk factors for patients with pulmonary tuberculosis (TB) treated with a 6-month daily regimen. METHODS A total of 317 patients with pan-susceptible pulmonary TB who completed a 6-month daily course of treatment [2HRZ(E)/4HR(E)] were retrospectively analyzed. RESULTS The mean age was 50.0 \u00b1 16.8 years and men were predominant (61.2%). All of 137 adults tested for HIV were negative. Six (1.9%) cases relapsed within one year. Relapse rate was higher in patients with a positive culture after 2 months of treatment (10.0%, p = 0.049) and in patients with both a positive culture after 2 months of treatment and cavitation on initial chest radiograph (18.2%, p = 0.015), whereas relapse rate in patients with cavitation alone was comparable to that of the total population (2.7%). Among various risk factors known to increase risk of relapse, the combined variable of cavitation and positive culture at 2 months (OR = 15.56, 95% CI 2.56-98.71, p = 0.003) was only associated with increased relapse rate in a multivariate analysis. CONCLUSIONS Even with a 6-month daily treatment regimen throughout the intensive and continuation phases, the relapse rate was unacceptably high in patients with both a positive culture at 2 months of treatment and cavitation on baseline chest radiography. Intensification of treatment, such as an extension of treatment duration, should be considered in this category of patients.", "author" : [ { "dropping-particle" : "", "family" : "Jo", "given" : "Kyung-Wook", "non-dropping-particle" : "", "parse-names" : false, "suffix" : "" }, { "dropping-particle" : "", "family" : "Yoo", "given" : "Jung-Wan", "non-dropping-particle" : "", "parse-names" : false, "suffix" : "" }, { "dropping-particle" : "", "family" : "Hong", "given" : "Yoonki", "non-dropping-particle" : "", "parse-names" : false, "suffix" : "" }, { "dropping-particle" : "", "family" : "Lee", "given" : "Jae Seung", "non-dropping-particle" : "", "parse-names" : false, "suffix" : "" }, { "dropping-particle" : "", "family" : "Lee", "given" : "Sang-Do", "non-dropping-particle" : "", "parse-names" : false, "suffix" : "" }, { "dropping-particle" : "", "family" : "Kim", "given" : "Woo Sung", "non-dropping-particle" : "", "parse-names" : false, "suffix" : "" }, { "dropping-particle" : "", "family" : "Kim", "given" : "Dong Soon", "non-dropping-particle" : "", "parse-names" : false, "suffix" : "" }, { "dropping-particle" : "", "family" : "Shim", "given" : "Tae Sun", "non-dropping-particle" : "", "parse-names" : false, "suffix" : "" } ], "container-title" : "Respiratory Medicine", "id" : "ITEM-1", "issue" : "4", "issued" : { "date-parts" : [ [ "2014", "4" ] ] }, "page" : "654-659", "title" : "Risk factors for 1-year relapse of pulmonary tuberculosis treated with a 6-month daily regimen", "type" : "article-journal", "volume" : "108" }, "uris" : [ "http://www.mendeley.com/documents/?uuid=97c462f9-6c70-31f6-b5a0-0a36e678019f" ] } ], "mendeley" : { "formattedCitation" : "&lt;sup&gt;6&lt;/sup&gt;", "plainTextFormattedCitation" : "6", "previouslyFormattedCitation" : "&lt;sup&gt;6&lt;/sup&gt;" }, "properties" : {  }, "schema" : "https://github.com/citation-style-language/schema/raw/master/csl-citation.json" }</w:instrText>
      </w:r>
      <w:r>
        <w:rPr>
          <w:rFonts w:ascii="Arial" w:hAnsi="Arial" w:cs="Arial"/>
          <w:iCs/>
        </w:rPr>
        <w:fldChar w:fldCharType="separate"/>
      </w:r>
      <w:r w:rsidR="000F28A0" w:rsidRPr="000F28A0">
        <w:rPr>
          <w:rFonts w:ascii="Arial" w:hAnsi="Arial" w:cs="Arial"/>
          <w:iCs/>
          <w:noProof/>
          <w:vertAlign w:val="superscript"/>
        </w:rPr>
        <w:t>6</w:t>
      </w:r>
      <w:r>
        <w:rPr>
          <w:rFonts w:ascii="Arial" w:hAnsi="Arial" w:cs="Arial"/>
          <w:iCs/>
        </w:rPr>
        <w:fldChar w:fldCharType="end"/>
      </w:r>
      <w:r>
        <w:rPr>
          <w:rFonts w:ascii="Arial" w:hAnsi="Arial" w:cs="Arial"/>
          <w:iCs/>
        </w:rPr>
        <w:t xml:space="preserve"> In clinical trials, one-size-fits-all experimental regimens have been consistently inadequate to cure the hardest-to-treat TB patients indicating that treatment duration is a critical determinant for cure</w:t>
      </w:r>
      <w:r w:rsidR="00FE4970">
        <w:rPr>
          <w:rFonts w:ascii="Arial" w:hAnsi="Arial" w:cs="Arial"/>
          <w:iCs/>
        </w:rPr>
        <w:t>.</w:t>
      </w:r>
      <w:r w:rsidR="00507929">
        <w:rPr>
          <w:rFonts w:ascii="Arial" w:hAnsi="Arial" w:cs="Arial"/>
          <w:iCs/>
        </w:rPr>
        <w:fldChar w:fldCharType="begin" w:fldLock="1"/>
      </w:r>
      <w:r w:rsidR="000F28A0">
        <w:rPr>
          <w:rFonts w:ascii="Arial" w:hAnsi="Arial" w:cs="Arial"/>
          <w:iCs/>
        </w:rPr>
        <w:instrText>ADDIN CSL_CITATION { "citationItems" : [ { "id" : "ITEM-1", "itemData" : { "ISSN" : "0140-6736", "PMID" : "12241657", "abstract" : "BACKGROUND Rifapentine has a long half-life in serum, which suggests a possible treatment once a week for tuberculosis. We aimed to compare rifapentine and isoniazid once a week with rifampicin and isoniazid twice a week. METHODS We did a randomised, multicentre, open-label trial in the USA and Canada of HIV-negative people with drug-susceptible pulmonary tuberculosis who had completed 2 months of a 6-month treatment regimen. We randomly allocated patients directly observed treatment with either 600 mg rifapentine plus 900 mg isoniazid once a week or 600 mg rifampicin plus 900 mg isoniazid twice a week. Primary outcome was failure/relapse. Analysis was by intention to treat. FINDINGS 1004 patients were enrolled (502 per treatment group). 928 successfully completed treatment, and 803 completed the 2-year 4-month study. Crude rates of failure/relapse were 46/502 (9.2%) in those on rifapentine once a week, and 28/502 (5.6%) in those given rifampicin twice a week (relative risk 1.64, 95% CI 1.04-2.58, p=0.04). By proportional hazards regression, five characteristics were independently associated with increased risk of failure/relapse: sputum culture positive at 2 months (hazard ratio 2.8, 95% CI 1.7-4.6); cavitation on chest radiography (3.0, 1.6-5.9); being underweight (3.0, 1.8-4.9); bilateral pulmonary involvement (1.8, 1.0-3.1); and being a non-Hispanic white person (1.8, 1.1-3.0). Adjustment for imbalances in 2-month culture and cavitation diminished the association of treatment group with outcome (1.34; 0.83-2.18; p=0.23). Of participants without cavitation, rates of failure/relapse were 6/210 (2.9%) in the once a week group and 6/241 (2.5%) in the twice a week group (relative risk 1.15; 95% CI 0.38-3.50; p=0.81). Rates of adverse events and death were similar in the two treatment groups. INTERPRETATION Rifapentine once a week is safe and effective for treatment of pulmonary tuberculosis in HIV-negative people without cavitation on chest radiography. Clinical, radiographic, and microbiological data help to identify patients with tuberculosis who are at increased risk of failure or relapse when treated with either regimen.", "author" : [ { "dropping-particle" : "", "family" : "Benator", "given" : "Debra", "non-dropping-particle" : "", "parse-names" : false, "suffix" : "" }, { "dropping-particle" : "", "family" : "Bhattacharya", "given" : "Mondira", "non-dropping-particle" : "", "parse-names" : false, "suffix" : "" }, { "dropping-particle" : "", "family" : "Bozeman", "given" : "Lorna", "non-dropping-particle" : "", "parse-names" : false, "suffix" : "" }, { "dropping-particle" : "", "family" : "Burman", "given" : "William", "non-dropping-particle" : "", "parse-names" : false, "suffix" : "" }, { "dropping-particle" : "", "family" : "Cantazaro", "given" : "Antonino", "non-dropping-particle" : "", "parse-names" : false, "suffix" : "" }, { "dropping-particle" : "", "family" : "Chaisson", "given" : "Richard", "non-dropping-particle" : "", "parse-names" : false, "suffix" : "" }, { "dropping-particle" : "", "family" : "Gordin", "given" : "Fred", "non-dropping-particle" : "", "parse-names" : false, "suffix" : "" }, { "dropping-particle" : "", "family" : "Horsburgh", "given" : "C Robert", "non-dropping-particle" : "", "parse-names" : false, "suffix" : "" }, { "dropping-particle" : "", "family" : "Horton", "given" : "James", "non-dropping-particle" : "", "parse-names" : false, "suffix" : "" }, { "dropping-particle" : "", "family" : "Khan", "given" : "Awal", "non-dropping-particle" : "", "parse-names" : false, "suffix" : "" }, { "dropping-particle" : "", "family" : "Lahart", "given" : "Christopher", "non-dropping-particle" : "", "parse-names" : false, "suffix" : "" }, { "dropping-particle" : "", "family" : "Metchock", "given" : "Beverly", "non-dropping-particle" : "", "parse-names" : false, "suffix" : "" }, { "dropping-particle" : "", "family" : "Pachucki", "given" : "Constance", "non-dropping-particle" : "", "parse-names" : false, "suffix" : "" }, { "dropping-particle" : "", "family" : "Stanton", "given" : "Llewellyn", "non-dropping-particle" : "", "parse-names" : false, "suffix" : "" }, { "dropping-particle" : "", "family" : "Vernon", "given" : "Andrew", "non-dropping-particle" : "", "parse-names" : false, "suffix" : "" }, { "dropping-particle" : "", "family" : "Villarino", "given" : "M Elsa", "non-dropping-particle" : "", "parse-names" : false, "suffix" : "" }, { "dropping-particle" : "", "family" : "Wang", "given" : "Yong Chen", "non-dropping-particle" : "", "parse-names" : false, "suffix" : "" }, { "dropping-particle" : "", "family" : "Weiner", "given" : "Marc", "non-dropping-particle" : "", "parse-names" : false, "suffix" : "" }, { "dropping-particle" : "", "family" : "Weis", "given" : "Stephen", "non-dropping-particle" : "", "parse-names" : false, "suffix" : "" }, { "dropping-particle" : "", "family" : "Tuberculosis Trials Consortium", "given" : "", "non-dropping-particle" : "", "parse-names" : false, "suffix" : "" } ], "container-title" : "Lancet (London, England)", "id" : "ITEM-1", "issue" : "9332", "issued" : { "date-parts" : [ [ "2002", "8", "17" ] ] }, "page" : "528-34", "title" : "Rifapentine and isoniazid once a week versus rifampicin and isoniazid twice a week for treatment of drug-susceptible pulmonary tuberculosis in HIV-negative patients: a randomised clinical trial.", "type" : "article-journal", "volume" : "360" }, "uris" : [ "http://www.mendeley.com/documents/?uuid=f9ceaf97-06d1-3a20-83db-b2f612a10e0e" ] } ], "mendeley" : { "formattedCitation" : "&lt;sup&gt;7&lt;/sup&gt;", "plainTextFormattedCitation" : "7", "previouslyFormattedCitation" : "&lt;sup&gt;7&lt;/sup&gt;" }, "properties" : {  }, "schema" : "https://github.com/citation-style-language/schema/raw/master/csl-citation.json" }</w:instrText>
      </w:r>
      <w:r w:rsidR="00507929">
        <w:rPr>
          <w:rFonts w:ascii="Arial" w:hAnsi="Arial" w:cs="Arial"/>
          <w:iCs/>
        </w:rPr>
        <w:fldChar w:fldCharType="separate"/>
      </w:r>
      <w:r w:rsidR="000F28A0" w:rsidRPr="000F28A0">
        <w:rPr>
          <w:rFonts w:ascii="Arial" w:hAnsi="Arial" w:cs="Arial"/>
          <w:iCs/>
          <w:noProof/>
          <w:vertAlign w:val="superscript"/>
        </w:rPr>
        <w:t>7</w:t>
      </w:r>
      <w:r w:rsidR="00507929">
        <w:rPr>
          <w:rFonts w:ascii="Arial" w:hAnsi="Arial" w:cs="Arial"/>
          <w:iCs/>
        </w:rPr>
        <w:fldChar w:fldCharType="end"/>
      </w:r>
      <w:r w:rsidR="00FE4970">
        <w:rPr>
          <w:rFonts w:ascii="Arial" w:hAnsi="Arial" w:cs="Arial"/>
          <w:iCs/>
        </w:rPr>
        <w:t xml:space="preserve"> </w:t>
      </w:r>
      <w:r>
        <w:rPr>
          <w:rFonts w:ascii="Arial" w:hAnsi="Arial" w:cs="Arial"/>
          <w:iCs/>
        </w:rPr>
        <w:t>Moreover, even for the standard 6-month regimen, based on the recent trials  5-8% of patients fail treatment or relapse, and 15-20% experience composite unfavorable outcomes.</w:t>
      </w:r>
      <w:r>
        <w:rPr>
          <w:rFonts w:ascii="Arial" w:hAnsi="Arial"/>
        </w:rPr>
        <w:fldChar w:fldCharType="begin" w:fldLock="1"/>
      </w:r>
      <w:r w:rsidR="00A57045">
        <w:rPr>
          <w:rFonts w:ascii="Arial" w:hAnsi="Arial" w:cs="Arial"/>
          <w:iCs/>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"ITEM-2", "issue" : "17", "issued" : { "date-parts" : [ [ "2014" ] ] }, "note" : "supplementary", "page" : "1599-1608", "title" : "High-Dose Rifapentine with Moxifloxacin for Pulmonary Tuberculosis", "type" : "article-journal", "volume" : "371" }, "uris" : [ "http://www.mendeley.com/documents/?uuid=6e460265-06c7-4572-b217-3783f8a42ff5" ] }, { "id" : "ITEM-3",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"ITEM-3", "issue" : "17", "issued" : { "date-parts" : [ [ "2014" ] ] }, "note" : "protocol", "page" : "1577-1587", "title" : "Four-Month Moxifloxacin-Based Regimens for Drug-Sensitive Tuberculosis", "type" : "article-journal", "volume" : "371" }, "uris" : [ "http://www.mendeley.com/documents/?uuid=17bfccc4-ae6c-4d94-8f68-f851bb5d6b42" ] }, { "id" : "ITEM-4", "itemData" : { "URL" : "https://clinicaltrials.gov/ct2/show/NCT02410772", "id" : "ITEM-4", "issued" : { "date-parts" : [ [ "0" ] ] }, "title" : "TBTC Study 31: Rifapentine-containing Tuberculosis Treatment Shortening Regimens", "type" : "webpage" }, "uris" : [ "http://www.mendeley.com/documents/?uuid=69a48833-0b66-350e-a9a8-331e09d56279" ] } ], "mendeley" : { "formattedCitation" : "&lt;sup&gt;1\u20133,8&lt;/sup&gt;", "plainTextFormattedCitation" : "1\u20133,8", "previouslyFormattedCitation" : "&lt;sup&gt;1\u20133,8&lt;/sup&gt;" }, "properties" : {  }, "schema" : "https://github.com/citation-style-language/schema/raw/master/csl-citation.json" }</w:instrText>
      </w:r>
      <w:r>
        <w:rPr>
          <w:rFonts w:ascii="Arial" w:hAnsi="Arial" w:cs="Arial"/>
          <w:iCs/>
        </w:rPr>
        <w:fldChar w:fldCharType="separate"/>
      </w:r>
      <w:r w:rsidR="000F28A0" w:rsidRPr="000F28A0">
        <w:rPr>
          <w:rFonts w:ascii="Arial" w:hAnsi="Arial" w:cs="Arial"/>
          <w:iCs/>
          <w:noProof/>
          <w:vertAlign w:val="superscript"/>
        </w:rPr>
        <w:t>1–3,8</w:t>
      </w:r>
      <w:r>
        <w:rPr>
          <w:rFonts w:ascii="Arial" w:hAnsi="Arial" w:cs="Arial"/>
          <w:iCs/>
        </w:rPr>
        <w:fldChar w:fldCharType="end"/>
      </w:r>
      <w:r>
        <w:rPr>
          <w:rFonts w:ascii="Arial" w:hAnsi="Arial" w:cs="Arial"/>
          <w:iCs/>
        </w:rPr>
        <w:t xml:space="preserve"> TB is not a uniform clinical entity, and presents with wide variation in severity of disease at the time of diagnosis</w:t>
      </w:r>
      <w:r w:rsidR="00584670">
        <w:rPr>
          <w:rFonts w:ascii="Arial" w:hAnsi="Arial" w:cs="Arial"/>
          <w:iCs/>
        </w:rPr>
        <w:t>. Yet, c</w:t>
      </w:r>
      <w:r>
        <w:rPr>
          <w:rFonts w:ascii="Arial" w:hAnsi="Arial" w:cs="Arial"/>
          <w:iCs/>
        </w:rPr>
        <w:t xml:space="preserve">urrent TB </w:t>
      </w:r>
      <w:r w:rsidR="00056C2E">
        <w:rPr>
          <w:rFonts w:ascii="Arial" w:hAnsi="Arial" w:cs="Arial"/>
          <w:iCs/>
        </w:rPr>
        <w:t xml:space="preserve">regimen </w:t>
      </w:r>
      <w:r>
        <w:rPr>
          <w:rFonts w:ascii="Arial" w:hAnsi="Arial" w:cs="Arial"/>
          <w:iCs/>
        </w:rPr>
        <w:t xml:space="preserve">development efforts are aimed at </w:t>
      </w:r>
      <w:r w:rsidR="00056C2E">
        <w:rPr>
          <w:rFonts w:ascii="Arial" w:hAnsi="Arial" w:cs="Arial"/>
          <w:iCs/>
        </w:rPr>
        <w:t>using new drugs with increased potency</w:t>
      </w:r>
      <w:r w:rsidR="00056C2E" w:rsidDel="00056C2E">
        <w:rPr>
          <w:rFonts w:ascii="Arial" w:hAnsi="Arial" w:cs="Arial"/>
          <w:iCs/>
        </w:rPr>
        <w:t xml:space="preserve"> </w:t>
      </w:r>
      <w:r w:rsidR="00056C2E">
        <w:rPr>
          <w:rFonts w:ascii="Arial" w:hAnsi="Arial" w:cs="Arial"/>
          <w:iCs/>
        </w:rPr>
        <w:t xml:space="preserve">to identify shorter </w:t>
      </w:r>
      <w:r>
        <w:rPr>
          <w:rFonts w:ascii="Arial" w:hAnsi="Arial" w:cs="Arial"/>
          <w:iCs/>
        </w:rPr>
        <w:lastRenderedPageBreak/>
        <w:t>treatment</w:t>
      </w:r>
      <w:r w:rsidR="00056C2E">
        <w:rPr>
          <w:rFonts w:ascii="Arial" w:hAnsi="Arial" w:cs="Arial"/>
          <w:iCs/>
        </w:rPr>
        <w:t>s</w:t>
      </w:r>
      <w:r>
        <w:rPr>
          <w:rFonts w:ascii="Arial" w:hAnsi="Arial" w:cs="Arial"/>
          <w:iCs/>
        </w:rPr>
        <w:t xml:space="preserve"> for all patients</w:t>
      </w:r>
      <w:r w:rsidR="00056C2E">
        <w:rPr>
          <w:rFonts w:ascii="Arial" w:hAnsi="Arial" w:cs="Arial"/>
          <w:iCs/>
        </w:rPr>
        <w:t>, regardless of severity of disease</w:t>
      </w:r>
      <w:r>
        <w:rPr>
          <w:rFonts w:ascii="Arial" w:hAnsi="Arial" w:cs="Arial"/>
          <w:iCs/>
        </w:rPr>
        <w:t xml:space="preserve">. </w:t>
      </w:r>
      <w:r w:rsidR="003F3938">
        <w:rPr>
          <w:rFonts w:ascii="Arial" w:hAnsi="Arial" w:cs="Arial"/>
          <w:iCs/>
        </w:rPr>
        <w:t xml:space="preserve">This approach places otherwise </w:t>
      </w:r>
      <w:r w:rsidR="00056C2E">
        <w:rPr>
          <w:rFonts w:ascii="Arial" w:hAnsi="Arial" w:cs="Arial"/>
          <w:iCs/>
        </w:rPr>
        <w:t xml:space="preserve">efficacious </w:t>
      </w:r>
      <w:r>
        <w:rPr>
          <w:rFonts w:ascii="Arial" w:hAnsi="Arial" w:cs="Arial"/>
          <w:iCs/>
        </w:rPr>
        <w:t xml:space="preserve">drugs </w:t>
      </w:r>
      <w:r w:rsidR="00056C2E">
        <w:rPr>
          <w:rFonts w:ascii="Arial" w:hAnsi="Arial" w:cs="Arial"/>
          <w:iCs/>
        </w:rPr>
        <w:t xml:space="preserve">and regimens </w:t>
      </w:r>
      <w:r w:rsidR="003F3938">
        <w:rPr>
          <w:rFonts w:ascii="Arial" w:hAnsi="Arial" w:cs="Arial"/>
          <w:iCs/>
        </w:rPr>
        <w:t>at risk of being abandoned, consequently</w:t>
      </w:r>
      <w:r w:rsidR="00A94BE1">
        <w:rPr>
          <w:rFonts w:ascii="Arial" w:hAnsi="Arial" w:cs="Arial"/>
          <w:iCs/>
        </w:rPr>
        <w:t xml:space="preserve"> </w:t>
      </w:r>
      <w:r>
        <w:rPr>
          <w:rFonts w:ascii="Arial" w:hAnsi="Arial" w:cs="Arial"/>
          <w:iCs/>
        </w:rPr>
        <w:t xml:space="preserve">impeding the identification of new TB regimens that are curative if used with greater precision.   </w:t>
      </w:r>
    </w:p>
    <w:p w14:paraId="48D8BA5A" w14:textId="77777777" w:rsidR="0046176F" w:rsidRDefault="0046176F" w:rsidP="00804CE5">
      <w:pPr>
        <w:spacing w:line="480" w:lineRule="auto"/>
        <w:rPr>
          <w:rFonts w:ascii="Arial" w:hAnsi="Arial" w:cs="Arial"/>
        </w:rPr>
      </w:pPr>
    </w:p>
    <w:p w14:paraId="3D71F306" w14:textId="184C1694" w:rsidR="0046176F" w:rsidRDefault="0046176F" w:rsidP="00804CE5">
      <w:pPr>
        <w:spacing w:line="480" w:lineRule="auto"/>
        <w:rPr>
          <w:rFonts w:ascii="Arial" w:hAnsi="Arial" w:cs="Arial"/>
        </w:rPr>
      </w:pPr>
      <w:r>
        <w:rPr>
          <w:rFonts w:ascii="Arial" w:hAnsi="Arial" w:cs="Arial"/>
        </w:rPr>
        <w:t xml:space="preserve">In this </w:t>
      </w:r>
      <w:r>
        <w:rPr>
          <w:rFonts w:ascii="Arial" w:hAnsi="Arial" w:cs="Arial"/>
          <w:iCs/>
        </w:rPr>
        <w:t>pooled analysis of individual</w:t>
      </w:r>
      <w:r w:rsidR="00386CDA">
        <w:rPr>
          <w:rFonts w:ascii="Arial" w:hAnsi="Arial" w:cs="Arial"/>
          <w:iCs/>
        </w:rPr>
        <w:t xml:space="preserve"> </w:t>
      </w:r>
      <w:r>
        <w:rPr>
          <w:rFonts w:ascii="Arial" w:hAnsi="Arial" w:cs="Arial"/>
          <w:iCs/>
        </w:rPr>
        <w:t xml:space="preserve">patient datasets from these high-quality, contemporary trials, we sought to identify characteristics of those patients who </w:t>
      </w:r>
      <w:r w:rsidR="008031C2">
        <w:rPr>
          <w:rFonts w:ascii="Arial" w:hAnsi="Arial" w:cs="Arial"/>
          <w:iCs/>
        </w:rPr>
        <w:t xml:space="preserve">were cured </w:t>
      </w:r>
      <w:r>
        <w:rPr>
          <w:rFonts w:ascii="Arial" w:hAnsi="Arial" w:cs="Arial"/>
          <w:iCs/>
        </w:rPr>
        <w:t xml:space="preserve"> with 4-month regimens and conversely those with </w:t>
      </w:r>
      <w:r>
        <w:rPr>
          <w:rFonts w:ascii="Arial" w:hAnsi="Arial" w:cs="Arial"/>
        </w:rPr>
        <w:t>hard-to-treat phenotypes of TB</w:t>
      </w:r>
      <w:r w:rsidR="00087B57">
        <w:rPr>
          <w:rFonts w:ascii="Arial" w:hAnsi="Arial" w:cs="Arial"/>
        </w:rPr>
        <w:t xml:space="preserve"> </w:t>
      </w:r>
      <w:r>
        <w:rPr>
          <w:rFonts w:ascii="Arial" w:hAnsi="Arial" w:cs="Arial"/>
        </w:rPr>
        <w:t xml:space="preserve"> </w:t>
      </w:r>
      <w:r w:rsidR="00087B57">
        <w:rPr>
          <w:rFonts w:ascii="Arial" w:hAnsi="Arial" w:cs="Arial"/>
        </w:rPr>
        <w:t xml:space="preserve">who </w:t>
      </w:r>
      <w:r>
        <w:rPr>
          <w:rFonts w:ascii="Arial" w:hAnsi="Arial" w:cs="Arial"/>
        </w:rPr>
        <w:t>might</w:t>
      </w:r>
      <w:r>
        <w:rPr>
          <w:rFonts w:ascii="Arial" w:hAnsi="Arial" w:cs="Arial"/>
          <w:iCs/>
        </w:rPr>
        <w:t xml:space="preserve"> require longer treatment duration</w:t>
      </w:r>
      <w:r w:rsidR="00D84EFD">
        <w:rPr>
          <w:rFonts w:ascii="Arial" w:hAnsi="Arial" w:cs="Arial"/>
          <w:iCs/>
        </w:rPr>
        <w:t>s</w:t>
      </w:r>
      <w:r>
        <w:rPr>
          <w:rFonts w:ascii="Arial" w:hAnsi="Arial" w:cs="Arial"/>
          <w:iCs/>
        </w:rPr>
        <w:t xml:space="preserve">. We evaluated </w:t>
      </w:r>
      <w:r w:rsidR="00FA598C">
        <w:rPr>
          <w:rFonts w:ascii="Arial" w:hAnsi="Arial" w:cs="Arial"/>
          <w:iCs/>
        </w:rPr>
        <w:t xml:space="preserve">both </w:t>
      </w:r>
      <w:r>
        <w:rPr>
          <w:rFonts w:ascii="Arial" w:hAnsi="Arial" w:cs="Arial"/>
          <w:iCs/>
        </w:rPr>
        <w:t xml:space="preserve">baseline characteristics </w:t>
      </w:r>
      <w:r w:rsidR="00FA598C">
        <w:rPr>
          <w:rFonts w:ascii="Arial" w:hAnsi="Arial" w:cs="Arial"/>
          <w:iCs/>
        </w:rPr>
        <w:t xml:space="preserve">as well as </w:t>
      </w:r>
      <w:r>
        <w:rPr>
          <w:rFonts w:ascii="Arial" w:hAnsi="Arial" w:cs="Arial"/>
          <w:iCs/>
        </w:rPr>
        <w:t>on</w:t>
      </w:r>
      <w:r w:rsidR="00FA598C">
        <w:rPr>
          <w:rFonts w:ascii="Arial" w:hAnsi="Arial" w:cs="Arial"/>
          <w:iCs/>
        </w:rPr>
        <w:t>-</w:t>
      </w:r>
      <w:r>
        <w:rPr>
          <w:rFonts w:ascii="Arial" w:hAnsi="Arial" w:cs="Arial"/>
          <w:iCs/>
        </w:rPr>
        <w:t>treatment markers of risk</w:t>
      </w:r>
      <w:r w:rsidR="00FA598C">
        <w:rPr>
          <w:rFonts w:ascii="Arial" w:hAnsi="Arial" w:cs="Arial"/>
          <w:iCs/>
        </w:rPr>
        <w:t xml:space="preserve">, including dosing frequency and adherence, </w:t>
      </w:r>
      <w:r>
        <w:rPr>
          <w:rFonts w:ascii="Arial" w:hAnsi="Arial" w:cs="Arial"/>
          <w:iCs/>
        </w:rPr>
        <w:t xml:space="preserve">for their ability to stratify the </w:t>
      </w:r>
      <w:r w:rsidR="00D84EFD">
        <w:rPr>
          <w:rFonts w:ascii="Arial" w:hAnsi="Arial" w:cs="Arial"/>
          <w:iCs/>
        </w:rPr>
        <w:t>study population</w:t>
      </w:r>
      <w:r w:rsidR="00D6149F">
        <w:rPr>
          <w:rFonts w:ascii="Arial" w:hAnsi="Arial" w:cs="Arial"/>
          <w:iCs/>
        </w:rPr>
        <w:t xml:space="preserve"> </w:t>
      </w:r>
      <w:r>
        <w:rPr>
          <w:rFonts w:ascii="Arial" w:hAnsi="Arial" w:cs="Arial"/>
          <w:iCs/>
        </w:rPr>
        <w:t>into easy-</w:t>
      </w:r>
      <w:r w:rsidR="007A709C">
        <w:rPr>
          <w:rFonts w:ascii="Arial" w:hAnsi="Arial" w:cs="Arial"/>
          <w:iCs/>
        </w:rPr>
        <w:t xml:space="preserve"> </w:t>
      </w:r>
      <w:r>
        <w:rPr>
          <w:rFonts w:ascii="Arial" w:hAnsi="Arial" w:cs="Arial"/>
          <w:iCs/>
        </w:rPr>
        <w:t>or hard-to-treat phenotypes</w:t>
      </w:r>
      <w:r w:rsidR="00D84EFD">
        <w:rPr>
          <w:rFonts w:ascii="Arial" w:hAnsi="Arial" w:cs="Arial"/>
          <w:iCs/>
        </w:rPr>
        <w:t xml:space="preserve"> of TB</w:t>
      </w:r>
      <w:r>
        <w:rPr>
          <w:rFonts w:ascii="Arial" w:hAnsi="Arial" w:cs="Arial"/>
          <w:iCs/>
        </w:rPr>
        <w:t>.</w:t>
      </w:r>
      <w:r w:rsidR="00FA598C">
        <w:rPr>
          <w:rFonts w:ascii="Arial" w:hAnsi="Arial" w:cs="Arial"/>
          <w:iCs/>
        </w:rPr>
        <w:t xml:space="preserve"> </w:t>
      </w:r>
    </w:p>
    <w:p w14:paraId="7D83CAA1" w14:textId="386F297B" w:rsidR="00CC1D42" w:rsidRDefault="00B51129" w:rsidP="00804CE5">
      <w:pPr>
        <w:spacing w:line="480" w:lineRule="auto"/>
        <w:rPr>
          <w:rFonts w:ascii="Arial" w:hAnsi="Arial" w:cs="Arial"/>
          <w:b/>
        </w:rPr>
      </w:pPr>
      <w:r w:rsidRPr="009439D3">
        <w:rPr>
          <w:rFonts w:ascii="Arial" w:hAnsi="Arial" w:cs="Arial"/>
        </w:rPr>
        <w:br w:type="page"/>
      </w:r>
      <w:r w:rsidR="00126605">
        <w:rPr>
          <w:rFonts w:ascii="Arial" w:hAnsi="Arial" w:cs="Arial"/>
          <w:b/>
        </w:rPr>
        <w:lastRenderedPageBreak/>
        <w:t>Results</w:t>
      </w:r>
    </w:p>
    <w:p w14:paraId="440177C0" w14:textId="77777777" w:rsidR="00CC1D42" w:rsidRDefault="00126605" w:rsidP="00804CE5">
      <w:pPr>
        <w:spacing w:line="480" w:lineRule="auto"/>
        <w:outlineLvl w:val="0"/>
        <w:rPr>
          <w:rFonts w:ascii="Arial" w:hAnsi="Arial" w:cs="Arial"/>
          <w:b/>
        </w:rPr>
      </w:pPr>
      <w:r>
        <w:rPr>
          <w:rFonts w:ascii="Arial" w:hAnsi="Arial" w:cs="Arial"/>
          <w:b/>
        </w:rPr>
        <w:t xml:space="preserve">Study Participants </w:t>
      </w:r>
    </w:p>
    <w:p w14:paraId="075BE4EF" w14:textId="6274B2E4" w:rsidR="00CC1D42" w:rsidRPr="00FD0033" w:rsidRDefault="00126605" w:rsidP="00804CE5">
      <w:pPr>
        <w:spacing w:line="480" w:lineRule="auto"/>
        <w:rPr>
          <w:rFonts w:ascii="Arial" w:hAnsi="Arial"/>
        </w:rPr>
      </w:pPr>
      <w:r>
        <w:rPr>
          <w:rFonts w:ascii="Arial" w:hAnsi="Arial" w:cs="Arial"/>
        </w:rPr>
        <w:t>A total of 3411 study participants treated for drug susceptible tuberculosis with one of four fluoroquinolone</w:t>
      </w:r>
      <w:r w:rsidR="00A82DCE">
        <w:rPr>
          <w:rFonts w:ascii="Arial" w:hAnsi="Arial" w:cs="Arial"/>
        </w:rPr>
        <w:t>-</w:t>
      </w:r>
      <w:r>
        <w:rPr>
          <w:rFonts w:ascii="Arial" w:hAnsi="Arial" w:cs="Arial"/>
        </w:rPr>
        <w:t>containing 4-month regimens</w:t>
      </w:r>
      <w:r w:rsidR="00D97431">
        <w:rPr>
          <w:rFonts w:ascii="Arial" w:hAnsi="Arial" w:cs="Arial"/>
        </w:rPr>
        <w:t xml:space="preserve"> (n=2001)</w:t>
      </w:r>
      <w:r>
        <w:rPr>
          <w:rFonts w:ascii="Arial" w:hAnsi="Arial" w:cs="Arial"/>
        </w:rPr>
        <w:t xml:space="preserve"> or</w:t>
      </w:r>
      <w:r w:rsidR="003B146D">
        <w:rPr>
          <w:rFonts w:ascii="Arial" w:hAnsi="Arial" w:cs="Arial"/>
        </w:rPr>
        <w:t xml:space="preserve"> </w:t>
      </w:r>
      <w:r>
        <w:rPr>
          <w:rFonts w:ascii="Arial" w:hAnsi="Arial" w:cs="Arial"/>
        </w:rPr>
        <w:t xml:space="preserve">the standard 6-month regimen </w:t>
      </w:r>
      <w:r w:rsidR="00D97431">
        <w:rPr>
          <w:rFonts w:ascii="Arial" w:hAnsi="Arial" w:cs="Arial"/>
        </w:rPr>
        <w:t xml:space="preserve">(n=1404) </w:t>
      </w:r>
      <w:r>
        <w:rPr>
          <w:rFonts w:ascii="Arial" w:hAnsi="Arial" w:cs="Arial"/>
        </w:rPr>
        <w:t xml:space="preserve">were included in the </w:t>
      </w:r>
      <w:r w:rsidR="008031C2">
        <w:rPr>
          <w:rFonts w:ascii="Arial" w:hAnsi="Arial" w:cs="Arial"/>
        </w:rPr>
        <w:t>modefiied intention to treat (</w:t>
      </w:r>
      <w:r>
        <w:rPr>
          <w:rFonts w:ascii="Arial" w:hAnsi="Arial" w:cs="Arial"/>
        </w:rPr>
        <w:t>MITT</w:t>
      </w:r>
      <w:r w:rsidR="008031C2">
        <w:rPr>
          <w:rFonts w:ascii="Arial" w:hAnsi="Arial" w:cs="Arial"/>
        </w:rPr>
        <w:t>)</w:t>
      </w:r>
      <w:r>
        <w:rPr>
          <w:rFonts w:ascii="Arial" w:hAnsi="Arial" w:cs="Arial"/>
        </w:rPr>
        <w:t xml:space="preserve"> analys</w:t>
      </w:r>
      <w:r w:rsidR="003623EE">
        <w:rPr>
          <w:rFonts w:ascii="Arial" w:hAnsi="Arial" w:cs="Arial"/>
        </w:rPr>
        <w:t>e</w:t>
      </w:r>
      <w:r>
        <w:rPr>
          <w:rFonts w:ascii="Arial" w:hAnsi="Arial" w:cs="Arial"/>
        </w:rPr>
        <w:t xml:space="preserve">s of the </w:t>
      </w:r>
      <w:r w:rsidR="003623EE">
        <w:rPr>
          <w:rFonts w:ascii="Arial" w:hAnsi="Arial" w:cs="Arial"/>
        </w:rPr>
        <w:t>OFLOTUB</w:t>
      </w:r>
      <w:r w:rsidR="00B56E3B">
        <w:rPr>
          <w:rFonts w:ascii="Arial" w:hAnsi="Arial" w:cs="Arial"/>
        </w:rPr>
        <w:fldChar w:fldCharType="begin" w:fldLock="1"/>
      </w:r>
      <w:r w:rsidR="00A57045">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"mendeley" : { "formattedCitation" : "&lt;sup&gt;1&lt;/sup&gt;", "plainTextFormattedCitation" : "1", "previouslyFormattedCitation" : "&lt;sup&gt;1&lt;/sup&gt;"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1</w:t>
      </w:r>
      <w:r w:rsidR="00B56E3B">
        <w:rPr>
          <w:rFonts w:ascii="Arial" w:hAnsi="Arial" w:cs="Arial"/>
        </w:rPr>
        <w:fldChar w:fldCharType="end"/>
      </w:r>
      <w:r w:rsidR="003623EE">
        <w:rPr>
          <w:rFonts w:ascii="Arial" w:hAnsi="Arial" w:cs="Arial"/>
        </w:rPr>
        <w:t xml:space="preserve">, </w:t>
      </w:r>
      <w:r>
        <w:rPr>
          <w:rFonts w:ascii="Arial" w:hAnsi="Arial" w:cs="Arial"/>
        </w:rPr>
        <w:t>REMoxTB</w:t>
      </w:r>
      <w:r w:rsidR="00B56E3B">
        <w:rPr>
          <w:rFonts w:ascii="Arial" w:hAnsi="Arial" w:cs="Arial"/>
        </w:rPr>
        <w:fldChar w:fldCharType="begin" w:fldLock="1"/>
      </w:r>
      <w:r w:rsidR="00B56E3B">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2</w:t>
      </w:r>
      <w:r w:rsidR="00B56E3B">
        <w:rPr>
          <w:rFonts w:ascii="Arial" w:hAnsi="Arial" w:cs="Arial"/>
        </w:rPr>
        <w:fldChar w:fldCharType="end"/>
      </w:r>
      <w:r>
        <w:rPr>
          <w:rFonts w:ascii="Arial" w:hAnsi="Arial" w:cs="Arial"/>
        </w:rPr>
        <w:t xml:space="preserve">, </w:t>
      </w:r>
      <w:r w:rsidR="003623EE">
        <w:rPr>
          <w:rFonts w:ascii="Arial" w:hAnsi="Arial" w:cs="Arial"/>
        </w:rPr>
        <w:t xml:space="preserve">and </w:t>
      </w:r>
      <w:r>
        <w:rPr>
          <w:rFonts w:ascii="Arial" w:hAnsi="Arial" w:cs="Arial"/>
        </w:rPr>
        <w:t>RIFAQUIN</w:t>
      </w:r>
      <w:r w:rsidR="00B56E3B">
        <w:rPr>
          <w:rFonts w:ascii="Arial" w:hAnsi="Arial" w:cs="Arial"/>
        </w:rPr>
        <w:fldChar w:fldCharType="begin" w:fldLock="1"/>
      </w:r>
      <w:r w:rsidR="00B56E3B">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"&lt;sup&gt;3&lt;/sup&gt;", "plainTextFormattedCitation" : "3", "previouslyFormattedCitation" : "&lt;sup&gt;3&lt;/sup&gt;"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3</w:t>
      </w:r>
      <w:r w:rsidR="00B56E3B">
        <w:rPr>
          <w:rFonts w:ascii="Arial" w:hAnsi="Arial" w:cs="Arial"/>
        </w:rPr>
        <w:fldChar w:fldCharType="end"/>
      </w:r>
      <w:r>
        <w:rPr>
          <w:rFonts w:ascii="Arial" w:hAnsi="Arial" w:cs="Arial"/>
        </w:rPr>
        <w:t xml:space="preserve"> trials; six  participants were excluded from the current analyses due</w:t>
      </w:r>
      <w:r w:rsidR="002E2886">
        <w:rPr>
          <w:rFonts w:ascii="Arial" w:hAnsi="Arial" w:cs="Arial"/>
        </w:rPr>
        <w:t xml:space="preserve"> to</w:t>
      </w:r>
      <w:r>
        <w:rPr>
          <w:rFonts w:ascii="Arial" w:hAnsi="Arial" w:cs="Arial"/>
        </w:rPr>
        <w:t xml:space="preserve"> </w:t>
      </w:r>
      <w:r w:rsidR="00DC533F">
        <w:rPr>
          <w:rFonts w:ascii="Arial" w:hAnsi="Arial" w:cs="Arial"/>
        </w:rPr>
        <w:t xml:space="preserve">inability to verify </w:t>
      </w:r>
      <w:r>
        <w:rPr>
          <w:rFonts w:ascii="Arial" w:hAnsi="Arial" w:cs="Arial"/>
        </w:rPr>
        <w:t xml:space="preserve">treatment allocation </w:t>
      </w:r>
      <w:r w:rsidR="00DC533F">
        <w:rPr>
          <w:rFonts w:ascii="Arial" w:hAnsi="Arial" w:cs="Arial"/>
        </w:rPr>
        <w:t>in so</w:t>
      </w:r>
      <w:r w:rsidR="004F151C" w:rsidRPr="000A1F4E">
        <w:rPr>
          <w:rFonts w:ascii="Arial" w:hAnsi="Arial" w:cs="Arial"/>
        </w:rPr>
        <w:t>urce</w:t>
      </w:r>
      <w:r>
        <w:rPr>
          <w:rFonts w:ascii="Arial" w:hAnsi="Arial" w:cs="Arial"/>
        </w:rPr>
        <w:t xml:space="preserve"> database</w:t>
      </w:r>
      <w:r w:rsidR="008031C2">
        <w:rPr>
          <w:rFonts w:ascii="Arial" w:hAnsi="Arial" w:cs="Arial"/>
        </w:rPr>
        <w:t>s</w:t>
      </w:r>
      <w:r>
        <w:rPr>
          <w:rFonts w:ascii="Arial" w:hAnsi="Arial" w:cs="Arial"/>
        </w:rPr>
        <w:t xml:space="preserve">. The </w:t>
      </w:r>
      <w:r w:rsidR="00B56E3B">
        <w:rPr>
          <w:rFonts w:ascii="Arial" w:hAnsi="Arial" w:cs="Arial"/>
        </w:rPr>
        <w:t xml:space="preserve">external </w:t>
      </w:r>
      <w:r>
        <w:rPr>
          <w:rFonts w:ascii="Arial" w:hAnsi="Arial" w:cs="Arial"/>
        </w:rPr>
        <w:t>validation data set</w:t>
      </w:r>
      <w:r w:rsidR="00B56E3B">
        <w:rPr>
          <w:rFonts w:ascii="Arial" w:hAnsi="Arial" w:cs="Arial"/>
        </w:rPr>
        <w:t xml:space="preserve"> (DMID 01-009</w:t>
      </w:r>
      <w:r w:rsidR="00B56E3B">
        <w:rPr>
          <w:rFonts w:ascii="Arial" w:hAnsi="Arial" w:cs="Arial"/>
        </w:rPr>
        <w:fldChar w:fldCharType="begin" w:fldLock="1"/>
      </w:r>
      <w:r w:rsidR="00A57045">
        <w:rPr>
          <w:rFonts w:ascii="Arial" w:hAnsi="Arial" w:cs="Arial"/>
        </w:rPr>
        <w:instrText>ADDIN CSL_CITATION { "citationItems" : [ { "id" : "ITEM-1",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"ITEM-1",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"&lt;sup&gt;9&lt;/sup&gt;", "plainTextFormattedCitation" : "9", "previouslyFormattedCitation" : "&lt;sup&gt;9&lt;/sup&gt;"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9</w:t>
      </w:r>
      <w:r w:rsidR="00B56E3B">
        <w:rPr>
          <w:rFonts w:ascii="Arial" w:hAnsi="Arial" w:cs="Arial"/>
        </w:rPr>
        <w:fldChar w:fldCharType="end"/>
      </w:r>
      <w:r w:rsidR="00B56E3B">
        <w:rPr>
          <w:rFonts w:ascii="Arial" w:hAnsi="Arial" w:cs="Arial"/>
        </w:rPr>
        <w:t>)</w:t>
      </w:r>
      <w:r>
        <w:rPr>
          <w:rFonts w:ascii="Arial" w:hAnsi="Arial" w:cs="Arial"/>
        </w:rPr>
        <w:t xml:space="preserve"> includes 193 study participants treated with </w:t>
      </w:r>
      <w:r w:rsidR="00131D3C">
        <w:rPr>
          <w:rFonts w:ascii="Arial" w:hAnsi="Arial" w:cs="Arial"/>
        </w:rPr>
        <w:t xml:space="preserve">a </w:t>
      </w:r>
      <w:r>
        <w:rPr>
          <w:rFonts w:ascii="Arial" w:hAnsi="Arial" w:cs="Arial"/>
        </w:rPr>
        <w:t xml:space="preserve">4-month </w:t>
      </w:r>
      <w:r w:rsidR="003623EE">
        <w:rPr>
          <w:rFonts w:ascii="Arial" w:hAnsi="Arial" w:cs="Arial"/>
        </w:rPr>
        <w:t xml:space="preserve">experimental </w:t>
      </w:r>
      <w:r>
        <w:rPr>
          <w:rFonts w:ascii="Arial" w:hAnsi="Arial" w:cs="Arial"/>
        </w:rPr>
        <w:t>regimen (no fluoroquinolone) and 193 study participants treated with the</w:t>
      </w:r>
      <w:r w:rsidR="003623EE">
        <w:rPr>
          <w:rFonts w:ascii="Arial" w:hAnsi="Arial" w:cs="Arial"/>
        </w:rPr>
        <w:t xml:space="preserve"> standard</w:t>
      </w:r>
      <w:r>
        <w:rPr>
          <w:rFonts w:ascii="Arial" w:hAnsi="Arial" w:cs="Arial"/>
        </w:rPr>
        <w:t xml:space="preserve"> 6-month regimen (Figure1). </w:t>
      </w:r>
      <w:r w:rsidR="00DC533F">
        <w:rPr>
          <w:rFonts w:ascii="Arial" w:hAnsi="Arial" w:cs="Arial"/>
        </w:rPr>
        <w:t>B</w:t>
      </w:r>
      <w:r w:rsidR="004F151C" w:rsidRPr="000A1F4E">
        <w:rPr>
          <w:rFonts w:ascii="Arial" w:hAnsi="Arial" w:cs="Arial"/>
        </w:rPr>
        <w:t>aseline</w:t>
      </w:r>
      <w:r>
        <w:rPr>
          <w:rFonts w:ascii="Arial" w:hAnsi="Arial" w:cs="Arial"/>
        </w:rPr>
        <w:t xml:space="preserve"> characteristics of participants</w:t>
      </w:r>
      <w:r w:rsidR="004F151C" w:rsidRPr="000A1F4E">
        <w:rPr>
          <w:rFonts w:ascii="Arial" w:hAnsi="Arial" w:cs="Arial"/>
        </w:rPr>
        <w:t xml:space="preserve"> </w:t>
      </w:r>
      <w:r w:rsidR="00DC533F">
        <w:rPr>
          <w:rFonts w:ascii="Arial" w:hAnsi="Arial" w:cs="Arial"/>
        </w:rPr>
        <w:t xml:space="preserve">did not </w:t>
      </w:r>
      <w:r w:rsidR="0094058A">
        <w:rPr>
          <w:rFonts w:ascii="Arial" w:hAnsi="Arial" w:cs="Arial"/>
        </w:rPr>
        <w:t>differ across</w:t>
      </w:r>
      <w:r>
        <w:rPr>
          <w:rFonts w:ascii="Arial" w:hAnsi="Arial" w:cs="Arial"/>
        </w:rPr>
        <w:t xml:space="preserve"> the experimental and control groups within analysis datasets with exception of race and Senegal country</w:t>
      </w:r>
      <w:r w:rsidR="00131D3C">
        <w:rPr>
          <w:rFonts w:ascii="Arial" w:hAnsi="Arial" w:cs="Arial"/>
        </w:rPr>
        <w:t xml:space="preserve"> </w:t>
      </w:r>
      <w:r>
        <w:rPr>
          <w:rFonts w:ascii="Arial" w:hAnsi="Arial" w:cs="Arial"/>
        </w:rPr>
        <w:t>(both p &lt; 0.001, Table 1)</w:t>
      </w:r>
      <w:r w:rsidR="00131D3C">
        <w:rPr>
          <w:rFonts w:ascii="Arial" w:hAnsi="Arial" w:cs="Arial"/>
        </w:rPr>
        <w:t xml:space="preserve">; </w:t>
      </w:r>
      <w:r w:rsidR="00A069C6">
        <w:rPr>
          <w:rFonts w:ascii="Arial" w:hAnsi="Arial" w:cs="Arial"/>
        </w:rPr>
        <w:t>12% of the participants were HIV-infected.</w:t>
      </w:r>
    </w:p>
    <w:p w14:paraId="6B6A52AE" w14:textId="77777777" w:rsidR="00CC1D42" w:rsidRDefault="00CC1D42" w:rsidP="00804CE5">
      <w:pPr>
        <w:spacing w:line="480" w:lineRule="auto"/>
        <w:rPr>
          <w:rFonts w:ascii="Arial" w:hAnsi="Arial" w:cs="Arial"/>
          <w:highlight w:val="yellow"/>
        </w:rPr>
      </w:pPr>
    </w:p>
    <w:p w14:paraId="68F2BD57" w14:textId="77777777" w:rsidR="00CC1D42" w:rsidRDefault="00126605" w:rsidP="00804CE5">
      <w:pPr>
        <w:spacing w:line="480" w:lineRule="auto"/>
        <w:outlineLvl w:val="0"/>
        <w:rPr>
          <w:rFonts w:ascii="Arial" w:hAnsi="Arial" w:cs="Arial"/>
          <w:b/>
        </w:rPr>
      </w:pPr>
      <w:r>
        <w:rPr>
          <w:rFonts w:ascii="Arial" w:hAnsi="Arial" w:cs="Arial"/>
          <w:b/>
        </w:rPr>
        <w:t>Primary Outcome Analysis</w:t>
      </w:r>
    </w:p>
    <w:p w14:paraId="4356B49B" w14:textId="31FFC73F" w:rsidR="00CC1D42" w:rsidRDefault="00126605" w:rsidP="00804CE5">
      <w:pPr>
        <w:spacing w:line="480" w:lineRule="auto"/>
        <w:rPr>
          <w:rFonts w:ascii="Arial" w:hAnsi="Arial" w:cs="Arial"/>
        </w:rPr>
      </w:pPr>
      <w:r>
        <w:rPr>
          <w:rFonts w:ascii="Arial" w:hAnsi="Arial" w:cs="Arial"/>
        </w:rPr>
        <w:t xml:space="preserve">Multivariate </w:t>
      </w:r>
      <w:r w:rsidR="008D6A51">
        <w:rPr>
          <w:rFonts w:ascii="Arial" w:hAnsi="Arial" w:cs="Arial"/>
        </w:rPr>
        <w:t>C</w:t>
      </w:r>
      <w:r>
        <w:rPr>
          <w:rFonts w:ascii="Arial" w:hAnsi="Arial" w:cs="Arial"/>
        </w:rPr>
        <w:t>ox analysis of baseline risk factors for unfavorable outcomes included 3154/3405 (93%) participants with no missing baseline covariates; 1843/2001 (92%) participants were allocated to one of the 4-month</w:t>
      </w:r>
      <w:r>
        <w:rPr>
          <w:rFonts w:ascii="Arial" w:hAnsi="Arial" w:cs="Arial"/>
          <w:b/>
        </w:rPr>
        <w:t xml:space="preserve"> </w:t>
      </w:r>
      <w:r>
        <w:rPr>
          <w:rFonts w:ascii="Arial" w:hAnsi="Arial" w:cs="Arial"/>
        </w:rPr>
        <w:t>experimental regimens and 1311/1404 (93</w:t>
      </w:r>
      <w:r w:rsidR="00A63A1A">
        <w:rPr>
          <w:rFonts w:ascii="Arial" w:hAnsi="Arial" w:cs="Arial"/>
        </w:rPr>
        <w:t>%) participants</w:t>
      </w:r>
      <w:r>
        <w:rPr>
          <w:rFonts w:ascii="Arial" w:hAnsi="Arial" w:cs="Arial"/>
        </w:rPr>
        <w:t xml:space="preserve"> were allocated </w:t>
      </w:r>
      <w:r w:rsidR="0006596E">
        <w:rPr>
          <w:rFonts w:ascii="Arial" w:hAnsi="Arial" w:cs="Arial"/>
        </w:rPr>
        <w:t xml:space="preserve">to </w:t>
      </w:r>
      <w:r>
        <w:rPr>
          <w:rFonts w:ascii="Arial" w:hAnsi="Arial" w:cs="Arial"/>
        </w:rPr>
        <w:t xml:space="preserve">the control </w:t>
      </w:r>
      <w:r w:rsidR="008622B9">
        <w:rPr>
          <w:rFonts w:ascii="Arial" w:hAnsi="Arial" w:cs="Arial"/>
        </w:rPr>
        <w:t>regimen</w:t>
      </w:r>
      <w:r w:rsidR="0006596E">
        <w:rPr>
          <w:rFonts w:ascii="Arial" w:hAnsi="Arial" w:cs="Arial"/>
        </w:rPr>
        <w:t>s</w:t>
      </w:r>
      <w:r w:rsidR="00DA16E4">
        <w:rPr>
          <w:rFonts w:ascii="Arial" w:hAnsi="Arial" w:cs="Arial"/>
        </w:rPr>
        <w:t xml:space="preserve"> (</w:t>
      </w:r>
      <w:r w:rsidR="00B56E3B">
        <w:rPr>
          <w:rFonts w:ascii="Arial" w:hAnsi="Arial" w:cs="Arial"/>
        </w:rPr>
        <w:t>Supplementary Tables 1-3</w:t>
      </w:r>
      <w:r w:rsidR="00DA16E4">
        <w:rPr>
          <w:rFonts w:ascii="Arial" w:hAnsi="Arial" w:cs="Arial"/>
        </w:rPr>
        <w:t>)</w:t>
      </w:r>
      <w:r>
        <w:rPr>
          <w:rFonts w:ascii="Arial" w:hAnsi="Arial" w:cs="Arial"/>
        </w:rPr>
        <w:t xml:space="preserve">. </w:t>
      </w:r>
      <w:r w:rsidR="00A63A1A">
        <w:rPr>
          <w:rFonts w:ascii="Arial" w:hAnsi="Arial" w:cs="Arial"/>
        </w:rPr>
        <w:t>In participants</w:t>
      </w:r>
      <w:r>
        <w:rPr>
          <w:rFonts w:ascii="Arial" w:hAnsi="Arial" w:cs="Arial"/>
        </w:rPr>
        <w:t xml:space="preserve"> assigned to 4-month</w:t>
      </w:r>
      <w:r>
        <w:rPr>
          <w:rFonts w:ascii="Arial" w:hAnsi="Arial" w:cs="Arial"/>
          <w:b/>
        </w:rPr>
        <w:t xml:space="preserve"> </w:t>
      </w:r>
      <w:r>
        <w:rPr>
          <w:rFonts w:ascii="Arial" w:hAnsi="Arial" w:cs="Arial"/>
        </w:rPr>
        <w:t xml:space="preserve">experimental regimens, baseline smear 3+ relative to smear negative or 1+ grade and HIV </w:t>
      </w:r>
      <w:r w:rsidR="00DC533F">
        <w:rPr>
          <w:rFonts w:ascii="Arial" w:hAnsi="Arial" w:cs="Arial"/>
        </w:rPr>
        <w:t>sero</w:t>
      </w:r>
      <w:r w:rsidR="008622B9" w:rsidRPr="009439D3">
        <w:rPr>
          <w:rFonts w:ascii="Arial" w:hAnsi="Arial" w:cs="Arial"/>
        </w:rPr>
        <w:t>positivity</w:t>
      </w:r>
      <w:r>
        <w:rPr>
          <w:rFonts w:ascii="Arial" w:hAnsi="Arial" w:cs="Arial"/>
        </w:rPr>
        <w:t xml:space="preserve"> were the </w:t>
      </w:r>
      <w:r w:rsidR="001575DA">
        <w:rPr>
          <w:rFonts w:ascii="Arial" w:hAnsi="Arial" w:cs="Arial"/>
        </w:rPr>
        <w:t>two major</w:t>
      </w:r>
      <w:r>
        <w:rPr>
          <w:rFonts w:ascii="Arial" w:hAnsi="Arial" w:cs="Arial"/>
        </w:rPr>
        <w:t xml:space="preserve"> baseline </w:t>
      </w:r>
      <w:r w:rsidR="001575DA">
        <w:rPr>
          <w:rFonts w:ascii="Arial" w:hAnsi="Arial" w:cs="Arial"/>
        </w:rPr>
        <w:t xml:space="preserve">clinical </w:t>
      </w:r>
      <w:r>
        <w:rPr>
          <w:rFonts w:ascii="Arial" w:hAnsi="Arial" w:cs="Arial"/>
        </w:rPr>
        <w:t>risk factors for unfavorable outcomes with</w:t>
      </w:r>
      <w:r w:rsidR="008622B9" w:rsidRPr="009439D3">
        <w:rPr>
          <w:rFonts w:ascii="Arial" w:hAnsi="Arial" w:cs="Arial"/>
        </w:rPr>
        <w:t xml:space="preserve"> </w:t>
      </w:r>
      <w:r w:rsidR="00DC533F">
        <w:rPr>
          <w:rFonts w:ascii="Arial" w:hAnsi="Arial" w:cs="Arial"/>
        </w:rPr>
        <w:t>an</w:t>
      </w:r>
      <w:r>
        <w:rPr>
          <w:rFonts w:ascii="Arial" w:hAnsi="Arial" w:cs="Arial"/>
        </w:rPr>
        <w:t xml:space="preserve"> adjusted hazard ratio of 1.4 (95% confidence interval [CI],1.1-</w:t>
      </w:r>
      <w:r w:rsidR="00431B8E">
        <w:rPr>
          <w:rFonts w:ascii="Arial" w:hAnsi="Arial" w:cs="Arial"/>
        </w:rPr>
        <w:t>1.9</w:t>
      </w:r>
      <w:r>
        <w:rPr>
          <w:rFonts w:ascii="Arial" w:hAnsi="Arial" w:cs="Arial"/>
        </w:rPr>
        <w:t xml:space="preserve">) and 1.4 (95% CI 1.1-1.9), respectively, adjusted also for age and sex. Higher risk was shown in older </w:t>
      </w:r>
      <w:r w:rsidR="00DC533F">
        <w:rPr>
          <w:rFonts w:ascii="Arial" w:hAnsi="Arial" w:cs="Arial"/>
        </w:rPr>
        <w:t xml:space="preserve">participants </w:t>
      </w:r>
      <w:r>
        <w:rPr>
          <w:rFonts w:ascii="Arial" w:hAnsi="Arial" w:cs="Arial"/>
        </w:rPr>
        <w:t>(adjusted hazard ratio [HR], 1.1 per 10 years increase; 95% CI, 1.0-1.</w:t>
      </w:r>
      <w:r w:rsidR="003C194E">
        <w:rPr>
          <w:rFonts w:ascii="Arial" w:hAnsi="Arial" w:cs="Arial"/>
        </w:rPr>
        <w:t>2</w:t>
      </w:r>
      <w:r>
        <w:rPr>
          <w:rFonts w:ascii="Arial" w:hAnsi="Arial" w:cs="Arial"/>
        </w:rPr>
        <w:t xml:space="preserve">) and </w:t>
      </w:r>
      <w:r w:rsidR="004D63BB">
        <w:rPr>
          <w:rFonts w:ascii="Arial" w:hAnsi="Arial" w:cs="Arial"/>
        </w:rPr>
        <w:t>male</w:t>
      </w:r>
      <w:r w:rsidR="00B05686">
        <w:rPr>
          <w:rFonts w:ascii="Arial" w:hAnsi="Arial" w:cs="Arial"/>
        </w:rPr>
        <w:t xml:space="preserve"> sex</w:t>
      </w:r>
      <w:r w:rsidR="00B17E03">
        <w:rPr>
          <w:rFonts w:ascii="Arial" w:hAnsi="Arial" w:cs="Arial"/>
        </w:rPr>
        <w:t xml:space="preserve"> </w:t>
      </w:r>
      <w:r>
        <w:rPr>
          <w:rFonts w:ascii="Arial" w:hAnsi="Arial" w:cs="Arial"/>
        </w:rPr>
        <w:t>(HR, 1.6; 95% CI 1.3-2.1) study participants</w:t>
      </w:r>
      <w:r w:rsidR="008738BF">
        <w:rPr>
          <w:rFonts w:ascii="Arial" w:hAnsi="Arial" w:cs="Arial"/>
        </w:rPr>
        <w:t xml:space="preserve">. </w:t>
      </w:r>
      <w:r>
        <w:rPr>
          <w:rFonts w:ascii="Arial" w:hAnsi="Arial" w:cs="Arial"/>
        </w:rPr>
        <w:t xml:space="preserve">After inclusion of on-treatment culture and adherence as risk factors, 1668/2001 (83%) experimental </w:t>
      </w:r>
      <w:r w:rsidR="002F19CC">
        <w:rPr>
          <w:rFonts w:ascii="Arial" w:hAnsi="Arial" w:cs="Arial"/>
        </w:rPr>
        <w:t>arm participants were available for analysis</w:t>
      </w:r>
      <w:r>
        <w:rPr>
          <w:rFonts w:ascii="Arial" w:hAnsi="Arial" w:cs="Arial"/>
        </w:rPr>
        <w:t xml:space="preserve">. Non-adherence was the most significant risk factor </w:t>
      </w:r>
      <w:r w:rsidR="00DC533F">
        <w:rPr>
          <w:rFonts w:ascii="Arial" w:hAnsi="Arial" w:cs="Arial"/>
        </w:rPr>
        <w:t xml:space="preserve">for unfavorable outcome </w:t>
      </w:r>
      <w:r>
        <w:rPr>
          <w:rFonts w:ascii="Arial" w:hAnsi="Arial" w:cs="Arial"/>
        </w:rPr>
        <w:t xml:space="preserve">with adjusted hazard ratios of 5.7 (95% CI, 3.3-9.9) for participants who missed 10% or more </w:t>
      </w:r>
      <w:r>
        <w:rPr>
          <w:rFonts w:ascii="Arial" w:hAnsi="Arial" w:cs="Arial"/>
        </w:rPr>
        <w:lastRenderedPageBreak/>
        <w:t xml:space="preserve">prescribed doses and 1.4 (95% CI, 1.0-1.9) for participants who missed less than 10% </w:t>
      </w:r>
      <w:r w:rsidR="00B17E03">
        <w:rPr>
          <w:rFonts w:ascii="Arial" w:hAnsi="Arial" w:cs="Arial"/>
        </w:rPr>
        <w:t xml:space="preserve">of </w:t>
      </w:r>
      <w:r w:rsidR="00590F6F">
        <w:rPr>
          <w:rFonts w:ascii="Arial" w:hAnsi="Arial" w:cs="Arial"/>
        </w:rPr>
        <w:t xml:space="preserve">prescribed </w:t>
      </w:r>
      <w:r w:rsidR="00B17E03">
        <w:rPr>
          <w:rFonts w:ascii="Arial" w:hAnsi="Arial" w:cs="Arial"/>
        </w:rPr>
        <w:t>doses</w:t>
      </w:r>
      <w:r>
        <w:rPr>
          <w:rFonts w:ascii="Arial" w:hAnsi="Arial" w:cs="Arial"/>
        </w:rPr>
        <w:t xml:space="preserve"> relative to participants who completed treatment without any missed doses. </w:t>
      </w:r>
      <w:r w:rsidR="002F19CC">
        <w:rPr>
          <w:rFonts w:ascii="Arial" w:hAnsi="Arial" w:cs="Arial"/>
        </w:rPr>
        <w:t>M</w:t>
      </w:r>
      <w:r>
        <w:rPr>
          <w:rFonts w:ascii="Arial" w:hAnsi="Arial" w:cs="Arial"/>
        </w:rPr>
        <w:t>onth</w:t>
      </w:r>
      <w:r w:rsidR="0006596E">
        <w:rPr>
          <w:rFonts w:ascii="Arial" w:hAnsi="Arial" w:cs="Arial"/>
        </w:rPr>
        <w:t>-</w:t>
      </w:r>
      <w:r>
        <w:rPr>
          <w:rFonts w:ascii="Arial" w:hAnsi="Arial" w:cs="Arial"/>
        </w:rPr>
        <w:t xml:space="preserve">2 culture </w:t>
      </w:r>
      <w:r w:rsidR="00B17E03">
        <w:rPr>
          <w:rFonts w:ascii="Arial" w:hAnsi="Arial" w:cs="Arial"/>
        </w:rPr>
        <w:t>positivity was</w:t>
      </w:r>
      <w:r w:rsidR="00B47CCF">
        <w:rPr>
          <w:rFonts w:ascii="Arial" w:hAnsi="Arial" w:cs="Arial"/>
        </w:rPr>
        <w:t xml:space="preserve"> significantly associated with </w:t>
      </w:r>
      <w:r w:rsidR="00956AD5">
        <w:rPr>
          <w:rFonts w:ascii="Arial" w:hAnsi="Arial" w:cs="Arial"/>
        </w:rPr>
        <w:t>unfavorable</w:t>
      </w:r>
      <w:r w:rsidR="00B47CCF">
        <w:rPr>
          <w:rFonts w:ascii="Arial" w:hAnsi="Arial" w:cs="Arial"/>
        </w:rPr>
        <w:t xml:space="preserve"> outcome (</w:t>
      </w:r>
      <w:r w:rsidR="00590F6F">
        <w:rPr>
          <w:rFonts w:ascii="Arial" w:hAnsi="Arial" w:cs="Arial"/>
        </w:rPr>
        <w:t>HR,</w:t>
      </w:r>
      <w:r>
        <w:rPr>
          <w:rFonts w:ascii="Arial" w:hAnsi="Arial" w:cs="Arial"/>
        </w:rPr>
        <w:t xml:space="preserve"> 2.2 (95% CI, 1.7-2.9</w:t>
      </w:r>
      <w:r w:rsidR="008622B9" w:rsidRPr="009439D3">
        <w:rPr>
          <w:rFonts w:ascii="Arial" w:hAnsi="Arial" w:cs="Arial"/>
        </w:rPr>
        <w:t>)</w:t>
      </w:r>
      <w:r w:rsidR="00B47CCF">
        <w:rPr>
          <w:rFonts w:ascii="Arial" w:hAnsi="Arial" w:cs="Arial"/>
        </w:rPr>
        <w:t>)</w:t>
      </w:r>
      <w:r w:rsidR="008622B9" w:rsidRPr="009439D3">
        <w:rPr>
          <w:rFonts w:ascii="Arial" w:hAnsi="Arial" w:cs="Arial"/>
        </w:rPr>
        <w:t>.</w:t>
      </w:r>
      <w:r>
        <w:rPr>
          <w:rFonts w:ascii="Arial" w:hAnsi="Arial" w:cs="Arial"/>
        </w:rPr>
        <w:t xml:space="preserve"> After adjustment for on-treatment factors, lower </w:t>
      </w:r>
      <w:r w:rsidR="00A23830">
        <w:rPr>
          <w:rFonts w:ascii="Arial" w:hAnsi="Arial" w:cs="Arial"/>
        </w:rPr>
        <w:t>body mass index</w:t>
      </w:r>
      <w:r>
        <w:rPr>
          <w:rFonts w:ascii="Arial" w:hAnsi="Arial" w:cs="Arial"/>
        </w:rPr>
        <w:t xml:space="preserve"> (</w:t>
      </w:r>
      <w:r w:rsidR="00A23830">
        <w:rPr>
          <w:rFonts w:ascii="Arial" w:hAnsi="Arial" w:cs="Arial"/>
        </w:rPr>
        <w:t xml:space="preserve">BMI, </w:t>
      </w:r>
      <w:r>
        <w:rPr>
          <w:rFonts w:ascii="Arial" w:hAnsi="Arial" w:cs="Arial"/>
        </w:rPr>
        <w:t>representative of malnutrition) was a risk factor for unfavorable outcome (HR, 1.4 per 5 kg/m</w:t>
      </w:r>
      <w:r>
        <w:rPr>
          <w:rFonts w:ascii="Arial" w:hAnsi="Arial" w:cs="Arial"/>
          <w:vertAlign w:val="superscript"/>
        </w:rPr>
        <w:t>2</w:t>
      </w:r>
      <w:r>
        <w:rPr>
          <w:rFonts w:ascii="Arial" w:hAnsi="Arial" w:cs="Arial"/>
        </w:rPr>
        <w:t xml:space="preserve"> decrease; 95% CI 1.1-1.7)</w:t>
      </w:r>
      <w:r w:rsidR="008738BF">
        <w:rPr>
          <w:rFonts w:ascii="Arial" w:hAnsi="Arial" w:cs="Arial"/>
        </w:rPr>
        <w:t xml:space="preserve"> (Figure 2</w:t>
      </w:r>
      <w:r w:rsidR="00B56E3B">
        <w:rPr>
          <w:rFonts w:ascii="Arial" w:hAnsi="Arial" w:cs="Arial"/>
        </w:rPr>
        <w:t>a</w:t>
      </w:r>
      <w:r w:rsidR="004F47A2">
        <w:rPr>
          <w:rFonts w:ascii="Arial" w:hAnsi="Arial" w:cs="Arial"/>
        </w:rPr>
        <w:t xml:space="preserve">, Supplementary Table </w:t>
      </w:r>
      <w:r w:rsidR="00AA3E1C">
        <w:rPr>
          <w:rFonts w:ascii="Arial" w:hAnsi="Arial" w:cs="Arial"/>
        </w:rPr>
        <w:t>4</w:t>
      </w:r>
      <w:r w:rsidR="008738BF">
        <w:rPr>
          <w:rFonts w:ascii="Arial" w:hAnsi="Arial" w:cs="Arial"/>
        </w:rPr>
        <w:t>).</w:t>
      </w:r>
    </w:p>
    <w:p w14:paraId="7BA31A32" w14:textId="77777777" w:rsidR="00507929" w:rsidRDefault="00507929" w:rsidP="00804CE5">
      <w:pPr>
        <w:spacing w:line="480" w:lineRule="auto"/>
        <w:rPr>
          <w:rFonts w:ascii="Arial" w:hAnsi="Arial" w:cs="Arial"/>
        </w:rPr>
      </w:pPr>
    </w:p>
    <w:p w14:paraId="00F4B1C8" w14:textId="4B55623B" w:rsidR="00CC1D42" w:rsidRDefault="00126605" w:rsidP="00804CE5">
      <w:pPr>
        <w:spacing w:line="480" w:lineRule="auto"/>
        <w:rPr>
          <w:rFonts w:ascii="Arial" w:hAnsi="Arial" w:cs="Arial"/>
          <w:highlight w:val="yellow"/>
        </w:rPr>
      </w:pPr>
      <w:r>
        <w:rPr>
          <w:rFonts w:ascii="Arial" w:hAnsi="Arial" w:cs="Arial"/>
        </w:rPr>
        <w:t xml:space="preserve">In the 1311/1404 (93%) participants </w:t>
      </w:r>
      <w:r w:rsidR="002F19CC">
        <w:rPr>
          <w:rFonts w:ascii="Arial" w:hAnsi="Arial" w:cs="Arial"/>
        </w:rPr>
        <w:t>allocated to t</w:t>
      </w:r>
      <w:r>
        <w:rPr>
          <w:rFonts w:ascii="Arial" w:hAnsi="Arial" w:cs="Arial"/>
        </w:rPr>
        <w:t xml:space="preserve">he 6-month control </w:t>
      </w:r>
      <w:r w:rsidR="00E35202">
        <w:rPr>
          <w:rFonts w:ascii="Arial" w:hAnsi="Arial" w:cs="Arial"/>
        </w:rPr>
        <w:t>regimen</w:t>
      </w:r>
      <w:r w:rsidR="002F19CC">
        <w:rPr>
          <w:rFonts w:ascii="Arial" w:hAnsi="Arial" w:cs="Arial"/>
        </w:rPr>
        <w:t xml:space="preserve">, </w:t>
      </w:r>
      <w:r>
        <w:rPr>
          <w:rFonts w:ascii="Arial" w:hAnsi="Arial" w:cs="Arial"/>
        </w:rPr>
        <w:t xml:space="preserve">HIV </w:t>
      </w:r>
      <w:r w:rsidR="0072067D">
        <w:rPr>
          <w:rFonts w:ascii="Arial" w:hAnsi="Arial" w:cs="Arial"/>
        </w:rPr>
        <w:t>sero</w:t>
      </w:r>
      <w:r w:rsidR="00FD020E">
        <w:rPr>
          <w:rFonts w:ascii="Arial" w:hAnsi="Arial" w:cs="Arial"/>
        </w:rPr>
        <w:t>positivity</w:t>
      </w:r>
      <w:r>
        <w:rPr>
          <w:rFonts w:ascii="Arial" w:hAnsi="Arial" w:cs="Arial"/>
        </w:rPr>
        <w:t xml:space="preserve"> was the most significant baseline risk factor for unfavorable outcomes with an adjusted hazard ratio of 2.3 (95% CI, 1.6-3.3).  </w:t>
      </w:r>
      <w:r w:rsidR="002F19CC">
        <w:rPr>
          <w:rFonts w:ascii="Arial" w:hAnsi="Arial" w:cs="Arial"/>
        </w:rPr>
        <w:t>O</w:t>
      </w:r>
      <w:r>
        <w:rPr>
          <w:rFonts w:ascii="Arial" w:hAnsi="Arial" w:cs="Arial"/>
        </w:rPr>
        <w:t>lder age (HR, 1.3 per 10 years increase, 95% CI, 1.1-1.4), male sex (HR, 1.5; 95%CI, 1.1-2.1), and lower BMI (HR, 1.3 per 5 kg/m</w:t>
      </w:r>
      <w:r>
        <w:rPr>
          <w:rFonts w:ascii="Arial" w:hAnsi="Arial" w:cs="Arial"/>
          <w:vertAlign w:val="superscript"/>
        </w:rPr>
        <w:t>2</w:t>
      </w:r>
      <w:r>
        <w:rPr>
          <w:rFonts w:ascii="Arial" w:hAnsi="Arial" w:cs="Arial"/>
        </w:rPr>
        <w:t xml:space="preserve"> decrease; 95% CI, 1.0-1.7) at study entry had higher risk of unfavorable outcomes. </w:t>
      </w:r>
      <w:r w:rsidR="008031C2">
        <w:rPr>
          <w:rFonts w:ascii="Arial" w:hAnsi="Arial" w:cs="Arial"/>
        </w:rPr>
        <w:t xml:space="preserve">1186/1404 (84%) control arm participants contributed data </w:t>
      </w:r>
      <w:r>
        <w:rPr>
          <w:rFonts w:ascii="Arial" w:hAnsi="Arial" w:cs="Arial"/>
        </w:rPr>
        <w:t xml:space="preserve">both </w:t>
      </w:r>
      <w:r w:rsidR="008031C2">
        <w:rPr>
          <w:rFonts w:ascii="Arial" w:hAnsi="Arial" w:cs="Arial"/>
        </w:rPr>
        <w:t xml:space="preserve">for </w:t>
      </w:r>
      <w:r>
        <w:rPr>
          <w:rFonts w:ascii="Arial" w:hAnsi="Arial" w:cs="Arial"/>
        </w:rPr>
        <w:t xml:space="preserve">baseline and on-treatment </w:t>
      </w:r>
      <w:r w:rsidR="008031C2">
        <w:rPr>
          <w:rFonts w:ascii="Arial" w:hAnsi="Arial" w:cs="Arial"/>
        </w:rPr>
        <w:t xml:space="preserve">risk </w:t>
      </w:r>
      <w:r>
        <w:rPr>
          <w:rFonts w:ascii="Arial" w:hAnsi="Arial" w:cs="Arial"/>
        </w:rPr>
        <w:t>factors</w:t>
      </w:r>
      <w:r w:rsidR="00FA6B06">
        <w:rPr>
          <w:rFonts w:ascii="Arial" w:hAnsi="Arial" w:cs="Arial"/>
        </w:rPr>
        <w:t>.</w:t>
      </w:r>
      <w:r>
        <w:rPr>
          <w:rFonts w:ascii="Arial" w:hAnsi="Arial" w:cs="Arial"/>
        </w:rPr>
        <w:t xml:space="preserve"> </w:t>
      </w:r>
      <w:r w:rsidR="002F19CC">
        <w:rPr>
          <w:rFonts w:ascii="Arial" w:hAnsi="Arial" w:cs="Arial"/>
        </w:rPr>
        <w:t>N</w:t>
      </w:r>
      <w:r>
        <w:rPr>
          <w:rFonts w:ascii="Arial" w:hAnsi="Arial" w:cs="Arial"/>
        </w:rPr>
        <w:t xml:space="preserve">on-adherence was the most significant </w:t>
      </w:r>
      <w:r w:rsidR="002F19CC">
        <w:rPr>
          <w:rFonts w:ascii="Arial" w:hAnsi="Arial" w:cs="Arial"/>
        </w:rPr>
        <w:t xml:space="preserve">on-treatment </w:t>
      </w:r>
      <w:r>
        <w:rPr>
          <w:rFonts w:ascii="Arial" w:hAnsi="Arial" w:cs="Arial"/>
        </w:rPr>
        <w:t>risk factor for unfavorable outcomes with adjusted hazard ratio of 5.</w:t>
      </w:r>
      <w:r w:rsidR="00327EDC">
        <w:rPr>
          <w:rFonts w:ascii="Arial" w:hAnsi="Arial" w:cs="Arial"/>
        </w:rPr>
        <w:t>9</w:t>
      </w:r>
      <w:r>
        <w:rPr>
          <w:rFonts w:ascii="Arial" w:hAnsi="Arial" w:cs="Arial"/>
        </w:rPr>
        <w:t xml:space="preserve"> (95% CI, </w:t>
      </w:r>
      <w:r w:rsidR="00327EDC">
        <w:rPr>
          <w:rFonts w:ascii="Arial" w:hAnsi="Arial" w:cs="Arial"/>
        </w:rPr>
        <w:t>3.3-10.5</w:t>
      </w:r>
      <w:r>
        <w:rPr>
          <w:rFonts w:ascii="Arial" w:hAnsi="Arial" w:cs="Arial"/>
        </w:rPr>
        <w:t xml:space="preserve">) for participants who missed 10% or more and </w:t>
      </w:r>
      <w:r w:rsidR="00327EDC">
        <w:rPr>
          <w:rFonts w:ascii="Arial" w:hAnsi="Arial" w:cs="Arial"/>
        </w:rPr>
        <w:t>2.4</w:t>
      </w:r>
      <w:r>
        <w:rPr>
          <w:rFonts w:ascii="Arial" w:hAnsi="Arial" w:cs="Arial"/>
        </w:rPr>
        <w:t xml:space="preserve"> (95% CI, </w:t>
      </w:r>
      <w:r w:rsidR="00327EDC">
        <w:rPr>
          <w:rFonts w:ascii="Arial" w:hAnsi="Arial" w:cs="Arial"/>
        </w:rPr>
        <w:t>1.6-3.6</w:t>
      </w:r>
      <w:r>
        <w:rPr>
          <w:rFonts w:ascii="Arial" w:hAnsi="Arial" w:cs="Arial"/>
        </w:rPr>
        <w:t>) for participants who missed less than 10% of prescribed doses relative to participants who completed treatment without any missed doses. On-treatment culture positivity was also identified as a significant risk factor for unfavorable outcomes (month</w:t>
      </w:r>
      <w:r w:rsidR="007C4D7C">
        <w:rPr>
          <w:rFonts w:ascii="Arial" w:hAnsi="Arial" w:cs="Arial"/>
        </w:rPr>
        <w:t>-</w:t>
      </w:r>
      <w:r>
        <w:rPr>
          <w:rFonts w:ascii="Arial" w:hAnsi="Arial" w:cs="Arial"/>
        </w:rPr>
        <w:t xml:space="preserve">2 HR, </w:t>
      </w:r>
      <w:r w:rsidR="00327EDC">
        <w:rPr>
          <w:rFonts w:ascii="Arial" w:hAnsi="Arial" w:cs="Arial"/>
        </w:rPr>
        <w:t>1.8</w:t>
      </w:r>
      <w:r>
        <w:rPr>
          <w:rFonts w:ascii="Arial" w:hAnsi="Arial" w:cs="Arial"/>
        </w:rPr>
        <w:t xml:space="preserve">; 95% CI, </w:t>
      </w:r>
      <w:r w:rsidR="00327EDC">
        <w:rPr>
          <w:rFonts w:ascii="Arial" w:hAnsi="Arial" w:cs="Arial"/>
        </w:rPr>
        <w:t>1.3-2.7</w:t>
      </w:r>
      <w:r>
        <w:rPr>
          <w:rFonts w:ascii="Arial" w:hAnsi="Arial" w:cs="Arial"/>
        </w:rPr>
        <w:t xml:space="preserve">). </w:t>
      </w:r>
      <w:r w:rsidR="00020C31" w:rsidRPr="00020C31">
        <w:rPr>
          <w:rFonts w:ascii="Arial" w:hAnsi="Arial" w:cs="Arial"/>
        </w:rPr>
        <w:t>After adjustment for on-treatment factors,</w:t>
      </w:r>
      <w:r w:rsidR="00020C31">
        <w:rPr>
          <w:rFonts w:ascii="Arial" w:hAnsi="Arial" w:cs="Arial"/>
        </w:rPr>
        <w:t xml:space="preserve"> </w:t>
      </w:r>
      <w:r>
        <w:rPr>
          <w:rFonts w:ascii="Arial" w:hAnsi="Arial" w:cs="Arial"/>
        </w:rPr>
        <w:t xml:space="preserve">HIV positivity (HR, </w:t>
      </w:r>
      <w:r w:rsidR="00327EDC">
        <w:rPr>
          <w:rFonts w:ascii="Arial" w:hAnsi="Arial" w:cs="Arial"/>
        </w:rPr>
        <w:t>3.1</w:t>
      </w:r>
      <w:r>
        <w:rPr>
          <w:rFonts w:ascii="Arial" w:hAnsi="Arial" w:cs="Arial"/>
        </w:rPr>
        <w:t xml:space="preserve">; 95% CI, </w:t>
      </w:r>
      <w:r w:rsidR="00327EDC">
        <w:rPr>
          <w:rFonts w:ascii="Arial" w:hAnsi="Arial" w:cs="Arial"/>
        </w:rPr>
        <w:t>2.0-4.6</w:t>
      </w:r>
      <w:r>
        <w:rPr>
          <w:rFonts w:ascii="Arial" w:hAnsi="Arial" w:cs="Arial"/>
        </w:rPr>
        <w:t>)</w:t>
      </w:r>
      <w:r w:rsidR="00327EDC">
        <w:rPr>
          <w:rFonts w:ascii="Arial" w:hAnsi="Arial" w:cs="Arial"/>
        </w:rPr>
        <w:t xml:space="preserve">, </w:t>
      </w:r>
      <w:r>
        <w:rPr>
          <w:rFonts w:ascii="Arial" w:hAnsi="Arial" w:cs="Arial"/>
        </w:rPr>
        <w:t xml:space="preserve">male sex (HR, </w:t>
      </w:r>
      <w:r w:rsidR="00327EDC">
        <w:rPr>
          <w:rFonts w:ascii="Arial" w:hAnsi="Arial" w:cs="Arial"/>
        </w:rPr>
        <w:t>1.5</w:t>
      </w:r>
      <w:r>
        <w:rPr>
          <w:rFonts w:ascii="Arial" w:hAnsi="Arial" w:cs="Arial"/>
        </w:rPr>
        <w:t xml:space="preserve">; 95% CI, </w:t>
      </w:r>
      <w:r w:rsidR="00327EDC">
        <w:rPr>
          <w:rFonts w:ascii="Arial" w:hAnsi="Arial" w:cs="Arial"/>
        </w:rPr>
        <w:t>1</w:t>
      </w:r>
      <w:r w:rsidR="00590F6F">
        <w:rPr>
          <w:rFonts w:ascii="Arial" w:hAnsi="Arial" w:cs="Arial"/>
        </w:rPr>
        <w:t>.</w:t>
      </w:r>
      <w:r w:rsidR="00327EDC">
        <w:rPr>
          <w:rFonts w:ascii="Arial" w:hAnsi="Arial" w:cs="Arial"/>
        </w:rPr>
        <w:t>0-2.4</w:t>
      </w:r>
      <w:r>
        <w:rPr>
          <w:rFonts w:ascii="Arial" w:hAnsi="Arial" w:cs="Arial"/>
        </w:rPr>
        <w:t>)</w:t>
      </w:r>
      <w:r w:rsidR="00327EDC">
        <w:rPr>
          <w:rFonts w:ascii="Arial" w:hAnsi="Arial" w:cs="Arial"/>
        </w:rPr>
        <w:t>, and lower BMI (HR, 1.5 per 5 kg/m</w:t>
      </w:r>
      <w:r w:rsidR="00327EDC">
        <w:rPr>
          <w:rFonts w:ascii="Arial" w:hAnsi="Arial" w:cs="Arial"/>
          <w:vertAlign w:val="superscript"/>
        </w:rPr>
        <w:t>2</w:t>
      </w:r>
      <w:r w:rsidR="00327EDC">
        <w:rPr>
          <w:rFonts w:ascii="Arial" w:hAnsi="Arial" w:cs="Arial"/>
        </w:rPr>
        <w:t xml:space="preserve"> decrease; 95% CI, 1.0-2.0)</w:t>
      </w:r>
      <w:r>
        <w:rPr>
          <w:rFonts w:ascii="Arial" w:hAnsi="Arial" w:cs="Arial"/>
        </w:rPr>
        <w:t xml:space="preserve"> remained as factors associated with high risk</w:t>
      </w:r>
      <w:r w:rsidR="00327EDC">
        <w:rPr>
          <w:rFonts w:ascii="Arial" w:hAnsi="Arial" w:cs="Arial"/>
        </w:rPr>
        <w:t xml:space="preserve"> </w:t>
      </w:r>
      <w:r>
        <w:rPr>
          <w:rFonts w:ascii="Arial" w:hAnsi="Arial" w:cs="Arial"/>
        </w:rPr>
        <w:t>(Figure 2</w:t>
      </w:r>
      <w:r w:rsidR="00B56E3B">
        <w:rPr>
          <w:rFonts w:ascii="Arial" w:hAnsi="Arial" w:cs="Arial"/>
        </w:rPr>
        <w:t>b</w:t>
      </w:r>
      <w:r w:rsidR="004F47A2">
        <w:rPr>
          <w:rFonts w:ascii="Arial" w:hAnsi="Arial" w:cs="Arial"/>
        </w:rPr>
        <w:t xml:space="preserve">, Supplementary Table </w:t>
      </w:r>
      <w:r w:rsidR="00AA3E1C">
        <w:rPr>
          <w:rFonts w:ascii="Arial" w:hAnsi="Arial" w:cs="Arial"/>
        </w:rPr>
        <w:t>5</w:t>
      </w:r>
      <w:r>
        <w:rPr>
          <w:rFonts w:ascii="Arial" w:hAnsi="Arial" w:cs="Arial"/>
        </w:rPr>
        <w:t>).</w:t>
      </w:r>
      <w:r w:rsidR="00645FDD">
        <w:rPr>
          <w:rFonts w:ascii="Arial" w:hAnsi="Arial" w:cs="Arial"/>
        </w:rPr>
        <w:t xml:space="preserve"> In the per-protocol analys</w:t>
      </w:r>
      <w:r w:rsidR="00AA3E1C">
        <w:rPr>
          <w:rFonts w:ascii="Arial" w:hAnsi="Arial" w:cs="Arial"/>
        </w:rPr>
        <w:t>i</w:t>
      </w:r>
      <w:r w:rsidR="00645FDD">
        <w:rPr>
          <w:rFonts w:ascii="Arial" w:hAnsi="Arial" w:cs="Arial"/>
        </w:rPr>
        <w:t>s, results were similar in the experimental and control groups</w:t>
      </w:r>
      <w:r w:rsidR="00AA3E1C">
        <w:rPr>
          <w:rFonts w:ascii="Arial" w:hAnsi="Arial" w:cs="Arial"/>
        </w:rPr>
        <w:t xml:space="preserve"> when compared to the primary modified intent-to-treat analysis</w:t>
      </w:r>
      <w:r w:rsidR="00645FDD">
        <w:rPr>
          <w:rFonts w:ascii="Arial" w:hAnsi="Arial" w:cs="Arial"/>
        </w:rPr>
        <w:t xml:space="preserve"> (Supplementary Table </w:t>
      </w:r>
      <w:r w:rsidR="00AA3E1C">
        <w:rPr>
          <w:rFonts w:ascii="Arial" w:hAnsi="Arial" w:cs="Arial"/>
        </w:rPr>
        <w:t>6</w:t>
      </w:r>
      <w:r w:rsidR="00645FDD">
        <w:rPr>
          <w:rFonts w:ascii="Arial" w:hAnsi="Arial" w:cs="Arial"/>
        </w:rPr>
        <w:t xml:space="preserve">). </w:t>
      </w:r>
      <w:r>
        <w:rPr>
          <w:rFonts w:ascii="Arial" w:hAnsi="Arial" w:cs="Arial"/>
        </w:rPr>
        <w:t xml:space="preserve"> </w:t>
      </w:r>
    </w:p>
    <w:p w14:paraId="30E000BD" w14:textId="77777777" w:rsidR="0030503D" w:rsidRDefault="0030503D" w:rsidP="00804CE5">
      <w:pPr>
        <w:spacing w:line="480" w:lineRule="auto"/>
        <w:outlineLvl w:val="0"/>
        <w:rPr>
          <w:rFonts w:ascii="Arial" w:hAnsi="Arial" w:cs="Arial"/>
          <w:b/>
        </w:rPr>
      </w:pPr>
    </w:p>
    <w:p w14:paraId="27E9102F" w14:textId="77777777" w:rsidR="00CC1D42" w:rsidRDefault="00126605" w:rsidP="00804CE5">
      <w:pPr>
        <w:spacing w:line="480" w:lineRule="auto"/>
        <w:outlineLvl w:val="0"/>
        <w:rPr>
          <w:rFonts w:ascii="Arial" w:hAnsi="Arial" w:cs="Arial"/>
          <w:b/>
        </w:rPr>
      </w:pPr>
      <w:r>
        <w:rPr>
          <w:rFonts w:ascii="Arial" w:hAnsi="Arial" w:cs="Arial"/>
          <w:b/>
        </w:rPr>
        <w:t>Non-inferiority test</w:t>
      </w:r>
    </w:p>
    <w:p w14:paraId="331E9DB0" w14:textId="42AF1F87" w:rsidR="00CC1D42" w:rsidRDefault="00126605" w:rsidP="00804CE5">
      <w:pPr>
        <w:spacing w:line="480" w:lineRule="auto"/>
        <w:rPr>
          <w:rFonts w:ascii="Arial" w:hAnsi="Arial" w:cs="Arial"/>
        </w:rPr>
      </w:pPr>
      <w:r>
        <w:rPr>
          <w:rFonts w:ascii="Arial" w:hAnsi="Arial" w:cs="Arial"/>
        </w:rPr>
        <w:t xml:space="preserve">The </w:t>
      </w:r>
      <w:r w:rsidR="00F65EB4">
        <w:rPr>
          <w:rFonts w:ascii="Arial" w:hAnsi="Arial" w:cs="Arial"/>
        </w:rPr>
        <w:t>proportion of</w:t>
      </w:r>
      <w:r>
        <w:rPr>
          <w:rFonts w:ascii="Arial" w:hAnsi="Arial" w:cs="Arial"/>
        </w:rPr>
        <w:t xml:space="preserve"> </w:t>
      </w:r>
      <w:r w:rsidR="00AE0135">
        <w:rPr>
          <w:rFonts w:ascii="Arial" w:hAnsi="Arial" w:cs="Arial"/>
        </w:rPr>
        <w:t xml:space="preserve">unfavorable outcomes at 24 months for </w:t>
      </w:r>
      <w:r>
        <w:rPr>
          <w:rFonts w:ascii="Arial" w:hAnsi="Arial" w:cs="Arial"/>
        </w:rPr>
        <w:t xml:space="preserve">study participants with a baseline smear negative or 1+ grade was similar in experimental and control regimens, indicating non-inferiority </w:t>
      </w:r>
      <w:r>
        <w:rPr>
          <w:rFonts w:ascii="Arial" w:hAnsi="Arial" w:cs="Arial"/>
        </w:rPr>
        <w:lastRenderedPageBreak/>
        <w:t xml:space="preserve">(difference in </w:t>
      </w:r>
      <w:r w:rsidR="0036371F">
        <w:rPr>
          <w:rFonts w:ascii="Arial" w:hAnsi="Arial" w:cs="Arial"/>
        </w:rPr>
        <w:t xml:space="preserve">study adjusted </w:t>
      </w:r>
      <w:r>
        <w:rPr>
          <w:rFonts w:ascii="Arial" w:hAnsi="Arial" w:cs="Arial"/>
        </w:rPr>
        <w:t>Kaplan</w:t>
      </w:r>
      <w:r w:rsidR="006E1954">
        <w:rPr>
          <w:rFonts w:ascii="Arial" w:hAnsi="Arial" w:cs="Arial"/>
        </w:rPr>
        <w:t>-</w:t>
      </w:r>
      <w:r>
        <w:rPr>
          <w:rFonts w:ascii="Arial" w:hAnsi="Arial" w:cs="Arial"/>
        </w:rPr>
        <w:t xml:space="preserve">Meier </w:t>
      </w:r>
      <w:r w:rsidR="00AE0135">
        <w:rPr>
          <w:rFonts w:ascii="Arial" w:hAnsi="Arial" w:cs="Arial"/>
        </w:rPr>
        <w:t xml:space="preserve">estimate </w:t>
      </w:r>
      <w:r>
        <w:rPr>
          <w:rFonts w:ascii="Arial" w:hAnsi="Arial" w:cs="Arial"/>
        </w:rPr>
        <w:t xml:space="preserve">of unfavorable outcome, </w:t>
      </w:r>
      <w:r w:rsidR="00A642DD">
        <w:rPr>
          <w:rFonts w:ascii="Arial" w:hAnsi="Arial" w:cs="Arial"/>
        </w:rPr>
        <w:t>2.6</w:t>
      </w:r>
      <w:r>
        <w:rPr>
          <w:rFonts w:ascii="Arial" w:hAnsi="Arial" w:cs="Arial"/>
        </w:rPr>
        <w:t>; 90% CI, -</w:t>
      </w:r>
      <w:r w:rsidR="00A642DD">
        <w:rPr>
          <w:rFonts w:ascii="Arial" w:hAnsi="Arial" w:cs="Arial"/>
        </w:rPr>
        <w:t>0.4</w:t>
      </w:r>
      <w:r>
        <w:rPr>
          <w:rFonts w:ascii="Arial" w:hAnsi="Arial" w:cs="Arial"/>
        </w:rPr>
        <w:t xml:space="preserve"> to 5.</w:t>
      </w:r>
      <w:r w:rsidR="00A642DD">
        <w:rPr>
          <w:rFonts w:ascii="Arial" w:hAnsi="Arial" w:cs="Arial"/>
        </w:rPr>
        <w:t>6</w:t>
      </w:r>
      <w:r w:rsidR="0087370D">
        <w:rPr>
          <w:rFonts w:ascii="Arial" w:hAnsi="Arial" w:cs="Arial"/>
        </w:rPr>
        <w:t>; P=0.05 for interaction</w:t>
      </w:r>
      <w:r>
        <w:rPr>
          <w:rFonts w:ascii="Arial" w:hAnsi="Arial" w:cs="Arial"/>
        </w:rPr>
        <w:t xml:space="preserve">). </w:t>
      </w:r>
      <w:r w:rsidR="00DB7F02">
        <w:rPr>
          <w:rFonts w:ascii="Arial" w:hAnsi="Arial" w:cs="Arial"/>
        </w:rPr>
        <w:t>Additionally,</w:t>
      </w:r>
      <w:r w:rsidR="00AE0135">
        <w:rPr>
          <w:rFonts w:ascii="Arial" w:hAnsi="Arial" w:cs="Arial"/>
        </w:rPr>
        <w:t xml:space="preserve"> </w:t>
      </w:r>
      <w:r w:rsidR="00DB7F02">
        <w:rPr>
          <w:rFonts w:ascii="Arial" w:hAnsi="Arial" w:cs="Arial"/>
        </w:rPr>
        <w:t>s</w:t>
      </w:r>
      <w:r>
        <w:rPr>
          <w:rFonts w:ascii="Arial" w:hAnsi="Arial" w:cs="Arial"/>
        </w:rPr>
        <w:t>tudy participants with non-cavitary disease had</w:t>
      </w:r>
      <w:r w:rsidR="001575DA">
        <w:rPr>
          <w:rFonts w:ascii="Arial" w:hAnsi="Arial" w:cs="Arial"/>
        </w:rPr>
        <w:t xml:space="preserve"> </w:t>
      </w:r>
      <w:r>
        <w:rPr>
          <w:rFonts w:ascii="Arial" w:hAnsi="Arial" w:cs="Arial"/>
        </w:rPr>
        <w:t xml:space="preserve">a similar </w:t>
      </w:r>
      <w:r w:rsidR="00AE0135">
        <w:rPr>
          <w:rFonts w:ascii="Arial" w:hAnsi="Arial" w:cs="Arial"/>
        </w:rPr>
        <w:t xml:space="preserve">proportion </w:t>
      </w:r>
      <w:r>
        <w:rPr>
          <w:rFonts w:ascii="Arial" w:hAnsi="Arial" w:cs="Arial"/>
        </w:rPr>
        <w:t>of unfavorable outcomes between experimental and control regimens</w:t>
      </w:r>
      <w:r w:rsidR="00DB7F02">
        <w:rPr>
          <w:rFonts w:ascii="Arial" w:hAnsi="Arial" w:cs="Arial"/>
        </w:rPr>
        <w:t xml:space="preserve"> (difference in </w:t>
      </w:r>
      <w:r w:rsidR="0036371F">
        <w:rPr>
          <w:rFonts w:ascii="Arial" w:hAnsi="Arial" w:cs="Arial"/>
        </w:rPr>
        <w:t xml:space="preserve">study adjusted </w:t>
      </w:r>
      <w:r w:rsidR="00DB7F02">
        <w:rPr>
          <w:rFonts w:ascii="Arial" w:hAnsi="Arial" w:cs="Arial"/>
        </w:rPr>
        <w:t xml:space="preserve">Kaplan-Meier </w:t>
      </w:r>
      <w:r w:rsidR="00AE0135">
        <w:rPr>
          <w:rFonts w:ascii="Arial" w:hAnsi="Arial" w:cs="Arial"/>
        </w:rPr>
        <w:t>eastimate</w:t>
      </w:r>
      <w:r w:rsidR="00DB7F02">
        <w:rPr>
          <w:rFonts w:ascii="Arial" w:hAnsi="Arial" w:cs="Arial"/>
        </w:rPr>
        <w:t xml:space="preserve"> of unfavorable outcome, 3.1; 90% CI, 0.9 to 5.4; P=0.06 for interaction).</w:t>
      </w:r>
      <w:r>
        <w:rPr>
          <w:rFonts w:ascii="Arial" w:hAnsi="Arial" w:cs="Arial"/>
        </w:rPr>
        <w:t xml:space="preserve"> </w:t>
      </w:r>
      <w:r w:rsidR="00BB39F7">
        <w:rPr>
          <w:rFonts w:ascii="Arial" w:hAnsi="Arial" w:cs="Arial"/>
        </w:rPr>
        <w:t>In an easy-to-treat phenotype of TB consisting of patients with 1+ or negative smear or non-cavitary disease that comprised</w:t>
      </w:r>
      <w:r>
        <w:rPr>
          <w:rFonts w:ascii="Arial" w:hAnsi="Arial" w:cs="Arial"/>
        </w:rPr>
        <w:t xml:space="preserve"> 47%</w:t>
      </w:r>
      <w:r w:rsidR="00DB7F02">
        <w:rPr>
          <w:rFonts w:ascii="Arial" w:hAnsi="Arial" w:cs="Arial"/>
        </w:rPr>
        <w:t xml:space="preserve"> (1591/3405)</w:t>
      </w:r>
      <w:r>
        <w:rPr>
          <w:rFonts w:ascii="Arial" w:hAnsi="Arial" w:cs="Arial"/>
        </w:rPr>
        <w:t xml:space="preserve"> of the study population</w:t>
      </w:r>
      <w:r w:rsidR="00BB39F7">
        <w:rPr>
          <w:rFonts w:ascii="Arial" w:hAnsi="Arial" w:cs="Arial"/>
        </w:rPr>
        <w:t>,</w:t>
      </w:r>
      <w:r>
        <w:rPr>
          <w:rFonts w:ascii="Arial" w:hAnsi="Arial" w:cs="Arial"/>
        </w:rPr>
        <w:t xml:space="preserve"> the 4 month regimens </w:t>
      </w:r>
      <w:r w:rsidR="00BB39F7">
        <w:rPr>
          <w:rFonts w:ascii="Arial" w:hAnsi="Arial" w:cs="Arial"/>
        </w:rPr>
        <w:t xml:space="preserve">were </w:t>
      </w:r>
      <w:r>
        <w:rPr>
          <w:rFonts w:ascii="Arial" w:hAnsi="Arial" w:cs="Arial"/>
        </w:rPr>
        <w:t xml:space="preserve">non-inferior to </w:t>
      </w:r>
      <w:r w:rsidR="001575DA">
        <w:rPr>
          <w:rFonts w:ascii="Arial" w:hAnsi="Arial" w:cs="Arial"/>
        </w:rPr>
        <w:t>the 6</w:t>
      </w:r>
      <w:r>
        <w:rPr>
          <w:rFonts w:ascii="Arial" w:hAnsi="Arial" w:cs="Arial"/>
        </w:rPr>
        <w:t>-month control regimen</w:t>
      </w:r>
      <w:r w:rsidR="00591D13">
        <w:rPr>
          <w:rFonts w:ascii="Arial" w:hAnsi="Arial" w:cs="Arial"/>
        </w:rPr>
        <w:t xml:space="preserve"> (Figure </w:t>
      </w:r>
      <w:r w:rsidR="00A33E49">
        <w:rPr>
          <w:rFonts w:ascii="Arial" w:hAnsi="Arial" w:cs="Arial"/>
        </w:rPr>
        <w:t>3</w:t>
      </w:r>
      <w:r w:rsidR="00B56E3B">
        <w:rPr>
          <w:rFonts w:ascii="Arial" w:hAnsi="Arial" w:cs="Arial"/>
        </w:rPr>
        <w:t>a</w:t>
      </w:r>
      <w:r w:rsidR="00591D13">
        <w:rPr>
          <w:rFonts w:ascii="Arial" w:hAnsi="Arial" w:cs="Arial"/>
        </w:rPr>
        <w:t>)</w:t>
      </w:r>
      <w:r>
        <w:rPr>
          <w:rFonts w:ascii="Arial" w:hAnsi="Arial" w:cs="Arial"/>
        </w:rPr>
        <w:t xml:space="preserve">. </w:t>
      </w:r>
      <w:r w:rsidR="00BB39F7">
        <w:rPr>
          <w:rFonts w:ascii="Arial" w:hAnsi="Arial" w:cs="Arial"/>
        </w:rPr>
        <w:t xml:space="preserve">In a hard-to-treat phenotype of TB consisting of patients with 3+ smear and cavitary disease that comprised </w:t>
      </w:r>
      <w:r w:rsidR="00AE0135">
        <w:rPr>
          <w:rFonts w:ascii="Arial" w:hAnsi="Arial" w:cs="Arial"/>
        </w:rPr>
        <w:t>34</w:t>
      </w:r>
      <w:r w:rsidR="00BB39F7">
        <w:rPr>
          <w:rFonts w:ascii="Arial" w:hAnsi="Arial" w:cs="Arial"/>
        </w:rPr>
        <w:t>%</w:t>
      </w:r>
      <w:r w:rsidR="00AE0135">
        <w:rPr>
          <w:rFonts w:ascii="Arial" w:hAnsi="Arial" w:cs="Arial"/>
        </w:rPr>
        <w:t xml:space="preserve"> (1162/3405) </w:t>
      </w:r>
      <w:r w:rsidR="00BB39F7">
        <w:rPr>
          <w:rFonts w:ascii="Arial" w:hAnsi="Arial" w:cs="Arial"/>
        </w:rPr>
        <w:t>of the study population, the 4 month regimens were clearly inferior.</w:t>
      </w:r>
    </w:p>
    <w:p w14:paraId="08E6A56E" w14:textId="77777777" w:rsidR="00507929" w:rsidRDefault="00507929" w:rsidP="00804CE5">
      <w:pPr>
        <w:spacing w:line="480" w:lineRule="auto"/>
        <w:rPr>
          <w:rFonts w:ascii="Arial" w:hAnsi="Arial" w:cs="Arial"/>
          <w:b/>
        </w:rPr>
      </w:pPr>
    </w:p>
    <w:p w14:paraId="38942EC5" w14:textId="357C9ED8" w:rsidR="00CC1D42" w:rsidRDefault="00126605" w:rsidP="00804CE5">
      <w:pPr>
        <w:spacing w:line="480" w:lineRule="auto"/>
        <w:rPr>
          <w:rFonts w:ascii="Arial" w:hAnsi="Arial" w:cs="Arial"/>
          <w:b/>
        </w:rPr>
      </w:pPr>
      <w:r>
        <w:rPr>
          <w:rFonts w:ascii="Arial" w:hAnsi="Arial" w:cs="Arial"/>
          <w:b/>
        </w:rPr>
        <w:t>External Validation</w:t>
      </w:r>
    </w:p>
    <w:p w14:paraId="69927550" w14:textId="7D3A33ED" w:rsidR="00CC1D42" w:rsidRDefault="00003A4D" w:rsidP="00804CE5">
      <w:pPr>
        <w:spacing w:line="480" w:lineRule="auto"/>
        <w:outlineLvl w:val="0"/>
        <w:rPr>
          <w:rFonts w:ascii="Arial" w:hAnsi="Arial" w:cs="Arial"/>
        </w:rPr>
      </w:pPr>
      <w:r>
        <w:rPr>
          <w:rFonts w:ascii="Arial" w:hAnsi="Arial" w:cs="Arial"/>
        </w:rPr>
        <w:t>U</w:t>
      </w:r>
      <w:r w:rsidR="00126605">
        <w:rPr>
          <w:rFonts w:ascii="Arial" w:hAnsi="Arial" w:cs="Arial"/>
        </w:rPr>
        <w:t>sing</w:t>
      </w:r>
      <w:r>
        <w:rPr>
          <w:rFonts w:ascii="Arial" w:hAnsi="Arial" w:cs="Arial"/>
        </w:rPr>
        <w:t xml:space="preserve"> an independent</w:t>
      </w:r>
      <w:r w:rsidR="00126605">
        <w:rPr>
          <w:rFonts w:ascii="Arial" w:hAnsi="Arial" w:cs="Arial"/>
        </w:rPr>
        <w:t xml:space="preserve"> data</w:t>
      </w:r>
      <w:r>
        <w:rPr>
          <w:rFonts w:ascii="Arial" w:hAnsi="Arial" w:cs="Arial"/>
        </w:rPr>
        <w:t xml:space="preserve"> set</w:t>
      </w:r>
      <w:r w:rsidR="00126605">
        <w:rPr>
          <w:rFonts w:ascii="Arial" w:hAnsi="Arial" w:cs="Arial"/>
        </w:rPr>
        <w:t xml:space="preserve"> available from the </w:t>
      </w:r>
      <w:r w:rsidR="00456080">
        <w:rPr>
          <w:rFonts w:ascii="Arial" w:hAnsi="Arial" w:cs="Arial"/>
        </w:rPr>
        <w:t xml:space="preserve">DMID 01-009 </w:t>
      </w:r>
      <w:r w:rsidR="00126605">
        <w:rPr>
          <w:rFonts w:ascii="Arial" w:hAnsi="Arial" w:cs="Arial"/>
        </w:rPr>
        <w:t>trial</w:t>
      </w:r>
      <w:r w:rsidR="00BB39F7">
        <w:rPr>
          <w:rFonts w:ascii="Arial" w:hAnsi="Arial" w:cs="Arial"/>
        </w:rPr>
        <w:t xml:space="preserve"> in patients with non-cavitary disease</w:t>
      </w:r>
      <w:r>
        <w:rPr>
          <w:rFonts w:ascii="Arial" w:hAnsi="Arial" w:cs="Arial"/>
        </w:rPr>
        <w:t xml:space="preserve">, the patient population eligible for a 4-month rifampin-containing regimen was validated, confirming that </w:t>
      </w:r>
      <w:r w:rsidR="00B05686">
        <w:rPr>
          <w:rFonts w:ascii="Arial" w:hAnsi="Arial" w:cs="Arial"/>
        </w:rPr>
        <w:t xml:space="preserve">for </w:t>
      </w:r>
      <w:r w:rsidR="001C3112">
        <w:rPr>
          <w:rFonts w:ascii="Arial" w:hAnsi="Arial" w:cs="Arial"/>
        </w:rPr>
        <w:t xml:space="preserve">study participants with low-to-moderate smear grade, </w:t>
      </w:r>
      <w:r w:rsidR="00126605">
        <w:rPr>
          <w:rFonts w:ascii="Arial" w:hAnsi="Arial" w:cs="Arial"/>
        </w:rPr>
        <w:t xml:space="preserve">a standard regimen shortened </w:t>
      </w:r>
      <w:r>
        <w:rPr>
          <w:rFonts w:ascii="Arial" w:hAnsi="Arial" w:cs="Arial"/>
        </w:rPr>
        <w:t xml:space="preserve">to 4 months </w:t>
      </w:r>
      <w:r w:rsidR="001C3112">
        <w:rPr>
          <w:rFonts w:ascii="Arial" w:hAnsi="Arial" w:cs="Arial"/>
        </w:rPr>
        <w:t xml:space="preserve">was </w:t>
      </w:r>
      <w:r w:rsidR="00456080">
        <w:rPr>
          <w:rFonts w:ascii="Arial" w:hAnsi="Arial" w:cs="Arial"/>
        </w:rPr>
        <w:t>non-inferior to</w:t>
      </w:r>
      <w:r w:rsidR="001575DA">
        <w:rPr>
          <w:rFonts w:ascii="Arial" w:hAnsi="Arial" w:cs="Arial"/>
        </w:rPr>
        <w:t xml:space="preserve"> </w:t>
      </w:r>
      <w:r w:rsidR="00456080">
        <w:rPr>
          <w:rFonts w:ascii="Arial" w:hAnsi="Arial" w:cs="Arial"/>
        </w:rPr>
        <w:t xml:space="preserve">standard </w:t>
      </w:r>
      <w:r w:rsidR="001575DA">
        <w:rPr>
          <w:rFonts w:ascii="Arial" w:hAnsi="Arial" w:cs="Arial"/>
        </w:rPr>
        <w:t>6-month</w:t>
      </w:r>
      <w:r w:rsidR="00456080">
        <w:rPr>
          <w:rFonts w:ascii="Arial" w:hAnsi="Arial" w:cs="Arial"/>
        </w:rPr>
        <w:t xml:space="preserve"> regimen</w:t>
      </w:r>
      <w:r w:rsidR="00126605">
        <w:rPr>
          <w:rFonts w:ascii="Arial" w:hAnsi="Arial" w:cs="Arial"/>
        </w:rPr>
        <w:t xml:space="preserve">. We confirmed that the driver of high rates of unfavorable outcomes in the 4-month </w:t>
      </w:r>
      <w:r w:rsidR="001575DA">
        <w:rPr>
          <w:rFonts w:ascii="Arial" w:hAnsi="Arial" w:cs="Arial"/>
        </w:rPr>
        <w:t>DMID 01-009 regimen</w:t>
      </w:r>
      <w:r w:rsidR="00126605">
        <w:rPr>
          <w:rFonts w:ascii="Arial" w:hAnsi="Arial" w:cs="Arial"/>
        </w:rPr>
        <w:t xml:space="preserve"> was due to study participants with high smear grade (Figure </w:t>
      </w:r>
      <w:r w:rsidR="00A33E49">
        <w:rPr>
          <w:rFonts w:ascii="Arial" w:hAnsi="Arial" w:cs="Arial"/>
        </w:rPr>
        <w:t>3</w:t>
      </w:r>
      <w:r w:rsidR="00B56E3B">
        <w:rPr>
          <w:rFonts w:ascii="Arial" w:hAnsi="Arial" w:cs="Arial"/>
        </w:rPr>
        <w:t>b</w:t>
      </w:r>
      <w:r w:rsidR="00B80622">
        <w:rPr>
          <w:rFonts w:ascii="Arial" w:hAnsi="Arial" w:cs="Arial"/>
        </w:rPr>
        <w:t>).</w:t>
      </w:r>
    </w:p>
    <w:p w14:paraId="5E7D6099" w14:textId="6916BDB5" w:rsidR="0070656A" w:rsidRDefault="0070656A" w:rsidP="00804CE5">
      <w:pPr>
        <w:spacing w:line="480" w:lineRule="auto"/>
        <w:outlineLvl w:val="0"/>
        <w:rPr>
          <w:rFonts w:ascii="Arial" w:hAnsi="Arial" w:cs="Arial"/>
        </w:rPr>
      </w:pPr>
    </w:p>
    <w:p w14:paraId="0197E729" w14:textId="77777777" w:rsidR="0070656A" w:rsidRDefault="0070656A" w:rsidP="00804CE5">
      <w:pPr>
        <w:spacing w:line="480" w:lineRule="auto"/>
        <w:outlineLvl w:val="0"/>
        <w:rPr>
          <w:rFonts w:ascii="Arial" w:hAnsi="Arial" w:cs="Arial"/>
          <w:b/>
        </w:rPr>
      </w:pPr>
      <w:r>
        <w:rPr>
          <w:rFonts w:ascii="Arial" w:hAnsi="Arial" w:cs="Arial"/>
          <w:b/>
        </w:rPr>
        <w:t>Impact of Dosing Frequency</w:t>
      </w:r>
    </w:p>
    <w:p w14:paraId="3B8BB79B" w14:textId="6465828B" w:rsidR="0070656A" w:rsidRDefault="0070656A" w:rsidP="00804CE5">
      <w:pPr>
        <w:spacing w:line="480" w:lineRule="auto"/>
        <w:rPr>
          <w:rFonts w:ascii="Arial" w:hAnsi="Arial" w:cs="Arial"/>
        </w:rPr>
      </w:pPr>
      <w:r>
        <w:rPr>
          <w:rFonts w:ascii="Arial" w:hAnsi="Arial" w:cs="Arial"/>
        </w:rPr>
        <w:t xml:space="preserve">Kaplan-Meier estimates show that study participants who fully adhered to a 6/7 weekly dosing treatment had a higher probability of unfavorable outcome than those who adhered to and completed a 7/7 weekly dosing treatment (HR 2.7, 95% CI 1.1-6.7, after adjustment for treatment duration and </w:t>
      </w:r>
      <w:r w:rsidRPr="00FD0033">
        <w:rPr>
          <w:rFonts w:ascii="Arial" w:hAnsi="Arial"/>
        </w:rPr>
        <w:t>country</w:t>
      </w:r>
      <w:r w:rsidR="00A33E49">
        <w:rPr>
          <w:rFonts w:ascii="Arial" w:hAnsi="Arial" w:cs="Arial"/>
        </w:rPr>
        <w:t>) (Figure 4</w:t>
      </w:r>
      <w:r>
        <w:rPr>
          <w:rFonts w:ascii="Arial" w:hAnsi="Arial" w:cs="Arial"/>
        </w:rPr>
        <w:t xml:space="preserve">a). </w:t>
      </w:r>
    </w:p>
    <w:p w14:paraId="7A0F997C" w14:textId="77777777" w:rsidR="0070656A" w:rsidRDefault="0070656A" w:rsidP="00804CE5">
      <w:pPr>
        <w:spacing w:line="480" w:lineRule="auto"/>
        <w:rPr>
          <w:rFonts w:ascii="Arial" w:hAnsi="Arial" w:cs="Arial"/>
        </w:rPr>
      </w:pPr>
    </w:p>
    <w:p w14:paraId="43803018" w14:textId="3EBB835D" w:rsidR="0070656A" w:rsidRPr="00FD0033" w:rsidRDefault="0070656A" w:rsidP="00804CE5">
      <w:pPr>
        <w:spacing w:line="480" w:lineRule="auto"/>
        <w:rPr>
          <w:rFonts w:ascii="Arial" w:hAnsi="Arial"/>
          <w:b/>
        </w:rPr>
      </w:pPr>
      <w:r>
        <w:rPr>
          <w:rFonts w:ascii="Arial" w:hAnsi="Arial" w:cs="Arial"/>
        </w:rPr>
        <w:t xml:space="preserve">To assess the impact of partial adherence on standard of care under a 7/7 or 6/7 dosing strategy, 1285 participants who completed at minimum 4 months of treatment (112 total doses) were included </w:t>
      </w:r>
      <w:r>
        <w:rPr>
          <w:rFonts w:ascii="Arial" w:hAnsi="Arial" w:cs="Arial"/>
        </w:rPr>
        <w:lastRenderedPageBreak/>
        <w:t>in the Cox regression analysis</w:t>
      </w:r>
      <w:r w:rsidR="008031C2">
        <w:rPr>
          <w:rFonts w:ascii="Arial" w:hAnsi="Arial" w:cs="Arial"/>
        </w:rPr>
        <w:t>. Th</w:t>
      </w:r>
      <w:r w:rsidR="00715665">
        <w:rPr>
          <w:rFonts w:ascii="Arial" w:hAnsi="Arial" w:cs="Arial"/>
        </w:rPr>
        <w:t>is</w:t>
      </w:r>
      <w:r w:rsidR="008031C2">
        <w:rPr>
          <w:rFonts w:ascii="Arial" w:hAnsi="Arial" w:cs="Arial"/>
        </w:rPr>
        <w:t xml:space="preserve"> anlaysis set included</w:t>
      </w:r>
      <w:r>
        <w:rPr>
          <w:rFonts w:ascii="Arial" w:hAnsi="Arial" w:cs="Arial"/>
        </w:rPr>
        <w:t xml:space="preserve"> 687 participants </w:t>
      </w:r>
      <w:r w:rsidR="003C1309">
        <w:rPr>
          <w:rFonts w:ascii="Arial" w:hAnsi="Arial" w:cs="Arial"/>
        </w:rPr>
        <w:t xml:space="preserve">who were </w:t>
      </w:r>
      <w:r>
        <w:rPr>
          <w:rFonts w:ascii="Arial" w:hAnsi="Arial" w:cs="Arial"/>
        </w:rPr>
        <w:t xml:space="preserve">prescribed </w:t>
      </w:r>
      <w:r w:rsidR="00715665">
        <w:rPr>
          <w:rFonts w:ascii="Arial" w:hAnsi="Arial" w:cs="Arial"/>
        </w:rPr>
        <w:t xml:space="preserve">treatment with a </w:t>
      </w:r>
      <w:r>
        <w:rPr>
          <w:rFonts w:ascii="Arial" w:hAnsi="Arial" w:cs="Arial"/>
        </w:rPr>
        <w:t>7/7 weekly dosing strategy for 26 weeks (REMoxTB and RIFAQUIN trials) and 598 participants prescribed under a 6/7 weekly dosing strategy for 24 weeks (OFLOTUB trial). On a 7/7 weekly dosing strategy for 26 weeks, participants who took 156 to 181 total doses (corresponding to an average of 6 doses per week or missing up to 14% pills) or 112 to 155 total doses (corresponding to an average of 5 doses per week or missing 14-33% pills) had significantly higher risk of unfavorable outcomes relative to those who took all 182 prescribed doses (7 doses per week), with hazard ratios of 2.4 (95% CI, 1.3-4.3) and 28.9 (95% CI, 10.5-80.0), respectively, adjusted for treatment duration and coun</w:t>
      </w:r>
      <w:r w:rsidR="00A33E49">
        <w:rPr>
          <w:rFonts w:ascii="Arial" w:hAnsi="Arial" w:cs="Arial"/>
        </w:rPr>
        <w:t xml:space="preserve">try (Figure 4b, Supplementary Table </w:t>
      </w:r>
      <w:r w:rsidR="00AA3E1C">
        <w:rPr>
          <w:rFonts w:ascii="Arial" w:hAnsi="Arial" w:cs="Arial"/>
        </w:rPr>
        <w:t>7</w:t>
      </w:r>
      <w:r>
        <w:rPr>
          <w:rFonts w:ascii="Arial" w:hAnsi="Arial" w:cs="Arial"/>
        </w:rPr>
        <w:t>). Similarly, participants receiving 112 to 143 doses (average of 5 doses per week) had</w:t>
      </w:r>
      <w:r w:rsidRPr="009439D3">
        <w:rPr>
          <w:rFonts w:ascii="Arial" w:hAnsi="Arial" w:cs="Arial"/>
        </w:rPr>
        <w:t xml:space="preserve"> </w:t>
      </w:r>
      <w:r>
        <w:rPr>
          <w:rFonts w:ascii="Arial" w:hAnsi="Arial" w:cs="Arial"/>
        </w:rPr>
        <w:t>a higher risk of unfavorable outcomes relative to those who took the complete 144 prescribed doses (6 doses per week) for 24 weeks, with hazard ratio of 2.4 (95% CI 1.2 to 4.8), adjusted for treatmen</w:t>
      </w:r>
      <w:r w:rsidR="00A33E49">
        <w:rPr>
          <w:rFonts w:ascii="Arial" w:hAnsi="Arial" w:cs="Arial"/>
        </w:rPr>
        <w:t xml:space="preserve">t duration and country (Figure </w:t>
      </w:r>
      <w:r w:rsidR="00241E2D">
        <w:rPr>
          <w:rFonts w:ascii="Arial" w:hAnsi="Arial" w:cs="Arial"/>
        </w:rPr>
        <w:t>4</w:t>
      </w:r>
      <w:r w:rsidR="00A33E49">
        <w:rPr>
          <w:rFonts w:ascii="Arial" w:hAnsi="Arial" w:cs="Arial"/>
        </w:rPr>
        <w:t xml:space="preserve">c, Supplementary Table </w:t>
      </w:r>
      <w:r w:rsidR="00AA3E1C">
        <w:rPr>
          <w:rFonts w:ascii="Arial" w:hAnsi="Arial" w:cs="Arial"/>
        </w:rPr>
        <w:t>7</w:t>
      </w:r>
      <w:r>
        <w:rPr>
          <w:rFonts w:ascii="Arial" w:hAnsi="Arial" w:cs="Arial"/>
        </w:rPr>
        <w:t xml:space="preserve">). </w:t>
      </w:r>
    </w:p>
    <w:p w14:paraId="2878BCAB" w14:textId="77777777" w:rsidR="0070656A" w:rsidRDefault="0070656A" w:rsidP="00804CE5">
      <w:pPr>
        <w:spacing w:line="480" w:lineRule="auto"/>
        <w:outlineLvl w:val="0"/>
        <w:rPr>
          <w:rFonts w:ascii="Arial" w:hAnsi="Arial" w:cs="Arial"/>
          <w:b/>
        </w:rPr>
      </w:pPr>
    </w:p>
    <w:p w14:paraId="32AB5B59" w14:textId="77777777" w:rsidR="00CC1D42" w:rsidRDefault="00CC1D42" w:rsidP="00804CE5">
      <w:pPr>
        <w:spacing w:line="480" w:lineRule="auto"/>
        <w:outlineLvl w:val="0"/>
        <w:rPr>
          <w:rFonts w:ascii="Arial" w:hAnsi="Arial" w:cs="Arial"/>
          <w:b/>
        </w:rPr>
      </w:pPr>
    </w:p>
    <w:p w14:paraId="6A83F0C3" w14:textId="77777777" w:rsidR="00641897" w:rsidRDefault="00641897" w:rsidP="00804CE5">
      <w:pPr>
        <w:rPr>
          <w:rFonts w:ascii="Arial" w:hAnsi="Arial" w:cs="Arial"/>
          <w:b/>
        </w:rPr>
      </w:pPr>
      <w:r>
        <w:rPr>
          <w:rFonts w:ascii="Arial" w:hAnsi="Arial" w:cs="Arial"/>
          <w:b/>
        </w:rPr>
        <w:br w:type="page"/>
      </w:r>
    </w:p>
    <w:p w14:paraId="55C8FCD2" w14:textId="0A3D3E19" w:rsidR="00101E45" w:rsidRPr="0031534D" w:rsidRDefault="00101E45" w:rsidP="00804CE5">
      <w:pPr>
        <w:spacing w:line="480" w:lineRule="auto"/>
        <w:outlineLvl w:val="0"/>
        <w:rPr>
          <w:rFonts w:ascii="Arial" w:hAnsi="Arial"/>
          <w:b/>
        </w:rPr>
      </w:pPr>
      <w:r>
        <w:rPr>
          <w:rFonts w:ascii="Arial" w:hAnsi="Arial" w:cs="Arial"/>
          <w:b/>
        </w:rPr>
        <w:lastRenderedPageBreak/>
        <w:t>Discussion</w:t>
      </w:r>
    </w:p>
    <w:p w14:paraId="3664405F" w14:textId="33906132" w:rsidR="0085435E" w:rsidRDefault="00101E45" w:rsidP="00804CE5">
      <w:pPr>
        <w:spacing w:line="480" w:lineRule="auto"/>
        <w:rPr>
          <w:rFonts w:ascii="Arial" w:hAnsi="Arial" w:cs="Arial"/>
        </w:rPr>
      </w:pPr>
      <w:r>
        <w:rPr>
          <w:rFonts w:ascii="Arial" w:hAnsi="Arial" w:cs="Arial"/>
        </w:rPr>
        <w:t xml:space="preserve">In this </w:t>
      </w:r>
      <w:r w:rsidR="003032D0">
        <w:rPr>
          <w:rFonts w:ascii="Arial" w:hAnsi="Arial" w:cs="Arial"/>
        </w:rPr>
        <w:t xml:space="preserve">individual patient </w:t>
      </w:r>
      <w:r w:rsidR="008007DC">
        <w:rPr>
          <w:rFonts w:ascii="Arial" w:hAnsi="Arial" w:cs="Arial"/>
        </w:rPr>
        <w:t xml:space="preserve">pooled </w:t>
      </w:r>
      <w:r>
        <w:rPr>
          <w:rFonts w:ascii="Arial" w:hAnsi="Arial" w:cs="Arial"/>
        </w:rPr>
        <w:t xml:space="preserve">analysis of recent phase 3 </w:t>
      </w:r>
      <w:r w:rsidR="005E32C5">
        <w:rPr>
          <w:rFonts w:ascii="Arial" w:hAnsi="Arial" w:cs="Arial"/>
        </w:rPr>
        <w:t xml:space="preserve">treatment shortening </w:t>
      </w:r>
      <w:r>
        <w:rPr>
          <w:rFonts w:ascii="Arial" w:hAnsi="Arial" w:cs="Arial"/>
        </w:rPr>
        <w:t>trials, we have shown that adult patients with minimal disease, as defined by low smear grade</w:t>
      </w:r>
      <w:r w:rsidR="0088662B">
        <w:rPr>
          <w:rFonts w:ascii="Arial" w:hAnsi="Arial" w:cs="Arial"/>
        </w:rPr>
        <w:t xml:space="preserve"> or</w:t>
      </w:r>
      <w:r>
        <w:rPr>
          <w:rFonts w:ascii="Arial" w:hAnsi="Arial" w:cs="Arial"/>
        </w:rPr>
        <w:t xml:space="preserve"> the absence of cavitation were</w:t>
      </w:r>
      <w:r w:rsidRPr="003301BD">
        <w:rPr>
          <w:rFonts w:ascii="Arial" w:hAnsi="Arial" w:cs="Arial"/>
        </w:rPr>
        <w:t xml:space="preserve"> </w:t>
      </w:r>
      <w:r w:rsidRPr="00E07256">
        <w:rPr>
          <w:rFonts w:ascii="Arial" w:hAnsi="Arial" w:cs="Arial"/>
        </w:rPr>
        <w:t>at</w:t>
      </w:r>
      <w:r>
        <w:rPr>
          <w:rFonts w:ascii="Arial" w:hAnsi="Arial" w:cs="Arial"/>
        </w:rPr>
        <w:t xml:space="preserve"> </w:t>
      </w:r>
      <w:r w:rsidRPr="003301BD">
        <w:rPr>
          <w:rFonts w:ascii="Arial" w:hAnsi="Arial" w:cs="Arial"/>
        </w:rPr>
        <w:t>low</w:t>
      </w:r>
      <w:r>
        <w:rPr>
          <w:rFonts w:ascii="Arial" w:hAnsi="Arial" w:cs="Arial"/>
        </w:rPr>
        <w:t xml:space="preserve">er </w:t>
      </w:r>
      <w:r w:rsidRPr="00E07256">
        <w:rPr>
          <w:rFonts w:ascii="Arial" w:hAnsi="Arial" w:cs="Arial"/>
        </w:rPr>
        <w:t xml:space="preserve">baseline </w:t>
      </w:r>
      <w:r>
        <w:rPr>
          <w:rFonts w:ascii="Arial" w:hAnsi="Arial" w:cs="Arial"/>
        </w:rPr>
        <w:t>risk for unfavorable outcomes; in this population the experimental 4-month regimens are effective. Patients with</w:t>
      </w:r>
      <w:r w:rsidR="0096741C">
        <w:rPr>
          <w:rFonts w:ascii="Arial" w:hAnsi="Arial" w:cs="Arial"/>
        </w:rPr>
        <w:t xml:space="preserve"> either of</w:t>
      </w:r>
      <w:r>
        <w:rPr>
          <w:rFonts w:ascii="Arial" w:hAnsi="Arial" w:cs="Arial"/>
        </w:rPr>
        <w:t xml:space="preserve"> these low-risk characteristics, which define an easy-to-treat phenotype of TB, comprised 47%</w:t>
      </w:r>
      <w:r w:rsidR="007A29C0">
        <w:rPr>
          <w:rFonts w:ascii="Arial" w:hAnsi="Arial" w:cs="Arial"/>
        </w:rPr>
        <w:t xml:space="preserve"> (1591/3405)</w:t>
      </w:r>
      <w:r>
        <w:rPr>
          <w:rFonts w:ascii="Arial" w:hAnsi="Arial" w:cs="Arial"/>
        </w:rPr>
        <w:t xml:space="preserve"> of the total study population. Conversely, we have shown that </w:t>
      </w:r>
      <w:r w:rsidR="00D0037E">
        <w:rPr>
          <w:rFonts w:ascii="Arial" w:hAnsi="Arial" w:cs="Arial"/>
        </w:rPr>
        <w:t xml:space="preserve">a </w:t>
      </w:r>
      <w:r>
        <w:rPr>
          <w:rFonts w:ascii="Arial" w:hAnsi="Arial" w:cs="Arial"/>
        </w:rPr>
        <w:t>smear grade</w:t>
      </w:r>
      <w:r w:rsidR="00D0037E">
        <w:rPr>
          <w:rFonts w:ascii="Arial" w:hAnsi="Arial" w:cs="Arial"/>
        </w:rPr>
        <w:t xml:space="preserve"> of 3+ </w:t>
      </w:r>
      <w:r w:rsidR="00E52D76">
        <w:rPr>
          <w:rFonts w:ascii="Arial" w:hAnsi="Arial" w:cs="Arial"/>
        </w:rPr>
        <w:t>and</w:t>
      </w:r>
      <w:r>
        <w:rPr>
          <w:rFonts w:ascii="Arial" w:hAnsi="Arial" w:cs="Arial"/>
        </w:rPr>
        <w:t xml:space="preserve"> the presence of cavitation on chest radiograph at </w:t>
      </w:r>
      <w:r w:rsidRPr="00E07256">
        <w:rPr>
          <w:rFonts w:ascii="Arial" w:hAnsi="Arial" w:cs="Arial"/>
        </w:rPr>
        <w:t xml:space="preserve">baseline </w:t>
      </w:r>
      <w:r>
        <w:rPr>
          <w:rFonts w:ascii="Arial" w:hAnsi="Arial" w:cs="Arial"/>
        </w:rPr>
        <w:t>define a hard-to-treat phenotype, comprising 34%</w:t>
      </w:r>
      <w:r w:rsidR="007A29C0">
        <w:rPr>
          <w:rFonts w:ascii="Arial" w:hAnsi="Arial" w:cs="Arial"/>
        </w:rPr>
        <w:t xml:space="preserve"> (1162/3405)</w:t>
      </w:r>
      <w:r>
        <w:rPr>
          <w:rFonts w:ascii="Arial" w:hAnsi="Arial" w:cs="Arial"/>
        </w:rPr>
        <w:t xml:space="preserve"> of the population, and this group </w:t>
      </w:r>
      <w:r w:rsidR="0064728E">
        <w:rPr>
          <w:rFonts w:ascii="Arial" w:hAnsi="Arial" w:cs="Arial"/>
        </w:rPr>
        <w:t xml:space="preserve">may </w:t>
      </w:r>
      <w:r>
        <w:rPr>
          <w:rFonts w:ascii="Arial" w:hAnsi="Arial" w:cs="Arial"/>
        </w:rPr>
        <w:t>require longer durations of treatment than the current standard 6-month regimen to achieve the highest cure rates feasible</w:t>
      </w:r>
      <w:r w:rsidRPr="003301BD">
        <w:rPr>
          <w:rFonts w:ascii="Arial" w:hAnsi="Arial" w:cs="Arial"/>
        </w:rPr>
        <w:t>.</w:t>
      </w:r>
      <w:r>
        <w:rPr>
          <w:rFonts w:ascii="Arial" w:hAnsi="Arial" w:cs="Arial"/>
        </w:rPr>
        <w:t xml:space="preserve"> In our analyses, other baseline characteristics associated with unfavorable outcomes included being HIV-infected and having a lower BMI at study entry. Male sex was consistently and independently linked with poor likelihood of cure in both control and experimental regimens.  The etiology for this association is not clear, particularly given the association persists after adjusting for severity of disease and adherence.  Our definitions of TB phenotypes were validated in an independent trial dataset of patients with non-cavitary disease. Whereas this trial was stopped early due to high</w:t>
      </w:r>
      <w:r w:rsidR="003760C6">
        <w:rPr>
          <w:rFonts w:ascii="Arial" w:hAnsi="Arial" w:cs="Arial"/>
        </w:rPr>
        <w:t>e</w:t>
      </w:r>
      <w:r>
        <w:rPr>
          <w:rFonts w:ascii="Arial" w:hAnsi="Arial" w:cs="Arial"/>
        </w:rPr>
        <w:t xml:space="preserve">r rates of unfavorable outcomes in the experimental 4-month regimen, we confirmed that a 4-month regimen would be effective for patients with negative, 1+ or 2+ smears </w:t>
      </w:r>
      <w:r w:rsidR="007A29C0">
        <w:rPr>
          <w:rFonts w:ascii="Arial" w:hAnsi="Arial" w:cs="Arial"/>
        </w:rPr>
        <w:t xml:space="preserve">in non-cavitary disease </w:t>
      </w:r>
      <w:r>
        <w:rPr>
          <w:rFonts w:ascii="Arial" w:hAnsi="Arial" w:cs="Arial"/>
        </w:rPr>
        <w:t xml:space="preserve">at baseline.  We also confirmed that patients with high smear grade (smear 3+) at baseline were more likely to fail treatment regardless of receiving 4-month or 6-month regimens, as compared to those with lower smear grades at baseline.  </w:t>
      </w:r>
      <w:r w:rsidR="004F0377">
        <w:rPr>
          <w:rFonts w:ascii="Arial" w:hAnsi="Arial" w:cs="Arial"/>
        </w:rPr>
        <w:t>Given the established importance of cavitation in disease prognosis and treatment response</w:t>
      </w:r>
      <w:r w:rsidR="00E53553">
        <w:rPr>
          <w:rFonts w:ascii="Arial" w:hAnsi="Arial" w:cs="Arial"/>
        </w:rPr>
        <w:fldChar w:fldCharType="begin" w:fldLock="1"/>
      </w:r>
      <w:r w:rsidR="00282D2D">
        <w:rPr>
          <w:rFonts w:ascii="Arial" w:hAnsi="Arial" w:cs="Arial"/>
        </w:rPr>
        <w:instrText>ADDIN CSL_CITATION { "citationItems" : [ { "id" : "ITEM-1",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"ITEM-1",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"id" : "ITEM-2", "itemData" : { "DOI" : "10.1002/cpt.634", "ISSN" : "1532-6535", "PMID" : "28124478", "abstract" : "Rifapentine is a highly active antituberculosis antibiotic with treatment-shortening potential; however, exposure-response relations and the dose needed for maximal bactericidal activity have not been established. We used pharmacokinetic/pharmacodynamic data from 657 adults with pulmonary tuberculosis participating in treatment trials to compare rifapentine (n = 405) with rifampin (n = 252) as part of intensive-phase therapy. Population pharmacokinetic/pharmacodynamic analyses were performed with nonlinear mixed-effects modeling. Time to stable culture conversion of sputum to negative was determined in cultures obtained over 4 months of therapy. Rifapentine exposures were lower in participants who were coinfected with human immunodeficiency virus, black, male, or fasting when taking drug. Rifapentine exposure, large lung cavity size, and geographic region were independently associated with time to culture conversion in liquid media. Maximal treatment efficacy is likely achieved with rifapentine at 1,200 mg daily. Patients with large lung cavities appear less responsive to treatment, even at high rifapentine doses.", "author" : [ { "dropping-particle" : "", "family" : "Savic", "given" : "R M", "non-dropping-particle" : "", "parse-names" : false, "suffix" : "" }, { "dropping-particle" : "", "family" : "Weiner", "given" : "M", "non-dropping-particle" : "", "parse-names" : false, "suffix" : "" }, { "dropping-particle" : "", "family" : "MacKenzie", "given" : "W R", "non-dropping-particle" : "", "parse-names" : false, "suffix" : "" }, { "dropping-particle" : "", "family" : "Engle", "given" : "M", "non-dropping-particle" : "", "parse-names" : false, "suffix" : "" }, { "dropping-particle" : "", "family" : "Whitworth", "given" : "W C", "non-dropping-particle" : "", "parse-names" : false, "suffix" : "" }, { "dropping-particle" : "", "family" : "Johnson", "given" : "J L", "non-dropping-particle" : "", "parse-names" : false, "suffix" : "" }, { "dropping-particle" : "", "family" : "Nsubuga", "given" : "P", "non-dropping-particle" : "", "parse-names" : false, "suffix" : "" }, { "dropping-particle" : "", "family" : "Nahid", "given" : "P", "non-dropping-particle" : "", "parse-names" : false, "suffix" : "" }, { "dropping-particle" : "V", "family" : "Nguyen", "given" : "N", "non-dropping-particle" : "", "parse-names" : false, "suffix" : "" }, { "dropping-particle" : "", "family" : "Peloquin", "given" : "C A", "non-dropping-particle" : "", "parse-names" : false, "suffix" : "" }, { "dropping-particle" : "", "family" : "Dooley", "given" : "K E", "non-dropping-particle" : "", "parse-names" : false, "suffix" : "" }, { "dropping-particle" : "", "family" : "Dorman", "given" : "S E", "non-dropping-particle" : "", "parse-names" : false, "suffix" : "" }, { "dropping-particle" : "", "family" : "Tuberculosis Trials Consortium of the Centers for Disease Control and Prevention", "given" : "", "non-dropping-particle" : "", "parse-names" : false, "suffix" : "" } ], "container-title" : "Clinical pharmacology and therapeutics", "id" : "ITEM-2", "issue" : "2", "issued" : { "date-parts" : [ [ "2017", "1", "25" ] ] }, "page" : "321-331", "title" : "Defining the optimal dose of rifapentine for pulmonary tuberculosis: Exposure-response relations from two phase II clinical trials.", "type" : "article-journal", "volume" : "102" }, "uris" : [ "http://www.mendeley.com/documents/?uuid=a39d54c3-ee37-3e03-a9a6-de53fabbc1e3" ] }, { "id" : "ITEM-3", "itemData" : { "DOI" : "10.5588/ijtld.16.0217", "ISSN" : "10273719", "author" : [ { "dropping-particle" : "", "family" : "Alipanah", "given" : "N.", "non-dropping-particle" : "", "parse-names" : false, "suffix" : "" }, { "dropping-particle" : "", "family" : "Cattamanchi", "given" : "A.", "non-dropping-particle" : "", "parse-names" : false, "suffix" : "" }, { "dropping-particle" : "", "family" : "Menzies", "given" : "R.", "non-dropping-particle" : "", "parse-names" : false, "suffix" : "" }, { "dropping-particle" : "", "family" : "Hopewell", "given" : "P. C.", "non-dropping-particle" : "", "parse-names" : false, "suffix" : "" }, { "dropping-particle" : "", "family" : "Chaisson", "given" : "R. E.", "non-dropping-particle" : "", "parse-names" : false, "suffix" : "" }, { "dropping-particle" : "", "family" : "Nahid", "given" : "P.", "non-dropping-particle" : "", "parse-names" : false, "suffix" : "" } ], "container-title" : "The International Journal of Tuberculosis and Lung Disease", "id" : "ITEM-3", "issue" : "11", "issued" : { "date-parts" : [ [ "2016", "11", "1" ] ] }, "page" : "1522-1528", "title" : "Treatment of non-cavitary pulmonary tuberculosis with shortened fluoroquinolone-based regimens: a meta-analysis", "type" : "article-journal", "volume" : "20" }, "uris" : [ "http://www.mendeley.com/documents/?uuid=c6851839-64bd-36e4-8f8e-3371a5c9b21e" ] } ], "mendeley" : { "formattedCitation" : "&lt;sup&gt;5,10,11&lt;/sup&gt;", "plainTextFormattedCitation" : "5,10,11", "previouslyFormattedCitation" : "&lt;sup&gt;5,10,11&lt;/sup&gt;" }, "properties" : {  }, "schema" : "https://github.com/citation-style-language/schema/raw/master/csl-citation.json" }</w:instrText>
      </w:r>
      <w:r w:rsidR="00E53553">
        <w:rPr>
          <w:rFonts w:ascii="Arial" w:hAnsi="Arial" w:cs="Arial"/>
        </w:rPr>
        <w:fldChar w:fldCharType="separate"/>
      </w:r>
      <w:r w:rsidR="00282D2D" w:rsidRPr="00282D2D">
        <w:rPr>
          <w:rFonts w:ascii="Arial" w:hAnsi="Arial" w:cs="Arial"/>
          <w:noProof/>
          <w:vertAlign w:val="superscript"/>
        </w:rPr>
        <w:t>5,10,11</w:t>
      </w:r>
      <w:r w:rsidR="00E53553">
        <w:rPr>
          <w:rFonts w:ascii="Arial" w:hAnsi="Arial" w:cs="Arial"/>
        </w:rPr>
        <w:fldChar w:fldCharType="end"/>
      </w:r>
      <w:r w:rsidR="004F0377">
        <w:rPr>
          <w:rFonts w:ascii="Arial" w:hAnsi="Arial" w:cs="Arial"/>
        </w:rPr>
        <w:t xml:space="preserve">, we </w:t>
      </w:r>
      <w:r w:rsidR="0085435E">
        <w:rPr>
          <w:rFonts w:ascii="Arial" w:hAnsi="Arial" w:cs="Arial"/>
        </w:rPr>
        <w:t xml:space="preserve">included </w:t>
      </w:r>
      <w:r w:rsidR="004F0377">
        <w:rPr>
          <w:rFonts w:ascii="Arial" w:hAnsi="Arial" w:cs="Arial"/>
        </w:rPr>
        <w:t xml:space="preserve">this characteristic </w:t>
      </w:r>
      <w:r w:rsidR="0085435E">
        <w:rPr>
          <w:rFonts w:ascii="Arial" w:hAnsi="Arial" w:cs="Arial"/>
        </w:rPr>
        <w:t>in the</w:t>
      </w:r>
      <w:r w:rsidR="004F0377">
        <w:rPr>
          <w:rFonts w:ascii="Arial" w:hAnsi="Arial" w:cs="Arial"/>
        </w:rPr>
        <w:t xml:space="preserve"> analyses of</w:t>
      </w:r>
      <w:r w:rsidR="0085435E">
        <w:rPr>
          <w:rFonts w:ascii="Arial" w:hAnsi="Arial" w:cs="Arial"/>
        </w:rPr>
        <w:t xml:space="preserve"> non-inferiority </w:t>
      </w:r>
      <w:r w:rsidR="004F0377">
        <w:rPr>
          <w:rFonts w:ascii="Arial" w:hAnsi="Arial" w:cs="Arial"/>
        </w:rPr>
        <w:t>for</w:t>
      </w:r>
      <w:r w:rsidR="0085435E">
        <w:rPr>
          <w:rFonts w:ascii="Arial" w:hAnsi="Arial" w:cs="Arial"/>
        </w:rPr>
        <w:t xml:space="preserve"> various sub-groups</w:t>
      </w:r>
      <w:r w:rsidR="004F0377">
        <w:rPr>
          <w:rFonts w:ascii="Arial" w:hAnsi="Arial" w:cs="Arial"/>
        </w:rPr>
        <w:t xml:space="preserve">, despite the fact that cavitation was not a significant variable in the </w:t>
      </w:r>
      <w:r w:rsidR="004F0377" w:rsidRPr="00216C72">
        <w:rPr>
          <w:rFonts w:ascii="Arial" w:hAnsi="Arial" w:cs="Arial"/>
        </w:rPr>
        <w:t>multivariate analysis</w:t>
      </w:r>
      <w:r w:rsidR="007B3033">
        <w:rPr>
          <w:rFonts w:ascii="Arial" w:hAnsi="Arial" w:cs="Arial"/>
        </w:rPr>
        <w:t xml:space="preserve"> and</w:t>
      </w:r>
      <w:r w:rsidR="00386CDA">
        <w:rPr>
          <w:rFonts w:ascii="Arial" w:hAnsi="Arial" w:cs="Arial"/>
        </w:rPr>
        <w:t xml:space="preserve"> only</w:t>
      </w:r>
      <w:r w:rsidR="007B3033">
        <w:rPr>
          <w:rFonts w:ascii="Arial" w:hAnsi="Arial" w:cs="Arial"/>
        </w:rPr>
        <w:t xml:space="preserve"> </w:t>
      </w:r>
      <w:r w:rsidR="00F24372">
        <w:rPr>
          <w:rFonts w:ascii="Arial" w:hAnsi="Arial" w:cs="Arial"/>
        </w:rPr>
        <w:t>marginally significant in the univariate analysis, Supplementa</w:t>
      </w:r>
      <w:r w:rsidR="00CB0320">
        <w:rPr>
          <w:rFonts w:ascii="Arial" w:hAnsi="Arial" w:cs="Arial"/>
        </w:rPr>
        <w:t>ry</w:t>
      </w:r>
      <w:r w:rsidR="00F24372">
        <w:rPr>
          <w:rFonts w:ascii="Arial" w:hAnsi="Arial" w:cs="Arial"/>
        </w:rPr>
        <w:t xml:space="preserve"> Table 8-10</w:t>
      </w:r>
      <w:r w:rsidR="0085435E" w:rsidRPr="00216C72">
        <w:rPr>
          <w:rFonts w:ascii="Arial" w:hAnsi="Arial" w:cs="Arial"/>
        </w:rPr>
        <w:t>.</w:t>
      </w:r>
      <w:r w:rsidR="008412E6" w:rsidRPr="00216C72">
        <w:rPr>
          <w:rFonts w:ascii="Arial" w:hAnsi="Arial" w:cs="Arial"/>
        </w:rPr>
        <w:t xml:space="preserve"> </w:t>
      </w:r>
      <w:r w:rsidR="004F0377" w:rsidRPr="00216C72">
        <w:rPr>
          <w:rFonts w:ascii="Arial" w:hAnsi="Arial" w:cs="Arial"/>
        </w:rPr>
        <w:t xml:space="preserve"> In</w:t>
      </w:r>
      <w:r w:rsidR="002A48A2" w:rsidRPr="00216C72">
        <w:rPr>
          <w:rFonts w:ascii="Arial" w:hAnsi="Arial" w:cs="Arial"/>
        </w:rPr>
        <w:t xml:space="preserve"> analys</w:t>
      </w:r>
      <w:r w:rsidR="007A7E07" w:rsidRPr="00216C72">
        <w:rPr>
          <w:rFonts w:ascii="Arial" w:hAnsi="Arial" w:cs="Arial"/>
        </w:rPr>
        <w:t>e</w:t>
      </w:r>
      <w:r w:rsidR="002A48A2" w:rsidRPr="00216C72">
        <w:rPr>
          <w:rFonts w:ascii="Arial" w:hAnsi="Arial" w:cs="Arial"/>
        </w:rPr>
        <w:t xml:space="preserve">s </w:t>
      </w:r>
      <w:r w:rsidR="004F0377" w:rsidRPr="00216C72">
        <w:rPr>
          <w:rFonts w:ascii="Arial" w:hAnsi="Arial" w:cs="Arial"/>
        </w:rPr>
        <w:t>limited to</w:t>
      </w:r>
      <w:r w:rsidR="002A48A2" w:rsidRPr="00216C72">
        <w:rPr>
          <w:rFonts w:ascii="Arial" w:hAnsi="Arial" w:cs="Arial"/>
        </w:rPr>
        <w:t xml:space="preserve"> </w:t>
      </w:r>
      <w:r w:rsidR="004F0377" w:rsidRPr="00216C72">
        <w:rPr>
          <w:rFonts w:ascii="Arial" w:hAnsi="Arial" w:cs="Arial"/>
        </w:rPr>
        <w:t xml:space="preserve">the </w:t>
      </w:r>
      <w:r w:rsidR="007A7E07" w:rsidRPr="00216C72">
        <w:rPr>
          <w:rFonts w:ascii="Arial" w:hAnsi="Arial" w:cs="Arial"/>
        </w:rPr>
        <w:t>trials</w:t>
      </w:r>
      <w:r w:rsidR="002A48A2" w:rsidRPr="00216C72">
        <w:rPr>
          <w:rFonts w:ascii="Arial" w:hAnsi="Arial" w:cs="Arial"/>
        </w:rPr>
        <w:t xml:space="preserve"> </w:t>
      </w:r>
      <w:r w:rsidR="007A7E07" w:rsidRPr="00216C72">
        <w:rPr>
          <w:rFonts w:ascii="Arial" w:hAnsi="Arial" w:cs="Arial"/>
        </w:rPr>
        <w:t>providing detailed</w:t>
      </w:r>
      <w:r w:rsidR="002A48A2" w:rsidRPr="00216C72">
        <w:rPr>
          <w:rFonts w:ascii="Arial" w:hAnsi="Arial" w:cs="Arial"/>
        </w:rPr>
        <w:t xml:space="preserve"> chest</w:t>
      </w:r>
      <w:r w:rsidR="00DB0517" w:rsidRPr="00216C72">
        <w:rPr>
          <w:rFonts w:ascii="Arial" w:hAnsi="Arial" w:cs="Arial"/>
        </w:rPr>
        <w:t xml:space="preserve"> radiograph</w:t>
      </w:r>
      <w:r w:rsidR="002A48A2" w:rsidRPr="00216C72">
        <w:rPr>
          <w:rFonts w:ascii="Arial" w:hAnsi="Arial" w:cs="Arial"/>
        </w:rPr>
        <w:t xml:space="preserve"> readout data</w:t>
      </w:r>
      <w:r w:rsidR="004F0377" w:rsidRPr="00216C72">
        <w:rPr>
          <w:rFonts w:ascii="Arial" w:hAnsi="Arial" w:cs="Arial"/>
        </w:rPr>
        <w:t xml:space="preserve">, specifically </w:t>
      </w:r>
      <w:r w:rsidR="002A48A2" w:rsidRPr="00216C72">
        <w:rPr>
          <w:rFonts w:ascii="Arial" w:hAnsi="Arial" w:cs="Arial"/>
        </w:rPr>
        <w:t>OFLOTUB</w:t>
      </w:r>
      <w:r w:rsidR="002A48A2">
        <w:rPr>
          <w:rFonts w:ascii="Arial" w:hAnsi="Arial" w:cs="Arial"/>
        </w:rPr>
        <w:t xml:space="preserve"> and RIFAQUIN</w:t>
      </w:r>
      <w:r w:rsidR="004F0377">
        <w:rPr>
          <w:rFonts w:ascii="Arial" w:hAnsi="Arial" w:cs="Arial"/>
        </w:rPr>
        <w:t xml:space="preserve">, we confirmed </w:t>
      </w:r>
      <w:r w:rsidR="008412E6">
        <w:rPr>
          <w:rFonts w:ascii="Arial" w:hAnsi="Arial" w:cs="Arial"/>
        </w:rPr>
        <w:t xml:space="preserve">that </w:t>
      </w:r>
      <w:r w:rsidR="002A48A2">
        <w:rPr>
          <w:rFonts w:ascii="Arial" w:hAnsi="Arial" w:cs="Arial"/>
        </w:rPr>
        <w:t xml:space="preserve">cavity size, bilateral disease and disease extent measured by zone scores were all significant risk factors for </w:t>
      </w:r>
      <w:r w:rsidR="00DB0517">
        <w:rPr>
          <w:rFonts w:ascii="Arial" w:hAnsi="Arial" w:cs="Arial"/>
        </w:rPr>
        <w:lastRenderedPageBreak/>
        <w:t>unfavorable outcome</w:t>
      </w:r>
      <w:r w:rsidR="002A48A2">
        <w:rPr>
          <w:rFonts w:ascii="Arial" w:hAnsi="Arial" w:cs="Arial"/>
        </w:rPr>
        <w:t xml:space="preserve"> </w:t>
      </w:r>
      <w:r w:rsidR="00DB0517">
        <w:rPr>
          <w:rFonts w:ascii="Arial" w:hAnsi="Arial" w:cs="Arial"/>
        </w:rPr>
        <w:t xml:space="preserve"> (Supplementa</w:t>
      </w:r>
      <w:r w:rsidR="00CB0320">
        <w:rPr>
          <w:rFonts w:ascii="Arial" w:hAnsi="Arial" w:cs="Arial"/>
        </w:rPr>
        <w:t>r</w:t>
      </w:r>
      <w:r w:rsidR="00DB0517">
        <w:rPr>
          <w:rFonts w:ascii="Arial" w:hAnsi="Arial" w:cs="Arial"/>
        </w:rPr>
        <w:t xml:space="preserve">y Figure </w:t>
      </w:r>
      <w:r w:rsidR="00AA3E1C">
        <w:rPr>
          <w:rFonts w:ascii="Arial" w:hAnsi="Arial" w:cs="Arial"/>
        </w:rPr>
        <w:t>1</w:t>
      </w:r>
      <w:r w:rsidR="00DB0517">
        <w:rPr>
          <w:rFonts w:ascii="Arial" w:hAnsi="Arial" w:cs="Arial"/>
        </w:rPr>
        <w:t xml:space="preserve"> and Supplementary Figure </w:t>
      </w:r>
      <w:r w:rsidR="00AA3E1C">
        <w:rPr>
          <w:rFonts w:ascii="Arial" w:hAnsi="Arial" w:cs="Arial"/>
        </w:rPr>
        <w:t>2</w:t>
      </w:r>
      <w:r w:rsidR="00DB0517">
        <w:rPr>
          <w:rFonts w:ascii="Arial" w:hAnsi="Arial" w:cs="Arial"/>
        </w:rPr>
        <w:t>), confirming that disease severity determined by chest radiograph remain</w:t>
      </w:r>
      <w:r w:rsidR="005A5725">
        <w:rPr>
          <w:rFonts w:ascii="Arial" w:hAnsi="Arial" w:cs="Arial"/>
        </w:rPr>
        <w:t>s</w:t>
      </w:r>
      <w:r w:rsidR="00DB0517">
        <w:rPr>
          <w:rFonts w:ascii="Arial" w:hAnsi="Arial" w:cs="Arial"/>
        </w:rPr>
        <w:t xml:space="preserve"> an important tool for </w:t>
      </w:r>
      <w:r w:rsidR="002D5230">
        <w:rPr>
          <w:rFonts w:ascii="Arial" w:hAnsi="Arial" w:cs="Arial"/>
        </w:rPr>
        <w:t xml:space="preserve">the </w:t>
      </w:r>
      <w:r w:rsidR="0086511D">
        <w:rPr>
          <w:rFonts w:ascii="Arial" w:hAnsi="Arial" w:cs="Arial"/>
        </w:rPr>
        <w:t>definition</w:t>
      </w:r>
      <w:r w:rsidR="00DB0517">
        <w:rPr>
          <w:rFonts w:ascii="Arial" w:hAnsi="Arial" w:cs="Arial"/>
        </w:rPr>
        <w:t xml:space="preserve"> of hard-to-treat phenotypes</w:t>
      </w:r>
      <w:r w:rsidR="006339E1">
        <w:rPr>
          <w:rFonts w:ascii="Arial" w:hAnsi="Arial" w:cs="Arial"/>
        </w:rPr>
        <w:t xml:space="preserve"> and prediction of treatment outcome</w:t>
      </w:r>
      <w:r w:rsidR="00DB0517">
        <w:rPr>
          <w:rFonts w:ascii="Arial" w:hAnsi="Arial" w:cs="Arial"/>
        </w:rPr>
        <w:t>.</w:t>
      </w:r>
      <w:r w:rsidR="0085435E">
        <w:rPr>
          <w:rFonts w:ascii="Arial" w:hAnsi="Arial" w:cs="Arial"/>
        </w:rPr>
        <w:t xml:space="preserve"> </w:t>
      </w:r>
      <w:r w:rsidR="006339E1">
        <w:rPr>
          <w:rFonts w:ascii="Arial" w:hAnsi="Arial" w:cs="Arial"/>
        </w:rPr>
        <w:t>Overall, w</w:t>
      </w:r>
      <w:r w:rsidR="0085435E">
        <w:rPr>
          <w:rFonts w:ascii="Arial" w:hAnsi="Arial" w:cs="Arial"/>
        </w:rPr>
        <w:t xml:space="preserve">e </w:t>
      </w:r>
      <w:r w:rsidR="004F0377">
        <w:rPr>
          <w:rFonts w:ascii="Arial" w:hAnsi="Arial" w:cs="Arial"/>
        </w:rPr>
        <w:t>show</w:t>
      </w:r>
      <w:r w:rsidR="0085435E">
        <w:rPr>
          <w:rFonts w:ascii="Arial" w:hAnsi="Arial" w:cs="Arial"/>
        </w:rPr>
        <w:t xml:space="preserve"> that the combination of smear grading and cavitary status </w:t>
      </w:r>
      <w:r w:rsidR="006339E1">
        <w:rPr>
          <w:rFonts w:ascii="Arial" w:hAnsi="Arial" w:cs="Arial"/>
        </w:rPr>
        <w:t xml:space="preserve">adequately </w:t>
      </w:r>
      <w:r w:rsidR="0085435E">
        <w:rPr>
          <w:rFonts w:ascii="Arial" w:hAnsi="Arial" w:cs="Arial"/>
        </w:rPr>
        <w:t>define easy-to-treat and hard-to-treat groups</w:t>
      </w:r>
      <w:r w:rsidR="004F0377">
        <w:rPr>
          <w:rFonts w:ascii="Arial" w:hAnsi="Arial" w:cs="Arial"/>
        </w:rPr>
        <w:t xml:space="preserve">, however, we also show </w:t>
      </w:r>
      <w:r w:rsidR="006339E1">
        <w:rPr>
          <w:rFonts w:ascii="Arial" w:hAnsi="Arial" w:cs="Arial"/>
        </w:rPr>
        <w:t xml:space="preserve">subgroups </w:t>
      </w:r>
      <w:r w:rsidR="00E640FC">
        <w:rPr>
          <w:rFonts w:ascii="Arial" w:hAnsi="Arial" w:cs="Arial"/>
        </w:rPr>
        <w:t>that allow for</w:t>
      </w:r>
      <w:r w:rsidR="0085435E">
        <w:rPr>
          <w:rFonts w:ascii="Arial" w:hAnsi="Arial" w:cs="Arial"/>
        </w:rPr>
        <w:t xml:space="preserve"> stratification </w:t>
      </w:r>
      <w:r w:rsidR="004F0377">
        <w:rPr>
          <w:rFonts w:ascii="Arial" w:hAnsi="Arial" w:cs="Arial"/>
        </w:rPr>
        <w:t xml:space="preserve">when chest radiographic information is not available.  </w:t>
      </w:r>
      <w:r w:rsidR="0085435E">
        <w:rPr>
          <w:rFonts w:ascii="Arial" w:hAnsi="Arial" w:cs="Arial"/>
        </w:rPr>
        <w:t xml:space="preserve"> </w:t>
      </w:r>
    </w:p>
    <w:p w14:paraId="4FC9D131" w14:textId="423E7A09" w:rsidR="00101E45" w:rsidRDefault="00101E45" w:rsidP="00804CE5">
      <w:pPr>
        <w:tabs>
          <w:tab w:val="left" w:pos="2145"/>
        </w:tabs>
        <w:spacing w:line="480" w:lineRule="auto"/>
        <w:rPr>
          <w:rFonts w:ascii="Arial" w:hAnsi="Arial" w:cs="Arial"/>
        </w:rPr>
      </w:pPr>
    </w:p>
    <w:p w14:paraId="0C6B2529" w14:textId="44ED960D" w:rsidR="00101E45" w:rsidRPr="00FD0033" w:rsidRDefault="00101E45" w:rsidP="00804CE5">
      <w:pPr>
        <w:spacing w:line="480" w:lineRule="auto"/>
        <w:rPr>
          <w:rFonts w:ascii="Arial" w:hAnsi="Arial"/>
        </w:rPr>
      </w:pPr>
      <w:r>
        <w:rPr>
          <w:rFonts w:ascii="Arial" w:hAnsi="Arial" w:cs="Arial"/>
        </w:rPr>
        <w:t xml:space="preserve">In this study, we also found that across both experimental and standard control regimens, minimal non-adherence and missed doses were associated with significantly increased risk for </w:t>
      </w:r>
      <w:r w:rsidR="00D320D6">
        <w:rPr>
          <w:rFonts w:ascii="Arial" w:hAnsi="Arial" w:cs="Arial"/>
        </w:rPr>
        <w:t>unfavorable outcome</w:t>
      </w:r>
      <w:r>
        <w:rPr>
          <w:rFonts w:ascii="Arial" w:hAnsi="Arial" w:cs="Arial"/>
        </w:rPr>
        <w:t xml:space="preserve">. Missing as few as 1 in 10 doses of a regimen was associated with a five-fold increase in risk. Missed doses had a stronger association with poor outcome than failure to achieve culture conversion at 2 months. Consistent with our analyses of non-adherence, dosing frequencies of less than 7 of 7 days increase the chances of unfavorable outcome, even if participants </w:t>
      </w:r>
      <w:r w:rsidR="00D320D6">
        <w:rPr>
          <w:rFonts w:ascii="Arial" w:hAnsi="Arial" w:cs="Arial"/>
        </w:rPr>
        <w:t xml:space="preserve">were </w:t>
      </w:r>
      <w:r>
        <w:rPr>
          <w:rFonts w:ascii="Arial" w:hAnsi="Arial" w:cs="Arial"/>
        </w:rPr>
        <w:t xml:space="preserve">fully adherent (Figure </w:t>
      </w:r>
      <w:r w:rsidR="00A33E49">
        <w:rPr>
          <w:rFonts w:ascii="Arial" w:hAnsi="Arial" w:cs="Arial"/>
        </w:rPr>
        <w:t>4</w:t>
      </w:r>
      <w:r w:rsidR="00B56E3B">
        <w:rPr>
          <w:rFonts w:ascii="Arial" w:hAnsi="Arial" w:cs="Arial"/>
        </w:rPr>
        <w:t>a</w:t>
      </w:r>
      <w:r>
        <w:rPr>
          <w:rFonts w:ascii="Arial" w:hAnsi="Arial" w:cs="Arial"/>
        </w:rPr>
        <w:t>).  Current U.S. TB treatment guidelines state</w:t>
      </w:r>
      <w:r w:rsidR="00D320D6">
        <w:rPr>
          <w:rFonts w:ascii="Arial" w:hAnsi="Arial" w:cs="Arial"/>
        </w:rPr>
        <w:t xml:space="preserve">, </w:t>
      </w:r>
      <w:r>
        <w:rPr>
          <w:rFonts w:ascii="Arial" w:hAnsi="Arial" w:cs="Arial"/>
        </w:rPr>
        <w:t xml:space="preserve">on the basis of clinical experience and program </w:t>
      </w:r>
      <w:r w:rsidR="00D320D6">
        <w:rPr>
          <w:rFonts w:ascii="Arial" w:hAnsi="Arial" w:cs="Arial"/>
        </w:rPr>
        <w:t>practicality,</w:t>
      </w:r>
      <w:r>
        <w:rPr>
          <w:rFonts w:ascii="Arial" w:hAnsi="Arial" w:cs="Arial"/>
        </w:rPr>
        <w:t xml:space="preserve"> that 5-days-a-week drug administration is an acceptable alternative to 7-days-a-week administration, and that either approach may be considered as meeting the definition of “daily” dosing</w:t>
      </w:r>
      <w:r w:rsidR="00FE4970">
        <w:rPr>
          <w:rFonts w:ascii="Arial" w:hAnsi="Arial" w:cs="Arial"/>
        </w:rPr>
        <w:t>.</w:t>
      </w:r>
      <w:r w:rsidR="00DC33A6">
        <w:rPr>
          <w:rFonts w:ascii="Arial" w:hAnsi="Arial" w:cs="Arial"/>
        </w:rPr>
        <w:fldChar w:fldCharType="begin" w:fldLock="1"/>
      </w:r>
      <w:r w:rsidR="00133F3B">
        <w:rPr>
          <w:rFonts w:ascii="Arial" w:hAnsi="Arial" w:cs="Arial"/>
        </w:rPr>
        <w:instrText>ADDIN CSL_CITATION { "citationItems" : [ { "id" : "ITEM-1",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"ITEM-1",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"mendeley" : { "formattedCitation" : "&lt;sup&gt;5&lt;/sup&gt;", "plainTextFormattedCitation" : "5", "previouslyFormattedCitation" : "&lt;sup&gt;5&lt;/sup&gt;" }, "properties" : {  }, "schema" : "https://github.com/citation-style-language/schema/raw/master/csl-citation.json" }</w:instrText>
      </w:r>
      <w:r w:rsidR="00DC33A6">
        <w:rPr>
          <w:rFonts w:ascii="Arial" w:hAnsi="Arial" w:cs="Arial"/>
        </w:rPr>
        <w:fldChar w:fldCharType="separate"/>
      </w:r>
      <w:r w:rsidR="00DC33A6" w:rsidRPr="00DC33A6">
        <w:rPr>
          <w:rFonts w:ascii="Arial" w:hAnsi="Arial" w:cs="Arial"/>
          <w:noProof/>
          <w:vertAlign w:val="superscript"/>
        </w:rPr>
        <w:t>5</w:t>
      </w:r>
      <w:r w:rsidR="00DC33A6">
        <w:rPr>
          <w:rFonts w:ascii="Arial" w:hAnsi="Arial" w:cs="Arial"/>
        </w:rPr>
        <w:fldChar w:fldCharType="end"/>
      </w:r>
      <w:r>
        <w:rPr>
          <w:rFonts w:ascii="Arial" w:hAnsi="Arial" w:cs="Arial"/>
        </w:rPr>
        <w:t xml:space="preserve"> Our findings suggest otherwise and provide data-driven evidence to support using 7 of 7 dosing</w:t>
      </w:r>
      <w:r w:rsidR="00FE4970">
        <w:rPr>
          <w:rFonts w:ascii="Arial" w:hAnsi="Arial" w:cs="Arial"/>
        </w:rPr>
        <w:t>.</w:t>
      </w:r>
      <w:r w:rsidR="00507929">
        <w:rPr>
          <w:rFonts w:ascii="Arial" w:hAnsi="Arial" w:cs="Arial"/>
        </w:rPr>
        <w:fldChar w:fldCharType="begin" w:fldLock="1"/>
      </w:r>
      <w:r w:rsidR="00282D2D">
        <w:rPr>
          <w:rFonts w:ascii="Arial" w:hAnsi="Arial" w:cs="Arial"/>
        </w:rPr>
        <w:instrText>ADDIN CSL_CITATION { "citationItems" : [ { "id" : "ITEM-1", "itemData" : { "DOI" : "10.1164/rccm.2409005", "ISSN" : "1073-449X", "author" : [ { "dropping-particle" : "", "family" : "Vernon", "given" : "Andrew A.", "non-dropping-particle" : "", "parse-names" : false, "suffix" : "" }, { "dropping-particle" : "", "family" : "Iademarco", "given" : "Michael F.", "non-dropping-particle" : "", "parse-names" : false, "suffix" : "" } ], "container-title" : "American Journal of Respiratory and Critical Care Medicine", "id" : "ITEM-1", "issue" : "10", "issued" : { "date-parts" : [ [ "2004", "11", "15" ] ] }, "page" : "1040-1042", "publisher" : "American Thoracic Society", "title" : "In the Treatment of Tuberculosis, You Get What You Pay for\u2026", "type" : "article-journal", "volume" : "170" }, "uris" : [ "http://www.mendeley.com/documents/?uuid=77b2cafb-fea2-3c81-bf37-24ee5826660f" ] }, { "id" : "ITEM-2", "itemData" : { "DOI" : "10.1164/rccm.200407-905OC", "ISSN" : "1073-449X", "abstract" : "This nested case\u2013control study aimed at evaluating treatment-related risk factors of relapse of tuberculosis under a service program of directly observed treatment. Out of 12,183 patients with pulmonary tuberculosis who completed treatment within 1 year, 113 relapsed within 30 months after commencement of therapy. The overall 30-month relapse rate was 0.9% (95% confidence interval [CI] 0.8\u20131.1%). On matching 113 cases with 226 control subjects in a conditional logistic model, thrice-weekly treatment increased the risk of relapse in comparison with daily treatment (odds ratio 3.92, 95% CI 1.78\u20138.63), whereas prolonging both intensive phase and overall treatment by 50% or more protected against relapse (odds ratio 0.24, 95% CI 0.08\u20130.70). When pretreatment culture was positive and cavitation was absent, the 30-month relapse rate for standard thrice-weekly regimen was 1.1% (95% CI 0.6\u20132.0%). The corresponding rates in the presence of cavitation were 7.8% (95% CI 4.0\u201314.6%) for standard thrice-weekly regimen;...", "author" : [ { "dropping-particle" : "", "family" : "Chang", "given" : "Kwok C.", "non-dropping-particle" : "", "parse-names" : false, "suffix" : "" }, { "dropping-particle" : "", "family" : "Leung", "given" : "Chi C.", "non-dropping-particle" : "", "parse-names" : false, "suffix" : "" }, { "dropping-particle" : "", "family" : "Yew", "given" : "Wing W.", "non-dropping-particle" : "", "parse-names" : false, "suffix" : "" }, { "dropping-particle" : "", "family" : "Ho", "given" : "Suzanne C.", "non-dropping-particle" : "", "parse-names" : false, "suffix" : "" }, { "dropping-particle" : "", "family" : "Tam", "given" : "Cheuk M.", "non-dropping-particle" : "", "parse-names" : false, "suffix" : "" } ], "container-title" : "American Journal of Respiratory and Critical Care Medicine", "id" : "ITEM-2", "issue" : "10", "issued" : { "date-parts" : [ [ "2004", "11", "15" ] ] }, "page" : "1124-1130", "publisher" : "American Thoracic Society", "title" : "A Nested Case\u2013Control Study on Treatment-related Risk Factors for Early Relapse of Tuberculosis", "type" : "article-journal", "volume" : "170" }, "uris" : [ "http://www.mendeley.com/documents/?uuid=6550093e-f44d-3b85-8498-da2ad8f4acff" ] } ], "mendeley" : { "formattedCitation" : "&lt;sup&gt;12,13&lt;/sup&gt;", "plainTextFormattedCitation" : "12,13", "previouslyFormattedCitation" : "&lt;sup&gt;12,13&lt;/sup&gt;" }, "properties" : {  }, "schema" : "https://github.com/citation-style-language/schema/raw/master/csl-citation.json" }</w:instrText>
      </w:r>
      <w:r w:rsidR="00507929">
        <w:rPr>
          <w:rFonts w:ascii="Arial" w:hAnsi="Arial" w:cs="Arial"/>
        </w:rPr>
        <w:fldChar w:fldCharType="separate"/>
      </w:r>
      <w:r w:rsidR="00282D2D" w:rsidRPr="00282D2D">
        <w:rPr>
          <w:rFonts w:ascii="Arial" w:hAnsi="Arial" w:cs="Arial"/>
          <w:noProof/>
          <w:vertAlign w:val="superscript"/>
        </w:rPr>
        <w:t>12,13</w:t>
      </w:r>
      <w:r w:rsidR="00507929">
        <w:rPr>
          <w:rFonts w:ascii="Arial" w:hAnsi="Arial" w:cs="Arial"/>
        </w:rPr>
        <w:fldChar w:fldCharType="end"/>
      </w:r>
      <w:r>
        <w:rPr>
          <w:rFonts w:ascii="Arial" w:hAnsi="Arial" w:cs="Arial"/>
        </w:rPr>
        <w:t xml:space="preserve"> The finding that the current </w:t>
      </w:r>
      <w:r w:rsidR="00282D2D">
        <w:rPr>
          <w:rFonts w:ascii="Arial" w:hAnsi="Arial" w:cs="Arial"/>
        </w:rPr>
        <w:t xml:space="preserve">rifampin-based </w:t>
      </w:r>
      <w:r>
        <w:rPr>
          <w:rFonts w:ascii="Arial" w:hAnsi="Arial" w:cs="Arial"/>
        </w:rPr>
        <w:t xml:space="preserve">regimen used worldwide has </w:t>
      </w:r>
      <w:r w:rsidR="00D320D6">
        <w:rPr>
          <w:rFonts w:ascii="Arial" w:hAnsi="Arial" w:cs="Arial"/>
        </w:rPr>
        <w:t>“</w:t>
      </w:r>
      <w:r>
        <w:rPr>
          <w:rFonts w:ascii="Arial" w:hAnsi="Arial" w:cs="Arial"/>
        </w:rPr>
        <w:t>low forgiveness</w:t>
      </w:r>
      <w:r w:rsidR="00D320D6">
        <w:rPr>
          <w:rFonts w:ascii="Arial" w:hAnsi="Arial" w:cs="Arial"/>
        </w:rPr>
        <w:t>”</w:t>
      </w:r>
      <w:r>
        <w:rPr>
          <w:rFonts w:ascii="Arial" w:hAnsi="Arial" w:cs="Arial"/>
        </w:rPr>
        <w:t xml:space="preserve"> for non-adherence or missed doses has important implications for TB care as well as for future design and conduct of clinical trials.  A regimen with excellent efficacy under rigorous clinical trial settings that is otherwise unforgiving of </w:t>
      </w:r>
      <w:r w:rsidR="003760C6">
        <w:rPr>
          <w:rFonts w:ascii="Arial" w:hAnsi="Arial" w:cs="Arial"/>
        </w:rPr>
        <w:t>missed doses</w:t>
      </w:r>
      <w:r>
        <w:rPr>
          <w:rFonts w:ascii="Arial" w:hAnsi="Arial" w:cs="Arial"/>
        </w:rPr>
        <w:t xml:space="preserve"> will fail in the field. New and improved adherence interventions for TB</w:t>
      </w:r>
      <w:r w:rsidR="005E32C5">
        <w:rPr>
          <w:rFonts w:ascii="Arial" w:hAnsi="Arial" w:cs="Arial"/>
        </w:rPr>
        <w:t xml:space="preserve"> </w:t>
      </w:r>
      <w:r>
        <w:rPr>
          <w:rFonts w:ascii="Arial" w:hAnsi="Arial" w:cs="Arial"/>
        </w:rPr>
        <w:t>have been introduced to facilitate treatment completion</w:t>
      </w:r>
      <w:r w:rsidR="00F35C7E">
        <w:rPr>
          <w:rFonts w:ascii="Arial" w:hAnsi="Arial" w:cs="Arial"/>
        </w:rPr>
        <w:fldChar w:fldCharType="begin" w:fldLock="1"/>
      </w:r>
      <w:r w:rsidR="00282D2D">
        <w:rPr>
          <w:rFonts w:ascii="Arial" w:hAnsi="Arial" w:cs="Arial"/>
        </w:rPr>
        <w:instrText>ADDIN CSL_CITATION { "citationItems" : [ { "id" : "ITEM-1", "itemData" : { "DOI" : "10.1183/13993003.01596-2017", "abstract" : "@ERSpublications Digital technologies are being used to support TB treatment adherence, but evidence for their impact needs to improve http://ow.ly/1riC30h6hu3 Cite this article as: Ngwatu BK, Nsengiyumva NP, Oxlade O, et al. The impact of digital health technologies on tuberculosis treatment: a systematic review. Eur Respir J 2018; 51: 1701596 [https://doi.org/ 10.1183/13993003.01596-2017]. ABSTRACT Digital technologies are increasingly harnessed to support treatment of persons with tuberculosis (TB). Since in-person directly observed treatment (DOT) can be resource intensive and challenging to implement, these technologies may have the potential to improve adherence and clinical outcomes. We reviewed the effect of these technologies on TB treatment adherence and patient outcomes. We searched several bibliographical databases for studies reporting the effect of digital interventions, including short message service (SMS), video-observed therapy (VOT) and medication monitors (MMs), to support treatment for active TB. Only studies with a control group and which reported effect estimates were included. Four trials showed no statistically significant effect on treatment completion when SMS was added to standard care. Two observational studies of VOT reported comparable treatment completion rates when compared with in-person DOT. MMs increased the probability of cure (RR 2.3, 95% CI 1.6\u20133.4) in one observational study, and one trial reported a statistically significant reduction in missed treatment doses relative to standard care (adjusted means ratio 0.58, 95% CI 0.42\u20130.79). Evidence of the effect of digital technologies to improve TB care remains limited. More studies of better quality are needed to determine how such technologies can enhance programme performance.", "author" : [ { "dropping-particle" : "", "family" : "Ngwatu", "given" : "Brian Kermu", "non-dropping-particle" : "", "parse-names" : false, "suffix" : "" }, { "dropping-particle" : "", "family" : "Nsengiyumva", "given" : "Ntwali Placide", "non-dropping-particle" : "", "parse-names" : false, "suffix" : "" }, { "dropping-particle" : "", "family" : "Oxlade", "given" : "Olivia", "non-dropping-particle" : "", "parse-names" : false, "suffix" : "" }, { "dropping-particle" : "", "family" : "Mappin-Kasirer", "given" : "Benjamin", "non-dropping-particle" : "", "parse-names" : false, "suffix" : "" }, { "dropping-particle" : "", "family" : "Nguyen", "given" : "Nhat Linh", "non-dropping-particle" : "", "parse-names" : false, "suffix" : "" }, { "dropping-particle" : "", "family" : "Jaramillo", "given" : "Ernesto", "non-dropping-particle" : "", "parse-names" : false, "suffix" : "" }, { "dropping-particle" : "", "family" : "Falzon", "given" : "Dennis", "non-dropping-particle" : "", "parse-names" : false, "suffix" : "" }, { "dropping-particle" : "", "family" : "Schwartzman", "given" : "Kevin", "non-dropping-particle" : "", "parse-names" : false, "suffix" : "" } ], "container-title" : "Eur Respir J", "id" : "ITEM-1", "issued" : { "date-parts" : [ [ "2018" ] ] }, "title" : "The impact of digital health technologies on tuberculosis treatment: a systematic review on behalf of the Collaborative group on the impact of digital technologies on TB", "type" : "article-journal", "volume" : "51" }, "uris" : [ "http://www.mendeley.com/documents/?uuid=25760cc2-18cc-3779-84b4-50dc1bdf7ca7" ] }, { "id" : "ITEM-2", "itemData" : { "DOI" : "10.9745/GHSP-D-16-00018", "ISSN" : "2169-575X", "PMID" : "27353615", "abstract" : "Promising mHealth approaches for TB treatment adherence include:\n\nTo mitigate ethical concerns, our framework considers accuracy of monitoring technologies, stigmatization and intrusiveness of the technologies, use of incentives, and the balance of individual and public good.\n\nAdherence to tuberculosis (TB) treatment is important for promoting individual and public health. Poor adherence results in more individual suffering and death as well as more costly treatment as treatment regimens lengthen and drug resistance develops. As resource allocation pressures intensify under the Sustainable Development Goals and the global push for universal health coverage,1 exploring novel ways of improving adherence is timely and important.\n\nMobile health (mHealth) holds considerable promise to improve quality and efficiency in health care.2 Yet its potential for TB adherence remains largely unexplored,3,4 and there is a lack of people-centered mHealth approaches responsive to the complexity of real life.5 Also lacking are ethical evaluations of mHealth interventions,6,7 particularly those considering the nuances of disease- and goal-specific interventions. Perceived and real acceptability cannot be taken for granted. The planning, implementation, and evaluation of mHealth interventions for TB treatment adherence must be guided by values as much as by technical innovation.\n\nmHealth interventions for TB treatment adherence must be guided by ethical values as much as by technical innovation.\n\nIn this article, we describe salient mHealth approaches to monitor and enhance TB treatment adherence, establish a framework for consideration of the central ethical issues, particularly when mHealth is paired with incentives, and outline a model to help guide the ethical planning, implementation, and evaluation of future mHealth interventions for adherence. In doing so, we highlight areas of ethical concern as well as opportunities for ethical improvement over direct \u2026", "author" : [ { "dropping-particle" : "", "family" : "DiStefano", "given" : "Michael J", "non-dropping-particle" : "", "parse-names" : false, "suffix" : "" }, { "dropping-particle" : "", "family" : "Schmidt", "given" : "Harald", "non-dropping-particle" : "", "parse-names" : false, "suffix" : "" } ], "container-title" : "Global Health: Science and Practice", "id" : "ITEM-2", "issue" : "2", "issued" : { "date-parts" : [ [ "2016", "6", "20" ] ] }, "page" : "211-221", "publisher" : "Global Health: Science and Practice", "title" : "mHealth for Tuberculosis Treatment Adherence: A Framework to Guide Ethical Planning, Implementation, and Evaluation", "type" : "article-journal", "volume" : "4" }, "uris" : [ "http://www.mendeley.com/documents/?uuid=dbfd4baf-c92a-367f-928f-6059aed25867" ] } ], "mendeley" : { "formattedCitation" : "&lt;sup&gt;14,15&lt;/sup&gt;", "plainTextFormattedCitation" : "14,15", "previouslyFormattedCitation" : "&lt;sup&gt;14,15&lt;/sup&gt;" }, "properties" : {  }, "schema" : "https://github.com/citation-style-language/schema/raw/master/csl-citation.json" }</w:instrText>
      </w:r>
      <w:r w:rsidR="00F35C7E">
        <w:rPr>
          <w:rFonts w:ascii="Arial" w:hAnsi="Arial" w:cs="Arial"/>
        </w:rPr>
        <w:fldChar w:fldCharType="separate"/>
      </w:r>
      <w:r w:rsidR="00282D2D" w:rsidRPr="00282D2D">
        <w:rPr>
          <w:rFonts w:ascii="Arial" w:hAnsi="Arial" w:cs="Arial"/>
          <w:noProof/>
          <w:vertAlign w:val="superscript"/>
        </w:rPr>
        <w:t>14,15</w:t>
      </w:r>
      <w:r w:rsidR="00F35C7E">
        <w:rPr>
          <w:rFonts w:ascii="Arial" w:hAnsi="Arial" w:cs="Arial"/>
        </w:rPr>
        <w:fldChar w:fldCharType="end"/>
      </w:r>
      <w:r>
        <w:rPr>
          <w:rFonts w:ascii="Arial" w:hAnsi="Arial" w:cs="Arial"/>
        </w:rPr>
        <w:t xml:space="preserve">, however, such tools </w:t>
      </w:r>
      <w:r w:rsidR="005E32C5">
        <w:rPr>
          <w:rFonts w:ascii="Arial" w:hAnsi="Arial" w:cs="Arial"/>
        </w:rPr>
        <w:t>can be</w:t>
      </w:r>
      <w:r>
        <w:rPr>
          <w:rFonts w:ascii="Arial" w:hAnsi="Arial" w:cs="Arial"/>
        </w:rPr>
        <w:t xml:space="preserve"> limited by issues of scale-up, generalizability and cost.  A more durable </w:t>
      </w:r>
      <w:r w:rsidR="005E32C5">
        <w:rPr>
          <w:rFonts w:ascii="Arial" w:hAnsi="Arial" w:cs="Arial"/>
        </w:rPr>
        <w:t xml:space="preserve">and patient-centered </w:t>
      </w:r>
      <w:r>
        <w:rPr>
          <w:rFonts w:ascii="Arial" w:hAnsi="Arial" w:cs="Arial"/>
        </w:rPr>
        <w:t xml:space="preserve">solution is the targeted development of regimens </w:t>
      </w:r>
      <w:r w:rsidR="003760C6">
        <w:rPr>
          <w:rFonts w:ascii="Arial" w:hAnsi="Arial" w:cs="Arial"/>
        </w:rPr>
        <w:t xml:space="preserve">comprised </w:t>
      </w:r>
      <w:r>
        <w:rPr>
          <w:rFonts w:ascii="Arial" w:hAnsi="Arial" w:cs="Arial"/>
        </w:rPr>
        <w:t xml:space="preserve">of drugs with long half-lives and steady pharmacokinetic profiles that will accommodate less than perfect adherence patterns in </w:t>
      </w:r>
      <w:r w:rsidR="00D320D6">
        <w:rPr>
          <w:rFonts w:ascii="Arial" w:hAnsi="Arial" w:cs="Arial"/>
        </w:rPr>
        <w:t>the field</w:t>
      </w:r>
      <w:r>
        <w:rPr>
          <w:rFonts w:ascii="Arial" w:hAnsi="Arial" w:cs="Arial"/>
        </w:rPr>
        <w:t>, without penalty to the efficacy of the regimen. Our findings</w:t>
      </w:r>
      <w:r w:rsidR="003B02B6">
        <w:rPr>
          <w:rFonts w:ascii="Arial" w:hAnsi="Arial" w:cs="Arial"/>
        </w:rPr>
        <w:t xml:space="preserve"> </w:t>
      </w:r>
      <w:r w:rsidR="00282D2D">
        <w:rPr>
          <w:rFonts w:ascii="Arial" w:hAnsi="Arial" w:cs="Arial"/>
        </w:rPr>
        <w:t xml:space="preserve">in this regard </w:t>
      </w:r>
      <w:r>
        <w:rPr>
          <w:rFonts w:ascii="Arial" w:hAnsi="Arial" w:cs="Arial"/>
        </w:rPr>
        <w:t xml:space="preserve">highlight the </w:t>
      </w:r>
      <w:r w:rsidR="00282D2D">
        <w:rPr>
          <w:rFonts w:ascii="Arial" w:hAnsi="Arial" w:cs="Arial"/>
        </w:rPr>
        <w:lastRenderedPageBreak/>
        <w:t xml:space="preserve">critical value of additionally </w:t>
      </w:r>
      <w:r w:rsidR="005E32C5">
        <w:rPr>
          <w:rFonts w:ascii="Arial" w:hAnsi="Arial" w:cs="Arial"/>
        </w:rPr>
        <w:t xml:space="preserve">conducting </w:t>
      </w:r>
      <w:r>
        <w:rPr>
          <w:rFonts w:ascii="Arial" w:hAnsi="Arial" w:cs="Arial"/>
        </w:rPr>
        <w:t>pragmatic clinical trial</w:t>
      </w:r>
      <w:r w:rsidR="003B02B6">
        <w:rPr>
          <w:rFonts w:ascii="Arial" w:hAnsi="Arial" w:cs="Arial"/>
        </w:rPr>
        <w:t xml:space="preserve">s that </w:t>
      </w:r>
      <w:r>
        <w:rPr>
          <w:rFonts w:ascii="Arial" w:hAnsi="Arial" w:cs="Arial"/>
        </w:rPr>
        <w:t xml:space="preserve">assess the effectiveness and robustness of regimens under programmatic conditions.  </w:t>
      </w:r>
    </w:p>
    <w:p w14:paraId="057D6001" w14:textId="77777777" w:rsidR="00101E45" w:rsidRDefault="00101E45" w:rsidP="00804CE5">
      <w:pPr>
        <w:spacing w:line="480" w:lineRule="auto"/>
        <w:rPr>
          <w:rFonts w:ascii="Arial" w:hAnsi="Arial" w:cs="Arial"/>
        </w:rPr>
      </w:pPr>
    </w:p>
    <w:p w14:paraId="35D8AC21" w14:textId="69A25739" w:rsidR="00101E45" w:rsidRPr="00FD0033" w:rsidRDefault="00282D2D" w:rsidP="00804CE5">
      <w:pPr>
        <w:spacing w:line="480" w:lineRule="auto"/>
        <w:rPr>
          <w:rFonts w:ascii="Arial" w:hAnsi="Arial"/>
        </w:rPr>
      </w:pPr>
      <w:r>
        <w:rPr>
          <w:rFonts w:ascii="Arial" w:hAnsi="Arial" w:cs="Arial"/>
        </w:rPr>
        <w:t>In this study, w</w:t>
      </w:r>
      <w:r w:rsidR="003760C6">
        <w:rPr>
          <w:rFonts w:ascii="Arial" w:hAnsi="Arial" w:cs="Arial"/>
        </w:rPr>
        <w:t xml:space="preserve">e </w:t>
      </w:r>
      <w:r w:rsidR="00101E45">
        <w:rPr>
          <w:rFonts w:ascii="Arial" w:hAnsi="Arial" w:cs="Arial"/>
        </w:rPr>
        <w:t xml:space="preserve">found that the 4-month fluoroquinolone containing regimens </w:t>
      </w:r>
      <w:r w:rsidR="003760C6">
        <w:rPr>
          <w:rFonts w:ascii="Arial" w:hAnsi="Arial" w:cs="Arial"/>
        </w:rPr>
        <w:t xml:space="preserve">met the margin for </w:t>
      </w:r>
      <w:r w:rsidR="00101E45">
        <w:rPr>
          <w:rFonts w:ascii="Arial" w:hAnsi="Arial" w:cs="Arial"/>
        </w:rPr>
        <w:t>non-inferior</w:t>
      </w:r>
      <w:r w:rsidR="003760C6">
        <w:rPr>
          <w:rFonts w:ascii="Arial" w:hAnsi="Arial" w:cs="Arial"/>
        </w:rPr>
        <w:t xml:space="preserve">ity </w:t>
      </w:r>
      <w:r w:rsidR="00101E45">
        <w:rPr>
          <w:rFonts w:ascii="Arial" w:hAnsi="Arial" w:cs="Arial"/>
        </w:rPr>
        <w:t xml:space="preserve">in participants with a baseline smear negative or 1+ grade </w:t>
      </w:r>
      <w:r w:rsidR="0088662B">
        <w:rPr>
          <w:rFonts w:ascii="Arial" w:hAnsi="Arial" w:cs="Arial"/>
        </w:rPr>
        <w:t>or</w:t>
      </w:r>
      <w:r w:rsidR="00101E45">
        <w:rPr>
          <w:rFonts w:ascii="Arial" w:hAnsi="Arial" w:cs="Arial"/>
        </w:rPr>
        <w:t xml:space="preserve"> non-cavitary disease. Conversely, we found that a hard-to-treat phenotype of TB defined by high smear grades and cavitation on baseline chest radiograph </w:t>
      </w:r>
      <w:r w:rsidR="002E5254">
        <w:rPr>
          <w:rFonts w:ascii="Arial" w:hAnsi="Arial" w:cs="Arial"/>
        </w:rPr>
        <w:t xml:space="preserve">was associated with </w:t>
      </w:r>
      <w:r w:rsidR="00101E45">
        <w:rPr>
          <w:rFonts w:ascii="Arial" w:hAnsi="Arial" w:cs="Arial"/>
        </w:rPr>
        <w:t xml:space="preserve">unfavorable outcomes. </w:t>
      </w:r>
      <w:r w:rsidR="0089099F">
        <w:rPr>
          <w:rFonts w:ascii="Arial" w:hAnsi="Arial" w:cs="Arial"/>
        </w:rPr>
        <w:t>R</w:t>
      </w:r>
      <w:r w:rsidR="00101E45">
        <w:rPr>
          <w:rFonts w:ascii="Arial" w:hAnsi="Arial" w:cs="Arial"/>
        </w:rPr>
        <w:t>andomized trials</w:t>
      </w:r>
      <w:r w:rsidR="0038424F">
        <w:rPr>
          <w:rFonts w:ascii="Arial" w:hAnsi="Arial" w:cs="Arial"/>
        </w:rPr>
        <w:t xml:space="preserve"> conducted by the </w:t>
      </w:r>
      <w:r w:rsidR="0038424F" w:rsidRPr="0038424F">
        <w:rPr>
          <w:rFonts w:ascii="Arial" w:hAnsi="Arial" w:cs="Arial"/>
        </w:rPr>
        <w:t>British Medical Research Council</w:t>
      </w:r>
      <w:r w:rsidR="00A03C9A">
        <w:rPr>
          <w:rFonts w:ascii="Arial" w:hAnsi="Arial" w:cs="Arial"/>
        </w:rPr>
        <w:t xml:space="preserve"> largely in the pre-HIV era</w:t>
      </w:r>
      <w:r w:rsidR="00101E45">
        <w:rPr>
          <w:rFonts w:ascii="Arial" w:hAnsi="Arial" w:cs="Arial"/>
        </w:rPr>
        <w:t xml:space="preserve"> have previously illustrated that the majority of patients do not need six months of standard therapy</w:t>
      </w:r>
      <w:r w:rsidR="00FE4970">
        <w:rPr>
          <w:rFonts w:ascii="Arial" w:hAnsi="Arial" w:cs="Arial"/>
        </w:rPr>
        <w:t>.</w:t>
      </w:r>
      <w:r w:rsidR="00101E45">
        <w:rPr>
          <w:rFonts w:ascii="Arial" w:hAnsi="Arial"/>
        </w:rPr>
        <w:fldChar w:fldCharType="begin" w:fldLock="1"/>
      </w:r>
      <w:r>
        <w:rPr>
          <w:rFonts w:ascii="Arial" w:hAnsi="Arial" w:cs="Arial"/>
        </w:rPr>
        <w:instrText>ADDIN CSL_CITATION { "citationItems" : [ { "id" : "ITEM-1", "itemData" : { "ISSN" : "1027-3719", "PMID" : "10529902", "author" : [ { "dropping-particle" : "", "family" : "Fox", "given" : "W", "non-dropping-particle" : "", "parse-names" : false, "suffix" : "" }, { "dropping-particle" : "", "family" : "Ellard", "given" : "G A", "non-dropping-particle" : "", "parse-names" : false, "suffix" : "" }, { "dropping-particle" : "", "family" : "Mitchison", "given" : "D A", "non-dropping-particle" : "", "parse-names" : false, "suffix" : "" } ], "container-title" : "The international journal of tuberculosis and lung disease : the official journal of the International Union against Tuberculosis and Lung Disease", "id" : "ITEM-1", "issue" : "10 Suppl 2", "issued" : { "date-parts" : [ [ "1999", "10" ] ] }, "page" : "S231-79", "title" : "Studies on the treatment of tuberculosis undertaken by the British Medical Research Council tuberculosis units, 1946-1986, with relevant subsequent publications.", "type" : "article-journal", "volume" : "3" }, "uris" : [ "http://www.mendeley.com/documents/?uuid=60e44687-02b9-3ccc-aa21-97868e2e0ddd" ] }, { "id" : "ITEM-2", "itemData" : { "DOI" : "10.1016/0007-0971(81)90022-X", "ISSN" : "0007-0971", "PMID" : "7030377", "author" : [ { "dropping-particle" : "", "family" : "Fox", "given" : "W", "non-dropping-particle" : "", "parse-names" : false, "suffix" : "" } ], "container-title" : "British journal of diseases of the chest", "id" : "ITEM-2", "issue" : "4", "issued" : { "date-parts" : [ [ "1981", "10", "1" ] ] }, "page" : "331-57", "publisher" : "Elsevier", "title" : "Whither short-course chemotherapy?", "type" : "article-journal", "volume" : "75" }, "uris" : [ "http://www.mendeley.com/documents/?uuid=145e6804-7447-3b02-8a5c-5d67973ea11f" ] } ], "mendeley" : { "formattedCitation" : "&lt;sup&gt;16,17&lt;/sup&gt;", "plainTextFormattedCitation" : "16,17", "previouslyFormattedCitation" : "&lt;sup&gt;16,17&lt;/sup&gt;" }, "properties" : {  }, "schema" : "https://github.com/citation-style-language/schema/raw/master/csl-citation.json" }</w:instrText>
      </w:r>
      <w:r w:rsidR="00101E45">
        <w:rPr>
          <w:rFonts w:ascii="Arial" w:hAnsi="Arial" w:cs="Arial"/>
        </w:rPr>
        <w:fldChar w:fldCharType="separate"/>
      </w:r>
      <w:r w:rsidRPr="00282D2D">
        <w:rPr>
          <w:rFonts w:ascii="Arial" w:hAnsi="Arial" w:cs="Arial"/>
          <w:noProof/>
          <w:vertAlign w:val="superscript"/>
        </w:rPr>
        <w:t>16,17</w:t>
      </w:r>
      <w:r w:rsidR="00101E45">
        <w:rPr>
          <w:rFonts w:ascii="Arial" w:hAnsi="Arial" w:cs="Arial"/>
        </w:rPr>
        <w:fldChar w:fldCharType="end"/>
      </w:r>
      <w:r w:rsidR="00101E45">
        <w:rPr>
          <w:rFonts w:ascii="Arial" w:hAnsi="Arial" w:cs="Arial"/>
        </w:rPr>
        <w:t xml:space="preserve"> Our analyses support this position and suggest that the current “one-size-fits-all” model of care leads to under-treatment of patients with severe forms of disease, and unnecessarily long treatment</w:t>
      </w:r>
      <w:r w:rsidR="00101E45" w:rsidRPr="00E35555">
        <w:rPr>
          <w:rFonts w:ascii="Arial" w:hAnsi="Arial" w:cs="Arial"/>
        </w:rPr>
        <w:t xml:space="preserve"> </w:t>
      </w:r>
      <w:r w:rsidR="00101E45">
        <w:rPr>
          <w:rFonts w:ascii="Arial" w:hAnsi="Arial" w:cs="Arial"/>
        </w:rPr>
        <w:t>(with unjustified risk of drug toxicity) for many patients with less extensive disease.   We believe our results provide justification to evaluate a stratified approach to TB therapeutics.  Using baseline markers to determine the optimal</w:t>
      </w:r>
      <w:r w:rsidR="00101E45" w:rsidRPr="00E35555">
        <w:rPr>
          <w:rFonts w:ascii="Arial" w:hAnsi="Arial" w:cs="Arial"/>
        </w:rPr>
        <w:t xml:space="preserve"> strat</w:t>
      </w:r>
      <w:r w:rsidR="00101E45">
        <w:rPr>
          <w:rFonts w:ascii="Arial" w:hAnsi="Arial" w:cs="Arial"/>
        </w:rPr>
        <w:t xml:space="preserve">um for a given patient, with decisions for treatment extension further enhanced by use of on-treatment measures of adherence and clinical, microbiologic and radiographic markers, the feasibility of achieving cure in </w:t>
      </w:r>
      <w:r w:rsidR="00101E45" w:rsidRPr="00F310E5">
        <w:rPr>
          <w:rFonts w:ascii="Arial" w:hAnsi="Arial"/>
        </w:rPr>
        <w:t>all</w:t>
      </w:r>
      <w:r w:rsidR="00101E45">
        <w:rPr>
          <w:rFonts w:ascii="Arial" w:hAnsi="Arial" w:cs="Arial"/>
        </w:rPr>
        <w:t xml:space="preserve"> patients with TB, rather than a majority, is enhanced. Pursuit of the highest possible cure rates in TB is an important public health priority, and perhaps more important than treatment shortening, as suggested by recent modelling work that shows increases in treatment efficacy will have the greatest impact on reducing mortality and burden of disease worldwide.</w:t>
      </w:r>
      <w:r w:rsidR="00101E45">
        <w:rPr>
          <w:rFonts w:ascii="Arial" w:hAnsi="Arial"/>
        </w:rPr>
        <w:fldChar w:fldCharType="begin" w:fldLock="1"/>
      </w:r>
      <w:r>
        <w:rPr>
          <w:rFonts w:ascii="Arial" w:hAnsi="Arial" w:cs="Arial"/>
        </w:rPr>
        <w:instrText>ADDIN CSL_CITATION { "citationItems" : [ { "id" : "ITEM-1", "itemData" : { "DOI" : "10.1371/journal.pmed.1002202", "ISSN" : "1549-1676", "author" : [ { "dropping-particle" : "", "family" : "Kendall", "given" : "Emily A.", "non-dropping-particle" : "", "parse-names" : false, "suffix" : "" }, { "dropping-particle" : "", "family" : "Shrestha", "given" : "Sourya", "non-dropping-particle" : "", "parse-names" : false, "suffix" : "" }, { "dropping-particle" : "", "family" : "Cohen", "given" : "Ted", "non-dropping-particle" : "", "parse-names" : false, "suffix" : "" }, { "dropping-particle" : "", "family" : "Nuermberger", "given" : "Eric", "non-dropping-particle" : "", "parse-names" : false, "suffix" : "" }, { "dropping-particle" : "", "family" : "Dooley", "given" : "Kelly E.", "non-dropping-particle" : "", "parse-names" : false, "suffix" : "" }, { "dropping-particle" : "", "family" : "Gonzalez-Angulo", "given" : "Lice", "non-dropping-particle" : "", "parse-names" : false, "suffix" : "" }, { "dropping-particle" : "", "family" : "Churchyard", "given" : "Gavin J.", "non-dropping-particle" : "", "parse-names" : false, "suffix" : "" }, { "dropping-particle" : "", "family" : "Nahid", "given" : "Payam", "non-dropping-particle" : "", "parse-names" : false, "suffix" : "" }, { "dropping-particle" : "", "family" : "Rich", "given" : "Michael L.", "non-dropping-particle" : "", "parse-names" : false, "suffix" : "" }, { "dropping-particle" : "", "family" : "Bansbach", "given" : "Cathy", "non-dropping-particle" : "", "parse-names" : false, "suffix" : "" }, { "dropping-particle" : "", "family" : "Forissier", "given" : "Thomas", "non-dropping-particle" : "", "parse-names" : false, "suffix" : "" }, { "dropping-particle" : "", "family" : "Lienhardt", "given" : "Christian", "non-dropping-particle" : "", "parse-names" : false, "suffix" : "" }, { "dropping-particle" : "", "family" : "Dowdy", "given" : "David W.", "non-dropping-particle" : "", "parse-names" : false, "suffix" : "" } ], "container-title" : "PLOS Medicine", "editor" : [ { "dropping-particle" : "", "family" : "Kranzer", "given" : "Katharina", "non-dropping-particle" : "", "parse-names" : false, "suffix" : "" } ], "id" : "ITEM-1", "issue" : "1", "issued" : { "date-parts" : [ [ "2017", "1", "3" ] ] }, "page" : "e1002202", "publisher" : "Public Library of Science", "title" : "Priority-Setting for Novel Drug Regimens to Treat Tuberculosis: An Epidemiologic Model", "type" : "article-journal", "volume" : "14" }, "uris" : [ "http://www.mendeley.com/documents/?uuid=83517f58-78d5-33c7-a3a5-80c4f2d5bea7" ] } ], "mendeley" : { "formattedCitation" : "&lt;sup&gt;18&lt;/sup&gt;", "plainTextFormattedCitation" : "18", "previouslyFormattedCitation" : "&lt;sup&gt;18&lt;/sup&gt;" }, "properties" : {  }, "schema" : "https://github.com/citation-style-language/schema/raw/master/csl-citation.json" }</w:instrText>
      </w:r>
      <w:r w:rsidR="00101E45">
        <w:rPr>
          <w:rFonts w:ascii="Arial" w:hAnsi="Arial" w:cs="Arial"/>
        </w:rPr>
        <w:fldChar w:fldCharType="separate"/>
      </w:r>
      <w:r w:rsidRPr="00282D2D">
        <w:rPr>
          <w:rFonts w:ascii="Arial" w:hAnsi="Arial" w:cs="Arial"/>
          <w:noProof/>
          <w:vertAlign w:val="superscript"/>
        </w:rPr>
        <w:t>18</w:t>
      </w:r>
      <w:r w:rsidR="00101E45">
        <w:rPr>
          <w:rFonts w:ascii="Arial" w:hAnsi="Arial" w:cs="Arial"/>
        </w:rPr>
        <w:fldChar w:fldCharType="end"/>
      </w:r>
      <w:r w:rsidR="00101E45">
        <w:rPr>
          <w:rFonts w:ascii="Arial" w:hAnsi="Arial" w:cs="Arial"/>
        </w:rPr>
        <w:t xml:space="preserve"> </w:t>
      </w:r>
      <w:r w:rsidR="00BA5638">
        <w:rPr>
          <w:rFonts w:ascii="Arial" w:hAnsi="Arial" w:cs="Arial"/>
        </w:rPr>
        <w:t xml:space="preserve">The </w:t>
      </w:r>
      <w:r w:rsidR="00BA5638" w:rsidRPr="00BA5638">
        <w:rPr>
          <w:rFonts w:ascii="Arial" w:hAnsi="Arial" w:cs="Arial"/>
        </w:rPr>
        <w:t>tools</w:t>
      </w:r>
      <w:r w:rsidR="00BA5638">
        <w:rPr>
          <w:rFonts w:ascii="Arial" w:hAnsi="Arial" w:cs="Arial"/>
        </w:rPr>
        <w:t xml:space="preserve"> necessary for using stratified medicine approaches to TB care at the programme level are already in use</w:t>
      </w:r>
      <w:r w:rsidR="00E640FC">
        <w:rPr>
          <w:rFonts w:ascii="Arial" w:hAnsi="Arial" w:cs="Arial"/>
        </w:rPr>
        <w:t xml:space="preserve"> in many settings</w:t>
      </w:r>
      <w:r w:rsidR="00BA5638">
        <w:rPr>
          <w:rFonts w:ascii="Arial" w:hAnsi="Arial" w:cs="Arial"/>
        </w:rPr>
        <w:t>, including HIV testing, CD4 cell counts for HIV-positive patients, chest radiography, smear microscopy</w:t>
      </w:r>
      <w:r w:rsidR="00685DC5">
        <w:rPr>
          <w:rFonts w:ascii="Arial" w:hAnsi="Arial" w:cs="Arial"/>
        </w:rPr>
        <w:t>,</w:t>
      </w:r>
      <w:r w:rsidR="00BA5638">
        <w:rPr>
          <w:rFonts w:ascii="Arial" w:hAnsi="Arial" w:cs="Arial"/>
        </w:rPr>
        <w:t xml:space="preserve"> and scales for </w:t>
      </w:r>
      <w:r w:rsidR="00685DC5">
        <w:rPr>
          <w:rFonts w:ascii="Arial" w:hAnsi="Arial" w:cs="Arial"/>
        </w:rPr>
        <w:t xml:space="preserve">measuring </w:t>
      </w:r>
      <w:r w:rsidR="00BA5638">
        <w:rPr>
          <w:rFonts w:ascii="Arial" w:hAnsi="Arial" w:cs="Arial"/>
        </w:rPr>
        <w:t>height and weight</w:t>
      </w:r>
      <w:r w:rsidR="00685DC5">
        <w:rPr>
          <w:rFonts w:ascii="Arial" w:hAnsi="Arial" w:cs="Arial"/>
        </w:rPr>
        <w:t xml:space="preserve"> for calculation of BMI</w:t>
      </w:r>
      <w:r w:rsidR="00BA5638">
        <w:rPr>
          <w:rFonts w:ascii="Arial" w:hAnsi="Arial" w:cs="Arial"/>
        </w:rPr>
        <w:t xml:space="preserve">. </w:t>
      </w:r>
      <w:r w:rsidR="00BD1E7C">
        <w:rPr>
          <w:rFonts w:ascii="Arial" w:hAnsi="Arial" w:cs="Arial"/>
        </w:rPr>
        <w:t xml:space="preserve">Future trials that test stratified medicine approaches to TB care should also evaluate newer tools (e.g., GeneXpert cycle threshold), which in turn would allow for </w:t>
      </w:r>
      <w:r w:rsidR="00BD1E7C" w:rsidRPr="00BD1E7C">
        <w:rPr>
          <w:rFonts w:ascii="Arial" w:hAnsi="Arial" w:cs="Arial"/>
        </w:rPr>
        <w:t xml:space="preserve">algorithms for selecting duration </w:t>
      </w:r>
      <w:r w:rsidR="00BD1E7C">
        <w:rPr>
          <w:rFonts w:ascii="Arial" w:hAnsi="Arial" w:cs="Arial"/>
        </w:rPr>
        <w:t xml:space="preserve">to </w:t>
      </w:r>
      <w:r w:rsidR="00E9528E">
        <w:rPr>
          <w:rFonts w:ascii="Arial" w:hAnsi="Arial" w:cs="Arial"/>
        </w:rPr>
        <w:t xml:space="preserve">be </w:t>
      </w:r>
      <w:r w:rsidR="00E640FC">
        <w:rPr>
          <w:rFonts w:ascii="Arial" w:hAnsi="Arial" w:cs="Arial"/>
        </w:rPr>
        <w:t xml:space="preserve">further </w:t>
      </w:r>
      <w:r w:rsidR="00E9528E">
        <w:rPr>
          <w:rFonts w:ascii="Arial" w:hAnsi="Arial" w:cs="Arial"/>
        </w:rPr>
        <w:t xml:space="preserve">refined, </w:t>
      </w:r>
      <w:r w:rsidR="00BD1E7C">
        <w:rPr>
          <w:rFonts w:ascii="Arial" w:hAnsi="Arial" w:cs="Arial"/>
        </w:rPr>
        <w:t>offer</w:t>
      </w:r>
      <w:r w:rsidR="00E9528E">
        <w:rPr>
          <w:rFonts w:ascii="Arial" w:hAnsi="Arial" w:cs="Arial"/>
        </w:rPr>
        <w:t>ing</w:t>
      </w:r>
      <w:r w:rsidR="00BD1E7C">
        <w:rPr>
          <w:rFonts w:ascii="Arial" w:hAnsi="Arial" w:cs="Arial"/>
        </w:rPr>
        <w:t xml:space="preserve"> additional characteristics and options for determining risk. </w:t>
      </w:r>
      <w:r w:rsidR="00BA5638">
        <w:rPr>
          <w:rFonts w:ascii="Arial" w:hAnsi="Arial" w:cs="Arial"/>
        </w:rPr>
        <w:t xml:space="preserve">Nonetheless, some </w:t>
      </w:r>
      <w:r w:rsidR="00BD1E7C">
        <w:rPr>
          <w:rFonts w:ascii="Arial" w:hAnsi="Arial" w:cs="Arial"/>
        </w:rPr>
        <w:t>patients</w:t>
      </w:r>
      <w:r w:rsidR="00BA5638">
        <w:rPr>
          <w:rFonts w:ascii="Arial" w:hAnsi="Arial" w:cs="Arial"/>
        </w:rPr>
        <w:t xml:space="preserve"> will have limited </w:t>
      </w:r>
      <w:r w:rsidR="00BD1E7C">
        <w:rPr>
          <w:rFonts w:ascii="Arial" w:hAnsi="Arial" w:cs="Arial"/>
        </w:rPr>
        <w:t xml:space="preserve">access to </w:t>
      </w:r>
      <w:r w:rsidR="00E640FC">
        <w:rPr>
          <w:rFonts w:ascii="Arial" w:hAnsi="Arial" w:cs="Arial"/>
        </w:rPr>
        <w:t>these</w:t>
      </w:r>
      <w:r w:rsidR="00BD1E7C">
        <w:rPr>
          <w:rFonts w:ascii="Arial" w:hAnsi="Arial" w:cs="Arial"/>
        </w:rPr>
        <w:t xml:space="preserve"> </w:t>
      </w:r>
      <w:r w:rsidR="00BA5638">
        <w:rPr>
          <w:rFonts w:ascii="Arial" w:hAnsi="Arial" w:cs="Arial"/>
        </w:rPr>
        <w:t>diagnostics</w:t>
      </w:r>
      <w:r w:rsidR="000F627F">
        <w:rPr>
          <w:rFonts w:ascii="Arial" w:hAnsi="Arial" w:cs="Arial"/>
        </w:rPr>
        <w:t xml:space="preserve"> and </w:t>
      </w:r>
      <w:r w:rsidR="00E640FC">
        <w:rPr>
          <w:rFonts w:ascii="Arial" w:hAnsi="Arial" w:cs="Arial"/>
        </w:rPr>
        <w:t xml:space="preserve">in such settings, </w:t>
      </w:r>
      <w:r w:rsidR="00D335CF">
        <w:rPr>
          <w:rFonts w:ascii="Arial" w:hAnsi="Arial" w:cs="Arial"/>
        </w:rPr>
        <w:t xml:space="preserve">either a simpler </w:t>
      </w:r>
      <w:r w:rsidR="00D335CF">
        <w:rPr>
          <w:rFonts w:ascii="Arial" w:hAnsi="Arial" w:cs="Arial"/>
        </w:rPr>
        <w:lastRenderedPageBreak/>
        <w:t>straitification algorithm</w:t>
      </w:r>
      <w:r w:rsidR="00EF0E45">
        <w:rPr>
          <w:rFonts w:ascii="Arial" w:hAnsi="Arial" w:cs="Arial"/>
        </w:rPr>
        <w:t xml:space="preserve"> can be developed</w:t>
      </w:r>
      <w:r w:rsidR="00D335CF">
        <w:rPr>
          <w:rFonts w:ascii="Arial" w:hAnsi="Arial" w:cs="Arial"/>
        </w:rPr>
        <w:t xml:space="preserve"> (</w:t>
      </w:r>
      <w:r w:rsidR="00E640FC">
        <w:rPr>
          <w:rFonts w:ascii="Arial" w:hAnsi="Arial" w:cs="Arial"/>
        </w:rPr>
        <w:t xml:space="preserve">for example, </w:t>
      </w:r>
      <w:r w:rsidR="00D335CF">
        <w:rPr>
          <w:rFonts w:ascii="Arial" w:hAnsi="Arial" w:cs="Arial"/>
        </w:rPr>
        <w:t xml:space="preserve">smear </w:t>
      </w:r>
      <w:r w:rsidR="00E640FC">
        <w:rPr>
          <w:rFonts w:ascii="Arial" w:hAnsi="Arial" w:cs="Arial"/>
        </w:rPr>
        <w:t xml:space="preserve">grade </w:t>
      </w:r>
      <w:r w:rsidR="00D335CF">
        <w:rPr>
          <w:rFonts w:ascii="Arial" w:hAnsi="Arial" w:cs="Arial"/>
        </w:rPr>
        <w:t>and BMI,</w:t>
      </w:r>
      <w:r w:rsidR="00E640FC">
        <w:rPr>
          <w:rFonts w:ascii="Arial" w:hAnsi="Arial" w:cs="Arial"/>
        </w:rPr>
        <w:t xml:space="preserve"> as shown in </w:t>
      </w:r>
      <w:r w:rsidR="00A03C9A">
        <w:rPr>
          <w:rFonts w:ascii="Arial" w:hAnsi="Arial" w:cs="Arial"/>
        </w:rPr>
        <w:t xml:space="preserve">Figure </w:t>
      </w:r>
      <w:r w:rsidR="00A33E49">
        <w:rPr>
          <w:rFonts w:ascii="Arial" w:hAnsi="Arial" w:cs="Arial"/>
        </w:rPr>
        <w:t>3</w:t>
      </w:r>
      <w:r w:rsidR="00A03C9A">
        <w:rPr>
          <w:rFonts w:ascii="Arial" w:hAnsi="Arial" w:cs="Arial"/>
        </w:rPr>
        <w:t xml:space="preserve">a) </w:t>
      </w:r>
      <w:r w:rsidR="00EF0E45">
        <w:rPr>
          <w:rFonts w:ascii="Arial" w:hAnsi="Arial" w:cs="Arial"/>
        </w:rPr>
        <w:t xml:space="preserve">or </w:t>
      </w:r>
      <w:r w:rsidR="000F627F">
        <w:rPr>
          <w:rFonts w:ascii="Arial" w:hAnsi="Arial" w:cs="Arial"/>
        </w:rPr>
        <w:t xml:space="preserve">the </w:t>
      </w:r>
      <w:r w:rsidR="00BD1E7C">
        <w:rPr>
          <w:rFonts w:ascii="Arial" w:hAnsi="Arial" w:cs="Arial"/>
        </w:rPr>
        <w:t>current</w:t>
      </w:r>
      <w:r w:rsidR="000F627F">
        <w:rPr>
          <w:rFonts w:ascii="Arial" w:hAnsi="Arial" w:cs="Arial"/>
        </w:rPr>
        <w:t>ly used</w:t>
      </w:r>
      <w:r w:rsidR="00BD1E7C">
        <w:rPr>
          <w:rFonts w:ascii="Arial" w:hAnsi="Arial" w:cs="Arial"/>
        </w:rPr>
        <w:t xml:space="preserve"> </w:t>
      </w:r>
      <w:r w:rsidR="00F45FCB">
        <w:rPr>
          <w:rFonts w:ascii="Arial" w:hAnsi="Arial" w:cs="Arial"/>
        </w:rPr>
        <w:t>“</w:t>
      </w:r>
      <w:r w:rsidR="00BA5638">
        <w:rPr>
          <w:rFonts w:ascii="Arial" w:hAnsi="Arial" w:cs="Arial"/>
        </w:rPr>
        <w:t>one-size-fits-all</w:t>
      </w:r>
      <w:r w:rsidR="00F45FCB">
        <w:rPr>
          <w:rFonts w:ascii="Arial" w:hAnsi="Arial" w:cs="Arial"/>
        </w:rPr>
        <w:t>”</w:t>
      </w:r>
      <w:r w:rsidR="00BA5638">
        <w:rPr>
          <w:rFonts w:ascii="Arial" w:hAnsi="Arial" w:cs="Arial"/>
        </w:rPr>
        <w:t xml:space="preserve"> </w:t>
      </w:r>
      <w:r w:rsidR="00BD1E7C">
        <w:rPr>
          <w:rFonts w:ascii="Arial" w:hAnsi="Arial" w:cs="Arial"/>
        </w:rPr>
        <w:t>approach</w:t>
      </w:r>
      <w:r w:rsidR="00BA5638">
        <w:rPr>
          <w:rFonts w:ascii="Arial" w:hAnsi="Arial" w:cs="Arial"/>
        </w:rPr>
        <w:t xml:space="preserve"> may still </w:t>
      </w:r>
      <w:r w:rsidR="00BD1E7C">
        <w:rPr>
          <w:rFonts w:ascii="Arial" w:hAnsi="Arial" w:cs="Arial"/>
        </w:rPr>
        <w:t>remain</w:t>
      </w:r>
      <w:r w:rsidR="00BA5638">
        <w:rPr>
          <w:rFonts w:ascii="Arial" w:hAnsi="Arial" w:cs="Arial"/>
        </w:rPr>
        <w:t xml:space="preserve"> the most </w:t>
      </w:r>
      <w:r w:rsidR="00BD1E7C">
        <w:rPr>
          <w:rFonts w:ascii="Arial" w:hAnsi="Arial" w:cs="Arial"/>
        </w:rPr>
        <w:t>practical and implementable</w:t>
      </w:r>
      <w:r w:rsidR="00BA5638">
        <w:rPr>
          <w:rFonts w:ascii="Arial" w:hAnsi="Arial" w:cs="Arial"/>
        </w:rPr>
        <w:t xml:space="preserve"> </w:t>
      </w:r>
      <w:r w:rsidR="00E640FC">
        <w:rPr>
          <w:rFonts w:ascii="Arial" w:hAnsi="Arial" w:cs="Arial"/>
        </w:rPr>
        <w:t>option</w:t>
      </w:r>
      <w:r w:rsidR="00BD1E7C">
        <w:rPr>
          <w:rFonts w:ascii="Arial" w:hAnsi="Arial" w:cs="Arial"/>
        </w:rPr>
        <w:t xml:space="preserve">. </w:t>
      </w:r>
    </w:p>
    <w:p w14:paraId="54503671" w14:textId="77777777" w:rsidR="00101E45" w:rsidRDefault="00101E45" w:rsidP="00804CE5">
      <w:pPr>
        <w:spacing w:line="480" w:lineRule="auto"/>
        <w:rPr>
          <w:rFonts w:ascii="Arial" w:hAnsi="Arial" w:cs="Arial"/>
        </w:rPr>
      </w:pPr>
    </w:p>
    <w:p w14:paraId="24457FB1" w14:textId="55394F75" w:rsidR="00101E45" w:rsidRPr="00FD0033" w:rsidRDefault="00101E45" w:rsidP="00804CE5">
      <w:pPr>
        <w:spacing w:line="480" w:lineRule="auto"/>
        <w:rPr>
          <w:rFonts w:ascii="Arial" w:hAnsi="Arial"/>
        </w:rPr>
      </w:pPr>
      <w:r>
        <w:rPr>
          <w:rFonts w:ascii="Arial" w:hAnsi="Arial" w:cs="Arial"/>
        </w:rPr>
        <w:t xml:space="preserve">Our </w:t>
      </w:r>
      <w:r w:rsidR="003760C6">
        <w:rPr>
          <w:rFonts w:ascii="Arial" w:hAnsi="Arial" w:cs="Arial"/>
        </w:rPr>
        <w:t>study</w:t>
      </w:r>
      <w:r>
        <w:rPr>
          <w:rFonts w:ascii="Arial" w:hAnsi="Arial" w:cs="Arial"/>
        </w:rPr>
        <w:t xml:space="preserve"> has limitations. Data sharing principles are supported in the TB therapeutics field,</w:t>
      </w:r>
      <w:r w:rsidR="00E041E9">
        <w:rPr>
          <w:rFonts w:ascii="Arial" w:hAnsi="Arial" w:cs="Arial"/>
        </w:rPr>
        <w:fldChar w:fldCharType="begin" w:fldLock="1"/>
      </w:r>
      <w:r w:rsidR="00282D2D">
        <w:rPr>
          <w:rFonts w:ascii="Arial" w:hAnsi="Arial" w:cs="Arial"/>
        </w:rPr>
        <w:instrText>ADDIN CSL_CITATION { "citationItems" : [ { "id" : "ITEM-1", "itemData" : { "URL" : "https://www.cdisc.org/standards/therapeutic-areas/tuberculosis", "id" : "ITEM-1", "issued" : { "date-parts" : [ [ "2016" ] ] }, "title" : "CDISC-Tuberculosis Therapeutic Area User Guide v2.0", "type" : "webpage" }, "uris" : [ "http://www.mendeley.com/documents/?uuid=dc9bc992-ce77-3303-b354-bc88321e73dd" ] }, { "id" : "ITEM-2", "itemData" : { "DOI" : "10.1056/NEJMe1515172", "ISSN" : "0028-4793", "abstract" : "The International Committee of Medical Journal Editors (ICMJE) believes that there is an ethical obligation to responsibly share data generated by interventional clinical trials because participants have put themselves at risk. In a growing consensus, many funders around the world \u2014 foundations, government agencies, and industry \u2014 now mandate data sharing. Here we outline the ICMJE\u2019s proposed requirements to help meet this obligation. We encourage feedback on the proposed requirements. Anyone can provide feedback at www.icmje.org by 18 April 2016. The ICMJE defines a clinical trial as any research project that prospectively assigns people or a group of people to .\u00a0.\u00a0.", "author" : [ { "dropping-particle" : "", "family" : "Taichman", "given" : "Darren B.", "non-dropping-particle" : "", "parse-names" : false, "suffix" : "" }, { "dropping-particle" : "", "family" : "Backus", "given" : "Joyce", "non-dropping-particle" : "", "parse-names" : false, "suffix" : "" }, { "dropping-particle" : "", "family" : "Baethge", "given" : "Christopher", "non-dropping-particle" : "", "parse-names" : false, "suffix" : "" }, { "dropping-particle" : "", "family" : "Bauchner", "given" : "Howard", "non-dropping-particle" : "", "parse-names" : false, "suffix" : "" }, { "dropping-particle" : "", "family" : "Leeuw", "given" : "Peter W.", "non-dropping-particle" : "de", "parse-names" : false, "suffix" : "" }, { "dropping-particle" : "", "family" : "Drazen", "given" : "Jeffrey M.", "non-dropping-particle" : "", "parse-names" : false, "suffix" : "" }, { "dropping-particle" : "", "family" : "Fletcher", "given" : "John", "non-dropping-particle" : "", "parse-names" : false, "suffix" : "" }, { "dropping-particle" : "", "family" : "Frizelle", "given" : "Frank A.", "non-dropping-particle" : "", "parse-names" : false, "suffix" : "" }, { "dropping-particle" : "", "family" : "Groves", "given" : "Trish", "non-dropping-particle" : "", "parse-names" : false, "suffix" : "" }, { "dropping-particle" : "", "family" : "Haileamlak", "given" : "Abraham", "non-dropping-particle" : "", "parse-names" : false, "suffix" : "" }, { "dropping-particle" : "", "family" : "James", "given" : "Astrid", "non-dropping-particle" : "", "parse-names" : false, "suffix" : "" }, { "dropping-particle" : "", "family" : "Laine", "given" : "Christine", "non-dropping-particle" : "", "parse-names" : false, "suffix" : "" }, { "dropping-particle" : "", "family" : "Peiperl", "given" : "Larry", "non-dropping-particle" : "", "parse-names" : false, "suffix" : "" }, { "dropping-particle" : "", "family" : "Pinborg", "given" : "Anja", "non-dropping-particle" : "", "parse-names" : false, "suffix" : "" }, { "dropping-particle" : "", "family" : "Sahni", "given" : "Peush", "non-dropping-particle" : "", "parse-names" : false, "suffix" : "" }, { "dropping-particle" : "", "family" : "Wu", "given" : "Sinan", "non-dropping-particle" : "", "parse-names" : false, "suffix" : "" } ], "container-title" : "New England Journal of Medicine", "id" : "ITEM-2", "issue" : "4", "issued" : { "date-parts" : [ [ "2016", "1", "28" ] ] }, "page" : "384-386", "publisher" : "Massachusetts Medical Society", "title" : "Sharing Clinical Trial Data \u2014 A Proposal from the International Committee of Medical Journal Editors", "type" : "article-journal", "volume" : "374" }, "uris" : [ "http://www.mendeley.com/documents/?uuid=d06323fb-e72d-334e-af97-e2ca6fa29a58" ] } ], "mendeley" : { "formattedCitation" : "&lt;sup&gt;19,20&lt;/sup&gt;", "plainTextFormattedCitation" : "19,20", "previouslyFormattedCitation" : "&lt;sup&gt;19,20&lt;/sup&gt;" }, "properties" : {  }, "schema" : "https://github.com/citation-style-language/schema/raw/master/csl-citation.json" }</w:instrText>
      </w:r>
      <w:r w:rsidR="00E041E9">
        <w:rPr>
          <w:rFonts w:ascii="Arial" w:hAnsi="Arial" w:cs="Arial"/>
        </w:rPr>
        <w:fldChar w:fldCharType="separate"/>
      </w:r>
      <w:r w:rsidR="00282D2D" w:rsidRPr="00282D2D">
        <w:rPr>
          <w:rFonts w:ascii="Arial" w:hAnsi="Arial" w:cs="Arial"/>
          <w:noProof/>
          <w:vertAlign w:val="superscript"/>
        </w:rPr>
        <w:t>19,20</w:t>
      </w:r>
      <w:r w:rsidR="00E041E9">
        <w:rPr>
          <w:rFonts w:ascii="Arial" w:hAnsi="Arial" w:cs="Arial"/>
        </w:rPr>
        <w:fldChar w:fldCharType="end"/>
      </w:r>
      <w:r>
        <w:rPr>
          <w:rFonts w:ascii="Arial" w:hAnsi="Arial" w:cs="Arial"/>
        </w:rPr>
        <w:t xml:space="preserve"> however, data collection was not standardized </w:t>
      </w:r>
      <w:r w:rsidR="005A61CF">
        <w:rPr>
          <w:rFonts w:ascii="Arial" w:hAnsi="Arial" w:cs="Arial"/>
        </w:rPr>
        <w:t>across the included</w:t>
      </w:r>
      <w:r>
        <w:rPr>
          <w:rFonts w:ascii="Arial" w:hAnsi="Arial" w:cs="Arial"/>
        </w:rPr>
        <w:t xml:space="preserve"> trials. Future </w:t>
      </w:r>
      <w:r w:rsidR="002A20A4">
        <w:rPr>
          <w:rFonts w:ascii="Arial" w:hAnsi="Arial" w:cs="Arial"/>
        </w:rPr>
        <w:t xml:space="preserve">protocols </w:t>
      </w:r>
      <w:r>
        <w:rPr>
          <w:rFonts w:ascii="Arial" w:hAnsi="Arial" w:cs="Arial"/>
        </w:rPr>
        <w:t xml:space="preserve">should </w:t>
      </w:r>
      <w:r w:rsidR="002A20A4">
        <w:rPr>
          <w:rFonts w:ascii="Arial" w:hAnsi="Arial" w:cs="Arial"/>
        </w:rPr>
        <w:t xml:space="preserve">use </w:t>
      </w:r>
      <w:r>
        <w:rPr>
          <w:rFonts w:ascii="Arial" w:hAnsi="Arial" w:cs="Arial"/>
        </w:rPr>
        <w:t xml:space="preserve">minimum data set standards, compliant with CDISC standards (https://www.cdisc.org), to allow robust </w:t>
      </w:r>
      <w:r w:rsidR="008007DC">
        <w:rPr>
          <w:rFonts w:ascii="Arial" w:hAnsi="Arial" w:cs="Arial"/>
        </w:rPr>
        <w:t xml:space="preserve">pooled </w:t>
      </w:r>
      <w:r>
        <w:rPr>
          <w:rFonts w:ascii="Arial" w:hAnsi="Arial" w:cs="Arial"/>
        </w:rPr>
        <w:t>analyses in the future. Second, chest radiograph</w:t>
      </w:r>
      <w:r w:rsidR="00520824">
        <w:rPr>
          <w:rFonts w:ascii="Arial" w:hAnsi="Arial" w:cs="Arial"/>
        </w:rPr>
        <w:t xml:space="preserve"> interpretation</w:t>
      </w:r>
      <w:r>
        <w:rPr>
          <w:rFonts w:ascii="Arial" w:hAnsi="Arial" w:cs="Arial"/>
        </w:rPr>
        <w:t xml:space="preserve"> </w:t>
      </w:r>
      <w:r w:rsidR="002A20A4">
        <w:rPr>
          <w:rFonts w:ascii="Arial" w:hAnsi="Arial" w:cs="Arial"/>
        </w:rPr>
        <w:t>was not</w:t>
      </w:r>
      <w:r>
        <w:rPr>
          <w:rFonts w:ascii="Arial" w:hAnsi="Arial" w:cs="Arial"/>
        </w:rPr>
        <w:t xml:space="preserve"> </w:t>
      </w:r>
      <w:r w:rsidR="005A61CF">
        <w:rPr>
          <w:rFonts w:ascii="Arial" w:hAnsi="Arial" w:cs="Arial"/>
        </w:rPr>
        <w:t>uniform</w:t>
      </w:r>
      <w:r w:rsidR="002A20A4">
        <w:rPr>
          <w:rFonts w:ascii="Arial" w:hAnsi="Arial" w:cs="Arial"/>
        </w:rPr>
        <w:t xml:space="preserve">, as such we could </w:t>
      </w:r>
      <w:r w:rsidR="005E32C5">
        <w:rPr>
          <w:rFonts w:ascii="Arial" w:hAnsi="Arial" w:cs="Arial"/>
        </w:rPr>
        <w:t xml:space="preserve">not </w:t>
      </w:r>
      <w:r w:rsidR="00520824">
        <w:rPr>
          <w:rFonts w:ascii="Arial" w:hAnsi="Arial" w:cs="Arial"/>
        </w:rPr>
        <w:t>analyze</w:t>
      </w:r>
      <w:r w:rsidR="002A20A4">
        <w:rPr>
          <w:rFonts w:ascii="Arial" w:hAnsi="Arial" w:cs="Arial"/>
        </w:rPr>
        <w:t xml:space="preserve"> </w:t>
      </w:r>
      <w:r>
        <w:rPr>
          <w:rFonts w:ascii="Arial" w:hAnsi="Arial" w:cs="Arial"/>
        </w:rPr>
        <w:t>size and number of cavities</w:t>
      </w:r>
      <w:r w:rsidR="005B10C5">
        <w:rPr>
          <w:rFonts w:ascii="Arial" w:hAnsi="Arial" w:cs="Arial"/>
        </w:rPr>
        <w:t xml:space="preserve"> in all three studies (Supplementary Figure </w:t>
      </w:r>
      <w:r w:rsidR="00AA3E1C">
        <w:rPr>
          <w:rFonts w:ascii="Arial" w:hAnsi="Arial" w:cs="Arial"/>
        </w:rPr>
        <w:t>1</w:t>
      </w:r>
      <w:r w:rsidR="005B10C5">
        <w:rPr>
          <w:rFonts w:ascii="Arial" w:hAnsi="Arial" w:cs="Arial"/>
        </w:rPr>
        <w:t xml:space="preserve"> and Supplementary Figure </w:t>
      </w:r>
      <w:r w:rsidR="00AA3E1C">
        <w:rPr>
          <w:rFonts w:ascii="Arial" w:hAnsi="Arial" w:cs="Arial"/>
        </w:rPr>
        <w:t>2</w:t>
      </w:r>
      <w:r w:rsidR="005B10C5">
        <w:rPr>
          <w:rFonts w:ascii="Arial" w:hAnsi="Arial" w:cs="Arial"/>
        </w:rPr>
        <w:t>)</w:t>
      </w:r>
      <w:r>
        <w:rPr>
          <w:rFonts w:ascii="Arial" w:hAnsi="Arial" w:cs="Arial"/>
        </w:rPr>
        <w:t xml:space="preserve">.  Third, </w:t>
      </w:r>
      <w:r w:rsidR="005A61CF">
        <w:rPr>
          <w:rFonts w:ascii="Arial" w:hAnsi="Arial" w:cs="Arial"/>
        </w:rPr>
        <w:t xml:space="preserve">very </w:t>
      </w:r>
      <w:r>
        <w:rPr>
          <w:rFonts w:ascii="Arial" w:hAnsi="Arial" w:cs="Arial"/>
        </w:rPr>
        <w:t>limited pharmacokinetic data were available, hampering our ability to explore dosing, drug-exposure and outcome</w:t>
      </w:r>
      <w:r w:rsidR="005A61CF">
        <w:rPr>
          <w:rFonts w:ascii="Arial" w:hAnsi="Arial" w:cs="Arial"/>
        </w:rPr>
        <w:t xml:space="preserve"> relationships</w:t>
      </w:r>
      <w:r>
        <w:rPr>
          <w:rFonts w:ascii="Arial" w:hAnsi="Arial" w:cs="Arial"/>
        </w:rPr>
        <w:t xml:space="preserve">. We advocate for the inclusion of population pharmacokinetics in phase 3 trials to address the variability in responses across geographic regions and populations. </w:t>
      </w:r>
      <w:r w:rsidR="004708CC">
        <w:rPr>
          <w:rFonts w:ascii="Arial" w:hAnsi="Arial" w:cs="Arial"/>
        </w:rPr>
        <w:t>Our comparison of 6/7 with 7/7 dosing was a comparison between</w:t>
      </w:r>
      <w:r w:rsidR="00E640FC">
        <w:rPr>
          <w:rFonts w:ascii="Arial" w:hAnsi="Arial" w:cs="Arial"/>
        </w:rPr>
        <w:t xml:space="preserve"> trials</w:t>
      </w:r>
      <w:r w:rsidR="004708CC">
        <w:rPr>
          <w:rFonts w:ascii="Arial" w:hAnsi="Arial" w:cs="Arial"/>
        </w:rPr>
        <w:t xml:space="preserve"> rather than within trials, and therefore may be confounded by other </w:t>
      </w:r>
      <w:r w:rsidR="00E640FC">
        <w:rPr>
          <w:rFonts w:ascii="Arial" w:hAnsi="Arial" w:cs="Arial"/>
        </w:rPr>
        <w:t xml:space="preserve">study </w:t>
      </w:r>
      <w:r w:rsidR="004708CC">
        <w:rPr>
          <w:rFonts w:ascii="Arial" w:hAnsi="Arial" w:cs="Arial"/>
        </w:rPr>
        <w:t xml:space="preserve">differences. </w:t>
      </w:r>
      <w:r w:rsidR="00BA412A">
        <w:rPr>
          <w:rFonts w:ascii="Arial" w:hAnsi="Arial" w:cs="Arial"/>
        </w:rPr>
        <w:t>Finally</w:t>
      </w:r>
      <w:r>
        <w:rPr>
          <w:rFonts w:ascii="Arial" w:hAnsi="Arial" w:cs="Arial"/>
        </w:rPr>
        <w:t xml:space="preserve">, </w:t>
      </w:r>
      <w:r w:rsidR="002A20A4">
        <w:rPr>
          <w:rFonts w:ascii="Arial" w:hAnsi="Arial" w:cs="Arial"/>
        </w:rPr>
        <w:t>only</w:t>
      </w:r>
      <w:r>
        <w:rPr>
          <w:rFonts w:ascii="Arial" w:hAnsi="Arial" w:cs="Arial"/>
        </w:rPr>
        <w:t xml:space="preserve"> 1</w:t>
      </w:r>
      <w:r w:rsidR="00131D3C">
        <w:rPr>
          <w:rFonts w:ascii="Arial" w:hAnsi="Arial" w:cs="Arial"/>
        </w:rPr>
        <w:t>2</w:t>
      </w:r>
      <w:r>
        <w:rPr>
          <w:rFonts w:ascii="Arial" w:hAnsi="Arial" w:cs="Arial"/>
        </w:rPr>
        <w:t xml:space="preserve">% of participants </w:t>
      </w:r>
      <w:r w:rsidR="002A20A4">
        <w:rPr>
          <w:rFonts w:ascii="Arial" w:hAnsi="Arial" w:cs="Arial"/>
        </w:rPr>
        <w:t xml:space="preserve">had </w:t>
      </w:r>
      <w:r>
        <w:rPr>
          <w:rFonts w:ascii="Arial" w:hAnsi="Arial" w:cs="Arial"/>
        </w:rPr>
        <w:t>HIV-coinfec</w:t>
      </w:r>
      <w:r w:rsidR="002A20A4">
        <w:rPr>
          <w:rFonts w:ascii="Arial" w:hAnsi="Arial" w:cs="Arial"/>
        </w:rPr>
        <w:t>tion</w:t>
      </w:r>
      <w:r>
        <w:rPr>
          <w:rFonts w:ascii="Arial" w:hAnsi="Arial" w:cs="Arial"/>
        </w:rPr>
        <w:t xml:space="preserve"> </w:t>
      </w:r>
      <w:r w:rsidR="004708CC">
        <w:rPr>
          <w:rFonts w:ascii="Arial" w:hAnsi="Arial" w:cs="Arial"/>
        </w:rPr>
        <w:t xml:space="preserve">and many were not on effective ART regimens, </w:t>
      </w:r>
      <w:r w:rsidR="00E640FC">
        <w:rPr>
          <w:rFonts w:ascii="Arial" w:hAnsi="Arial" w:cs="Arial"/>
        </w:rPr>
        <w:t>thus,</w:t>
      </w:r>
      <w:r>
        <w:rPr>
          <w:rFonts w:ascii="Arial" w:hAnsi="Arial" w:cs="Arial"/>
        </w:rPr>
        <w:t xml:space="preserve"> caution </w:t>
      </w:r>
      <w:r w:rsidR="002A20A4">
        <w:rPr>
          <w:rFonts w:ascii="Arial" w:hAnsi="Arial" w:cs="Arial"/>
        </w:rPr>
        <w:t>should</w:t>
      </w:r>
      <w:r w:rsidR="00E640FC">
        <w:rPr>
          <w:rFonts w:ascii="Arial" w:hAnsi="Arial" w:cs="Arial"/>
        </w:rPr>
        <w:t xml:space="preserve"> </w:t>
      </w:r>
      <w:r w:rsidR="002A20A4">
        <w:rPr>
          <w:rFonts w:ascii="Arial" w:hAnsi="Arial" w:cs="Arial"/>
        </w:rPr>
        <w:t>be used</w:t>
      </w:r>
      <w:r>
        <w:rPr>
          <w:rFonts w:ascii="Arial" w:hAnsi="Arial" w:cs="Arial"/>
        </w:rPr>
        <w:t xml:space="preserve"> in generalizing our </w:t>
      </w:r>
      <w:r w:rsidR="005A61CF">
        <w:rPr>
          <w:rFonts w:ascii="Arial" w:hAnsi="Arial" w:cs="Arial"/>
        </w:rPr>
        <w:t xml:space="preserve">findings </w:t>
      </w:r>
      <w:r>
        <w:rPr>
          <w:rFonts w:ascii="Arial" w:hAnsi="Arial" w:cs="Arial"/>
        </w:rPr>
        <w:t>to immunocompromised populations. Strengths of our analyses include the inclusion of large data sets from four international registration-quality phase 3 trials conducted across diverse human populations in high TB burden settings in South America, sub-Saharan Africa and Asia, performance of microbiologic assays by quality-controlled laboratories, and the careful recording of study treatment under direct observation.</w:t>
      </w:r>
    </w:p>
    <w:p w14:paraId="19407FB2" w14:textId="77777777" w:rsidR="00101E45" w:rsidRDefault="00101E45" w:rsidP="00804CE5">
      <w:pPr>
        <w:spacing w:line="480" w:lineRule="auto"/>
        <w:rPr>
          <w:rFonts w:ascii="Arial" w:hAnsi="Arial" w:cs="Arial"/>
        </w:rPr>
      </w:pPr>
    </w:p>
    <w:p w14:paraId="41AFB56C" w14:textId="12AA22AF" w:rsidR="00CC1D42" w:rsidRPr="00F00852" w:rsidRDefault="00101E45" w:rsidP="00804CE5">
      <w:pPr>
        <w:spacing w:line="480" w:lineRule="auto"/>
        <w:rPr>
          <w:rFonts w:ascii="Arial" w:hAnsi="Arial"/>
          <w:b/>
        </w:rPr>
      </w:pPr>
      <w:r>
        <w:rPr>
          <w:rFonts w:ascii="Arial" w:hAnsi="Arial" w:cs="Arial"/>
        </w:rPr>
        <w:t xml:space="preserve">In sum, our validated analyses of individual patient data from contemporary randomized clinical trials </w:t>
      </w:r>
      <w:r w:rsidR="00346337">
        <w:rPr>
          <w:rFonts w:ascii="Arial" w:hAnsi="Arial" w:cs="Arial"/>
        </w:rPr>
        <w:t xml:space="preserve">provide </w:t>
      </w:r>
      <w:r>
        <w:rPr>
          <w:rFonts w:ascii="Arial" w:hAnsi="Arial" w:cs="Arial"/>
        </w:rPr>
        <w:t xml:space="preserve">three major findings. First, we </w:t>
      </w:r>
      <w:r w:rsidR="00346337">
        <w:rPr>
          <w:rFonts w:ascii="Arial" w:hAnsi="Arial" w:cs="Arial"/>
        </w:rPr>
        <w:t>show</w:t>
      </w:r>
      <w:r>
        <w:rPr>
          <w:rFonts w:ascii="Arial" w:hAnsi="Arial" w:cs="Arial"/>
        </w:rPr>
        <w:t xml:space="preserve"> that low smear grades at baseline </w:t>
      </w:r>
      <w:r w:rsidR="0088662B">
        <w:rPr>
          <w:rFonts w:ascii="Arial" w:hAnsi="Arial" w:cs="Arial"/>
        </w:rPr>
        <w:t>or</w:t>
      </w:r>
      <w:r>
        <w:rPr>
          <w:rFonts w:ascii="Arial" w:hAnsi="Arial" w:cs="Arial"/>
        </w:rPr>
        <w:t xml:space="preserve"> the absence of cavitation identifies a population at low risk for recurrence in whom 4-month rifampin containing regimens </w:t>
      </w:r>
      <w:r w:rsidR="00CE63B0">
        <w:rPr>
          <w:rFonts w:ascii="Arial" w:hAnsi="Arial" w:cs="Arial"/>
        </w:rPr>
        <w:t xml:space="preserve">may be </w:t>
      </w:r>
      <w:r>
        <w:rPr>
          <w:rFonts w:ascii="Arial" w:hAnsi="Arial" w:cs="Arial"/>
        </w:rPr>
        <w:t>effective. Conversely, high</w:t>
      </w:r>
      <w:r w:rsidRPr="00C04D3E">
        <w:rPr>
          <w:rFonts w:ascii="Arial" w:hAnsi="Arial" w:cs="Arial"/>
        </w:rPr>
        <w:t xml:space="preserve"> </w:t>
      </w:r>
      <w:r>
        <w:rPr>
          <w:rFonts w:ascii="Arial" w:hAnsi="Arial" w:cs="Arial"/>
        </w:rPr>
        <w:t xml:space="preserve">sputum smear grade at baseline in conjunction with the presence of cavities defines a hard-to-treat phenotype that </w:t>
      </w:r>
      <w:r w:rsidR="00C52D30">
        <w:rPr>
          <w:rFonts w:ascii="Arial" w:hAnsi="Arial" w:cs="Arial"/>
        </w:rPr>
        <w:t xml:space="preserve">may require </w:t>
      </w:r>
      <w:r>
        <w:rPr>
          <w:rFonts w:ascii="Arial" w:hAnsi="Arial" w:cs="Arial"/>
        </w:rPr>
        <w:t xml:space="preserve">longer durations of treatment </w:t>
      </w:r>
      <w:r>
        <w:rPr>
          <w:rFonts w:ascii="Arial" w:hAnsi="Arial" w:cs="Arial"/>
        </w:rPr>
        <w:lastRenderedPageBreak/>
        <w:t>than the current standard of care, in order to achieve</w:t>
      </w:r>
      <w:r w:rsidR="00FF1CF0">
        <w:rPr>
          <w:rFonts w:ascii="Arial" w:hAnsi="Arial" w:cs="Arial"/>
        </w:rPr>
        <w:t xml:space="preserve"> high</w:t>
      </w:r>
      <w:r>
        <w:rPr>
          <w:rFonts w:ascii="Arial" w:hAnsi="Arial" w:cs="Arial"/>
        </w:rPr>
        <w:t xml:space="preserve"> cure </w:t>
      </w:r>
      <w:r w:rsidR="00FF1CF0">
        <w:rPr>
          <w:rFonts w:ascii="Arial" w:hAnsi="Arial" w:cs="Arial"/>
        </w:rPr>
        <w:t>rates</w:t>
      </w:r>
      <w:r>
        <w:rPr>
          <w:rFonts w:ascii="Arial" w:hAnsi="Arial" w:cs="Arial"/>
        </w:rPr>
        <w:t>.</w:t>
      </w:r>
      <w:r w:rsidR="00F45FCB">
        <w:rPr>
          <w:rFonts w:ascii="Arial" w:hAnsi="Arial" w:cs="Arial"/>
        </w:rPr>
        <w:t xml:space="preserve"> T</w:t>
      </w:r>
      <w:r w:rsidR="00F45FCB" w:rsidRPr="00F45FCB">
        <w:rPr>
          <w:rFonts w:ascii="Arial" w:hAnsi="Arial" w:cs="Arial"/>
        </w:rPr>
        <w:t>here is al</w:t>
      </w:r>
      <w:r w:rsidR="00F45FCB">
        <w:rPr>
          <w:rFonts w:ascii="Arial" w:hAnsi="Arial" w:cs="Arial"/>
        </w:rPr>
        <w:t>so a third phenotype made up of the remaining</w:t>
      </w:r>
      <w:r w:rsidR="00F45FCB" w:rsidRPr="00F45FCB">
        <w:rPr>
          <w:rFonts w:ascii="Arial" w:hAnsi="Arial" w:cs="Arial"/>
        </w:rPr>
        <w:t xml:space="preserve"> patients for whom treatment shortening may </w:t>
      </w:r>
      <w:r w:rsidR="00F45FCB">
        <w:rPr>
          <w:rFonts w:ascii="Arial" w:hAnsi="Arial" w:cs="Arial"/>
        </w:rPr>
        <w:t xml:space="preserve">also </w:t>
      </w:r>
      <w:r w:rsidR="00F45FCB" w:rsidRPr="00F45FCB">
        <w:rPr>
          <w:rFonts w:ascii="Arial" w:hAnsi="Arial" w:cs="Arial"/>
        </w:rPr>
        <w:t>be possible</w:t>
      </w:r>
      <w:r w:rsidR="00F45FCB">
        <w:rPr>
          <w:rFonts w:ascii="Arial" w:hAnsi="Arial" w:cs="Arial"/>
        </w:rPr>
        <w:t>.</w:t>
      </w:r>
      <w:r>
        <w:rPr>
          <w:rFonts w:ascii="Arial" w:hAnsi="Arial" w:cs="Arial"/>
        </w:rPr>
        <w:t xml:space="preserve"> Second, we show that minor degrees of non-adherence </w:t>
      </w:r>
      <w:r w:rsidR="00BA412A">
        <w:rPr>
          <w:rFonts w:ascii="Arial" w:hAnsi="Arial" w:cs="Arial"/>
        </w:rPr>
        <w:t>or missed doses</w:t>
      </w:r>
      <w:r>
        <w:rPr>
          <w:rFonts w:ascii="Arial" w:hAnsi="Arial" w:cs="Arial"/>
        </w:rPr>
        <w:t xml:space="preserve"> </w:t>
      </w:r>
      <w:r w:rsidR="00BA412A">
        <w:rPr>
          <w:rFonts w:ascii="Arial" w:hAnsi="Arial" w:cs="Arial"/>
        </w:rPr>
        <w:t xml:space="preserve">significantly </w:t>
      </w:r>
      <w:r>
        <w:rPr>
          <w:rFonts w:ascii="Arial" w:hAnsi="Arial" w:cs="Arial"/>
        </w:rPr>
        <w:t xml:space="preserve">increase the risk for poor outcomes. </w:t>
      </w:r>
      <w:r w:rsidR="00F45FCB">
        <w:rPr>
          <w:rFonts w:ascii="Arial" w:hAnsi="Arial" w:cs="Arial"/>
        </w:rPr>
        <w:t>Third</w:t>
      </w:r>
      <w:r>
        <w:rPr>
          <w:rFonts w:ascii="Arial" w:hAnsi="Arial" w:cs="Arial"/>
        </w:rPr>
        <w:t xml:space="preserve">, we show that simple baseline and on-treatment markers </w:t>
      </w:r>
      <w:r w:rsidR="002E5254">
        <w:rPr>
          <w:rFonts w:ascii="Arial" w:hAnsi="Arial" w:cs="Arial"/>
        </w:rPr>
        <w:t xml:space="preserve">could </w:t>
      </w:r>
      <w:r>
        <w:rPr>
          <w:rFonts w:ascii="Arial" w:hAnsi="Arial" w:cs="Arial"/>
        </w:rPr>
        <w:t xml:space="preserve">be used to </w:t>
      </w:r>
      <w:r w:rsidR="00346337">
        <w:rPr>
          <w:rFonts w:ascii="Arial" w:hAnsi="Arial" w:cs="Arial"/>
        </w:rPr>
        <w:t xml:space="preserve">select </w:t>
      </w:r>
      <w:r>
        <w:rPr>
          <w:rFonts w:ascii="Arial" w:hAnsi="Arial" w:cs="Arial"/>
        </w:rPr>
        <w:t xml:space="preserve">treatment duration with greater precision, providing a programmatically viable alternative to the “one-size-fits-all” paradigm used worldwide. Our results indicate that stratified medicine principles should be </w:t>
      </w:r>
      <w:r w:rsidR="00CE63B0">
        <w:rPr>
          <w:rFonts w:ascii="Arial" w:hAnsi="Arial" w:cs="Arial"/>
        </w:rPr>
        <w:t xml:space="preserve">further </w:t>
      </w:r>
      <w:r w:rsidR="00690AC3">
        <w:rPr>
          <w:rFonts w:ascii="Arial" w:hAnsi="Arial" w:cs="Arial"/>
        </w:rPr>
        <w:t>evaluated</w:t>
      </w:r>
      <w:r w:rsidR="005A61CF">
        <w:rPr>
          <w:rFonts w:ascii="Arial" w:hAnsi="Arial" w:cs="Arial"/>
        </w:rPr>
        <w:t xml:space="preserve"> in</w:t>
      </w:r>
      <w:r w:rsidR="00CE63B0">
        <w:rPr>
          <w:rFonts w:ascii="Arial" w:hAnsi="Arial" w:cs="Arial"/>
        </w:rPr>
        <w:t xml:space="preserve"> clinical trials of</w:t>
      </w:r>
      <w:r w:rsidR="005A61CF">
        <w:rPr>
          <w:rFonts w:ascii="Arial" w:hAnsi="Arial" w:cs="Arial"/>
        </w:rPr>
        <w:t xml:space="preserve"> </w:t>
      </w:r>
      <w:r>
        <w:rPr>
          <w:rFonts w:ascii="Arial" w:hAnsi="Arial" w:cs="Arial"/>
        </w:rPr>
        <w:t xml:space="preserve">TB therapeutics.  </w:t>
      </w:r>
    </w:p>
    <w:p w14:paraId="7FF432AB" w14:textId="536051F0" w:rsidR="00CD1A6D" w:rsidRDefault="00CD1A6D" w:rsidP="00804CE5">
      <w:pPr>
        <w:spacing w:line="480" w:lineRule="auto"/>
        <w:rPr>
          <w:rFonts w:ascii="Arial" w:hAnsi="Arial"/>
          <w:b/>
        </w:rPr>
      </w:pPr>
      <w:r>
        <w:rPr>
          <w:rFonts w:ascii="Arial" w:hAnsi="Arial"/>
          <w:b/>
        </w:rPr>
        <w:br w:type="page"/>
      </w:r>
    </w:p>
    <w:p w14:paraId="6A7D9006" w14:textId="77777777" w:rsidR="00CD1A6D" w:rsidRPr="00CD1A6D" w:rsidRDefault="00CD1A6D" w:rsidP="00804CE5">
      <w:pPr>
        <w:spacing w:line="480" w:lineRule="auto"/>
        <w:outlineLvl w:val="0"/>
        <w:rPr>
          <w:rFonts w:ascii="Arial" w:hAnsi="Arial" w:cs="Arial"/>
          <w:b/>
        </w:rPr>
      </w:pPr>
      <w:r w:rsidRPr="00CD1A6D">
        <w:rPr>
          <w:rFonts w:ascii="Arial" w:hAnsi="Arial" w:cs="Arial"/>
          <w:b/>
        </w:rPr>
        <w:lastRenderedPageBreak/>
        <w:t xml:space="preserve">Acknowledgements: </w:t>
      </w:r>
    </w:p>
    <w:p w14:paraId="02507F1A" w14:textId="0C984002" w:rsidR="00102F03" w:rsidRPr="003673EA" w:rsidRDefault="00102F03" w:rsidP="00804CE5">
      <w:pPr>
        <w:autoSpaceDE w:val="0"/>
        <w:autoSpaceDN w:val="0"/>
        <w:adjustRightInd w:val="0"/>
        <w:spacing w:line="480" w:lineRule="auto"/>
        <w:rPr>
          <w:rFonts w:ascii="Times" w:hAnsi="Times" w:cs="Times"/>
          <w:color w:val="000000"/>
        </w:rPr>
      </w:pPr>
      <w:r w:rsidRPr="003673EA">
        <w:rPr>
          <w:rFonts w:ascii="Arial" w:hAnsi="Arial" w:cs="Arial"/>
        </w:rPr>
        <w:t xml:space="preserve">The analyses conducted for this study were sponsored by the World Health Organization and the Bill </w:t>
      </w:r>
      <w:r w:rsidR="006E1954">
        <w:rPr>
          <w:rFonts w:ascii="Arial" w:hAnsi="Arial" w:cs="Arial"/>
        </w:rPr>
        <w:t>&amp;</w:t>
      </w:r>
      <w:r w:rsidR="006E1954" w:rsidRPr="003673EA">
        <w:rPr>
          <w:rFonts w:ascii="Arial" w:hAnsi="Arial" w:cs="Arial"/>
        </w:rPr>
        <w:t xml:space="preserve"> </w:t>
      </w:r>
      <w:r w:rsidRPr="003673EA">
        <w:rPr>
          <w:rFonts w:ascii="Arial" w:hAnsi="Arial" w:cs="Arial"/>
        </w:rPr>
        <w:t>Melinda Gates Foundation</w:t>
      </w:r>
      <w:r w:rsidR="00095A13">
        <w:rPr>
          <w:rFonts w:ascii="Arial" w:hAnsi="Arial" w:cs="Arial"/>
        </w:rPr>
        <w:t xml:space="preserve"> (A127340)</w:t>
      </w:r>
      <w:r w:rsidRPr="003673EA">
        <w:rPr>
          <w:rFonts w:ascii="Arial" w:hAnsi="Arial" w:cs="Arial"/>
        </w:rPr>
        <w:t>.</w:t>
      </w:r>
      <w:r w:rsidR="008B3EBE" w:rsidRPr="008B3EBE">
        <w:rPr>
          <w:rFonts w:ascii="Arial" w:hAnsi="Arial" w:cs="Arial"/>
        </w:rPr>
        <w:t xml:space="preserve"> </w:t>
      </w:r>
      <w:r w:rsidR="008B3EBE">
        <w:rPr>
          <w:rFonts w:ascii="Arial" w:hAnsi="Arial" w:cs="Arial"/>
        </w:rPr>
        <w:t xml:space="preserve">Partial support for </w:t>
      </w:r>
      <w:r w:rsidR="008B3EBE" w:rsidRPr="008B3EBE">
        <w:rPr>
          <w:rFonts w:ascii="Arial" w:hAnsi="Arial" w:cs="Arial"/>
        </w:rPr>
        <w:t>P</w:t>
      </w:r>
      <w:r w:rsidR="008B3EBE">
        <w:rPr>
          <w:rFonts w:ascii="Arial" w:hAnsi="Arial" w:cs="Arial"/>
        </w:rPr>
        <w:t>N and P</w:t>
      </w:r>
      <w:r w:rsidR="00134167">
        <w:rPr>
          <w:rFonts w:ascii="Arial" w:hAnsi="Arial" w:cs="Arial"/>
        </w:rPr>
        <w:t>P</w:t>
      </w:r>
      <w:r w:rsidR="008B3EBE">
        <w:rPr>
          <w:rFonts w:ascii="Arial" w:hAnsi="Arial" w:cs="Arial"/>
        </w:rPr>
        <w:t>JP was also received from NIH NIAID (1R01AI104589</w:t>
      </w:r>
      <w:r w:rsidR="008B3EBE" w:rsidRPr="008B3EBE">
        <w:rPr>
          <w:rFonts w:ascii="Arial" w:hAnsi="Arial" w:cs="Arial"/>
        </w:rPr>
        <w:t>)</w:t>
      </w:r>
      <w:r w:rsidR="008B3EBE">
        <w:rPr>
          <w:rFonts w:ascii="Arial" w:hAnsi="Arial" w:cs="Arial"/>
        </w:rPr>
        <w:t>.</w:t>
      </w:r>
      <w:r w:rsidR="000764D8" w:rsidRPr="003673EA">
        <w:rPr>
          <w:rFonts w:ascii="Arial" w:hAnsi="Arial" w:cs="Arial"/>
        </w:rPr>
        <w:t xml:space="preserve"> The authors alone ar</w:t>
      </w:r>
      <w:r w:rsidR="000764D8">
        <w:rPr>
          <w:rFonts w:ascii="Arial" w:hAnsi="Arial" w:cs="Arial"/>
        </w:rPr>
        <w:t>e responsible for the views ex</w:t>
      </w:r>
      <w:r w:rsidR="000764D8" w:rsidRPr="003673EA">
        <w:rPr>
          <w:rFonts w:ascii="Arial" w:hAnsi="Arial" w:cs="Arial"/>
        </w:rPr>
        <w:t>pressed in this publication, an</w:t>
      </w:r>
      <w:r w:rsidR="000764D8">
        <w:rPr>
          <w:rFonts w:ascii="Arial" w:hAnsi="Arial" w:cs="Arial"/>
        </w:rPr>
        <w:t>d they do not necessarily repre</w:t>
      </w:r>
      <w:r w:rsidR="000764D8" w:rsidRPr="003673EA">
        <w:rPr>
          <w:rFonts w:ascii="Arial" w:hAnsi="Arial" w:cs="Arial"/>
        </w:rPr>
        <w:t>sent the decisions, policy, or views of the WHO.</w:t>
      </w:r>
      <w:r w:rsidR="000764D8">
        <w:rPr>
          <w:rFonts w:ascii="Times" w:hAnsi="Times" w:cs="Times"/>
          <w:color w:val="000000"/>
          <w:sz w:val="18"/>
          <w:szCs w:val="18"/>
        </w:rPr>
        <w:t xml:space="preserve"> </w:t>
      </w:r>
      <w:r w:rsidRPr="003673EA">
        <w:rPr>
          <w:rFonts w:ascii="Arial" w:hAnsi="Arial" w:cs="Arial"/>
        </w:rPr>
        <w:t xml:space="preserve"> Data used in the preparation of this article were obtained from Platform for Aggregations of Clinical TB Studies (TB-PACTS; https://c-path.org/programs/tb-pacts/). The Platform for Aggregations of Clinical TB Studies is a public</w:t>
      </w:r>
      <w:r w:rsidRPr="003673EA">
        <w:rPr>
          <w:rFonts w:ascii="Arial" w:hAnsi="Arial" w:cs="Arial"/>
        </w:rPr>
        <w:softHyphen/>
        <w:t xml:space="preserve"> partnership launched in May 2015 by Critical Path Institute (C</w:t>
      </w:r>
      <w:r w:rsidRPr="003673EA">
        <w:rPr>
          <w:rFonts w:ascii="Arial" w:hAnsi="Arial" w:cs="Arial"/>
        </w:rPr>
        <w:noBreakHyphen/>
        <w:t>Path), the Special Programme for Research and Training in Tropical Diseases (TDR), the Global Alliance for TB Drug Development (TB Alliance), and St. George’s, University of London</w:t>
      </w:r>
      <w:r w:rsidR="000764D8">
        <w:rPr>
          <w:rFonts w:ascii="Arial" w:hAnsi="Arial" w:cs="Arial"/>
        </w:rPr>
        <w:t xml:space="preserve">. </w:t>
      </w:r>
    </w:p>
    <w:p w14:paraId="0FE4BCE5" w14:textId="77777777" w:rsidR="00102F03" w:rsidRPr="003673EA" w:rsidRDefault="00102F03" w:rsidP="00804CE5">
      <w:pPr>
        <w:spacing w:line="480" w:lineRule="auto"/>
        <w:rPr>
          <w:rFonts w:ascii="Arial" w:hAnsi="Arial" w:cs="Arial"/>
        </w:rPr>
      </w:pPr>
    </w:p>
    <w:p w14:paraId="46574466" w14:textId="7CDEBFD8" w:rsidR="00CD1A6D" w:rsidRDefault="00CD1A6D" w:rsidP="00804CE5">
      <w:pPr>
        <w:autoSpaceDE w:val="0"/>
        <w:autoSpaceDN w:val="0"/>
        <w:adjustRightInd w:val="0"/>
        <w:spacing w:line="480" w:lineRule="auto"/>
        <w:rPr>
          <w:rFonts w:ascii="Arial" w:hAnsi="Arial" w:cs="Arial"/>
        </w:rPr>
      </w:pPr>
      <w:r w:rsidRPr="003673EA">
        <w:rPr>
          <w:rFonts w:ascii="Arial" w:hAnsi="Arial" w:cs="Arial"/>
        </w:rPr>
        <w:t xml:space="preserve">We thank the study participants; the staff at clinical sites; all investigators for each </w:t>
      </w:r>
      <w:r w:rsidR="00AB054B">
        <w:rPr>
          <w:rFonts w:ascii="Arial" w:hAnsi="Arial" w:cs="Arial"/>
        </w:rPr>
        <w:t>of the four trials</w:t>
      </w:r>
      <w:r w:rsidRPr="003673EA">
        <w:rPr>
          <w:rFonts w:ascii="Arial" w:hAnsi="Arial" w:cs="Arial"/>
        </w:rPr>
        <w:t xml:space="preserve">; </w:t>
      </w:r>
      <w:r>
        <w:rPr>
          <w:rFonts w:ascii="Arial" w:hAnsi="Arial" w:cs="Arial"/>
        </w:rPr>
        <w:t xml:space="preserve">the data management team at </w:t>
      </w:r>
      <w:r w:rsidRPr="003673EA">
        <w:rPr>
          <w:rFonts w:ascii="Arial" w:hAnsi="Arial" w:cs="Arial"/>
        </w:rPr>
        <w:t xml:space="preserve">Critical Path Institute </w:t>
      </w:r>
      <w:r>
        <w:rPr>
          <w:rFonts w:ascii="Arial" w:hAnsi="Arial" w:cs="Arial"/>
        </w:rPr>
        <w:t>(</w:t>
      </w:r>
      <w:r w:rsidR="008F4B60">
        <w:rPr>
          <w:rFonts w:ascii="Arial" w:hAnsi="Arial" w:cs="Arial"/>
        </w:rPr>
        <w:t>K.</w:t>
      </w:r>
      <w:r w:rsidR="008F4B60" w:rsidRPr="0027434E">
        <w:rPr>
          <w:rFonts w:ascii="Arial" w:hAnsi="Arial" w:cs="Arial"/>
        </w:rPr>
        <w:t xml:space="preserve"> </w:t>
      </w:r>
      <w:r w:rsidRPr="0027434E">
        <w:rPr>
          <w:rFonts w:ascii="Arial" w:hAnsi="Arial" w:cs="Arial"/>
        </w:rPr>
        <w:t xml:space="preserve">Romero, </w:t>
      </w:r>
      <w:r w:rsidR="008F4B60">
        <w:rPr>
          <w:rFonts w:ascii="Arial" w:hAnsi="Arial" w:cs="Arial"/>
        </w:rPr>
        <w:t>B.</w:t>
      </w:r>
      <w:r w:rsidR="008F4B60" w:rsidRPr="0027434E">
        <w:rPr>
          <w:rFonts w:ascii="Arial" w:hAnsi="Arial" w:cs="Arial"/>
        </w:rPr>
        <w:t xml:space="preserve"> </w:t>
      </w:r>
      <w:r w:rsidRPr="0027434E">
        <w:rPr>
          <w:rFonts w:ascii="Arial" w:hAnsi="Arial" w:cs="Arial"/>
        </w:rPr>
        <w:t xml:space="preserve">Stafford, and </w:t>
      </w:r>
      <w:r w:rsidR="008F4B60">
        <w:rPr>
          <w:rFonts w:ascii="Arial" w:hAnsi="Arial" w:cs="Arial"/>
        </w:rPr>
        <w:t>D.</w:t>
      </w:r>
      <w:r w:rsidR="008F4B60" w:rsidRPr="0027434E">
        <w:rPr>
          <w:rFonts w:ascii="Arial" w:hAnsi="Arial" w:cs="Arial"/>
        </w:rPr>
        <w:t xml:space="preserve"> </w:t>
      </w:r>
      <w:r w:rsidRPr="0027434E">
        <w:rPr>
          <w:rFonts w:ascii="Arial" w:hAnsi="Arial" w:cs="Arial"/>
        </w:rPr>
        <w:t>Ha</w:t>
      </w:r>
      <w:r w:rsidR="00131456">
        <w:rPr>
          <w:rFonts w:ascii="Arial" w:hAnsi="Arial" w:cs="Arial"/>
        </w:rPr>
        <w:t xml:space="preserve">rtley); </w:t>
      </w:r>
      <w:r w:rsidR="008F4B60">
        <w:rPr>
          <w:rFonts w:ascii="Arial" w:hAnsi="Arial" w:cs="Arial"/>
        </w:rPr>
        <w:t xml:space="preserve">C. </w:t>
      </w:r>
      <w:r w:rsidR="00131456">
        <w:rPr>
          <w:rFonts w:ascii="Arial" w:hAnsi="Arial" w:cs="Arial"/>
        </w:rPr>
        <w:t xml:space="preserve">Mendel, </w:t>
      </w:r>
      <w:r w:rsidR="008F4B60">
        <w:rPr>
          <w:rFonts w:ascii="Arial" w:hAnsi="Arial" w:cs="Arial"/>
        </w:rPr>
        <w:t xml:space="preserve">J. </w:t>
      </w:r>
      <w:r w:rsidR="00131456">
        <w:rPr>
          <w:rFonts w:ascii="Arial" w:hAnsi="Arial" w:cs="Arial"/>
        </w:rPr>
        <w:t xml:space="preserve">Neaton, and </w:t>
      </w:r>
      <w:r w:rsidR="008F4B60">
        <w:rPr>
          <w:rFonts w:ascii="Arial" w:hAnsi="Arial" w:cs="Arial"/>
        </w:rPr>
        <w:t xml:space="preserve">A. </w:t>
      </w:r>
      <w:r w:rsidR="00131456">
        <w:rPr>
          <w:rFonts w:ascii="Arial" w:hAnsi="Arial" w:cs="Arial"/>
        </w:rPr>
        <w:t xml:space="preserve">Vernon for their review of the manuscript; </w:t>
      </w:r>
      <w:r w:rsidR="00AB054B">
        <w:rPr>
          <w:rFonts w:ascii="Arial" w:hAnsi="Arial" w:cs="Arial"/>
        </w:rPr>
        <w:t xml:space="preserve">and </w:t>
      </w:r>
      <w:r>
        <w:rPr>
          <w:rFonts w:ascii="Arial" w:hAnsi="Arial" w:cs="Arial"/>
        </w:rPr>
        <w:t xml:space="preserve">the TBReFLECT Steering Committee. </w:t>
      </w:r>
    </w:p>
    <w:p w14:paraId="75710496" w14:textId="080019D4" w:rsidR="008F1E8F" w:rsidRDefault="008F1E8F" w:rsidP="00804CE5">
      <w:pPr>
        <w:autoSpaceDE w:val="0"/>
        <w:autoSpaceDN w:val="0"/>
        <w:adjustRightInd w:val="0"/>
        <w:spacing w:line="480" w:lineRule="auto"/>
        <w:rPr>
          <w:rFonts w:ascii="Arial" w:hAnsi="Arial" w:cs="Arial"/>
        </w:rPr>
      </w:pPr>
    </w:p>
    <w:p w14:paraId="06EB93B7" w14:textId="0E7EC655" w:rsidR="008F1E8F" w:rsidRPr="005D3EA2" w:rsidRDefault="008F1E8F" w:rsidP="00804CE5">
      <w:pPr>
        <w:autoSpaceDE w:val="0"/>
        <w:autoSpaceDN w:val="0"/>
        <w:adjustRightInd w:val="0"/>
        <w:spacing w:line="480" w:lineRule="auto"/>
        <w:rPr>
          <w:rFonts w:ascii="Arial" w:hAnsi="Arial" w:cs="Arial"/>
        </w:rPr>
      </w:pPr>
      <w:r w:rsidRPr="004B74B5">
        <w:rPr>
          <w:rFonts w:ascii="Arial" w:hAnsi="Arial" w:cs="Arial"/>
          <w:b/>
        </w:rPr>
        <w:t xml:space="preserve">Author contributions: </w:t>
      </w:r>
      <w:r w:rsidR="005B3CE2">
        <w:rPr>
          <w:rFonts w:ascii="Arial" w:hAnsi="Arial" w:cs="Arial"/>
        </w:rPr>
        <w:t xml:space="preserve"> </w:t>
      </w:r>
      <w:r w:rsidR="005D3EA2">
        <w:rPr>
          <w:rFonts w:ascii="Arial" w:hAnsi="Arial" w:cs="Arial"/>
        </w:rPr>
        <w:t>M.Z.I and R.</w:t>
      </w:r>
      <w:r w:rsidR="005B3CE2">
        <w:rPr>
          <w:rFonts w:ascii="Arial" w:hAnsi="Arial" w:cs="Arial"/>
        </w:rPr>
        <w:t>M.S designed and performed</w:t>
      </w:r>
      <w:r w:rsidR="006F2A5F">
        <w:rPr>
          <w:rFonts w:ascii="Arial" w:hAnsi="Arial" w:cs="Arial"/>
        </w:rPr>
        <w:t xml:space="preserve"> the</w:t>
      </w:r>
      <w:r w:rsidR="005B3CE2">
        <w:rPr>
          <w:rFonts w:ascii="Arial" w:hAnsi="Arial" w:cs="Arial"/>
        </w:rPr>
        <w:t xml:space="preserve"> ana</w:t>
      </w:r>
      <w:r w:rsidR="006F2A5F">
        <w:rPr>
          <w:rFonts w:ascii="Arial" w:hAnsi="Arial" w:cs="Arial"/>
        </w:rPr>
        <w:t>lysis. M.Z.I,</w:t>
      </w:r>
      <w:r w:rsidR="005B3CE2">
        <w:rPr>
          <w:rFonts w:ascii="Arial" w:hAnsi="Arial" w:cs="Arial"/>
        </w:rPr>
        <w:t xml:space="preserve"> P.N.</w:t>
      </w:r>
      <w:r w:rsidR="00CF0E38">
        <w:rPr>
          <w:rFonts w:ascii="Arial" w:hAnsi="Arial" w:cs="Arial"/>
        </w:rPr>
        <w:t>, P.</w:t>
      </w:r>
      <w:r w:rsidR="00134167">
        <w:rPr>
          <w:rFonts w:ascii="Arial" w:hAnsi="Arial" w:cs="Arial"/>
        </w:rPr>
        <w:t>P.</w:t>
      </w:r>
      <w:r w:rsidR="00CF0E38">
        <w:rPr>
          <w:rFonts w:ascii="Arial" w:hAnsi="Arial" w:cs="Arial"/>
        </w:rPr>
        <w:t>J.P</w:t>
      </w:r>
      <w:r w:rsidR="006F2A5F">
        <w:rPr>
          <w:rFonts w:ascii="Arial" w:hAnsi="Arial" w:cs="Arial"/>
        </w:rPr>
        <w:t xml:space="preserve"> and R.M.S</w:t>
      </w:r>
      <w:r w:rsidR="005B3CE2">
        <w:rPr>
          <w:rFonts w:ascii="Arial" w:hAnsi="Arial" w:cs="Arial"/>
        </w:rPr>
        <w:t xml:space="preserve"> </w:t>
      </w:r>
      <w:r w:rsidR="00CF0E38">
        <w:rPr>
          <w:rFonts w:ascii="Arial" w:hAnsi="Arial" w:cs="Arial"/>
        </w:rPr>
        <w:t xml:space="preserve">interpreted the results and </w:t>
      </w:r>
      <w:r w:rsidR="005B3CE2">
        <w:rPr>
          <w:rFonts w:ascii="Arial" w:hAnsi="Arial" w:cs="Arial"/>
        </w:rPr>
        <w:t>prepared the manuscript. D.H</w:t>
      </w:r>
      <w:r w:rsidR="00B51087">
        <w:rPr>
          <w:rFonts w:ascii="Arial" w:hAnsi="Arial" w:cs="Arial"/>
        </w:rPr>
        <w:t>a</w:t>
      </w:r>
      <w:r w:rsidR="005B3CE2">
        <w:rPr>
          <w:rFonts w:ascii="Arial" w:hAnsi="Arial" w:cs="Arial"/>
        </w:rPr>
        <w:t xml:space="preserve"> provided OFLOTUB, REMoxTB, and RIFAQUIN data. J.L.J provided DMID 01-009 data. P.</w:t>
      </w:r>
      <w:r w:rsidR="00134167">
        <w:rPr>
          <w:rFonts w:ascii="Arial" w:hAnsi="Arial" w:cs="Arial"/>
        </w:rPr>
        <w:t>P.</w:t>
      </w:r>
      <w:r w:rsidR="005B3CE2">
        <w:rPr>
          <w:rFonts w:ascii="Arial" w:hAnsi="Arial" w:cs="Arial"/>
        </w:rPr>
        <w:t xml:space="preserve">J.P and K.F provided data management and statistical support. </w:t>
      </w:r>
      <w:r w:rsidR="003774E3">
        <w:rPr>
          <w:rFonts w:ascii="Arial" w:hAnsi="Arial" w:cs="Arial"/>
        </w:rPr>
        <w:t xml:space="preserve">All authors </w:t>
      </w:r>
      <w:r w:rsidR="00CF0E38">
        <w:rPr>
          <w:rFonts w:ascii="Arial" w:hAnsi="Arial" w:cs="Arial"/>
        </w:rPr>
        <w:t xml:space="preserve">discussed the results and implications and contributed to </w:t>
      </w:r>
      <w:r w:rsidR="006F2A5F">
        <w:rPr>
          <w:rFonts w:ascii="Arial" w:hAnsi="Arial" w:cs="Arial"/>
        </w:rPr>
        <w:t>the</w:t>
      </w:r>
      <w:r w:rsidR="003774E3">
        <w:rPr>
          <w:rFonts w:ascii="Arial" w:hAnsi="Arial" w:cs="Arial"/>
        </w:rPr>
        <w:t xml:space="preserve"> final manuscript.   </w:t>
      </w:r>
    </w:p>
    <w:p w14:paraId="2895D9D8" w14:textId="7D439810" w:rsidR="008F1E8F" w:rsidRDefault="008F1E8F" w:rsidP="00804CE5">
      <w:pPr>
        <w:autoSpaceDE w:val="0"/>
        <w:autoSpaceDN w:val="0"/>
        <w:adjustRightInd w:val="0"/>
        <w:spacing w:line="480" w:lineRule="auto"/>
        <w:rPr>
          <w:rFonts w:ascii="Arial" w:hAnsi="Arial" w:cs="Arial"/>
        </w:rPr>
      </w:pPr>
    </w:p>
    <w:p w14:paraId="252D9E17" w14:textId="1DAE5C9C" w:rsidR="008F1E8F" w:rsidRPr="00EA10C3" w:rsidRDefault="008F1E8F" w:rsidP="00804CE5">
      <w:pPr>
        <w:autoSpaceDE w:val="0"/>
        <w:autoSpaceDN w:val="0"/>
        <w:adjustRightInd w:val="0"/>
        <w:spacing w:line="480" w:lineRule="auto"/>
        <w:rPr>
          <w:rFonts w:ascii="Arial" w:hAnsi="Arial" w:cs="Arial"/>
        </w:rPr>
      </w:pPr>
      <w:r w:rsidRPr="004B74B5">
        <w:rPr>
          <w:rFonts w:ascii="Arial" w:hAnsi="Arial" w:cs="Arial"/>
          <w:b/>
        </w:rPr>
        <w:t xml:space="preserve">Competing Interests: </w:t>
      </w:r>
      <w:r w:rsidR="00EA10C3">
        <w:rPr>
          <w:rFonts w:ascii="Arial" w:hAnsi="Arial" w:cs="Arial"/>
        </w:rPr>
        <w:t xml:space="preserve">The authors declare no competing risks. </w:t>
      </w:r>
    </w:p>
    <w:p w14:paraId="2B828BCE" w14:textId="77777777" w:rsidR="00CD1A6D" w:rsidRPr="003673EA" w:rsidRDefault="00CD1A6D" w:rsidP="004F0C12">
      <w:pPr>
        <w:autoSpaceDE w:val="0"/>
        <w:autoSpaceDN w:val="0"/>
        <w:adjustRightInd w:val="0"/>
        <w:spacing w:line="480" w:lineRule="auto"/>
        <w:jc w:val="both"/>
        <w:rPr>
          <w:rFonts w:ascii="Arial" w:hAnsi="Arial" w:cs="Arial"/>
        </w:rPr>
      </w:pPr>
    </w:p>
    <w:p w14:paraId="0CCFC14F" w14:textId="07A38DA7" w:rsidR="00CC1D42" w:rsidRPr="003673EA" w:rsidRDefault="00126605">
      <w:pPr>
        <w:spacing w:line="480" w:lineRule="auto"/>
        <w:rPr>
          <w:rFonts w:ascii="Arial" w:hAnsi="Arial" w:cs="Arial"/>
        </w:rPr>
      </w:pPr>
      <w:r w:rsidRPr="003673EA">
        <w:rPr>
          <w:rFonts w:ascii="Arial" w:hAnsi="Arial" w:cs="Arial"/>
        </w:rPr>
        <w:br w:type="page"/>
      </w:r>
    </w:p>
    <w:p w14:paraId="1937BBB5" w14:textId="77777777" w:rsidR="00CC1D42" w:rsidRDefault="00126605">
      <w:pPr>
        <w:spacing w:line="480" w:lineRule="auto"/>
        <w:rPr>
          <w:rFonts w:ascii="Arial" w:hAnsi="Arial" w:cs="Arial"/>
          <w:b/>
        </w:rPr>
      </w:pPr>
      <w:r>
        <w:rPr>
          <w:rFonts w:ascii="Arial" w:hAnsi="Arial" w:cs="Arial"/>
          <w:b/>
        </w:rPr>
        <w:lastRenderedPageBreak/>
        <w:t xml:space="preserve">References: </w:t>
      </w:r>
    </w:p>
    <w:p w14:paraId="679E6B60" w14:textId="2C8D103D" w:rsidR="00282D2D" w:rsidRPr="00282D2D" w:rsidRDefault="00126605" w:rsidP="00282D2D">
      <w:pPr>
        <w:widowControl w:val="0"/>
        <w:autoSpaceDE w:val="0"/>
        <w:autoSpaceDN w:val="0"/>
        <w:adjustRightInd w:val="0"/>
        <w:spacing w:line="480" w:lineRule="auto"/>
        <w:ind w:left="640" w:hanging="640"/>
        <w:rPr>
          <w:rFonts w:ascii="Arial" w:hAnsi="Arial" w:cs="Arial"/>
          <w:noProof/>
        </w:rPr>
      </w:pPr>
      <w:r w:rsidRPr="00F00852">
        <w:rPr>
          <w:rFonts w:ascii="Arial" w:hAnsi="Arial"/>
          <w:b/>
        </w:rPr>
        <w:fldChar w:fldCharType="begin" w:fldLock="1"/>
      </w:r>
      <w:r>
        <w:instrText>ADDIN Mendeley Bibliography CSL_BIBLIOGRAPHY</w:instrText>
      </w:r>
      <w:r w:rsidRPr="00F00852">
        <w:rPr>
          <w:rFonts w:ascii="Arial" w:hAnsi="Arial"/>
          <w:b/>
        </w:rPr>
        <w:fldChar w:fldCharType="separate"/>
      </w:r>
      <w:bookmarkStart w:id="2" w:name="__Fieldmark__3044_3928254357"/>
      <w:r w:rsidR="00282D2D" w:rsidRPr="00282D2D">
        <w:rPr>
          <w:rFonts w:ascii="Arial" w:hAnsi="Arial" w:cs="Arial"/>
          <w:noProof/>
        </w:rPr>
        <w:t>1.</w:t>
      </w:r>
      <w:r w:rsidR="00282D2D" w:rsidRPr="00282D2D">
        <w:rPr>
          <w:rFonts w:ascii="Arial" w:hAnsi="Arial" w:cs="Arial"/>
          <w:noProof/>
        </w:rPr>
        <w:tab/>
        <w:t xml:space="preserve">Merle, C. S. </w:t>
      </w:r>
      <w:r w:rsidR="00282D2D" w:rsidRPr="00282D2D">
        <w:rPr>
          <w:rFonts w:ascii="Arial" w:hAnsi="Arial" w:cs="Arial"/>
          <w:i/>
          <w:iCs/>
          <w:noProof/>
        </w:rPr>
        <w:t>et al.</w:t>
      </w:r>
      <w:r w:rsidR="00282D2D" w:rsidRPr="00282D2D">
        <w:rPr>
          <w:rFonts w:ascii="Arial" w:hAnsi="Arial" w:cs="Arial"/>
          <w:noProof/>
        </w:rPr>
        <w:t xml:space="preserve"> A Four-Month Gatifloxacin-Containing Regimen for Treating Tuberculosis. </w:t>
      </w:r>
      <w:r w:rsidR="00282D2D" w:rsidRPr="00282D2D">
        <w:rPr>
          <w:rFonts w:ascii="Arial" w:hAnsi="Arial" w:cs="Arial"/>
          <w:i/>
          <w:iCs/>
          <w:noProof/>
        </w:rPr>
        <w:t>N. Engl. J. Med</w:t>
      </w:r>
      <w:r w:rsidR="00282D2D" w:rsidRPr="00282D2D">
        <w:rPr>
          <w:rFonts w:ascii="Arial" w:hAnsi="Arial" w:cs="Arial"/>
          <w:noProof/>
        </w:rPr>
        <w:t xml:space="preserve"> </w:t>
      </w:r>
      <w:r w:rsidR="00282D2D" w:rsidRPr="00282D2D">
        <w:rPr>
          <w:rFonts w:ascii="Arial" w:hAnsi="Arial" w:cs="Arial"/>
          <w:b/>
          <w:bCs/>
          <w:noProof/>
        </w:rPr>
        <w:t>371,</w:t>
      </w:r>
      <w:r w:rsidR="00282D2D" w:rsidRPr="00282D2D">
        <w:rPr>
          <w:rFonts w:ascii="Arial" w:hAnsi="Arial" w:cs="Arial"/>
          <w:noProof/>
        </w:rPr>
        <w:t xml:space="preserve"> 1588–1598 (2014).</w:t>
      </w:r>
    </w:p>
    <w:p w14:paraId="438A3ABC"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w:t>
      </w:r>
      <w:r w:rsidRPr="00282D2D">
        <w:rPr>
          <w:rFonts w:ascii="Arial" w:hAnsi="Arial" w:cs="Arial"/>
          <w:noProof/>
        </w:rPr>
        <w:tab/>
        <w:t xml:space="preserve">Gillespie, S. H. </w:t>
      </w:r>
      <w:r w:rsidRPr="00282D2D">
        <w:rPr>
          <w:rFonts w:ascii="Arial" w:hAnsi="Arial" w:cs="Arial"/>
          <w:i/>
          <w:iCs/>
          <w:noProof/>
        </w:rPr>
        <w:t>et al.</w:t>
      </w:r>
      <w:r w:rsidRPr="00282D2D">
        <w:rPr>
          <w:rFonts w:ascii="Arial" w:hAnsi="Arial" w:cs="Arial"/>
          <w:noProof/>
        </w:rPr>
        <w:t xml:space="preserve"> Four-Month Moxifloxacin-Based Regimens for Drug-Sensitive Tuberculosis.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371,</w:t>
      </w:r>
      <w:r w:rsidRPr="00282D2D">
        <w:rPr>
          <w:rFonts w:ascii="Arial" w:hAnsi="Arial" w:cs="Arial"/>
          <w:noProof/>
        </w:rPr>
        <w:t xml:space="preserve"> 1577–1587 (2014).</w:t>
      </w:r>
    </w:p>
    <w:p w14:paraId="28FC179D"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3.</w:t>
      </w:r>
      <w:r w:rsidRPr="00282D2D">
        <w:rPr>
          <w:rFonts w:ascii="Arial" w:hAnsi="Arial" w:cs="Arial"/>
          <w:noProof/>
        </w:rPr>
        <w:tab/>
        <w:t xml:space="preserve">Jindani, A. </w:t>
      </w:r>
      <w:r w:rsidRPr="00282D2D">
        <w:rPr>
          <w:rFonts w:ascii="Arial" w:hAnsi="Arial" w:cs="Arial"/>
          <w:i/>
          <w:iCs/>
          <w:noProof/>
        </w:rPr>
        <w:t>et al.</w:t>
      </w:r>
      <w:r w:rsidRPr="00282D2D">
        <w:rPr>
          <w:rFonts w:ascii="Arial" w:hAnsi="Arial" w:cs="Arial"/>
          <w:noProof/>
        </w:rPr>
        <w:t xml:space="preserve"> High-Dose Rifapentine with Moxifloxacin for Pulmonary Tuberculosis.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371,</w:t>
      </w:r>
      <w:r w:rsidRPr="00282D2D">
        <w:rPr>
          <w:rFonts w:ascii="Arial" w:hAnsi="Arial" w:cs="Arial"/>
          <w:noProof/>
        </w:rPr>
        <w:t xml:space="preserve"> 1599–1608 (2014).</w:t>
      </w:r>
    </w:p>
    <w:p w14:paraId="6A22A94A"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4.</w:t>
      </w:r>
      <w:r w:rsidRPr="00282D2D">
        <w:rPr>
          <w:rFonts w:ascii="Arial" w:hAnsi="Arial" w:cs="Arial"/>
          <w:noProof/>
        </w:rPr>
        <w:tab/>
        <w:t xml:space="preserve">Geneva: World Health Organization. Guidelines for treatment of drug-susceptible tuberculosis and patient care, 2017 update. </w:t>
      </w:r>
      <w:r w:rsidRPr="00282D2D">
        <w:rPr>
          <w:rFonts w:ascii="Arial" w:hAnsi="Arial" w:cs="Arial"/>
          <w:i/>
          <w:iCs/>
          <w:noProof/>
        </w:rPr>
        <w:t>Licence CC BY-NC_SA 3.0 IGO</w:t>
      </w:r>
      <w:r w:rsidRPr="00282D2D">
        <w:rPr>
          <w:rFonts w:ascii="Arial" w:hAnsi="Arial" w:cs="Arial"/>
          <w:noProof/>
        </w:rPr>
        <w:t xml:space="preserve"> (2017).</w:t>
      </w:r>
    </w:p>
    <w:p w14:paraId="4EC5721E"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5.</w:t>
      </w:r>
      <w:r w:rsidRPr="00282D2D">
        <w:rPr>
          <w:rFonts w:ascii="Arial" w:hAnsi="Arial" w:cs="Arial"/>
          <w:noProof/>
        </w:rPr>
        <w:tab/>
        <w:t xml:space="preserve">Nahid, P. </w:t>
      </w:r>
      <w:r w:rsidRPr="00282D2D">
        <w:rPr>
          <w:rFonts w:ascii="Arial" w:hAnsi="Arial" w:cs="Arial"/>
          <w:i/>
          <w:iCs/>
          <w:noProof/>
        </w:rPr>
        <w:t>et al.</w:t>
      </w:r>
      <w:r w:rsidRPr="00282D2D">
        <w:rPr>
          <w:rFonts w:ascii="Arial" w:hAnsi="Arial" w:cs="Arial"/>
          <w:noProof/>
        </w:rPr>
        <w:t xml:space="preserve"> Official American Thoracic Society/Centers for Disease Control and Prevention/Infectious Diseases Society of America Clinical Practice Guidelines: Treatment of Drug-Susceptible Tuberculosis. </w:t>
      </w:r>
      <w:r w:rsidRPr="00282D2D">
        <w:rPr>
          <w:rFonts w:ascii="Arial" w:hAnsi="Arial" w:cs="Arial"/>
          <w:i/>
          <w:iCs/>
          <w:noProof/>
        </w:rPr>
        <w:t>Clin. Infect. Dis.</w:t>
      </w:r>
      <w:r w:rsidRPr="00282D2D">
        <w:rPr>
          <w:rFonts w:ascii="Arial" w:hAnsi="Arial" w:cs="Arial"/>
          <w:noProof/>
        </w:rPr>
        <w:t xml:space="preserve"> </w:t>
      </w:r>
      <w:r w:rsidRPr="00282D2D">
        <w:rPr>
          <w:rFonts w:ascii="Arial" w:hAnsi="Arial" w:cs="Arial"/>
          <w:b/>
          <w:bCs/>
          <w:noProof/>
        </w:rPr>
        <w:t>63,</w:t>
      </w:r>
      <w:r w:rsidRPr="00282D2D">
        <w:rPr>
          <w:rFonts w:ascii="Arial" w:hAnsi="Arial" w:cs="Arial"/>
          <w:noProof/>
        </w:rPr>
        <w:t xml:space="preserve"> e147–e195 (2016).</w:t>
      </w:r>
    </w:p>
    <w:p w14:paraId="07B7DADE"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6.</w:t>
      </w:r>
      <w:r w:rsidRPr="00282D2D">
        <w:rPr>
          <w:rFonts w:ascii="Arial" w:hAnsi="Arial" w:cs="Arial"/>
          <w:noProof/>
        </w:rPr>
        <w:tab/>
        <w:t xml:space="preserve">Jo, K.-W. </w:t>
      </w:r>
      <w:r w:rsidRPr="00282D2D">
        <w:rPr>
          <w:rFonts w:ascii="Arial" w:hAnsi="Arial" w:cs="Arial"/>
          <w:i/>
          <w:iCs/>
          <w:noProof/>
        </w:rPr>
        <w:t>et al.</w:t>
      </w:r>
      <w:r w:rsidRPr="00282D2D">
        <w:rPr>
          <w:rFonts w:ascii="Arial" w:hAnsi="Arial" w:cs="Arial"/>
          <w:noProof/>
        </w:rPr>
        <w:t xml:space="preserve"> Risk factors for 1-year relapse of pulmonary tuberculosis treated with a 6-month daily regimen. </w:t>
      </w:r>
      <w:r w:rsidRPr="00282D2D">
        <w:rPr>
          <w:rFonts w:ascii="Arial" w:hAnsi="Arial" w:cs="Arial"/>
          <w:i/>
          <w:iCs/>
          <w:noProof/>
        </w:rPr>
        <w:t>Respir. Med.</w:t>
      </w:r>
      <w:r w:rsidRPr="00282D2D">
        <w:rPr>
          <w:rFonts w:ascii="Arial" w:hAnsi="Arial" w:cs="Arial"/>
          <w:noProof/>
        </w:rPr>
        <w:t xml:space="preserve"> </w:t>
      </w:r>
      <w:r w:rsidRPr="00282D2D">
        <w:rPr>
          <w:rFonts w:ascii="Arial" w:hAnsi="Arial" w:cs="Arial"/>
          <w:b/>
          <w:bCs/>
          <w:noProof/>
        </w:rPr>
        <w:t>108,</w:t>
      </w:r>
      <w:r w:rsidRPr="00282D2D">
        <w:rPr>
          <w:rFonts w:ascii="Arial" w:hAnsi="Arial" w:cs="Arial"/>
          <w:noProof/>
        </w:rPr>
        <w:t xml:space="preserve"> 654–659 (2014).</w:t>
      </w:r>
    </w:p>
    <w:p w14:paraId="335434B1"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7.</w:t>
      </w:r>
      <w:r w:rsidRPr="00282D2D">
        <w:rPr>
          <w:rFonts w:ascii="Arial" w:hAnsi="Arial" w:cs="Arial"/>
          <w:noProof/>
        </w:rPr>
        <w:tab/>
        <w:t xml:space="preserve">Benator, D. </w:t>
      </w:r>
      <w:r w:rsidRPr="00282D2D">
        <w:rPr>
          <w:rFonts w:ascii="Arial" w:hAnsi="Arial" w:cs="Arial"/>
          <w:i/>
          <w:iCs/>
          <w:noProof/>
        </w:rPr>
        <w:t>et al.</w:t>
      </w:r>
      <w:r w:rsidRPr="00282D2D">
        <w:rPr>
          <w:rFonts w:ascii="Arial" w:hAnsi="Arial" w:cs="Arial"/>
          <w:noProof/>
        </w:rPr>
        <w:t xml:space="preserve"> Rifapentine and isoniazid once a week versus rifampicin and isoniazid twice a week for treatment of drug-susceptible pulmonary tuberculosis in HIV-negative patients: a randomised clinical trial. </w:t>
      </w:r>
      <w:r w:rsidRPr="00282D2D">
        <w:rPr>
          <w:rFonts w:ascii="Arial" w:hAnsi="Arial" w:cs="Arial"/>
          <w:i/>
          <w:iCs/>
          <w:noProof/>
        </w:rPr>
        <w:t>Lancet (London, England)</w:t>
      </w:r>
      <w:r w:rsidRPr="00282D2D">
        <w:rPr>
          <w:rFonts w:ascii="Arial" w:hAnsi="Arial" w:cs="Arial"/>
          <w:noProof/>
        </w:rPr>
        <w:t xml:space="preserve"> </w:t>
      </w:r>
      <w:r w:rsidRPr="00282D2D">
        <w:rPr>
          <w:rFonts w:ascii="Arial" w:hAnsi="Arial" w:cs="Arial"/>
          <w:b/>
          <w:bCs/>
          <w:noProof/>
        </w:rPr>
        <w:t>360,</w:t>
      </w:r>
      <w:r w:rsidRPr="00282D2D">
        <w:rPr>
          <w:rFonts w:ascii="Arial" w:hAnsi="Arial" w:cs="Arial"/>
          <w:noProof/>
        </w:rPr>
        <w:t xml:space="preserve"> 528–34 (2002).</w:t>
      </w:r>
    </w:p>
    <w:p w14:paraId="40762D10"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8.</w:t>
      </w:r>
      <w:r w:rsidRPr="00282D2D">
        <w:rPr>
          <w:rFonts w:ascii="Arial" w:hAnsi="Arial" w:cs="Arial"/>
          <w:noProof/>
        </w:rPr>
        <w:tab/>
        <w:t xml:space="preserve">TBTC Study 31: Rifapentine-containing Tuberculosis Treatment Shortening Regimens. Available at: https://clinicaltrials.gov/ct2/show/NCT02410772. </w:t>
      </w:r>
    </w:p>
    <w:p w14:paraId="10AB9296"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9.</w:t>
      </w:r>
      <w:r w:rsidRPr="00282D2D">
        <w:rPr>
          <w:rFonts w:ascii="Arial" w:hAnsi="Arial" w:cs="Arial"/>
          <w:noProof/>
        </w:rPr>
        <w:tab/>
        <w:t xml:space="preserve">Johnson, J. L. </w:t>
      </w:r>
      <w:r w:rsidRPr="00282D2D">
        <w:rPr>
          <w:rFonts w:ascii="Arial" w:hAnsi="Arial" w:cs="Arial"/>
          <w:i/>
          <w:iCs/>
          <w:noProof/>
        </w:rPr>
        <w:t>et al.</w:t>
      </w:r>
      <w:r w:rsidRPr="00282D2D">
        <w:rPr>
          <w:rFonts w:ascii="Arial" w:hAnsi="Arial" w:cs="Arial"/>
          <w:noProof/>
        </w:rPr>
        <w:t xml:space="preserve"> Shortening Treatment in Adults with Noncavitary Tuberculosis and 2-Month Culture Conversion. </w:t>
      </w:r>
      <w:r w:rsidRPr="00282D2D">
        <w:rPr>
          <w:rFonts w:ascii="Arial" w:hAnsi="Arial" w:cs="Arial"/>
          <w:i/>
          <w:iCs/>
          <w:noProof/>
        </w:rPr>
        <w:t>Am J Respir Crit Care Med</w:t>
      </w:r>
      <w:r w:rsidRPr="00282D2D">
        <w:rPr>
          <w:rFonts w:ascii="Arial" w:hAnsi="Arial" w:cs="Arial"/>
          <w:noProof/>
        </w:rPr>
        <w:t xml:space="preserve"> </w:t>
      </w:r>
      <w:r w:rsidRPr="00282D2D">
        <w:rPr>
          <w:rFonts w:ascii="Arial" w:hAnsi="Arial" w:cs="Arial"/>
          <w:b/>
          <w:bCs/>
          <w:noProof/>
        </w:rPr>
        <w:t>180,</w:t>
      </w:r>
      <w:r w:rsidRPr="00282D2D">
        <w:rPr>
          <w:rFonts w:ascii="Arial" w:hAnsi="Arial" w:cs="Arial"/>
          <w:noProof/>
        </w:rPr>
        <w:t xml:space="preserve"> 558–563 (2009).</w:t>
      </w:r>
    </w:p>
    <w:p w14:paraId="21233AD1"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10.</w:t>
      </w:r>
      <w:r w:rsidRPr="00282D2D">
        <w:rPr>
          <w:rFonts w:ascii="Arial" w:hAnsi="Arial" w:cs="Arial"/>
          <w:noProof/>
        </w:rPr>
        <w:tab/>
        <w:t xml:space="preserve">Savic, R. M. </w:t>
      </w:r>
      <w:r w:rsidRPr="00282D2D">
        <w:rPr>
          <w:rFonts w:ascii="Arial" w:hAnsi="Arial" w:cs="Arial"/>
          <w:i/>
          <w:iCs/>
          <w:noProof/>
        </w:rPr>
        <w:t>et al.</w:t>
      </w:r>
      <w:r w:rsidRPr="00282D2D">
        <w:rPr>
          <w:rFonts w:ascii="Arial" w:hAnsi="Arial" w:cs="Arial"/>
          <w:noProof/>
        </w:rPr>
        <w:t xml:space="preserve"> Defining the optimal dose of rifapentine for pulmonary tuberculosis: Exposure-response relations from two phase II clinical trials. </w:t>
      </w:r>
      <w:r w:rsidRPr="00282D2D">
        <w:rPr>
          <w:rFonts w:ascii="Arial" w:hAnsi="Arial" w:cs="Arial"/>
          <w:i/>
          <w:iCs/>
          <w:noProof/>
        </w:rPr>
        <w:t>Clin. Pharmacol. Ther.</w:t>
      </w:r>
      <w:r w:rsidRPr="00282D2D">
        <w:rPr>
          <w:rFonts w:ascii="Arial" w:hAnsi="Arial" w:cs="Arial"/>
          <w:noProof/>
        </w:rPr>
        <w:t xml:space="preserve"> </w:t>
      </w:r>
      <w:r w:rsidRPr="00282D2D">
        <w:rPr>
          <w:rFonts w:ascii="Arial" w:hAnsi="Arial" w:cs="Arial"/>
          <w:b/>
          <w:bCs/>
          <w:noProof/>
        </w:rPr>
        <w:t>102,</w:t>
      </w:r>
      <w:r w:rsidRPr="00282D2D">
        <w:rPr>
          <w:rFonts w:ascii="Arial" w:hAnsi="Arial" w:cs="Arial"/>
          <w:noProof/>
        </w:rPr>
        <w:t xml:space="preserve"> 321–331 (2017).</w:t>
      </w:r>
    </w:p>
    <w:p w14:paraId="5F9431D9"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11.</w:t>
      </w:r>
      <w:r w:rsidRPr="00282D2D">
        <w:rPr>
          <w:rFonts w:ascii="Arial" w:hAnsi="Arial" w:cs="Arial"/>
          <w:noProof/>
        </w:rPr>
        <w:tab/>
        <w:t xml:space="preserve">Alipanah, N. </w:t>
      </w:r>
      <w:r w:rsidRPr="00282D2D">
        <w:rPr>
          <w:rFonts w:ascii="Arial" w:hAnsi="Arial" w:cs="Arial"/>
          <w:i/>
          <w:iCs/>
          <w:noProof/>
        </w:rPr>
        <w:t>et al.</w:t>
      </w:r>
      <w:r w:rsidRPr="00282D2D">
        <w:rPr>
          <w:rFonts w:ascii="Arial" w:hAnsi="Arial" w:cs="Arial"/>
          <w:noProof/>
        </w:rPr>
        <w:t xml:space="preserve"> Treatment of non-cavitary pulmonary tuberculosis with shortened fluoroquinolone-based regimens: a meta-analysis. </w:t>
      </w:r>
      <w:r w:rsidRPr="00282D2D">
        <w:rPr>
          <w:rFonts w:ascii="Arial" w:hAnsi="Arial" w:cs="Arial"/>
          <w:i/>
          <w:iCs/>
          <w:noProof/>
        </w:rPr>
        <w:t>Int. J. Tuberc. Lung Dis.</w:t>
      </w:r>
      <w:r w:rsidRPr="00282D2D">
        <w:rPr>
          <w:rFonts w:ascii="Arial" w:hAnsi="Arial" w:cs="Arial"/>
          <w:noProof/>
        </w:rPr>
        <w:t xml:space="preserve"> </w:t>
      </w:r>
      <w:r w:rsidRPr="00282D2D">
        <w:rPr>
          <w:rFonts w:ascii="Arial" w:hAnsi="Arial" w:cs="Arial"/>
          <w:b/>
          <w:bCs/>
          <w:noProof/>
        </w:rPr>
        <w:t>20,</w:t>
      </w:r>
      <w:r w:rsidRPr="00282D2D">
        <w:rPr>
          <w:rFonts w:ascii="Arial" w:hAnsi="Arial" w:cs="Arial"/>
          <w:noProof/>
        </w:rPr>
        <w:t xml:space="preserve"> 1522–1528 </w:t>
      </w:r>
      <w:r w:rsidRPr="00282D2D">
        <w:rPr>
          <w:rFonts w:ascii="Arial" w:hAnsi="Arial" w:cs="Arial"/>
          <w:noProof/>
        </w:rPr>
        <w:lastRenderedPageBreak/>
        <w:t>(2016).</w:t>
      </w:r>
    </w:p>
    <w:p w14:paraId="53494E70"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12.</w:t>
      </w:r>
      <w:r w:rsidRPr="00282D2D">
        <w:rPr>
          <w:rFonts w:ascii="Arial" w:hAnsi="Arial" w:cs="Arial"/>
          <w:noProof/>
        </w:rPr>
        <w:tab/>
        <w:t xml:space="preserve">Vernon, A. A. &amp; Iademarco, M. F. In the Treatment of Tuberculosis, You Get What You Pay for…. </w:t>
      </w:r>
      <w:r w:rsidRPr="00282D2D">
        <w:rPr>
          <w:rFonts w:ascii="Arial" w:hAnsi="Arial" w:cs="Arial"/>
          <w:i/>
          <w:iCs/>
          <w:noProof/>
        </w:rPr>
        <w:t>Am. J. Respir. Crit. Care Med.</w:t>
      </w:r>
      <w:r w:rsidRPr="00282D2D">
        <w:rPr>
          <w:rFonts w:ascii="Arial" w:hAnsi="Arial" w:cs="Arial"/>
          <w:noProof/>
        </w:rPr>
        <w:t xml:space="preserve"> </w:t>
      </w:r>
      <w:r w:rsidRPr="00282D2D">
        <w:rPr>
          <w:rFonts w:ascii="Arial" w:hAnsi="Arial" w:cs="Arial"/>
          <w:b/>
          <w:bCs/>
          <w:noProof/>
        </w:rPr>
        <w:t>170,</w:t>
      </w:r>
      <w:r w:rsidRPr="00282D2D">
        <w:rPr>
          <w:rFonts w:ascii="Arial" w:hAnsi="Arial" w:cs="Arial"/>
          <w:noProof/>
        </w:rPr>
        <w:t xml:space="preserve"> 1040–1042 (2004).</w:t>
      </w:r>
    </w:p>
    <w:p w14:paraId="3E52FB26"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13.</w:t>
      </w:r>
      <w:r w:rsidRPr="00282D2D">
        <w:rPr>
          <w:rFonts w:ascii="Arial" w:hAnsi="Arial" w:cs="Arial"/>
          <w:noProof/>
        </w:rPr>
        <w:tab/>
        <w:t xml:space="preserve">Chang, K. C., Leung, C. C., Yew, W. W., Ho, S. C. &amp; Tam, C. M. A Nested Case–Control Study on Treatment-related Risk Factors for Early Relapse of Tuberculosis. </w:t>
      </w:r>
      <w:r w:rsidRPr="00282D2D">
        <w:rPr>
          <w:rFonts w:ascii="Arial" w:hAnsi="Arial" w:cs="Arial"/>
          <w:i/>
          <w:iCs/>
          <w:noProof/>
        </w:rPr>
        <w:t>Am. J. Respir. Crit. Care Med.</w:t>
      </w:r>
      <w:r w:rsidRPr="00282D2D">
        <w:rPr>
          <w:rFonts w:ascii="Arial" w:hAnsi="Arial" w:cs="Arial"/>
          <w:noProof/>
        </w:rPr>
        <w:t xml:space="preserve"> </w:t>
      </w:r>
      <w:r w:rsidRPr="00282D2D">
        <w:rPr>
          <w:rFonts w:ascii="Arial" w:hAnsi="Arial" w:cs="Arial"/>
          <w:b/>
          <w:bCs/>
          <w:noProof/>
        </w:rPr>
        <w:t>170,</w:t>
      </w:r>
      <w:r w:rsidRPr="00282D2D">
        <w:rPr>
          <w:rFonts w:ascii="Arial" w:hAnsi="Arial" w:cs="Arial"/>
          <w:noProof/>
        </w:rPr>
        <w:t xml:space="preserve"> 1124–1130 (2004).</w:t>
      </w:r>
    </w:p>
    <w:p w14:paraId="1079C031"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14.</w:t>
      </w:r>
      <w:r w:rsidRPr="00282D2D">
        <w:rPr>
          <w:rFonts w:ascii="Arial" w:hAnsi="Arial" w:cs="Arial"/>
          <w:noProof/>
        </w:rPr>
        <w:tab/>
        <w:t xml:space="preserve">Ngwatu, B. K. </w:t>
      </w:r>
      <w:r w:rsidRPr="00282D2D">
        <w:rPr>
          <w:rFonts w:ascii="Arial" w:hAnsi="Arial" w:cs="Arial"/>
          <w:i/>
          <w:iCs/>
          <w:noProof/>
        </w:rPr>
        <w:t>et al.</w:t>
      </w:r>
      <w:r w:rsidRPr="00282D2D">
        <w:rPr>
          <w:rFonts w:ascii="Arial" w:hAnsi="Arial" w:cs="Arial"/>
          <w:noProof/>
        </w:rPr>
        <w:t xml:space="preserve"> The impact of digital health technologies on tuberculosis treatment: a systematic review on behalf of the Collaborative group on the impact of digital technologies on TB. </w:t>
      </w:r>
      <w:r w:rsidRPr="00282D2D">
        <w:rPr>
          <w:rFonts w:ascii="Arial" w:hAnsi="Arial" w:cs="Arial"/>
          <w:i/>
          <w:iCs/>
          <w:noProof/>
        </w:rPr>
        <w:t>Eur Respir J</w:t>
      </w:r>
      <w:r w:rsidRPr="00282D2D">
        <w:rPr>
          <w:rFonts w:ascii="Arial" w:hAnsi="Arial" w:cs="Arial"/>
          <w:noProof/>
        </w:rPr>
        <w:t xml:space="preserve"> </w:t>
      </w:r>
      <w:r w:rsidRPr="00282D2D">
        <w:rPr>
          <w:rFonts w:ascii="Arial" w:hAnsi="Arial" w:cs="Arial"/>
          <w:b/>
          <w:bCs/>
          <w:noProof/>
        </w:rPr>
        <w:t>51,</w:t>
      </w:r>
      <w:r w:rsidRPr="00282D2D">
        <w:rPr>
          <w:rFonts w:ascii="Arial" w:hAnsi="Arial" w:cs="Arial"/>
          <w:noProof/>
        </w:rPr>
        <w:t xml:space="preserve"> (2018).</w:t>
      </w:r>
    </w:p>
    <w:p w14:paraId="29CED40B"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15.</w:t>
      </w:r>
      <w:r w:rsidRPr="00282D2D">
        <w:rPr>
          <w:rFonts w:ascii="Arial" w:hAnsi="Arial" w:cs="Arial"/>
          <w:noProof/>
        </w:rPr>
        <w:tab/>
        <w:t xml:space="preserve">DiStefano, M. J. &amp; Schmidt, H. mHealth for Tuberculosis Treatment Adherence: A Framework to Guide Ethical Planning, Implementation, and Evaluation. </w:t>
      </w:r>
      <w:r w:rsidRPr="00282D2D">
        <w:rPr>
          <w:rFonts w:ascii="Arial" w:hAnsi="Arial" w:cs="Arial"/>
          <w:i/>
          <w:iCs/>
          <w:noProof/>
        </w:rPr>
        <w:t>Glob. Heal. Sci. Pract.</w:t>
      </w:r>
      <w:r w:rsidRPr="00282D2D">
        <w:rPr>
          <w:rFonts w:ascii="Arial" w:hAnsi="Arial" w:cs="Arial"/>
          <w:noProof/>
        </w:rPr>
        <w:t xml:space="preserve"> </w:t>
      </w:r>
      <w:r w:rsidRPr="00282D2D">
        <w:rPr>
          <w:rFonts w:ascii="Arial" w:hAnsi="Arial" w:cs="Arial"/>
          <w:b/>
          <w:bCs/>
          <w:noProof/>
        </w:rPr>
        <w:t>4,</w:t>
      </w:r>
      <w:r w:rsidRPr="00282D2D">
        <w:rPr>
          <w:rFonts w:ascii="Arial" w:hAnsi="Arial" w:cs="Arial"/>
          <w:noProof/>
        </w:rPr>
        <w:t xml:space="preserve"> 211–221 (2016).</w:t>
      </w:r>
    </w:p>
    <w:p w14:paraId="7EA98555"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16.</w:t>
      </w:r>
      <w:r w:rsidRPr="00282D2D">
        <w:rPr>
          <w:rFonts w:ascii="Arial" w:hAnsi="Arial" w:cs="Arial"/>
          <w:noProof/>
        </w:rPr>
        <w:tab/>
        <w:t xml:space="preserve">Fox, W., Ellard, G. A. &amp; Mitchison, D. A. Studies on the treatment of tuberculosis undertaken by the British Medical Research Council tuberculosis units, 1946-1986, with relevant subsequent publications. </w:t>
      </w:r>
      <w:r w:rsidRPr="00282D2D">
        <w:rPr>
          <w:rFonts w:ascii="Arial" w:hAnsi="Arial" w:cs="Arial"/>
          <w:i/>
          <w:iCs/>
          <w:noProof/>
        </w:rPr>
        <w:t>Int. J. Tuberc. Lung Dis.</w:t>
      </w:r>
      <w:r w:rsidRPr="00282D2D">
        <w:rPr>
          <w:rFonts w:ascii="Arial" w:hAnsi="Arial" w:cs="Arial"/>
          <w:noProof/>
        </w:rPr>
        <w:t xml:space="preserve"> </w:t>
      </w:r>
      <w:r w:rsidRPr="00282D2D">
        <w:rPr>
          <w:rFonts w:ascii="Arial" w:hAnsi="Arial" w:cs="Arial"/>
          <w:b/>
          <w:bCs/>
          <w:noProof/>
        </w:rPr>
        <w:t>3,</w:t>
      </w:r>
      <w:r w:rsidRPr="00282D2D">
        <w:rPr>
          <w:rFonts w:ascii="Arial" w:hAnsi="Arial" w:cs="Arial"/>
          <w:noProof/>
        </w:rPr>
        <w:t xml:space="preserve"> S231-79 (1999).</w:t>
      </w:r>
    </w:p>
    <w:p w14:paraId="486CF7D4"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17.</w:t>
      </w:r>
      <w:r w:rsidRPr="00282D2D">
        <w:rPr>
          <w:rFonts w:ascii="Arial" w:hAnsi="Arial" w:cs="Arial"/>
          <w:noProof/>
        </w:rPr>
        <w:tab/>
        <w:t xml:space="preserve">Fox, W. Whither short-course chemotherapy? </w:t>
      </w:r>
      <w:r w:rsidRPr="00282D2D">
        <w:rPr>
          <w:rFonts w:ascii="Arial" w:hAnsi="Arial" w:cs="Arial"/>
          <w:i/>
          <w:iCs/>
          <w:noProof/>
        </w:rPr>
        <w:t>Br. J. Dis. Chest</w:t>
      </w:r>
      <w:r w:rsidRPr="00282D2D">
        <w:rPr>
          <w:rFonts w:ascii="Arial" w:hAnsi="Arial" w:cs="Arial"/>
          <w:noProof/>
        </w:rPr>
        <w:t xml:space="preserve"> </w:t>
      </w:r>
      <w:r w:rsidRPr="00282D2D">
        <w:rPr>
          <w:rFonts w:ascii="Arial" w:hAnsi="Arial" w:cs="Arial"/>
          <w:b/>
          <w:bCs/>
          <w:noProof/>
        </w:rPr>
        <w:t>75,</w:t>
      </w:r>
      <w:r w:rsidRPr="00282D2D">
        <w:rPr>
          <w:rFonts w:ascii="Arial" w:hAnsi="Arial" w:cs="Arial"/>
          <w:noProof/>
        </w:rPr>
        <w:t xml:space="preserve"> 331–57 (1981).</w:t>
      </w:r>
    </w:p>
    <w:p w14:paraId="176C53DD"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18.</w:t>
      </w:r>
      <w:r w:rsidRPr="00282D2D">
        <w:rPr>
          <w:rFonts w:ascii="Arial" w:hAnsi="Arial" w:cs="Arial"/>
          <w:noProof/>
        </w:rPr>
        <w:tab/>
        <w:t xml:space="preserve">Kendall, E. A. </w:t>
      </w:r>
      <w:r w:rsidRPr="00282D2D">
        <w:rPr>
          <w:rFonts w:ascii="Arial" w:hAnsi="Arial" w:cs="Arial"/>
          <w:i/>
          <w:iCs/>
          <w:noProof/>
        </w:rPr>
        <w:t>et al.</w:t>
      </w:r>
      <w:r w:rsidRPr="00282D2D">
        <w:rPr>
          <w:rFonts w:ascii="Arial" w:hAnsi="Arial" w:cs="Arial"/>
          <w:noProof/>
        </w:rPr>
        <w:t xml:space="preserve"> Priority-Setting for Novel Drug Regimens to Treat Tuberculosis: An Epidemiologic Model. </w:t>
      </w:r>
      <w:r w:rsidRPr="00282D2D">
        <w:rPr>
          <w:rFonts w:ascii="Arial" w:hAnsi="Arial" w:cs="Arial"/>
          <w:i/>
          <w:iCs/>
          <w:noProof/>
        </w:rPr>
        <w:t>PLOS Med.</w:t>
      </w:r>
      <w:r w:rsidRPr="00282D2D">
        <w:rPr>
          <w:rFonts w:ascii="Arial" w:hAnsi="Arial" w:cs="Arial"/>
          <w:noProof/>
        </w:rPr>
        <w:t xml:space="preserve"> </w:t>
      </w:r>
      <w:r w:rsidRPr="00282D2D">
        <w:rPr>
          <w:rFonts w:ascii="Arial" w:hAnsi="Arial" w:cs="Arial"/>
          <w:b/>
          <w:bCs/>
          <w:noProof/>
        </w:rPr>
        <w:t>14,</w:t>
      </w:r>
      <w:r w:rsidRPr="00282D2D">
        <w:rPr>
          <w:rFonts w:ascii="Arial" w:hAnsi="Arial" w:cs="Arial"/>
          <w:noProof/>
        </w:rPr>
        <w:t xml:space="preserve"> e1002202 (2017).</w:t>
      </w:r>
    </w:p>
    <w:p w14:paraId="31DA0294"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19.</w:t>
      </w:r>
      <w:r w:rsidRPr="00282D2D">
        <w:rPr>
          <w:rFonts w:ascii="Arial" w:hAnsi="Arial" w:cs="Arial"/>
          <w:noProof/>
        </w:rPr>
        <w:tab/>
        <w:t xml:space="preserve">CDISC-Tuberculosis Therapeutic Area User Guide v2.0. (2016). Available at: https://www.cdisc.org/standards/therapeutic-areas/tuberculosis. </w:t>
      </w:r>
    </w:p>
    <w:p w14:paraId="13A1B193"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20.</w:t>
      </w:r>
      <w:r w:rsidRPr="00282D2D">
        <w:rPr>
          <w:rFonts w:ascii="Arial" w:hAnsi="Arial" w:cs="Arial"/>
          <w:noProof/>
        </w:rPr>
        <w:tab/>
        <w:t xml:space="preserve">Taichman, D. B. </w:t>
      </w:r>
      <w:r w:rsidRPr="00282D2D">
        <w:rPr>
          <w:rFonts w:ascii="Arial" w:hAnsi="Arial" w:cs="Arial"/>
          <w:i/>
          <w:iCs/>
          <w:noProof/>
        </w:rPr>
        <w:t>et al.</w:t>
      </w:r>
      <w:r w:rsidRPr="00282D2D">
        <w:rPr>
          <w:rFonts w:ascii="Arial" w:hAnsi="Arial" w:cs="Arial"/>
          <w:noProof/>
        </w:rPr>
        <w:t xml:space="preserve"> Sharing Clinical Trial Data — A Proposal from the International Committee of Medical Journal Editors.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374,</w:t>
      </w:r>
      <w:r w:rsidRPr="00282D2D">
        <w:rPr>
          <w:rFonts w:ascii="Arial" w:hAnsi="Arial" w:cs="Arial"/>
          <w:noProof/>
        </w:rPr>
        <w:t xml:space="preserve"> 384–386 (2016).</w:t>
      </w:r>
    </w:p>
    <w:p w14:paraId="0A28D796" w14:textId="6704743B" w:rsidR="00CC1D42" w:rsidRDefault="00126605" w:rsidP="00282D2D">
      <w:pPr>
        <w:widowControl w:val="0"/>
        <w:autoSpaceDE w:val="0"/>
        <w:autoSpaceDN w:val="0"/>
        <w:adjustRightInd w:val="0"/>
        <w:spacing w:line="480" w:lineRule="auto"/>
        <w:ind w:left="640" w:hanging="640"/>
      </w:pPr>
      <w:r w:rsidRPr="00F00852">
        <w:rPr>
          <w:rFonts w:ascii="Arial" w:hAnsi="Arial"/>
          <w:b/>
        </w:rPr>
        <w:fldChar w:fldCharType="end"/>
      </w:r>
      <w:bookmarkEnd w:id="2"/>
    </w:p>
    <w:p w14:paraId="1F23C03F" w14:textId="02874487" w:rsidR="00CC1D42" w:rsidRDefault="00CC1D42" w:rsidP="003673EA">
      <w:pPr>
        <w:widowControl w:val="0"/>
        <w:rPr>
          <w:rFonts w:ascii="Arial" w:hAnsi="Arial" w:cs="Arial"/>
          <w:b/>
        </w:rPr>
      </w:pPr>
    </w:p>
    <w:p w14:paraId="195A1F0A" w14:textId="77777777" w:rsidR="00E66A58" w:rsidRDefault="00E66A58">
      <w:pPr>
        <w:rPr>
          <w:rFonts w:ascii="Arial" w:hAnsi="Arial" w:cs="Arial"/>
          <w:b/>
        </w:rPr>
      </w:pPr>
      <w:r>
        <w:rPr>
          <w:rFonts w:ascii="Arial" w:hAnsi="Arial" w:cs="Arial"/>
          <w:b/>
        </w:rPr>
        <w:br w:type="page"/>
      </w:r>
    </w:p>
    <w:p w14:paraId="64F9D1C4" w14:textId="694EA047" w:rsidR="00BE1F60" w:rsidRDefault="00BE1F60" w:rsidP="003673EA">
      <w:pPr>
        <w:spacing w:line="480" w:lineRule="auto"/>
        <w:outlineLvl w:val="0"/>
        <w:rPr>
          <w:rFonts w:ascii="Arial" w:hAnsi="Arial" w:cs="Arial"/>
          <w:b/>
        </w:rPr>
      </w:pPr>
      <w:r>
        <w:rPr>
          <w:rFonts w:ascii="Arial" w:hAnsi="Arial" w:cs="Arial"/>
          <w:b/>
        </w:rPr>
        <w:lastRenderedPageBreak/>
        <w:t xml:space="preserve">Figure legends </w:t>
      </w:r>
    </w:p>
    <w:p w14:paraId="54410A98" w14:textId="2B3C4699" w:rsidR="00CC1D42" w:rsidRDefault="00126605" w:rsidP="003673EA">
      <w:pPr>
        <w:spacing w:line="480" w:lineRule="auto"/>
        <w:outlineLvl w:val="0"/>
        <w:rPr>
          <w:rFonts w:ascii="Arial" w:hAnsi="Arial" w:cs="Arial"/>
          <w:b/>
        </w:rPr>
      </w:pPr>
      <w:r>
        <w:rPr>
          <w:rFonts w:ascii="Arial" w:hAnsi="Arial" w:cs="Arial"/>
          <w:b/>
        </w:rPr>
        <w:t xml:space="preserve">Figure 1 Analysis and Validation Populations </w:t>
      </w:r>
    </w:p>
    <w:p w14:paraId="4E28B2AC" w14:textId="176DC3E1" w:rsidR="00A92A12" w:rsidRDefault="00386CDA" w:rsidP="003673EA">
      <w:pPr>
        <w:spacing w:line="480" w:lineRule="auto"/>
        <w:outlineLvl w:val="0"/>
        <w:rPr>
          <w:rFonts w:ascii="Arial" w:hAnsi="Arial" w:cs="Arial"/>
        </w:rPr>
      </w:pPr>
      <w:r>
        <w:rPr>
          <w:rFonts w:ascii="Arial" w:hAnsi="Arial" w:cs="Arial"/>
        </w:rPr>
        <w:t xml:space="preserve">Individual </w:t>
      </w:r>
      <w:r w:rsidR="00075704">
        <w:rPr>
          <w:rFonts w:ascii="Arial" w:hAnsi="Arial" w:cs="Arial"/>
        </w:rPr>
        <w:t>patient data from three trials were pooled for analysis. The o</w:t>
      </w:r>
      <w:r w:rsidR="00126605">
        <w:rPr>
          <w:rFonts w:ascii="Arial" w:hAnsi="Arial" w:cs="Arial"/>
        </w:rPr>
        <w:t xml:space="preserve">riginal results were published in </w:t>
      </w:r>
      <w:r w:rsidR="00183FF8">
        <w:rPr>
          <w:rFonts w:ascii="Arial" w:hAnsi="Arial" w:cs="Arial"/>
        </w:rPr>
        <w:t xml:space="preserve">Merle et al 2014 (OFLOTUB), </w:t>
      </w:r>
      <w:r w:rsidR="00126605">
        <w:rPr>
          <w:rFonts w:ascii="Arial" w:hAnsi="Arial" w:cs="Arial"/>
        </w:rPr>
        <w:t xml:space="preserve">Gillespie et al. 2014 (REMoxTB), </w:t>
      </w:r>
      <w:r w:rsidR="00075704">
        <w:rPr>
          <w:rFonts w:ascii="Arial" w:hAnsi="Arial" w:cs="Arial"/>
        </w:rPr>
        <w:t xml:space="preserve">and </w:t>
      </w:r>
      <w:r w:rsidR="00126605">
        <w:rPr>
          <w:rFonts w:ascii="Arial" w:hAnsi="Arial" w:cs="Arial"/>
        </w:rPr>
        <w:t>Jindani et al 2014 (RIFAQUIN)</w:t>
      </w:r>
      <w:r w:rsidR="00075704">
        <w:rPr>
          <w:rFonts w:ascii="Arial" w:hAnsi="Arial" w:cs="Arial"/>
        </w:rPr>
        <w:t xml:space="preserve">. </w:t>
      </w:r>
      <w:r>
        <w:rPr>
          <w:rFonts w:ascii="Arial" w:hAnsi="Arial" w:cs="Arial"/>
        </w:rPr>
        <w:t>Data from a</w:t>
      </w:r>
      <w:r w:rsidR="00075704">
        <w:rPr>
          <w:rFonts w:ascii="Arial" w:hAnsi="Arial" w:cs="Arial"/>
        </w:rPr>
        <w:t xml:space="preserve"> fourth trial, DMID 01-009, was used for external validation and previously published in </w:t>
      </w:r>
      <w:r w:rsidR="00126605">
        <w:rPr>
          <w:rFonts w:ascii="Arial" w:hAnsi="Arial" w:cs="Arial"/>
        </w:rPr>
        <w:t xml:space="preserve"> Johnson et al. 2009</w:t>
      </w:r>
      <w:r w:rsidR="00075704">
        <w:rPr>
          <w:rFonts w:ascii="Arial" w:hAnsi="Arial" w:cs="Arial"/>
        </w:rPr>
        <w:t xml:space="preserve">. The modified intent-to-treat population was used for the analysis. *For </w:t>
      </w:r>
      <w:r>
        <w:rPr>
          <w:rFonts w:ascii="Arial" w:hAnsi="Arial" w:cs="Arial"/>
        </w:rPr>
        <w:t xml:space="preserve">the </w:t>
      </w:r>
      <w:r w:rsidR="00075704">
        <w:rPr>
          <w:rFonts w:ascii="Arial" w:hAnsi="Arial" w:cs="Arial"/>
        </w:rPr>
        <w:t>validation</w:t>
      </w:r>
      <w:r>
        <w:rPr>
          <w:rFonts w:ascii="Arial" w:hAnsi="Arial" w:cs="Arial"/>
        </w:rPr>
        <w:t xml:space="preserve"> dataset</w:t>
      </w:r>
      <w:r w:rsidR="00075704">
        <w:rPr>
          <w:rFonts w:ascii="Arial" w:hAnsi="Arial" w:cs="Arial"/>
        </w:rPr>
        <w:t>, the</w:t>
      </w:r>
      <w:r w:rsidR="00126605">
        <w:rPr>
          <w:rFonts w:ascii="Arial" w:hAnsi="Arial" w:cs="Arial"/>
        </w:rPr>
        <w:t xml:space="preserve"> time to event analysis population </w:t>
      </w:r>
      <w:r w:rsidR="00075704">
        <w:rPr>
          <w:rFonts w:ascii="Arial" w:hAnsi="Arial" w:cs="Arial"/>
        </w:rPr>
        <w:t>in</w:t>
      </w:r>
      <w:r w:rsidR="00126605">
        <w:rPr>
          <w:rFonts w:ascii="Arial" w:hAnsi="Arial" w:cs="Arial"/>
        </w:rPr>
        <w:t xml:space="preserve"> the original publication</w:t>
      </w:r>
      <w:r w:rsidR="00075704">
        <w:rPr>
          <w:rFonts w:ascii="Arial" w:hAnsi="Arial" w:cs="Arial"/>
        </w:rPr>
        <w:t xml:space="preserve"> was used</w:t>
      </w:r>
      <w:r w:rsidR="00126605">
        <w:rPr>
          <w:rFonts w:ascii="Arial" w:hAnsi="Arial" w:cs="Arial"/>
        </w:rPr>
        <w:t xml:space="preserve">. †REMoxTB consisted of two 4-month experimental groups. </w:t>
      </w:r>
    </w:p>
    <w:p w14:paraId="5E4041B5" w14:textId="3352FB45" w:rsidR="00CC1D42" w:rsidRDefault="00CC1D42" w:rsidP="003673EA">
      <w:pPr>
        <w:spacing w:line="480" w:lineRule="auto"/>
        <w:outlineLvl w:val="0"/>
        <w:rPr>
          <w:rFonts w:ascii="Arial" w:hAnsi="Arial" w:cs="Arial"/>
        </w:rPr>
      </w:pPr>
    </w:p>
    <w:p w14:paraId="6225AA72" w14:textId="77777777" w:rsidR="00CC1D42" w:rsidRDefault="00CC1D42"/>
    <w:p w14:paraId="633349EC" w14:textId="47DC497E" w:rsidR="007210C5" w:rsidRPr="003D6A3A" w:rsidRDefault="007210C5" w:rsidP="008F1E8F">
      <w:pPr>
        <w:spacing w:line="480" w:lineRule="auto"/>
        <w:rPr>
          <w:rFonts w:ascii="Arial" w:hAnsi="Arial"/>
          <w:b/>
        </w:rPr>
      </w:pPr>
      <w:r w:rsidRPr="003D6A3A">
        <w:rPr>
          <w:rFonts w:ascii="Arial" w:hAnsi="Arial"/>
          <w:b/>
        </w:rPr>
        <w:t xml:space="preserve">Figure 2. Multivariate </w:t>
      </w:r>
      <w:r>
        <w:rPr>
          <w:rFonts w:ascii="Arial" w:hAnsi="Arial" w:cs="Arial"/>
          <w:b/>
        </w:rPr>
        <w:t>hazard ratios</w:t>
      </w:r>
      <w:r w:rsidRPr="003D6A3A">
        <w:rPr>
          <w:rFonts w:ascii="Arial" w:hAnsi="Arial"/>
          <w:b/>
        </w:rPr>
        <w:t xml:space="preserve"> for unfavorable outcomes</w:t>
      </w:r>
    </w:p>
    <w:p w14:paraId="41A7D41A" w14:textId="4B66193A" w:rsidR="007210C5" w:rsidRDefault="008F1E8F" w:rsidP="008F1E8F">
      <w:pPr>
        <w:spacing w:line="480" w:lineRule="auto"/>
        <w:rPr>
          <w:rFonts w:ascii="Arial" w:hAnsi="Arial" w:cs="Arial"/>
        </w:rPr>
      </w:pPr>
      <w:r w:rsidRPr="004B74B5">
        <w:rPr>
          <w:rFonts w:ascii="Arial" w:hAnsi="Arial" w:cs="Arial"/>
          <w:b/>
        </w:rPr>
        <w:t>a</w:t>
      </w:r>
      <w:r w:rsidR="007210C5" w:rsidRPr="004B74B5">
        <w:rPr>
          <w:rFonts w:ascii="Arial" w:hAnsi="Arial" w:cs="Arial"/>
          <w:b/>
        </w:rPr>
        <w:t>.</w:t>
      </w:r>
      <w:r w:rsidR="007210C5" w:rsidRPr="00757548">
        <w:rPr>
          <w:rFonts w:ascii="Arial" w:hAnsi="Arial" w:cs="Arial"/>
        </w:rPr>
        <w:t xml:space="preserve"> Multivariate analysis for </w:t>
      </w:r>
      <w:r w:rsidR="007210C5">
        <w:rPr>
          <w:rFonts w:ascii="Arial" w:hAnsi="Arial" w:cs="Arial"/>
        </w:rPr>
        <w:t>experimental</w:t>
      </w:r>
      <w:r w:rsidR="007210C5" w:rsidRPr="00757548">
        <w:rPr>
          <w:rFonts w:ascii="Arial" w:hAnsi="Arial" w:cs="Arial"/>
        </w:rPr>
        <w:t xml:space="preserve"> group with (top panel) baseline predictors and (bottom panel) baseline and on-treatment predictors. </w:t>
      </w:r>
      <w:r w:rsidRPr="004B74B5">
        <w:rPr>
          <w:rFonts w:ascii="Arial" w:hAnsi="Arial" w:cs="Arial"/>
          <w:b/>
        </w:rPr>
        <w:t>b</w:t>
      </w:r>
      <w:r w:rsidR="007210C5" w:rsidRPr="004B74B5">
        <w:rPr>
          <w:rFonts w:ascii="Arial" w:hAnsi="Arial" w:cs="Arial"/>
          <w:b/>
        </w:rPr>
        <w:t>.</w:t>
      </w:r>
      <w:r w:rsidR="007210C5" w:rsidRPr="00757548">
        <w:rPr>
          <w:rFonts w:ascii="Arial" w:hAnsi="Arial" w:cs="Arial"/>
        </w:rPr>
        <w:t xml:space="preserve"> Multivariate analysis for </w:t>
      </w:r>
      <w:r w:rsidR="007210C5">
        <w:rPr>
          <w:rFonts w:ascii="Arial" w:hAnsi="Arial" w:cs="Arial"/>
        </w:rPr>
        <w:t>control</w:t>
      </w:r>
      <w:r w:rsidR="007210C5" w:rsidRPr="00757548">
        <w:rPr>
          <w:rFonts w:ascii="Arial" w:hAnsi="Arial" w:cs="Arial"/>
        </w:rPr>
        <w:t xml:space="preserve"> group with (top panel) baseline predictors and (bottom panel) baseline and on-treatment predictors.</w:t>
      </w:r>
      <w:r w:rsidR="007210C5">
        <w:rPr>
          <w:rFonts w:ascii="Arial" w:hAnsi="Arial" w:cs="Arial"/>
        </w:rPr>
        <w:t xml:space="preserve"> All analyses were adjusted for country</w:t>
      </w:r>
      <w:r w:rsidR="00107463">
        <w:rPr>
          <w:rFonts w:ascii="Arial" w:hAnsi="Arial" w:cs="Arial"/>
        </w:rPr>
        <w:t xml:space="preserve"> and e</w:t>
      </w:r>
      <w:r w:rsidR="00485D45">
        <w:rPr>
          <w:rFonts w:ascii="Arial" w:hAnsi="Arial" w:cs="Arial"/>
        </w:rPr>
        <w:t>ffect size</w:t>
      </w:r>
      <w:r w:rsidR="00231F59">
        <w:rPr>
          <w:rFonts w:ascii="Arial" w:hAnsi="Arial" w:cs="Arial"/>
        </w:rPr>
        <w:t>s</w:t>
      </w:r>
      <w:r w:rsidR="00107463">
        <w:rPr>
          <w:rFonts w:ascii="Arial" w:hAnsi="Arial" w:cs="Arial"/>
        </w:rPr>
        <w:t xml:space="preserve"> are available in Supplementary Table </w:t>
      </w:r>
      <w:r w:rsidR="00AA3E1C">
        <w:rPr>
          <w:rFonts w:ascii="Arial" w:hAnsi="Arial" w:cs="Arial"/>
        </w:rPr>
        <w:t>4</w:t>
      </w:r>
      <w:r w:rsidR="00107463">
        <w:rPr>
          <w:rFonts w:ascii="Arial" w:hAnsi="Arial" w:cs="Arial"/>
        </w:rPr>
        <w:t xml:space="preserve"> and Supplementary Table </w:t>
      </w:r>
      <w:r w:rsidR="00AA3E1C">
        <w:rPr>
          <w:rFonts w:ascii="Arial" w:hAnsi="Arial" w:cs="Arial"/>
        </w:rPr>
        <w:t>5</w:t>
      </w:r>
      <w:r w:rsidR="007210C5">
        <w:rPr>
          <w:rFonts w:ascii="Arial" w:hAnsi="Arial" w:cs="Arial"/>
        </w:rPr>
        <w:t>.</w:t>
      </w:r>
      <w:r w:rsidR="00A92A12">
        <w:rPr>
          <w:rFonts w:ascii="Arial" w:hAnsi="Arial" w:cs="Arial"/>
        </w:rPr>
        <w:t xml:space="preserve"> </w:t>
      </w:r>
      <w:r w:rsidR="005E67DD">
        <w:rPr>
          <w:rFonts w:ascii="Arial" w:hAnsi="Arial" w:cs="Arial"/>
        </w:rPr>
        <w:t xml:space="preserve">Hazard ratios with 95% Wald confidence intervals are reported. </w:t>
      </w:r>
      <w:r w:rsidR="007210C5">
        <w:rPr>
          <w:rFonts w:ascii="Arial" w:hAnsi="Arial" w:cs="Arial"/>
        </w:rPr>
        <w:t xml:space="preserve">The size </w:t>
      </w:r>
      <w:r w:rsidR="007210C5" w:rsidRPr="00C428AD">
        <w:rPr>
          <w:rFonts w:ascii="Arial" w:hAnsi="Arial" w:cs="Arial"/>
        </w:rPr>
        <w:t xml:space="preserve">of the square denotes the relative sample size according to variable. </w:t>
      </w:r>
    </w:p>
    <w:p w14:paraId="7C4C9192" w14:textId="2C93BFBA" w:rsidR="007210C5" w:rsidRDefault="007210C5" w:rsidP="008F1E8F">
      <w:pPr>
        <w:spacing w:line="480" w:lineRule="auto"/>
        <w:rPr>
          <w:rFonts w:ascii="Arial" w:hAnsi="Arial" w:cs="Arial"/>
        </w:rPr>
      </w:pPr>
      <w:r w:rsidRPr="00C428AD">
        <w:rPr>
          <w:rFonts w:ascii="Arial" w:hAnsi="Arial" w:cs="Arial"/>
        </w:rPr>
        <w:t>*</w:t>
      </w:r>
      <w:r w:rsidRPr="00E03F35">
        <w:rPr>
          <w:rFonts w:ascii="Arial" w:hAnsi="Arial" w:cs="Arial"/>
        </w:rPr>
        <w:t xml:space="preserve"> </w:t>
      </w:r>
      <w:r w:rsidRPr="00C428AD">
        <w:rPr>
          <w:rFonts w:ascii="Arial" w:hAnsi="Arial" w:cs="Arial"/>
        </w:rPr>
        <w:t xml:space="preserve">Age </w:t>
      </w:r>
      <w:r>
        <w:rPr>
          <w:rFonts w:ascii="Arial" w:hAnsi="Arial" w:cs="Arial"/>
        </w:rPr>
        <w:t>&lt;</w:t>
      </w:r>
      <m:oMath>
        <m:r>
          <m:rPr>
            <m:sty m:val="p"/>
          </m:rPr>
          <w:rPr>
            <w:rFonts w:ascii="Cambria Math" w:hAnsi="Cambria Math" w:cs="Arial"/>
          </w:rPr>
          <m:t xml:space="preserve"> </m:t>
        </m:r>
      </m:oMath>
      <w:r w:rsidRPr="00C428AD">
        <w:rPr>
          <w:rFonts w:ascii="Arial" w:hAnsi="Arial" w:cs="Arial"/>
        </w:rPr>
        <w:t>30 years, 17</w:t>
      </w:r>
      <w:r>
        <w:rPr>
          <w:rFonts w:ascii="Arial" w:hAnsi="Arial" w:cs="Arial"/>
        </w:rPr>
        <w:t>9</w:t>
      </w:r>
      <w:r w:rsidRPr="00C428AD">
        <w:rPr>
          <w:rFonts w:ascii="Arial" w:hAnsi="Arial" w:cs="Arial"/>
        </w:rPr>
        <w:t>/</w:t>
      </w:r>
      <w:r>
        <w:rPr>
          <w:rFonts w:ascii="Arial" w:hAnsi="Arial" w:cs="Arial"/>
        </w:rPr>
        <w:t>916</w:t>
      </w:r>
      <w:r w:rsidRPr="00C428AD">
        <w:rPr>
          <w:rFonts w:ascii="Arial" w:hAnsi="Arial" w:cs="Arial"/>
        </w:rPr>
        <w:t xml:space="preserve"> (</w:t>
      </w:r>
      <w:r>
        <w:rPr>
          <w:rFonts w:ascii="Arial" w:hAnsi="Arial" w:cs="Arial"/>
        </w:rPr>
        <w:t>20</w:t>
      </w:r>
      <w:r w:rsidRPr="00C428AD">
        <w:rPr>
          <w:rFonts w:ascii="Arial" w:hAnsi="Arial" w:cs="Arial"/>
        </w:rPr>
        <w:t xml:space="preserve">%) unfavorable outcomes and Age </w:t>
      </w:r>
      <m:oMath>
        <m:r>
          <m:rPr>
            <m:sty m:val="p"/>
          </m:rPr>
          <w:rPr>
            <w:rFonts w:ascii="Cambria Math" w:hAnsi="Cambria Math" w:cs="Arial"/>
          </w:rPr>
          <m:t>≥</m:t>
        </m:r>
      </m:oMath>
      <w:r w:rsidRPr="00C428AD">
        <w:rPr>
          <w:rFonts w:ascii="Arial" w:hAnsi="Arial" w:cs="Arial"/>
        </w:rPr>
        <w:t xml:space="preserve"> 30 years, </w:t>
      </w:r>
      <w:r>
        <w:rPr>
          <w:rFonts w:ascii="Arial" w:hAnsi="Arial" w:cs="Arial"/>
        </w:rPr>
        <w:t>237/927</w:t>
      </w:r>
      <w:r w:rsidRPr="00C428AD">
        <w:rPr>
          <w:rFonts w:ascii="Arial" w:hAnsi="Arial" w:cs="Arial"/>
        </w:rPr>
        <w:t xml:space="preserve"> (</w:t>
      </w:r>
      <w:r>
        <w:rPr>
          <w:rFonts w:ascii="Arial" w:hAnsi="Arial" w:cs="Arial"/>
        </w:rPr>
        <w:t>26</w:t>
      </w:r>
      <w:r w:rsidRPr="00C428AD">
        <w:rPr>
          <w:rFonts w:ascii="Arial" w:hAnsi="Arial" w:cs="Arial"/>
        </w:rPr>
        <w:t>%) unfavorable outcomes</w:t>
      </w:r>
      <w:r>
        <w:rPr>
          <w:rFonts w:ascii="Arial" w:hAnsi="Arial" w:cs="Arial"/>
        </w:rPr>
        <w:t xml:space="preserve">. </w:t>
      </w:r>
      <w:r w:rsidRPr="00C428AD">
        <w:rPr>
          <w:rFonts w:ascii="Arial" w:hAnsi="Arial" w:cs="Arial"/>
        </w:rPr>
        <w:t xml:space="preserve">† Age </w:t>
      </w:r>
      <w:r>
        <w:rPr>
          <w:rFonts w:ascii="Arial" w:hAnsi="Arial" w:cs="Arial"/>
        </w:rPr>
        <w:t>&lt;</w:t>
      </w:r>
      <m:oMath>
        <m:r>
          <m:rPr>
            <m:sty m:val="p"/>
          </m:rPr>
          <w:rPr>
            <w:rFonts w:ascii="Cambria Math" w:hAnsi="Cambria Math" w:cs="Arial"/>
          </w:rPr>
          <m:t xml:space="preserve"> </m:t>
        </m:r>
      </m:oMath>
      <w:r w:rsidRPr="00C428AD">
        <w:rPr>
          <w:rFonts w:ascii="Arial" w:hAnsi="Arial" w:cs="Arial"/>
        </w:rPr>
        <w:t xml:space="preserve">30 years, </w:t>
      </w:r>
      <w:r>
        <w:rPr>
          <w:rFonts w:ascii="Arial" w:hAnsi="Arial" w:cs="Arial"/>
        </w:rPr>
        <w:t>136/830</w:t>
      </w:r>
      <w:r w:rsidRPr="00C428AD">
        <w:rPr>
          <w:rFonts w:ascii="Arial" w:hAnsi="Arial" w:cs="Arial"/>
        </w:rPr>
        <w:t xml:space="preserve"> (</w:t>
      </w:r>
      <w:r>
        <w:rPr>
          <w:rFonts w:ascii="Arial" w:hAnsi="Arial" w:cs="Arial"/>
        </w:rPr>
        <w:t>16</w:t>
      </w:r>
      <w:r w:rsidRPr="00C428AD">
        <w:rPr>
          <w:rFonts w:ascii="Arial" w:hAnsi="Arial" w:cs="Arial"/>
        </w:rPr>
        <w:t xml:space="preserve">%) unfavorable outcomes and Age </w:t>
      </w:r>
      <m:oMath>
        <m:r>
          <m:rPr>
            <m:sty m:val="p"/>
          </m:rPr>
          <w:rPr>
            <w:rFonts w:ascii="Cambria Math" w:hAnsi="Cambria Math" w:cs="Arial"/>
          </w:rPr>
          <m:t>≥</m:t>
        </m:r>
      </m:oMath>
      <w:r w:rsidRPr="00C428AD">
        <w:rPr>
          <w:rFonts w:ascii="Arial" w:hAnsi="Arial" w:cs="Arial"/>
        </w:rPr>
        <w:t xml:space="preserve"> 30 years, </w:t>
      </w:r>
      <w:r>
        <w:rPr>
          <w:rFonts w:ascii="Arial" w:hAnsi="Arial" w:cs="Arial"/>
        </w:rPr>
        <w:t>181/838</w:t>
      </w:r>
      <w:r w:rsidRPr="00C428AD">
        <w:rPr>
          <w:rFonts w:ascii="Arial" w:hAnsi="Arial" w:cs="Arial"/>
        </w:rPr>
        <w:t xml:space="preserve"> (</w:t>
      </w:r>
      <w:r>
        <w:rPr>
          <w:rFonts w:ascii="Arial" w:hAnsi="Arial" w:cs="Arial"/>
        </w:rPr>
        <w:t>22</w:t>
      </w:r>
      <w:r w:rsidRPr="00C428AD">
        <w:rPr>
          <w:rFonts w:ascii="Arial" w:hAnsi="Arial" w:cs="Arial"/>
        </w:rPr>
        <w:t xml:space="preserve">%) unfavorable outcomes; BMI </w:t>
      </w:r>
      <m:oMath>
        <m:r>
          <m:rPr>
            <m:sty m:val="p"/>
          </m:rPr>
          <w:rPr>
            <w:rFonts w:ascii="Cambria Math" w:hAnsi="Cambria Math" w:cs="Arial"/>
          </w:rPr>
          <m:t>≥</m:t>
        </m:r>
      </m:oMath>
      <w:r w:rsidRPr="00C428AD">
        <w:rPr>
          <w:rFonts w:ascii="Arial" w:hAnsi="Arial" w:cs="Arial"/>
        </w:rPr>
        <w:t xml:space="preserve"> </w:t>
      </w:r>
      <w:r>
        <w:rPr>
          <w:rFonts w:ascii="Arial" w:hAnsi="Arial" w:cs="Arial"/>
        </w:rPr>
        <w:t>17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226/1247</w:t>
      </w:r>
      <w:r w:rsidRPr="00C428AD">
        <w:rPr>
          <w:rFonts w:ascii="Arial" w:hAnsi="Arial" w:cs="Arial"/>
        </w:rPr>
        <w:t xml:space="preserve"> (</w:t>
      </w:r>
      <w:r>
        <w:rPr>
          <w:rFonts w:ascii="Arial" w:hAnsi="Arial" w:cs="Arial"/>
        </w:rPr>
        <w:t>18</w:t>
      </w:r>
      <w:r w:rsidRPr="00C428AD">
        <w:rPr>
          <w:rFonts w:ascii="Arial" w:hAnsi="Arial" w:cs="Arial"/>
        </w:rPr>
        <w:t xml:space="preserve">%) unfavorable outcomes and BMI </w:t>
      </w:r>
      <w:r>
        <w:rPr>
          <w:rFonts w:ascii="Arial" w:hAnsi="Arial" w:cs="Arial"/>
        </w:rPr>
        <w:t>&lt;</w:t>
      </w:r>
      <w:r w:rsidRPr="00C428AD">
        <w:rPr>
          <w:rFonts w:ascii="Arial" w:hAnsi="Arial" w:cs="Arial"/>
        </w:rPr>
        <w:t xml:space="preserve"> 1</w:t>
      </w:r>
      <w:r>
        <w:rPr>
          <w:rFonts w:ascii="Arial" w:hAnsi="Arial" w:cs="Arial"/>
        </w:rPr>
        <w:t>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91/421</w:t>
      </w:r>
      <w:r w:rsidRPr="00C428AD">
        <w:rPr>
          <w:rFonts w:ascii="Arial" w:hAnsi="Arial" w:cs="Arial"/>
        </w:rPr>
        <w:t xml:space="preserve"> (</w:t>
      </w:r>
      <w:r>
        <w:rPr>
          <w:rFonts w:ascii="Arial" w:hAnsi="Arial" w:cs="Arial"/>
        </w:rPr>
        <w:t>22</w:t>
      </w:r>
      <w:r w:rsidRPr="00C428AD">
        <w:rPr>
          <w:rFonts w:ascii="Arial" w:hAnsi="Arial" w:cs="Arial"/>
        </w:rPr>
        <w:t xml:space="preserve">%) unfavorable outcomes. ∫ Age </w:t>
      </w:r>
      <w:r>
        <w:rPr>
          <w:rFonts w:ascii="Arial" w:hAnsi="Arial" w:cs="Arial"/>
        </w:rPr>
        <w:t>&lt;</w:t>
      </w:r>
      <m:oMath>
        <m:r>
          <m:rPr>
            <m:sty m:val="p"/>
          </m:rPr>
          <w:rPr>
            <w:rFonts w:ascii="Cambria Math" w:hAnsi="Cambria Math" w:cs="Arial"/>
          </w:rPr>
          <m:t xml:space="preserve"> </m:t>
        </m:r>
      </m:oMath>
      <w:r w:rsidRPr="00C428AD">
        <w:rPr>
          <w:rFonts w:ascii="Arial" w:hAnsi="Arial" w:cs="Arial"/>
        </w:rPr>
        <w:t xml:space="preserve">30 years, </w:t>
      </w:r>
      <w:r>
        <w:rPr>
          <w:rFonts w:ascii="Arial" w:hAnsi="Arial" w:cs="Arial"/>
        </w:rPr>
        <w:t>92/657</w:t>
      </w:r>
      <w:r w:rsidRPr="00C428AD">
        <w:rPr>
          <w:rFonts w:ascii="Arial" w:hAnsi="Arial" w:cs="Arial"/>
        </w:rPr>
        <w:t xml:space="preserve"> (</w:t>
      </w:r>
      <w:r>
        <w:rPr>
          <w:rFonts w:ascii="Arial" w:hAnsi="Arial" w:cs="Arial"/>
        </w:rPr>
        <w:t>14</w:t>
      </w:r>
      <w:r w:rsidRPr="00C428AD">
        <w:rPr>
          <w:rFonts w:ascii="Arial" w:hAnsi="Arial" w:cs="Arial"/>
        </w:rPr>
        <w:t xml:space="preserve">%) unfavorable outcomes and Age </w:t>
      </w:r>
      <m:oMath>
        <m:r>
          <m:rPr>
            <m:sty m:val="p"/>
          </m:rPr>
          <w:rPr>
            <w:rFonts w:ascii="Cambria Math" w:hAnsi="Cambria Math" w:cs="Arial"/>
          </w:rPr>
          <m:t>≥</m:t>
        </m:r>
      </m:oMath>
      <w:r w:rsidRPr="00C428AD">
        <w:rPr>
          <w:rFonts w:ascii="Arial" w:hAnsi="Arial" w:cs="Arial"/>
        </w:rPr>
        <w:t xml:space="preserve"> 30 years, </w:t>
      </w:r>
      <w:r>
        <w:rPr>
          <w:rFonts w:ascii="Arial" w:hAnsi="Arial" w:cs="Arial"/>
        </w:rPr>
        <w:t>121/654</w:t>
      </w:r>
      <w:r w:rsidRPr="00C428AD">
        <w:rPr>
          <w:rFonts w:ascii="Arial" w:hAnsi="Arial" w:cs="Arial"/>
        </w:rPr>
        <w:t xml:space="preserve"> (</w:t>
      </w:r>
      <w:r>
        <w:rPr>
          <w:rFonts w:ascii="Arial" w:hAnsi="Arial" w:cs="Arial"/>
        </w:rPr>
        <w:t>19</w:t>
      </w:r>
      <w:r w:rsidRPr="00C428AD">
        <w:rPr>
          <w:rFonts w:ascii="Arial" w:hAnsi="Arial" w:cs="Arial"/>
        </w:rPr>
        <w:t xml:space="preserve">%) unfavorable outcomes; BMI </w:t>
      </w:r>
      <m:oMath>
        <m:r>
          <m:rPr>
            <m:sty m:val="p"/>
          </m:rPr>
          <w:rPr>
            <w:rFonts w:ascii="Cambria Math" w:hAnsi="Cambria Math" w:cs="Arial"/>
          </w:rPr>
          <m:t>≥</m:t>
        </m:r>
      </m:oMath>
      <w:r w:rsidRPr="00C428AD">
        <w:rPr>
          <w:rFonts w:ascii="Arial" w:hAnsi="Arial" w:cs="Arial"/>
        </w:rPr>
        <w:t xml:space="preserve"> </w:t>
      </w:r>
      <w:r>
        <w:rPr>
          <w:rFonts w:ascii="Arial" w:hAnsi="Arial" w:cs="Arial"/>
        </w:rPr>
        <w:t>17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156/989</w:t>
      </w:r>
      <w:r w:rsidRPr="00C428AD">
        <w:rPr>
          <w:rFonts w:ascii="Arial" w:hAnsi="Arial" w:cs="Arial"/>
        </w:rPr>
        <w:t xml:space="preserve"> (</w:t>
      </w:r>
      <w:r>
        <w:rPr>
          <w:rFonts w:ascii="Arial" w:hAnsi="Arial" w:cs="Arial"/>
        </w:rPr>
        <w:t>16</w:t>
      </w:r>
      <w:r w:rsidRPr="00C428AD">
        <w:rPr>
          <w:rFonts w:ascii="Arial" w:hAnsi="Arial" w:cs="Arial"/>
        </w:rPr>
        <w:t xml:space="preserve">%) unfavorable outcomes and BMI </w:t>
      </w:r>
      <w:r>
        <w:rPr>
          <w:rFonts w:ascii="Arial" w:hAnsi="Arial" w:cs="Arial"/>
        </w:rPr>
        <w:t>&lt;</w:t>
      </w:r>
      <w:r w:rsidRPr="00C428AD">
        <w:rPr>
          <w:rFonts w:ascii="Arial" w:hAnsi="Arial" w:cs="Arial"/>
        </w:rPr>
        <w:t xml:space="preserve"> 1</w:t>
      </w:r>
      <w:r>
        <w:rPr>
          <w:rFonts w:ascii="Arial" w:hAnsi="Arial" w:cs="Arial"/>
        </w:rPr>
        <w:t>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57/322</w:t>
      </w:r>
      <w:r w:rsidRPr="00C428AD">
        <w:rPr>
          <w:rFonts w:ascii="Arial" w:hAnsi="Arial" w:cs="Arial"/>
        </w:rPr>
        <w:t xml:space="preserve"> (</w:t>
      </w:r>
      <w:r>
        <w:rPr>
          <w:rFonts w:ascii="Arial" w:hAnsi="Arial" w:cs="Arial"/>
        </w:rPr>
        <w:t>18</w:t>
      </w:r>
      <w:r w:rsidRPr="00C428AD">
        <w:rPr>
          <w:rFonts w:ascii="Arial" w:hAnsi="Arial" w:cs="Arial"/>
        </w:rPr>
        <w:t xml:space="preserve">%) unfavorable outcomes. </w:t>
      </w:r>
      <w:r w:rsidRPr="0027434E">
        <w:rPr>
          <w:rFonts w:ascii="Arial" w:hAnsi="Arial" w:cs="Arial"/>
        </w:rPr>
        <w:t>¶</w:t>
      </w:r>
      <w:r w:rsidRPr="002E578B">
        <w:rPr>
          <w:rFonts w:ascii="Arial" w:hAnsi="Arial" w:cs="Arial"/>
        </w:rPr>
        <w:t xml:space="preserve"> </w:t>
      </w:r>
      <w:r w:rsidRPr="00C428AD">
        <w:rPr>
          <w:rFonts w:ascii="Arial" w:hAnsi="Arial" w:cs="Arial"/>
        </w:rPr>
        <w:t xml:space="preserve">BMI </w:t>
      </w:r>
      <m:oMath>
        <m:r>
          <m:rPr>
            <m:sty m:val="p"/>
          </m:rPr>
          <w:rPr>
            <w:rFonts w:ascii="Cambria Math" w:hAnsi="Cambria Math" w:cs="Arial"/>
          </w:rPr>
          <m:t>≥</m:t>
        </m:r>
      </m:oMath>
      <w:r w:rsidRPr="00C428AD">
        <w:rPr>
          <w:rFonts w:ascii="Arial" w:hAnsi="Arial" w:cs="Arial"/>
        </w:rPr>
        <w:t xml:space="preserve"> </w:t>
      </w:r>
      <w:r>
        <w:rPr>
          <w:rFonts w:ascii="Arial" w:hAnsi="Arial" w:cs="Arial"/>
        </w:rPr>
        <w:t>17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102/901</w:t>
      </w:r>
      <w:r w:rsidRPr="00C428AD">
        <w:rPr>
          <w:rFonts w:ascii="Arial" w:hAnsi="Arial" w:cs="Arial"/>
        </w:rPr>
        <w:t xml:space="preserve"> (</w:t>
      </w:r>
      <w:r>
        <w:rPr>
          <w:rFonts w:ascii="Arial" w:hAnsi="Arial" w:cs="Arial"/>
        </w:rPr>
        <w:t>11</w:t>
      </w:r>
      <w:r w:rsidRPr="00C428AD">
        <w:rPr>
          <w:rFonts w:ascii="Arial" w:hAnsi="Arial" w:cs="Arial"/>
        </w:rPr>
        <w:t xml:space="preserve">%) unfavorable outcomes and BMI </w:t>
      </w:r>
      <w:r>
        <w:rPr>
          <w:rFonts w:ascii="Arial" w:hAnsi="Arial" w:cs="Arial"/>
        </w:rPr>
        <w:t>&lt;</w:t>
      </w:r>
      <w:r w:rsidRPr="00C428AD">
        <w:rPr>
          <w:rFonts w:ascii="Arial" w:hAnsi="Arial" w:cs="Arial"/>
        </w:rPr>
        <w:t xml:space="preserve"> 1</w:t>
      </w:r>
      <w:r>
        <w:rPr>
          <w:rFonts w:ascii="Arial" w:hAnsi="Arial" w:cs="Arial"/>
        </w:rPr>
        <w:t>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36/285</w:t>
      </w:r>
      <w:r w:rsidRPr="00C428AD">
        <w:rPr>
          <w:rFonts w:ascii="Arial" w:hAnsi="Arial" w:cs="Arial"/>
        </w:rPr>
        <w:t xml:space="preserve"> (</w:t>
      </w:r>
      <w:r>
        <w:rPr>
          <w:rFonts w:ascii="Arial" w:hAnsi="Arial" w:cs="Arial"/>
        </w:rPr>
        <w:t>13</w:t>
      </w:r>
      <w:r w:rsidRPr="00C428AD">
        <w:rPr>
          <w:rFonts w:ascii="Arial" w:hAnsi="Arial" w:cs="Arial"/>
        </w:rPr>
        <w:t xml:space="preserve">%) unfavorable outcomes. </w:t>
      </w:r>
    </w:p>
    <w:p w14:paraId="3B2F0D80" w14:textId="77777777" w:rsidR="00A33E49" w:rsidRDefault="00A33E49" w:rsidP="008F1E8F">
      <w:pPr>
        <w:spacing w:line="480" w:lineRule="auto"/>
        <w:rPr>
          <w:rFonts w:ascii="Arial" w:hAnsi="Arial" w:cs="Arial"/>
        </w:rPr>
      </w:pPr>
    </w:p>
    <w:p w14:paraId="739FEB4B" w14:textId="77777777" w:rsidR="00A33E49" w:rsidRDefault="00A33E49" w:rsidP="00A33E49">
      <w:pPr>
        <w:spacing w:line="480" w:lineRule="auto"/>
        <w:outlineLvl w:val="0"/>
        <w:rPr>
          <w:rFonts w:ascii="Arial" w:hAnsi="Arial" w:cs="Arial"/>
          <w:b/>
        </w:rPr>
      </w:pPr>
      <w:r>
        <w:rPr>
          <w:rFonts w:ascii="Arial" w:hAnsi="Arial"/>
          <w:b/>
        </w:rPr>
        <w:lastRenderedPageBreak/>
        <w:t xml:space="preserve">Figure 3. </w:t>
      </w:r>
      <w:r>
        <w:rPr>
          <w:rFonts w:ascii="Arial" w:hAnsi="Arial" w:cs="Arial"/>
          <w:b/>
        </w:rPr>
        <w:t xml:space="preserve">Difference in proprotion of unfavorable outcomes between the experimental group and control group, overall and according to subgroups. </w:t>
      </w:r>
    </w:p>
    <w:p w14:paraId="226FF22D" w14:textId="652E2C53" w:rsidR="00DB53D9" w:rsidRDefault="00A33E49" w:rsidP="00804CE5">
      <w:pPr>
        <w:spacing w:line="480" w:lineRule="auto"/>
        <w:outlineLvl w:val="0"/>
        <w:rPr>
          <w:rFonts w:ascii="Arial" w:hAnsi="Arial" w:cs="Arial"/>
        </w:rPr>
      </w:pPr>
      <w:r w:rsidRPr="00804CE5">
        <w:rPr>
          <w:rFonts w:ascii="Arial" w:hAnsi="Arial" w:cs="Arial"/>
          <w:b/>
        </w:rPr>
        <w:t>a.</w:t>
      </w:r>
      <w:r>
        <w:rPr>
          <w:rFonts w:ascii="Arial" w:hAnsi="Arial" w:cs="Arial"/>
        </w:rPr>
        <w:t xml:space="preserve"> Non-inferiority tests based on analysis dataset. </w:t>
      </w:r>
      <w:r w:rsidRPr="00804CE5">
        <w:rPr>
          <w:rFonts w:ascii="Arial" w:hAnsi="Arial" w:cs="Arial"/>
          <w:b/>
        </w:rPr>
        <w:t>b.</w:t>
      </w:r>
      <w:r>
        <w:rPr>
          <w:rFonts w:ascii="Arial" w:hAnsi="Arial" w:cs="Arial"/>
        </w:rPr>
        <w:t xml:space="preserve"> Validation of non-inferiority tests in panel a based on an independent validation dataset.</w:t>
      </w:r>
      <w:r w:rsidR="005E67DD">
        <w:rPr>
          <w:rFonts w:ascii="Arial" w:hAnsi="Arial" w:cs="Arial"/>
        </w:rPr>
        <w:t xml:space="preserve"> </w:t>
      </w:r>
      <w:r w:rsidR="00386CDA">
        <w:rPr>
          <w:rFonts w:ascii="Arial" w:hAnsi="Arial" w:cs="Arial"/>
        </w:rPr>
        <w:t>The</w:t>
      </w:r>
      <w:r w:rsidR="005E67DD">
        <w:rPr>
          <w:rFonts w:ascii="Arial" w:hAnsi="Arial" w:cs="Arial"/>
        </w:rPr>
        <w:t xml:space="preserve"> 90% confidence interval</w:t>
      </w:r>
      <w:r w:rsidR="00386CDA">
        <w:rPr>
          <w:rFonts w:ascii="Arial" w:hAnsi="Arial" w:cs="Arial"/>
        </w:rPr>
        <w:t xml:space="preserve"> of the difference in proportion of unfavorable outcomes were</w:t>
      </w:r>
      <w:r w:rsidR="005E67DD">
        <w:rPr>
          <w:rFonts w:ascii="Arial" w:hAnsi="Arial" w:cs="Arial"/>
        </w:rPr>
        <w:t xml:space="preserve"> </w:t>
      </w:r>
      <w:r w:rsidR="00386CDA">
        <w:rPr>
          <w:rFonts w:ascii="Arial" w:hAnsi="Arial" w:cs="Arial"/>
        </w:rPr>
        <w:t>determined by</w:t>
      </w:r>
      <w:r w:rsidR="005E67DD">
        <w:rPr>
          <w:rFonts w:ascii="Arial" w:hAnsi="Arial" w:cs="Arial"/>
        </w:rPr>
        <w:t xml:space="preserve"> bootstrapping 500 samples</w:t>
      </w:r>
      <w:r w:rsidR="00386CDA">
        <w:rPr>
          <w:rFonts w:ascii="Arial" w:hAnsi="Arial" w:cs="Arial"/>
        </w:rPr>
        <w:t>.</w:t>
      </w:r>
      <w:r w:rsidR="005E67DD">
        <w:rPr>
          <w:rFonts w:ascii="Arial" w:hAnsi="Arial" w:cs="Arial"/>
        </w:rPr>
        <w:t xml:space="preserve"> </w:t>
      </w:r>
      <w:r>
        <w:rPr>
          <w:rFonts w:ascii="Arial" w:hAnsi="Arial" w:cs="Arial"/>
        </w:rPr>
        <w:t xml:space="preserve"> Red squares denote experimental subgroups that were non-inferior to the control subgroups and blue squares denote subgroups that did not show non-inferiority. *Study participants in the validation dataset were HIV-uninfected adults with non-cavitary disease and 2-month culture negative status. </w:t>
      </w:r>
    </w:p>
    <w:p w14:paraId="0A2DDD4D" w14:textId="77777777" w:rsidR="00A33E49" w:rsidRDefault="00A33E49" w:rsidP="00804CE5">
      <w:pPr>
        <w:spacing w:line="480" w:lineRule="auto"/>
        <w:outlineLvl w:val="0"/>
        <w:rPr>
          <w:rFonts w:ascii="Arial" w:hAnsi="Arial" w:cs="Arial"/>
        </w:rPr>
      </w:pPr>
    </w:p>
    <w:p w14:paraId="1EF3813D" w14:textId="1B258318" w:rsidR="00143586" w:rsidRDefault="00143586" w:rsidP="0079471D">
      <w:pPr>
        <w:outlineLvl w:val="0"/>
        <w:rPr>
          <w:rFonts w:ascii="Arial" w:hAnsi="Arial" w:cs="Arial"/>
        </w:rPr>
      </w:pPr>
    </w:p>
    <w:p w14:paraId="051B8DDC" w14:textId="68FC4C86" w:rsidR="00CC1D42" w:rsidRDefault="00126605" w:rsidP="003673EA">
      <w:pPr>
        <w:spacing w:line="480" w:lineRule="auto"/>
        <w:outlineLvl w:val="0"/>
        <w:rPr>
          <w:rFonts w:ascii="Arial" w:hAnsi="Arial"/>
          <w:b/>
        </w:rPr>
      </w:pPr>
      <w:r>
        <w:rPr>
          <w:rFonts w:ascii="Arial" w:hAnsi="Arial"/>
          <w:b/>
        </w:rPr>
        <w:t xml:space="preserve">Figure </w:t>
      </w:r>
      <w:r w:rsidR="00A33E49">
        <w:rPr>
          <w:rFonts w:ascii="Arial" w:hAnsi="Arial"/>
          <w:b/>
        </w:rPr>
        <w:t>4</w:t>
      </w:r>
      <w:r>
        <w:rPr>
          <w:rFonts w:ascii="Arial" w:hAnsi="Arial"/>
          <w:b/>
        </w:rPr>
        <w:t>. Analysis of 7/7 and 6/7 dosing strategies and impact of adherence in the control group.</w:t>
      </w:r>
    </w:p>
    <w:p w14:paraId="0D1DD0FF" w14:textId="05ADA2C1" w:rsidR="00CC1D42" w:rsidRPr="005244E7" w:rsidRDefault="00126605" w:rsidP="005244E7">
      <w:pPr>
        <w:pStyle w:val="ListParagraph"/>
        <w:numPr>
          <w:ilvl w:val="0"/>
          <w:numId w:val="17"/>
        </w:numPr>
        <w:spacing w:line="480" w:lineRule="auto"/>
        <w:outlineLvl w:val="0"/>
        <w:rPr>
          <w:rFonts w:ascii="Arial" w:hAnsi="Arial" w:cs="Arial"/>
        </w:rPr>
      </w:pPr>
      <w:r w:rsidRPr="005244E7">
        <w:rPr>
          <w:rFonts w:ascii="Arial" w:hAnsi="Arial" w:cs="Arial"/>
        </w:rPr>
        <w:t>Kaplan</w:t>
      </w:r>
      <w:r w:rsidR="006E1954" w:rsidRPr="005244E7">
        <w:rPr>
          <w:rFonts w:ascii="Arial" w:hAnsi="Arial" w:cs="Arial"/>
        </w:rPr>
        <w:t>-</w:t>
      </w:r>
      <w:r w:rsidRPr="005244E7">
        <w:rPr>
          <w:rFonts w:ascii="Arial" w:hAnsi="Arial" w:cs="Arial"/>
        </w:rPr>
        <w:t>Meier estimates for fully adherent study participants</w:t>
      </w:r>
      <w:r w:rsidR="004E6ADC" w:rsidRPr="005244E7">
        <w:rPr>
          <w:rFonts w:ascii="Arial" w:hAnsi="Arial" w:cs="Arial"/>
        </w:rPr>
        <w:t xml:space="preserve"> (N = 996)</w:t>
      </w:r>
      <w:r w:rsidRPr="005244E7">
        <w:rPr>
          <w:rFonts w:ascii="Arial" w:hAnsi="Arial" w:cs="Arial"/>
        </w:rPr>
        <w:t xml:space="preserve"> after treatment with 7/7 or 6/7 dosing strategies</w:t>
      </w:r>
      <w:r w:rsidR="00375E17" w:rsidRPr="005244E7">
        <w:rPr>
          <w:rFonts w:ascii="Arial" w:hAnsi="Arial" w:cs="Arial"/>
        </w:rPr>
        <w:t xml:space="preserve">. </w:t>
      </w:r>
      <w:r w:rsidR="00375E17" w:rsidRPr="005244E7">
        <w:rPr>
          <w:rFonts w:ascii="Arial" w:hAnsi="Arial" w:cs="Arial"/>
          <w:b/>
        </w:rPr>
        <w:t>b</w:t>
      </w:r>
      <w:r w:rsidRPr="005244E7">
        <w:rPr>
          <w:rFonts w:ascii="Arial" w:hAnsi="Arial" w:cs="Arial"/>
          <w:b/>
        </w:rPr>
        <w:t>.</w:t>
      </w:r>
      <w:r w:rsidRPr="005244E7">
        <w:rPr>
          <w:rFonts w:ascii="Arial" w:hAnsi="Arial" w:cs="Arial"/>
        </w:rPr>
        <w:t xml:space="preserve"> Multivariate analysis with total number of doses taken for study participants who took at least 4 months of treatment under 7/7 dosing strategies for 26 weeks (REMoxTB and RIFAQUIN trials), after adjustment for country and treatment duration. </w:t>
      </w:r>
      <w:r w:rsidR="00375E17" w:rsidRPr="005244E7">
        <w:rPr>
          <w:rFonts w:ascii="Arial" w:hAnsi="Arial" w:cs="Arial"/>
          <w:b/>
        </w:rPr>
        <w:t>c</w:t>
      </w:r>
      <w:r w:rsidRPr="005244E7">
        <w:rPr>
          <w:rFonts w:ascii="Arial" w:hAnsi="Arial" w:cs="Arial"/>
          <w:b/>
        </w:rPr>
        <w:t>.</w:t>
      </w:r>
      <w:r w:rsidRPr="005244E7">
        <w:rPr>
          <w:rFonts w:ascii="Arial" w:hAnsi="Arial" w:cs="Arial"/>
        </w:rPr>
        <w:t xml:space="preserve"> Multivariate analysis with total number of doses taken for study participants who took at least 4 months of treatment under 6/7 dosing strategies for 24 weeks (OFLOTUB trial), after adjustment for country and treatment duration.</w:t>
      </w:r>
      <w:r w:rsidR="00107463" w:rsidRPr="005244E7">
        <w:rPr>
          <w:rFonts w:ascii="Arial" w:hAnsi="Arial" w:cs="Arial"/>
        </w:rPr>
        <w:t xml:space="preserve"> </w:t>
      </w:r>
      <w:r w:rsidR="00485D45" w:rsidRPr="005244E7">
        <w:rPr>
          <w:rFonts w:ascii="Arial" w:hAnsi="Arial" w:cs="Arial"/>
        </w:rPr>
        <w:t>Effect size for country</w:t>
      </w:r>
      <w:r w:rsidR="00107463" w:rsidRPr="005244E7">
        <w:rPr>
          <w:rFonts w:ascii="Arial" w:hAnsi="Arial" w:cs="Arial"/>
        </w:rPr>
        <w:t xml:space="preserve"> are ava</w:t>
      </w:r>
      <w:r w:rsidR="00A33E49" w:rsidRPr="005244E7">
        <w:rPr>
          <w:rFonts w:ascii="Arial" w:hAnsi="Arial" w:cs="Arial"/>
        </w:rPr>
        <w:t xml:space="preserve">ilable in Supplementary Table </w:t>
      </w:r>
      <w:r w:rsidR="00AA3E1C" w:rsidRPr="005244E7">
        <w:rPr>
          <w:rFonts w:ascii="Arial" w:hAnsi="Arial" w:cs="Arial"/>
        </w:rPr>
        <w:t>7</w:t>
      </w:r>
      <w:r w:rsidR="00107463" w:rsidRPr="005244E7">
        <w:rPr>
          <w:rFonts w:ascii="Arial" w:hAnsi="Arial" w:cs="Arial"/>
        </w:rPr>
        <w:t xml:space="preserve">. </w:t>
      </w:r>
      <w:r w:rsidRPr="005244E7">
        <w:rPr>
          <w:rFonts w:ascii="Arial" w:hAnsi="Arial" w:cs="Arial"/>
        </w:rPr>
        <w:t xml:space="preserve"> </w:t>
      </w:r>
      <w:r w:rsidR="005E67DD" w:rsidRPr="005244E7">
        <w:rPr>
          <w:rFonts w:ascii="Arial" w:hAnsi="Arial" w:cs="Arial"/>
        </w:rPr>
        <w:t xml:space="preserve">In panels b and c, the hazard ratios with 95% Wald confidence interval are reported. </w:t>
      </w:r>
      <w:r w:rsidRPr="005244E7">
        <w:rPr>
          <w:rFonts w:ascii="Arial" w:hAnsi="Arial" w:cs="Arial"/>
        </w:rPr>
        <w:t>*Hazard ratio</w:t>
      </w:r>
      <w:r w:rsidR="00A92A12" w:rsidRPr="005244E7">
        <w:rPr>
          <w:rFonts w:ascii="Arial" w:hAnsi="Arial" w:cs="Arial"/>
        </w:rPr>
        <w:t xml:space="preserve"> with 95% </w:t>
      </w:r>
      <w:r w:rsidR="005E67DD" w:rsidRPr="005244E7">
        <w:rPr>
          <w:rFonts w:ascii="Arial" w:hAnsi="Arial" w:cs="Arial"/>
        </w:rPr>
        <w:t xml:space="preserve">Wald </w:t>
      </w:r>
      <w:r w:rsidR="00A92A12" w:rsidRPr="005244E7">
        <w:rPr>
          <w:rFonts w:ascii="Arial" w:hAnsi="Arial" w:cs="Arial"/>
        </w:rPr>
        <w:t xml:space="preserve">confidence interval </w:t>
      </w:r>
      <w:r w:rsidRPr="005244E7">
        <w:rPr>
          <w:rFonts w:ascii="Arial" w:hAnsi="Arial" w:cs="Arial"/>
        </w:rPr>
        <w:t>for 6/7 dosing strategy relative to 7/7 dosing strategy</w:t>
      </w:r>
      <w:r w:rsidR="006546C1" w:rsidRPr="005244E7">
        <w:rPr>
          <w:rFonts w:ascii="Arial" w:hAnsi="Arial" w:cs="Arial"/>
        </w:rPr>
        <w:t xml:space="preserve"> for fully adherent population</w:t>
      </w:r>
      <w:r w:rsidRPr="005244E7">
        <w:rPr>
          <w:rFonts w:ascii="Arial" w:hAnsi="Arial" w:cs="Arial"/>
        </w:rPr>
        <w:t xml:space="preserve"> after adjustment for county and treatment duration. †Treatment Duration &lt; 182 days, 21/110 (19%) unfavorable outcomes and Treatment Duration ≥ 182 days, 40/577 (7%) unfavorable outcomes. ∫ Treatment Duration &lt; 169 days, 21/155 (14%) unfavorable outcomes and Treatment Duration ≥ 169 days, 42/443 (9%) unfavorable outcomes</w:t>
      </w:r>
      <w:r w:rsidR="00A92A12" w:rsidRPr="005244E7">
        <w:rPr>
          <w:rFonts w:ascii="Arial" w:hAnsi="Arial" w:cs="Arial"/>
        </w:rPr>
        <w:t>.</w:t>
      </w:r>
    </w:p>
    <w:p w14:paraId="473FE721" w14:textId="2689A3D5" w:rsidR="008F1E8F" w:rsidRDefault="008F1E8F">
      <w:pPr>
        <w:outlineLvl w:val="0"/>
        <w:rPr>
          <w:rFonts w:ascii="Arial" w:hAnsi="Arial"/>
        </w:rPr>
      </w:pPr>
      <w:r w:rsidRPr="007210C5">
        <w:rPr>
          <w:rFonts w:ascii="Arial" w:eastAsia="Bradley Hand" w:hAnsi="Arial" w:cs="Arial"/>
          <w:b/>
          <w:color w:val="000000"/>
          <w:sz w:val="22"/>
          <w:szCs w:val="22"/>
        </w:rPr>
        <w:lastRenderedPageBreak/>
        <w:t>Table 1. Baseline Characteristics of Study Participants in the Modified Intent-to-Treat Analysis</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270"/>
        <w:gridCol w:w="2700"/>
        <w:gridCol w:w="1980"/>
        <w:gridCol w:w="1890"/>
        <w:gridCol w:w="1890"/>
        <w:gridCol w:w="1795"/>
      </w:tblGrid>
      <w:tr w:rsidR="008F1E8F" w:rsidRPr="009439D3" w14:paraId="48673FF9" w14:textId="77777777" w:rsidTr="00EA10C3">
        <w:trPr>
          <w:trHeight w:val="233"/>
        </w:trPr>
        <w:tc>
          <w:tcPr>
            <w:tcW w:w="10790" w:type="dxa"/>
            <w:gridSpan w:val="7"/>
            <w:tcBorders>
              <w:top w:val="single" w:sz="4" w:space="0" w:color="auto"/>
              <w:left w:val="single" w:sz="4" w:space="0" w:color="auto"/>
              <w:bottom w:val="single" w:sz="4" w:space="0" w:color="auto"/>
              <w:right w:val="single" w:sz="4" w:space="0" w:color="auto"/>
            </w:tcBorders>
            <w:shd w:val="clear" w:color="auto" w:fill="A6A6A6"/>
            <w:hideMark/>
          </w:tcPr>
          <w:p w14:paraId="0A646444" w14:textId="77777777" w:rsidR="008F1E8F" w:rsidRPr="007210C5" w:rsidRDefault="008F1E8F" w:rsidP="00EA10C3">
            <w:pPr>
              <w:rPr>
                <w:rFonts w:ascii="Arial" w:eastAsia="Bradley Hand" w:hAnsi="Arial" w:cs="Arial"/>
                <w:b/>
                <w:color w:val="000000"/>
                <w:sz w:val="22"/>
                <w:szCs w:val="22"/>
              </w:rPr>
            </w:pPr>
            <w:r w:rsidRPr="007210C5">
              <w:rPr>
                <w:rFonts w:ascii="Arial" w:eastAsia="Bradley Hand" w:hAnsi="Arial" w:cs="Arial"/>
                <w:b/>
                <w:color w:val="000000"/>
                <w:sz w:val="22"/>
                <w:szCs w:val="22"/>
              </w:rPr>
              <w:t>Table 1. Baseline Characteristics of Study Participants in the Modified Intent-to-Treat Analysis</w:t>
            </w:r>
          </w:p>
        </w:tc>
      </w:tr>
      <w:tr w:rsidR="008F1E8F" w:rsidRPr="009439D3" w14:paraId="4CEBA644" w14:textId="77777777" w:rsidTr="00804CE5">
        <w:trPr>
          <w:trHeight w:val="521"/>
        </w:trPr>
        <w:tc>
          <w:tcPr>
            <w:tcW w:w="265" w:type="dxa"/>
            <w:shd w:val="clear" w:color="auto" w:fill="FFFFFF"/>
            <w:noWrap/>
            <w:vAlign w:val="bottom"/>
          </w:tcPr>
          <w:p w14:paraId="3C0E00EF"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vAlign w:val="bottom"/>
          </w:tcPr>
          <w:p w14:paraId="0046A3A0" w14:textId="77777777" w:rsidR="008F1E8F" w:rsidRPr="009439D3" w:rsidRDefault="008F1E8F" w:rsidP="00EA10C3">
            <w:pPr>
              <w:rPr>
                <w:rFonts w:ascii="Arial" w:eastAsia="Times New Roman" w:hAnsi="Arial" w:cs="Arial"/>
                <w:color w:val="000000"/>
                <w:sz w:val="22"/>
                <w:szCs w:val="22"/>
              </w:rPr>
            </w:pPr>
          </w:p>
        </w:tc>
        <w:tc>
          <w:tcPr>
            <w:tcW w:w="3870" w:type="dxa"/>
            <w:gridSpan w:val="2"/>
            <w:shd w:val="clear" w:color="auto" w:fill="FFFFFF"/>
            <w:vAlign w:val="center"/>
          </w:tcPr>
          <w:p w14:paraId="30FFD996" w14:textId="77777777" w:rsidR="008F1E8F"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Analysis Dataset </w:t>
            </w:r>
          </w:p>
          <w:p w14:paraId="624B2CA1"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(OFLOTUB, REMoxTB, RIFAQUIN)</w:t>
            </w:r>
          </w:p>
        </w:tc>
        <w:tc>
          <w:tcPr>
            <w:tcW w:w="3685" w:type="dxa"/>
            <w:gridSpan w:val="2"/>
            <w:shd w:val="clear" w:color="auto" w:fill="FFFFFF"/>
          </w:tcPr>
          <w:p w14:paraId="78FBFC3E" w14:textId="77777777" w:rsidR="008F1E8F"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Validation Dataset</w:t>
            </w:r>
          </w:p>
          <w:p w14:paraId="7608DBF8"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w:t>
            </w:r>
            <w:r w:rsidRPr="00D97431">
              <w:rPr>
                <w:rFonts w:ascii="Arial" w:eastAsia="Times New Roman" w:hAnsi="Arial" w:cs="Arial"/>
                <w:b/>
                <w:bCs/>
                <w:color w:val="000000"/>
                <w:sz w:val="22"/>
                <w:szCs w:val="22"/>
              </w:rPr>
              <w:t>DMID01-009</w:t>
            </w:r>
            <w:r>
              <w:rPr>
                <w:rFonts w:ascii="Arial" w:eastAsia="Times New Roman" w:hAnsi="Arial" w:cs="Arial"/>
                <w:b/>
                <w:bCs/>
                <w:color w:val="000000"/>
                <w:sz w:val="22"/>
                <w:szCs w:val="22"/>
              </w:rPr>
              <w:t>)</w:t>
            </w:r>
          </w:p>
        </w:tc>
      </w:tr>
      <w:tr w:rsidR="008F1E8F" w:rsidRPr="009439D3" w14:paraId="791A09EE" w14:textId="77777777" w:rsidTr="00804CE5">
        <w:trPr>
          <w:trHeight w:val="521"/>
        </w:trPr>
        <w:tc>
          <w:tcPr>
            <w:tcW w:w="265" w:type="dxa"/>
            <w:shd w:val="clear" w:color="auto" w:fill="FFFFFF"/>
            <w:noWrap/>
            <w:vAlign w:val="bottom"/>
            <w:hideMark/>
          </w:tcPr>
          <w:p w14:paraId="07564B3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FFFFFF"/>
            <w:noWrap/>
            <w:vAlign w:val="bottom"/>
            <w:hideMark/>
          </w:tcPr>
          <w:p w14:paraId="148FF531"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980" w:type="dxa"/>
            <w:shd w:val="clear" w:color="auto" w:fill="FFFFFF"/>
            <w:vAlign w:val="center"/>
            <w:hideMark/>
          </w:tcPr>
          <w:p w14:paraId="71BE1078"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Experimental</w:t>
            </w:r>
          </w:p>
          <w:p w14:paraId="238ACA3A"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c>
          <w:tcPr>
            <w:tcW w:w="1890" w:type="dxa"/>
            <w:shd w:val="clear" w:color="auto" w:fill="FFFFFF"/>
            <w:vAlign w:val="center"/>
            <w:hideMark/>
          </w:tcPr>
          <w:p w14:paraId="1E7CC5A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Control </w:t>
            </w:r>
          </w:p>
          <w:p w14:paraId="33B73C1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c>
          <w:tcPr>
            <w:tcW w:w="1890" w:type="dxa"/>
            <w:shd w:val="clear" w:color="auto" w:fill="FFFFFF"/>
            <w:vAlign w:val="center"/>
          </w:tcPr>
          <w:p w14:paraId="1788D61C"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Experimental</w:t>
            </w:r>
          </w:p>
          <w:p w14:paraId="778AB9E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c>
          <w:tcPr>
            <w:tcW w:w="1795" w:type="dxa"/>
            <w:shd w:val="clear" w:color="auto" w:fill="FFFFFF"/>
            <w:vAlign w:val="center"/>
          </w:tcPr>
          <w:p w14:paraId="200AA292"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Control </w:t>
            </w:r>
          </w:p>
          <w:p w14:paraId="530B71D0"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r>
      <w:tr w:rsidR="008F1E8F" w:rsidRPr="009439D3" w14:paraId="0799DA6D" w14:textId="77777777" w:rsidTr="00804CE5">
        <w:trPr>
          <w:trHeight w:val="279"/>
        </w:trPr>
        <w:tc>
          <w:tcPr>
            <w:tcW w:w="3235" w:type="dxa"/>
            <w:gridSpan w:val="3"/>
            <w:shd w:val="clear" w:color="auto" w:fill="FFFFFF"/>
            <w:noWrap/>
            <w:vAlign w:val="bottom"/>
            <w:hideMark/>
          </w:tcPr>
          <w:p w14:paraId="76FBF9B3" w14:textId="77777777" w:rsidR="008F1E8F" w:rsidRPr="009439D3" w:rsidRDefault="008F1E8F" w:rsidP="00EA10C3">
            <w:pP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Characteristic </w:t>
            </w:r>
          </w:p>
        </w:tc>
        <w:tc>
          <w:tcPr>
            <w:tcW w:w="1980" w:type="dxa"/>
            <w:shd w:val="clear" w:color="auto" w:fill="FFFFFF"/>
            <w:noWrap/>
            <w:vAlign w:val="center"/>
            <w:hideMark/>
          </w:tcPr>
          <w:p w14:paraId="3BA74D2D"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(N = 2001)</w:t>
            </w:r>
          </w:p>
        </w:tc>
        <w:tc>
          <w:tcPr>
            <w:tcW w:w="1890" w:type="dxa"/>
            <w:shd w:val="clear" w:color="auto" w:fill="FFFFFF"/>
            <w:noWrap/>
            <w:vAlign w:val="center"/>
            <w:hideMark/>
          </w:tcPr>
          <w:p w14:paraId="1C4888A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(N = 1404)</w:t>
            </w:r>
          </w:p>
        </w:tc>
        <w:tc>
          <w:tcPr>
            <w:tcW w:w="1890" w:type="dxa"/>
            <w:shd w:val="clear" w:color="auto" w:fill="FFFFFF"/>
          </w:tcPr>
          <w:p w14:paraId="25AEFEDB"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(N = 193)</w:t>
            </w:r>
          </w:p>
        </w:tc>
        <w:tc>
          <w:tcPr>
            <w:tcW w:w="1795" w:type="dxa"/>
            <w:shd w:val="clear" w:color="auto" w:fill="FFFFFF"/>
          </w:tcPr>
          <w:p w14:paraId="4573D407"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(N=193)</w:t>
            </w:r>
          </w:p>
        </w:tc>
      </w:tr>
      <w:tr w:rsidR="008F1E8F" w:rsidRPr="009439D3" w14:paraId="5B3714F5" w14:textId="77777777" w:rsidTr="00804CE5">
        <w:trPr>
          <w:trHeight w:val="216"/>
        </w:trPr>
        <w:tc>
          <w:tcPr>
            <w:tcW w:w="3235" w:type="dxa"/>
            <w:gridSpan w:val="3"/>
            <w:shd w:val="clear" w:color="auto" w:fill="EDEDED"/>
            <w:noWrap/>
            <w:hideMark/>
          </w:tcPr>
          <w:p w14:paraId="345D3ED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Country - no. (%)</w:t>
            </w:r>
          </w:p>
        </w:tc>
        <w:tc>
          <w:tcPr>
            <w:tcW w:w="1980" w:type="dxa"/>
            <w:shd w:val="clear" w:color="auto" w:fill="EDEDED"/>
            <w:noWrap/>
            <w:hideMark/>
          </w:tcPr>
          <w:p w14:paraId="783FD31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DEDED"/>
            <w:noWrap/>
            <w:hideMark/>
          </w:tcPr>
          <w:p w14:paraId="4392A45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DEDED"/>
          </w:tcPr>
          <w:p w14:paraId="6BB6E52F"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EDEDED"/>
          </w:tcPr>
          <w:p w14:paraId="62831E87"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7FCE68B3" w14:textId="77777777" w:rsidTr="00804CE5">
        <w:trPr>
          <w:trHeight w:val="216"/>
        </w:trPr>
        <w:tc>
          <w:tcPr>
            <w:tcW w:w="265" w:type="dxa"/>
            <w:shd w:val="clear" w:color="auto" w:fill="FFFFFF"/>
            <w:noWrap/>
            <w:hideMark/>
          </w:tcPr>
          <w:p w14:paraId="6B2BD4C4"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FFFFFF"/>
            <w:noWrap/>
            <w:hideMark/>
          </w:tcPr>
          <w:p w14:paraId="0B8E544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Benin</w:t>
            </w:r>
          </w:p>
        </w:tc>
        <w:tc>
          <w:tcPr>
            <w:tcW w:w="1980" w:type="dxa"/>
            <w:shd w:val="clear" w:color="auto" w:fill="FFFFFF"/>
            <w:noWrap/>
            <w:hideMark/>
          </w:tcPr>
          <w:p w14:paraId="6E43B8A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122 (6)</w:t>
            </w:r>
          </w:p>
        </w:tc>
        <w:tc>
          <w:tcPr>
            <w:tcW w:w="1890" w:type="dxa"/>
            <w:shd w:val="clear" w:color="auto" w:fill="FFFFFF"/>
            <w:noWrap/>
            <w:hideMark/>
          </w:tcPr>
          <w:p w14:paraId="370FB37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108 (8)</w:t>
            </w:r>
          </w:p>
        </w:tc>
        <w:tc>
          <w:tcPr>
            <w:tcW w:w="1890" w:type="dxa"/>
            <w:shd w:val="clear" w:color="auto" w:fill="FFFFFF"/>
          </w:tcPr>
          <w:p w14:paraId="70658D9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02F4AE46"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4820EBC6" w14:textId="77777777" w:rsidTr="00804CE5">
        <w:trPr>
          <w:trHeight w:val="216"/>
        </w:trPr>
        <w:tc>
          <w:tcPr>
            <w:tcW w:w="265" w:type="dxa"/>
            <w:shd w:val="clear" w:color="auto" w:fill="EDEDED"/>
            <w:noWrap/>
            <w:hideMark/>
          </w:tcPr>
          <w:p w14:paraId="2C93A0D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DEDED"/>
            <w:noWrap/>
            <w:hideMark/>
          </w:tcPr>
          <w:p w14:paraId="368EA57C"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Botswana</w:t>
            </w:r>
          </w:p>
        </w:tc>
        <w:tc>
          <w:tcPr>
            <w:tcW w:w="1980" w:type="dxa"/>
            <w:shd w:val="clear" w:color="auto" w:fill="EDEDED"/>
            <w:noWrap/>
            <w:hideMark/>
          </w:tcPr>
          <w:p w14:paraId="196F5B2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11 (&lt;1)</w:t>
            </w:r>
          </w:p>
        </w:tc>
        <w:tc>
          <w:tcPr>
            <w:tcW w:w="1890" w:type="dxa"/>
            <w:shd w:val="clear" w:color="auto" w:fill="EDEDED"/>
            <w:noWrap/>
            <w:hideMark/>
          </w:tcPr>
          <w:p w14:paraId="6009414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 (&lt;1)</w:t>
            </w:r>
          </w:p>
        </w:tc>
        <w:tc>
          <w:tcPr>
            <w:tcW w:w="1890" w:type="dxa"/>
            <w:shd w:val="clear" w:color="auto" w:fill="EDEDED"/>
          </w:tcPr>
          <w:p w14:paraId="5E1A5DF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DEDED"/>
          </w:tcPr>
          <w:p w14:paraId="3494B6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3E029552" w14:textId="77777777" w:rsidTr="00804CE5">
        <w:trPr>
          <w:trHeight w:val="216"/>
        </w:trPr>
        <w:tc>
          <w:tcPr>
            <w:tcW w:w="265" w:type="dxa"/>
            <w:shd w:val="clear" w:color="auto" w:fill="FFFFFF"/>
            <w:noWrap/>
          </w:tcPr>
          <w:p w14:paraId="3201F70D"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106F8BB0"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China</w:t>
            </w:r>
          </w:p>
        </w:tc>
        <w:tc>
          <w:tcPr>
            <w:tcW w:w="1980" w:type="dxa"/>
            <w:shd w:val="clear" w:color="auto" w:fill="FFFFFF"/>
            <w:noWrap/>
          </w:tcPr>
          <w:p w14:paraId="224E89E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 (&lt;1)</w:t>
            </w:r>
          </w:p>
        </w:tc>
        <w:tc>
          <w:tcPr>
            <w:tcW w:w="1890" w:type="dxa"/>
            <w:shd w:val="clear" w:color="auto" w:fill="FFFFFF"/>
            <w:noWrap/>
          </w:tcPr>
          <w:p w14:paraId="3A0C0CE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 (&lt;1)</w:t>
            </w:r>
          </w:p>
        </w:tc>
        <w:tc>
          <w:tcPr>
            <w:tcW w:w="1890" w:type="dxa"/>
            <w:shd w:val="clear" w:color="auto" w:fill="FFFFFF"/>
          </w:tcPr>
          <w:p w14:paraId="7B589C9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117B308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5B5DE5A" w14:textId="77777777" w:rsidTr="00804CE5">
        <w:trPr>
          <w:trHeight w:val="216"/>
        </w:trPr>
        <w:tc>
          <w:tcPr>
            <w:tcW w:w="265" w:type="dxa"/>
            <w:shd w:val="clear" w:color="auto" w:fill="E7E6E6" w:themeFill="background2"/>
            <w:noWrap/>
          </w:tcPr>
          <w:p w14:paraId="04274D8C"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72D6B6C4"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Guinea</w:t>
            </w:r>
          </w:p>
        </w:tc>
        <w:tc>
          <w:tcPr>
            <w:tcW w:w="1980" w:type="dxa"/>
            <w:shd w:val="clear" w:color="auto" w:fill="E7E6E6" w:themeFill="background2"/>
            <w:noWrap/>
          </w:tcPr>
          <w:p w14:paraId="322E854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191 (10)</w:t>
            </w:r>
          </w:p>
        </w:tc>
        <w:tc>
          <w:tcPr>
            <w:tcW w:w="1890" w:type="dxa"/>
            <w:shd w:val="clear" w:color="auto" w:fill="E7E6E6" w:themeFill="background2"/>
            <w:noWrap/>
          </w:tcPr>
          <w:p w14:paraId="3DBBA2E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184 (13)</w:t>
            </w:r>
          </w:p>
        </w:tc>
        <w:tc>
          <w:tcPr>
            <w:tcW w:w="1890" w:type="dxa"/>
            <w:shd w:val="clear" w:color="auto" w:fill="E7E6E6" w:themeFill="background2"/>
          </w:tcPr>
          <w:p w14:paraId="62643A0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3A13D3E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4DBC5B3" w14:textId="77777777" w:rsidTr="00804CE5">
        <w:trPr>
          <w:trHeight w:val="216"/>
        </w:trPr>
        <w:tc>
          <w:tcPr>
            <w:tcW w:w="265" w:type="dxa"/>
            <w:shd w:val="clear" w:color="auto" w:fill="FFFFFF"/>
            <w:noWrap/>
          </w:tcPr>
          <w:p w14:paraId="4D1FDF76"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5ACC979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India</w:t>
            </w:r>
          </w:p>
        </w:tc>
        <w:tc>
          <w:tcPr>
            <w:tcW w:w="1980" w:type="dxa"/>
            <w:shd w:val="clear" w:color="auto" w:fill="FFFFFF"/>
            <w:noWrap/>
          </w:tcPr>
          <w:p w14:paraId="75E17BD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228 (11)</w:t>
            </w:r>
          </w:p>
        </w:tc>
        <w:tc>
          <w:tcPr>
            <w:tcW w:w="1890" w:type="dxa"/>
            <w:shd w:val="clear" w:color="auto" w:fill="FFFFFF"/>
            <w:noWrap/>
          </w:tcPr>
          <w:p w14:paraId="6659A39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114 (8)</w:t>
            </w:r>
          </w:p>
        </w:tc>
        <w:tc>
          <w:tcPr>
            <w:tcW w:w="1890" w:type="dxa"/>
            <w:shd w:val="clear" w:color="auto" w:fill="FFFFFF"/>
          </w:tcPr>
          <w:p w14:paraId="17E62E6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748DF42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54B39FD4" w14:textId="77777777" w:rsidTr="00804CE5">
        <w:trPr>
          <w:trHeight w:val="216"/>
        </w:trPr>
        <w:tc>
          <w:tcPr>
            <w:tcW w:w="265" w:type="dxa"/>
            <w:shd w:val="clear" w:color="auto" w:fill="E7E6E6" w:themeFill="background2"/>
            <w:noWrap/>
          </w:tcPr>
          <w:p w14:paraId="7E3C158D"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6213C4E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Kenya</w:t>
            </w:r>
          </w:p>
        </w:tc>
        <w:tc>
          <w:tcPr>
            <w:tcW w:w="1980" w:type="dxa"/>
            <w:shd w:val="clear" w:color="auto" w:fill="E7E6E6" w:themeFill="background2"/>
            <w:noWrap/>
          </w:tcPr>
          <w:p w14:paraId="2B757D0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165 (8)</w:t>
            </w:r>
          </w:p>
        </w:tc>
        <w:tc>
          <w:tcPr>
            <w:tcW w:w="1890" w:type="dxa"/>
            <w:shd w:val="clear" w:color="auto" w:fill="E7E6E6" w:themeFill="background2"/>
            <w:noWrap/>
          </w:tcPr>
          <w:p w14:paraId="554953D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122 (9)</w:t>
            </w:r>
          </w:p>
        </w:tc>
        <w:tc>
          <w:tcPr>
            <w:tcW w:w="1890" w:type="dxa"/>
            <w:shd w:val="clear" w:color="auto" w:fill="E7E6E6" w:themeFill="background2"/>
          </w:tcPr>
          <w:p w14:paraId="7922866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3C8BA7DD"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551B66B" w14:textId="77777777" w:rsidTr="00804CE5">
        <w:trPr>
          <w:trHeight w:val="216"/>
        </w:trPr>
        <w:tc>
          <w:tcPr>
            <w:tcW w:w="265" w:type="dxa"/>
            <w:shd w:val="clear" w:color="auto" w:fill="FFFFFF"/>
            <w:noWrap/>
          </w:tcPr>
          <w:p w14:paraId="0A0759FE"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57140DC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Malaysia</w:t>
            </w:r>
          </w:p>
        </w:tc>
        <w:tc>
          <w:tcPr>
            <w:tcW w:w="1980" w:type="dxa"/>
            <w:shd w:val="clear" w:color="auto" w:fill="FFFFFF"/>
            <w:noWrap/>
          </w:tcPr>
          <w:p w14:paraId="3762A24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43 (2)</w:t>
            </w:r>
          </w:p>
        </w:tc>
        <w:tc>
          <w:tcPr>
            <w:tcW w:w="1890" w:type="dxa"/>
            <w:shd w:val="clear" w:color="auto" w:fill="FFFFFF"/>
            <w:noWrap/>
          </w:tcPr>
          <w:p w14:paraId="5DF9579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20 (1)</w:t>
            </w:r>
          </w:p>
        </w:tc>
        <w:tc>
          <w:tcPr>
            <w:tcW w:w="1890" w:type="dxa"/>
            <w:shd w:val="clear" w:color="auto" w:fill="FFFFFF"/>
          </w:tcPr>
          <w:p w14:paraId="41A1F9B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7DF6EF92"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4C7AABB2" w14:textId="77777777" w:rsidTr="00804CE5">
        <w:trPr>
          <w:trHeight w:val="216"/>
        </w:trPr>
        <w:tc>
          <w:tcPr>
            <w:tcW w:w="265" w:type="dxa"/>
            <w:shd w:val="clear" w:color="auto" w:fill="E7E6E6" w:themeFill="background2"/>
            <w:noWrap/>
          </w:tcPr>
          <w:p w14:paraId="2ACFDC72"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0348D663"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Senegal</w:t>
            </w:r>
          </w:p>
        </w:tc>
        <w:tc>
          <w:tcPr>
            <w:tcW w:w="1980" w:type="dxa"/>
            <w:shd w:val="clear" w:color="auto" w:fill="E7E6E6" w:themeFill="background2"/>
            <w:noWrap/>
          </w:tcPr>
          <w:p w14:paraId="1C5546B2"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129 (6)</w:t>
            </w:r>
          </w:p>
        </w:tc>
        <w:tc>
          <w:tcPr>
            <w:tcW w:w="1890" w:type="dxa"/>
            <w:shd w:val="clear" w:color="auto" w:fill="E7E6E6" w:themeFill="background2"/>
            <w:noWrap/>
          </w:tcPr>
          <w:p w14:paraId="0E85CD0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138 (10)</w:t>
            </w:r>
          </w:p>
        </w:tc>
        <w:tc>
          <w:tcPr>
            <w:tcW w:w="1890" w:type="dxa"/>
            <w:shd w:val="clear" w:color="auto" w:fill="E7E6E6" w:themeFill="background2"/>
          </w:tcPr>
          <w:p w14:paraId="3E1705B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14423F1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A250276" w14:textId="77777777" w:rsidTr="00804CE5">
        <w:trPr>
          <w:trHeight w:val="216"/>
        </w:trPr>
        <w:tc>
          <w:tcPr>
            <w:tcW w:w="265" w:type="dxa"/>
            <w:shd w:val="clear" w:color="auto" w:fill="FFFFFF"/>
            <w:noWrap/>
          </w:tcPr>
          <w:p w14:paraId="1919A5CE"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07FA970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South Africa</w:t>
            </w:r>
          </w:p>
        </w:tc>
        <w:tc>
          <w:tcPr>
            <w:tcW w:w="1980" w:type="dxa"/>
            <w:shd w:val="clear" w:color="auto" w:fill="FFFFFF"/>
            <w:noWrap/>
          </w:tcPr>
          <w:p w14:paraId="338063B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811 (41)</w:t>
            </w:r>
          </w:p>
        </w:tc>
        <w:tc>
          <w:tcPr>
            <w:tcW w:w="1890" w:type="dxa"/>
            <w:shd w:val="clear" w:color="auto" w:fill="FFFFFF"/>
            <w:noWrap/>
          </w:tcPr>
          <w:p w14:paraId="5F7E7FE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516 (37)</w:t>
            </w:r>
          </w:p>
        </w:tc>
        <w:tc>
          <w:tcPr>
            <w:tcW w:w="1890" w:type="dxa"/>
            <w:shd w:val="clear" w:color="auto" w:fill="FFFFFF"/>
          </w:tcPr>
          <w:p w14:paraId="12FEB17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4FEBF50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39F5DEF" w14:textId="77777777" w:rsidTr="00804CE5">
        <w:trPr>
          <w:trHeight w:val="216"/>
        </w:trPr>
        <w:tc>
          <w:tcPr>
            <w:tcW w:w="265" w:type="dxa"/>
            <w:shd w:val="clear" w:color="auto" w:fill="E7E6E6" w:themeFill="background2"/>
            <w:noWrap/>
            <w:hideMark/>
          </w:tcPr>
          <w:p w14:paraId="68DC43A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651D49B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Tanzania</w:t>
            </w:r>
          </w:p>
        </w:tc>
        <w:tc>
          <w:tcPr>
            <w:tcW w:w="1980" w:type="dxa"/>
            <w:shd w:val="clear" w:color="auto" w:fill="E7E6E6" w:themeFill="background2"/>
            <w:noWrap/>
            <w:hideMark/>
          </w:tcPr>
          <w:p w14:paraId="2FA2EE9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122 (6)</w:t>
            </w:r>
          </w:p>
        </w:tc>
        <w:tc>
          <w:tcPr>
            <w:tcW w:w="1890" w:type="dxa"/>
            <w:shd w:val="clear" w:color="auto" w:fill="E7E6E6" w:themeFill="background2"/>
            <w:noWrap/>
            <w:hideMark/>
          </w:tcPr>
          <w:p w14:paraId="18A703C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67 (5)</w:t>
            </w:r>
          </w:p>
        </w:tc>
        <w:tc>
          <w:tcPr>
            <w:tcW w:w="1890" w:type="dxa"/>
            <w:shd w:val="clear" w:color="auto" w:fill="E7E6E6" w:themeFill="background2"/>
          </w:tcPr>
          <w:p w14:paraId="5A4887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2B7A085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5A777C5E" w14:textId="77777777" w:rsidTr="00804CE5">
        <w:trPr>
          <w:trHeight w:val="216"/>
        </w:trPr>
        <w:tc>
          <w:tcPr>
            <w:tcW w:w="265" w:type="dxa"/>
            <w:shd w:val="clear" w:color="auto" w:fill="FFFFFF"/>
            <w:noWrap/>
          </w:tcPr>
          <w:p w14:paraId="13E34942"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117E1BA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Thailand</w:t>
            </w:r>
          </w:p>
        </w:tc>
        <w:tc>
          <w:tcPr>
            <w:tcW w:w="1980" w:type="dxa"/>
            <w:shd w:val="clear" w:color="auto" w:fill="FFFFFF"/>
            <w:noWrap/>
          </w:tcPr>
          <w:p w14:paraId="2DF6C13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65 (3)</w:t>
            </w:r>
          </w:p>
        </w:tc>
        <w:tc>
          <w:tcPr>
            <w:tcW w:w="1890" w:type="dxa"/>
            <w:shd w:val="clear" w:color="auto" w:fill="FFFFFF"/>
            <w:noWrap/>
          </w:tcPr>
          <w:p w14:paraId="6E5FFB2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34 (2)</w:t>
            </w:r>
          </w:p>
        </w:tc>
        <w:tc>
          <w:tcPr>
            <w:tcW w:w="1890" w:type="dxa"/>
            <w:shd w:val="clear" w:color="auto" w:fill="FFFFFF"/>
          </w:tcPr>
          <w:p w14:paraId="7332F7A2"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0552F46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32DD2CF3" w14:textId="77777777" w:rsidTr="00804CE5">
        <w:trPr>
          <w:trHeight w:val="216"/>
        </w:trPr>
        <w:tc>
          <w:tcPr>
            <w:tcW w:w="265" w:type="dxa"/>
            <w:shd w:val="clear" w:color="auto" w:fill="E7E6E6" w:themeFill="background2"/>
            <w:noWrap/>
          </w:tcPr>
          <w:p w14:paraId="34EB17A3"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39F69AD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Z</w:t>
            </w:r>
            <w:r w:rsidRPr="00FE729D">
              <w:rPr>
                <w:rFonts w:ascii="Arial" w:eastAsia="Times New Roman" w:hAnsi="Arial" w:cs="Arial"/>
                <w:color w:val="000000"/>
                <w:sz w:val="22"/>
                <w:szCs w:val="22"/>
                <w:shd w:val="clear" w:color="auto" w:fill="E7E6E6" w:themeFill="background2"/>
              </w:rPr>
              <w:t>ambia</w:t>
            </w:r>
          </w:p>
        </w:tc>
        <w:tc>
          <w:tcPr>
            <w:tcW w:w="1980" w:type="dxa"/>
            <w:shd w:val="clear" w:color="auto" w:fill="E7E6E6" w:themeFill="background2"/>
            <w:noWrap/>
          </w:tcPr>
          <w:p w14:paraId="449FD12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35 (2)</w:t>
            </w:r>
          </w:p>
        </w:tc>
        <w:tc>
          <w:tcPr>
            <w:tcW w:w="1890" w:type="dxa"/>
            <w:shd w:val="clear" w:color="auto" w:fill="E7E6E6" w:themeFill="background2"/>
            <w:noWrap/>
          </w:tcPr>
          <w:p w14:paraId="42286A5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21 (1)</w:t>
            </w:r>
          </w:p>
        </w:tc>
        <w:tc>
          <w:tcPr>
            <w:tcW w:w="1890" w:type="dxa"/>
            <w:shd w:val="clear" w:color="auto" w:fill="E7E6E6" w:themeFill="background2"/>
          </w:tcPr>
          <w:p w14:paraId="2385426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4A517AB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8600354" w14:textId="77777777" w:rsidTr="00804CE5">
        <w:trPr>
          <w:trHeight w:val="216"/>
        </w:trPr>
        <w:tc>
          <w:tcPr>
            <w:tcW w:w="265" w:type="dxa"/>
            <w:shd w:val="clear" w:color="auto" w:fill="FFFFFF"/>
            <w:noWrap/>
          </w:tcPr>
          <w:p w14:paraId="6A122CC8"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564CF1E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Zimbabwe</w:t>
            </w:r>
          </w:p>
        </w:tc>
        <w:tc>
          <w:tcPr>
            <w:tcW w:w="1980" w:type="dxa"/>
            <w:shd w:val="clear" w:color="auto" w:fill="FFFFFF"/>
            <w:noWrap/>
          </w:tcPr>
          <w:p w14:paraId="60EA52A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67 (3)</w:t>
            </w:r>
          </w:p>
        </w:tc>
        <w:tc>
          <w:tcPr>
            <w:tcW w:w="1890" w:type="dxa"/>
            <w:shd w:val="clear" w:color="auto" w:fill="FFFFFF"/>
            <w:noWrap/>
          </w:tcPr>
          <w:p w14:paraId="187117E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60 (4)</w:t>
            </w:r>
          </w:p>
        </w:tc>
        <w:tc>
          <w:tcPr>
            <w:tcW w:w="1890" w:type="dxa"/>
            <w:shd w:val="clear" w:color="auto" w:fill="FFFFFF"/>
          </w:tcPr>
          <w:p w14:paraId="45ADABFD"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32ABEAE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47C43736" w14:textId="77777777" w:rsidTr="00804CE5">
        <w:trPr>
          <w:trHeight w:val="216"/>
        </w:trPr>
        <w:tc>
          <w:tcPr>
            <w:tcW w:w="265" w:type="dxa"/>
            <w:shd w:val="clear" w:color="auto" w:fill="E7E6E6" w:themeFill="background2"/>
            <w:noWrap/>
          </w:tcPr>
          <w:p w14:paraId="666C6BB4"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686CCF73"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Brazil</w:t>
            </w:r>
          </w:p>
        </w:tc>
        <w:tc>
          <w:tcPr>
            <w:tcW w:w="1980" w:type="dxa"/>
            <w:shd w:val="clear" w:color="auto" w:fill="E7E6E6" w:themeFill="background2"/>
            <w:noWrap/>
          </w:tcPr>
          <w:p w14:paraId="315F60A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noWrap/>
          </w:tcPr>
          <w:p w14:paraId="330C5D8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tcPr>
          <w:p w14:paraId="7C6DFDD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67 (35)</w:t>
            </w:r>
          </w:p>
        </w:tc>
        <w:tc>
          <w:tcPr>
            <w:tcW w:w="1795" w:type="dxa"/>
            <w:shd w:val="clear" w:color="auto" w:fill="E7E6E6" w:themeFill="background2"/>
          </w:tcPr>
          <w:p w14:paraId="22AFA7C7"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68 (35)</w:t>
            </w:r>
          </w:p>
        </w:tc>
      </w:tr>
      <w:tr w:rsidR="008F1E8F" w:rsidRPr="009439D3" w14:paraId="6ED90FF3" w14:textId="77777777" w:rsidTr="00804CE5">
        <w:trPr>
          <w:trHeight w:val="216"/>
        </w:trPr>
        <w:tc>
          <w:tcPr>
            <w:tcW w:w="265" w:type="dxa"/>
            <w:shd w:val="clear" w:color="auto" w:fill="FFFFFF"/>
            <w:noWrap/>
          </w:tcPr>
          <w:p w14:paraId="4D86FC1E"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4E82DB25"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 xml:space="preserve">Philippines </w:t>
            </w:r>
          </w:p>
        </w:tc>
        <w:tc>
          <w:tcPr>
            <w:tcW w:w="1980" w:type="dxa"/>
            <w:shd w:val="clear" w:color="auto" w:fill="FFFFFF"/>
            <w:noWrap/>
          </w:tcPr>
          <w:p w14:paraId="0D1E08E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FFFFFF"/>
            <w:noWrap/>
          </w:tcPr>
          <w:p w14:paraId="5447BC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FFFFFF"/>
          </w:tcPr>
          <w:p w14:paraId="5F0E4156"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46 (24)</w:t>
            </w:r>
          </w:p>
        </w:tc>
        <w:tc>
          <w:tcPr>
            <w:tcW w:w="1795" w:type="dxa"/>
            <w:shd w:val="clear" w:color="auto" w:fill="FFFFFF"/>
          </w:tcPr>
          <w:p w14:paraId="40ED68C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46 (24)</w:t>
            </w:r>
          </w:p>
        </w:tc>
      </w:tr>
      <w:tr w:rsidR="008F1E8F" w:rsidRPr="009439D3" w14:paraId="416BC0CE" w14:textId="77777777" w:rsidTr="00804CE5">
        <w:trPr>
          <w:trHeight w:val="216"/>
        </w:trPr>
        <w:tc>
          <w:tcPr>
            <w:tcW w:w="265" w:type="dxa"/>
            <w:shd w:val="clear" w:color="auto" w:fill="E7E6E6" w:themeFill="background2"/>
            <w:noWrap/>
          </w:tcPr>
          <w:p w14:paraId="1845DAEF"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4AECCDD4"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Uganda</w:t>
            </w:r>
          </w:p>
        </w:tc>
        <w:tc>
          <w:tcPr>
            <w:tcW w:w="1980" w:type="dxa"/>
            <w:shd w:val="clear" w:color="auto" w:fill="E7E6E6" w:themeFill="background2"/>
            <w:noWrap/>
          </w:tcPr>
          <w:p w14:paraId="79A1110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noWrap/>
          </w:tcPr>
          <w:p w14:paraId="33176A0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tcPr>
          <w:p w14:paraId="244A52DA"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80 (41)</w:t>
            </w:r>
          </w:p>
        </w:tc>
        <w:tc>
          <w:tcPr>
            <w:tcW w:w="1795" w:type="dxa"/>
            <w:shd w:val="clear" w:color="auto" w:fill="E7E6E6" w:themeFill="background2"/>
          </w:tcPr>
          <w:p w14:paraId="5259284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79 (41)</w:t>
            </w:r>
          </w:p>
        </w:tc>
      </w:tr>
      <w:tr w:rsidR="008F1E8F" w:rsidRPr="009439D3" w14:paraId="097F36E7" w14:textId="77777777" w:rsidTr="00804CE5">
        <w:trPr>
          <w:trHeight w:val="216"/>
        </w:trPr>
        <w:tc>
          <w:tcPr>
            <w:tcW w:w="3235" w:type="dxa"/>
            <w:gridSpan w:val="3"/>
            <w:shd w:val="clear" w:color="auto" w:fill="auto"/>
            <w:noWrap/>
            <w:hideMark/>
          </w:tcPr>
          <w:p w14:paraId="5DD06677"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Female sex - no. (%) </w:t>
            </w:r>
          </w:p>
        </w:tc>
        <w:tc>
          <w:tcPr>
            <w:tcW w:w="1980" w:type="dxa"/>
            <w:shd w:val="clear" w:color="auto" w:fill="auto"/>
            <w:noWrap/>
            <w:hideMark/>
          </w:tcPr>
          <w:p w14:paraId="1EF7D5F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592 (30)</w:t>
            </w:r>
          </w:p>
        </w:tc>
        <w:tc>
          <w:tcPr>
            <w:tcW w:w="1890" w:type="dxa"/>
            <w:shd w:val="clear" w:color="auto" w:fill="auto"/>
            <w:noWrap/>
            <w:hideMark/>
          </w:tcPr>
          <w:p w14:paraId="24D7824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415 (30)</w:t>
            </w:r>
          </w:p>
        </w:tc>
        <w:tc>
          <w:tcPr>
            <w:tcW w:w="1890" w:type="dxa"/>
            <w:shd w:val="clear" w:color="auto" w:fill="auto"/>
          </w:tcPr>
          <w:p w14:paraId="7AAD9DB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76 (39)</w:t>
            </w:r>
          </w:p>
        </w:tc>
        <w:tc>
          <w:tcPr>
            <w:tcW w:w="1795" w:type="dxa"/>
            <w:shd w:val="clear" w:color="auto" w:fill="auto"/>
          </w:tcPr>
          <w:p w14:paraId="7188004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76 (39)</w:t>
            </w:r>
          </w:p>
        </w:tc>
      </w:tr>
      <w:tr w:rsidR="008F1E8F" w:rsidRPr="009439D3" w14:paraId="7EFE3EA4" w14:textId="77777777" w:rsidTr="00804CE5">
        <w:trPr>
          <w:trHeight w:val="216"/>
        </w:trPr>
        <w:tc>
          <w:tcPr>
            <w:tcW w:w="3235" w:type="dxa"/>
            <w:gridSpan w:val="3"/>
            <w:shd w:val="clear" w:color="auto" w:fill="E7E6E6" w:themeFill="background2"/>
            <w:noWrap/>
            <w:hideMark/>
          </w:tcPr>
          <w:p w14:paraId="7069FBA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Race - no. (%)* </w:t>
            </w:r>
          </w:p>
        </w:tc>
        <w:tc>
          <w:tcPr>
            <w:tcW w:w="1980" w:type="dxa"/>
            <w:shd w:val="clear" w:color="auto" w:fill="E7E6E6" w:themeFill="background2"/>
            <w:noWrap/>
            <w:hideMark/>
          </w:tcPr>
          <w:p w14:paraId="2CE9322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noWrap/>
            <w:hideMark/>
          </w:tcPr>
          <w:p w14:paraId="0935EA6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tcPr>
          <w:p w14:paraId="746DF191"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E7E6E6" w:themeFill="background2"/>
          </w:tcPr>
          <w:p w14:paraId="38D92F74"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0AF3B322" w14:textId="77777777" w:rsidTr="00804CE5">
        <w:trPr>
          <w:trHeight w:val="216"/>
        </w:trPr>
        <w:tc>
          <w:tcPr>
            <w:tcW w:w="265" w:type="dxa"/>
            <w:shd w:val="clear" w:color="auto" w:fill="auto"/>
            <w:noWrap/>
            <w:hideMark/>
          </w:tcPr>
          <w:p w14:paraId="7AB6210C"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381EB2C9"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Black or African American </w:t>
            </w:r>
          </w:p>
        </w:tc>
        <w:tc>
          <w:tcPr>
            <w:tcW w:w="1980" w:type="dxa"/>
            <w:shd w:val="clear" w:color="auto" w:fill="auto"/>
            <w:noWrap/>
            <w:hideMark/>
          </w:tcPr>
          <w:p w14:paraId="0CBD926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1326 (66)</w:t>
            </w:r>
          </w:p>
        </w:tc>
        <w:tc>
          <w:tcPr>
            <w:tcW w:w="1890" w:type="dxa"/>
            <w:shd w:val="clear" w:color="auto" w:fill="auto"/>
            <w:noWrap/>
            <w:hideMark/>
          </w:tcPr>
          <w:p w14:paraId="5FA5400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1066 (76)</w:t>
            </w:r>
          </w:p>
        </w:tc>
        <w:tc>
          <w:tcPr>
            <w:tcW w:w="1890" w:type="dxa"/>
            <w:shd w:val="clear" w:color="auto" w:fill="auto"/>
          </w:tcPr>
          <w:p w14:paraId="6196D7A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72DC5D4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3279BB8" w14:textId="77777777" w:rsidTr="00804CE5">
        <w:trPr>
          <w:trHeight w:val="216"/>
        </w:trPr>
        <w:tc>
          <w:tcPr>
            <w:tcW w:w="265" w:type="dxa"/>
            <w:shd w:val="clear" w:color="auto" w:fill="E7E6E6" w:themeFill="background2"/>
            <w:noWrap/>
            <w:hideMark/>
          </w:tcPr>
          <w:p w14:paraId="422BCB5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25246D9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Asian </w:t>
            </w:r>
          </w:p>
        </w:tc>
        <w:tc>
          <w:tcPr>
            <w:tcW w:w="1980" w:type="dxa"/>
            <w:shd w:val="clear" w:color="auto" w:fill="E7E6E6" w:themeFill="background2"/>
            <w:noWrap/>
            <w:hideMark/>
          </w:tcPr>
          <w:p w14:paraId="018E3C4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349 (17)</w:t>
            </w:r>
          </w:p>
        </w:tc>
        <w:tc>
          <w:tcPr>
            <w:tcW w:w="1890" w:type="dxa"/>
            <w:shd w:val="clear" w:color="auto" w:fill="E7E6E6" w:themeFill="background2"/>
            <w:noWrap/>
            <w:hideMark/>
          </w:tcPr>
          <w:p w14:paraId="48AAA57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178 (13)</w:t>
            </w:r>
          </w:p>
        </w:tc>
        <w:tc>
          <w:tcPr>
            <w:tcW w:w="1890" w:type="dxa"/>
            <w:shd w:val="clear" w:color="auto" w:fill="E7E6E6" w:themeFill="background2"/>
          </w:tcPr>
          <w:p w14:paraId="559A98E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26E7BC1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5A54272B" w14:textId="77777777" w:rsidTr="00804CE5">
        <w:trPr>
          <w:trHeight w:val="216"/>
        </w:trPr>
        <w:tc>
          <w:tcPr>
            <w:tcW w:w="265" w:type="dxa"/>
            <w:shd w:val="clear" w:color="auto" w:fill="auto"/>
            <w:noWrap/>
            <w:hideMark/>
          </w:tcPr>
          <w:p w14:paraId="418DA1C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718366F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Other </w:t>
            </w:r>
          </w:p>
        </w:tc>
        <w:tc>
          <w:tcPr>
            <w:tcW w:w="1980" w:type="dxa"/>
            <w:shd w:val="clear" w:color="auto" w:fill="auto"/>
            <w:noWrap/>
            <w:hideMark/>
          </w:tcPr>
          <w:p w14:paraId="5912FE1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326 (16)</w:t>
            </w:r>
          </w:p>
        </w:tc>
        <w:tc>
          <w:tcPr>
            <w:tcW w:w="1890" w:type="dxa"/>
            <w:shd w:val="clear" w:color="auto" w:fill="auto"/>
            <w:noWrap/>
            <w:hideMark/>
          </w:tcPr>
          <w:p w14:paraId="48AB37F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160 (11)</w:t>
            </w:r>
          </w:p>
        </w:tc>
        <w:tc>
          <w:tcPr>
            <w:tcW w:w="1890" w:type="dxa"/>
            <w:shd w:val="clear" w:color="auto" w:fill="auto"/>
          </w:tcPr>
          <w:p w14:paraId="6B8DBBC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3769364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EAFC6A3" w14:textId="77777777" w:rsidTr="00804CE5">
        <w:trPr>
          <w:trHeight w:val="216"/>
        </w:trPr>
        <w:tc>
          <w:tcPr>
            <w:tcW w:w="3235" w:type="dxa"/>
            <w:gridSpan w:val="3"/>
            <w:shd w:val="clear" w:color="auto" w:fill="auto"/>
            <w:noWrap/>
            <w:hideMark/>
          </w:tcPr>
          <w:p w14:paraId="696F939B" w14:textId="77777777" w:rsidR="008F1E8F" w:rsidRPr="009439D3" w:rsidRDefault="008F1E8F" w:rsidP="00EA10C3">
            <w:pPr>
              <w:rPr>
                <w:rFonts w:ascii="Arial" w:hAnsi="Arial" w:cs="Arial"/>
                <w:sz w:val="22"/>
                <w:szCs w:val="22"/>
              </w:rPr>
            </w:pPr>
            <w:r w:rsidRPr="009439D3">
              <w:rPr>
                <w:rFonts w:ascii="Arial" w:eastAsia="Times New Roman" w:hAnsi="Arial" w:cs="Arial"/>
                <w:color w:val="000000"/>
                <w:sz w:val="22"/>
                <w:szCs w:val="22"/>
              </w:rPr>
              <w:t>Age- yrs</w:t>
            </w:r>
            <w:r w:rsidRPr="009439D3">
              <w:rPr>
                <w:rFonts w:ascii="Arial" w:hAnsi="Arial" w:cs="Arial"/>
                <w:sz w:val="22"/>
                <w:szCs w:val="22"/>
              </w:rPr>
              <w:t>†</w:t>
            </w:r>
            <w:r w:rsidRPr="009439D3">
              <w:rPr>
                <w:rFonts w:ascii="Arial" w:eastAsia="Times New Roman" w:hAnsi="Arial" w:cs="Arial"/>
                <w:color w:val="000000"/>
                <w:sz w:val="22"/>
                <w:szCs w:val="22"/>
              </w:rPr>
              <w:t xml:space="preserve"> </w:t>
            </w:r>
          </w:p>
        </w:tc>
        <w:tc>
          <w:tcPr>
            <w:tcW w:w="1980" w:type="dxa"/>
            <w:shd w:val="clear" w:color="auto" w:fill="auto"/>
            <w:noWrap/>
            <w:hideMark/>
          </w:tcPr>
          <w:p w14:paraId="787E8C3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29D694F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281E9AEF"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auto"/>
          </w:tcPr>
          <w:p w14:paraId="392A8151"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26AD2299" w14:textId="77777777" w:rsidTr="00804CE5">
        <w:trPr>
          <w:trHeight w:val="216"/>
        </w:trPr>
        <w:tc>
          <w:tcPr>
            <w:tcW w:w="265" w:type="dxa"/>
            <w:shd w:val="clear" w:color="auto" w:fill="E7E6E6" w:themeFill="background2"/>
            <w:noWrap/>
            <w:hideMark/>
          </w:tcPr>
          <w:p w14:paraId="28641643"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22B6C0E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Median </w:t>
            </w:r>
          </w:p>
        </w:tc>
        <w:tc>
          <w:tcPr>
            <w:tcW w:w="1980" w:type="dxa"/>
            <w:shd w:val="clear" w:color="auto" w:fill="E7E6E6" w:themeFill="background2"/>
            <w:noWrap/>
            <w:hideMark/>
          </w:tcPr>
          <w:p w14:paraId="581389C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30</w:t>
            </w:r>
          </w:p>
        </w:tc>
        <w:tc>
          <w:tcPr>
            <w:tcW w:w="1890" w:type="dxa"/>
            <w:shd w:val="clear" w:color="auto" w:fill="E7E6E6" w:themeFill="background2"/>
            <w:noWrap/>
            <w:hideMark/>
          </w:tcPr>
          <w:p w14:paraId="009A718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29</w:t>
            </w:r>
          </w:p>
        </w:tc>
        <w:tc>
          <w:tcPr>
            <w:tcW w:w="1890" w:type="dxa"/>
            <w:shd w:val="clear" w:color="auto" w:fill="E7E6E6" w:themeFill="background2"/>
          </w:tcPr>
          <w:p w14:paraId="40027C7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29</w:t>
            </w:r>
          </w:p>
        </w:tc>
        <w:tc>
          <w:tcPr>
            <w:tcW w:w="1795" w:type="dxa"/>
            <w:shd w:val="clear" w:color="auto" w:fill="E7E6E6" w:themeFill="background2"/>
          </w:tcPr>
          <w:p w14:paraId="3A6DF06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27</w:t>
            </w:r>
          </w:p>
        </w:tc>
      </w:tr>
      <w:tr w:rsidR="008F1E8F" w:rsidRPr="009439D3" w14:paraId="072A7DEE" w14:textId="77777777" w:rsidTr="00804CE5">
        <w:trPr>
          <w:trHeight w:val="216"/>
        </w:trPr>
        <w:tc>
          <w:tcPr>
            <w:tcW w:w="265" w:type="dxa"/>
            <w:shd w:val="clear" w:color="auto" w:fill="auto"/>
            <w:noWrap/>
            <w:hideMark/>
          </w:tcPr>
          <w:p w14:paraId="5B15065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50A24C9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auto"/>
            <w:noWrap/>
            <w:hideMark/>
          </w:tcPr>
          <w:p w14:paraId="7D61342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24-39</w:t>
            </w:r>
          </w:p>
        </w:tc>
        <w:tc>
          <w:tcPr>
            <w:tcW w:w="1890" w:type="dxa"/>
            <w:shd w:val="clear" w:color="auto" w:fill="auto"/>
            <w:noWrap/>
            <w:hideMark/>
          </w:tcPr>
          <w:p w14:paraId="151A298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24-38</w:t>
            </w:r>
          </w:p>
        </w:tc>
        <w:tc>
          <w:tcPr>
            <w:tcW w:w="1890" w:type="dxa"/>
            <w:shd w:val="clear" w:color="auto" w:fill="auto"/>
          </w:tcPr>
          <w:p w14:paraId="27B757BD"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23-38</w:t>
            </w:r>
          </w:p>
        </w:tc>
        <w:tc>
          <w:tcPr>
            <w:tcW w:w="1795" w:type="dxa"/>
            <w:shd w:val="clear" w:color="auto" w:fill="auto"/>
          </w:tcPr>
          <w:p w14:paraId="3FADBCA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22-36</w:t>
            </w:r>
          </w:p>
        </w:tc>
      </w:tr>
      <w:tr w:rsidR="008F1E8F" w:rsidRPr="009439D3" w14:paraId="6FE3F8ED" w14:textId="77777777" w:rsidTr="00804CE5">
        <w:trPr>
          <w:trHeight w:val="216"/>
        </w:trPr>
        <w:tc>
          <w:tcPr>
            <w:tcW w:w="3235" w:type="dxa"/>
            <w:gridSpan w:val="3"/>
            <w:shd w:val="clear" w:color="auto" w:fill="E7E6E6" w:themeFill="background2"/>
            <w:noWrap/>
            <w:hideMark/>
          </w:tcPr>
          <w:p w14:paraId="042DB63B"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Weight- kg </w:t>
            </w:r>
          </w:p>
        </w:tc>
        <w:tc>
          <w:tcPr>
            <w:tcW w:w="1980" w:type="dxa"/>
            <w:shd w:val="clear" w:color="auto" w:fill="E7E6E6" w:themeFill="background2"/>
            <w:noWrap/>
            <w:hideMark/>
          </w:tcPr>
          <w:p w14:paraId="68B4B3B2"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noWrap/>
            <w:hideMark/>
          </w:tcPr>
          <w:p w14:paraId="775EB1B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tcPr>
          <w:p w14:paraId="06D3C113"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E7E6E6" w:themeFill="background2"/>
          </w:tcPr>
          <w:p w14:paraId="04A2AD6E"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24F8DE6B" w14:textId="77777777" w:rsidTr="00804CE5">
        <w:trPr>
          <w:trHeight w:val="216"/>
        </w:trPr>
        <w:tc>
          <w:tcPr>
            <w:tcW w:w="265" w:type="dxa"/>
            <w:shd w:val="clear" w:color="auto" w:fill="auto"/>
            <w:noWrap/>
            <w:hideMark/>
          </w:tcPr>
          <w:p w14:paraId="17D17D2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5ABA3D8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Median </w:t>
            </w:r>
          </w:p>
        </w:tc>
        <w:tc>
          <w:tcPr>
            <w:tcW w:w="1980" w:type="dxa"/>
            <w:shd w:val="clear" w:color="auto" w:fill="auto"/>
            <w:noWrap/>
            <w:hideMark/>
          </w:tcPr>
          <w:p w14:paraId="35D6EBB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52</w:t>
            </w:r>
          </w:p>
        </w:tc>
        <w:tc>
          <w:tcPr>
            <w:tcW w:w="1890" w:type="dxa"/>
            <w:shd w:val="clear" w:color="auto" w:fill="auto"/>
            <w:noWrap/>
            <w:hideMark/>
          </w:tcPr>
          <w:p w14:paraId="111C86A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52</w:t>
            </w:r>
          </w:p>
        </w:tc>
        <w:tc>
          <w:tcPr>
            <w:tcW w:w="1890" w:type="dxa"/>
            <w:shd w:val="clear" w:color="auto" w:fill="auto"/>
          </w:tcPr>
          <w:p w14:paraId="0E663B4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54</w:t>
            </w:r>
          </w:p>
        </w:tc>
        <w:tc>
          <w:tcPr>
            <w:tcW w:w="1795" w:type="dxa"/>
            <w:shd w:val="clear" w:color="auto" w:fill="auto"/>
          </w:tcPr>
          <w:p w14:paraId="02FC5295"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55</w:t>
            </w:r>
          </w:p>
        </w:tc>
      </w:tr>
      <w:tr w:rsidR="008F1E8F" w:rsidRPr="009439D3" w14:paraId="4843C99E" w14:textId="77777777" w:rsidTr="00804CE5">
        <w:trPr>
          <w:trHeight w:val="216"/>
        </w:trPr>
        <w:tc>
          <w:tcPr>
            <w:tcW w:w="265" w:type="dxa"/>
            <w:shd w:val="clear" w:color="auto" w:fill="E7E6E6" w:themeFill="background2"/>
            <w:noWrap/>
            <w:hideMark/>
          </w:tcPr>
          <w:p w14:paraId="7A7982D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229E60E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E7E6E6" w:themeFill="background2"/>
            <w:noWrap/>
            <w:hideMark/>
          </w:tcPr>
          <w:p w14:paraId="30F776A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46-58</w:t>
            </w:r>
          </w:p>
        </w:tc>
        <w:tc>
          <w:tcPr>
            <w:tcW w:w="1890" w:type="dxa"/>
            <w:shd w:val="clear" w:color="auto" w:fill="E7E6E6" w:themeFill="background2"/>
            <w:noWrap/>
            <w:hideMark/>
          </w:tcPr>
          <w:p w14:paraId="209083A5"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47-58</w:t>
            </w:r>
          </w:p>
        </w:tc>
        <w:tc>
          <w:tcPr>
            <w:tcW w:w="1890" w:type="dxa"/>
            <w:shd w:val="clear" w:color="auto" w:fill="E7E6E6" w:themeFill="background2"/>
          </w:tcPr>
          <w:p w14:paraId="63171EA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49-62</w:t>
            </w:r>
          </w:p>
        </w:tc>
        <w:tc>
          <w:tcPr>
            <w:tcW w:w="1795" w:type="dxa"/>
            <w:shd w:val="clear" w:color="auto" w:fill="E7E6E6" w:themeFill="background2"/>
          </w:tcPr>
          <w:p w14:paraId="08FF614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49-61</w:t>
            </w:r>
          </w:p>
        </w:tc>
      </w:tr>
      <w:tr w:rsidR="008F1E8F" w:rsidRPr="009439D3" w14:paraId="7BC05128" w14:textId="77777777" w:rsidTr="00804CE5">
        <w:trPr>
          <w:trHeight w:val="216"/>
        </w:trPr>
        <w:tc>
          <w:tcPr>
            <w:tcW w:w="3235" w:type="dxa"/>
            <w:gridSpan w:val="3"/>
            <w:shd w:val="clear" w:color="auto" w:fill="auto"/>
            <w:noWrap/>
            <w:hideMark/>
          </w:tcPr>
          <w:p w14:paraId="6B9A90A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Body mass index</w:t>
            </w:r>
            <w:r w:rsidRPr="009439D3">
              <w:rPr>
                <w:rFonts w:ascii="Arial" w:eastAsia="MS Mincho" w:hAnsi="Arial" w:cs="Arial"/>
                <w:color w:val="000000"/>
                <w:sz w:val="22"/>
                <w:szCs w:val="22"/>
              </w:rPr>
              <w:t>∫</w:t>
            </w:r>
          </w:p>
        </w:tc>
        <w:tc>
          <w:tcPr>
            <w:tcW w:w="1980" w:type="dxa"/>
            <w:shd w:val="clear" w:color="auto" w:fill="auto"/>
            <w:noWrap/>
            <w:hideMark/>
          </w:tcPr>
          <w:p w14:paraId="23AC6A3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28731965"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62A1FCA0"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auto"/>
          </w:tcPr>
          <w:p w14:paraId="7B656428"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6A858EA8" w14:textId="77777777" w:rsidTr="00804CE5">
        <w:trPr>
          <w:trHeight w:val="225"/>
        </w:trPr>
        <w:tc>
          <w:tcPr>
            <w:tcW w:w="265" w:type="dxa"/>
            <w:shd w:val="clear" w:color="auto" w:fill="E7E6E6" w:themeFill="background2"/>
            <w:noWrap/>
            <w:hideMark/>
          </w:tcPr>
          <w:p w14:paraId="1BF66AD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576D5E9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Median </w:t>
            </w:r>
          </w:p>
        </w:tc>
        <w:tc>
          <w:tcPr>
            <w:tcW w:w="1980" w:type="dxa"/>
            <w:shd w:val="clear" w:color="auto" w:fill="E7E6E6" w:themeFill="background2"/>
            <w:noWrap/>
            <w:hideMark/>
          </w:tcPr>
          <w:p w14:paraId="19D2D8A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18.4</w:t>
            </w:r>
          </w:p>
        </w:tc>
        <w:tc>
          <w:tcPr>
            <w:tcW w:w="1890" w:type="dxa"/>
            <w:shd w:val="clear" w:color="auto" w:fill="E7E6E6" w:themeFill="background2"/>
            <w:noWrap/>
            <w:hideMark/>
          </w:tcPr>
          <w:p w14:paraId="48CEDDB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18.3</w:t>
            </w:r>
          </w:p>
        </w:tc>
        <w:tc>
          <w:tcPr>
            <w:tcW w:w="1890" w:type="dxa"/>
            <w:shd w:val="clear" w:color="auto" w:fill="E7E6E6" w:themeFill="background2"/>
          </w:tcPr>
          <w:p w14:paraId="431D1EF5"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20.3</w:t>
            </w:r>
          </w:p>
        </w:tc>
        <w:tc>
          <w:tcPr>
            <w:tcW w:w="1795" w:type="dxa"/>
            <w:shd w:val="clear" w:color="auto" w:fill="E7E6E6" w:themeFill="background2"/>
          </w:tcPr>
          <w:p w14:paraId="4F39768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19.5</w:t>
            </w:r>
          </w:p>
        </w:tc>
      </w:tr>
      <w:tr w:rsidR="008F1E8F" w:rsidRPr="009439D3" w14:paraId="55192B13" w14:textId="77777777" w:rsidTr="00804CE5">
        <w:trPr>
          <w:trHeight w:val="216"/>
        </w:trPr>
        <w:tc>
          <w:tcPr>
            <w:tcW w:w="265" w:type="dxa"/>
            <w:shd w:val="clear" w:color="auto" w:fill="auto"/>
            <w:noWrap/>
            <w:hideMark/>
          </w:tcPr>
          <w:p w14:paraId="20BEACE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4DFC0D0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auto"/>
            <w:noWrap/>
            <w:hideMark/>
          </w:tcPr>
          <w:p w14:paraId="598BDF9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16.9-20.2</w:t>
            </w:r>
          </w:p>
        </w:tc>
        <w:tc>
          <w:tcPr>
            <w:tcW w:w="1890" w:type="dxa"/>
            <w:shd w:val="clear" w:color="auto" w:fill="auto"/>
            <w:noWrap/>
            <w:hideMark/>
          </w:tcPr>
          <w:p w14:paraId="660C8F5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16.9-20.1</w:t>
            </w:r>
          </w:p>
        </w:tc>
        <w:tc>
          <w:tcPr>
            <w:tcW w:w="1890" w:type="dxa"/>
            <w:shd w:val="clear" w:color="auto" w:fill="auto"/>
          </w:tcPr>
          <w:p w14:paraId="0AE422BA"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18.7-22.2</w:t>
            </w:r>
          </w:p>
        </w:tc>
        <w:tc>
          <w:tcPr>
            <w:tcW w:w="1795" w:type="dxa"/>
            <w:shd w:val="clear" w:color="auto" w:fill="auto"/>
          </w:tcPr>
          <w:p w14:paraId="6D14E16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18.5-22.0</w:t>
            </w:r>
          </w:p>
        </w:tc>
      </w:tr>
      <w:tr w:rsidR="008F1E8F" w:rsidRPr="009439D3" w14:paraId="09B6E338" w14:textId="77777777" w:rsidTr="00804CE5">
        <w:trPr>
          <w:trHeight w:val="216"/>
        </w:trPr>
        <w:tc>
          <w:tcPr>
            <w:tcW w:w="3235" w:type="dxa"/>
            <w:gridSpan w:val="3"/>
            <w:shd w:val="clear" w:color="auto" w:fill="E7E6E6" w:themeFill="background2"/>
            <w:noWrap/>
            <w:hideMark/>
          </w:tcPr>
          <w:p w14:paraId="41966A51"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HIV positivity - no. (%)</w:t>
            </w:r>
            <w:r w:rsidRPr="009439D3">
              <w:rPr>
                <w:rFonts w:ascii="Arial" w:eastAsia="MS Mincho" w:hAnsi="Arial" w:cs="Arial"/>
                <w:color w:val="000000"/>
                <w:sz w:val="22"/>
                <w:szCs w:val="22"/>
              </w:rPr>
              <w:t>¶</w:t>
            </w:r>
          </w:p>
        </w:tc>
        <w:tc>
          <w:tcPr>
            <w:tcW w:w="1980" w:type="dxa"/>
            <w:shd w:val="clear" w:color="auto" w:fill="E7E6E6" w:themeFill="background2"/>
            <w:noWrap/>
            <w:hideMark/>
          </w:tcPr>
          <w:p w14:paraId="42798D4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248 (12)</w:t>
            </w:r>
          </w:p>
        </w:tc>
        <w:tc>
          <w:tcPr>
            <w:tcW w:w="1890" w:type="dxa"/>
            <w:shd w:val="clear" w:color="auto" w:fill="E7E6E6" w:themeFill="background2"/>
            <w:noWrap/>
            <w:hideMark/>
          </w:tcPr>
          <w:p w14:paraId="4C2DAD3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220 (16)</w:t>
            </w:r>
          </w:p>
        </w:tc>
        <w:tc>
          <w:tcPr>
            <w:tcW w:w="1890" w:type="dxa"/>
            <w:shd w:val="clear" w:color="auto" w:fill="E7E6E6" w:themeFill="background2"/>
          </w:tcPr>
          <w:p w14:paraId="0F5A06D2"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c>
          <w:tcPr>
            <w:tcW w:w="1795" w:type="dxa"/>
            <w:shd w:val="clear" w:color="auto" w:fill="E7E6E6" w:themeFill="background2"/>
          </w:tcPr>
          <w:p w14:paraId="0BC46DD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r>
      <w:tr w:rsidR="0069122A" w:rsidRPr="009439D3" w14:paraId="43280DE0" w14:textId="77777777" w:rsidTr="00804CE5">
        <w:trPr>
          <w:trHeight w:val="216"/>
        </w:trPr>
        <w:tc>
          <w:tcPr>
            <w:tcW w:w="265" w:type="dxa"/>
            <w:shd w:val="clear" w:color="auto" w:fill="auto"/>
            <w:noWrap/>
            <w:hideMark/>
          </w:tcPr>
          <w:p w14:paraId="4BA775DD" w14:textId="288992A2" w:rsidR="0069122A" w:rsidRPr="009439D3" w:rsidRDefault="0069122A" w:rsidP="00EA10C3">
            <w:pPr>
              <w:rPr>
                <w:rFonts w:ascii="Arial" w:eastAsia="Times New Roman" w:hAnsi="Arial" w:cs="Arial"/>
                <w:color w:val="000000"/>
                <w:sz w:val="22"/>
                <w:szCs w:val="22"/>
              </w:rPr>
            </w:pPr>
          </w:p>
        </w:tc>
        <w:tc>
          <w:tcPr>
            <w:tcW w:w="2970" w:type="dxa"/>
            <w:gridSpan w:val="2"/>
            <w:shd w:val="clear" w:color="auto" w:fill="auto"/>
          </w:tcPr>
          <w:p w14:paraId="48379676" w14:textId="278D52E1" w:rsidR="0069122A" w:rsidRPr="009439D3" w:rsidRDefault="0069122A"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CD4 cell count</w:t>
            </w:r>
            <w:r>
              <w:rPr>
                <w:rFonts w:ascii="Arial" w:eastAsia="Times New Roman" w:hAnsi="Arial" w:cs="Arial"/>
                <w:color w:val="000000"/>
                <w:sz w:val="22"/>
                <w:szCs w:val="22"/>
              </w:rPr>
              <w:t xml:space="preserve"> </w:t>
            </w:r>
            <w:r w:rsidRPr="009439D3">
              <w:rPr>
                <w:rFonts w:ascii="Arial" w:eastAsia="MS Mincho" w:hAnsi="Arial" w:cs="Arial"/>
                <w:color w:val="000000"/>
                <w:sz w:val="22"/>
                <w:szCs w:val="22"/>
              </w:rPr>
              <w:t>‖</w:t>
            </w:r>
          </w:p>
        </w:tc>
        <w:tc>
          <w:tcPr>
            <w:tcW w:w="1980" w:type="dxa"/>
            <w:shd w:val="clear" w:color="auto" w:fill="auto"/>
            <w:noWrap/>
            <w:hideMark/>
          </w:tcPr>
          <w:p w14:paraId="179412C6" w14:textId="77777777" w:rsidR="0069122A" w:rsidRPr="009439D3" w:rsidRDefault="0069122A"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26A0EA9B" w14:textId="77777777" w:rsidR="0069122A" w:rsidRPr="009439D3" w:rsidRDefault="0069122A"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06550A63" w14:textId="77777777" w:rsidR="0069122A" w:rsidRPr="009439D3" w:rsidRDefault="0069122A" w:rsidP="00EA10C3">
            <w:pPr>
              <w:jc w:val="center"/>
              <w:rPr>
                <w:rFonts w:ascii="Arial" w:eastAsia="Times New Roman" w:hAnsi="Arial" w:cs="Arial"/>
                <w:color w:val="000000"/>
                <w:sz w:val="22"/>
                <w:szCs w:val="22"/>
              </w:rPr>
            </w:pPr>
          </w:p>
        </w:tc>
        <w:tc>
          <w:tcPr>
            <w:tcW w:w="1795" w:type="dxa"/>
            <w:shd w:val="clear" w:color="auto" w:fill="auto"/>
          </w:tcPr>
          <w:p w14:paraId="077C35C9" w14:textId="77777777" w:rsidR="0069122A" w:rsidRPr="009439D3" w:rsidRDefault="0069122A" w:rsidP="00EA10C3">
            <w:pPr>
              <w:jc w:val="center"/>
              <w:rPr>
                <w:rFonts w:ascii="Arial" w:eastAsia="Times New Roman" w:hAnsi="Arial" w:cs="Arial"/>
                <w:color w:val="000000"/>
                <w:sz w:val="22"/>
                <w:szCs w:val="22"/>
              </w:rPr>
            </w:pPr>
          </w:p>
        </w:tc>
      </w:tr>
      <w:tr w:rsidR="008F1E8F" w:rsidRPr="009439D3" w14:paraId="6067FD54" w14:textId="77777777" w:rsidTr="00804CE5">
        <w:trPr>
          <w:trHeight w:val="216"/>
        </w:trPr>
        <w:tc>
          <w:tcPr>
            <w:tcW w:w="535" w:type="dxa"/>
            <w:gridSpan w:val="2"/>
            <w:shd w:val="clear" w:color="auto" w:fill="E7E6E6" w:themeFill="background2"/>
            <w:noWrap/>
            <w:hideMark/>
          </w:tcPr>
          <w:p w14:paraId="72A92A81"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700" w:type="dxa"/>
            <w:shd w:val="clear" w:color="auto" w:fill="E7E6E6" w:themeFill="background2"/>
            <w:noWrap/>
            <w:hideMark/>
          </w:tcPr>
          <w:p w14:paraId="5ED098C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Median</w:t>
            </w:r>
          </w:p>
        </w:tc>
        <w:tc>
          <w:tcPr>
            <w:tcW w:w="1980" w:type="dxa"/>
            <w:shd w:val="clear" w:color="auto" w:fill="E7E6E6" w:themeFill="background2"/>
            <w:noWrap/>
            <w:hideMark/>
          </w:tcPr>
          <w:p w14:paraId="0382560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363</w:t>
            </w:r>
          </w:p>
        </w:tc>
        <w:tc>
          <w:tcPr>
            <w:tcW w:w="1890" w:type="dxa"/>
            <w:shd w:val="clear" w:color="auto" w:fill="E7E6E6" w:themeFill="background2"/>
            <w:noWrap/>
            <w:hideMark/>
          </w:tcPr>
          <w:p w14:paraId="3A2AF97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317</w:t>
            </w:r>
          </w:p>
        </w:tc>
        <w:tc>
          <w:tcPr>
            <w:tcW w:w="1890" w:type="dxa"/>
            <w:shd w:val="clear" w:color="auto" w:fill="E7E6E6" w:themeFill="background2"/>
          </w:tcPr>
          <w:p w14:paraId="1DB07F6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1713747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16200484" w14:textId="77777777" w:rsidTr="00804CE5">
        <w:trPr>
          <w:trHeight w:val="216"/>
        </w:trPr>
        <w:tc>
          <w:tcPr>
            <w:tcW w:w="535" w:type="dxa"/>
            <w:gridSpan w:val="2"/>
            <w:shd w:val="clear" w:color="auto" w:fill="auto"/>
            <w:noWrap/>
            <w:hideMark/>
          </w:tcPr>
          <w:p w14:paraId="106E624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700" w:type="dxa"/>
            <w:shd w:val="clear" w:color="auto" w:fill="auto"/>
            <w:noWrap/>
            <w:hideMark/>
          </w:tcPr>
          <w:p w14:paraId="75BCDA5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auto"/>
            <w:noWrap/>
            <w:hideMark/>
          </w:tcPr>
          <w:p w14:paraId="69111D4F"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265-493</w:t>
            </w:r>
          </w:p>
        </w:tc>
        <w:tc>
          <w:tcPr>
            <w:tcW w:w="1890" w:type="dxa"/>
            <w:shd w:val="clear" w:color="auto" w:fill="auto"/>
            <w:noWrap/>
            <w:hideMark/>
          </w:tcPr>
          <w:p w14:paraId="509E5A82"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241-444</w:t>
            </w:r>
          </w:p>
        </w:tc>
        <w:tc>
          <w:tcPr>
            <w:tcW w:w="1890" w:type="dxa"/>
            <w:shd w:val="clear" w:color="auto" w:fill="auto"/>
          </w:tcPr>
          <w:p w14:paraId="6602FBE6"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1B869C1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69122A" w:rsidRPr="009439D3" w14:paraId="5E813ECD" w14:textId="77777777" w:rsidTr="00804CE5">
        <w:trPr>
          <w:trHeight w:val="216"/>
        </w:trPr>
        <w:tc>
          <w:tcPr>
            <w:tcW w:w="535" w:type="dxa"/>
            <w:gridSpan w:val="2"/>
            <w:shd w:val="clear" w:color="auto" w:fill="E7E6E6" w:themeFill="background2"/>
            <w:noWrap/>
          </w:tcPr>
          <w:p w14:paraId="23018422" w14:textId="77777777" w:rsidR="0069122A" w:rsidRPr="009439D3" w:rsidRDefault="0069122A" w:rsidP="0069122A">
            <w:pPr>
              <w:rPr>
                <w:rFonts w:ascii="Arial" w:eastAsia="Times New Roman" w:hAnsi="Arial" w:cs="Arial"/>
                <w:color w:val="000000"/>
                <w:sz w:val="22"/>
                <w:szCs w:val="22"/>
              </w:rPr>
            </w:pPr>
          </w:p>
        </w:tc>
        <w:tc>
          <w:tcPr>
            <w:tcW w:w="2700" w:type="dxa"/>
            <w:shd w:val="clear" w:color="auto" w:fill="E7E6E6" w:themeFill="background2"/>
            <w:noWrap/>
          </w:tcPr>
          <w:p w14:paraId="0C36CEBE" w14:textId="1A66CC86" w:rsidR="0069122A" w:rsidRPr="009439D3" w:rsidRDefault="0069122A" w:rsidP="0069122A">
            <w:pPr>
              <w:rPr>
                <w:rFonts w:ascii="Arial" w:eastAsia="Times New Roman" w:hAnsi="Arial" w:cs="Arial"/>
                <w:color w:val="000000"/>
                <w:sz w:val="22"/>
                <w:szCs w:val="22"/>
              </w:rPr>
            </w:pPr>
            <m:oMath>
              <m:r>
                <w:rPr>
                  <w:rFonts w:ascii="Cambria Math" w:eastAsia="Times New Roman" w:hAnsi="Cambria Math" w:cs="Arial"/>
                  <w:color w:val="000000"/>
                  <w:sz w:val="22"/>
                  <w:szCs w:val="22"/>
                </w:rPr>
                <m:t>≤</m:t>
              </m:r>
            </m:oMath>
            <w:r w:rsidRPr="0092593A">
              <w:rPr>
                <w:rFonts w:ascii="Arial" w:eastAsia="Times New Roman" w:hAnsi="Arial" w:cs="Arial"/>
                <w:color w:val="000000"/>
                <w:sz w:val="22"/>
                <w:szCs w:val="22"/>
              </w:rPr>
              <w:t xml:space="preserve"> 30</w:t>
            </w:r>
            <w:r>
              <w:rPr>
                <w:rFonts w:ascii="Arial" w:eastAsia="Times New Roman" w:hAnsi="Arial" w:cs="Arial"/>
                <w:color w:val="000000"/>
                <w:sz w:val="22"/>
                <w:szCs w:val="22"/>
              </w:rPr>
              <w:t xml:space="preserve">0 - no. (%) </w:t>
            </w:r>
          </w:p>
        </w:tc>
        <w:tc>
          <w:tcPr>
            <w:tcW w:w="1980" w:type="dxa"/>
            <w:shd w:val="clear" w:color="auto" w:fill="E7E6E6" w:themeFill="background2"/>
            <w:noWrap/>
          </w:tcPr>
          <w:p w14:paraId="2DA5FFF4" w14:textId="0EBE7CBD" w:rsidR="0069122A" w:rsidRPr="009439D3" w:rsidRDefault="004D0E4B"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74</w:t>
            </w:r>
          </w:p>
        </w:tc>
        <w:tc>
          <w:tcPr>
            <w:tcW w:w="1890" w:type="dxa"/>
            <w:shd w:val="clear" w:color="auto" w:fill="E7E6E6" w:themeFill="background2"/>
            <w:noWrap/>
          </w:tcPr>
          <w:p w14:paraId="5458FE91" w14:textId="582A10CF" w:rsidR="0069122A" w:rsidRPr="009439D3" w:rsidRDefault="002F7382"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81</w:t>
            </w:r>
          </w:p>
        </w:tc>
        <w:tc>
          <w:tcPr>
            <w:tcW w:w="1890" w:type="dxa"/>
            <w:shd w:val="clear" w:color="auto" w:fill="E7E6E6" w:themeFill="background2"/>
          </w:tcPr>
          <w:p w14:paraId="752AF317" w14:textId="33449F22"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0BBCA136" w14:textId="6A99A6F4"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69122A" w:rsidRPr="009439D3" w14:paraId="2216B0AB" w14:textId="77777777" w:rsidTr="0069122A">
        <w:trPr>
          <w:trHeight w:val="216"/>
        </w:trPr>
        <w:tc>
          <w:tcPr>
            <w:tcW w:w="535" w:type="dxa"/>
            <w:gridSpan w:val="2"/>
            <w:shd w:val="clear" w:color="auto" w:fill="auto"/>
            <w:noWrap/>
          </w:tcPr>
          <w:p w14:paraId="0832BCEA" w14:textId="77777777" w:rsidR="0069122A" w:rsidRPr="009439D3" w:rsidRDefault="0069122A" w:rsidP="0069122A">
            <w:pPr>
              <w:rPr>
                <w:rFonts w:ascii="Arial" w:eastAsia="Times New Roman" w:hAnsi="Arial" w:cs="Arial"/>
                <w:color w:val="000000"/>
                <w:sz w:val="22"/>
                <w:szCs w:val="22"/>
              </w:rPr>
            </w:pPr>
          </w:p>
        </w:tc>
        <w:tc>
          <w:tcPr>
            <w:tcW w:w="2700" w:type="dxa"/>
            <w:shd w:val="clear" w:color="auto" w:fill="auto"/>
            <w:noWrap/>
          </w:tcPr>
          <w:p w14:paraId="1D860C97" w14:textId="233E4DE0" w:rsidR="0069122A" w:rsidRPr="009439D3" w:rsidRDefault="0069122A" w:rsidP="0069122A">
            <w:pPr>
              <w:rPr>
                <w:rFonts w:ascii="Arial" w:eastAsia="Times New Roman" w:hAnsi="Arial" w:cs="Arial"/>
                <w:color w:val="000000"/>
                <w:sz w:val="22"/>
                <w:szCs w:val="22"/>
              </w:rPr>
            </w:pPr>
            <w:r>
              <w:rPr>
                <w:rFonts w:ascii="Arial" w:eastAsia="Times New Roman" w:hAnsi="Arial" w:cs="Arial"/>
                <w:color w:val="000000"/>
                <w:sz w:val="22"/>
                <w:szCs w:val="22"/>
              </w:rPr>
              <w:t xml:space="preserve">&gt; 300 - no (%) </w:t>
            </w:r>
          </w:p>
        </w:tc>
        <w:tc>
          <w:tcPr>
            <w:tcW w:w="1980" w:type="dxa"/>
            <w:shd w:val="clear" w:color="auto" w:fill="auto"/>
            <w:noWrap/>
          </w:tcPr>
          <w:p w14:paraId="3A9DBD72" w14:textId="2D8FA9CD" w:rsidR="0069122A" w:rsidRPr="009439D3" w:rsidRDefault="002F7382"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135</w:t>
            </w:r>
          </w:p>
        </w:tc>
        <w:tc>
          <w:tcPr>
            <w:tcW w:w="1890" w:type="dxa"/>
            <w:shd w:val="clear" w:color="auto" w:fill="auto"/>
            <w:noWrap/>
          </w:tcPr>
          <w:p w14:paraId="507987EB" w14:textId="5925E829" w:rsidR="0069122A" w:rsidRPr="009439D3" w:rsidRDefault="002F7382"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99</w:t>
            </w:r>
          </w:p>
        </w:tc>
        <w:tc>
          <w:tcPr>
            <w:tcW w:w="1890" w:type="dxa"/>
            <w:shd w:val="clear" w:color="auto" w:fill="auto"/>
          </w:tcPr>
          <w:p w14:paraId="6160237A" w14:textId="4F95661F"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403DE8BF" w14:textId="23A6C30C"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79BFE53D" w14:textId="77777777" w:rsidTr="00804CE5">
        <w:trPr>
          <w:trHeight w:val="216"/>
        </w:trPr>
        <w:tc>
          <w:tcPr>
            <w:tcW w:w="3235" w:type="dxa"/>
            <w:gridSpan w:val="3"/>
            <w:shd w:val="clear" w:color="auto" w:fill="E7E6E6" w:themeFill="background2"/>
            <w:noWrap/>
            <w:hideMark/>
          </w:tcPr>
          <w:p w14:paraId="6559F8B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Cavitation- no. (%)</w:t>
            </w:r>
            <w:r w:rsidRPr="009439D3">
              <w:rPr>
                <w:rFonts w:ascii="Arial" w:eastAsia="Bradley Hand" w:hAnsi="Arial" w:cs="Arial"/>
                <w:color w:val="000000"/>
                <w:sz w:val="22"/>
                <w:szCs w:val="22"/>
              </w:rPr>
              <w:t>**</w:t>
            </w:r>
          </w:p>
        </w:tc>
        <w:tc>
          <w:tcPr>
            <w:tcW w:w="1980" w:type="dxa"/>
            <w:shd w:val="clear" w:color="auto" w:fill="E7E6E6" w:themeFill="background2"/>
            <w:noWrap/>
            <w:hideMark/>
          </w:tcPr>
          <w:p w14:paraId="47A7909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1247 (62)</w:t>
            </w:r>
          </w:p>
        </w:tc>
        <w:tc>
          <w:tcPr>
            <w:tcW w:w="1890" w:type="dxa"/>
            <w:shd w:val="clear" w:color="auto" w:fill="E7E6E6" w:themeFill="background2"/>
            <w:noWrap/>
            <w:hideMark/>
          </w:tcPr>
          <w:p w14:paraId="02630AB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847 (60)</w:t>
            </w:r>
          </w:p>
        </w:tc>
        <w:tc>
          <w:tcPr>
            <w:tcW w:w="1890" w:type="dxa"/>
            <w:shd w:val="clear" w:color="auto" w:fill="E7E6E6" w:themeFill="background2"/>
          </w:tcPr>
          <w:p w14:paraId="2C9DB1E5"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c>
          <w:tcPr>
            <w:tcW w:w="1795" w:type="dxa"/>
            <w:shd w:val="clear" w:color="auto" w:fill="E7E6E6" w:themeFill="background2"/>
          </w:tcPr>
          <w:p w14:paraId="38BE5B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r>
      <w:tr w:rsidR="008F1E8F" w:rsidRPr="009439D3" w14:paraId="16F98B03" w14:textId="77777777" w:rsidTr="00804CE5">
        <w:trPr>
          <w:trHeight w:val="216"/>
        </w:trPr>
        <w:tc>
          <w:tcPr>
            <w:tcW w:w="3235" w:type="dxa"/>
            <w:gridSpan w:val="3"/>
            <w:shd w:val="clear" w:color="auto" w:fill="auto"/>
            <w:noWrap/>
            <w:hideMark/>
          </w:tcPr>
          <w:p w14:paraId="51CA5570"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Smear- no. (%)</w:t>
            </w:r>
            <w:r w:rsidRPr="009439D3">
              <w:rPr>
                <w:rFonts w:ascii="Arial" w:hAnsi="Arial" w:cs="Arial"/>
                <w:sz w:val="22"/>
                <w:szCs w:val="22"/>
              </w:rPr>
              <w:t>††</w:t>
            </w:r>
          </w:p>
        </w:tc>
        <w:tc>
          <w:tcPr>
            <w:tcW w:w="1980" w:type="dxa"/>
            <w:shd w:val="clear" w:color="auto" w:fill="auto"/>
            <w:noWrap/>
            <w:hideMark/>
          </w:tcPr>
          <w:p w14:paraId="5A3C825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5E60A5C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3CC4DE9F"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auto"/>
          </w:tcPr>
          <w:p w14:paraId="679D41FE"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366A2D28" w14:textId="77777777" w:rsidTr="00804CE5">
        <w:trPr>
          <w:trHeight w:val="216"/>
        </w:trPr>
        <w:tc>
          <w:tcPr>
            <w:tcW w:w="265" w:type="dxa"/>
            <w:shd w:val="clear" w:color="auto" w:fill="E7E6E6" w:themeFill="background2"/>
            <w:noWrap/>
            <w:hideMark/>
          </w:tcPr>
          <w:p w14:paraId="7E56AE7B"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5E708DF5"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Negative</w:t>
            </w:r>
          </w:p>
        </w:tc>
        <w:tc>
          <w:tcPr>
            <w:tcW w:w="1980" w:type="dxa"/>
            <w:shd w:val="clear" w:color="auto" w:fill="E7E6E6" w:themeFill="background2"/>
            <w:noWrap/>
            <w:hideMark/>
          </w:tcPr>
          <w:p w14:paraId="1F02D1C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151 (8)</w:t>
            </w:r>
          </w:p>
        </w:tc>
        <w:tc>
          <w:tcPr>
            <w:tcW w:w="1890" w:type="dxa"/>
            <w:shd w:val="clear" w:color="auto" w:fill="E7E6E6" w:themeFill="background2"/>
            <w:noWrap/>
            <w:hideMark/>
          </w:tcPr>
          <w:p w14:paraId="4A36E76F"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85 (6)</w:t>
            </w:r>
          </w:p>
        </w:tc>
        <w:tc>
          <w:tcPr>
            <w:tcW w:w="1890" w:type="dxa"/>
            <w:shd w:val="clear" w:color="auto" w:fill="E7E6E6" w:themeFill="background2"/>
          </w:tcPr>
          <w:p w14:paraId="375957E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85 (44)</w:t>
            </w:r>
          </w:p>
        </w:tc>
        <w:tc>
          <w:tcPr>
            <w:tcW w:w="1795" w:type="dxa"/>
            <w:shd w:val="clear" w:color="auto" w:fill="E7E6E6" w:themeFill="background2"/>
          </w:tcPr>
          <w:p w14:paraId="798D224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85 (44)</w:t>
            </w:r>
          </w:p>
        </w:tc>
      </w:tr>
      <w:tr w:rsidR="008F1E8F" w:rsidRPr="009439D3" w14:paraId="5D8EC38F" w14:textId="77777777" w:rsidTr="00804CE5">
        <w:trPr>
          <w:trHeight w:val="216"/>
        </w:trPr>
        <w:tc>
          <w:tcPr>
            <w:tcW w:w="265" w:type="dxa"/>
            <w:shd w:val="clear" w:color="auto" w:fill="auto"/>
            <w:noWrap/>
            <w:hideMark/>
          </w:tcPr>
          <w:p w14:paraId="2253262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6AEAAE9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1+</w:t>
            </w:r>
          </w:p>
        </w:tc>
        <w:tc>
          <w:tcPr>
            <w:tcW w:w="1980" w:type="dxa"/>
            <w:shd w:val="clear" w:color="auto" w:fill="auto"/>
            <w:noWrap/>
            <w:hideMark/>
          </w:tcPr>
          <w:p w14:paraId="483867D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332 (17)</w:t>
            </w:r>
          </w:p>
        </w:tc>
        <w:tc>
          <w:tcPr>
            <w:tcW w:w="1890" w:type="dxa"/>
            <w:shd w:val="clear" w:color="auto" w:fill="auto"/>
            <w:noWrap/>
            <w:hideMark/>
          </w:tcPr>
          <w:p w14:paraId="36F56C1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232 (17)</w:t>
            </w:r>
          </w:p>
        </w:tc>
        <w:tc>
          <w:tcPr>
            <w:tcW w:w="1890" w:type="dxa"/>
            <w:shd w:val="clear" w:color="auto" w:fill="auto"/>
          </w:tcPr>
          <w:p w14:paraId="004184C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26 (14)</w:t>
            </w:r>
          </w:p>
        </w:tc>
        <w:tc>
          <w:tcPr>
            <w:tcW w:w="1795" w:type="dxa"/>
            <w:shd w:val="clear" w:color="auto" w:fill="auto"/>
          </w:tcPr>
          <w:p w14:paraId="6C8FA3E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30 (15)</w:t>
            </w:r>
          </w:p>
        </w:tc>
      </w:tr>
      <w:tr w:rsidR="008F1E8F" w:rsidRPr="009439D3" w14:paraId="3F05093A" w14:textId="77777777" w:rsidTr="00804CE5">
        <w:trPr>
          <w:trHeight w:val="216"/>
        </w:trPr>
        <w:tc>
          <w:tcPr>
            <w:tcW w:w="265" w:type="dxa"/>
            <w:shd w:val="clear" w:color="auto" w:fill="E7E6E6" w:themeFill="background2"/>
            <w:noWrap/>
            <w:hideMark/>
          </w:tcPr>
          <w:p w14:paraId="48F11E7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652B7D9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2+</w:t>
            </w:r>
          </w:p>
        </w:tc>
        <w:tc>
          <w:tcPr>
            <w:tcW w:w="1980" w:type="dxa"/>
            <w:shd w:val="clear" w:color="auto" w:fill="E7E6E6" w:themeFill="background2"/>
            <w:noWrap/>
            <w:hideMark/>
          </w:tcPr>
          <w:p w14:paraId="507D33E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503 (25)</w:t>
            </w:r>
          </w:p>
        </w:tc>
        <w:tc>
          <w:tcPr>
            <w:tcW w:w="1890" w:type="dxa"/>
            <w:shd w:val="clear" w:color="auto" w:fill="E7E6E6" w:themeFill="background2"/>
            <w:noWrap/>
            <w:hideMark/>
          </w:tcPr>
          <w:p w14:paraId="6E3D64B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404 (29)</w:t>
            </w:r>
          </w:p>
        </w:tc>
        <w:tc>
          <w:tcPr>
            <w:tcW w:w="1890" w:type="dxa"/>
            <w:shd w:val="clear" w:color="auto" w:fill="E7E6E6" w:themeFill="background2"/>
          </w:tcPr>
          <w:p w14:paraId="444E5A2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32 (17)</w:t>
            </w:r>
          </w:p>
        </w:tc>
        <w:tc>
          <w:tcPr>
            <w:tcW w:w="1795" w:type="dxa"/>
            <w:shd w:val="clear" w:color="auto" w:fill="E7E6E6" w:themeFill="background2"/>
          </w:tcPr>
          <w:p w14:paraId="0CE4C277"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36 (18)</w:t>
            </w:r>
          </w:p>
        </w:tc>
      </w:tr>
      <w:tr w:rsidR="008F1E8F" w:rsidRPr="009439D3" w14:paraId="6B031106" w14:textId="77777777" w:rsidTr="00804CE5">
        <w:trPr>
          <w:trHeight w:val="216"/>
        </w:trPr>
        <w:tc>
          <w:tcPr>
            <w:tcW w:w="265" w:type="dxa"/>
            <w:shd w:val="clear" w:color="auto" w:fill="auto"/>
            <w:noWrap/>
            <w:hideMark/>
          </w:tcPr>
          <w:p w14:paraId="3F3FC02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0BBC4A7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3+</w:t>
            </w:r>
          </w:p>
        </w:tc>
        <w:tc>
          <w:tcPr>
            <w:tcW w:w="1980" w:type="dxa"/>
            <w:shd w:val="clear" w:color="auto" w:fill="auto"/>
            <w:noWrap/>
            <w:hideMark/>
          </w:tcPr>
          <w:p w14:paraId="5181F2C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988 (49)</w:t>
            </w:r>
          </w:p>
        </w:tc>
        <w:tc>
          <w:tcPr>
            <w:tcW w:w="1890" w:type="dxa"/>
            <w:shd w:val="clear" w:color="auto" w:fill="auto"/>
            <w:noWrap/>
            <w:hideMark/>
          </w:tcPr>
          <w:p w14:paraId="014B889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667 (48)</w:t>
            </w:r>
          </w:p>
        </w:tc>
        <w:tc>
          <w:tcPr>
            <w:tcW w:w="1890" w:type="dxa"/>
            <w:shd w:val="clear" w:color="auto" w:fill="auto"/>
          </w:tcPr>
          <w:p w14:paraId="49C31F6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50 (26)</w:t>
            </w:r>
          </w:p>
        </w:tc>
        <w:tc>
          <w:tcPr>
            <w:tcW w:w="1795" w:type="dxa"/>
            <w:shd w:val="clear" w:color="auto" w:fill="auto"/>
          </w:tcPr>
          <w:p w14:paraId="5D99A95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42 (22)</w:t>
            </w:r>
          </w:p>
        </w:tc>
      </w:tr>
      <w:tr w:rsidR="008F1E8F" w:rsidRPr="009439D3" w14:paraId="7D53AA52" w14:textId="77777777" w:rsidTr="00EA10C3">
        <w:trPr>
          <w:trHeight w:val="1728"/>
        </w:trPr>
        <w:tc>
          <w:tcPr>
            <w:tcW w:w="10790" w:type="dxa"/>
            <w:gridSpan w:val="7"/>
            <w:hideMark/>
          </w:tcPr>
          <w:p w14:paraId="6FB114E1" w14:textId="77777777" w:rsidR="008F1E8F" w:rsidRDefault="008F1E8F" w:rsidP="00EA10C3">
            <w:pPr>
              <w:spacing w:line="480" w:lineRule="auto"/>
              <w:rPr>
                <w:rFonts w:ascii="Arial" w:hAnsi="Arial" w:cs="Arial"/>
                <w:sz w:val="22"/>
                <w:szCs w:val="22"/>
              </w:rPr>
            </w:pPr>
            <w:r w:rsidRPr="009439D3">
              <w:rPr>
                <w:rFonts w:ascii="Arial" w:eastAsia="Bradley Hand" w:hAnsi="Arial" w:cs="Arial"/>
                <w:color w:val="000000"/>
                <w:sz w:val="22"/>
                <w:szCs w:val="22"/>
              </w:rPr>
              <w:lastRenderedPageBreak/>
              <w:t xml:space="preserve">* </w:t>
            </w:r>
            <w:r w:rsidRPr="009439D3">
              <w:rPr>
                <w:rFonts w:ascii="Arial" w:hAnsi="Arial" w:cs="Arial"/>
                <w:sz w:val="22"/>
                <w:szCs w:val="22"/>
              </w:rPr>
              <w:t xml:space="preserve">Race was missing for all OFLOTUB study participants, black race was assigned to all study participants given all OFLOTUB sites were in Africa. </w:t>
            </w:r>
          </w:p>
          <w:p w14:paraId="777AE5C2" w14:textId="77777777" w:rsidR="008F1E8F" w:rsidRPr="000A6607" w:rsidRDefault="008F1E8F" w:rsidP="00EA10C3">
            <w:pPr>
              <w:spacing w:line="480" w:lineRule="auto"/>
              <w:rPr>
                <w:rFonts w:ascii="Arial" w:hAnsi="Arial" w:cs="Arial"/>
                <w:sz w:val="22"/>
                <w:szCs w:val="22"/>
              </w:rPr>
            </w:pPr>
            <w:r w:rsidRPr="000A6607">
              <w:rPr>
                <w:rFonts w:ascii="Arial" w:hAnsi="Arial" w:cs="Arial"/>
                <w:sz w:val="22"/>
                <w:szCs w:val="22"/>
              </w:rPr>
              <w:t xml:space="preserve">†Age was missing for 5 study participants.   </w:t>
            </w:r>
          </w:p>
          <w:p w14:paraId="40CD4494" w14:textId="77777777" w:rsidR="008F1E8F" w:rsidRPr="009439D3" w:rsidRDefault="008F1E8F" w:rsidP="00EA10C3">
            <w:pPr>
              <w:spacing w:line="480" w:lineRule="auto"/>
              <w:rPr>
                <w:rFonts w:ascii="Arial" w:eastAsia="PMingLiU" w:hAnsi="Arial" w:cs="Arial"/>
                <w:color w:val="000000"/>
                <w:sz w:val="22"/>
                <w:szCs w:val="22"/>
              </w:rPr>
            </w:pPr>
            <w:r w:rsidRPr="009439D3">
              <w:rPr>
                <w:rFonts w:ascii="Arial" w:eastAsia="MS Mincho" w:hAnsi="Arial" w:cs="Arial"/>
                <w:color w:val="000000"/>
                <w:sz w:val="22"/>
                <w:szCs w:val="22"/>
              </w:rPr>
              <w:t>∫</w:t>
            </w:r>
            <w:r w:rsidRPr="009439D3">
              <w:rPr>
                <w:rFonts w:ascii="Arial" w:eastAsia="Times New Roman" w:hAnsi="Arial" w:cs="Arial"/>
                <w:color w:val="000000"/>
                <w:sz w:val="22"/>
                <w:szCs w:val="22"/>
              </w:rPr>
              <w:t xml:space="preserve"> Body mass index was defined as the weight in kilograms divided by the squared height in meters. Height was missing for 291 study participants, median height for females and males were used to calculate body mass index. </w:t>
            </w:r>
          </w:p>
          <w:p w14:paraId="1DCCBA69" w14:textId="77777777" w:rsidR="008F1E8F" w:rsidRPr="009439D3" w:rsidRDefault="008F1E8F" w:rsidP="00EA10C3">
            <w:pPr>
              <w:spacing w:line="480" w:lineRule="auto"/>
              <w:rPr>
                <w:rFonts w:ascii="Arial" w:eastAsia="PMingLiU" w:hAnsi="Arial" w:cs="Arial"/>
                <w:color w:val="000000"/>
                <w:sz w:val="22"/>
                <w:szCs w:val="22"/>
              </w:rPr>
            </w:pPr>
            <w:r w:rsidRPr="009439D3">
              <w:rPr>
                <w:rFonts w:ascii="Arial" w:eastAsia="MS Mincho" w:hAnsi="Arial" w:cs="Arial"/>
                <w:color w:val="000000"/>
                <w:sz w:val="22"/>
                <w:szCs w:val="22"/>
              </w:rPr>
              <w:t>¶</w:t>
            </w:r>
            <w:r w:rsidRPr="009439D3">
              <w:rPr>
                <w:rFonts w:ascii="Arial" w:eastAsia="Times New Roman" w:hAnsi="Arial" w:cs="Arial"/>
                <w:color w:val="000000"/>
                <w:sz w:val="22"/>
                <w:szCs w:val="22"/>
              </w:rPr>
              <w:t xml:space="preserve"> Human immunodeficiency virus (HIV) status was missing for 9 study participants.</w:t>
            </w:r>
          </w:p>
          <w:p w14:paraId="5217FD0D" w14:textId="5036D6B1" w:rsidR="008F1E8F" w:rsidRPr="009439D3" w:rsidRDefault="008F1E8F" w:rsidP="00EA10C3">
            <w:pPr>
              <w:spacing w:line="480" w:lineRule="auto"/>
              <w:rPr>
                <w:rFonts w:ascii="Arial" w:eastAsia="Bradley Hand" w:hAnsi="Arial" w:cs="Arial"/>
                <w:color w:val="000000"/>
                <w:sz w:val="22"/>
                <w:szCs w:val="22"/>
              </w:rPr>
            </w:pPr>
            <w:r w:rsidRPr="009439D3">
              <w:rPr>
                <w:rFonts w:ascii="Arial" w:eastAsia="MS Mincho" w:hAnsi="Arial" w:cs="Arial"/>
                <w:color w:val="000000"/>
                <w:sz w:val="22"/>
                <w:szCs w:val="22"/>
              </w:rPr>
              <w:t>‖</w:t>
            </w:r>
            <w:r w:rsidRPr="009439D3">
              <w:rPr>
                <w:rFonts w:ascii="Arial" w:eastAsia="Times New Roman" w:hAnsi="Arial" w:cs="Arial"/>
                <w:color w:val="000000"/>
                <w:sz w:val="22"/>
                <w:szCs w:val="22"/>
              </w:rPr>
              <w:t>CD4 cell count cutoff was variable across trials</w:t>
            </w:r>
            <w:r w:rsidR="00375E17">
              <w:rPr>
                <w:rFonts w:ascii="Arial" w:eastAsia="Times New Roman" w:hAnsi="Arial" w:cs="Arial"/>
                <w:color w:val="000000"/>
                <w:sz w:val="22"/>
                <w:szCs w:val="22"/>
              </w:rPr>
              <w:t xml:space="preserve"> (d</w:t>
            </w:r>
            <w:r>
              <w:rPr>
                <w:rFonts w:ascii="Arial" w:eastAsia="Times New Roman" w:hAnsi="Arial" w:cs="Arial"/>
                <w:color w:val="000000"/>
                <w:sz w:val="22"/>
                <w:szCs w:val="22"/>
              </w:rPr>
              <w:t xml:space="preserve">escribed in </w:t>
            </w:r>
            <w:r w:rsidR="00375E17">
              <w:rPr>
                <w:rFonts w:ascii="Arial" w:eastAsia="Times New Roman" w:hAnsi="Arial" w:cs="Arial"/>
                <w:color w:val="000000"/>
                <w:sz w:val="22"/>
                <w:szCs w:val="22"/>
              </w:rPr>
              <w:t>Supplementary Table 2</w:t>
            </w:r>
            <w:r>
              <w:rPr>
                <w:rFonts w:ascii="Arial" w:eastAsia="Times New Roman" w:hAnsi="Arial" w:cs="Arial"/>
                <w:color w:val="000000"/>
                <w:sz w:val="22"/>
                <w:szCs w:val="22"/>
              </w:rPr>
              <w:t>)</w:t>
            </w:r>
            <w:r w:rsidRPr="009439D3">
              <w:rPr>
                <w:rFonts w:ascii="Arial" w:eastAsia="Times New Roman" w:hAnsi="Arial" w:cs="Arial"/>
                <w:color w:val="000000"/>
                <w:sz w:val="22"/>
                <w:szCs w:val="22"/>
              </w:rPr>
              <w:t xml:space="preserve">. CD4 cell counts </w:t>
            </w:r>
            <w:r>
              <w:rPr>
                <w:rFonts w:ascii="Arial" w:eastAsia="Times New Roman" w:hAnsi="Arial" w:cs="Arial"/>
                <w:color w:val="000000"/>
                <w:sz w:val="22"/>
                <w:szCs w:val="22"/>
              </w:rPr>
              <w:t xml:space="preserve">summary statistics </w:t>
            </w:r>
            <w:r w:rsidRPr="009439D3">
              <w:rPr>
                <w:rFonts w:ascii="Arial" w:eastAsia="Times New Roman" w:hAnsi="Arial" w:cs="Arial"/>
                <w:color w:val="000000"/>
                <w:sz w:val="22"/>
                <w:szCs w:val="22"/>
              </w:rPr>
              <w:t>was based only on study participants co-infected with HIV, but were missing for 79 HIV co-infected study participants.</w:t>
            </w:r>
            <w:r w:rsidRPr="009439D3">
              <w:rPr>
                <w:rFonts w:ascii="Arial" w:eastAsia="Times New Roman" w:hAnsi="Arial" w:cs="Arial"/>
                <w:color w:val="000000"/>
                <w:sz w:val="22"/>
                <w:szCs w:val="22"/>
              </w:rPr>
              <w:br/>
            </w:r>
            <w:r w:rsidRPr="009439D3">
              <w:rPr>
                <w:rFonts w:ascii="Arial" w:eastAsia="Bradley Hand" w:hAnsi="Arial" w:cs="Arial"/>
                <w:color w:val="000000"/>
                <w:sz w:val="22"/>
                <w:szCs w:val="22"/>
              </w:rPr>
              <w:t xml:space="preserve">** </w:t>
            </w:r>
            <w:r w:rsidRPr="009439D3">
              <w:rPr>
                <w:rFonts w:ascii="Arial" w:eastAsia="Times New Roman" w:hAnsi="Arial" w:cs="Arial"/>
                <w:color w:val="000000"/>
                <w:sz w:val="22"/>
                <w:szCs w:val="22"/>
              </w:rPr>
              <w:t xml:space="preserve">Cavitation status was missing for 200 study participants. </w:t>
            </w:r>
            <w:r w:rsidRPr="009439D3">
              <w:rPr>
                <w:rFonts w:ascii="Arial" w:eastAsia="PMingLiU" w:hAnsi="Arial" w:cs="Arial"/>
                <w:color w:val="000000"/>
                <w:sz w:val="22"/>
                <w:szCs w:val="22"/>
              </w:rPr>
              <w:br/>
            </w:r>
            <w:r w:rsidRPr="009439D3">
              <w:rPr>
                <w:rFonts w:ascii="Arial" w:hAnsi="Arial" w:cs="Arial"/>
                <w:sz w:val="22"/>
                <w:szCs w:val="22"/>
              </w:rPr>
              <w:t>††</w:t>
            </w:r>
            <w:r w:rsidRPr="009439D3">
              <w:rPr>
                <w:rFonts w:ascii="Arial" w:eastAsia="PMingLiU" w:hAnsi="Arial" w:cs="Arial"/>
                <w:color w:val="000000"/>
                <w:sz w:val="22"/>
                <w:szCs w:val="22"/>
              </w:rPr>
              <w:t xml:space="preserve"> </w:t>
            </w:r>
            <w:r w:rsidRPr="009439D3">
              <w:rPr>
                <w:rFonts w:ascii="Arial" w:eastAsia="Times New Roman" w:hAnsi="Arial" w:cs="Arial"/>
                <w:color w:val="000000"/>
                <w:sz w:val="22"/>
                <w:szCs w:val="22"/>
              </w:rPr>
              <w:t xml:space="preserve">Smear </w:t>
            </w:r>
            <w:r>
              <w:rPr>
                <w:rFonts w:ascii="Arial" w:eastAsia="Times New Roman" w:hAnsi="Arial" w:cs="Arial"/>
                <w:color w:val="000000"/>
                <w:sz w:val="22"/>
                <w:szCs w:val="22"/>
              </w:rPr>
              <w:t>grade</w:t>
            </w:r>
            <w:r w:rsidRPr="009439D3">
              <w:rPr>
                <w:rFonts w:ascii="Arial" w:eastAsia="Times New Roman" w:hAnsi="Arial" w:cs="Arial"/>
                <w:color w:val="000000"/>
                <w:sz w:val="22"/>
                <w:szCs w:val="22"/>
              </w:rPr>
              <w:t xml:space="preserve"> was based on clinical trial defined grading</w:t>
            </w:r>
            <w:r>
              <w:rPr>
                <w:rFonts w:ascii="Arial" w:eastAsia="Times New Roman" w:hAnsi="Arial" w:cs="Arial"/>
                <w:color w:val="000000"/>
                <w:sz w:val="22"/>
                <w:szCs w:val="22"/>
              </w:rPr>
              <w:t>, but readjusted so all data was on the same scale</w:t>
            </w:r>
            <w:r w:rsidRPr="009439D3">
              <w:rPr>
                <w:rFonts w:ascii="Arial" w:eastAsia="Times New Roman" w:hAnsi="Arial" w:cs="Arial"/>
                <w:color w:val="000000"/>
                <w:sz w:val="22"/>
                <w:szCs w:val="22"/>
              </w:rPr>
              <w:t xml:space="preserve">. Smear </w:t>
            </w:r>
            <w:r>
              <w:rPr>
                <w:rFonts w:ascii="Arial" w:eastAsia="Times New Roman" w:hAnsi="Arial" w:cs="Arial"/>
                <w:color w:val="000000"/>
                <w:sz w:val="22"/>
                <w:szCs w:val="22"/>
              </w:rPr>
              <w:t>grade</w:t>
            </w:r>
            <w:r w:rsidRPr="009439D3">
              <w:rPr>
                <w:rFonts w:ascii="Arial" w:eastAsia="Times New Roman" w:hAnsi="Arial" w:cs="Arial"/>
                <w:color w:val="000000"/>
                <w:sz w:val="22"/>
                <w:szCs w:val="22"/>
              </w:rPr>
              <w:t xml:space="preserve"> was missing for 43 study participants.</w:t>
            </w:r>
          </w:p>
        </w:tc>
      </w:tr>
    </w:tbl>
    <w:p w14:paraId="1E6A9E1D" w14:textId="77777777" w:rsidR="00BE1F60" w:rsidRDefault="00BE1F60" w:rsidP="00BE1F60">
      <w:pPr>
        <w:spacing w:line="480" w:lineRule="auto"/>
        <w:outlineLvl w:val="0"/>
        <w:rPr>
          <w:rFonts w:ascii="Arial" w:hAnsi="Arial" w:cs="Arial"/>
          <w:b/>
        </w:rPr>
      </w:pPr>
    </w:p>
    <w:p w14:paraId="73514406" w14:textId="77777777" w:rsidR="00BE1F60" w:rsidRDefault="00BE1F60">
      <w:pPr>
        <w:rPr>
          <w:rFonts w:ascii="Arial" w:hAnsi="Arial" w:cs="Arial"/>
          <w:b/>
        </w:rPr>
      </w:pPr>
      <w:r>
        <w:rPr>
          <w:rFonts w:ascii="Arial" w:hAnsi="Arial" w:cs="Arial"/>
          <w:b/>
        </w:rPr>
        <w:br w:type="page"/>
      </w:r>
    </w:p>
    <w:p w14:paraId="47DB2C97" w14:textId="7B40783A" w:rsidR="00BE1F60" w:rsidRDefault="00BE1F60" w:rsidP="00BE1F60">
      <w:pPr>
        <w:spacing w:line="480" w:lineRule="auto"/>
        <w:outlineLvl w:val="0"/>
        <w:rPr>
          <w:rFonts w:ascii="Arial" w:hAnsi="Arial" w:cs="Arial"/>
        </w:rPr>
      </w:pPr>
      <w:r>
        <w:rPr>
          <w:rFonts w:ascii="Arial" w:hAnsi="Arial" w:cs="Arial"/>
          <w:b/>
        </w:rPr>
        <w:lastRenderedPageBreak/>
        <w:t>Methods</w:t>
      </w:r>
    </w:p>
    <w:p w14:paraId="3E4A67B6" w14:textId="77777777" w:rsidR="00BE1F60" w:rsidRDefault="00BE1F60" w:rsidP="00BE1F60">
      <w:pPr>
        <w:spacing w:line="480" w:lineRule="auto"/>
        <w:outlineLvl w:val="0"/>
        <w:rPr>
          <w:rFonts w:ascii="Arial" w:hAnsi="Arial" w:cs="Arial"/>
          <w:b/>
        </w:rPr>
      </w:pPr>
      <w:r>
        <w:rPr>
          <w:rFonts w:ascii="Arial" w:hAnsi="Arial" w:cs="Arial"/>
          <w:b/>
        </w:rPr>
        <w:t xml:space="preserve">Study Design </w:t>
      </w:r>
    </w:p>
    <w:p w14:paraId="47797633" w14:textId="48595676" w:rsidR="00BE1F60" w:rsidRPr="00FD0033" w:rsidRDefault="00BE1F60" w:rsidP="00BE1F60">
      <w:pPr>
        <w:spacing w:line="480" w:lineRule="auto"/>
        <w:outlineLvl w:val="0"/>
        <w:rPr>
          <w:rFonts w:ascii="Arial" w:hAnsi="Arial"/>
          <w:b/>
        </w:rPr>
      </w:pPr>
      <w:r>
        <w:rPr>
          <w:rFonts w:ascii="Arial" w:hAnsi="Arial" w:cs="Arial"/>
        </w:rPr>
        <w:t xml:space="preserve">This study utilized individual patient data from </w:t>
      </w:r>
      <w:r w:rsidRPr="0086393D">
        <w:rPr>
          <w:rFonts w:ascii="Arial" w:hAnsi="Arial" w:cs="Arial"/>
          <w:color w:val="000000" w:themeColor="text1"/>
        </w:rPr>
        <w:t>four recent, international, randomized phase 3 trials (OFLOTUB, ReMOXTB, RIFAQUIN and DMID 01-009)</w:t>
      </w:r>
      <w:r>
        <w:rPr>
          <w:rFonts w:ascii="Arial" w:hAnsi="Arial" w:cs="Arial"/>
          <w:color w:val="000000" w:themeColor="text1"/>
        </w:rPr>
        <w:fldChar w:fldCharType="begin" w:fldLock="1"/>
      </w:r>
      <w:r>
        <w:rPr>
          <w:rFonts w:ascii="Arial" w:hAnsi="Arial" w:cs="Arial"/>
          <w:color w:val="000000" w:themeColor="text1"/>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color w:val="000000" w:themeColor="text1"/>
        </w:rPr>
        <w:fldChar w:fldCharType="separate"/>
      </w:r>
      <w:r w:rsidRPr="00B56E3B">
        <w:rPr>
          <w:rFonts w:ascii="Arial" w:hAnsi="Arial" w:cs="Arial"/>
          <w:noProof/>
          <w:color w:val="000000" w:themeColor="text1"/>
          <w:vertAlign w:val="superscript"/>
        </w:rPr>
        <w:t>1–3,9</w:t>
      </w:r>
      <w:r>
        <w:rPr>
          <w:rFonts w:ascii="Arial" w:hAnsi="Arial" w:cs="Arial"/>
          <w:color w:val="000000" w:themeColor="text1"/>
        </w:rPr>
        <w:fldChar w:fldCharType="end"/>
      </w:r>
      <w:r w:rsidRPr="0086393D">
        <w:rPr>
          <w:rFonts w:ascii="Arial" w:hAnsi="Arial" w:cs="Arial"/>
          <w:color w:val="000000" w:themeColor="text1"/>
        </w:rPr>
        <w:t xml:space="preserve"> that </w:t>
      </w:r>
      <w:r>
        <w:rPr>
          <w:rFonts w:ascii="Arial" w:hAnsi="Arial" w:cs="Arial"/>
        </w:rPr>
        <w:t>compared 4-month regimens to standard 6-month WHO and ATS/CDC/IDSA endorsed regimens for drug-susceptible pulmonary TB.</w:t>
      </w:r>
      <w:r>
        <w:rPr>
          <w:rFonts w:ascii="Arial" w:hAnsi="Arial" w:cs="Arial"/>
        </w:rPr>
        <w:fldChar w:fldCharType="begin" w:fldLock="1"/>
      </w:r>
      <w:r>
        <w:rPr>
          <w:rFonts w:ascii="Arial" w:hAnsi="Arial" w:cs="Arial"/>
        </w:rPr>
        <w:instrText>ADDIN CSL_CITATION { "citationItems" : [ { "id" : "ITEM-1", "itemData" : { "author" : [ { "dropping-particle" : "", "family" : "Geneva: World Health Organization", "given" : "", "non-dropping-particle" : "", "parse-names" : false, "suffix" : "" } ], "container-title" : "Licence: CC BY-NC_SA 3.0 IGO", "id" : "ITEM-1", "issued" : { "date-parts" : [ [ "2017" ] ] }, "title" : "Guidelines for treatment of drug-susceptible tuberculosis and patient care, 2017 update", "type" : "article-journal" }, "uris" : [ "http://www.mendeley.com/documents/?uuid=89c571ad-9e91-328b-bd6b-8b236fd55f9e" ] }, { "id" : "ITEM-2",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"ITEM-2",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"mendeley" : { "formattedCitation" : "&lt;sup&gt;4,5&lt;/sup&gt;", "plainTextFormattedCitation" : "4,5", "previouslyFormattedCitation" : "&lt;sup&gt;4,5&lt;/sup&gt;" }, "properties" : {  }, "schema" : "https://github.com/citation-style-language/schema/raw/master/csl-citation.json" }</w:instrText>
      </w:r>
      <w:r>
        <w:rPr>
          <w:rFonts w:ascii="Arial" w:hAnsi="Arial" w:cs="Arial"/>
        </w:rPr>
        <w:fldChar w:fldCharType="separate"/>
      </w:r>
      <w:r w:rsidRPr="001768ED">
        <w:rPr>
          <w:rFonts w:ascii="Arial" w:hAnsi="Arial" w:cs="Arial"/>
          <w:noProof/>
          <w:vertAlign w:val="superscript"/>
        </w:rPr>
        <w:t>4,5</w:t>
      </w:r>
      <w:r>
        <w:rPr>
          <w:rFonts w:ascii="Arial" w:hAnsi="Arial" w:cs="Arial"/>
        </w:rPr>
        <w:fldChar w:fldCharType="end"/>
      </w:r>
      <w:r>
        <w:rPr>
          <w:rFonts w:ascii="Arial" w:hAnsi="Arial" w:cs="Arial"/>
        </w:rPr>
        <w:t xml:space="preserve"> </w:t>
      </w:r>
      <w:r w:rsidRPr="00210D5C">
        <w:rPr>
          <w:rFonts w:ascii="Arial" w:hAnsi="Arial" w:cs="Arial"/>
        </w:rPr>
        <w:t>The OFLOTUB trial compared an experimental 4-month gatifloxacin based regimen to a 6-month standard regimen.</w:t>
      </w:r>
      <w:r w:rsidRPr="00210D5C">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"mendeley" : { "formattedCitation" : "&lt;sup&gt;1&lt;/sup&gt;", "plainTextFormattedCitation" : "1", "previouslyFormattedCitation" : "&lt;sup&gt;1&lt;/sup&gt;" }, "properties" : {  }, "schema" : "https://github.com/citation-style-language/schema/raw/master/csl-citation.json" }</w:instrText>
      </w:r>
      <w:r w:rsidRPr="00210D5C">
        <w:rPr>
          <w:rFonts w:ascii="Arial" w:hAnsi="Arial" w:cs="Arial"/>
        </w:rPr>
        <w:fldChar w:fldCharType="separate"/>
      </w:r>
      <w:r w:rsidRPr="00210D5C">
        <w:rPr>
          <w:rFonts w:ascii="Arial" w:hAnsi="Arial" w:cs="Arial"/>
          <w:noProof/>
          <w:vertAlign w:val="superscript"/>
        </w:rPr>
        <w:t>1</w:t>
      </w:r>
      <w:r w:rsidRPr="00210D5C">
        <w:rPr>
          <w:rFonts w:ascii="Arial" w:hAnsi="Arial" w:cs="Arial"/>
        </w:rPr>
        <w:fldChar w:fldCharType="end"/>
      </w:r>
      <w:r w:rsidRPr="00210D5C">
        <w:rPr>
          <w:rFonts w:ascii="Arial" w:hAnsi="Arial" w:cs="Arial"/>
        </w:rPr>
        <w:t xml:space="preserve"> The REMoxTB trial compared two experimental 4-month moxifloxacin based regimens to a 6-month standard regimen.</w:t>
      </w:r>
      <w:r w:rsidRPr="00210D5C">
        <w:rPr>
          <w:rFonts w:ascii="Arial" w:hAnsi="Arial" w:cs="Arial"/>
        </w:rPr>
        <w:fldChar w:fldCharType="begin" w:fldLock="1"/>
      </w:r>
      <w:r w:rsidRPr="00210D5C">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sidRPr="00210D5C">
        <w:rPr>
          <w:rFonts w:ascii="Arial" w:hAnsi="Arial" w:cs="Arial"/>
        </w:rPr>
        <w:fldChar w:fldCharType="separate"/>
      </w:r>
      <w:r w:rsidRPr="00210D5C">
        <w:rPr>
          <w:rFonts w:ascii="Arial" w:hAnsi="Arial" w:cs="Arial"/>
          <w:noProof/>
          <w:vertAlign w:val="superscript"/>
        </w:rPr>
        <w:t>2</w:t>
      </w:r>
      <w:r w:rsidRPr="00210D5C">
        <w:rPr>
          <w:rFonts w:ascii="Arial" w:hAnsi="Arial" w:cs="Arial"/>
        </w:rPr>
        <w:fldChar w:fldCharType="end"/>
      </w:r>
      <w:r w:rsidRPr="00210D5C">
        <w:rPr>
          <w:rFonts w:ascii="Arial" w:hAnsi="Arial" w:cs="Arial"/>
        </w:rPr>
        <w:t xml:space="preserve"> The RIFAQUIN trial compared experimental 4-month or 6-month moxifloxacin and high-dose rifapentine based intermittent regimens to a 6-month standard regimen.</w:t>
      </w:r>
      <w:r w:rsidRPr="00210D5C">
        <w:rPr>
          <w:rFonts w:ascii="Arial" w:hAnsi="Arial" w:cs="Arial"/>
        </w:rPr>
        <w:fldChar w:fldCharType="begin" w:fldLock="1"/>
      </w:r>
      <w:r w:rsidRPr="00210D5C">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"&lt;sup&gt;3&lt;/sup&gt;", "plainTextFormattedCitation" : "3", "previouslyFormattedCitation" : "&lt;sup&gt;3&lt;/sup&gt;" }, "properties" : {  }, "schema" : "https://github.com/citation-style-language/schema/raw/master/csl-citation.json" }</w:instrText>
      </w:r>
      <w:r w:rsidRPr="00210D5C">
        <w:rPr>
          <w:rFonts w:ascii="Arial" w:hAnsi="Arial" w:cs="Arial"/>
        </w:rPr>
        <w:fldChar w:fldCharType="separate"/>
      </w:r>
      <w:r w:rsidRPr="00210D5C">
        <w:rPr>
          <w:rFonts w:ascii="Arial" w:hAnsi="Arial" w:cs="Arial"/>
          <w:noProof/>
          <w:vertAlign w:val="superscript"/>
        </w:rPr>
        <w:t>3</w:t>
      </w:r>
      <w:r w:rsidRPr="00210D5C">
        <w:rPr>
          <w:rFonts w:ascii="Arial" w:hAnsi="Arial" w:cs="Arial"/>
        </w:rPr>
        <w:fldChar w:fldCharType="end"/>
      </w:r>
      <w:r w:rsidRPr="00210D5C">
        <w:rPr>
          <w:rFonts w:ascii="Arial" w:hAnsi="Arial" w:cs="Arial"/>
        </w:rPr>
        <w:t xml:space="preserve"> A fourth independent TB treatment-shortening trial sponsored by the National Institute of Allergy and Infectious Diseases (NIAID) and conducted by the NIH-funded Tuberculosis Research Unit compared a 4-month standard regimen (with no fluoroquinolone) to a 6-month standard regimen in adults with non-cavitary disease and 2-month culture negative status (DMID 01-009, NCT00130247).</w:t>
      </w:r>
      <w:r w:rsidRPr="00210D5C">
        <w:rPr>
          <w:rFonts w:ascii="Arial" w:hAnsi="Arial" w:cs="Arial"/>
        </w:rPr>
        <w:fldChar w:fldCharType="begin" w:fldLock="1"/>
      </w:r>
      <w:r>
        <w:rPr>
          <w:rFonts w:ascii="Arial" w:hAnsi="Arial" w:cs="Arial"/>
        </w:rPr>
        <w:instrText>ADDIN CSL_CITATION { "citationItems" : [ { "id" : "ITEM-1",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"ITEM-1",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"&lt;sup&gt;9&lt;/sup&gt;", "plainTextFormattedCitation" : "9", "previouslyFormattedCitation" : "&lt;sup&gt;9&lt;/sup&gt;" }, "properties" : {  }, "schema" : "https://github.com/citation-style-language/schema/raw/master/csl-citation.json" }</w:instrText>
      </w:r>
      <w:r w:rsidRPr="00210D5C">
        <w:rPr>
          <w:rFonts w:ascii="Arial" w:hAnsi="Arial" w:cs="Arial"/>
        </w:rPr>
        <w:fldChar w:fldCharType="separate"/>
      </w:r>
      <w:r w:rsidRPr="0028371A">
        <w:rPr>
          <w:rFonts w:ascii="Arial" w:hAnsi="Arial" w:cs="Arial"/>
          <w:noProof/>
          <w:vertAlign w:val="superscript"/>
        </w:rPr>
        <w:t>9</w:t>
      </w:r>
      <w:r w:rsidRPr="00210D5C">
        <w:rPr>
          <w:rFonts w:ascii="Arial" w:hAnsi="Arial" w:cs="Arial"/>
        </w:rPr>
        <w:fldChar w:fldCharType="end"/>
      </w:r>
      <w:r w:rsidRPr="00210D5C">
        <w:rPr>
          <w:rFonts w:ascii="Arial" w:hAnsi="Arial" w:cs="Arial"/>
        </w:rPr>
        <w:t xml:space="preserve">  The pooled analyses are focused on data from participants receiving the 4-month experimental regimens and 6-month standard regimens, and do not include the once-weekly (in continuation phase) fluoroquinolone 6-month experimental regimen in the RIFAQUIN trial. </w:t>
      </w:r>
      <w:r>
        <w:rPr>
          <w:rFonts w:ascii="Arial" w:hAnsi="Arial" w:cs="Arial"/>
        </w:rPr>
        <w:t>The three trials that compared four fluoroquinolone-based tuberculosis regimens to a 6-month standard regimen provided data for identifying markers and models for risk stratification, while the DMID01-009 trial data were used for external validation.</w:t>
      </w:r>
      <w:r w:rsidRPr="0090442F">
        <w:rPr>
          <w:rFonts w:ascii="Arial" w:hAnsi="Arial" w:cs="Arial"/>
          <w:color w:val="FF0000"/>
        </w:rPr>
        <w:t xml:space="preserve"> </w:t>
      </w:r>
      <w:r>
        <w:rPr>
          <w:rFonts w:ascii="Arial" w:hAnsi="Arial" w:cs="Arial"/>
        </w:rPr>
        <w:t>We defined the experimental group as all study participants allocated to any of the 4-month experimental regimens and the control group as all study participants allocated to the 6-month standard regimen.  The protocol for each study was reviewed and approved by ethics committies and regulatory committees described in the original publications and all patients provided written informed consent.</w:t>
      </w:r>
      <w:r>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rPr>
        <w:fldChar w:fldCharType="separate"/>
      </w:r>
      <w:r w:rsidRPr="006F06F6">
        <w:rPr>
          <w:rFonts w:ascii="Arial" w:hAnsi="Arial" w:cs="Arial"/>
          <w:noProof/>
          <w:vertAlign w:val="superscript"/>
        </w:rPr>
        <w:t>1–3,9</w:t>
      </w:r>
      <w:r>
        <w:rPr>
          <w:rFonts w:ascii="Arial" w:hAnsi="Arial" w:cs="Arial"/>
        </w:rPr>
        <w:fldChar w:fldCharType="end"/>
      </w:r>
      <w:r>
        <w:rPr>
          <w:rFonts w:ascii="Arial" w:hAnsi="Arial" w:cs="Arial"/>
        </w:rPr>
        <w:t xml:space="preserve"> </w:t>
      </w:r>
    </w:p>
    <w:p w14:paraId="19B86E80" w14:textId="77777777" w:rsidR="00BE1F60" w:rsidRDefault="00BE1F60" w:rsidP="00BE1F60">
      <w:pPr>
        <w:spacing w:line="480" w:lineRule="auto"/>
        <w:outlineLvl w:val="0"/>
        <w:rPr>
          <w:rFonts w:ascii="Arial" w:hAnsi="Arial" w:cs="Arial"/>
          <w:b/>
        </w:rPr>
      </w:pPr>
    </w:p>
    <w:p w14:paraId="5373F486" w14:textId="77777777" w:rsidR="00BE1F60" w:rsidRDefault="00BE1F60" w:rsidP="00BE1F60">
      <w:pPr>
        <w:spacing w:line="480" w:lineRule="auto"/>
        <w:outlineLvl w:val="0"/>
        <w:rPr>
          <w:rFonts w:ascii="Arial" w:hAnsi="Arial" w:cs="Arial"/>
          <w:b/>
        </w:rPr>
      </w:pPr>
      <w:r>
        <w:rPr>
          <w:rFonts w:ascii="Arial" w:hAnsi="Arial" w:cs="Arial"/>
          <w:b/>
        </w:rPr>
        <w:t xml:space="preserve">Data acquisition, management and harmonization </w:t>
      </w:r>
    </w:p>
    <w:p w14:paraId="22789239" w14:textId="77777777" w:rsidR="00BE1F60" w:rsidRDefault="00BE1F60" w:rsidP="00BE1F60">
      <w:pPr>
        <w:spacing w:line="480" w:lineRule="auto"/>
        <w:rPr>
          <w:rFonts w:ascii="Arial" w:hAnsi="Arial" w:cs="Arial"/>
        </w:rPr>
      </w:pPr>
      <w:r>
        <w:rPr>
          <w:rFonts w:ascii="Arial" w:hAnsi="Arial" w:cs="Arial"/>
        </w:rPr>
        <w:lastRenderedPageBreak/>
        <w:t xml:space="preserve">Integrated and </w:t>
      </w:r>
      <w:r w:rsidRPr="0086393D">
        <w:rPr>
          <w:rFonts w:ascii="Arial" w:hAnsi="Arial" w:cs="Arial"/>
          <w:color w:val="000000" w:themeColor="text1"/>
        </w:rPr>
        <w:t xml:space="preserve">standardized individual level data in each of the trials were obtained through the Platform for Aggregation of Clinical TB Studies (TB-PACTS; </w:t>
      </w:r>
      <w:hyperlink r:id="rId8" w:history="1">
        <w:r w:rsidRPr="00B4749C">
          <w:rPr>
            <w:rStyle w:val="Hyperlink"/>
            <w:rFonts w:ascii="Arial" w:hAnsi="Arial" w:cs="Arial"/>
          </w:rPr>
          <w:t>https://c-path.org/programs/tb-pacts/</w:t>
        </w:r>
      </w:hyperlink>
      <w:r w:rsidRPr="0086393D">
        <w:rPr>
          <w:rFonts w:ascii="Arial" w:hAnsi="Arial" w:cs="Arial"/>
          <w:color w:val="000000" w:themeColor="text1"/>
        </w:rPr>
        <w:t>)</w:t>
      </w:r>
      <w:r>
        <w:rPr>
          <w:rFonts w:ascii="Arial" w:hAnsi="Arial" w:cs="Arial"/>
          <w:color w:val="000000" w:themeColor="text1"/>
        </w:rPr>
        <w:t xml:space="preserve">. </w:t>
      </w:r>
      <w:r w:rsidRPr="006E573D">
        <w:rPr>
          <w:rFonts w:ascii="Arial" w:hAnsi="Arial" w:cs="Arial"/>
        </w:rPr>
        <w:t>Data</w:t>
      </w:r>
      <w:r w:rsidRPr="003D1073">
        <w:rPr>
          <w:rFonts w:ascii="Arial" w:hAnsi="Arial" w:cs="Arial"/>
        </w:rPr>
        <w:t xml:space="preserve"> sharing </w:t>
      </w:r>
      <w:r>
        <w:rPr>
          <w:rFonts w:ascii="Arial" w:hAnsi="Arial" w:cs="Arial"/>
        </w:rPr>
        <w:t>was directed</w:t>
      </w:r>
      <w:r w:rsidRPr="003D1073">
        <w:rPr>
          <w:rFonts w:ascii="Arial" w:hAnsi="Arial" w:cs="Arial"/>
        </w:rPr>
        <w:t xml:space="preserve"> by comprehensive Data Contribution Agreements with sponsors</w:t>
      </w:r>
      <w:r w:rsidRPr="0086393D">
        <w:rPr>
          <w:rFonts w:ascii="Arial" w:hAnsi="Arial" w:cs="Arial"/>
          <w:color w:val="000000" w:themeColor="text1"/>
        </w:rPr>
        <w:t>.</w:t>
      </w:r>
      <w:r>
        <w:rPr>
          <w:rFonts w:ascii="Arial" w:hAnsi="Arial" w:cs="Arial"/>
          <w:color w:val="000000" w:themeColor="text1"/>
        </w:rPr>
        <w:t xml:space="preserve"> </w:t>
      </w:r>
      <w:r w:rsidRPr="00AC62A7">
        <w:rPr>
          <w:rFonts w:ascii="Arial" w:hAnsi="Arial" w:cs="Arial"/>
        </w:rPr>
        <w:t xml:space="preserve">Before data were pooled, we compared trial protocols, case report forms, and data dictionaries to harmonize databases. Data queries were resolved through direct consultations with each trial team and Critical Path data managers. After pooling data, data inputs were checked for missing or duplicated values, for consistency and plausibility. Final dataset specification is available in Supplementary Table 1 and </w:t>
      </w:r>
      <w:r>
        <w:rPr>
          <w:rFonts w:ascii="Arial" w:hAnsi="Arial" w:cs="Arial"/>
        </w:rPr>
        <w:t xml:space="preserve">Supplementary </w:t>
      </w:r>
      <w:r w:rsidRPr="00AC62A7">
        <w:rPr>
          <w:rFonts w:ascii="Arial" w:hAnsi="Arial" w:cs="Arial"/>
        </w:rPr>
        <w:t xml:space="preserve">Table 2, and access to original databases is available through TB-PACTS.  </w:t>
      </w:r>
      <w:r w:rsidRPr="0086393D">
        <w:rPr>
          <w:rFonts w:ascii="Arial" w:hAnsi="Arial" w:cs="Arial"/>
          <w:color w:val="000000" w:themeColor="text1"/>
        </w:rPr>
        <w:t xml:space="preserve">Data from the DMID 01-009 were obtained </w:t>
      </w:r>
      <w:r>
        <w:rPr>
          <w:rFonts w:ascii="Arial" w:hAnsi="Arial" w:cs="Arial"/>
        </w:rPr>
        <w:t xml:space="preserve">directly from the sponsor. Further information on data acquisition and availability is described in the Life Sciences Reporting Summary. </w:t>
      </w:r>
    </w:p>
    <w:p w14:paraId="068E4A82" w14:textId="77777777" w:rsidR="00BE1F60" w:rsidRDefault="00BE1F60" w:rsidP="00BE1F60">
      <w:pPr>
        <w:spacing w:line="480" w:lineRule="auto"/>
        <w:outlineLvl w:val="0"/>
        <w:rPr>
          <w:rFonts w:ascii="Arial" w:hAnsi="Arial" w:cs="Arial"/>
          <w:b/>
        </w:rPr>
      </w:pPr>
    </w:p>
    <w:p w14:paraId="1BCD20BD" w14:textId="77777777" w:rsidR="00BE1F60" w:rsidRDefault="00BE1F60" w:rsidP="00BE1F60">
      <w:pPr>
        <w:spacing w:line="480" w:lineRule="auto"/>
        <w:outlineLvl w:val="0"/>
        <w:rPr>
          <w:rFonts w:ascii="Arial" w:hAnsi="Arial" w:cs="Arial"/>
          <w:b/>
        </w:rPr>
      </w:pPr>
      <w:r>
        <w:rPr>
          <w:rFonts w:ascii="Arial" w:hAnsi="Arial" w:cs="Arial"/>
          <w:b/>
        </w:rPr>
        <w:t>Efficacy outcomes</w:t>
      </w:r>
    </w:p>
    <w:p w14:paraId="276DBF63" w14:textId="2656D70B" w:rsidR="00BE1F60" w:rsidRDefault="00BE1F60" w:rsidP="00BE1F60">
      <w:pPr>
        <w:spacing w:line="480" w:lineRule="auto"/>
        <w:rPr>
          <w:rFonts w:ascii="Arial" w:hAnsi="Arial" w:cs="Arial"/>
        </w:rPr>
      </w:pPr>
      <w:r>
        <w:rPr>
          <w:rFonts w:ascii="Arial" w:hAnsi="Arial" w:cs="Arial"/>
        </w:rPr>
        <w:t xml:space="preserve">The primary efficacy endpoint of the pooled analysis was time to an unfavorable outcome for a maximum of  24 months after start of treatment (participants in the OFLOTUB study were followed until 24 months after start of treatment and RIFAQUIN and REMox for 18 months), as defined according to each trial protocol and described in the original publications. </w:t>
      </w:r>
      <w:r w:rsidRPr="0025134E">
        <w:rPr>
          <w:rFonts w:ascii="Arial" w:hAnsi="Arial" w:cs="Arial"/>
        </w:rPr>
        <w:t>Trial-specific definitions of unfavorable outcome were broadly similar but included some dif</w:t>
      </w:r>
      <w:r>
        <w:rPr>
          <w:rFonts w:ascii="Arial" w:hAnsi="Arial" w:cs="Arial"/>
        </w:rPr>
        <w:t xml:space="preserve">ferences, which are outlined in Supplementary Table 1. </w:t>
      </w:r>
      <w:r w:rsidRPr="0025134E">
        <w:rPr>
          <w:rFonts w:ascii="Arial" w:hAnsi="Arial" w:cs="Arial"/>
        </w:rPr>
        <w:t xml:space="preserve"> </w:t>
      </w:r>
      <w:r w:rsidRPr="006675B2">
        <w:rPr>
          <w:rFonts w:ascii="Arial" w:hAnsi="Arial" w:cs="Arial"/>
        </w:rPr>
        <w:t>For example, reinfections confirmed by mycobacterial interspersed repetitive unit (MIRU) typing were excluded from the composite definition of unfavorable outcome in the primary analysis of the REMoxTB and RIFAQUIN trials, whereas they were included in the composite definition of unfavorable outcome in the primary analysis of the OFLOTUB trial. Sensitivity analyses were performed to evaluate the inclusion of all MIRU-confirmed reinfections, classified as unfavorable (</w:t>
      </w:r>
      <w:r>
        <w:rPr>
          <w:rFonts w:ascii="Arial" w:hAnsi="Arial" w:cs="Arial"/>
        </w:rPr>
        <w:t>Supplementary Table 11</w:t>
      </w:r>
      <w:r w:rsidRPr="006675B2">
        <w:rPr>
          <w:rFonts w:ascii="Arial" w:hAnsi="Arial" w:cs="Arial"/>
        </w:rPr>
        <w:t>) or favorable, or completely removed from the analysis.</w:t>
      </w:r>
      <w:r>
        <w:rPr>
          <w:rFonts w:ascii="Arial" w:hAnsi="Arial" w:cs="Arial"/>
        </w:rPr>
        <w:t xml:space="preserve"> The secondary efficacy outcome </w:t>
      </w:r>
      <w:r w:rsidRPr="0031708C">
        <w:rPr>
          <w:rFonts w:ascii="Arial" w:hAnsi="Arial" w:cs="Arial"/>
        </w:rPr>
        <w:t>was</w:t>
      </w:r>
      <w:r>
        <w:rPr>
          <w:rFonts w:ascii="Arial" w:hAnsi="Arial" w:cs="Arial"/>
        </w:rPr>
        <w:t xml:space="preserve"> the non-parametric Kaplan-Meier estimate of unfavorable outcome at 24 months after start of treatment. </w:t>
      </w:r>
    </w:p>
    <w:p w14:paraId="385412CE" w14:textId="77777777" w:rsidR="00BE1F60" w:rsidRDefault="00BE1F60" w:rsidP="00BE1F60">
      <w:pPr>
        <w:spacing w:line="480" w:lineRule="auto"/>
        <w:outlineLvl w:val="0"/>
        <w:rPr>
          <w:rFonts w:ascii="Arial" w:hAnsi="Arial" w:cs="Arial"/>
          <w:b/>
        </w:rPr>
      </w:pPr>
    </w:p>
    <w:p w14:paraId="0C623A83" w14:textId="77777777" w:rsidR="00BE1F60" w:rsidRDefault="00BE1F60" w:rsidP="00BE1F60">
      <w:pPr>
        <w:spacing w:line="480" w:lineRule="auto"/>
        <w:outlineLvl w:val="0"/>
        <w:rPr>
          <w:rFonts w:ascii="Arial" w:hAnsi="Arial" w:cs="Arial"/>
          <w:b/>
        </w:rPr>
      </w:pPr>
      <w:r>
        <w:rPr>
          <w:rFonts w:ascii="Arial" w:hAnsi="Arial" w:cs="Arial"/>
          <w:b/>
        </w:rPr>
        <w:lastRenderedPageBreak/>
        <w:t>Baseline Predictors</w:t>
      </w:r>
    </w:p>
    <w:p w14:paraId="2F6B669E" w14:textId="6C84833B" w:rsidR="00BE1F60" w:rsidRDefault="00BE1F60" w:rsidP="00BE1F60">
      <w:pPr>
        <w:spacing w:line="480" w:lineRule="auto"/>
        <w:rPr>
          <w:rFonts w:ascii="Arial" w:hAnsi="Arial" w:cs="Arial"/>
        </w:rPr>
      </w:pPr>
      <w:r>
        <w:rPr>
          <w:rFonts w:ascii="Arial" w:hAnsi="Arial" w:cs="Arial"/>
        </w:rPr>
        <w:t xml:space="preserve">The primary analysis set included baseline predictors, which were missing in no more than 10% of participants: age, race, body mass index (BMI), sex, presence of cavitation on chest radiograph and smear grade (Supplementary Table 2). </w:t>
      </w:r>
      <w:r w:rsidRPr="00AC62A7">
        <w:rPr>
          <w:rFonts w:ascii="Arial" w:hAnsi="Arial" w:cs="Arial"/>
        </w:rPr>
        <w:t xml:space="preserve">Weight was also considered for inclusion in the primary analysis but ultimately was not included due to its moderate correlation with body mass index (BMI, Spearman coefficient 0.74, Supplementary Figure </w:t>
      </w:r>
      <w:r>
        <w:rPr>
          <w:rFonts w:ascii="Arial" w:hAnsi="Arial" w:cs="Arial"/>
        </w:rPr>
        <w:t>3</w:t>
      </w:r>
      <w:r w:rsidRPr="00AC62A7">
        <w:rPr>
          <w:rFonts w:ascii="Arial" w:hAnsi="Arial" w:cs="Arial"/>
        </w:rPr>
        <w:t>)</w:t>
      </w:r>
      <w:r w:rsidRPr="00CA0C73">
        <w:rPr>
          <w:rFonts w:ascii="Arial" w:hAnsi="Arial" w:cs="Arial"/>
        </w:rPr>
        <w:t>.</w:t>
      </w:r>
      <w:r>
        <w:rPr>
          <w:rFonts w:ascii="Arial" w:hAnsi="Arial" w:cs="Arial"/>
        </w:rPr>
        <w:t xml:space="preserve"> No major covariate imputation was done,</w:t>
      </w:r>
      <w:r w:rsidRPr="009439D3">
        <w:rPr>
          <w:rFonts w:ascii="Arial" w:hAnsi="Arial" w:cs="Arial"/>
        </w:rPr>
        <w:t xml:space="preserve"> </w:t>
      </w:r>
      <w:r>
        <w:rPr>
          <w:rFonts w:ascii="Arial" w:hAnsi="Arial" w:cs="Arial"/>
        </w:rPr>
        <w:t>with two exceptions</w:t>
      </w:r>
      <w:r>
        <w:rPr>
          <w:rStyle w:val="CommentReference"/>
        </w:rPr>
        <w:t xml:space="preserve">, </w:t>
      </w:r>
      <w:r w:rsidRPr="00CA0C73">
        <w:rPr>
          <w:rFonts w:ascii="Arial" w:hAnsi="Arial" w:cs="Arial"/>
        </w:rPr>
        <w:t xml:space="preserve">: </w:t>
      </w:r>
      <w:r w:rsidRPr="00AC62A7">
        <w:rPr>
          <w:rFonts w:ascii="Arial" w:hAnsi="Arial" w:cs="Arial"/>
        </w:rPr>
        <w:t>(1) black race was assigned for all participants in the OFLOTUB trial, in which race information was not available, given that all OFLOTUB sites were in Africa and similar demographic characteristics were observed in other studies at their African sites (majority black);  (2) median height for females and males of available data was used for 291 participants with missing height to calculate BMI, defined as the weight in kilograms divided by the squared height in meters</w:t>
      </w:r>
      <w:r>
        <w:rPr>
          <w:rFonts w:ascii="Arial" w:hAnsi="Arial" w:cs="Arial"/>
        </w:rPr>
        <w:t xml:space="preserve"> (additional details available in Supplementary Table 2). </w:t>
      </w:r>
      <w:r w:rsidRPr="00CA0C73">
        <w:rPr>
          <w:rFonts w:ascii="Arial" w:hAnsi="Arial" w:cs="Arial"/>
        </w:rPr>
        <w:t>Smear grading  was specific</w:t>
      </w:r>
      <w:r w:rsidRPr="006675B2">
        <w:rPr>
          <w:rFonts w:ascii="Arial" w:hAnsi="Arial" w:cs="Arial"/>
        </w:rPr>
        <w:t xml:space="preserve"> for each microscopy method, each study, and, in the RIFAQUIN trial, each study center; described in study protocols and lab manuals</w:t>
      </w:r>
      <w:r>
        <w:rPr>
          <w:rFonts w:ascii="Arial" w:hAnsi="Arial" w:cs="Arial"/>
        </w:rPr>
        <w:t>.</w:t>
      </w:r>
      <w:r>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rPr>
        <w:fldChar w:fldCharType="separate"/>
      </w:r>
      <w:r w:rsidRPr="0028371A">
        <w:rPr>
          <w:rFonts w:ascii="Arial" w:hAnsi="Arial" w:cs="Arial"/>
          <w:noProof/>
          <w:vertAlign w:val="superscript"/>
        </w:rPr>
        <w:t>1–3,9</w:t>
      </w:r>
      <w:r>
        <w:rPr>
          <w:rFonts w:ascii="Arial" w:hAnsi="Arial" w:cs="Arial"/>
        </w:rPr>
        <w:fldChar w:fldCharType="end"/>
      </w:r>
      <w:r>
        <w:rPr>
          <w:rFonts w:ascii="Arial" w:hAnsi="Arial" w:cs="Arial"/>
        </w:rPr>
        <w:t xml:space="preserve"> </w:t>
      </w:r>
      <w:r w:rsidRPr="00F8436B">
        <w:rPr>
          <w:rFonts w:ascii="Arial" w:hAnsi="Arial" w:cs="Arial"/>
        </w:rPr>
        <w:t xml:space="preserve">RIFAQUIN and OFLOTUB trials reported smear grade using a negative, 1+, 2+, and 3+ system, while REMoxTB and the validation study reported smear grade using a 1+, 2+, 3+ and 4+ system. A conversion chart available in the REMoxTB trial lab manual was used to </w:t>
      </w:r>
      <w:r>
        <w:rPr>
          <w:rFonts w:ascii="Arial" w:hAnsi="Arial" w:cs="Arial"/>
        </w:rPr>
        <w:t xml:space="preserve">synchronize </w:t>
      </w:r>
      <w:r w:rsidRPr="00F8436B">
        <w:rPr>
          <w:rFonts w:ascii="Arial" w:hAnsi="Arial" w:cs="Arial"/>
        </w:rPr>
        <w:t>all smear data to the same grading scale.</w:t>
      </w:r>
      <w:r>
        <w:rPr>
          <w:rFonts w:ascii="Arial" w:hAnsi="Arial" w:cs="Arial"/>
        </w:rPr>
        <w:fldChar w:fldCharType="begin" w:fldLock="1"/>
      </w:r>
      <w:r>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Pr>
          <w:rFonts w:ascii="Arial" w:hAnsi="Arial" w:cs="Arial"/>
        </w:rPr>
        <w:fldChar w:fldCharType="separate"/>
      </w:r>
      <w:r w:rsidRPr="00A23830">
        <w:rPr>
          <w:rFonts w:ascii="Arial" w:hAnsi="Arial" w:cs="Arial"/>
          <w:noProof/>
          <w:vertAlign w:val="superscript"/>
        </w:rPr>
        <w:t>2</w:t>
      </w:r>
      <w:r>
        <w:rPr>
          <w:rFonts w:ascii="Arial" w:hAnsi="Arial" w:cs="Arial"/>
        </w:rPr>
        <w:fldChar w:fldCharType="end"/>
      </w:r>
      <w:r w:rsidRPr="00F8436B">
        <w:rPr>
          <w:rFonts w:ascii="Arial" w:hAnsi="Arial" w:cs="Arial"/>
        </w:rPr>
        <w:t xml:space="preserve"> Additional patient characteristics (smoking, cough grade, other radiographic measures) were considered but not included in the primary analysis due to large proportions of missing data (&gt;10%, </w:t>
      </w:r>
      <w:r>
        <w:rPr>
          <w:rFonts w:ascii="Arial" w:hAnsi="Arial" w:cs="Arial"/>
        </w:rPr>
        <w:t>Supplementary Table 2</w:t>
      </w:r>
      <w:r w:rsidRPr="00F8436B">
        <w:rPr>
          <w:rFonts w:ascii="Arial" w:hAnsi="Arial" w:cs="Arial"/>
        </w:rPr>
        <w:t>).</w:t>
      </w:r>
    </w:p>
    <w:p w14:paraId="464C89A0" w14:textId="77777777" w:rsidR="00BE1F60" w:rsidRDefault="00BE1F60" w:rsidP="00BE1F60">
      <w:pPr>
        <w:spacing w:line="480" w:lineRule="auto"/>
        <w:outlineLvl w:val="0"/>
        <w:rPr>
          <w:rFonts w:ascii="Arial" w:hAnsi="Arial" w:cs="Arial"/>
          <w:b/>
        </w:rPr>
      </w:pPr>
    </w:p>
    <w:p w14:paraId="01488AE2" w14:textId="77777777" w:rsidR="00BE1F60" w:rsidRDefault="00BE1F60" w:rsidP="00BE1F60">
      <w:pPr>
        <w:spacing w:line="480" w:lineRule="auto"/>
        <w:outlineLvl w:val="0"/>
        <w:rPr>
          <w:rFonts w:ascii="Arial" w:hAnsi="Arial" w:cs="Arial"/>
          <w:b/>
        </w:rPr>
      </w:pPr>
      <w:r>
        <w:rPr>
          <w:rFonts w:ascii="Arial" w:hAnsi="Arial" w:cs="Arial"/>
          <w:b/>
        </w:rPr>
        <w:t>On-treatment predictors</w:t>
      </w:r>
    </w:p>
    <w:p w14:paraId="5704A5B7" w14:textId="32AB5E27" w:rsidR="00BE1F60" w:rsidRPr="00996D79" w:rsidRDefault="00BE1F60" w:rsidP="00BE1F60">
      <w:pPr>
        <w:spacing w:line="480" w:lineRule="auto"/>
        <w:rPr>
          <w:rFonts w:ascii="Arial" w:hAnsi="Arial" w:cs="Arial"/>
        </w:rPr>
      </w:pPr>
      <w:r>
        <w:rPr>
          <w:rFonts w:ascii="Arial" w:hAnsi="Arial" w:cs="Arial"/>
        </w:rPr>
        <w:t xml:space="preserve">On-treatment culture time-point universally applied in all trials was month-two culture status on Lowenstein-Jensen (LJ) solid medium or in liquid medium using the mycobacteria growth indicator tube (MGIT) system.  </w:t>
      </w:r>
      <w:r w:rsidRPr="00F8436B">
        <w:rPr>
          <w:rFonts w:ascii="Arial" w:hAnsi="Arial" w:cs="Arial"/>
        </w:rPr>
        <w:t>Culture positivity on either media was used for analyses</w:t>
      </w:r>
      <w:r>
        <w:rPr>
          <w:rFonts w:ascii="Arial" w:hAnsi="Arial" w:cs="Arial"/>
        </w:rPr>
        <w:t>,</w:t>
      </w:r>
      <w:r w:rsidRPr="00F8436B">
        <w:rPr>
          <w:rFonts w:ascii="Arial" w:hAnsi="Arial" w:cs="Arial"/>
        </w:rPr>
        <w:t xml:space="preserve"> with preference for solid culture if available. Univariate Cox proportional hazard analysis for merged MGIT and LJ culture data (as described above), MGIT data only, and LJ data only showed similar results in each treatment </w:t>
      </w:r>
      <w:r w:rsidRPr="00F8436B">
        <w:rPr>
          <w:rFonts w:ascii="Arial" w:hAnsi="Arial" w:cs="Arial"/>
        </w:rPr>
        <w:lastRenderedPageBreak/>
        <w:t>group (</w:t>
      </w:r>
      <w:r>
        <w:rPr>
          <w:rFonts w:ascii="Arial" w:hAnsi="Arial" w:cs="Arial"/>
        </w:rPr>
        <w:t>Supplemental Table 12</w:t>
      </w:r>
      <w:r w:rsidRPr="00F8436B">
        <w:rPr>
          <w:rFonts w:ascii="Arial" w:hAnsi="Arial" w:cs="Arial"/>
        </w:rPr>
        <w:t xml:space="preserve">). </w:t>
      </w:r>
      <w:r>
        <w:rPr>
          <w:rFonts w:ascii="Arial" w:hAnsi="Arial" w:cs="Arial"/>
        </w:rPr>
        <w:t xml:space="preserve">Treatment adherence was calculated as the number of days that doses were taken divided by the prescribed number of days. For participants with an unfavorable event during the treatment phase, the adherence calculation was adjusted for duration completed, </w:t>
      </w:r>
      <w:r w:rsidRPr="00F8436B">
        <w:rPr>
          <w:rFonts w:ascii="Arial" w:hAnsi="Arial" w:cs="Arial"/>
        </w:rPr>
        <w:t>e.g. full adherence was assigned for study participants who took all doses up to time of event, if the event appeared during treatment.</w:t>
      </w:r>
    </w:p>
    <w:p w14:paraId="68563E5D" w14:textId="77777777" w:rsidR="00BE1F60" w:rsidRDefault="00BE1F60" w:rsidP="00BE1F60">
      <w:pPr>
        <w:spacing w:line="480" w:lineRule="auto"/>
        <w:outlineLvl w:val="0"/>
        <w:rPr>
          <w:rFonts w:ascii="Arial" w:hAnsi="Arial" w:cs="Arial"/>
        </w:rPr>
      </w:pPr>
    </w:p>
    <w:p w14:paraId="4FA355C5" w14:textId="7347D169" w:rsidR="00BE1F60" w:rsidRDefault="00BE1F60" w:rsidP="00BE1F60">
      <w:pPr>
        <w:spacing w:line="480" w:lineRule="auto"/>
        <w:outlineLvl w:val="0"/>
        <w:rPr>
          <w:rFonts w:ascii="Arial" w:hAnsi="Arial" w:cs="Arial"/>
        </w:rPr>
      </w:pPr>
      <w:r w:rsidRPr="00AC62A7">
        <w:rPr>
          <w:rFonts w:ascii="Arial" w:hAnsi="Arial" w:cs="Arial"/>
        </w:rPr>
        <w:t xml:space="preserve">Individuals </w:t>
      </w:r>
      <w:r>
        <w:rPr>
          <w:rFonts w:ascii="Arial" w:hAnsi="Arial" w:cs="Arial"/>
        </w:rPr>
        <w:t xml:space="preserve">with </w:t>
      </w:r>
      <w:r w:rsidRPr="00AC62A7">
        <w:rPr>
          <w:rFonts w:ascii="Arial" w:hAnsi="Arial" w:cs="Arial"/>
        </w:rPr>
        <w:t xml:space="preserve">missing data </w:t>
      </w:r>
      <w:r>
        <w:rPr>
          <w:rFonts w:ascii="Arial" w:hAnsi="Arial" w:cs="Arial"/>
        </w:rPr>
        <w:t>between the predefined sets</w:t>
      </w:r>
      <w:r w:rsidRPr="00AC62A7">
        <w:rPr>
          <w:rFonts w:ascii="Arial" w:hAnsi="Arial" w:cs="Arial"/>
        </w:rPr>
        <w:t xml:space="preserve"> of predictors were excluded from the mult</w:t>
      </w:r>
      <w:r w:rsidRPr="00F8436B">
        <w:rPr>
          <w:rFonts w:ascii="Arial" w:hAnsi="Arial" w:cs="Arial"/>
        </w:rPr>
        <w:t>ivariate analysis (</w:t>
      </w:r>
      <w:r>
        <w:rPr>
          <w:rFonts w:ascii="Arial" w:hAnsi="Arial" w:cs="Arial"/>
        </w:rPr>
        <w:t>s</w:t>
      </w:r>
      <w:r w:rsidRPr="00AC62A7">
        <w:rPr>
          <w:rFonts w:ascii="Arial" w:hAnsi="Arial" w:cs="Arial"/>
        </w:rPr>
        <w:t>ummary on analysis populations available in</w:t>
      </w:r>
      <w:r>
        <w:rPr>
          <w:rFonts w:ascii="Arial" w:hAnsi="Arial" w:cs="Arial"/>
        </w:rPr>
        <w:t xml:space="preserve"> Supplemental</w:t>
      </w:r>
      <w:r w:rsidRPr="00F8436B">
        <w:rPr>
          <w:rFonts w:ascii="Arial" w:hAnsi="Arial" w:cs="Arial"/>
        </w:rPr>
        <w:t xml:space="preserve"> Table </w:t>
      </w:r>
      <w:r w:rsidRPr="00AC62A7">
        <w:rPr>
          <w:rFonts w:ascii="Arial" w:hAnsi="Arial" w:cs="Arial"/>
        </w:rPr>
        <w:t xml:space="preserve">3). </w:t>
      </w:r>
      <w:r>
        <w:rPr>
          <w:rFonts w:ascii="Arial" w:hAnsi="Arial" w:cs="Arial"/>
        </w:rPr>
        <w:t>There were no major correlations between predefined set of baseline and on-treatment predictors (Supplementary Figure 3)</w:t>
      </w:r>
    </w:p>
    <w:p w14:paraId="481E3431" w14:textId="77777777" w:rsidR="00BE1F60" w:rsidRDefault="00BE1F60" w:rsidP="00BE1F60">
      <w:pPr>
        <w:spacing w:line="480" w:lineRule="auto"/>
        <w:outlineLvl w:val="0"/>
        <w:rPr>
          <w:rFonts w:ascii="Arial" w:hAnsi="Arial" w:cs="Arial"/>
          <w:b/>
        </w:rPr>
      </w:pPr>
    </w:p>
    <w:p w14:paraId="49C51C88" w14:textId="77777777" w:rsidR="00BE1F60" w:rsidRDefault="00BE1F60" w:rsidP="00BE1F60">
      <w:pPr>
        <w:spacing w:line="480" w:lineRule="auto"/>
        <w:outlineLvl w:val="0"/>
        <w:rPr>
          <w:rFonts w:ascii="Arial" w:hAnsi="Arial" w:cs="Arial"/>
          <w:b/>
        </w:rPr>
      </w:pPr>
      <w:r>
        <w:rPr>
          <w:rFonts w:ascii="Arial" w:hAnsi="Arial" w:cs="Arial"/>
          <w:b/>
        </w:rPr>
        <w:t xml:space="preserve">Statistical analysis </w:t>
      </w:r>
    </w:p>
    <w:p w14:paraId="29E47A5B" w14:textId="2539A1C8" w:rsidR="00BE1F60" w:rsidRPr="00FD0033" w:rsidRDefault="00BE1F60" w:rsidP="00BE1F60">
      <w:pPr>
        <w:spacing w:line="480" w:lineRule="auto"/>
        <w:rPr>
          <w:rFonts w:ascii="Arial" w:hAnsi="Arial"/>
        </w:rPr>
      </w:pPr>
      <w:r>
        <w:rPr>
          <w:rFonts w:ascii="Arial" w:hAnsi="Arial" w:cs="Arial"/>
        </w:rPr>
        <w:t>All analyses were conducted using modified intent-to-treat (MITT) and per-protocol populations, with the former used for primary analysis (per-protocol results summarized in Supplementary Table 6). Definitions for analysis populations are provided in the clinical trial protocols.</w:t>
      </w:r>
      <w:r>
        <w:rPr>
          <w:rFonts w:ascii="Arial" w:hAnsi="Arial"/>
        </w:rPr>
        <w:fldChar w:fldCharType="begin" w:fldLock="1"/>
      </w:r>
      <w:r>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"id" : "ITEM-2",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"ITEM-2", "issue" : "23", "issued" : { "date-parts" : [ [ "2014" ] ] }, "page" : "1588-1598", "title" : "A Four-Month Gatifloxacin-Containing Regimen for Treating Tuberculosis", "type" : "article-journal", "volume" : "371" }, "uris" : [ "http://www.mendeley.com/documents/?uuid=421f0d47-b349-3913-8b4a-d782d624da4e"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rPr>
        <w:fldChar w:fldCharType="separate"/>
      </w:r>
      <w:r w:rsidRPr="00B56E3B">
        <w:rPr>
          <w:rFonts w:ascii="Arial" w:hAnsi="Arial" w:cs="Arial"/>
          <w:noProof/>
          <w:vertAlign w:val="superscript"/>
        </w:rPr>
        <w:t>1–3,9</w:t>
      </w:r>
      <w:r>
        <w:rPr>
          <w:rFonts w:ascii="Arial" w:hAnsi="Arial" w:cs="Arial"/>
        </w:rPr>
        <w:fldChar w:fldCharType="end"/>
      </w:r>
      <w:r>
        <w:rPr>
          <w:rFonts w:ascii="Arial" w:hAnsi="Arial" w:cs="Arial"/>
        </w:rPr>
        <w:t xml:space="preserve"> </w:t>
      </w:r>
    </w:p>
    <w:p w14:paraId="3D36AC95" w14:textId="77777777" w:rsidR="00BE1F60" w:rsidRDefault="00BE1F60" w:rsidP="00BE1F60">
      <w:pPr>
        <w:spacing w:line="480" w:lineRule="auto"/>
        <w:rPr>
          <w:rFonts w:ascii="Arial" w:hAnsi="Arial" w:cs="Arial"/>
        </w:rPr>
      </w:pPr>
    </w:p>
    <w:p w14:paraId="6E3D5B89" w14:textId="53C6456C" w:rsidR="00BE1F60" w:rsidRDefault="00BE1F60" w:rsidP="00BE1F60">
      <w:pPr>
        <w:spacing w:line="480" w:lineRule="auto"/>
        <w:rPr>
          <w:rFonts w:ascii="Arial" w:hAnsi="Arial" w:cs="Arial"/>
        </w:rPr>
      </w:pPr>
      <w:r>
        <w:rPr>
          <w:rFonts w:ascii="Arial" w:hAnsi="Arial" w:cs="Arial"/>
        </w:rPr>
        <w:t>To identify risk factors of time to unfavorable outcomes, we performed multivariate Cox proportional hazards analysis.</w:t>
      </w:r>
      <w:r w:rsidRPr="00CA5E5F">
        <w:rPr>
          <w:rFonts w:ascii="Arial" w:hAnsi="Arial" w:cs="Arial"/>
        </w:rPr>
        <w:t xml:space="preserve"> </w:t>
      </w:r>
      <w:r>
        <w:rPr>
          <w:rFonts w:ascii="Arial" w:hAnsi="Arial" w:cs="Arial"/>
        </w:rPr>
        <w:t xml:space="preserve">Hazard ratios with 95% Wald confidence intervals were reported. Analyses were conducted separately for the experimental and control regimens as the hard-to-treat phenotypes </w:t>
      </w:r>
      <w:r w:rsidRPr="006E573D">
        <w:rPr>
          <w:rFonts w:ascii="Arial" w:hAnsi="Arial" w:cs="Arial"/>
        </w:rPr>
        <w:t>may</w:t>
      </w:r>
      <w:r>
        <w:rPr>
          <w:rFonts w:ascii="Arial" w:hAnsi="Arial" w:cs="Arial"/>
        </w:rPr>
        <w:t xml:space="preserve"> </w:t>
      </w:r>
      <w:r w:rsidRPr="006E573D">
        <w:rPr>
          <w:rFonts w:ascii="Arial" w:hAnsi="Arial" w:cs="Arial"/>
        </w:rPr>
        <w:t>be</w:t>
      </w:r>
      <w:r>
        <w:rPr>
          <w:rFonts w:ascii="Arial" w:hAnsi="Arial" w:cs="Arial"/>
        </w:rPr>
        <w:t xml:space="preserve"> different for different treatment durations.</w:t>
      </w:r>
      <w:r>
        <w:rPr>
          <w:rFonts w:ascii="Arial" w:hAnsi="Arial"/>
        </w:rPr>
        <w:t xml:space="preserve">  All multivariate analyses were adjusted for study country.  </w:t>
      </w:r>
      <w:r>
        <w:rPr>
          <w:rFonts w:ascii="Arial" w:hAnsi="Arial" w:cs="Arial"/>
        </w:rPr>
        <w:t xml:space="preserve">The proportional hazard assumption was tested using Schoenfeld residuals, with a p &lt;0.05 for non-proportionality. </w:t>
      </w:r>
      <w:r w:rsidRPr="00812DDE">
        <w:rPr>
          <w:rFonts w:ascii="Arial" w:hAnsi="Arial" w:cs="Arial"/>
        </w:rPr>
        <w:t xml:space="preserve">Model selection for multivariate </w:t>
      </w:r>
      <w:r>
        <w:rPr>
          <w:rFonts w:ascii="Arial" w:hAnsi="Arial" w:cs="Arial"/>
        </w:rPr>
        <w:t xml:space="preserve">Cox </w:t>
      </w:r>
      <w:r w:rsidRPr="00812DDE">
        <w:rPr>
          <w:rFonts w:ascii="Arial" w:hAnsi="Arial" w:cs="Arial"/>
        </w:rPr>
        <w:t xml:space="preserve">analysis started with a full model (included all </w:t>
      </w:r>
      <w:r>
        <w:rPr>
          <w:rFonts w:ascii="Arial" w:hAnsi="Arial" w:cs="Arial"/>
        </w:rPr>
        <w:t>predefined</w:t>
      </w:r>
      <w:r w:rsidRPr="00812DDE">
        <w:rPr>
          <w:rFonts w:ascii="Arial" w:hAnsi="Arial" w:cs="Arial"/>
        </w:rPr>
        <w:t xml:space="preserve"> predictors) that was followed by a backward stepwise approach (p &gt; 0.05 to remove) then a forward stepwise approach to test predictors that were removed in the backward step (p &lt; 0.01 to include). Predictors were included </w:t>
      </w:r>
      <w:r>
        <w:rPr>
          <w:rFonts w:ascii="Arial" w:hAnsi="Arial" w:cs="Arial"/>
        </w:rPr>
        <w:t>using</w:t>
      </w:r>
      <w:r w:rsidRPr="00812DDE">
        <w:rPr>
          <w:rFonts w:ascii="Arial" w:hAnsi="Arial" w:cs="Arial"/>
        </w:rPr>
        <w:t xml:space="preserve"> linear relationships</w:t>
      </w:r>
      <w:r>
        <w:rPr>
          <w:rFonts w:ascii="Arial" w:hAnsi="Arial" w:cs="Arial"/>
        </w:rPr>
        <w:t xml:space="preserve">. Non-inferiority analyses were performed in study participant subgroups, according to identified risk factors in the multivariate </w:t>
      </w:r>
      <w:r>
        <w:rPr>
          <w:rFonts w:ascii="Arial" w:hAnsi="Arial" w:cs="Arial"/>
        </w:rPr>
        <w:lastRenderedPageBreak/>
        <w:t>Cox analysis. The</w:t>
      </w:r>
      <w:r w:rsidRPr="003B146D">
        <w:rPr>
          <w:rFonts w:ascii="Arial" w:hAnsi="Arial" w:cs="Arial"/>
        </w:rPr>
        <w:t xml:space="preserve"> test for interaction for each subgroup</w:t>
      </w:r>
      <w:r>
        <w:rPr>
          <w:rFonts w:ascii="Arial" w:hAnsi="Arial" w:cs="Arial"/>
        </w:rPr>
        <w:t xml:space="preserve"> was performed prior to non-inferiority sub-group tests.</w:t>
      </w:r>
      <w:r>
        <w:rPr>
          <w:rFonts w:ascii="Arial" w:hAnsi="Arial" w:cs="Arial"/>
        </w:rPr>
        <w:fldChar w:fldCharType="begin" w:fldLock="1"/>
      </w:r>
      <w:r>
        <w:rPr>
          <w:rFonts w:ascii="Arial" w:hAnsi="Arial" w:cs="Arial"/>
        </w:rPr>
        <w:instrText>ADDIN CSL_CITATION { "citationItems" : [ { "id" : "ITEM-1", "itemData" : { "DOI" : "10.1056/NEJMSR077003", "abstract" : "The analysis of subgroups is often used as a way to glean additional information from data sets. The strengths and weaknesses of this approach and new Journal policies concerning the reporting of subgroup analyses are discussed in this article.", "author" : [ { "dropping-particle" : "", "family" : "Wang", "given" : "Rui", "non-dropping-particle" : "", "parse-names" : false, "suffix" : "" }, { "dropping-particle" : "", "family" : "Lagakos", "given" : "Stephen W.", "non-dropping-particle" : "", "parse-names" : false, "suffix" : "" }, { "dropping-particle" : "", "family" : "Ware", "given" : "James H.", "non-dropping-particle" : "", "parse-names" : false, "suffix" : "" }, { "dropping-particle" : "", "family" : "Hunter", "given" : "David J.", "non-dropping-particle" : "", "parse-names" : false, "suffix" : "" }, { "dropping-particle" : "", "family" : "Drazen", "given" : "Jeffrey M.", "non-dropping-particle" : "", "parse-names" : false, "suffix" : "" } ], "container-title" : "N. Engl. J. Med", "id" : "ITEM-1", "issued" : { "date-parts" : [ [ "2007", "10", "9" ] ] }, "page" : "2189-2194", "publisher" : "Massachusetts Medical Society", "title" : "Statistics in Medicine \u2014 Reporting of Subgroup Analyses in Clinical Trials", "type" : "article-journal", "volume" : "357" }, "uris" : [ "http://www.mendeley.com/documents/?uuid=59027ac7-f956-3ef9-b37c-a6e6814c82ab" ] } ], "mendeley" : { "formattedCitation" : "&lt;sup&gt;21&lt;/sup&gt;", "plainTextFormattedCitation" : "21", "previouslyFormattedCitation" : "&lt;sup&gt;21&lt;/sup&gt;" }, "properties" : {  }, "schema" : "https://github.com/citation-style-language/schema/raw/master/csl-citation.json" }</w:instrText>
      </w:r>
      <w:r>
        <w:rPr>
          <w:rFonts w:ascii="Arial" w:hAnsi="Arial" w:cs="Arial"/>
        </w:rPr>
        <w:fldChar w:fldCharType="separate"/>
      </w:r>
      <w:r w:rsidRPr="00282D2D">
        <w:rPr>
          <w:rFonts w:ascii="Arial" w:hAnsi="Arial" w:cs="Arial"/>
          <w:noProof/>
          <w:vertAlign w:val="superscript"/>
        </w:rPr>
        <w:t>21</w:t>
      </w:r>
      <w:r>
        <w:rPr>
          <w:rFonts w:ascii="Arial" w:hAnsi="Arial" w:cs="Arial"/>
        </w:rPr>
        <w:fldChar w:fldCharType="end"/>
      </w:r>
      <w:r>
        <w:rPr>
          <w:rFonts w:ascii="Arial" w:hAnsi="Arial" w:cs="Arial"/>
        </w:rPr>
        <w:t xml:space="preserve"> The absolute difference in proportion of unfavorable outcomes was calculated using inverse probability study weighted Kaplan-Meier estimates</w:t>
      </w:r>
      <w:r>
        <w:rPr>
          <w:rFonts w:ascii="Arial" w:hAnsi="Arial" w:cs="Arial"/>
        </w:rPr>
        <w:fldChar w:fldCharType="begin" w:fldLock="1"/>
      </w:r>
      <w:r>
        <w:rPr>
          <w:rFonts w:ascii="Arial" w:hAnsi="Arial" w:cs="Arial"/>
        </w:rPr>
        <w:instrText>ADDIN CSL_CITATION { "citationItems" : [ { "id" : "ITEM-1", "itemData" : { "DOI" : "10.1002/sim.2174", "ISSN" : "02776715", "author" : [ { "dropping-particle" : "", "family" : "Xie", "given" : "Jun", "non-dropping-particle" : "", "parse-names" : false, "suffix" : "" }, { "dropping-particle" : "", "family" : "Liu", "given" : "Chaofeng", "non-dropping-particle" : "", "parse-names" : false, "suffix" : "" } ], "container-title" : "Statistics in Medicine", "id" : "ITEM-1", "issue" : "20", "issued" : { "date-parts" : [ [ "2005", "10", "30" ] ] }, "page" : "3089-3110", "publisher" : "Wiley-Blackwell", "title" : "Adjusted Kaplan\u2013Meier estimator and log-rank test with inverse probability of treatment weighting for survival data", "type" : "article-journal", "volume" : "24" }, "uris" : [ "http://www.mendeley.com/documents/?uuid=225c4102-e1e6-32ad-b10b-a980222651ed" ] } ], "mendeley" : { "formattedCitation" : "&lt;sup&gt;22&lt;/sup&gt;", "plainTextFormattedCitation" : "22", "previouslyFormattedCitation" : "&lt;sup&gt;22&lt;/sup&gt;" }, "properties" : {  }, "schema" : "https://github.com/citation-style-language/schema/raw/master/csl-citation.json" }</w:instrText>
      </w:r>
      <w:r>
        <w:rPr>
          <w:rFonts w:ascii="Arial" w:hAnsi="Arial" w:cs="Arial"/>
        </w:rPr>
        <w:fldChar w:fldCharType="separate"/>
      </w:r>
      <w:r w:rsidRPr="00282D2D">
        <w:rPr>
          <w:rFonts w:ascii="Arial" w:hAnsi="Arial" w:cs="Arial"/>
          <w:noProof/>
          <w:vertAlign w:val="superscript"/>
        </w:rPr>
        <w:t>22</w:t>
      </w:r>
      <w:r>
        <w:rPr>
          <w:rFonts w:ascii="Arial" w:hAnsi="Arial" w:cs="Arial"/>
        </w:rPr>
        <w:fldChar w:fldCharType="end"/>
      </w:r>
      <w:r>
        <w:rPr>
          <w:rFonts w:ascii="Arial" w:hAnsi="Arial" w:cs="Arial"/>
        </w:rPr>
        <w:t xml:space="preserve"> at 24 months after start of treatment to include maximal patient-years of follow up and retain maximal data. Non-inferiority was assessed using the upper bound of the two-sided 90% confidence interval, determined by bootstrapping 500 samples, and a non-inferiority margin of 6 percentage points, which was used in all the parent trials.</w:t>
      </w:r>
      <w:r>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"&lt;sup&gt;1\u20133&lt;/sup&gt;", "plainTextFormattedCitation" : "1\u20133", "previouslyFormattedCitation" : "&lt;sup&gt;1\u20133&lt;/sup&gt;" }, "properties" : {  }, "schema" : "https://github.com/citation-style-language/schema/raw/master/csl-citation.json" }</w:instrText>
      </w:r>
      <w:r>
        <w:rPr>
          <w:rFonts w:ascii="Arial" w:hAnsi="Arial" w:cs="Arial"/>
        </w:rPr>
        <w:fldChar w:fldCharType="separate"/>
      </w:r>
      <w:r w:rsidRPr="000F28A0">
        <w:rPr>
          <w:rFonts w:ascii="Arial" w:hAnsi="Arial" w:cs="Arial"/>
          <w:noProof/>
          <w:vertAlign w:val="superscript"/>
        </w:rPr>
        <w:t>1–3</w:t>
      </w:r>
      <w:r>
        <w:rPr>
          <w:rFonts w:ascii="Arial" w:hAnsi="Arial" w:cs="Arial"/>
        </w:rPr>
        <w:fldChar w:fldCharType="end"/>
      </w:r>
      <w:r>
        <w:rPr>
          <w:rFonts w:ascii="Arial" w:hAnsi="Arial" w:cs="Arial"/>
        </w:rPr>
        <w:t xml:space="preserve"> </w:t>
      </w:r>
    </w:p>
    <w:p w14:paraId="78622BFA" w14:textId="77777777" w:rsidR="00BE1F60" w:rsidRDefault="00BE1F60" w:rsidP="00BE1F60">
      <w:pPr>
        <w:spacing w:line="480" w:lineRule="auto"/>
        <w:rPr>
          <w:rFonts w:ascii="Arial" w:hAnsi="Arial" w:cs="Arial"/>
        </w:rPr>
      </w:pPr>
    </w:p>
    <w:p w14:paraId="42ED794D" w14:textId="77777777" w:rsidR="00BE1F60" w:rsidRDefault="00BE1F60" w:rsidP="00BE1F60">
      <w:pPr>
        <w:spacing w:line="480" w:lineRule="auto"/>
        <w:rPr>
          <w:rFonts w:ascii="Arial" w:hAnsi="Arial" w:cs="Arial"/>
        </w:rPr>
      </w:pPr>
      <w:r w:rsidRPr="00CA0C73">
        <w:rPr>
          <w:rFonts w:ascii="Arial" w:hAnsi="Arial" w:cs="Arial"/>
        </w:rPr>
        <w:t>Further analyses were performed to assess impact of 7/7 (REMoxTB and RIFAQUIN) and 6/7 weekly (OFLOTUB) dosing strategies on outcomes. First, we compared Kaplan</w:t>
      </w:r>
      <w:r>
        <w:rPr>
          <w:rFonts w:ascii="Arial" w:hAnsi="Arial" w:cs="Arial"/>
        </w:rPr>
        <w:t>-</w:t>
      </w:r>
      <w:r w:rsidRPr="00CA0C73">
        <w:rPr>
          <w:rFonts w:ascii="Arial" w:hAnsi="Arial" w:cs="Arial"/>
        </w:rPr>
        <w:t xml:space="preserve">Meier estimates for 7/7 and 6/7 weekly dosing strategies in study participants who completed their prescribed treatment.  Second, we performed separate Cox proportional hazards analyses for trials with different weekly dosing strategies and assessed total number of days that the drugs were taken (total doses) and treatment duration (time between first and last dose dates) as predictors of treatment outcomes. To allow for pragmatic interpretation, hazard ratios were reported for total doses of 156 to 181 (on average 6/7 doses per week) and 112 to 155 (on average 5/7 doses per week) relative to 182 (on average 7/7 doses per week) for the REMoxTB and RIFAQUIN analysis (7/7 weekly dosing strategies for 26 weeks). For the OFLOTUB analysis (6/7 weekly dosing strategy for 24 weeks), hazard ratios were reported for total doses of 112 to 143 (on average 5/7 doses per week) relative to 144 (on average 6/7 doses per week). We have used an arbitrarily lower cutoff of 112 total doses as it coincides with 4 months of treatment on 7/7 dosing strategy and most of the data were clustered above this cutoff point. We have performed sensitivity analysis with cutoffs of at least 130 (exact number of doses if participant took 5/7 doses for 26 weeks) for the REMoxTB and RIFAQUIN analysis and 120 (exact number of doses if participant took 5/7 doses for 24 weeks) for the OFLOTUB analysis.  Each analysis was adjusted for study country.  </w:t>
      </w:r>
    </w:p>
    <w:p w14:paraId="2B53536B" w14:textId="77777777" w:rsidR="00BE1F60" w:rsidRDefault="00BE1F60" w:rsidP="00BE1F60">
      <w:pPr>
        <w:spacing w:line="480" w:lineRule="auto"/>
        <w:rPr>
          <w:rFonts w:ascii="Arial" w:hAnsi="Arial" w:cs="Arial"/>
        </w:rPr>
      </w:pPr>
    </w:p>
    <w:p w14:paraId="36B3FE8C" w14:textId="0F9EBBA3" w:rsidR="00BE1F60" w:rsidRDefault="00BE1F60" w:rsidP="00BE1F60">
      <w:pPr>
        <w:spacing w:line="480" w:lineRule="auto"/>
        <w:rPr>
          <w:rFonts w:ascii="Arial" w:hAnsi="Arial" w:cs="Arial"/>
        </w:rPr>
      </w:pPr>
      <w:r>
        <w:rPr>
          <w:rFonts w:ascii="Arial" w:hAnsi="Arial" w:cs="Arial"/>
        </w:rPr>
        <w:lastRenderedPageBreak/>
        <w:t xml:space="preserve">All data management, analyses and visualization were performed using R Statistical Software (version 3.4.3, </w:t>
      </w:r>
      <w:hyperlink r:id="rId9" w:history="1">
        <w:r w:rsidRPr="000B1797">
          <w:rPr>
            <w:rStyle w:val="Hyperlink"/>
            <w:rFonts w:ascii="Arial" w:hAnsi="Arial" w:cs="Arial"/>
            <w:noProof/>
          </w:rPr>
          <w:t>https://www.r-project.org/</w:t>
        </w:r>
      </w:hyperlink>
      <w:r w:rsidRPr="009439D3">
        <w:rPr>
          <w:rFonts w:ascii="Arial" w:hAnsi="Arial" w:cs="Arial"/>
        </w:rPr>
        <w:t>)</w:t>
      </w:r>
      <w:r>
        <w:rPr>
          <w:rFonts w:ascii="Arial" w:hAnsi="Arial" w:cs="Arial"/>
        </w:rPr>
        <w:t>.</w:t>
      </w:r>
      <w:r w:rsidDel="008F1E8F">
        <w:rPr>
          <w:rFonts w:ascii="Arial" w:hAnsi="Arial" w:cs="Arial"/>
        </w:rPr>
        <w:t xml:space="preserve"> </w:t>
      </w:r>
    </w:p>
    <w:p w14:paraId="5136DB80" w14:textId="3D9F656F" w:rsidR="00BE1F60" w:rsidRDefault="00BE1F60" w:rsidP="00BE1F60">
      <w:pPr>
        <w:spacing w:line="480" w:lineRule="auto"/>
        <w:rPr>
          <w:rFonts w:ascii="Arial" w:hAnsi="Arial" w:cs="Arial"/>
        </w:rPr>
      </w:pPr>
    </w:p>
    <w:p w14:paraId="2703394E" w14:textId="39021FD1" w:rsidR="00BE1F60" w:rsidRDefault="00BE1F60" w:rsidP="00BE1F60">
      <w:pPr>
        <w:spacing w:line="480" w:lineRule="auto"/>
        <w:rPr>
          <w:rFonts w:ascii="Arial" w:hAnsi="Arial" w:cs="Arial"/>
          <w:b/>
        </w:rPr>
      </w:pPr>
      <w:r>
        <w:rPr>
          <w:rFonts w:ascii="Arial" w:hAnsi="Arial" w:cs="Arial"/>
          <w:b/>
        </w:rPr>
        <w:t xml:space="preserve">Data Availability </w:t>
      </w:r>
    </w:p>
    <w:p w14:paraId="218B73B7" w14:textId="25E81E85" w:rsidR="00BE1F60" w:rsidRPr="00BE1F60" w:rsidRDefault="00BE1F60" w:rsidP="00BE1F60">
      <w:pPr>
        <w:spacing w:line="480" w:lineRule="auto"/>
        <w:rPr>
          <w:rFonts w:ascii="Arial" w:hAnsi="Arial" w:cs="Arial"/>
        </w:rPr>
      </w:pPr>
      <w:r>
        <w:rPr>
          <w:rFonts w:ascii="Arial" w:hAnsi="Arial" w:cs="Arial"/>
        </w:rPr>
        <w:t>The s</w:t>
      </w:r>
      <w:r w:rsidRPr="00FA6B06">
        <w:rPr>
          <w:rFonts w:ascii="Arial" w:hAnsi="Arial" w:cs="Arial"/>
        </w:rPr>
        <w:t xml:space="preserve">tandardized data for the OFLOTUB (ClinicalTrials.gov number, NCT00216385) , REMoxTB (NCT00864383), and RIFAQUIN (ISRCTN number, 44153044) trials </w:t>
      </w:r>
      <w:r>
        <w:rPr>
          <w:rFonts w:ascii="Arial" w:hAnsi="Arial" w:cs="Arial"/>
        </w:rPr>
        <w:t>that support the findings of this study are</w:t>
      </w:r>
      <w:r w:rsidRPr="00FA6B06">
        <w:rPr>
          <w:rFonts w:ascii="Arial" w:hAnsi="Arial" w:cs="Arial"/>
        </w:rPr>
        <w:t xml:space="preserve"> </w:t>
      </w:r>
      <w:r>
        <w:rPr>
          <w:rFonts w:ascii="Arial" w:hAnsi="Arial" w:cs="Arial"/>
        </w:rPr>
        <w:t>available through the</w:t>
      </w:r>
      <w:r w:rsidRPr="00FA6B06">
        <w:rPr>
          <w:rFonts w:ascii="Arial" w:hAnsi="Arial" w:cs="Arial"/>
        </w:rPr>
        <w:t xml:space="preserve"> Platform for Aggregation of Clinical TB Studies (TB-PACTS, https://c-path.org/programs/tb-pacts/). DMID-009 trial data </w:t>
      </w:r>
      <w:r>
        <w:rPr>
          <w:rFonts w:ascii="Arial" w:hAnsi="Arial" w:cs="Arial"/>
        </w:rPr>
        <w:t>is available</w:t>
      </w:r>
      <w:r w:rsidRPr="00FA6B06">
        <w:rPr>
          <w:rFonts w:ascii="Arial" w:hAnsi="Arial" w:cs="Arial"/>
        </w:rPr>
        <w:t xml:space="preserve"> from the sponsor (John L. Johnson, Tuberculosis Research Unit</w:t>
      </w:r>
      <w:r>
        <w:rPr>
          <w:rFonts w:ascii="Arial" w:hAnsi="Arial" w:cs="Arial"/>
        </w:rPr>
        <w:t xml:space="preserve">). </w:t>
      </w:r>
    </w:p>
    <w:p w14:paraId="3239100F" w14:textId="2AE50DA2" w:rsidR="00BE1F60" w:rsidRDefault="00BE1F60" w:rsidP="00BE1F60">
      <w:pPr>
        <w:spacing w:line="480" w:lineRule="auto"/>
        <w:rPr>
          <w:rFonts w:ascii="Arial" w:hAnsi="Arial" w:cs="Arial"/>
        </w:rPr>
      </w:pPr>
    </w:p>
    <w:p w14:paraId="5229E910" w14:textId="77777777" w:rsidR="00BE1F60" w:rsidRDefault="00BE1F60" w:rsidP="00BE1F60">
      <w:pPr>
        <w:spacing w:line="480" w:lineRule="auto"/>
        <w:rPr>
          <w:rFonts w:ascii="Arial" w:hAnsi="Arial" w:cs="Arial"/>
          <w:b/>
        </w:rPr>
      </w:pPr>
      <w:r>
        <w:rPr>
          <w:rFonts w:ascii="Arial" w:hAnsi="Arial" w:cs="Arial"/>
          <w:b/>
        </w:rPr>
        <w:t xml:space="preserve">References </w:t>
      </w:r>
    </w:p>
    <w:p w14:paraId="2CDEEDF2" w14:textId="77777777" w:rsidR="00BE1F60" w:rsidRPr="00282D2D" w:rsidRDefault="00BE1F60" w:rsidP="00BE1F60">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21.</w:t>
      </w:r>
      <w:r w:rsidRPr="00282D2D">
        <w:rPr>
          <w:rFonts w:ascii="Arial" w:hAnsi="Arial" w:cs="Arial"/>
          <w:noProof/>
        </w:rPr>
        <w:tab/>
        <w:t xml:space="preserve">Wang, R., Lagakos, S. W., Ware, J. H., Hunter, D. J. &amp; Drazen, J. M. Statistics in Medicine — Reporting of Subgroup Analyses in Clinical Trials.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357,</w:t>
      </w:r>
      <w:r w:rsidRPr="00282D2D">
        <w:rPr>
          <w:rFonts w:ascii="Arial" w:hAnsi="Arial" w:cs="Arial"/>
          <w:noProof/>
        </w:rPr>
        <w:t xml:space="preserve"> 2189–2194 (2007).</w:t>
      </w:r>
    </w:p>
    <w:p w14:paraId="7F5B1C4D" w14:textId="77777777" w:rsidR="00BE1F60" w:rsidRPr="00282D2D" w:rsidRDefault="00BE1F60" w:rsidP="00BE1F60">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22.</w:t>
      </w:r>
      <w:r w:rsidRPr="00282D2D">
        <w:rPr>
          <w:rFonts w:ascii="Arial" w:hAnsi="Arial" w:cs="Arial"/>
          <w:noProof/>
        </w:rPr>
        <w:tab/>
        <w:t xml:space="preserve">Xie, J. &amp; Liu, C. Adjusted Kaplan–Meier estimator and log-rank test with inverse probability of treatment weighting for survival data. </w:t>
      </w:r>
      <w:r w:rsidRPr="00282D2D">
        <w:rPr>
          <w:rFonts w:ascii="Arial" w:hAnsi="Arial" w:cs="Arial"/>
          <w:i/>
          <w:iCs/>
          <w:noProof/>
        </w:rPr>
        <w:t>Stat. Med.</w:t>
      </w:r>
      <w:r w:rsidRPr="00282D2D">
        <w:rPr>
          <w:rFonts w:ascii="Arial" w:hAnsi="Arial" w:cs="Arial"/>
          <w:noProof/>
        </w:rPr>
        <w:t xml:space="preserve"> </w:t>
      </w:r>
      <w:r w:rsidRPr="00282D2D">
        <w:rPr>
          <w:rFonts w:ascii="Arial" w:hAnsi="Arial" w:cs="Arial"/>
          <w:b/>
          <w:bCs/>
          <w:noProof/>
        </w:rPr>
        <w:t>24,</w:t>
      </w:r>
      <w:r w:rsidRPr="00282D2D">
        <w:rPr>
          <w:rFonts w:ascii="Arial" w:hAnsi="Arial" w:cs="Arial"/>
          <w:noProof/>
        </w:rPr>
        <w:t xml:space="preserve"> 3089–3110 (2005).</w:t>
      </w:r>
    </w:p>
    <w:p w14:paraId="6559A96F" w14:textId="77777777" w:rsidR="00BE1F60" w:rsidRPr="00FA6B06" w:rsidRDefault="00BE1F60" w:rsidP="00BE1F60">
      <w:pPr>
        <w:spacing w:line="480" w:lineRule="auto"/>
        <w:rPr>
          <w:rFonts w:ascii="Arial" w:hAnsi="Arial" w:cs="Arial"/>
          <w:b/>
        </w:rPr>
      </w:pPr>
    </w:p>
    <w:p w14:paraId="3BC60415" w14:textId="77777777" w:rsidR="00BE1F60" w:rsidRDefault="00BE1F60" w:rsidP="00BE1F60">
      <w:pPr>
        <w:spacing w:line="480" w:lineRule="auto"/>
        <w:rPr>
          <w:rFonts w:ascii="Arial" w:hAnsi="Arial" w:cs="Arial"/>
        </w:rPr>
      </w:pPr>
      <w:r w:rsidRPr="00F00852">
        <w:rPr>
          <w:rFonts w:ascii="Arial" w:hAnsi="Arial"/>
        </w:rPr>
        <w:br w:type="page"/>
      </w:r>
    </w:p>
    <w:p w14:paraId="598A2275" w14:textId="77777777" w:rsidR="008F1E8F" w:rsidRPr="00F00852" w:rsidRDefault="008F1E8F">
      <w:pPr>
        <w:outlineLvl w:val="0"/>
        <w:rPr>
          <w:rFonts w:ascii="Arial" w:hAnsi="Arial"/>
        </w:rPr>
      </w:pPr>
    </w:p>
    <w:sectPr w:rsidR="008F1E8F" w:rsidRPr="00F00852" w:rsidSect="00FD0033">
      <w:footerReference w:type="even" r:id="rId10"/>
      <w:footerReference w:type="default" r:id="rId11"/>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5350C" w14:textId="77777777" w:rsidR="00944C2E" w:rsidRDefault="00944C2E">
      <w:r>
        <w:separator/>
      </w:r>
    </w:p>
  </w:endnote>
  <w:endnote w:type="continuationSeparator" w:id="0">
    <w:p w14:paraId="0CF4DFA7" w14:textId="77777777" w:rsidR="00944C2E" w:rsidRDefault="00944C2E">
      <w:r>
        <w:continuationSeparator/>
      </w:r>
    </w:p>
  </w:endnote>
  <w:endnote w:type="continuationNotice" w:id="1">
    <w:p w14:paraId="658E5A07" w14:textId="77777777" w:rsidR="00944C2E" w:rsidRDefault="00944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7" w:csb1="00000000"/>
  </w:font>
  <w:font w:name="Bradley Hand">
    <w:charset w:val="4D"/>
    <w:family w:val="auto"/>
    <w:pitch w:val="variable"/>
    <w:sig w:usb0="800000FF" w:usb1="5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6004272"/>
      <w:docPartObj>
        <w:docPartGallery w:val="Page Numbers (Bottom of Page)"/>
        <w:docPartUnique/>
      </w:docPartObj>
    </w:sdtPr>
    <w:sdtEndPr>
      <w:rPr>
        <w:rStyle w:val="PageNumber"/>
      </w:rPr>
    </w:sdtEndPr>
    <w:sdtContent>
      <w:p w14:paraId="55700533" w14:textId="77777777" w:rsidR="00773AE1" w:rsidRDefault="00773AE1" w:rsidP="004E1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545D3" w14:textId="6BA93556" w:rsidR="00773AE1" w:rsidRDefault="00773AE1" w:rsidP="00157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5099894"/>
      <w:docPartObj>
        <w:docPartGallery w:val="Page Numbers (Bottom of Page)"/>
        <w:docPartUnique/>
      </w:docPartObj>
    </w:sdtPr>
    <w:sdtEndPr>
      <w:rPr>
        <w:rStyle w:val="PageNumber"/>
      </w:rPr>
    </w:sdtEndPr>
    <w:sdtContent>
      <w:p w14:paraId="55DFD7CD" w14:textId="2B19FA25" w:rsidR="00773AE1" w:rsidRPr="00FD0033" w:rsidRDefault="00773AE1" w:rsidP="00FD0033">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fldChar w:fldCharType="separate"/>
        </w:r>
        <w:r w:rsidR="0087003F">
          <w:rPr>
            <w:rStyle w:val="PageNumber"/>
            <w:noProof/>
          </w:rPr>
          <w:t>1</w:t>
        </w:r>
        <w:r>
          <w:rPr>
            <w:rStyle w:val="PageNumber"/>
          </w:rPr>
          <w:fldChar w:fldCharType="end"/>
        </w:r>
      </w:p>
    </w:sdtContent>
  </w:sdt>
  <w:p w14:paraId="0766AA51" w14:textId="77777777" w:rsidR="00773AE1" w:rsidRDefault="00773A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93E5" w14:textId="77777777" w:rsidR="00944C2E" w:rsidRDefault="00944C2E">
      <w:r>
        <w:separator/>
      </w:r>
    </w:p>
  </w:footnote>
  <w:footnote w:type="continuationSeparator" w:id="0">
    <w:p w14:paraId="04597951" w14:textId="77777777" w:rsidR="00944C2E" w:rsidRDefault="00944C2E">
      <w:r>
        <w:continuationSeparator/>
      </w:r>
    </w:p>
  </w:footnote>
  <w:footnote w:type="continuationNotice" w:id="1">
    <w:p w14:paraId="620154ED" w14:textId="77777777" w:rsidR="00944C2E" w:rsidRDefault="00944C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7B0"/>
    <w:multiLevelType w:val="hybridMultilevel"/>
    <w:tmpl w:val="3E40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462C"/>
    <w:multiLevelType w:val="hybridMultilevel"/>
    <w:tmpl w:val="30AC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A7A"/>
    <w:multiLevelType w:val="hybridMultilevel"/>
    <w:tmpl w:val="4F224E36"/>
    <w:lvl w:ilvl="0" w:tplc="D570A042">
      <w:start w:val="1"/>
      <w:numFmt w:val="bullet"/>
      <w:lvlText w:val=""/>
      <w:lvlJc w:val="left"/>
      <w:pPr>
        <w:tabs>
          <w:tab w:val="num" w:pos="720"/>
        </w:tabs>
        <w:ind w:left="720" w:hanging="360"/>
      </w:pPr>
      <w:rPr>
        <w:rFonts w:ascii="Wingdings" w:hAnsi="Wingdings" w:hint="default"/>
      </w:rPr>
    </w:lvl>
    <w:lvl w:ilvl="1" w:tplc="77B4CF3A">
      <w:numFmt w:val="bullet"/>
      <w:lvlText w:val="•"/>
      <w:lvlJc w:val="left"/>
      <w:pPr>
        <w:tabs>
          <w:tab w:val="num" w:pos="1440"/>
        </w:tabs>
        <w:ind w:left="1440" w:hanging="360"/>
      </w:pPr>
      <w:rPr>
        <w:rFonts w:ascii="Arial" w:hAnsi="Arial" w:hint="default"/>
      </w:rPr>
    </w:lvl>
    <w:lvl w:ilvl="2" w:tplc="7F7C428C" w:tentative="1">
      <w:start w:val="1"/>
      <w:numFmt w:val="bullet"/>
      <w:lvlText w:val=""/>
      <w:lvlJc w:val="left"/>
      <w:pPr>
        <w:tabs>
          <w:tab w:val="num" w:pos="2160"/>
        </w:tabs>
        <w:ind w:left="2160" w:hanging="360"/>
      </w:pPr>
      <w:rPr>
        <w:rFonts w:ascii="Wingdings" w:hAnsi="Wingdings" w:hint="default"/>
      </w:rPr>
    </w:lvl>
    <w:lvl w:ilvl="3" w:tplc="4844B72A" w:tentative="1">
      <w:start w:val="1"/>
      <w:numFmt w:val="bullet"/>
      <w:lvlText w:val=""/>
      <w:lvlJc w:val="left"/>
      <w:pPr>
        <w:tabs>
          <w:tab w:val="num" w:pos="2880"/>
        </w:tabs>
        <w:ind w:left="2880" w:hanging="360"/>
      </w:pPr>
      <w:rPr>
        <w:rFonts w:ascii="Wingdings" w:hAnsi="Wingdings" w:hint="default"/>
      </w:rPr>
    </w:lvl>
    <w:lvl w:ilvl="4" w:tplc="78C0BFCA" w:tentative="1">
      <w:start w:val="1"/>
      <w:numFmt w:val="bullet"/>
      <w:lvlText w:val=""/>
      <w:lvlJc w:val="left"/>
      <w:pPr>
        <w:tabs>
          <w:tab w:val="num" w:pos="3600"/>
        </w:tabs>
        <w:ind w:left="3600" w:hanging="360"/>
      </w:pPr>
      <w:rPr>
        <w:rFonts w:ascii="Wingdings" w:hAnsi="Wingdings" w:hint="default"/>
      </w:rPr>
    </w:lvl>
    <w:lvl w:ilvl="5" w:tplc="3AB21E42" w:tentative="1">
      <w:start w:val="1"/>
      <w:numFmt w:val="bullet"/>
      <w:lvlText w:val=""/>
      <w:lvlJc w:val="left"/>
      <w:pPr>
        <w:tabs>
          <w:tab w:val="num" w:pos="4320"/>
        </w:tabs>
        <w:ind w:left="4320" w:hanging="360"/>
      </w:pPr>
      <w:rPr>
        <w:rFonts w:ascii="Wingdings" w:hAnsi="Wingdings" w:hint="default"/>
      </w:rPr>
    </w:lvl>
    <w:lvl w:ilvl="6" w:tplc="1D5CD0DC" w:tentative="1">
      <w:start w:val="1"/>
      <w:numFmt w:val="bullet"/>
      <w:lvlText w:val=""/>
      <w:lvlJc w:val="left"/>
      <w:pPr>
        <w:tabs>
          <w:tab w:val="num" w:pos="5040"/>
        </w:tabs>
        <w:ind w:left="5040" w:hanging="360"/>
      </w:pPr>
      <w:rPr>
        <w:rFonts w:ascii="Wingdings" w:hAnsi="Wingdings" w:hint="default"/>
      </w:rPr>
    </w:lvl>
    <w:lvl w:ilvl="7" w:tplc="2410EF56" w:tentative="1">
      <w:start w:val="1"/>
      <w:numFmt w:val="bullet"/>
      <w:lvlText w:val=""/>
      <w:lvlJc w:val="left"/>
      <w:pPr>
        <w:tabs>
          <w:tab w:val="num" w:pos="5760"/>
        </w:tabs>
        <w:ind w:left="5760" w:hanging="360"/>
      </w:pPr>
      <w:rPr>
        <w:rFonts w:ascii="Wingdings" w:hAnsi="Wingdings" w:hint="default"/>
      </w:rPr>
    </w:lvl>
    <w:lvl w:ilvl="8" w:tplc="3FAE47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A6CD1"/>
    <w:multiLevelType w:val="hybridMultilevel"/>
    <w:tmpl w:val="C8CA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4C75"/>
    <w:multiLevelType w:val="hybridMultilevel"/>
    <w:tmpl w:val="BAD4F01C"/>
    <w:lvl w:ilvl="0" w:tplc="0B8EB112">
      <w:start w:val="1"/>
      <w:numFmt w:val="bullet"/>
      <w:lvlText w:val=""/>
      <w:lvlJc w:val="left"/>
      <w:pPr>
        <w:tabs>
          <w:tab w:val="num" w:pos="720"/>
        </w:tabs>
        <w:ind w:left="720" w:hanging="360"/>
      </w:pPr>
      <w:rPr>
        <w:rFonts w:ascii="Wingdings" w:hAnsi="Wingdings" w:hint="default"/>
      </w:rPr>
    </w:lvl>
    <w:lvl w:ilvl="1" w:tplc="8416A040" w:tentative="1">
      <w:start w:val="1"/>
      <w:numFmt w:val="bullet"/>
      <w:lvlText w:val=""/>
      <w:lvlJc w:val="left"/>
      <w:pPr>
        <w:tabs>
          <w:tab w:val="num" w:pos="1440"/>
        </w:tabs>
        <w:ind w:left="1440" w:hanging="360"/>
      </w:pPr>
      <w:rPr>
        <w:rFonts w:ascii="Wingdings" w:hAnsi="Wingdings" w:hint="default"/>
      </w:rPr>
    </w:lvl>
    <w:lvl w:ilvl="2" w:tplc="3F7A8B34" w:tentative="1">
      <w:start w:val="1"/>
      <w:numFmt w:val="bullet"/>
      <w:lvlText w:val=""/>
      <w:lvlJc w:val="left"/>
      <w:pPr>
        <w:tabs>
          <w:tab w:val="num" w:pos="2160"/>
        </w:tabs>
        <w:ind w:left="2160" w:hanging="360"/>
      </w:pPr>
      <w:rPr>
        <w:rFonts w:ascii="Wingdings" w:hAnsi="Wingdings" w:hint="default"/>
      </w:rPr>
    </w:lvl>
    <w:lvl w:ilvl="3" w:tplc="C3E4A81E" w:tentative="1">
      <w:start w:val="1"/>
      <w:numFmt w:val="bullet"/>
      <w:lvlText w:val=""/>
      <w:lvlJc w:val="left"/>
      <w:pPr>
        <w:tabs>
          <w:tab w:val="num" w:pos="2880"/>
        </w:tabs>
        <w:ind w:left="2880" w:hanging="360"/>
      </w:pPr>
      <w:rPr>
        <w:rFonts w:ascii="Wingdings" w:hAnsi="Wingdings" w:hint="default"/>
      </w:rPr>
    </w:lvl>
    <w:lvl w:ilvl="4" w:tplc="10887628" w:tentative="1">
      <w:start w:val="1"/>
      <w:numFmt w:val="bullet"/>
      <w:lvlText w:val=""/>
      <w:lvlJc w:val="left"/>
      <w:pPr>
        <w:tabs>
          <w:tab w:val="num" w:pos="3600"/>
        </w:tabs>
        <w:ind w:left="3600" w:hanging="360"/>
      </w:pPr>
      <w:rPr>
        <w:rFonts w:ascii="Wingdings" w:hAnsi="Wingdings" w:hint="default"/>
      </w:rPr>
    </w:lvl>
    <w:lvl w:ilvl="5" w:tplc="779E4C86" w:tentative="1">
      <w:start w:val="1"/>
      <w:numFmt w:val="bullet"/>
      <w:lvlText w:val=""/>
      <w:lvlJc w:val="left"/>
      <w:pPr>
        <w:tabs>
          <w:tab w:val="num" w:pos="4320"/>
        </w:tabs>
        <w:ind w:left="4320" w:hanging="360"/>
      </w:pPr>
      <w:rPr>
        <w:rFonts w:ascii="Wingdings" w:hAnsi="Wingdings" w:hint="default"/>
      </w:rPr>
    </w:lvl>
    <w:lvl w:ilvl="6" w:tplc="0C265202" w:tentative="1">
      <w:start w:val="1"/>
      <w:numFmt w:val="bullet"/>
      <w:lvlText w:val=""/>
      <w:lvlJc w:val="left"/>
      <w:pPr>
        <w:tabs>
          <w:tab w:val="num" w:pos="5040"/>
        </w:tabs>
        <w:ind w:left="5040" w:hanging="360"/>
      </w:pPr>
      <w:rPr>
        <w:rFonts w:ascii="Wingdings" w:hAnsi="Wingdings" w:hint="default"/>
      </w:rPr>
    </w:lvl>
    <w:lvl w:ilvl="7" w:tplc="8536E584" w:tentative="1">
      <w:start w:val="1"/>
      <w:numFmt w:val="bullet"/>
      <w:lvlText w:val=""/>
      <w:lvlJc w:val="left"/>
      <w:pPr>
        <w:tabs>
          <w:tab w:val="num" w:pos="5760"/>
        </w:tabs>
        <w:ind w:left="5760" w:hanging="360"/>
      </w:pPr>
      <w:rPr>
        <w:rFonts w:ascii="Wingdings" w:hAnsi="Wingdings" w:hint="default"/>
      </w:rPr>
    </w:lvl>
    <w:lvl w:ilvl="8" w:tplc="8646CF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02674"/>
    <w:multiLevelType w:val="hybridMultilevel"/>
    <w:tmpl w:val="E37A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200B9"/>
    <w:multiLevelType w:val="hybridMultilevel"/>
    <w:tmpl w:val="CF36D6EC"/>
    <w:lvl w:ilvl="0" w:tplc="CA2EFEB0">
      <w:start w:val="1"/>
      <w:numFmt w:val="bullet"/>
      <w:lvlText w:val=""/>
      <w:lvlJc w:val="left"/>
      <w:pPr>
        <w:tabs>
          <w:tab w:val="num" w:pos="720"/>
        </w:tabs>
        <w:ind w:left="720" w:hanging="360"/>
      </w:pPr>
      <w:rPr>
        <w:rFonts w:ascii="Wingdings" w:hAnsi="Wingdings" w:hint="default"/>
      </w:rPr>
    </w:lvl>
    <w:lvl w:ilvl="1" w:tplc="68C25D62">
      <w:numFmt w:val="bullet"/>
      <w:lvlText w:val="•"/>
      <w:lvlJc w:val="left"/>
      <w:pPr>
        <w:tabs>
          <w:tab w:val="num" w:pos="1440"/>
        </w:tabs>
        <w:ind w:left="1440" w:hanging="360"/>
      </w:pPr>
      <w:rPr>
        <w:rFonts w:ascii="Arial" w:hAnsi="Arial" w:hint="default"/>
      </w:rPr>
    </w:lvl>
    <w:lvl w:ilvl="2" w:tplc="CC14D32A" w:tentative="1">
      <w:start w:val="1"/>
      <w:numFmt w:val="bullet"/>
      <w:lvlText w:val=""/>
      <w:lvlJc w:val="left"/>
      <w:pPr>
        <w:tabs>
          <w:tab w:val="num" w:pos="2160"/>
        </w:tabs>
        <w:ind w:left="2160" w:hanging="360"/>
      </w:pPr>
      <w:rPr>
        <w:rFonts w:ascii="Wingdings" w:hAnsi="Wingdings" w:hint="default"/>
      </w:rPr>
    </w:lvl>
    <w:lvl w:ilvl="3" w:tplc="A13AADA2" w:tentative="1">
      <w:start w:val="1"/>
      <w:numFmt w:val="bullet"/>
      <w:lvlText w:val=""/>
      <w:lvlJc w:val="left"/>
      <w:pPr>
        <w:tabs>
          <w:tab w:val="num" w:pos="2880"/>
        </w:tabs>
        <w:ind w:left="2880" w:hanging="360"/>
      </w:pPr>
      <w:rPr>
        <w:rFonts w:ascii="Wingdings" w:hAnsi="Wingdings" w:hint="default"/>
      </w:rPr>
    </w:lvl>
    <w:lvl w:ilvl="4" w:tplc="C616C120" w:tentative="1">
      <w:start w:val="1"/>
      <w:numFmt w:val="bullet"/>
      <w:lvlText w:val=""/>
      <w:lvlJc w:val="left"/>
      <w:pPr>
        <w:tabs>
          <w:tab w:val="num" w:pos="3600"/>
        </w:tabs>
        <w:ind w:left="3600" w:hanging="360"/>
      </w:pPr>
      <w:rPr>
        <w:rFonts w:ascii="Wingdings" w:hAnsi="Wingdings" w:hint="default"/>
      </w:rPr>
    </w:lvl>
    <w:lvl w:ilvl="5" w:tplc="A176A6E4" w:tentative="1">
      <w:start w:val="1"/>
      <w:numFmt w:val="bullet"/>
      <w:lvlText w:val=""/>
      <w:lvlJc w:val="left"/>
      <w:pPr>
        <w:tabs>
          <w:tab w:val="num" w:pos="4320"/>
        </w:tabs>
        <w:ind w:left="4320" w:hanging="360"/>
      </w:pPr>
      <w:rPr>
        <w:rFonts w:ascii="Wingdings" w:hAnsi="Wingdings" w:hint="default"/>
      </w:rPr>
    </w:lvl>
    <w:lvl w:ilvl="6" w:tplc="05C01420" w:tentative="1">
      <w:start w:val="1"/>
      <w:numFmt w:val="bullet"/>
      <w:lvlText w:val=""/>
      <w:lvlJc w:val="left"/>
      <w:pPr>
        <w:tabs>
          <w:tab w:val="num" w:pos="5040"/>
        </w:tabs>
        <w:ind w:left="5040" w:hanging="360"/>
      </w:pPr>
      <w:rPr>
        <w:rFonts w:ascii="Wingdings" w:hAnsi="Wingdings" w:hint="default"/>
      </w:rPr>
    </w:lvl>
    <w:lvl w:ilvl="7" w:tplc="777A0540" w:tentative="1">
      <w:start w:val="1"/>
      <w:numFmt w:val="bullet"/>
      <w:lvlText w:val=""/>
      <w:lvlJc w:val="left"/>
      <w:pPr>
        <w:tabs>
          <w:tab w:val="num" w:pos="5760"/>
        </w:tabs>
        <w:ind w:left="5760" w:hanging="360"/>
      </w:pPr>
      <w:rPr>
        <w:rFonts w:ascii="Wingdings" w:hAnsi="Wingdings" w:hint="default"/>
      </w:rPr>
    </w:lvl>
    <w:lvl w:ilvl="8" w:tplc="B04613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31F13"/>
    <w:multiLevelType w:val="hybridMultilevel"/>
    <w:tmpl w:val="99C48B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941FC"/>
    <w:multiLevelType w:val="hybridMultilevel"/>
    <w:tmpl w:val="7C2AE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E262F3"/>
    <w:multiLevelType w:val="hybridMultilevel"/>
    <w:tmpl w:val="5798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6D04"/>
    <w:multiLevelType w:val="hybridMultilevel"/>
    <w:tmpl w:val="F522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E247D"/>
    <w:multiLevelType w:val="hybridMultilevel"/>
    <w:tmpl w:val="2B36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9748E"/>
    <w:multiLevelType w:val="hybridMultilevel"/>
    <w:tmpl w:val="9538EAE8"/>
    <w:lvl w:ilvl="0" w:tplc="82B4B00A">
      <w:start w:val="1"/>
      <w:numFmt w:val="bullet"/>
      <w:lvlText w:val=""/>
      <w:lvlJc w:val="left"/>
      <w:pPr>
        <w:tabs>
          <w:tab w:val="num" w:pos="720"/>
        </w:tabs>
        <w:ind w:left="720" w:hanging="360"/>
      </w:pPr>
      <w:rPr>
        <w:rFonts w:ascii="Wingdings" w:hAnsi="Wingdings" w:hint="default"/>
      </w:rPr>
    </w:lvl>
    <w:lvl w:ilvl="1" w:tplc="0E52E452">
      <w:numFmt w:val="bullet"/>
      <w:lvlText w:val="•"/>
      <w:lvlJc w:val="left"/>
      <w:pPr>
        <w:tabs>
          <w:tab w:val="num" w:pos="1440"/>
        </w:tabs>
        <w:ind w:left="1440" w:hanging="360"/>
      </w:pPr>
      <w:rPr>
        <w:rFonts w:ascii="Arial" w:hAnsi="Arial" w:hint="default"/>
      </w:rPr>
    </w:lvl>
    <w:lvl w:ilvl="2" w:tplc="A64C20A4" w:tentative="1">
      <w:start w:val="1"/>
      <w:numFmt w:val="bullet"/>
      <w:lvlText w:val=""/>
      <w:lvlJc w:val="left"/>
      <w:pPr>
        <w:tabs>
          <w:tab w:val="num" w:pos="2160"/>
        </w:tabs>
        <w:ind w:left="2160" w:hanging="360"/>
      </w:pPr>
      <w:rPr>
        <w:rFonts w:ascii="Wingdings" w:hAnsi="Wingdings" w:hint="default"/>
      </w:rPr>
    </w:lvl>
    <w:lvl w:ilvl="3" w:tplc="89060DC4" w:tentative="1">
      <w:start w:val="1"/>
      <w:numFmt w:val="bullet"/>
      <w:lvlText w:val=""/>
      <w:lvlJc w:val="left"/>
      <w:pPr>
        <w:tabs>
          <w:tab w:val="num" w:pos="2880"/>
        </w:tabs>
        <w:ind w:left="2880" w:hanging="360"/>
      </w:pPr>
      <w:rPr>
        <w:rFonts w:ascii="Wingdings" w:hAnsi="Wingdings" w:hint="default"/>
      </w:rPr>
    </w:lvl>
    <w:lvl w:ilvl="4" w:tplc="78082F90" w:tentative="1">
      <w:start w:val="1"/>
      <w:numFmt w:val="bullet"/>
      <w:lvlText w:val=""/>
      <w:lvlJc w:val="left"/>
      <w:pPr>
        <w:tabs>
          <w:tab w:val="num" w:pos="3600"/>
        </w:tabs>
        <w:ind w:left="3600" w:hanging="360"/>
      </w:pPr>
      <w:rPr>
        <w:rFonts w:ascii="Wingdings" w:hAnsi="Wingdings" w:hint="default"/>
      </w:rPr>
    </w:lvl>
    <w:lvl w:ilvl="5" w:tplc="FC10854C" w:tentative="1">
      <w:start w:val="1"/>
      <w:numFmt w:val="bullet"/>
      <w:lvlText w:val=""/>
      <w:lvlJc w:val="left"/>
      <w:pPr>
        <w:tabs>
          <w:tab w:val="num" w:pos="4320"/>
        </w:tabs>
        <w:ind w:left="4320" w:hanging="360"/>
      </w:pPr>
      <w:rPr>
        <w:rFonts w:ascii="Wingdings" w:hAnsi="Wingdings" w:hint="default"/>
      </w:rPr>
    </w:lvl>
    <w:lvl w:ilvl="6" w:tplc="157A7232" w:tentative="1">
      <w:start w:val="1"/>
      <w:numFmt w:val="bullet"/>
      <w:lvlText w:val=""/>
      <w:lvlJc w:val="left"/>
      <w:pPr>
        <w:tabs>
          <w:tab w:val="num" w:pos="5040"/>
        </w:tabs>
        <w:ind w:left="5040" w:hanging="360"/>
      </w:pPr>
      <w:rPr>
        <w:rFonts w:ascii="Wingdings" w:hAnsi="Wingdings" w:hint="default"/>
      </w:rPr>
    </w:lvl>
    <w:lvl w:ilvl="7" w:tplc="89DAD7F2" w:tentative="1">
      <w:start w:val="1"/>
      <w:numFmt w:val="bullet"/>
      <w:lvlText w:val=""/>
      <w:lvlJc w:val="left"/>
      <w:pPr>
        <w:tabs>
          <w:tab w:val="num" w:pos="5760"/>
        </w:tabs>
        <w:ind w:left="5760" w:hanging="360"/>
      </w:pPr>
      <w:rPr>
        <w:rFonts w:ascii="Wingdings" w:hAnsi="Wingdings" w:hint="default"/>
      </w:rPr>
    </w:lvl>
    <w:lvl w:ilvl="8" w:tplc="F9D891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A40A9"/>
    <w:multiLevelType w:val="hybridMultilevel"/>
    <w:tmpl w:val="E93C4D34"/>
    <w:lvl w:ilvl="0" w:tplc="023031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756C3"/>
    <w:multiLevelType w:val="hybridMultilevel"/>
    <w:tmpl w:val="79F4188C"/>
    <w:lvl w:ilvl="0" w:tplc="26168ABC">
      <w:start w:val="1"/>
      <w:numFmt w:val="bullet"/>
      <w:lvlText w:val=""/>
      <w:lvlJc w:val="left"/>
      <w:pPr>
        <w:tabs>
          <w:tab w:val="num" w:pos="720"/>
        </w:tabs>
        <w:ind w:left="720" w:hanging="360"/>
      </w:pPr>
      <w:rPr>
        <w:rFonts w:ascii="Wingdings" w:hAnsi="Wingdings" w:hint="default"/>
      </w:rPr>
    </w:lvl>
    <w:lvl w:ilvl="1" w:tplc="C616CB54">
      <w:numFmt w:val="bullet"/>
      <w:lvlText w:val="•"/>
      <w:lvlJc w:val="left"/>
      <w:pPr>
        <w:tabs>
          <w:tab w:val="num" w:pos="1440"/>
        </w:tabs>
        <w:ind w:left="1440" w:hanging="360"/>
      </w:pPr>
      <w:rPr>
        <w:rFonts w:ascii="Arial" w:hAnsi="Arial" w:hint="default"/>
      </w:rPr>
    </w:lvl>
    <w:lvl w:ilvl="2" w:tplc="D00847AE" w:tentative="1">
      <w:start w:val="1"/>
      <w:numFmt w:val="bullet"/>
      <w:lvlText w:val=""/>
      <w:lvlJc w:val="left"/>
      <w:pPr>
        <w:tabs>
          <w:tab w:val="num" w:pos="2160"/>
        </w:tabs>
        <w:ind w:left="2160" w:hanging="360"/>
      </w:pPr>
      <w:rPr>
        <w:rFonts w:ascii="Wingdings" w:hAnsi="Wingdings" w:hint="default"/>
      </w:rPr>
    </w:lvl>
    <w:lvl w:ilvl="3" w:tplc="3EAA7056" w:tentative="1">
      <w:start w:val="1"/>
      <w:numFmt w:val="bullet"/>
      <w:lvlText w:val=""/>
      <w:lvlJc w:val="left"/>
      <w:pPr>
        <w:tabs>
          <w:tab w:val="num" w:pos="2880"/>
        </w:tabs>
        <w:ind w:left="2880" w:hanging="360"/>
      </w:pPr>
      <w:rPr>
        <w:rFonts w:ascii="Wingdings" w:hAnsi="Wingdings" w:hint="default"/>
      </w:rPr>
    </w:lvl>
    <w:lvl w:ilvl="4" w:tplc="FD424F6A" w:tentative="1">
      <w:start w:val="1"/>
      <w:numFmt w:val="bullet"/>
      <w:lvlText w:val=""/>
      <w:lvlJc w:val="left"/>
      <w:pPr>
        <w:tabs>
          <w:tab w:val="num" w:pos="3600"/>
        </w:tabs>
        <w:ind w:left="3600" w:hanging="360"/>
      </w:pPr>
      <w:rPr>
        <w:rFonts w:ascii="Wingdings" w:hAnsi="Wingdings" w:hint="default"/>
      </w:rPr>
    </w:lvl>
    <w:lvl w:ilvl="5" w:tplc="EACE9096" w:tentative="1">
      <w:start w:val="1"/>
      <w:numFmt w:val="bullet"/>
      <w:lvlText w:val=""/>
      <w:lvlJc w:val="left"/>
      <w:pPr>
        <w:tabs>
          <w:tab w:val="num" w:pos="4320"/>
        </w:tabs>
        <w:ind w:left="4320" w:hanging="360"/>
      </w:pPr>
      <w:rPr>
        <w:rFonts w:ascii="Wingdings" w:hAnsi="Wingdings" w:hint="default"/>
      </w:rPr>
    </w:lvl>
    <w:lvl w:ilvl="6" w:tplc="71E6F19E" w:tentative="1">
      <w:start w:val="1"/>
      <w:numFmt w:val="bullet"/>
      <w:lvlText w:val=""/>
      <w:lvlJc w:val="left"/>
      <w:pPr>
        <w:tabs>
          <w:tab w:val="num" w:pos="5040"/>
        </w:tabs>
        <w:ind w:left="5040" w:hanging="360"/>
      </w:pPr>
      <w:rPr>
        <w:rFonts w:ascii="Wingdings" w:hAnsi="Wingdings" w:hint="default"/>
      </w:rPr>
    </w:lvl>
    <w:lvl w:ilvl="7" w:tplc="D1A43738" w:tentative="1">
      <w:start w:val="1"/>
      <w:numFmt w:val="bullet"/>
      <w:lvlText w:val=""/>
      <w:lvlJc w:val="left"/>
      <w:pPr>
        <w:tabs>
          <w:tab w:val="num" w:pos="5760"/>
        </w:tabs>
        <w:ind w:left="5760" w:hanging="360"/>
      </w:pPr>
      <w:rPr>
        <w:rFonts w:ascii="Wingdings" w:hAnsi="Wingdings" w:hint="default"/>
      </w:rPr>
    </w:lvl>
    <w:lvl w:ilvl="8" w:tplc="B7A4A7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33AF8"/>
    <w:multiLevelType w:val="hybridMultilevel"/>
    <w:tmpl w:val="1D2EC0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ABB29BB"/>
    <w:multiLevelType w:val="hybridMultilevel"/>
    <w:tmpl w:val="26A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8"/>
  </w:num>
  <w:num w:numId="4">
    <w:abstractNumId w:val="1"/>
  </w:num>
  <w:num w:numId="5">
    <w:abstractNumId w:val="0"/>
  </w:num>
  <w:num w:numId="6">
    <w:abstractNumId w:val="9"/>
  </w:num>
  <w:num w:numId="7">
    <w:abstractNumId w:val="10"/>
  </w:num>
  <w:num w:numId="8">
    <w:abstractNumId w:val="11"/>
  </w:num>
  <w:num w:numId="9">
    <w:abstractNumId w:val="5"/>
  </w:num>
  <w:num w:numId="10">
    <w:abstractNumId w:val="7"/>
  </w:num>
  <w:num w:numId="11">
    <w:abstractNumId w:val="4"/>
  </w:num>
  <w:num w:numId="12">
    <w:abstractNumId w:val="12"/>
  </w:num>
  <w:num w:numId="13">
    <w:abstractNumId w:val="14"/>
  </w:num>
  <w:num w:numId="14">
    <w:abstractNumId w:val="2"/>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42"/>
    <w:rsid w:val="00001118"/>
    <w:rsid w:val="00002E6A"/>
    <w:rsid w:val="00003A4D"/>
    <w:rsid w:val="0000440A"/>
    <w:rsid w:val="000118EE"/>
    <w:rsid w:val="0001242D"/>
    <w:rsid w:val="00015B41"/>
    <w:rsid w:val="00017071"/>
    <w:rsid w:val="000204CA"/>
    <w:rsid w:val="00020C31"/>
    <w:rsid w:val="000218F7"/>
    <w:rsid w:val="00021DB5"/>
    <w:rsid w:val="00022674"/>
    <w:rsid w:val="0002571A"/>
    <w:rsid w:val="000264A9"/>
    <w:rsid w:val="000276C6"/>
    <w:rsid w:val="0002780C"/>
    <w:rsid w:val="00030CD2"/>
    <w:rsid w:val="00037FAA"/>
    <w:rsid w:val="000403D0"/>
    <w:rsid w:val="0004067A"/>
    <w:rsid w:val="00041F9E"/>
    <w:rsid w:val="00047521"/>
    <w:rsid w:val="00050270"/>
    <w:rsid w:val="00052709"/>
    <w:rsid w:val="00052793"/>
    <w:rsid w:val="00056C2E"/>
    <w:rsid w:val="00060B9C"/>
    <w:rsid w:val="00060CF5"/>
    <w:rsid w:val="00061C9B"/>
    <w:rsid w:val="00062D75"/>
    <w:rsid w:val="00064314"/>
    <w:rsid w:val="0006596E"/>
    <w:rsid w:val="000706E3"/>
    <w:rsid w:val="000738FB"/>
    <w:rsid w:val="000751E3"/>
    <w:rsid w:val="00075704"/>
    <w:rsid w:val="000760D4"/>
    <w:rsid w:val="000764D8"/>
    <w:rsid w:val="00080A1A"/>
    <w:rsid w:val="00080A6B"/>
    <w:rsid w:val="00081BCB"/>
    <w:rsid w:val="00084534"/>
    <w:rsid w:val="00084818"/>
    <w:rsid w:val="0008549A"/>
    <w:rsid w:val="00087B57"/>
    <w:rsid w:val="00094BF1"/>
    <w:rsid w:val="00095A13"/>
    <w:rsid w:val="000A1F4E"/>
    <w:rsid w:val="000A28FC"/>
    <w:rsid w:val="000A2E8A"/>
    <w:rsid w:val="000A4F9F"/>
    <w:rsid w:val="000A5541"/>
    <w:rsid w:val="000A5AA8"/>
    <w:rsid w:val="000A7754"/>
    <w:rsid w:val="000A7BA0"/>
    <w:rsid w:val="000B5174"/>
    <w:rsid w:val="000B648B"/>
    <w:rsid w:val="000B6F9B"/>
    <w:rsid w:val="000C07CE"/>
    <w:rsid w:val="000C3C01"/>
    <w:rsid w:val="000C509F"/>
    <w:rsid w:val="000C6200"/>
    <w:rsid w:val="000C674E"/>
    <w:rsid w:val="000C6BFB"/>
    <w:rsid w:val="000D04FB"/>
    <w:rsid w:val="000D062A"/>
    <w:rsid w:val="000D1228"/>
    <w:rsid w:val="000D4A39"/>
    <w:rsid w:val="000D70B1"/>
    <w:rsid w:val="000D7F65"/>
    <w:rsid w:val="000E204A"/>
    <w:rsid w:val="000F10D7"/>
    <w:rsid w:val="000F1C5F"/>
    <w:rsid w:val="000F28A0"/>
    <w:rsid w:val="000F4BF8"/>
    <w:rsid w:val="000F4F96"/>
    <w:rsid w:val="000F623C"/>
    <w:rsid w:val="000F627F"/>
    <w:rsid w:val="000F7840"/>
    <w:rsid w:val="00101E45"/>
    <w:rsid w:val="001028C1"/>
    <w:rsid w:val="00102F03"/>
    <w:rsid w:val="00107463"/>
    <w:rsid w:val="00107D69"/>
    <w:rsid w:val="0011037E"/>
    <w:rsid w:val="001217C9"/>
    <w:rsid w:val="00121FA3"/>
    <w:rsid w:val="0012228B"/>
    <w:rsid w:val="001234B2"/>
    <w:rsid w:val="00125769"/>
    <w:rsid w:val="00126605"/>
    <w:rsid w:val="00126FED"/>
    <w:rsid w:val="001300DE"/>
    <w:rsid w:val="00131456"/>
    <w:rsid w:val="00131D3C"/>
    <w:rsid w:val="00133D85"/>
    <w:rsid w:val="00133F3B"/>
    <w:rsid w:val="00134167"/>
    <w:rsid w:val="001351AC"/>
    <w:rsid w:val="001354B2"/>
    <w:rsid w:val="0013715D"/>
    <w:rsid w:val="001406F1"/>
    <w:rsid w:val="00141703"/>
    <w:rsid w:val="00143586"/>
    <w:rsid w:val="0014469D"/>
    <w:rsid w:val="001515CC"/>
    <w:rsid w:val="0015407A"/>
    <w:rsid w:val="0015571D"/>
    <w:rsid w:val="00156677"/>
    <w:rsid w:val="00156D98"/>
    <w:rsid w:val="001575DA"/>
    <w:rsid w:val="001618AE"/>
    <w:rsid w:val="00161A32"/>
    <w:rsid w:val="0016285C"/>
    <w:rsid w:val="0016456E"/>
    <w:rsid w:val="001712C4"/>
    <w:rsid w:val="001768ED"/>
    <w:rsid w:val="00176973"/>
    <w:rsid w:val="00182328"/>
    <w:rsid w:val="001835B6"/>
    <w:rsid w:val="00183FF8"/>
    <w:rsid w:val="00184F48"/>
    <w:rsid w:val="00185A24"/>
    <w:rsid w:val="00190717"/>
    <w:rsid w:val="00190BBB"/>
    <w:rsid w:val="00190E22"/>
    <w:rsid w:val="00190E28"/>
    <w:rsid w:val="00193A32"/>
    <w:rsid w:val="001A01AC"/>
    <w:rsid w:val="001A30EC"/>
    <w:rsid w:val="001B2603"/>
    <w:rsid w:val="001B44ED"/>
    <w:rsid w:val="001B5036"/>
    <w:rsid w:val="001B5B01"/>
    <w:rsid w:val="001B7A97"/>
    <w:rsid w:val="001C3112"/>
    <w:rsid w:val="001C61CF"/>
    <w:rsid w:val="001C7173"/>
    <w:rsid w:val="001D67B6"/>
    <w:rsid w:val="001E0C94"/>
    <w:rsid w:val="001E59CD"/>
    <w:rsid w:val="001F06FE"/>
    <w:rsid w:val="001F0D2B"/>
    <w:rsid w:val="001F20C2"/>
    <w:rsid w:val="001F7569"/>
    <w:rsid w:val="001F7D2C"/>
    <w:rsid w:val="0020239A"/>
    <w:rsid w:val="002053F6"/>
    <w:rsid w:val="00205E9D"/>
    <w:rsid w:val="0021272C"/>
    <w:rsid w:val="00214B7F"/>
    <w:rsid w:val="002158DB"/>
    <w:rsid w:val="00216C72"/>
    <w:rsid w:val="00216F25"/>
    <w:rsid w:val="00221278"/>
    <w:rsid w:val="0022232B"/>
    <w:rsid w:val="002244A9"/>
    <w:rsid w:val="0022619B"/>
    <w:rsid w:val="00226D99"/>
    <w:rsid w:val="0022708E"/>
    <w:rsid w:val="00231F59"/>
    <w:rsid w:val="00234718"/>
    <w:rsid w:val="00234E8A"/>
    <w:rsid w:val="00240A2B"/>
    <w:rsid w:val="00241E2D"/>
    <w:rsid w:val="00244D07"/>
    <w:rsid w:val="00247BA0"/>
    <w:rsid w:val="00251E5A"/>
    <w:rsid w:val="0026079C"/>
    <w:rsid w:val="00261A96"/>
    <w:rsid w:val="0026236D"/>
    <w:rsid w:val="00264ED5"/>
    <w:rsid w:val="002670BE"/>
    <w:rsid w:val="00270132"/>
    <w:rsid w:val="0027319B"/>
    <w:rsid w:val="00273357"/>
    <w:rsid w:val="002752C2"/>
    <w:rsid w:val="002763D2"/>
    <w:rsid w:val="00276B94"/>
    <w:rsid w:val="00280EF1"/>
    <w:rsid w:val="00282A5F"/>
    <w:rsid w:val="00282D2D"/>
    <w:rsid w:val="002A20A4"/>
    <w:rsid w:val="002A2324"/>
    <w:rsid w:val="002A2347"/>
    <w:rsid w:val="002A37DF"/>
    <w:rsid w:val="002A3872"/>
    <w:rsid w:val="002A3F3F"/>
    <w:rsid w:val="002A426A"/>
    <w:rsid w:val="002A48A2"/>
    <w:rsid w:val="002B13F7"/>
    <w:rsid w:val="002B3309"/>
    <w:rsid w:val="002B6185"/>
    <w:rsid w:val="002B6BFA"/>
    <w:rsid w:val="002C1BC5"/>
    <w:rsid w:val="002C31EE"/>
    <w:rsid w:val="002C6ECC"/>
    <w:rsid w:val="002C6F6E"/>
    <w:rsid w:val="002C7B66"/>
    <w:rsid w:val="002D11E0"/>
    <w:rsid w:val="002D49DA"/>
    <w:rsid w:val="002D5230"/>
    <w:rsid w:val="002D6477"/>
    <w:rsid w:val="002D785A"/>
    <w:rsid w:val="002E021A"/>
    <w:rsid w:val="002E06AA"/>
    <w:rsid w:val="002E1347"/>
    <w:rsid w:val="002E2886"/>
    <w:rsid w:val="002E47BC"/>
    <w:rsid w:val="002E5254"/>
    <w:rsid w:val="002F19CC"/>
    <w:rsid w:val="002F222A"/>
    <w:rsid w:val="002F2D13"/>
    <w:rsid w:val="002F4F21"/>
    <w:rsid w:val="002F52D7"/>
    <w:rsid w:val="002F7382"/>
    <w:rsid w:val="002F75CF"/>
    <w:rsid w:val="002F7D16"/>
    <w:rsid w:val="00300835"/>
    <w:rsid w:val="003032D0"/>
    <w:rsid w:val="0030503D"/>
    <w:rsid w:val="003113E0"/>
    <w:rsid w:val="003116A6"/>
    <w:rsid w:val="00312F15"/>
    <w:rsid w:val="00315981"/>
    <w:rsid w:val="0031708C"/>
    <w:rsid w:val="00321E33"/>
    <w:rsid w:val="00322B44"/>
    <w:rsid w:val="00323671"/>
    <w:rsid w:val="003271AE"/>
    <w:rsid w:val="003276AA"/>
    <w:rsid w:val="00327EDC"/>
    <w:rsid w:val="003301BD"/>
    <w:rsid w:val="00332ADC"/>
    <w:rsid w:val="00332B24"/>
    <w:rsid w:val="00332CE8"/>
    <w:rsid w:val="00333BCC"/>
    <w:rsid w:val="00335760"/>
    <w:rsid w:val="003362B2"/>
    <w:rsid w:val="00337194"/>
    <w:rsid w:val="00342DFE"/>
    <w:rsid w:val="003432E1"/>
    <w:rsid w:val="003436D8"/>
    <w:rsid w:val="00346337"/>
    <w:rsid w:val="00347EBB"/>
    <w:rsid w:val="0035512C"/>
    <w:rsid w:val="00355B49"/>
    <w:rsid w:val="00357208"/>
    <w:rsid w:val="003607F2"/>
    <w:rsid w:val="00360F35"/>
    <w:rsid w:val="00361598"/>
    <w:rsid w:val="00361C85"/>
    <w:rsid w:val="003623EE"/>
    <w:rsid w:val="0036247E"/>
    <w:rsid w:val="0036371F"/>
    <w:rsid w:val="00363F38"/>
    <w:rsid w:val="00364E4B"/>
    <w:rsid w:val="003673EA"/>
    <w:rsid w:val="00370305"/>
    <w:rsid w:val="00370A6F"/>
    <w:rsid w:val="00373784"/>
    <w:rsid w:val="0037464C"/>
    <w:rsid w:val="00375E17"/>
    <w:rsid w:val="003760C6"/>
    <w:rsid w:val="003774E3"/>
    <w:rsid w:val="003823D1"/>
    <w:rsid w:val="0038290D"/>
    <w:rsid w:val="00383A2E"/>
    <w:rsid w:val="0038424F"/>
    <w:rsid w:val="003848C9"/>
    <w:rsid w:val="00385479"/>
    <w:rsid w:val="00385C5A"/>
    <w:rsid w:val="0038600B"/>
    <w:rsid w:val="00386CDA"/>
    <w:rsid w:val="00387235"/>
    <w:rsid w:val="003877D7"/>
    <w:rsid w:val="0039253D"/>
    <w:rsid w:val="00394012"/>
    <w:rsid w:val="00394898"/>
    <w:rsid w:val="003A185F"/>
    <w:rsid w:val="003A6943"/>
    <w:rsid w:val="003A77D4"/>
    <w:rsid w:val="003A7D3B"/>
    <w:rsid w:val="003B02B6"/>
    <w:rsid w:val="003B0C6E"/>
    <w:rsid w:val="003B146D"/>
    <w:rsid w:val="003B2F44"/>
    <w:rsid w:val="003C0129"/>
    <w:rsid w:val="003C1290"/>
    <w:rsid w:val="003C1309"/>
    <w:rsid w:val="003C194E"/>
    <w:rsid w:val="003C5A8F"/>
    <w:rsid w:val="003C6F2D"/>
    <w:rsid w:val="003D08F9"/>
    <w:rsid w:val="003D1073"/>
    <w:rsid w:val="003D30D7"/>
    <w:rsid w:val="003D49C3"/>
    <w:rsid w:val="003D63C2"/>
    <w:rsid w:val="003D6A3A"/>
    <w:rsid w:val="003E692C"/>
    <w:rsid w:val="003F3938"/>
    <w:rsid w:val="003F5974"/>
    <w:rsid w:val="003F6185"/>
    <w:rsid w:val="003F6CE0"/>
    <w:rsid w:val="003F7543"/>
    <w:rsid w:val="00402486"/>
    <w:rsid w:val="00402493"/>
    <w:rsid w:val="0040436A"/>
    <w:rsid w:val="004046D3"/>
    <w:rsid w:val="00407546"/>
    <w:rsid w:val="00411B59"/>
    <w:rsid w:val="00413696"/>
    <w:rsid w:val="00413D05"/>
    <w:rsid w:val="00421C3C"/>
    <w:rsid w:val="00424ACA"/>
    <w:rsid w:val="00427B8C"/>
    <w:rsid w:val="00427E35"/>
    <w:rsid w:val="0043072E"/>
    <w:rsid w:val="00431B8E"/>
    <w:rsid w:val="00434AFA"/>
    <w:rsid w:val="00435D76"/>
    <w:rsid w:val="0043664E"/>
    <w:rsid w:val="00443038"/>
    <w:rsid w:val="00443913"/>
    <w:rsid w:val="0044606D"/>
    <w:rsid w:val="0044692C"/>
    <w:rsid w:val="00447288"/>
    <w:rsid w:val="00447EF2"/>
    <w:rsid w:val="00450A08"/>
    <w:rsid w:val="00450F2E"/>
    <w:rsid w:val="00451383"/>
    <w:rsid w:val="00452F05"/>
    <w:rsid w:val="00456080"/>
    <w:rsid w:val="00456E46"/>
    <w:rsid w:val="00457D37"/>
    <w:rsid w:val="0046176F"/>
    <w:rsid w:val="00461E42"/>
    <w:rsid w:val="004678EE"/>
    <w:rsid w:val="004708CC"/>
    <w:rsid w:val="004709D9"/>
    <w:rsid w:val="0047118F"/>
    <w:rsid w:val="00474459"/>
    <w:rsid w:val="0047599C"/>
    <w:rsid w:val="00481301"/>
    <w:rsid w:val="004827FB"/>
    <w:rsid w:val="004829A9"/>
    <w:rsid w:val="00482A16"/>
    <w:rsid w:val="00483F02"/>
    <w:rsid w:val="0048476E"/>
    <w:rsid w:val="00485D45"/>
    <w:rsid w:val="00492046"/>
    <w:rsid w:val="00496E79"/>
    <w:rsid w:val="004A0152"/>
    <w:rsid w:val="004A1C44"/>
    <w:rsid w:val="004A4B15"/>
    <w:rsid w:val="004A7950"/>
    <w:rsid w:val="004B2081"/>
    <w:rsid w:val="004B4914"/>
    <w:rsid w:val="004B6285"/>
    <w:rsid w:val="004B7469"/>
    <w:rsid w:val="004B74B5"/>
    <w:rsid w:val="004C2468"/>
    <w:rsid w:val="004C25F1"/>
    <w:rsid w:val="004C3E18"/>
    <w:rsid w:val="004C5634"/>
    <w:rsid w:val="004C5D65"/>
    <w:rsid w:val="004D025B"/>
    <w:rsid w:val="004D0E4B"/>
    <w:rsid w:val="004D2488"/>
    <w:rsid w:val="004D25DB"/>
    <w:rsid w:val="004D417A"/>
    <w:rsid w:val="004D4C96"/>
    <w:rsid w:val="004D63BB"/>
    <w:rsid w:val="004D6935"/>
    <w:rsid w:val="004D6A1A"/>
    <w:rsid w:val="004E1A84"/>
    <w:rsid w:val="004E1C1B"/>
    <w:rsid w:val="004E1DC3"/>
    <w:rsid w:val="004E32CF"/>
    <w:rsid w:val="004E6ADC"/>
    <w:rsid w:val="004E6B00"/>
    <w:rsid w:val="004F0377"/>
    <w:rsid w:val="004F0A1E"/>
    <w:rsid w:val="004F0C12"/>
    <w:rsid w:val="004F151C"/>
    <w:rsid w:val="004F273A"/>
    <w:rsid w:val="004F3B94"/>
    <w:rsid w:val="004F3CAF"/>
    <w:rsid w:val="004F47A2"/>
    <w:rsid w:val="004F5B5C"/>
    <w:rsid w:val="00500346"/>
    <w:rsid w:val="005017C4"/>
    <w:rsid w:val="00502D64"/>
    <w:rsid w:val="00507929"/>
    <w:rsid w:val="00511C34"/>
    <w:rsid w:val="00511C84"/>
    <w:rsid w:val="0051351C"/>
    <w:rsid w:val="00515951"/>
    <w:rsid w:val="00515EF8"/>
    <w:rsid w:val="00516406"/>
    <w:rsid w:val="00517A3B"/>
    <w:rsid w:val="00520824"/>
    <w:rsid w:val="005243A6"/>
    <w:rsid w:val="005244E7"/>
    <w:rsid w:val="00526E25"/>
    <w:rsid w:val="005301AD"/>
    <w:rsid w:val="00530DE3"/>
    <w:rsid w:val="00533109"/>
    <w:rsid w:val="005331AB"/>
    <w:rsid w:val="00533EBA"/>
    <w:rsid w:val="00535324"/>
    <w:rsid w:val="00535B72"/>
    <w:rsid w:val="005374DA"/>
    <w:rsid w:val="005414AE"/>
    <w:rsid w:val="00541974"/>
    <w:rsid w:val="005449DA"/>
    <w:rsid w:val="00547EEE"/>
    <w:rsid w:val="00550088"/>
    <w:rsid w:val="00551567"/>
    <w:rsid w:val="00551FDA"/>
    <w:rsid w:val="00552581"/>
    <w:rsid w:val="005549BA"/>
    <w:rsid w:val="00555FCC"/>
    <w:rsid w:val="00556599"/>
    <w:rsid w:val="00557E36"/>
    <w:rsid w:val="00574D2A"/>
    <w:rsid w:val="00577509"/>
    <w:rsid w:val="00581D0F"/>
    <w:rsid w:val="00583AD7"/>
    <w:rsid w:val="00584670"/>
    <w:rsid w:val="00590F6F"/>
    <w:rsid w:val="00591032"/>
    <w:rsid w:val="00591D13"/>
    <w:rsid w:val="00592931"/>
    <w:rsid w:val="005938E7"/>
    <w:rsid w:val="00593E47"/>
    <w:rsid w:val="00595665"/>
    <w:rsid w:val="00596E9A"/>
    <w:rsid w:val="005A5725"/>
    <w:rsid w:val="005A61CF"/>
    <w:rsid w:val="005B10C5"/>
    <w:rsid w:val="005B3CE2"/>
    <w:rsid w:val="005B4BF9"/>
    <w:rsid w:val="005B50F2"/>
    <w:rsid w:val="005B58AD"/>
    <w:rsid w:val="005B7823"/>
    <w:rsid w:val="005C3C45"/>
    <w:rsid w:val="005C5A51"/>
    <w:rsid w:val="005D0861"/>
    <w:rsid w:val="005D2123"/>
    <w:rsid w:val="005D2537"/>
    <w:rsid w:val="005D2A3D"/>
    <w:rsid w:val="005D3EA2"/>
    <w:rsid w:val="005D6945"/>
    <w:rsid w:val="005D7097"/>
    <w:rsid w:val="005D77AB"/>
    <w:rsid w:val="005D791B"/>
    <w:rsid w:val="005E32C5"/>
    <w:rsid w:val="005E6712"/>
    <w:rsid w:val="005E67DD"/>
    <w:rsid w:val="005E7655"/>
    <w:rsid w:val="005F410B"/>
    <w:rsid w:val="005F563E"/>
    <w:rsid w:val="0060042C"/>
    <w:rsid w:val="00600E56"/>
    <w:rsid w:val="00602A04"/>
    <w:rsid w:val="006076A4"/>
    <w:rsid w:val="006112F3"/>
    <w:rsid w:val="006135AA"/>
    <w:rsid w:val="00614259"/>
    <w:rsid w:val="00614D99"/>
    <w:rsid w:val="00615F2A"/>
    <w:rsid w:val="006171AE"/>
    <w:rsid w:val="006174A7"/>
    <w:rsid w:val="00617CA6"/>
    <w:rsid w:val="0062078B"/>
    <w:rsid w:val="00624481"/>
    <w:rsid w:val="006263FC"/>
    <w:rsid w:val="006269B5"/>
    <w:rsid w:val="00630795"/>
    <w:rsid w:val="00632BCD"/>
    <w:rsid w:val="006339E1"/>
    <w:rsid w:val="00637254"/>
    <w:rsid w:val="00641897"/>
    <w:rsid w:val="00643EEC"/>
    <w:rsid w:val="00644F4A"/>
    <w:rsid w:val="00645FDD"/>
    <w:rsid w:val="00646C39"/>
    <w:rsid w:val="0064728E"/>
    <w:rsid w:val="0064784B"/>
    <w:rsid w:val="006546C1"/>
    <w:rsid w:val="00656C01"/>
    <w:rsid w:val="00660720"/>
    <w:rsid w:val="00664E5E"/>
    <w:rsid w:val="006668D6"/>
    <w:rsid w:val="00671FB6"/>
    <w:rsid w:val="0067284C"/>
    <w:rsid w:val="00677D28"/>
    <w:rsid w:val="00680FE2"/>
    <w:rsid w:val="0068164E"/>
    <w:rsid w:val="0068209D"/>
    <w:rsid w:val="006848AB"/>
    <w:rsid w:val="00685DC5"/>
    <w:rsid w:val="00687277"/>
    <w:rsid w:val="006874DA"/>
    <w:rsid w:val="00690AC3"/>
    <w:rsid w:val="0069122A"/>
    <w:rsid w:val="0069378F"/>
    <w:rsid w:val="00694052"/>
    <w:rsid w:val="00694E49"/>
    <w:rsid w:val="006A09BB"/>
    <w:rsid w:val="006A1375"/>
    <w:rsid w:val="006A1DED"/>
    <w:rsid w:val="006A26C8"/>
    <w:rsid w:val="006B007E"/>
    <w:rsid w:val="006B04A2"/>
    <w:rsid w:val="006B2540"/>
    <w:rsid w:val="006B6B6B"/>
    <w:rsid w:val="006B73C6"/>
    <w:rsid w:val="006C0B03"/>
    <w:rsid w:val="006C4506"/>
    <w:rsid w:val="006C5AFE"/>
    <w:rsid w:val="006D00EB"/>
    <w:rsid w:val="006D062F"/>
    <w:rsid w:val="006D1A8E"/>
    <w:rsid w:val="006D1C73"/>
    <w:rsid w:val="006D3859"/>
    <w:rsid w:val="006D4158"/>
    <w:rsid w:val="006D6DDF"/>
    <w:rsid w:val="006E1954"/>
    <w:rsid w:val="006E2D7F"/>
    <w:rsid w:val="006E48B6"/>
    <w:rsid w:val="006E573D"/>
    <w:rsid w:val="006F06F6"/>
    <w:rsid w:val="006F217C"/>
    <w:rsid w:val="006F2A5F"/>
    <w:rsid w:val="006F44A1"/>
    <w:rsid w:val="006F590A"/>
    <w:rsid w:val="006F5B13"/>
    <w:rsid w:val="006F7570"/>
    <w:rsid w:val="00700D51"/>
    <w:rsid w:val="0070656A"/>
    <w:rsid w:val="00706C61"/>
    <w:rsid w:val="007115BA"/>
    <w:rsid w:val="00712447"/>
    <w:rsid w:val="00712E75"/>
    <w:rsid w:val="00713F57"/>
    <w:rsid w:val="007154A3"/>
    <w:rsid w:val="00715665"/>
    <w:rsid w:val="00717033"/>
    <w:rsid w:val="00717D22"/>
    <w:rsid w:val="0072067D"/>
    <w:rsid w:val="007210C5"/>
    <w:rsid w:val="007218CD"/>
    <w:rsid w:val="00721E65"/>
    <w:rsid w:val="00722581"/>
    <w:rsid w:val="0072675F"/>
    <w:rsid w:val="007277B5"/>
    <w:rsid w:val="00727B6A"/>
    <w:rsid w:val="00734242"/>
    <w:rsid w:val="00734E07"/>
    <w:rsid w:val="0073592B"/>
    <w:rsid w:val="007374B0"/>
    <w:rsid w:val="007409F7"/>
    <w:rsid w:val="00741E36"/>
    <w:rsid w:val="007420B3"/>
    <w:rsid w:val="00742471"/>
    <w:rsid w:val="00747C39"/>
    <w:rsid w:val="00751B92"/>
    <w:rsid w:val="00752401"/>
    <w:rsid w:val="00757896"/>
    <w:rsid w:val="00757F36"/>
    <w:rsid w:val="007619FD"/>
    <w:rsid w:val="007641C3"/>
    <w:rsid w:val="00765B3D"/>
    <w:rsid w:val="00770498"/>
    <w:rsid w:val="00771217"/>
    <w:rsid w:val="00771B0E"/>
    <w:rsid w:val="00771DD5"/>
    <w:rsid w:val="00771E04"/>
    <w:rsid w:val="00772610"/>
    <w:rsid w:val="00773AE1"/>
    <w:rsid w:val="00782887"/>
    <w:rsid w:val="00784B04"/>
    <w:rsid w:val="00786158"/>
    <w:rsid w:val="00786AC9"/>
    <w:rsid w:val="0078763E"/>
    <w:rsid w:val="00792713"/>
    <w:rsid w:val="0079290F"/>
    <w:rsid w:val="0079471D"/>
    <w:rsid w:val="00794D78"/>
    <w:rsid w:val="0079520D"/>
    <w:rsid w:val="007A2980"/>
    <w:rsid w:val="007A29C0"/>
    <w:rsid w:val="007A5383"/>
    <w:rsid w:val="007A709C"/>
    <w:rsid w:val="007A7AD2"/>
    <w:rsid w:val="007A7B4F"/>
    <w:rsid w:val="007A7E07"/>
    <w:rsid w:val="007B0471"/>
    <w:rsid w:val="007B0523"/>
    <w:rsid w:val="007B2019"/>
    <w:rsid w:val="007B2C5A"/>
    <w:rsid w:val="007B3033"/>
    <w:rsid w:val="007B3ECD"/>
    <w:rsid w:val="007B6BFA"/>
    <w:rsid w:val="007B7F9A"/>
    <w:rsid w:val="007C1DF4"/>
    <w:rsid w:val="007C22DD"/>
    <w:rsid w:val="007C4D7C"/>
    <w:rsid w:val="007C7881"/>
    <w:rsid w:val="007D08EE"/>
    <w:rsid w:val="007D6A6D"/>
    <w:rsid w:val="007E0E3D"/>
    <w:rsid w:val="007E1625"/>
    <w:rsid w:val="007E37A8"/>
    <w:rsid w:val="007E4870"/>
    <w:rsid w:val="007E5F66"/>
    <w:rsid w:val="007F2B0D"/>
    <w:rsid w:val="007F4F64"/>
    <w:rsid w:val="007F51CD"/>
    <w:rsid w:val="007F61E5"/>
    <w:rsid w:val="008002DA"/>
    <w:rsid w:val="008007DC"/>
    <w:rsid w:val="008013F8"/>
    <w:rsid w:val="00802229"/>
    <w:rsid w:val="00802C44"/>
    <w:rsid w:val="008031C2"/>
    <w:rsid w:val="00803CE9"/>
    <w:rsid w:val="00804836"/>
    <w:rsid w:val="00804CE5"/>
    <w:rsid w:val="00806543"/>
    <w:rsid w:val="008076FF"/>
    <w:rsid w:val="00812DDE"/>
    <w:rsid w:val="008142B6"/>
    <w:rsid w:val="00814DBC"/>
    <w:rsid w:val="0081775B"/>
    <w:rsid w:val="00817A17"/>
    <w:rsid w:val="008276DA"/>
    <w:rsid w:val="008307C5"/>
    <w:rsid w:val="00832EE8"/>
    <w:rsid w:val="00835BE9"/>
    <w:rsid w:val="008412E6"/>
    <w:rsid w:val="0084291F"/>
    <w:rsid w:val="0085435E"/>
    <w:rsid w:val="0086057C"/>
    <w:rsid w:val="008622B9"/>
    <w:rsid w:val="00863806"/>
    <w:rsid w:val="0086393D"/>
    <w:rsid w:val="0086511D"/>
    <w:rsid w:val="008660DD"/>
    <w:rsid w:val="0086736A"/>
    <w:rsid w:val="0087003F"/>
    <w:rsid w:val="00871140"/>
    <w:rsid w:val="0087370D"/>
    <w:rsid w:val="008738BF"/>
    <w:rsid w:val="00877927"/>
    <w:rsid w:val="0088380C"/>
    <w:rsid w:val="00885912"/>
    <w:rsid w:val="00885D88"/>
    <w:rsid w:val="0088662B"/>
    <w:rsid w:val="0089099F"/>
    <w:rsid w:val="00890B05"/>
    <w:rsid w:val="00891A52"/>
    <w:rsid w:val="008931C4"/>
    <w:rsid w:val="00893BDA"/>
    <w:rsid w:val="00894674"/>
    <w:rsid w:val="00894697"/>
    <w:rsid w:val="0089552E"/>
    <w:rsid w:val="00896BF6"/>
    <w:rsid w:val="008972BE"/>
    <w:rsid w:val="008974DB"/>
    <w:rsid w:val="008A0996"/>
    <w:rsid w:val="008A24FD"/>
    <w:rsid w:val="008A5702"/>
    <w:rsid w:val="008A5CBB"/>
    <w:rsid w:val="008B0A78"/>
    <w:rsid w:val="008B3EBE"/>
    <w:rsid w:val="008B4D64"/>
    <w:rsid w:val="008B6753"/>
    <w:rsid w:val="008B6A78"/>
    <w:rsid w:val="008C00A7"/>
    <w:rsid w:val="008C1183"/>
    <w:rsid w:val="008C33C1"/>
    <w:rsid w:val="008C33E7"/>
    <w:rsid w:val="008C4CD8"/>
    <w:rsid w:val="008C6F2B"/>
    <w:rsid w:val="008C792C"/>
    <w:rsid w:val="008D3452"/>
    <w:rsid w:val="008D3860"/>
    <w:rsid w:val="008D3C41"/>
    <w:rsid w:val="008D51AF"/>
    <w:rsid w:val="008D6A51"/>
    <w:rsid w:val="008E5089"/>
    <w:rsid w:val="008E7EA4"/>
    <w:rsid w:val="008F004B"/>
    <w:rsid w:val="008F1E8F"/>
    <w:rsid w:val="008F3399"/>
    <w:rsid w:val="008F35C5"/>
    <w:rsid w:val="008F3885"/>
    <w:rsid w:val="008F4B60"/>
    <w:rsid w:val="008F5185"/>
    <w:rsid w:val="009006BF"/>
    <w:rsid w:val="00901DC1"/>
    <w:rsid w:val="00902391"/>
    <w:rsid w:val="00902FAA"/>
    <w:rsid w:val="009035EE"/>
    <w:rsid w:val="0090442F"/>
    <w:rsid w:val="00904592"/>
    <w:rsid w:val="0090488C"/>
    <w:rsid w:val="00904B42"/>
    <w:rsid w:val="009052F7"/>
    <w:rsid w:val="00906599"/>
    <w:rsid w:val="009109AE"/>
    <w:rsid w:val="009112D1"/>
    <w:rsid w:val="00912439"/>
    <w:rsid w:val="009153F0"/>
    <w:rsid w:val="00916E3F"/>
    <w:rsid w:val="00920111"/>
    <w:rsid w:val="00922BF8"/>
    <w:rsid w:val="0092380F"/>
    <w:rsid w:val="00927C48"/>
    <w:rsid w:val="00930BF5"/>
    <w:rsid w:val="00931E0A"/>
    <w:rsid w:val="009329BB"/>
    <w:rsid w:val="009341F7"/>
    <w:rsid w:val="00934A4D"/>
    <w:rsid w:val="00936C1E"/>
    <w:rsid w:val="009402F9"/>
    <w:rsid w:val="0094058A"/>
    <w:rsid w:val="00940F20"/>
    <w:rsid w:val="009435DD"/>
    <w:rsid w:val="009439D3"/>
    <w:rsid w:val="00943EC4"/>
    <w:rsid w:val="00944C2E"/>
    <w:rsid w:val="0094628C"/>
    <w:rsid w:val="009518AD"/>
    <w:rsid w:val="009567F8"/>
    <w:rsid w:val="00956AD5"/>
    <w:rsid w:val="0095752B"/>
    <w:rsid w:val="0096399B"/>
    <w:rsid w:val="00963C26"/>
    <w:rsid w:val="00964710"/>
    <w:rsid w:val="0096741C"/>
    <w:rsid w:val="00972407"/>
    <w:rsid w:val="00973A42"/>
    <w:rsid w:val="00974117"/>
    <w:rsid w:val="0097482E"/>
    <w:rsid w:val="00983BBA"/>
    <w:rsid w:val="0098437B"/>
    <w:rsid w:val="00990CCC"/>
    <w:rsid w:val="00991E29"/>
    <w:rsid w:val="009921B8"/>
    <w:rsid w:val="00993933"/>
    <w:rsid w:val="00995A1B"/>
    <w:rsid w:val="00996D79"/>
    <w:rsid w:val="009A649C"/>
    <w:rsid w:val="009B0FE2"/>
    <w:rsid w:val="009B252D"/>
    <w:rsid w:val="009B2BB4"/>
    <w:rsid w:val="009B6DAD"/>
    <w:rsid w:val="009C2C6A"/>
    <w:rsid w:val="009C41EF"/>
    <w:rsid w:val="009D0CE9"/>
    <w:rsid w:val="009D34F1"/>
    <w:rsid w:val="009D65B0"/>
    <w:rsid w:val="009D67AF"/>
    <w:rsid w:val="009E1387"/>
    <w:rsid w:val="009E1D55"/>
    <w:rsid w:val="009E2238"/>
    <w:rsid w:val="009E2919"/>
    <w:rsid w:val="009E5939"/>
    <w:rsid w:val="009E6956"/>
    <w:rsid w:val="009F0A39"/>
    <w:rsid w:val="009F133B"/>
    <w:rsid w:val="009F1B7D"/>
    <w:rsid w:val="009F2169"/>
    <w:rsid w:val="009F32C8"/>
    <w:rsid w:val="00A03942"/>
    <w:rsid w:val="00A03C9A"/>
    <w:rsid w:val="00A0688B"/>
    <w:rsid w:val="00A069C6"/>
    <w:rsid w:val="00A06D5A"/>
    <w:rsid w:val="00A16078"/>
    <w:rsid w:val="00A17904"/>
    <w:rsid w:val="00A23830"/>
    <w:rsid w:val="00A23D1B"/>
    <w:rsid w:val="00A32ECD"/>
    <w:rsid w:val="00A33E49"/>
    <w:rsid w:val="00A35B79"/>
    <w:rsid w:val="00A35F8E"/>
    <w:rsid w:val="00A368C7"/>
    <w:rsid w:val="00A410B3"/>
    <w:rsid w:val="00A418F4"/>
    <w:rsid w:val="00A43C7F"/>
    <w:rsid w:val="00A46C91"/>
    <w:rsid w:val="00A46E07"/>
    <w:rsid w:val="00A46F56"/>
    <w:rsid w:val="00A52E44"/>
    <w:rsid w:val="00A53309"/>
    <w:rsid w:val="00A56BE8"/>
    <w:rsid w:val="00A56FCB"/>
    <w:rsid w:val="00A57045"/>
    <w:rsid w:val="00A57D1C"/>
    <w:rsid w:val="00A631F3"/>
    <w:rsid w:val="00A63A1A"/>
    <w:rsid w:val="00A642DD"/>
    <w:rsid w:val="00A7034C"/>
    <w:rsid w:val="00A708CB"/>
    <w:rsid w:val="00A71519"/>
    <w:rsid w:val="00A71DDB"/>
    <w:rsid w:val="00A75731"/>
    <w:rsid w:val="00A759F6"/>
    <w:rsid w:val="00A75BCA"/>
    <w:rsid w:val="00A77AE5"/>
    <w:rsid w:val="00A82162"/>
    <w:rsid w:val="00A82DCE"/>
    <w:rsid w:val="00A834D2"/>
    <w:rsid w:val="00A85AA6"/>
    <w:rsid w:val="00A85FC1"/>
    <w:rsid w:val="00A9056A"/>
    <w:rsid w:val="00A91691"/>
    <w:rsid w:val="00A91BE6"/>
    <w:rsid w:val="00A92A12"/>
    <w:rsid w:val="00A93885"/>
    <w:rsid w:val="00A94BE1"/>
    <w:rsid w:val="00AA011C"/>
    <w:rsid w:val="00AA037B"/>
    <w:rsid w:val="00AA2393"/>
    <w:rsid w:val="00AA261C"/>
    <w:rsid w:val="00AA3E1C"/>
    <w:rsid w:val="00AA541E"/>
    <w:rsid w:val="00AA58A0"/>
    <w:rsid w:val="00AB054B"/>
    <w:rsid w:val="00AC140F"/>
    <w:rsid w:val="00AC15DB"/>
    <w:rsid w:val="00AC18A8"/>
    <w:rsid w:val="00AC50B2"/>
    <w:rsid w:val="00AC73EF"/>
    <w:rsid w:val="00AC7454"/>
    <w:rsid w:val="00AD1CE6"/>
    <w:rsid w:val="00AD3CCD"/>
    <w:rsid w:val="00AD5FCB"/>
    <w:rsid w:val="00AD6949"/>
    <w:rsid w:val="00AD6D37"/>
    <w:rsid w:val="00AE0135"/>
    <w:rsid w:val="00AE5DFF"/>
    <w:rsid w:val="00AE638A"/>
    <w:rsid w:val="00AF4BB4"/>
    <w:rsid w:val="00AF5512"/>
    <w:rsid w:val="00AF70B7"/>
    <w:rsid w:val="00AF70D1"/>
    <w:rsid w:val="00AF756E"/>
    <w:rsid w:val="00B00740"/>
    <w:rsid w:val="00B03110"/>
    <w:rsid w:val="00B047A9"/>
    <w:rsid w:val="00B05021"/>
    <w:rsid w:val="00B05686"/>
    <w:rsid w:val="00B06980"/>
    <w:rsid w:val="00B07D00"/>
    <w:rsid w:val="00B1088D"/>
    <w:rsid w:val="00B121F7"/>
    <w:rsid w:val="00B13F4E"/>
    <w:rsid w:val="00B14DCD"/>
    <w:rsid w:val="00B1733A"/>
    <w:rsid w:val="00B17687"/>
    <w:rsid w:val="00B17E03"/>
    <w:rsid w:val="00B2155F"/>
    <w:rsid w:val="00B22DA7"/>
    <w:rsid w:val="00B22F70"/>
    <w:rsid w:val="00B2321D"/>
    <w:rsid w:val="00B25452"/>
    <w:rsid w:val="00B27CAA"/>
    <w:rsid w:val="00B3158C"/>
    <w:rsid w:val="00B3375D"/>
    <w:rsid w:val="00B34012"/>
    <w:rsid w:val="00B4234E"/>
    <w:rsid w:val="00B43C5E"/>
    <w:rsid w:val="00B440BF"/>
    <w:rsid w:val="00B46A12"/>
    <w:rsid w:val="00B47CCF"/>
    <w:rsid w:val="00B50F16"/>
    <w:rsid w:val="00B51087"/>
    <w:rsid w:val="00B51129"/>
    <w:rsid w:val="00B52AF8"/>
    <w:rsid w:val="00B54357"/>
    <w:rsid w:val="00B551AD"/>
    <w:rsid w:val="00B55DCC"/>
    <w:rsid w:val="00B56E3B"/>
    <w:rsid w:val="00B60B6E"/>
    <w:rsid w:val="00B62A6D"/>
    <w:rsid w:val="00B62C70"/>
    <w:rsid w:val="00B6529D"/>
    <w:rsid w:val="00B6623C"/>
    <w:rsid w:val="00B74520"/>
    <w:rsid w:val="00B75657"/>
    <w:rsid w:val="00B80622"/>
    <w:rsid w:val="00B836AC"/>
    <w:rsid w:val="00B84168"/>
    <w:rsid w:val="00B86167"/>
    <w:rsid w:val="00B87F7E"/>
    <w:rsid w:val="00B9167E"/>
    <w:rsid w:val="00B91FE1"/>
    <w:rsid w:val="00B938BD"/>
    <w:rsid w:val="00B93C5E"/>
    <w:rsid w:val="00BA2EF2"/>
    <w:rsid w:val="00BA412A"/>
    <w:rsid w:val="00BA486F"/>
    <w:rsid w:val="00BA5638"/>
    <w:rsid w:val="00BA6291"/>
    <w:rsid w:val="00BA7618"/>
    <w:rsid w:val="00BB04F2"/>
    <w:rsid w:val="00BB0933"/>
    <w:rsid w:val="00BB0E68"/>
    <w:rsid w:val="00BB39F7"/>
    <w:rsid w:val="00BB4CA4"/>
    <w:rsid w:val="00BB4DF1"/>
    <w:rsid w:val="00BB55AE"/>
    <w:rsid w:val="00BB5A1D"/>
    <w:rsid w:val="00BB60CA"/>
    <w:rsid w:val="00BB740F"/>
    <w:rsid w:val="00BB7441"/>
    <w:rsid w:val="00BB7D44"/>
    <w:rsid w:val="00BC2541"/>
    <w:rsid w:val="00BC3287"/>
    <w:rsid w:val="00BC4F83"/>
    <w:rsid w:val="00BC5616"/>
    <w:rsid w:val="00BC6779"/>
    <w:rsid w:val="00BC749F"/>
    <w:rsid w:val="00BC7570"/>
    <w:rsid w:val="00BD1E7C"/>
    <w:rsid w:val="00BD2986"/>
    <w:rsid w:val="00BD4564"/>
    <w:rsid w:val="00BD62B4"/>
    <w:rsid w:val="00BD6B7E"/>
    <w:rsid w:val="00BE0037"/>
    <w:rsid w:val="00BE1F60"/>
    <w:rsid w:val="00BE2EFB"/>
    <w:rsid w:val="00BF0B66"/>
    <w:rsid w:val="00BF21B9"/>
    <w:rsid w:val="00BF32D2"/>
    <w:rsid w:val="00BF5A23"/>
    <w:rsid w:val="00BF7CF6"/>
    <w:rsid w:val="00C0229D"/>
    <w:rsid w:val="00C02BCF"/>
    <w:rsid w:val="00C032D2"/>
    <w:rsid w:val="00C03776"/>
    <w:rsid w:val="00C04D3E"/>
    <w:rsid w:val="00C05894"/>
    <w:rsid w:val="00C07061"/>
    <w:rsid w:val="00C078B5"/>
    <w:rsid w:val="00C07A75"/>
    <w:rsid w:val="00C07DC4"/>
    <w:rsid w:val="00C11040"/>
    <w:rsid w:val="00C1287A"/>
    <w:rsid w:val="00C1622A"/>
    <w:rsid w:val="00C21C41"/>
    <w:rsid w:val="00C22D23"/>
    <w:rsid w:val="00C24277"/>
    <w:rsid w:val="00C2648A"/>
    <w:rsid w:val="00C312B7"/>
    <w:rsid w:val="00C3141A"/>
    <w:rsid w:val="00C3355C"/>
    <w:rsid w:val="00C33C3C"/>
    <w:rsid w:val="00C34CBE"/>
    <w:rsid w:val="00C41389"/>
    <w:rsid w:val="00C429C8"/>
    <w:rsid w:val="00C47F4F"/>
    <w:rsid w:val="00C5016E"/>
    <w:rsid w:val="00C504E8"/>
    <w:rsid w:val="00C52030"/>
    <w:rsid w:val="00C52D30"/>
    <w:rsid w:val="00C5321A"/>
    <w:rsid w:val="00C55C98"/>
    <w:rsid w:val="00C5751C"/>
    <w:rsid w:val="00C616C1"/>
    <w:rsid w:val="00C66447"/>
    <w:rsid w:val="00C72108"/>
    <w:rsid w:val="00C7679B"/>
    <w:rsid w:val="00C801F5"/>
    <w:rsid w:val="00C8059B"/>
    <w:rsid w:val="00C806DC"/>
    <w:rsid w:val="00C83374"/>
    <w:rsid w:val="00C836A9"/>
    <w:rsid w:val="00C8771E"/>
    <w:rsid w:val="00C91073"/>
    <w:rsid w:val="00C92F7C"/>
    <w:rsid w:val="00C93C71"/>
    <w:rsid w:val="00C96F2A"/>
    <w:rsid w:val="00CA0C6E"/>
    <w:rsid w:val="00CA2161"/>
    <w:rsid w:val="00CA5E5F"/>
    <w:rsid w:val="00CA6F43"/>
    <w:rsid w:val="00CB0320"/>
    <w:rsid w:val="00CB0AC9"/>
    <w:rsid w:val="00CB1319"/>
    <w:rsid w:val="00CB2160"/>
    <w:rsid w:val="00CB3CCE"/>
    <w:rsid w:val="00CC0ACC"/>
    <w:rsid w:val="00CC1D42"/>
    <w:rsid w:val="00CC3178"/>
    <w:rsid w:val="00CC4804"/>
    <w:rsid w:val="00CC6BDC"/>
    <w:rsid w:val="00CC7512"/>
    <w:rsid w:val="00CD092C"/>
    <w:rsid w:val="00CD17A0"/>
    <w:rsid w:val="00CD1981"/>
    <w:rsid w:val="00CD1A6D"/>
    <w:rsid w:val="00CD2FB8"/>
    <w:rsid w:val="00CD3539"/>
    <w:rsid w:val="00CD39E1"/>
    <w:rsid w:val="00CD4107"/>
    <w:rsid w:val="00CE63B0"/>
    <w:rsid w:val="00CF0E38"/>
    <w:rsid w:val="00CF26FE"/>
    <w:rsid w:val="00CF33DB"/>
    <w:rsid w:val="00CF38F5"/>
    <w:rsid w:val="00CF3F89"/>
    <w:rsid w:val="00CF5BCD"/>
    <w:rsid w:val="00CF7C65"/>
    <w:rsid w:val="00D0037E"/>
    <w:rsid w:val="00D02706"/>
    <w:rsid w:val="00D06D78"/>
    <w:rsid w:val="00D12A54"/>
    <w:rsid w:val="00D15DBA"/>
    <w:rsid w:val="00D20DF2"/>
    <w:rsid w:val="00D2159E"/>
    <w:rsid w:val="00D2286F"/>
    <w:rsid w:val="00D237C2"/>
    <w:rsid w:val="00D243D0"/>
    <w:rsid w:val="00D320D6"/>
    <w:rsid w:val="00D32C3F"/>
    <w:rsid w:val="00D335CF"/>
    <w:rsid w:val="00D33F7C"/>
    <w:rsid w:val="00D408ED"/>
    <w:rsid w:val="00D41B5B"/>
    <w:rsid w:val="00D41E65"/>
    <w:rsid w:val="00D4603C"/>
    <w:rsid w:val="00D4604A"/>
    <w:rsid w:val="00D477CE"/>
    <w:rsid w:val="00D5098B"/>
    <w:rsid w:val="00D53DA2"/>
    <w:rsid w:val="00D5519F"/>
    <w:rsid w:val="00D55314"/>
    <w:rsid w:val="00D606E7"/>
    <w:rsid w:val="00D60A63"/>
    <w:rsid w:val="00D6149F"/>
    <w:rsid w:val="00D62021"/>
    <w:rsid w:val="00D654BB"/>
    <w:rsid w:val="00D675A0"/>
    <w:rsid w:val="00D67F13"/>
    <w:rsid w:val="00D7173E"/>
    <w:rsid w:val="00D75EDC"/>
    <w:rsid w:val="00D76688"/>
    <w:rsid w:val="00D80AD0"/>
    <w:rsid w:val="00D81BA2"/>
    <w:rsid w:val="00D8364E"/>
    <w:rsid w:val="00D84EFD"/>
    <w:rsid w:val="00D85CA2"/>
    <w:rsid w:val="00D86C6D"/>
    <w:rsid w:val="00D87E6B"/>
    <w:rsid w:val="00D94A41"/>
    <w:rsid w:val="00D96BA2"/>
    <w:rsid w:val="00D97431"/>
    <w:rsid w:val="00DA16E4"/>
    <w:rsid w:val="00DA1AD3"/>
    <w:rsid w:val="00DA237B"/>
    <w:rsid w:val="00DA33FF"/>
    <w:rsid w:val="00DA34AC"/>
    <w:rsid w:val="00DA36D1"/>
    <w:rsid w:val="00DA4A70"/>
    <w:rsid w:val="00DA4F49"/>
    <w:rsid w:val="00DA56B0"/>
    <w:rsid w:val="00DA6489"/>
    <w:rsid w:val="00DB0517"/>
    <w:rsid w:val="00DB0C00"/>
    <w:rsid w:val="00DB18D6"/>
    <w:rsid w:val="00DB2A53"/>
    <w:rsid w:val="00DB53D9"/>
    <w:rsid w:val="00DB7F02"/>
    <w:rsid w:val="00DC1699"/>
    <w:rsid w:val="00DC33A6"/>
    <w:rsid w:val="00DC533F"/>
    <w:rsid w:val="00DC6AE9"/>
    <w:rsid w:val="00DD0D1E"/>
    <w:rsid w:val="00DD0DDA"/>
    <w:rsid w:val="00DD1333"/>
    <w:rsid w:val="00DD17AE"/>
    <w:rsid w:val="00DD4E74"/>
    <w:rsid w:val="00DD543E"/>
    <w:rsid w:val="00DD5443"/>
    <w:rsid w:val="00DD6DFB"/>
    <w:rsid w:val="00DE0BFC"/>
    <w:rsid w:val="00DE0D52"/>
    <w:rsid w:val="00DE18CB"/>
    <w:rsid w:val="00DE1C45"/>
    <w:rsid w:val="00DE68C4"/>
    <w:rsid w:val="00DF156E"/>
    <w:rsid w:val="00E0007C"/>
    <w:rsid w:val="00E004C8"/>
    <w:rsid w:val="00E011A2"/>
    <w:rsid w:val="00E0227E"/>
    <w:rsid w:val="00E041E9"/>
    <w:rsid w:val="00E05E62"/>
    <w:rsid w:val="00E07256"/>
    <w:rsid w:val="00E1050E"/>
    <w:rsid w:val="00E116AE"/>
    <w:rsid w:val="00E11BE0"/>
    <w:rsid w:val="00E12437"/>
    <w:rsid w:val="00E13C07"/>
    <w:rsid w:val="00E1715B"/>
    <w:rsid w:val="00E21AF8"/>
    <w:rsid w:val="00E22F81"/>
    <w:rsid w:val="00E242D8"/>
    <w:rsid w:val="00E26EF6"/>
    <w:rsid w:val="00E30776"/>
    <w:rsid w:val="00E33B93"/>
    <w:rsid w:val="00E34B7D"/>
    <w:rsid w:val="00E35202"/>
    <w:rsid w:val="00E35555"/>
    <w:rsid w:val="00E3564C"/>
    <w:rsid w:val="00E36DBE"/>
    <w:rsid w:val="00E37812"/>
    <w:rsid w:val="00E44A6A"/>
    <w:rsid w:val="00E4702D"/>
    <w:rsid w:val="00E511F2"/>
    <w:rsid w:val="00E52D76"/>
    <w:rsid w:val="00E53553"/>
    <w:rsid w:val="00E54080"/>
    <w:rsid w:val="00E542E5"/>
    <w:rsid w:val="00E54B64"/>
    <w:rsid w:val="00E5506B"/>
    <w:rsid w:val="00E61896"/>
    <w:rsid w:val="00E61F47"/>
    <w:rsid w:val="00E62355"/>
    <w:rsid w:val="00E63284"/>
    <w:rsid w:val="00E640FC"/>
    <w:rsid w:val="00E6467F"/>
    <w:rsid w:val="00E66243"/>
    <w:rsid w:val="00E66A58"/>
    <w:rsid w:val="00E66F24"/>
    <w:rsid w:val="00E700F3"/>
    <w:rsid w:val="00E709CB"/>
    <w:rsid w:val="00E74F25"/>
    <w:rsid w:val="00E77365"/>
    <w:rsid w:val="00E821C2"/>
    <w:rsid w:val="00E868BB"/>
    <w:rsid w:val="00E90238"/>
    <w:rsid w:val="00E9095D"/>
    <w:rsid w:val="00E9528E"/>
    <w:rsid w:val="00E9735A"/>
    <w:rsid w:val="00E9791D"/>
    <w:rsid w:val="00EA0BE2"/>
    <w:rsid w:val="00EA10C3"/>
    <w:rsid w:val="00EA3D71"/>
    <w:rsid w:val="00EA4A30"/>
    <w:rsid w:val="00EA6F78"/>
    <w:rsid w:val="00EB2A91"/>
    <w:rsid w:val="00EB44CB"/>
    <w:rsid w:val="00EB486B"/>
    <w:rsid w:val="00EB56FD"/>
    <w:rsid w:val="00EB6C71"/>
    <w:rsid w:val="00EB74C5"/>
    <w:rsid w:val="00EB799C"/>
    <w:rsid w:val="00EC01A9"/>
    <w:rsid w:val="00EC26B6"/>
    <w:rsid w:val="00EC4AAA"/>
    <w:rsid w:val="00EC68F7"/>
    <w:rsid w:val="00ED3AAB"/>
    <w:rsid w:val="00ED40EA"/>
    <w:rsid w:val="00ED4F47"/>
    <w:rsid w:val="00ED6621"/>
    <w:rsid w:val="00ED725E"/>
    <w:rsid w:val="00ED7E3A"/>
    <w:rsid w:val="00EE00C2"/>
    <w:rsid w:val="00EE5FD0"/>
    <w:rsid w:val="00EE7296"/>
    <w:rsid w:val="00EF0613"/>
    <w:rsid w:val="00EF0E45"/>
    <w:rsid w:val="00EF501B"/>
    <w:rsid w:val="00EF7573"/>
    <w:rsid w:val="00EF7F18"/>
    <w:rsid w:val="00F00852"/>
    <w:rsid w:val="00F021A4"/>
    <w:rsid w:val="00F027DB"/>
    <w:rsid w:val="00F03AEF"/>
    <w:rsid w:val="00F04DF3"/>
    <w:rsid w:val="00F10C2F"/>
    <w:rsid w:val="00F21C5E"/>
    <w:rsid w:val="00F232D3"/>
    <w:rsid w:val="00F24372"/>
    <w:rsid w:val="00F26C1A"/>
    <w:rsid w:val="00F27CD5"/>
    <w:rsid w:val="00F34DC7"/>
    <w:rsid w:val="00F35C7E"/>
    <w:rsid w:val="00F40EC6"/>
    <w:rsid w:val="00F425CB"/>
    <w:rsid w:val="00F443C1"/>
    <w:rsid w:val="00F45FCB"/>
    <w:rsid w:val="00F53AD7"/>
    <w:rsid w:val="00F570AC"/>
    <w:rsid w:val="00F57579"/>
    <w:rsid w:val="00F60173"/>
    <w:rsid w:val="00F603CD"/>
    <w:rsid w:val="00F626D9"/>
    <w:rsid w:val="00F6452F"/>
    <w:rsid w:val="00F65DE3"/>
    <w:rsid w:val="00F65EB4"/>
    <w:rsid w:val="00F6705D"/>
    <w:rsid w:val="00F670EA"/>
    <w:rsid w:val="00F74079"/>
    <w:rsid w:val="00F74907"/>
    <w:rsid w:val="00F7562A"/>
    <w:rsid w:val="00F761EB"/>
    <w:rsid w:val="00F77548"/>
    <w:rsid w:val="00F81E16"/>
    <w:rsid w:val="00F82434"/>
    <w:rsid w:val="00F835ED"/>
    <w:rsid w:val="00F83DBE"/>
    <w:rsid w:val="00F83E1B"/>
    <w:rsid w:val="00F84108"/>
    <w:rsid w:val="00F865C5"/>
    <w:rsid w:val="00F903B0"/>
    <w:rsid w:val="00F91EAA"/>
    <w:rsid w:val="00F94224"/>
    <w:rsid w:val="00F9451D"/>
    <w:rsid w:val="00F94782"/>
    <w:rsid w:val="00F9652E"/>
    <w:rsid w:val="00F97F28"/>
    <w:rsid w:val="00FA441A"/>
    <w:rsid w:val="00FA5259"/>
    <w:rsid w:val="00FA598C"/>
    <w:rsid w:val="00FA6B06"/>
    <w:rsid w:val="00FA76E6"/>
    <w:rsid w:val="00FB0854"/>
    <w:rsid w:val="00FB0D3C"/>
    <w:rsid w:val="00FB20F5"/>
    <w:rsid w:val="00FB262E"/>
    <w:rsid w:val="00FB39C1"/>
    <w:rsid w:val="00FB4708"/>
    <w:rsid w:val="00FB55BB"/>
    <w:rsid w:val="00FB75DB"/>
    <w:rsid w:val="00FB7FFD"/>
    <w:rsid w:val="00FC0305"/>
    <w:rsid w:val="00FC2955"/>
    <w:rsid w:val="00FC6264"/>
    <w:rsid w:val="00FC64F9"/>
    <w:rsid w:val="00FC6E5C"/>
    <w:rsid w:val="00FC7CA8"/>
    <w:rsid w:val="00FD0033"/>
    <w:rsid w:val="00FD020E"/>
    <w:rsid w:val="00FD1306"/>
    <w:rsid w:val="00FD3D19"/>
    <w:rsid w:val="00FD6E40"/>
    <w:rsid w:val="00FE0873"/>
    <w:rsid w:val="00FE1C18"/>
    <w:rsid w:val="00FE2E5E"/>
    <w:rsid w:val="00FE3D3E"/>
    <w:rsid w:val="00FE47BB"/>
    <w:rsid w:val="00FE4970"/>
    <w:rsid w:val="00FE4F51"/>
    <w:rsid w:val="00FF1200"/>
    <w:rsid w:val="00FF1CF0"/>
    <w:rsid w:val="00FF4A20"/>
    <w:rsid w:val="00FF701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AEDBB"/>
  <w15:docId w15:val="{0D9D54B1-2AE2-8445-8E6C-5F8D5637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9056A"/>
  </w:style>
  <w:style w:type="character" w:customStyle="1" w:styleId="FooterChar">
    <w:name w:val="Footer Char"/>
    <w:basedOn w:val="DefaultParagraphFont"/>
    <w:link w:val="Footer"/>
    <w:uiPriority w:val="99"/>
    <w:qFormat/>
    <w:rsid w:val="00A9056A"/>
  </w:style>
  <w:style w:type="character" w:customStyle="1" w:styleId="BalloonTextChar">
    <w:name w:val="Balloon Text Char"/>
    <w:basedOn w:val="DefaultParagraphFont"/>
    <w:link w:val="BalloonText"/>
    <w:uiPriority w:val="99"/>
    <w:semiHidden/>
    <w:qFormat/>
    <w:rsid w:val="00D2159E"/>
    <w:rPr>
      <w:rFonts w:ascii="Times New Roman" w:hAnsi="Times New Roman"/>
      <w:sz w:val="18"/>
      <w:szCs w:val="18"/>
    </w:rPr>
  </w:style>
  <w:style w:type="character" w:styleId="CommentReference">
    <w:name w:val="annotation reference"/>
    <w:basedOn w:val="DefaultParagraphFont"/>
    <w:uiPriority w:val="99"/>
    <w:semiHidden/>
    <w:unhideWhenUsed/>
    <w:rsid w:val="00B05021"/>
    <w:rPr>
      <w:sz w:val="18"/>
      <w:szCs w:val="18"/>
    </w:rPr>
  </w:style>
  <w:style w:type="character" w:customStyle="1" w:styleId="CommentTextChar">
    <w:name w:val="Comment Text Char"/>
    <w:basedOn w:val="DefaultParagraphFont"/>
    <w:link w:val="CommentText"/>
    <w:uiPriority w:val="99"/>
    <w:semiHidden/>
    <w:qFormat/>
    <w:rsid w:val="00B05021"/>
  </w:style>
  <w:style w:type="character" w:customStyle="1" w:styleId="CommentSubjectChar">
    <w:name w:val="Comment Subject Char"/>
    <w:basedOn w:val="CommentTextChar"/>
    <w:link w:val="CommentSubject"/>
    <w:uiPriority w:val="99"/>
    <w:semiHidden/>
    <w:qFormat/>
    <w:rsid w:val="00B05021"/>
    <w:rPr>
      <w:b/>
      <w:bCs/>
      <w:sz w:val="20"/>
      <w:szCs w:val="20"/>
    </w:rPr>
  </w:style>
  <w:style w:type="character" w:customStyle="1" w:styleId="InternetLink">
    <w:name w:val="Internet Link"/>
    <w:basedOn w:val="DefaultParagraphFont"/>
    <w:uiPriority w:val="99"/>
    <w:semiHidden/>
    <w:unhideWhenUsed/>
    <w:rsid w:val="00717033"/>
    <w:rPr>
      <w:color w:val="0000FF"/>
      <w:u w:val="single"/>
    </w:rPr>
  </w:style>
  <w:style w:type="character" w:customStyle="1" w:styleId="apple-converted-space">
    <w:name w:val="apple-converted-space"/>
    <w:basedOn w:val="DefaultParagraphFont"/>
    <w:rsid w:val="00717033"/>
  </w:style>
  <w:style w:type="character" w:customStyle="1" w:styleId="jrnl">
    <w:name w:val="jrnl"/>
    <w:basedOn w:val="DefaultParagraphFont"/>
    <w:rsid w:val="00717033"/>
  </w:style>
  <w:style w:type="character" w:styleId="PlaceholderText">
    <w:name w:val="Placeholder Text"/>
    <w:basedOn w:val="DefaultParagraphFont"/>
    <w:uiPriority w:val="99"/>
    <w:semiHidden/>
    <w:rsid w:val="00D654BB"/>
    <w:rPr>
      <w:color w:val="808080"/>
    </w:rPr>
  </w:style>
  <w:style w:type="character" w:styleId="PageNumber">
    <w:name w:val="page number"/>
    <w:basedOn w:val="DefaultParagraphFont"/>
    <w:uiPriority w:val="99"/>
    <w:semiHidden/>
    <w:unhideWhenUsed/>
    <w:rsid w:val="0031708C"/>
  </w:style>
  <w:style w:type="character" w:styleId="LineNumber">
    <w:name w:val="line number"/>
    <w:basedOn w:val="DefaultParagraphFont"/>
    <w:uiPriority w:val="99"/>
    <w:semiHidden/>
    <w:unhideWhenUsed/>
    <w:rsid w:val="0031708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A9056A"/>
    <w:pPr>
      <w:tabs>
        <w:tab w:val="center" w:pos="4680"/>
        <w:tab w:val="right" w:pos="9360"/>
      </w:tabs>
    </w:pPr>
  </w:style>
  <w:style w:type="paragraph" w:styleId="Footer">
    <w:name w:val="footer"/>
    <w:basedOn w:val="Normal"/>
    <w:link w:val="FooterChar"/>
    <w:uiPriority w:val="99"/>
    <w:unhideWhenUsed/>
    <w:rsid w:val="00A9056A"/>
    <w:pPr>
      <w:tabs>
        <w:tab w:val="center" w:pos="4680"/>
        <w:tab w:val="right" w:pos="9360"/>
      </w:tabs>
    </w:pPr>
  </w:style>
  <w:style w:type="paragraph" w:styleId="ListParagraph">
    <w:name w:val="List Paragraph"/>
    <w:basedOn w:val="Normal"/>
    <w:uiPriority w:val="34"/>
    <w:qFormat/>
    <w:rsid w:val="00B46A12"/>
    <w:pPr>
      <w:ind w:left="720"/>
      <w:contextualSpacing/>
    </w:pPr>
  </w:style>
  <w:style w:type="paragraph" w:styleId="BalloonText">
    <w:name w:val="Balloon Text"/>
    <w:basedOn w:val="Normal"/>
    <w:link w:val="BalloonTextChar"/>
    <w:uiPriority w:val="99"/>
    <w:semiHidden/>
    <w:unhideWhenUsed/>
    <w:rsid w:val="00D2159E"/>
    <w:rPr>
      <w:rFonts w:ascii="Times New Roman" w:hAnsi="Times New Roman"/>
      <w:sz w:val="18"/>
      <w:szCs w:val="18"/>
    </w:rPr>
  </w:style>
  <w:style w:type="paragraph" w:styleId="CommentText">
    <w:name w:val="annotation text"/>
    <w:basedOn w:val="Normal"/>
    <w:link w:val="CommentTextChar"/>
    <w:uiPriority w:val="99"/>
    <w:semiHidden/>
    <w:unhideWhenUsed/>
    <w:rsid w:val="00B05021"/>
  </w:style>
  <w:style w:type="paragraph" w:styleId="CommentSubject">
    <w:name w:val="annotation subject"/>
    <w:basedOn w:val="CommentText"/>
    <w:next w:val="CommentText"/>
    <w:link w:val="CommentSubjectChar"/>
    <w:uiPriority w:val="99"/>
    <w:semiHidden/>
    <w:unhideWhenUsed/>
    <w:rsid w:val="00B05021"/>
    <w:rPr>
      <w:b/>
      <w:bCs/>
      <w:sz w:val="20"/>
      <w:szCs w:val="20"/>
    </w:rPr>
  </w:style>
  <w:style w:type="paragraph" w:styleId="Revision">
    <w:name w:val="Revision"/>
    <w:hidden/>
    <w:uiPriority w:val="99"/>
    <w:semiHidden/>
    <w:rsid w:val="00893BDA"/>
  </w:style>
  <w:style w:type="paragraph" w:customStyle="1" w:styleId="Title1">
    <w:name w:val="Title1"/>
    <w:basedOn w:val="Normal"/>
    <w:rsid w:val="00717033"/>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717033"/>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7170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037E"/>
    <w:rPr>
      <w:color w:val="0000FF"/>
      <w:u w:val="single"/>
    </w:rPr>
  </w:style>
  <w:style w:type="paragraph" w:styleId="FootnoteText">
    <w:name w:val="footnote text"/>
    <w:basedOn w:val="Normal"/>
    <w:link w:val="FootnoteTextChar"/>
    <w:uiPriority w:val="99"/>
    <w:semiHidden/>
    <w:unhideWhenUsed/>
    <w:rsid w:val="0014469D"/>
    <w:rPr>
      <w:sz w:val="20"/>
      <w:szCs w:val="20"/>
    </w:rPr>
  </w:style>
  <w:style w:type="character" w:customStyle="1" w:styleId="FootnoteTextChar">
    <w:name w:val="Footnote Text Char"/>
    <w:basedOn w:val="DefaultParagraphFont"/>
    <w:link w:val="FootnoteText"/>
    <w:uiPriority w:val="99"/>
    <w:semiHidden/>
    <w:rsid w:val="0014469D"/>
    <w:rPr>
      <w:sz w:val="20"/>
      <w:szCs w:val="20"/>
    </w:rPr>
  </w:style>
  <w:style w:type="character" w:styleId="FootnoteReference">
    <w:name w:val="footnote reference"/>
    <w:basedOn w:val="DefaultParagraphFont"/>
    <w:uiPriority w:val="99"/>
    <w:semiHidden/>
    <w:unhideWhenUsed/>
    <w:rsid w:val="0014469D"/>
    <w:rPr>
      <w:vertAlign w:val="superscript"/>
    </w:rPr>
  </w:style>
  <w:style w:type="character" w:customStyle="1" w:styleId="UnresolvedMention1">
    <w:name w:val="Unresolved Mention1"/>
    <w:basedOn w:val="DefaultParagraphFont"/>
    <w:uiPriority w:val="99"/>
    <w:rsid w:val="00131D3C"/>
    <w:rPr>
      <w:color w:val="808080"/>
      <w:shd w:val="clear" w:color="auto" w:fill="E6E6E6"/>
    </w:rPr>
  </w:style>
  <w:style w:type="character" w:customStyle="1" w:styleId="UnresolvedMention">
    <w:name w:val="Unresolved Mention"/>
    <w:basedOn w:val="DefaultParagraphFont"/>
    <w:uiPriority w:val="99"/>
    <w:semiHidden/>
    <w:unhideWhenUsed/>
    <w:rsid w:val="00BE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86">
      <w:bodyDiv w:val="1"/>
      <w:marLeft w:val="0"/>
      <w:marRight w:val="0"/>
      <w:marTop w:val="0"/>
      <w:marBottom w:val="0"/>
      <w:divBdr>
        <w:top w:val="none" w:sz="0" w:space="0" w:color="auto"/>
        <w:left w:val="none" w:sz="0" w:space="0" w:color="auto"/>
        <w:bottom w:val="none" w:sz="0" w:space="0" w:color="auto"/>
        <w:right w:val="none" w:sz="0" w:space="0" w:color="auto"/>
      </w:divBdr>
    </w:div>
    <w:div w:id="181014313">
      <w:bodyDiv w:val="1"/>
      <w:marLeft w:val="0"/>
      <w:marRight w:val="0"/>
      <w:marTop w:val="0"/>
      <w:marBottom w:val="0"/>
      <w:divBdr>
        <w:top w:val="none" w:sz="0" w:space="0" w:color="auto"/>
        <w:left w:val="none" w:sz="0" w:space="0" w:color="auto"/>
        <w:bottom w:val="none" w:sz="0" w:space="0" w:color="auto"/>
        <w:right w:val="none" w:sz="0" w:space="0" w:color="auto"/>
      </w:divBdr>
      <w:divsChild>
        <w:div w:id="322898403">
          <w:marLeft w:val="259"/>
          <w:marRight w:val="0"/>
          <w:marTop w:val="240"/>
          <w:marBottom w:val="0"/>
          <w:divBdr>
            <w:top w:val="none" w:sz="0" w:space="0" w:color="auto"/>
            <w:left w:val="none" w:sz="0" w:space="0" w:color="auto"/>
            <w:bottom w:val="none" w:sz="0" w:space="0" w:color="auto"/>
            <w:right w:val="none" w:sz="0" w:space="0" w:color="auto"/>
          </w:divBdr>
        </w:div>
        <w:div w:id="768475937">
          <w:marLeft w:val="259"/>
          <w:marRight w:val="0"/>
          <w:marTop w:val="240"/>
          <w:marBottom w:val="0"/>
          <w:divBdr>
            <w:top w:val="none" w:sz="0" w:space="0" w:color="auto"/>
            <w:left w:val="none" w:sz="0" w:space="0" w:color="auto"/>
            <w:bottom w:val="none" w:sz="0" w:space="0" w:color="auto"/>
            <w:right w:val="none" w:sz="0" w:space="0" w:color="auto"/>
          </w:divBdr>
        </w:div>
        <w:div w:id="1075401237">
          <w:marLeft w:val="259"/>
          <w:marRight w:val="0"/>
          <w:marTop w:val="240"/>
          <w:marBottom w:val="0"/>
          <w:divBdr>
            <w:top w:val="none" w:sz="0" w:space="0" w:color="auto"/>
            <w:left w:val="none" w:sz="0" w:space="0" w:color="auto"/>
            <w:bottom w:val="none" w:sz="0" w:space="0" w:color="auto"/>
            <w:right w:val="none" w:sz="0" w:space="0" w:color="auto"/>
          </w:divBdr>
        </w:div>
        <w:div w:id="1276253497">
          <w:marLeft w:val="259"/>
          <w:marRight w:val="0"/>
          <w:marTop w:val="240"/>
          <w:marBottom w:val="0"/>
          <w:divBdr>
            <w:top w:val="none" w:sz="0" w:space="0" w:color="auto"/>
            <w:left w:val="none" w:sz="0" w:space="0" w:color="auto"/>
            <w:bottom w:val="none" w:sz="0" w:space="0" w:color="auto"/>
            <w:right w:val="none" w:sz="0" w:space="0" w:color="auto"/>
          </w:divBdr>
        </w:div>
        <w:div w:id="1830442620">
          <w:marLeft w:val="720"/>
          <w:marRight w:val="0"/>
          <w:marTop w:val="240"/>
          <w:marBottom w:val="0"/>
          <w:divBdr>
            <w:top w:val="none" w:sz="0" w:space="0" w:color="auto"/>
            <w:left w:val="none" w:sz="0" w:space="0" w:color="auto"/>
            <w:bottom w:val="none" w:sz="0" w:space="0" w:color="auto"/>
            <w:right w:val="none" w:sz="0" w:space="0" w:color="auto"/>
          </w:divBdr>
        </w:div>
      </w:divsChild>
    </w:div>
    <w:div w:id="442463820">
      <w:bodyDiv w:val="1"/>
      <w:marLeft w:val="0"/>
      <w:marRight w:val="0"/>
      <w:marTop w:val="0"/>
      <w:marBottom w:val="0"/>
      <w:divBdr>
        <w:top w:val="none" w:sz="0" w:space="0" w:color="auto"/>
        <w:left w:val="none" w:sz="0" w:space="0" w:color="auto"/>
        <w:bottom w:val="none" w:sz="0" w:space="0" w:color="auto"/>
        <w:right w:val="none" w:sz="0" w:space="0" w:color="auto"/>
      </w:divBdr>
    </w:div>
    <w:div w:id="455373796">
      <w:bodyDiv w:val="1"/>
      <w:marLeft w:val="0"/>
      <w:marRight w:val="0"/>
      <w:marTop w:val="0"/>
      <w:marBottom w:val="0"/>
      <w:divBdr>
        <w:top w:val="none" w:sz="0" w:space="0" w:color="auto"/>
        <w:left w:val="none" w:sz="0" w:space="0" w:color="auto"/>
        <w:bottom w:val="none" w:sz="0" w:space="0" w:color="auto"/>
        <w:right w:val="none" w:sz="0" w:space="0" w:color="auto"/>
      </w:divBdr>
    </w:div>
    <w:div w:id="462576594">
      <w:bodyDiv w:val="1"/>
      <w:marLeft w:val="0"/>
      <w:marRight w:val="0"/>
      <w:marTop w:val="0"/>
      <w:marBottom w:val="0"/>
      <w:divBdr>
        <w:top w:val="none" w:sz="0" w:space="0" w:color="auto"/>
        <w:left w:val="none" w:sz="0" w:space="0" w:color="auto"/>
        <w:bottom w:val="none" w:sz="0" w:space="0" w:color="auto"/>
        <w:right w:val="none" w:sz="0" w:space="0" w:color="auto"/>
      </w:divBdr>
    </w:div>
    <w:div w:id="464354461">
      <w:bodyDiv w:val="1"/>
      <w:marLeft w:val="0"/>
      <w:marRight w:val="0"/>
      <w:marTop w:val="0"/>
      <w:marBottom w:val="0"/>
      <w:divBdr>
        <w:top w:val="none" w:sz="0" w:space="0" w:color="auto"/>
        <w:left w:val="none" w:sz="0" w:space="0" w:color="auto"/>
        <w:bottom w:val="none" w:sz="0" w:space="0" w:color="auto"/>
        <w:right w:val="none" w:sz="0" w:space="0" w:color="auto"/>
      </w:divBdr>
      <w:divsChild>
        <w:div w:id="439490536">
          <w:marLeft w:val="720"/>
          <w:marRight w:val="0"/>
          <w:marTop w:val="240"/>
          <w:marBottom w:val="0"/>
          <w:divBdr>
            <w:top w:val="none" w:sz="0" w:space="0" w:color="auto"/>
            <w:left w:val="none" w:sz="0" w:space="0" w:color="auto"/>
            <w:bottom w:val="none" w:sz="0" w:space="0" w:color="auto"/>
            <w:right w:val="none" w:sz="0" w:space="0" w:color="auto"/>
          </w:divBdr>
        </w:div>
        <w:div w:id="530265753">
          <w:marLeft w:val="720"/>
          <w:marRight w:val="0"/>
          <w:marTop w:val="240"/>
          <w:marBottom w:val="0"/>
          <w:divBdr>
            <w:top w:val="none" w:sz="0" w:space="0" w:color="auto"/>
            <w:left w:val="none" w:sz="0" w:space="0" w:color="auto"/>
            <w:bottom w:val="none" w:sz="0" w:space="0" w:color="auto"/>
            <w:right w:val="none" w:sz="0" w:space="0" w:color="auto"/>
          </w:divBdr>
        </w:div>
        <w:div w:id="655914493">
          <w:marLeft w:val="259"/>
          <w:marRight w:val="0"/>
          <w:marTop w:val="240"/>
          <w:marBottom w:val="0"/>
          <w:divBdr>
            <w:top w:val="none" w:sz="0" w:space="0" w:color="auto"/>
            <w:left w:val="none" w:sz="0" w:space="0" w:color="auto"/>
            <w:bottom w:val="none" w:sz="0" w:space="0" w:color="auto"/>
            <w:right w:val="none" w:sz="0" w:space="0" w:color="auto"/>
          </w:divBdr>
        </w:div>
        <w:div w:id="1158837290">
          <w:marLeft w:val="720"/>
          <w:marRight w:val="0"/>
          <w:marTop w:val="240"/>
          <w:marBottom w:val="0"/>
          <w:divBdr>
            <w:top w:val="none" w:sz="0" w:space="0" w:color="auto"/>
            <w:left w:val="none" w:sz="0" w:space="0" w:color="auto"/>
            <w:bottom w:val="none" w:sz="0" w:space="0" w:color="auto"/>
            <w:right w:val="none" w:sz="0" w:space="0" w:color="auto"/>
          </w:divBdr>
        </w:div>
        <w:div w:id="1198809316">
          <w:marLeft w:val="720"/>
          <w:marRight w:val="0"/>
          <w:marTop w:val="240"/>
          <w:marBottom w:val="0"/>
          <w:divBdr>
            <w:top w:val="none" w:sz="0" w:space="0" w:color="auto"/>
            <w:left w:val="none" w:sz="0" w:space="0" w:color="auto"/>
            <w:bottom w:val="none" w:sz="0" w:space="0" w:color="auto"/>
            <w:right w:val="none" w:sz="0" w:space="0" w:color="auto"/>
          </w:divBdr>
        </w:div>
        <w:div w:id="1678000291">
          <w:marLeft w:val="259"/>
          <w:marRight w:val="0"/>
          <w:marTop w:val="240"/>
          <w:marBottom w:val="0"/>
          <w:divBdr>
            <w:top w:val="none" w:sz="0" w:space="0" w:color="auto"/>
            <w:left w:val="none" w:sz="0" w:space="0" w:color="auto"/>
            <w:bottom w:val="none" w:sz="0" w:space="0" w:color="auto"/>
            <w:right w:val="none" w:sz="0" w:space="0" w:color="auto"/>
          </w:divBdr>
        </w:div>
        <w:div w:id="1708336274">
          <w:marLeft w:val="720"/>
          <w:marRight w:val="0"/>
          <w:marTop w:val="240"/>
          <w:marBottom w:val="0"/>
          <w:divBdr>
            <w:top w:val="none" w:sz="0" w:space="0" w:color="auto"/>
            <w:left w:val="none" w:sz="0" w:space="0" w:color="auto"/>
            <w:bottom w:val="none" w:sz="0" w:space="0" w:color="auto"/>
            <w:right w:val="none" w:sz="0" w:space="0" w:color="auto"/>
          </w:divBdr>
        </w:div>
        <w:div w:id="2015259015">
          <w:marLeft w:val="720"/>
          <w:marRight w:val="0"/>
          <w:marTop w:val="240"/>
          <w:marBottom w:val="0"/>
          <w:divBdr>
            <w:top w:val="none" w:sz="0" w:space="0" w:color="auto"/>
            <w:left w:val="none" w:sz="0" w:space="0" w:color="auto"/>
            <w:bottom w:val="none" w:sz="0" w:space="0" w:color="auto"/>
            <w:right w:val="none" w:sz="0" w:space="0" w:color="auto"/>
          </w:divBdr>
        </w:div>
      </w:divsChild>
    </w:div>
    <w:div w:id="496849214">
      <w:bodyDiv w:val="1"/>
      <w:marLeft w:val="0"/>
      <w:marRight w:val="0"/>
      <w:marTop w:val="0"/>
      <w:marBottom w:val="0"/>
      <w:divBdr>
        <w:top w:val="none" w:sz="0" w:space="0" w:color="auto"/>
        <w:left w:val="none" w:sz="0" w:space="0" w:color="auto"/>
        <w:bottom w:val="none" w:sz="0" w:space="0" w:color="auto"/>
        <w:right w:val="none" w:sz="0" w:space="0" w:color="auto"/>
      </w:divBdr>
    </w:div>
    <w:div w:id="500897528">
      <w:bodyDiv w:val="1"/>
      <w:marLeft w:val="0"/>
      <w:marRight w:val="0"/>
      <w:marTop w:val="0"/>
      <w:marBottom w:val="0"/>
      <w:divBdr>
        <w:top w:val="none" w:sz="0" w:space="0" w:color="auto"/>
        <w:left w:val="none" w:sz="0" w:space="0" w:color="auto"/>
        <w:bottom w:val="none" w:sz="0" w:space="0" w:color="auto"/>
        <w:right w:val="none" w:sz="0" w:space="0" w:color="auto"/>
      </w:divBdr>
    </w:div>
    <w:div w:id="516583875">
      <w:bodyDiv w:val="1"/>
      <w:marLeft w:val="0"/>
      <w:marRight w:val="0"/>
      <w:marTop w:val="0"/>
      <w:marBottom w:val="0"/>
      <w:divBdr>
        <w:top w:val="none" w:sz="0" w:space="0" w:color="auto"/>
        <w:left w:val="none" w:sz="0" w:space="0" w:color="auto"/>
        <w:bottom w:val="none" w:sz="0" w:space="0" w:color="auto"/>
        <w:right w:val="none" w:sz="0" w:space="0" w:color="auto"/>
      </w:divBdr>
    </w:div>
    <w:div w:id="753402932">
      <w:bodyDiv w:val="1"/>
      <w:marLeft w:val="0"/>
      <w:marRight w:val="0"/>
      <w:marTop w:val="0"/>
      <w:marBottom w:val="0"/>
      <w:divBdr>
        <w:top w:val="none" w:sz="0" w:space="0" w:color="auto"/>
        <w:left w:val="none" w:sz="0" w:space="0" w:color="auto"/>
        <w:bottom w:val="none" w:sz="0" w:space="0" w:color="auto"/>
        <w:right w:val="none" w:sz="0" w:space="0" w:color="auto"/>
      </w:divBdr>
      <w:divsChild>
        <w:div w:id="28990212">
          <w:marLeft w:val="259"/>
          <w:marRight w:val="0"/>
          <w:marTop w:val="200"/>
          <w:marBottom w:val="0"/>
          <w:divBdr>
            <w:top w:val="none" w:sz="0" w:space="0" w:color="auto"/>
            <w:left w:val="none" w:sz="0" w:space="0" w:color="auto"/>
            <w:bottom w:val="none" w:sz="0" w:space="0" w:color="auto"/>
            <w:right w:val="none" w:sz="0" w:space="0" w:color="auto"/>
          </w:divBdr>
        </w:div>
        <w:div w:id="857818324">
          <w:marLeft w:val="259"/>
          <w:marRight w:val="0"/>
          <w:marTop w:val="200"/>
          <w:marBottom w:val="0"/>
          <w:divBdr>
            <w:top w:val="none" w:sz="0" w:space="0" w:color="auto"/>
            <w:left w:val="none" w:sz="0" w:space="0" w:color="auto"/>
            <w:bottom w:val="none" w:sz="0" w:space="0" w:color="auto"/>
            <w:right w:val="none" w:sz="0" w:space="0" w:color="auto"/>
          </w:divBdr>
        </w:div>
        <w:div w:id="897860624">
          <w:marLeft w:val="259"/>
          <w:marRight w:val="0"/>
          <w:marTop w:val="200"/>
          <w:marBottom w:val="0"/>
          <w:divBdr>
            <w:top w:val="none" w:sz="0" w:space="0" w:color="auto"/>
            <w:left w:val="none" w:sz="0" w:space="0" w:color="auto"/>
            <w:bottom w:val="none" w:sz="0" w:space="0" w:color="auto"/>
            <w:right w:val="none" w:sz="0" w:space="0" w:color="auto"/>
          </w:divBdr>
        </w:div>
        <w:div w:id="932519402">
          <w:marLeft w:val="259"/>
          <w:marRight w:val="0"/>
          <w:marTop w:val="200"/>
          <w:marBottom w:val="0"/>
          <w:divBdr>
            <w:top w:val="none" w:sz="0" w:space="0" w:color="auto"/>
            <w:left w:val="none" w:sz="0" w:space="0" w:color="auto"/>
            <w:bottom w:val="none" w:sz="0" w:space="0" w:color="auto"/>
            <w:right w:val="none" w:sz="0" w:space="0" w:color="auto"/>
          </w:divBdr>
        </w:div>
        <w:div w:id="985009474">
          <w:marLeft w:val="259"/>
          <w:marRight w:val="0"/>
          <w:marTop w:val="200"/>
          <w:marBottom w:val="0"/>
          <w:divBdr>
            <w:top w:val="none" w:sz="0" w:space="0" w:color="auto"/>
            <w:left w:val="none" w:sz="0" w:space="0" w:color="auto"/>
            <w:bottom w:val="none" w:sz="0" w:space="0" w:color="auto"/>
            <w:right w:val="none" w:sz="0" w:space="0" w:color="auto"/>
          </w:divBdr>
        </w:div>
        <w:div w:id="1147435725">
          <w:marLeft w:val="259"/>
          <w:marRight w:val="0"/>
          <w:marTop w:val="200"/>
          <w:marBottom w:val="0"/>
          <w:divBdr>
            <w:top w:val="none" w:sz="0" w:space="0" w:color="auto"/>
            <w:left w:val="none" w:sz="0" w:space="0" w:color="auto"/>
            <w:bottom w:val="none" w:sz="0" w:space="0" w:color="auto"/>
            <w:right w:val="none" w:sz="0" w:space="0" w:color="auto"/>
          </w:divBdr>
        </w:div>
        <w:div w:id="1234857768">
          <w:marLeft w:val="259"/>
          <w:marRight w:val="0"/>
          <w:marTop w:val="200"/>
          <w:marBottom w:val="0"/>
          <w:divBdr>
            <w:top w:val="none" w:sz="0" w:space="0" w:color="auto"/>
            <w:left w:val="none" w:sz="0" w:space="0" w:color="auto"/>
            <w:bottom w:val="none" w:sz="0" w:space="0" w:color="auto"/>
            <w:right w:val="none" w:sz="0" w:space="0" w:color="auto"/>
          </w:divBdr>
        </w:div>
        <w:div w:id="1945964424">
          <w:marLeft w:val="259"/>
          <w:marRight w:val="0"/>
          <w:marTop w:val="200"/>
          <w:marBottom w:val="0"/>
          <w:divBdr>
            <w:top w:val="none" w:sz="0" w:space="0" w:color="auto"/>
            <w:left w:val="none" w:sz="0" w:space="0" w:color="auto"/>
            <w:bottom w:val="none" w:sz="0" w:space="0" w:color="auto"/>
            <w:right w:val="none" w:sz="0" w:space="0" w:color="auto"/>
          </w:divBdr>
        </w:div>
        <w:div w:id="2081558324">
          <w:marLeft w:val="259"/>
          <w:marRight w:val="0"/>
          <w:marTop w:val="200"/>
          <w:marBottom w:val="0"/>
          <w:divBdr>
            <w:top w:val="none" w:sz="0" w:space="0" w:color="auto"/>
            <w:left w:val="none" w:sz="0" w:space="0" w:color="auto"/>
            <w:bottom w:val="none" w:sz="0" w:space="0" w:color="auto"/>
            <w:right w:val="none" w:sz="0" w:space="0" w:color="auto"/>
          </w:divBdr>
        </w:div>
      </w:divsChild>
    </w:div>
    <w:div w:id="768083632">
      <w:bodyDiv w:val="1"/>
      <w:marLeft w:val="0"/>
      <w:marRight w:val="0"/>
      <w:marTop w:val="0"/>
      <w:marBottom w:val="0"/>
      <w:divBdr>
        <w:top w:val="none" w:sz="0" w:space="0" w:color="auto"/>
        <w:left w:val="none" w:sz="0" w:space="0" w:color="auto"/>
        <w:bottom w:val="none" w:sz="0" w:space="0" w:color="auto"/>
        <w:right w:val="none" w:sz="0" w:space="0" w:color="auto"/>
      </w:divBdr>
    </w:div>
    <w:div w:id="905408894">
      <w:bodyDiv w:val="1"/>
      <w:marLeft w:val="0"/>
      <w:marRight w:val="0"/>
      <w:marTop w:val="0"/>
      <w:marBottom w:val="0"/>
      <w:divBdr>
        <w:top w:val="none" w:sz="0" w:space="0" w:color="auto"/>
        <w:left w:val="none" w:sz="0" w:space="0" w:color="auto"/>
        <w:bottom w:val="none" w:sz="0" w:space="0" w:color="auto"/>
        <w:right w:val="none" w:sz="0" w:space="0" w:color="auto"/>
      </w:divBdr>
    </w:div>
    <w:div w:id="993337456">
      <w:bodyDiv w:val="1"/>
      <w:marLeft w:val="0"/>
      <w:marRight w:val="0"/>
      <w:marTop w:val="0"/>
      <w:marBottom w:val="0"/>
      <w:divBdr>
        <w:top w:val="none" w:sz="0" w:space="0" w:color="auto"/>
        <w:left w:val="none" w:sz="0" w:space="0" w:color="auto"/>
        <w:bottom w:val="none" w:sz="0" w:space="0" w:color="auto"/>
        <w:right w:val="none" w:sz="0" w:space="0" w:color="auto"/>
      </w:divBdr>
    </w:div>
    <w:div w:id="1026367686">
      <w:bodyDiv w:val="1"/>
      <w:marLeft w:val="0"/>
      <w:marRight w:val="0"/>
      <w:marTop w:val="0"/>
      <w:marBottom w:val="0"/>
      <w:divBdr>
        <w:top w:val="none" w:sz="0" w:space="0" w:color="auto"/>
        <w:left w:val="none" w:sz="0" w:space="0" w:color="auto"/>
        <w:bottom w:val="none" w:sz="0" w:space="0" w:color="auto"/>
        <w:right w:val="none" w:sz="0" w:space="0" w:color="auto"/>
      </w:divBdr>
    </w:div>
    <w:div w:id="1131249104">
      <w:bodyDiv w:val="1"/>
      <w:marLeft w:val="0"/>
      <w:marRight w:val="0"/>
      <w:marTop w:val="0"/>
      <w:marBottom w:val="0"/>
      <w:divBdr>
        <w:top w:val="none" w:sz="0" w:space="0" w:color="auto"/>
        <w:left w:val="none" w:sz="0" w:space="0" w:color="auto"/>
        <w:bottom w:val="none" w:sz="0" w:space="0" w:color="auto"/>
        <w:right w:val="none" w:sz="0" w:space="0" w:color="auto"/>
      </w:divBdr>
    </w:div>
    <w:div w:id="1235778821">
      <w:bodyDiv w:val="1"/>
      <w:marLeft w:val="0"/>
      <w:marRight w:val="0"/>
      <w:marTop w:val="0"/>
      <w:marBottom w:val="0"/>
      <w:divBdr>
        <w:top w:val="none" w:sz="0" w:space="0" w:color="auto"/>
        <w:left w:val="none" w:sz="0" w:space="0" w:color="auto"/>
        <w:bottom w:val="none" w:sz="0" w:space="0" w:color="auto"/>
        <w:right w:val="none" w:sz="0" w:space="0" w:color="auto"/>
      </w:divBdr>
    </w:div>
    <w:div w:id="1258513800">
      <w:bodyDiv w:val="1"/>
      <w:marLeft w:val="0"/>
      <w:marRight w:val="0"/>
      <w:marTop w:val="0"/>
      <w:marBottom w:val="0"/>
      <w:divBdr>
        <w:top w:val="none" w:sz="0" w:space="0" w:color="auto"/>
        <w:left w:val="none" w:sz="0" w:space="0" w:color="auto"/>
        <w:bottom w:val="none" w:sz="0" w:space="0" w:color="auto"/>
        <w:right w:val="none" w:sz="0" w:space="0" w:color="auto"/>
      </w:divBdr>
    </w:div>
    <w:div w:id="1297032216">
      <w:bodyDiv w:val="1"/>
      <w:marLeft w:val="0"/>
      <w:marRight w:val="0"/>
      <w:marTop w:val="0"/>
      <w:marBottom w:val="0"/>
      <w:divBdr>
        <w:top w:val="none" w:sz="0" w:space="0" w:color="auto"/>
        <w:left w:val="none" w:sz="0" w:space="0" w:color="auto"/>
        <w:bottom w:val="none" w:sz="0" w:space="0" w:color="auto"/>
        <w:right w:val="none" w:sz="0" w:space="0" w:color="auto"/>
      </w:divBdr>
    </w:div>
    <w:div w:id="1592855639">
      <w:bodyDiv w:val="1"/>
      <w:marLeft w:val="0"/>
      <w:marRight w:val="0"/>
      <w:marTop w:val="0"/>
      <w:marBottom w:val="0"/>
      <w:divBdr>
        <w:top w:val="none" w:sz="0" w:space="0" w:color="auto"/>
        <w:left w:val="none" w:sz="0" w:space="0" w:color="auto"/>
        <w:bottom w:val="none" w:sz="0" w:space="0" w:color="auto"/>
        <w:right w:val="none" w:sz="0" w:space="0" w:color="auto"/>
      </w:divBdr>
      <w:divsChild>
        <w:div w:id="288557229">
          <w:marLeft w:val="259"/>
          <w:marRight w:val="0"/>
          <w:marTop w:val="240"/>
          <w:marBottom w:val="0"/>
          <w:divBdr>
            <w:top w:val="none" w:sz="0" w:space="0" w:color="auto"/>
            <w:left w:val="none" w:sz="0" w:space="0" w:color="auto"/>
            <w:bottom w:val="none" w:sz="0" w:space="0" w:color="auto"/>
            <w:right w:val="none" w:sz="0" w:space="0" w:color="auto"/>
          </w:divBdr>
        </w:div>
        <w:div w:id="378433117">
          <w:marLeft w:val="259"/>
          <w:marRight w:val="0"/>
          <w:marTop w:val="240"/>
          <w:marBottom w:val="0"/>
          <w:divBdr>
            <w:top w:val="none" w:sz="0" w:space="0" w:color="auto"/>
            <w:left w:val="none" w:sz="0" w:space="0" w:color="auto"/>
            <w:bottom w:val="none" w:sz="0" w:space="0" w:color="auto"/>
            <w:right w:val="none" w:sz="0" w:space="0" w:color="auto"/>
          </w:divBdr>
        </w:div>
        <w:div w:id="1110277154">
          <w:marLeft w:val="259"/>
          <w:marRight w:val="0"/>
          <w:marTop w:val="240"/>
          <w:marBottom w:val="0"/>
          <w:divBdr>
            <w:top w:val="none" w:sz="0" w:space="0" w:color="auto"/>
            <w:left w:val="none" w:sz="0" w:space="0" w:color="auto"/>
            <w:bottom w:val="none" w:sz="0" w:space="0" w:color="auto"/>
            <w:right w:val="none" w:sz="0" w:space="0" w:color="auto"/>
          </w:divBdr>
        </w:div>
        <w:div w:id="1603563900">
          <w:marLeft w:val="720"/>
          <w:marRight w:val="0"/>
          <w:marTop w:val="240"/>
          <w:marBottom w:val="0"/>
          <w:divBdr>
            <w:top w:val="none" w:sz="0" w:space="0" w:color="auto"/>
            <w:left w:val="none" w:sz="0" w:space="0" w:color="auto"/>
            <w:bottom w:val="none" w:sz="0" w:space="0" w:color="auto"/>
            <w:right w:val="none" w:sz="0" w:space="0" w:color="auto"/>
          </w:divBdr>
        </w:div>
        <w:div w:id="1964651653">
          <w:marLeft w:val="259"/>
          <w:marRight w:val="0"/>
          <w:marTop w:val="240"/>
          <w:marBottom w:val="0"/>
          <w:divBdr>
            <w:top w:val="none" w:sz="0" w:space="0" w:color="auto"/>
            <w:left w:val="none" w:sz="0" w:space="0" w:color="auto"/>
            <w:bottom w:val="none" w:sz="0" w:space="0" w:color="auto"/>
            <w:right w:val="none" w:sz="0" w:space="0" w:color="auto"/>
          </w:divBdr>
        </w:div>
        <w:div w:id="2122141457">
          <w:marLeft w:val="259"/>
          <w:marRight w:val="0"/>
          <w:marTop w:val="240"/>
          <w:marBottom w:val="0"/>
          <w:divBdr>
            <w:top w:val="none" w:sz="0" w:space="0" w:color="auto"/>
            <w:left w:val="none" w:sz="0" w:space="0" w:color="auto"/>
            <w:bottom w:val="none" w:sz="0" w:space="0" w:color="auto"/>
            <w:right w:val="none" w:sz="0" w:space="0" w:color="auto"/>
          </w:divBdr>
        </w:div>
      </w:divsChild>
    </w:div>
    <w:div w:id="1597783246">
      <w:bodyDiv w:val="1"/>
      <w:marLeft w:val="0"/>
      <w:marRight w:val="0"/>
      <w:marTop w:val="0"/>
      <w:marBottom w:val="0"/>
      <w:divBdr>
        <w:top w:val="none" w:sz="0" w:space="0" w:color="auto"/>
        <w:left w:val="none" w:sz="0" w:space="0" w:color="auto"/>
        <w:bottom w:val="none" w:sz="0" w:space="0" w:color="auto"/>
        <w:right w:val="none" w:sz="0" w:space="0" w:color="auto"/>
      </w:divBdr>
      <w:divsChild>
        <w:div w:id="1659728740">
          <w:marLeft w:val="0"/>
          <w:marRight w:val="0"/>
          <w:marTop w:val="0"/>
          <w:marBottom w:val="0"/>
          <w:divBdr>
            <w:top w:val="none" w:sz="0" w:space="0" w:color="auto"/>
            <w:left w:val="none" w:sz="0" w:space="0" w:color="auto"/>
            <w:bottom w:val="none" w:sz="0" w:space="0" w:color="auto"/>
            <w:right w:val="none" w:sz="0" w:space="0" w:color="auto"/>
          </w:divBdr>
          <w:divsChild>
            <w:div w:id="1487627197">
              <w:marLeft w:val="0"/>
              <w:marRight w:val="0"/>
              <w:marTop w:val="0"/>
              <w:marBottom w:val="0"/>
              <w:divBdr>
                <w:top w:val="none" w:sz="0" w:space="0" w:color="auto"/>
                <w:left w:val="none" w:sz="0" w:space="0" w:color="auto"/>
                <w:bottom w:val="none" w:sz="0" w:space="0" w:color="auto"/>
                <w:right w:val="none" w:sz="0" w:space="0" w:color="auto"/>
              </w:divBdr>
              <w:divsChild>
                <w:div w:id="21324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83">
      <w:bodyDiv w:val="1"/>
      <w:marLeft w:val="0"/>
      <w:marRight w:val="0"/>
      <w:marTop w:val="0"/>
      <w:marBottom w:val="0"/>
      <w:divBdr>
        <w:top w:val="none" w:sz="0" w:space="0" w:color="auto"/>
        <w:left w:val="none" w:sz="0" w:space="0" w:color="auto"/>
        <w:bottom w:val="none" w:sz="0" w:space="0" w:color="auto"/>
        <w:right w:val="none" w:sz="0" w:space="0" w:color="auto"/>
      </w:divBdr>
    </w:div>
    <w:div w:id="1781222283">
      <w:bodyDiv w:val="1"/>
      <w:marLeft w:val="0"/>
      <w:marRight w:val="0"/>
      <w:marTop w:val="0"/>
      <w:marBottom w:val="0"/>
      <w:divBdr>
        <w:top w:val="none" w:sz="0" w:space="0" w:color="auto"/>
        <w:left w:val="none" w:sz="0" w:space="0" w:color="auto"/>
        <w:bottom w:val="none" w:sz="0" w:space="0" w:color="auto"/>
        <w:right w:val="none" w:sz="0" w:space="0" w:color="auto"/>
      </w:divBdr>
      <w:divsChild>
        <w:div w:id="22632717">
          <w:marLeft w:val="0"/>
          <w:marRight w:val="0"/>
          <w:marTop w:val="34"/>
          <w:marBottom w:val="34"/>
          <w:divBdr>
            <w:top w:val="none" w:sz="0" w:space="0" w:color="auto"/>
            <w:left w:val="none" w:sz="0" w:space="0" w:color="auto"/>
            <w:bottom w:val="none" w:sz="0" w:space="0" w:color="auto"/>
            <w:right w:val="none" w:sz="0" w:space="0" w:color="auto"/>
          </w:divBdr>
        </w:div>
      </w:divsChild>
    </w:div>
    <w:div w:id="1899704635">
      <w:bodyDiv w:val="1"/>
      <w:marLeft w:val="0"/>
      <w:marRight w:val="0"/>
      <w:marTop w:val="0"/>
      <w:marBottom w:val="0"/>
      <w:divBdr>
        <w:top w:val="none" w:sz="0" w:space="0" w:color="auto"/>
        <w:left w:val="none" w:sz="0" w:space="0" w:color="auto"/>
        <w:bottom w:val="none" w:sz="0" w:space="0" w:color="auto"/>
        <w:right w:val="none" w:sz="0" w:space="0" w:color="auto"/>
      </w:divBdr>
      <w:divsChild>
        <w:div w:id="909927885">
          <w:marLeft w:val="720"/>
          <w:marRight w:val="0"/>
          <w:marTop w:val="240"/>
          <w:marBottom w:val="0"/>
          <w:divBdr>
            <w:top w:val="none" w:sz="0" w:space="0" w:color="auto"/>
            <w:left w:val="none" w:sz="0" w:space="0" w:color="auto"/>
            <w:bottom w:val="none" w:sz="0" w:space="0" w:color="auto"/>
            <w:right w:val="none" w:sz="0" w:space="0" w:color="auto"/>
          </w:divBdr>
        </w:div>
        <w:div w:id="1143349540">
          <w:marLeft w:val="259"/>
          <w:marRight w:val="0"/>
          <w:marTop w:val="240"/>
          <w:marBottom w:val="0"/>
          <w:divBdr>
            <w:top w:val="none" w:sz="0" w:space="0" w:color="auto"/>
            <w:left w:val="none" w:sz="0" w:space="0" w:color="auto"/>
            <w:bottom w:val="none" w:sz="0" w:space="0" w:color="auto"/>
            <w:right w:val="none" w:sz="0" w:space="0" w:color="auto"/>
          </w:divBdr>
        </w:div>
        <w:div w:id="1271278841">
          <w:marLeft w:val="720"/>
          <w:marRight w:val="0"/>
          <w:marTop w:val="240"/>
          <w:marBottom w:val="0"/>
          <w:divBdr>
            <w:top w:val="none" w:sz="0" w:space="0" w:color="auto"/>
            <w:left w:val="none" w:sz="0" w:space="0" w:color="auto"/>
            <w:bottom w:val="none" w:sz="0" w:space="0" w:color="auto"/>
            <w:right w:val="none" w:sz="0" w:space="0" w:color="auto"/>
          </w:divBdr>
        </w:div>
        <w:div w:id="1337153982">
          <w:marLeft w:val="720"/>
          <w:marRight w:val="0"/>
          <w:marTop w:val="240"/>
          <w:marBottom w:val="0"/>
          <w:divBdr>
            <w:top w:val="none" w:sz="0" w:space="0" w:color="auto"/>
            <w:left w:val="none" w:sz="0" w:space="0" w:color="auto"/>
            <w:bottom w:val="none" w:sz="0" w:space="0" w:color="auto"/>
            <w:right w:val="none" w:sz="0" w:space="0" w:color="auto"/>
          </w:divBdr>
        </w:div>
        <w:div w:id="1800489960">
          <w:marLeft w:val="259"/>
          <w:marRight w:val="0"/>
          <w:marTop w:val="240"/>
          <w:marBottom w:val="0"/>
          <w:divBdr>
            <w:top w:val="none" w:sz="0" w:space="0" w:color="auto"/>
            <w:left w:val="none" w:sz="0" w:space="0" w:color="auto"/>
            <w:bottom w:val="none" w:sz="0" w:space="0" w:color="auto"/>
            <w:right w:val="none" w:sz="0" w:space="0" w:color="auto"/>
          </w:divBdr>
        </w:div>
        <w:div w:id="1892692070">
          <w:marLeft w:val="259"/>
          <w:marRight w:val="0"/>
          <w:marTop w:val="240"/>
          <w:marBottom w:val="0"/>
          <w:divBdr>
            <w:top w:val="none" w:sz="0" w:space="0" w:color="auto"/>
            <w:left w:val="none" w:sz="0" w:space="0" w:color="auto"/>
            <w:bottom w:val="none" w:sz="0" w:space="0" w:color="auto"/>
            <w:right w:val="none" w:sz="0" w:space="0" w:color="auto"/>
          </w:divBdr>
        </w:div>
        <w:div w:id="2018269934">
          <w:marLeft w:val="720"/>
          <w:marRight w:val="0"/>
          <w:marTop w:val="240"/>
          <w:marBottom w:val="0"/>
          <w:divBdr>
            <w:top w:val="none" w:sz="0" w:space="0" w:color="auto"/>
            <w:left w:val="none" w:sz="0" w:space="0" w:color="auto"/>
            <w:bottom w:val="none" w:sz="0" w:space="0" w:color="auto"/>
            <w:right w:val="none" w:sz="0" w:space="0" w:color="auto"/>
          </w:divBdr>
        </w:div>
      </w:divsChild>
    </w:div>
    <w:div w:id="204710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ath.org/programs/tb-p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64E4F440-6AE8-4DEB-9F9C-DEDD2436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46320</Words>
  <Characters>264026</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309727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Imperial</dc:creator>
  <cp:lastModifiedBy>Lee, Jackie</cp:lastModifiedBy>
  <cp:revision>3</cp:revision>
  <dcterms:created xsi:type="dcterms:W3CDTF">2018-09-10T13:25:00Z</dcterms:created>
  <dcterms:modified xsi:type="dcterms:W3CDTF">2018-09-10T13:25:00Z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http://www.zotero.org/styles/nature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http://www.zotero.org/styles/chicago-author-date</vt:lpwstr>
  </property>
  <property fmtid="{D5CDD505-2E9C-101B-9397-08002B2CF9AE}" pid="12" name="Mendeley Recent Style Id 4_1">
    <vt:lpwstr>http://www.zotero.org/styles/chicago-fullnote-bibliography</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American Sociological Association</vt:lpwstr>
  </property>
  <property fmtid="{D5CDD505-2E9C-101B-9397-08002B2CF9AE}" pid="21" name="Mendeley Recent Style Name 3_1">
    <vt:lpwstr>Chicago Manual of Style 17th edition (author-date)</vt:lpwstr>
  </property>
  <property fmtid="{D5CDD505-2E9C-101B-9397-08002B2CF9AE}" pid="22" name="Mendeley Recent Style Name 4_1">
    <vt:lpwstr>Chicago Manual of Style 17th edition (full note)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f490abfe-f06a-31fa-83e2-2b2ef8337988</vt:lpwstr>
  </property>
  <property fmtid="{D5CDD505-2E9C-101B-9397-08002B2CF9AE}" pid="29" name="ScaleCrop">
    <vt:bool>false</vt:bool>
  </property>
  <property fmtid="{D5CDD505-2E9C-101B-9397-08002B2CF9AE}" pid="30" name="ShareDoc">
    <vt:bool>false</vt:bool>
  </property>
</Properties>
</file>