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CAAD9" w14:textId="77777777" w:rsidR="009C29AA" w:rsidRPr="009C29AA" w:rsidRDefault="009C29AA" w:rsidP="00FD44CA">
      <w:pPr>
        <w:autoSpaceDE w:val="0"/>
        <w:autoSpaceDN w:val="0"/>
        <w:adjustRightInd w:val="0"/>
        <w:jc w:val="both"/>
        <w:rPr>
          <w:rFonts w:cs="Calibri"/>
          <w:color w:val="000000"/>
        </w:rPr>
      </w:pPr>
    </w:p>
    <w:p w14:paraId="65B32457" w14:textId="4FE63DA3" w:rsidR="00385CDF" w:rsidRDefault="005B3E29" w:rsidP="005B3E29">
      <w:pPr>
        <w:rPr>
          <w:rFonts w:cs="Calibri"/>
          <w:bCs/>
          <w:color w:val="000000"/>
          <w:u w:val="single"/>
        </w:rPr>
      </w:pPr>
      <w:r w:rsidRPr="005B3E29">
        <w:rPr>
          <w:rFonts w:cs="Calibri"/>
          <w:bCs/>
          <w:color w:val="000000"/>
          <w:u w:val="single"/>
        </w:rPr>
        <w:t xml:space="preserve">Title: </w:t>
      </w:r>
      <w:r w:rsidR="009C29AA" w:rsidRPr="005B3E29">
        <w:rPr>
          <w:rFonts w:cs="Calibri"/>
          <w:bCs/>
          <w:color w:val="000000"/>
          <w:u w:val="single"/>
        </w:rPr>
        <w:t>Advancing Quality in sepsis management: A large-scale programme for improving sepsis recognition and management in the North West region of England</w:t>
      </w:r>
    </w:p>
    <w:p w14:paraId="037C8BE6" w14:textId="77777777" w:rsidR="009533B5" w:rsidRDefault="009533B5" w:rsidP="009533B5">
      <w:pPr>
        <w:rPr>
          <w:rFonts w:cs="Arial"/>
        </w:rPr>
      </w:pPr>
    </w:p>
    <w:p w14:paraId="78AB49C9" w14:textId="77777777" w:rsidR="009533B5" w:rsidRDefault="009533B5" w:rsidP="009533B5">
      <w:pPr>
        <w:rPr>
          <w:rFonts w:cs="Arial"/>
        </w:rPr>
      </w:pPr>
      <w:r>
        <w:rPr>
          <w:rFonts w:cs="Arial"/>
        </w:rPr>
        <w:t>Emmanuel Fru Nsutebu</w:t>
      </w:r>
      <w:r w:rsidRPr="007C7C37">
        <w:rPr>
          <w:rFonts w:cs="Arial"/>
          <w:vertAlign w:val="superscript"/>
        </w:rPr>
        <w:t>1</w:t>
      </w:r>
      <w:r>
        <w:rPr>
          <w:rFonts w:cs="Arial"/>
        </w:rPr>
        <w:t xml:space="preserve">, Ana </w:t>
      </w:r>
      <w:proofErr w:type="spellStart"/>
      <w:r>
        <w:rPr>
          <w:rFonts w:cs="Arial"/>
        </w:rPr>
        <w:t>Bel</w:t>
      </w:r>
      <w:r>
        <w:rPr>
          <w:rFonts w:ascii="Calibri" w:hAnsi="Calibri" w:cs="Arial"/>
        </w:rPr>
        <w:t>é</w:t>
      </w:r>
      <w:r>
        <w:rPr>
          <w:rFonts w:cs="Arial"/>
        </w:rPr>
        <w:t>n</w:t>
      </w:r>
      <w:proofErr w:type="spellEnd"/>
      <w:r>
        <w:rPr>
          <w:rFonts w:cs="Arial"/>
        </w:rPr>
        <w:t xml:space="preserve"> Ibarz-Pav</w:t>
      </w:r>
      <w:r>
        <w:rPr>
          <w:rFonts w:ascii="Calibri" w:hAnsi="Calibri" w:cs="Arial"/>
        </w:rPr>
        <w:t>ó</w:t>
      </w:r>
      <w:r>
        <w:rPr>
          <w:rFonts w:cs="Arial"/>
        </w:rPr>
        <w:t>n</w:t>
      </w:r>
      <w:r w:rsidRPr="007C7C37">
        <w:rPr>
          <w:rFonts w:cs="Arial"/>
          <w:vertAlign w:val="superscript"/>
        </w:rPr>
        <w:t>2</w:t>
      </w:r>
      <w:r>
        <w:rPr>
          <w:rFonts w:cs="Arial"/>
        </w:rPr>
        <w:t>; Elizabeth Kanwar</w:t>
      </w:r>
      <w:r>
        <w:rPr>
          <w:rFonts w:cs="Arial"/>
          <w:vertAlign w:val="superscript"/>
        </w:rPr>
        <w:t>3</w:t>
      </w:r>
      <w:r>
        <w:rPr>
          <w:rFonts w:cs="Arial"/>
        </w:rPr>
        <w:t>, Nancy Prospero</w:t>
      </w:r>
      <w:r>
        <w:rPr>
          <w:rFonts w:cs="Arial"/>
          <w:vertAlign w:val="superscript"/>
        </w:rPr>
        <w:t>3</w:t>
      </w:r>
      <w:r>
        <w:rPr>
          <w:rFonts w:cs="Arial"/>
        </w:rPr>
        <w:t>; Neil French</w:t>
      </w:r>
      <w:r w:rsidRPr="007C7C37">
        <w:rPr>
          <w:rFonts w:cs="Arial"/>
          <w:vertAlign w:val="superscript"/>
        </w:rPr>
        <w:t>1</w:t>
      </w:r>
      <w:r>
        <w:rPr>
          <w:rFonts w:cs="Arial"/>
          <w:vertAlign w:val="superscript"/>
        </w:rPr>
        <w:t>, 2</w:t>
      </w:r>
      <w:r>
        <w:rPr>
          <w:rFonts w:cs="Arial"/>
        </w:rPr>
        <w:t>; Conor McGrath</w:t>
      </w:r>
      <w:r>
        <w:rPr>
          <w:rFonts w:cs="Arial"/>
          <w:vertAlign w:val="superscript"/>
        </w:rPr>
        <w:t>4</w:t>
      </w:r>
    </w:p>
    <w:p w14:paraId="5E3A8EB7" w14:textId="77777777" w:rsidR="009533B5" w:rsidRDefault="009533B5" w:rsidP="009533B5">
      <w:pPr>
        <w:rPr>
          <w:rFonts w:cs="Arial"/>
        </w:rPr>
      </w:pPr>
    </w:p>
    <w:p w14:paraId="0781F580" w14:textId="77777777" w:rsidR="009533B5" w:rsidRDefault="009533B5" w:rsidP="009533B5">
      <w:pPr>
        <w:pStyle w:val="ListParagraph"/>
        <w:numPr>
          <w:ilvl w:val="0"/>
          <w:numId w:val="6"/>
        </w:numPr>
        <w:rPr>
          <w:rFonts w:cs="Arial"/>
        </w:rPr>
      </w:pPr>
      <w:r>
        <w:rPr>
          <w:rFonts w:cs="Arial"/>
        </w:rPr>
        <w:t xml:space="preserve">Tropical and Infectious Disease Unit, Royal Liverpool and </w:t>
      </w:r>
      <w:proofErr w:type="spellStart"/>
      <w:r>
        <w:rPr>
          <w:rFonts w:cs="Arial"/>
        </w:rPr>
        <w:t>Broadgreen</w:t>
      </w:r>
      <w:proofErr w:type="spellEnd"/>
      <w:r>
        <w:rPr>
          <w:rFonts w:cs="Arial"/>
        </w:rPr>
        <w:t xml:space="preserve"> University Hospitals NHS Trust, UK</w:t>
      </w:r>
    </w:p>
    <w:p w14:paraId="1FB3DC02" w14:textId="77777777" w:rsidR="009533B5" w:rsidRPr="00857F17" w:rsidRDefault="009533B5" w:rsidP="009533B5">
      <w:pPr>
        <w:pStyle w:val="ListParagraph"/>
        <w:numPr>
          <w:ilvl w:val="0"/>
          <w:numId w:val="6"/>
        </w:numPr>
        <w:rPr>
          <w:rFonts w:cs="Arial"/>
        </w:rPr>
      </w:pPr>
      <w:r w:rsidRPr="00857F17">
        <w:rPr>
          <w:rFonts w:cs="Arial"/>
        </w:rPr>
        <w:t>Centre for Global vaccine Research, Institute of Infection &amp; Global Health, University of Liverpool, UK</w:t>
      </w:r>
    </w:p>
    <w:p w14:paraId="520C0E85" w14:textId="77777777" w:rsidR="009533B5" w:rsidRDefault="009533B5" w:rsidP="009533B5">
      <w:pPr>
        <w:pStyle w:val="ListParagraph"/>
        <w:numPr>
          <w:ilvl w:val="0"/>
          <w:numId w:val="6"/>
        </w:numPr>
        <w:rPr>
          <w:rFonts w:cs="Arial"/>
        </w:rPr>
      </w:pPr>
      <w:r>
        <w:rPr>
          <w:rFonts w:cs="Arial"/>
        </w:rPr>
        <w:t>Advancing Quality, Advancing Quality Alliance, Sale, UK</w:t>
      </w:r>
    </w:p>
    <w:p w14:paraId="3395DD55" w14:textId="77777777" w:rsidR="009533B5" w:rsidRDefault="009533B5" w:rsidP="009533B5">
      <w:pPr>
        <w:pStyle w:val="ListParagraph"/>
        <w:numPr>
          <w:ilvl w:val="0"/>
          <w:numId w:val="6"/>
        </w:numPr>
      </w:pPr>
      <w:r w:rsidRPr="00757B17">
        <w:rPr>
          <w:rFonts w:eastAsia="Times New Roman"/>
        </w:rPr>
        <w:t>Department of Critical Care Medicine, Wirral University Teaching Hospital NHS Foundation Trust</w:t>
      </w:r>
    </w:p>
    <w:p w14:paraId="1758D7A1" w14:textId="77777777" w:rsidR="009533B5" w:rsidRDefault="009533B5" w:rsidP="009533B5"/>
    <w:p w14:paraId="4654F57C" w14:textId="77777777" w:rsidR="009533B5" w:rsidRDefault="009533B5" w:rsidP="009533B5">
      <w:r w:rsidRPr="00850717">
        <w:rPr>
          <w:b/>
        </w:rPr>
        <w:t>Corresponding author:</w:t>
      </w:r>
      <w:r>
        <w:t xml:space="preserve"> Emmanuel Fru Nsutebu, Tropical and Infectious Disease Unit, Royal Liverpool Hospital, </w:t>
      </w:r>
      <w:proofErr w:type="spellStart"/>
      <w:r>
        <w:t>Prescot</w:t>
      </w:r>
      <w:proofErr w:type="spellEnd"/>
      <w:r>
        <w:t xml:space="preserve"> Street, L7 8XP</w:t>
      </w:r>
    </w:p>
    <w:p w14:paraId="445A6027" w14:textId="77777777" w:rsidR="009533B5" w:rsidRDefault="009533B5" w:rsidP="009533B5">
      <w:r>
        <w:t>Telephone: 01517063836</w:t>
      </w:r>
    </w:p>
    <w:p w14:paraId="5A27844B" w14:textId="77777777" w:rsidR="009533B5" w:rsidRDefault="009533B5" w:rsidP="009533B5">
      <w:r>
        <w:t>Fax: 01517065944</w:t>
      </w:r>
    </w:p>
    <w:p w14:paraId="10278464" w14:textId="614C717B" w:rsidR="007172EE" w:rsidRDefault="007172EE" w:rsidP="009533B5">
      <w:r>
        <w:t>Email: nsutebufru@hotmail.com</w:t>
      </w:r>
    </w:p>
    <w:p w14:paraId="390B2011" w14:textId="77777777" w:rsidR="009533B5" w:rsidRDefault="009533B5" w:rsidP="009533B5"/>
    <w:p w14:paraId="7AD9F873" w14:textId="77777777" w:rsidR="009533B5" w:rsidRDefault="009533B5" w:rsidP="009533B5">
      <w:r w:rsidRPr="00850717">
        <w:rPr>
          <w:b/>
        </w:rPr>
        <w:t>Key words:</w:t>
      </w:r>
      <w:r>
        <w:t xml:space="preserve"> sepsis, recognition, management, quality improvement, </w:t>
      </w:r>
    </w:p>
    <w:p w14:paraId="171D5089" w14:textId="77777777" w:rsidR="009533B5" w:rsidRDefault="009533B5" w:rsidP="009533B5"/>
    <w:p w14:paraId="5AA75BE1" w14:textId="77777777" w:rsidR="009533B5" w:rsidRDefault="009533B5" w:rsidP="009533B5">
      <w:r w:rsidRPr="00850717">
        <w:rPr>
          <w:b/>
        </w:rPr>
        <w:t>Word Count</w:t>
      </w:r>
      <w:r>
        <w:t>: 4166 words</w:t>
      </w:r>
    </w:p>
    <w:p w14:paraId="617CA4D9" w14:textId="77777777" w:rsidR="009533B5" w:rsidRDefault="009533B5" w:rsidP="009533B5"/>
    <w:p w14:paraId="11C8452E" w14:textId="77777777" w:rsidR="00193E9E" w:rsidRPr="00850717" w:rsidRDefault="00193E9E" w:rsidP="009533B5">
      <w:pPr>
        <w:rPr>
          <w:b/>
        </w:rPr>
      </w:pPr>
      <w:r w:rsidRPr="00850717">
        <w:rPr>
          <w:b/>
        </w:rPr>
        <w:t>Statements:</w:t>
      </w:r>
    </w:p>
    <w:p w14:paraId="260B46F3" w14:textId="77777777" w:rsidR="00193E9E" w:rsidRDefault="00193E9E" w:rsidP="009533B5"/>
    <w:p w14:paraId="05CCF812" w14:textId="31F6DB5D" w:rsidR="009533B5" w:rsidRDefault="00193E9E" w:rsidP="00193E9E">
      <w:pPr>
        <w:pStyle w:val="ListParagraph"/>
        <w:numPr>
          <w:ilvl w:val="0"/>
          <w:numId w:val="9"/>
        </w:numPr>
      </w:pPr>
      <w:proofErr w:type="spellStart"/>
      <w:r>
        <w:t>Contributorship</w:t>
      </w:r>
      <w:proofErr w:type="spellEnd"/>
      <w:r>
        <w:t xml:space="preserve"> Statement</w:t>
      </w:r>
      <w:r w:rsidR="009533B5">
        <w:t>:</w:t>
      </w:r>
    </w:p>
    <w:p w14:paraId="235578D9" w14:textId="77777777" w:rsidR="009533B5" w:rsidRDefault="009533B5" w:rsidP="009533B5">
      <w:r>
        <w:t>EN, CM and LK designed the program and study</w:t>
      </w:r>
    </w:p>
    <w:p w14:paraId="2109DA0D" w14:textId="77777777" w:rsidR="009533B5" w:rsidRDefault="009533B5" w:rsidP="009533B5">
      <w:r>
        <w:t>NP extracted the data</w:t>
      </w:r>
    </w:p>
    <w:p w14:paraId="11FEE790" w14:textId="77777777" w:rsidR="009533B5" w:rsidRDefault="009533B5" w:rsidP="009533B5">
      <w:r>
        <w:t>ABI-P performed the analysis</w:t>
      </w:r>
    </w:p>
    <w:p w14:paraId="7B0633AF" w14:textId="77777777" w:rsidR="009533B5" w:rsidRDefault="009533B5" w:rsidP="009533B5">
      <w:r>
        <w:t>ABI-P and EN wrote the first draft of the manuscript. NP, LK, NF and CM contributed to drafting the paper</w:t>
      </w:r>
    </w:p>
    <w:p w14:paraId="37F9BF81" w14:textId="77777777" w:rsidR="009533B5" w:rsidRDefault="009533B5" w:rsidP="009533B5">
      <w:r>
        <w:t>All authors agreed on the final draft</w:t>
      </w:r>
    </w:p>
    <w:p w14:paraId="0334862B" w14:textId="77777777" w:rsidR="009533B5" w:rsidRDefault="009533B5" w:rsidP="009533B5">
      <w:r>
        <w:t>EN will act as guarantor of the paper</w:t>
      </w:r>
    </w:p>
    <w:p w14:paraId="110BCBFB" w14:textId="77777777" w:rsidR="009533B5" w:rsidRDefault="009533B5" w:rsidP="009533B5"/>
    <w:p w14:paraId="0C9D240C" w14:textId="24F4043F" w:rsidR="009533B5" w:rsidRDefault="009533B5" w:rsidP="00193E9E">
      <w:pPr>
        <w:pStyle w:val="ListParagraph"/>
        <w:numPr>
          <w:ilvl w:val="0"/>
          <w:numId w:val="9"/>
        </w:numPr>
      </w:pPr>
      <w:r>
        <w:t xml:space="preserve">Funding: No specific funding </w:t>
      </w:r>
      <w:r w:rsidR="00850717">
        <w:t>was available for</w:t>
      </w:r>
      <w:r>
        <w:t xml:space="preserve"> this project. </w:t>
      </w:r>
      <w:r w:rsidRPr="007C7C37">
        <w:t>Ana Belen Ibarz Pavon is supported in her role by Liverpool Health Partners. The views expressed are those of the authors and not necessarily tho</w:t>
      </w:r>
      <w:r>
        <w:t>se of Liverpool Health Partners.</w:t>
      </w:r>
    </w:p>
    <w:p w14:paraId="4ED7797F" w14:textId="77777777" w:rsidR="005B3E29" w:rsidRDefault="005B3E29" w:rsidP="005B3E29">
      <w:pPr>
        <w:rPr>
          <w:rFonts w:cs="Calibri"/>
          <w:bCs/>
          <w:color w:val="000000"/>
          <w:u w:val="single"/>
        </w:rPr>
      </w:pPr>
    </w:p>
    <w:p w14:paraId="5C0F981F" w14:textId="20E57C9F" w:rsidR="009533B5" w:rsidRPr="00193E9E" w:rsidRDefault="009533B5" w:rsidP="00193E9E">
      <w:pPr>
        <w:pStyle w:val="ListParagraph"/>
        <w:numPr>
          <w:ilvl w:val="0"/>
          <w:numId w:val="9"/>
        </w:numPr>
        <w:jc w:val="both"/>
        <w:rPr>
          <w:rFonts w:cs="Arial"/>
        </w:rPr>
      </w:pPr>
      <w:r w:rsidRPr="00193E9E">
        <w:rPr>
          <w:rFonts w:cs="Arial"/>
        </w:rPr>
        <w:t>Competing interests: None</w:t>
      </w:r>
    </w:p>
    <w:p w14:paraId="17E93EE4" w14:textId="77777777" w:rsidR="009533B5" w:rsidRPr="009533B5" w:rsidRDefault="009533B5" w:rsidP="00FD44CA">
      <w:pPr>
        <w:jc w:val="both"/>
        <w:rPr>
          <w:rFonts w:cs="Arial"/>
        </w:rPr>
      </w:pPr>
    </w:p>
    <w:p w14:paraId="2F33A562" w14:textId="6D4AF6A0" w:rsidR="009533B5" w:rsidRPr="00193E9E" w:rsidRDefault="009533B5" w:rsidP="00193E9E">
      <w:pPr>
        <w:pStyle w:val="ListParagraph"/>
        <w:numPr>
          <w:ilvl w:val="0"/>
          <w:numId w:val="9"/>
        </w:numPr>
        <w:jc w:val="both"/>
        <w:rPr>
          <w:rFonts w:cs="Arial"/>
        </w:rPr>
      </w:pPr>
      <w:r w:rsidRPr="00193E9E">
        <w:rPr>
          <w:rFonts w:cs="Arial"/>
        </w:rPr>
        <w:t xml:space="preserve">Acknowledgment: All 14 hospitals who participated in this collaborative and </w:t>
      </w:r>
      <w:r w:rsidR="000A18B1">
        <w:rPr>
          <w:rFonts w:cs="Arial"/>
        </w:rPr>
        <w:t xml:space="preserve">their </w:t>
      </w:r>
      <w:r w:rsidRPr="00193E9E">
        <w:rPr>
          <w:rFonts w:cs="Arial"/>
        </w:rPr>
        <w:t>clinical leads for sepsis</w:t>
      </w:r>
    </w:p>
    <w:p w14:paraId="5D4BC57C" w14:textId="77777777" w:rsidR="009533B5" w:rsidRPr="009533B5" w:rsidRDefault="009533B5" w:rsidP="00FD44CA">
      <w:pPr>
        <w:jc w:val="both"/>
        <w:rPr>
          <w:rFonts w:cs="Arial"/>
        </w:rPr>
      </w:pPr>
    </w:p>
    <w:p w14:paraId="3EE41949" w14:textId="77777777" w:rsidR="009533B5" w:rsidRDefault="009533B5" w:rsidP="00FD44CA">
      <w:pPr>
        <w:jc w:val="both"/>
        <w:rPr>
          <w:rFonts w:cs="Arial"/>
          <w:b/>
        </w:rPr>
      </w:pPr>
    </w:p>
    <w:p w14:paraId="4FAAED4B" w14:textId="77777777" w:rsidR="009533B5" w:rsidRDefault="009533B5" w:rsidP="00FD44CA">
      <w:pPr>
        <w:jc w:val="both"/>
        <w:rPr>
          <w:rFonts w:cs="Arial"/>
          <w:b/>
        </w:rPr>
      </w:pPr>
    </w:p>
    <w:p w14:paraId="6B5E4609" w14:textId="77777777" w:rsidR="009533B5" w:rsidRDefault="009533B5" w:rsidP="00FD44CA">
      <w:pPr>
        <w:jc w:val="both"/>
        <w:rPr>
          <w:rFonts w:cs="Arial"/>
          <w:b/>
        </w:rPr>
      </w:pPr>
    </w:p>
    <w:p w14:paraId="46667490" w14:textId="57736BDA" w:rsidR="00424C43" w:rsidRDefault="00424C43" w:rsidP="00FD44CA">
      <w:pPr>
        <w:jc w:val="both"/>
        <w:rPr>
          <w:rFonts w:cs="Arial"/>
          <w:b/>
        </w:rPr>
      </w:pPr>
      <w:r>
        <w:rPr>
          <w:rFonts w:cs="Arial"/>
          <w:b/>
        </w:rPr>
        <w:t>A</w:t>
      </w:r>
      <w:r w:rsidR="007C7C37">
        <w:rPr>
          <w:rFonts w:cs="Arial"/>
          <w:b/>
        </w:rPr>
        <w:t>BSTRACT</w:t>
      </w:r>
      <w:r>
        <w:rPr>
          <w:rFonts w:cs="Arial"/>
          <w:b/>
        </w:rPr>
        <w:t xml:space="preserve">: </w:t>
      </w:r>
    </w:p>
    <w:p w14:paraId="639298E5" w14:textId="77777777" w:rsidR="00424C43" w:rsidRDefault="00424C43" w:rsidP="00FD44CA">
      <w:pPr>
        <w:jc w:val="both"/>
        <w:rPr>
          <w:rFonts w:cs="Arial"/>
          <w:b/>
        </w:rPr>
      </w:pPr>
    </w:p>
    <w:p w14:paraId="0A006834" w14:textId="4369C257" w:rsidR="00B67088" w:rsidRPr="00B67088" w:rsidRDefault="00B67088" w:rsidP="00FD44CA">
      <w:pPr>
        <w:jc w:val="both"/>
        <w:rPr>
          <w:rFonts w:cs="Arial"/>
          <w:b/>
        </w:rPr>
      </w:pPr>
      <w:r>
        <w:rPr>
          <w:rFonts w:cs="Arial"/>
          <w:b/>
        </w:rPr>
        <w:t xml:space="preserve">Objective: </w:t>
      </w:r>
      <w:r w:rsidRPr="00D81D5F">
        <w:rPr>
          <w:rFonts w:cs="Arial"/>
        </w:rPr>
        <w:t xml:space="preserve">To </w:t>
      </w:r>
      <w:r w:rsidR="00334220" w:rsidRPr="00D81D5F">
        <w:rPr>
          <w:rFonts w:cs="Arial"/>
        </w:rPr>
        <w:t xml:space="preserve">evaluate the impact of a collaborative </w:t>
      </w:r>
      <w:r w:rsidRPr="00D81D5F">
        <w:rPr>
          <w:rFonts w:cs="Arial"/>
        </w:rPr>
        <w:t>program for the early recognition</w:t>
      </w:r>
      <w:r w:rsidR="00424C43" w:rsidRPr="00D81D5F">
        <w:rPr>
          <w:rFonts w:cs="Arial"/>
        </w:rPr>
        <w:t xml:space="preserve"> </w:t>
      </w:r>
      <w:r w:rsidRPr="00D81D5F">
        <w:rPr>
          <w:rFonts w:cs="Arial"/>
        </w:rPr>
        <w:t xml:space="preserve">and </w:t>
      </w:r>
      <w:r w:rsidR="00334220" w:rsidRPr="00D81D5F">
        <w:rPr>
          <w:rFonts w:cs="Arial"/>
        </w:rPr>
        <w:t>management</w:t>
      </w:r>
      <w:r w:rsidRPr="00D81D5F">
        <w:rPr>
          <w:rFonts w:cs="Arial"/>
        </w:rPr>
        <w:t xml:space="preserve"> of </w:t>
      </w:r>
      <w:r w:rsidR="00B259AF">
        <w:rPr>
          <w:rFonts w:cs="Arial"/>
        </w:rPr>
        <w:t xml:space="preserve">patients admitted with </w:t>
      </w:r>
      <w:r w:rsidRPr="00D81D5F">
        <w:rPr>
          <w:rFonts w:cs="Arial"/>
        </w:rPr>
        <w:t xml:space="preserve">sepsis in the </w:t>
      </w:r>
      <w:r w:rsidR="00222799">
        <w:rPr>
          <w:rFonts w:cs="Arial"/>
        </w:rPr>
        <w:t>northwest</w:t>
      </w:r>
      <w:r w:rsidR="00222799" w:rsidRPr="00D81D5F">
        <w:rPr>
          <w:rFonts w:cs="Arial"/>
        </w:rPr>
        <w:t xml:space="preserve"> </w:t>
      </w:r>
      <w:r w:rsidRPr="00D81D5F">
        <w:rPr>
          <w:rFonts w:cs="Arial"/>
        </w:rPr>
        <w:t>of England.</w:t>
      </w:r>
    </w:p>
    <w:p w14:paraId="4CAA52A7" w14:textId="4B514FBB" w:rsidR="00B67088" w:rsidRPr="00B67088" w:rsidRDefault="00B67088" w:rsidP="00FD44CA">
      <w:pPr>
        <w:jc w:val="both"/>
        <w:rPr>
          <w:rFonts w:cs="Arial"/>
          <w:b/>
        </w:rPr>
      </w:pPr>
      <w:r w:rsidRPr="00B67088">
        <w:rPr>
          <w:rFonts w:cs="Arial"/>
          <w:b/>
        </w:rPr>
        <w:t xml:space="preserve">Setting: </w:t>
      </w:r>
      <w:r w:rsidRPr="00D81D5F">
        <w:rPr>
          <w:rFonts w:cs="Arial"/>
        </w:rPr>
        <w:t xml:space="preserve">14 hospitals in the </w:t>
      </w:r>
      <w:r w:rsidR="00222799">
        <w:rPr>
          <w:rFonts w:cs="Arial"/>
        </w:rPr>
        <w:t>northwest</w:t>
      </w:r>
      <w:r w:rsidR="00222799" w:rsidRPr="00D81D5F">
        <w:rPr>
          <w:rFonts w:cs="Arial"/>
        </w:rPr>
        <w:t xml:space="preserve"> </w:t>
      </w:r>
      <w:r w:rsidRPr="00D81D5F">
        <w:rPr>
          <w:rFonts w:cs="Arial"/>
        </w:rPr>
        <w:t>of England.</w:t>
      </w:r>
    </w:p>
    <w:p w14:paraId="3D31C09D" w14:textId="5A52556E" w:rsidR="00B67088" w:rsidRPr="00D81D5F" w:rsidRDefault="00B67088" w:rsidP="00FD44CA">
      <w:pPr>
        <w:jc w:val="both"/>
        <w:rPr>
          <w:rFonts w:cs="Arial"/>
        </w:rPr>
      </w:pPr>
      <w:r w:rsidRPr="00B67088">
        <w:rPr>
          <w:rFonts w:cs="Arial"/>
          <w:b/>
        </w:rPr>
        <w:t xml:space="preserve">Intervention: </w:t>
      </w:r>
      <w:r w:rsidRPr="00D81D5F">
        <w:rPr>
          <w:rFonts w:cs="Arial"/>
        </w:rPr>
        <w:t>A quality improvement program (AQ sepsis) that</w:t>
      </w:r>
      <w:r w:rsidR="00424C43" w:rsidRPr="00D81D5F">
        <w:rPr>
          <w:rFonts w:cs="Arial"/>
        </w:rPr>
        <w:t xml:space="preserve"> </w:t>
      </w:r>
      <w:r w:rsidRPr="00D81D5F">
        <w:rPr>
          <w:rFonts w:cs="Arial"/>
        </w:rPr>
        <w:t xml:space="preserve">promoted a sepsis </w:t>
      </w:r>
      <w:r w:rsidR="00952CBD">
        <w:rPr>
          <w:rFonts w:cs="Arial"/>
        </w:rPr>
        <w:t xml:space="preserve">care </w:t>
      </w:r>
      <w:r w:rsidRPr="00D81D5F">
        <w:rPr>
          <w:rFonts w:cs="Arial"/>
        </w:rPr>
        <w:t xml:space="preserve">bundle including </w:t>
      </w:r>
      <w:r w:rsidR="00EB0149">
        <w:rPr>
          <w:rFonts w:cs="Arial"/>
        </w:rPr>
        <w:t xml:space="preserve">time-based </w:t>
      </w:r>
      <w:r w:rsidRPr="00D81D5F">
        <w:rPr>
          <w:rFonts w:cs="Arial"/>
        </w:rPr>
        <w:t xml:space="preserve">recording </w:t>
      </w:r>
      <w:r w:rsidR="00222799">
        <w:rPr>
          <w:rFonts w:cs="Arial"/>
        </w:rPr>
        <w:t xml:space="preserve">of </w:t>
      </w:r>
      <w:r w:rsidRPr="00D81D5F">
        <w:rPr>
          <w:rFonts w:cs="Arial"/>
        </w:rPr>
        <w:t xml:space="preserve">early warning scores, documenting SIRS criteria and </w:t>
      </w:r>
      <w:r w:rsidR="00830B73">
        <w:rPr>
          <w:rFonts w:cs="Arial"/>
        </w:rPr>
        <w:t xml:space="preserve">suspected </w:t>
      </w:r>
      <w:r w:rsidRPr="00D81D5F">
        <w:rPr>
          <w:rFonts w:cs="Arial"/>
        </w:rPr>
        <w:t>source of infection, taking of</w:t>
      </w:r>
      <w:r w:rsidR="00424C43" w:rsidRPr="00D81D5F">
        <w:rPr>
          <w:rFonts w:cs="Arial"/>
        </w:rPr>
        <w:t xml:space="preserve"> </w:t>
      </w:r>
      <w:r w:rsidRPr="00D81D5F">
        <w:rPr>
          <w:rFonts w:cs="Arial"/>
        </w:rPr>
        <w:t>blood cultures, measuring serum lactate levels, administration of</w:t>
      </w:r>
      <w:r w:rsidR="00B259AF">
        <w:rPr>
          <w:rFonts w:cs="Arial"/>
        </w:rPr>
        <w:t xml:space="preserve"> </w:t>
      </w:r>
      <w:r w:rsidRPr="00D81D5F">
        <w:rPr>
          <w:rFonts w:cs="Arial"/>
        </w:rPr>
        <w:t>intravenous antibiotics, administration of oxygen, ﬂuid resuscitation, measurement of fluid balance and senior review.</w:t>
      </w:r>
    </w:p>
    <w:p w14:paraId="38B708BF" w14:textId="2E9D1004" w:rsidR="00424C43" w:rsidRPr="006222E2" w:rsidRDefault="00B67088" w:rsidP="00FD44CA">
      <w:pPr>
        <w:jc w:val="both"/>
        <w:rPr>
          <w:rFonts w:cs="Arial"/>
        </w:rPr>
      </w:pPr>
      <w:r w:rsidRPr="00B67088">
        <w:rPr>
          <w:rFonts w:cs="Arial"/>
          <w:b/>
        </w:rPr>
        <w:t xml:space="preserve">Main outcome measures: </w:t>
      </w:r>
      <w:r w:rsidR="00F40542">
        <w:rPr>
          <w:rFonts w:cs="Arial"/>
        </w:rPr>
        <w:t>Inpatient</w:t>
      </w:r>
      <w:r w:rsidR="006222E2">
        <w:rPr>
          <w:rFonts w:cs="Arial"/>
        </w:rPr>
        <w:t xml:space="preserve"> </w:t>
      </w:r>
      <w:r w:rsidRPr="00D81D5F">
        <w:rPr>
          <w:rFonts w:cs="Arial"/>
        </w:rPr>
        <w:t xml:space="preserve">mortality, </w:t>
      </w:r>
      <w:r w:rsidR="00F40542">
        <w:rPr>
          <w:rFonts w:cs="Arial"/>
        </w:rPr>
        <w:t xml:space="preserve">30 day </w:t>
      </w:r>
      <w:r w:rsidRPr="006222E2">
        <w:rPr>
          <w:rFonts w:cs="Arial"/>
        </w:rPr>
        <w:t xml:space="preserve">readmission rates and </w:t>
      </w:r>
      <w:r w:rsidR="00424C43" w:rsidRPr="006222E2">
        <w:rPr>
          <w:rFonts w:cs="Arial"/>
        </w:rPr>
        <w:t xml:space="preserve">duration of </w:t>
      </w:r>
      <w:r w:rsidR="00857F17" w:rsidRPr="006222E2">
        <w:rPr>
          <w:rFonts w:cs="Arial"/>
        </w:rPr>
        <w:t xml:space="preserve">hospital </w:t>
      </w:r>
      <w:r w:rsidR="00857F17">
        <w:rPr>
          <w:rStyle w:val="apple-converted-space"/>
          <w:rFonts w:ascii="Arial" w:hAnsi="Arial" w:cs="Arial"/>
          <w:color w:val="222222"/>
          <w:shd w:val="clear" w:color="auto" w:fill="FFFFFF"/>
        </w:rPr>
        <w:t>≥</w:t>
      </w:r>
      <w:r w:rsidR="00857F17">
        <w:rPr>
          <w:rFonts w:ascii="Arial" w:hAnsi="Arial" w:cs="Arial"/>
          <w:color w:val="222222"/>
          <w:shd w:val="clear" w:color="auto" w:fill="FFFFFF"/>
        </w:rPr>
        <w:t xml:space="preserve"> </w:t>
      </w:r>
      <w:r w:rsidR="00424C43" w:rsidRPr="006222E2">
        <w:rPr>
          <w:rFonts w:cs="Arial"/>
        </w:rPr>
        <w:t xml:space="preserve">10 days. </w:t>
      </w:r>
    </w:p>
    <w:p w14:paraId="3030D170" w14:textId="57074936" w:rsidR="00222799" w:rsidRPr="00C72684" w:rsidDel="00222799" w:rsidRDefault="00A91A0C" w:rsidP="00222799">
      <w:pPr>
        <w:jc w:val="both"/>
      </w:pPr>
      <w:r w:rsidRPr="006222E2">
        <w:rPr>
          <w:rFonts w:cs="Arial"/>
          <w:b/>
        </w:rPr>
        <w:t>Results</w:t>
      </w:r>
      <w:r w:rsidR="00B67088" w:rsidRPr="006222E2">
        <w:rPr>
          <w:rFonts w:cs="Arial"/>
          <w:b/>
        </w:rPr>
        <w:t xml:space="preserve">: </w:t>
      </w:r>
      <w:r w:rsidR="00B67088" w:rsidRPr="006222E2">
        <w:rPr>
          <w:rFonts w:cs="Arial"/>
        </w:rPr>
        <w:t xml:space="preserve">Data for </w:t>
      </w:r>
      <w:r w:rsidR="00424C43" w:rsidRPr="006222E2">
        <w:rPr>
          <w:rFonts w:cs="Arial"/>
        </w:rPr>
        <w:t xml:space="preserve">7776 </w:t>
      </w:r>
      <w:r w:rsidR="00B67088" w:rsidRPr="006222E2">
        <w:rPr>
          <w:rFonts w:cs="Arial"/>
        </w:rPr>
        <w:t xml:space="preserve">patients were </w:t>
      </w:r>
      <w:r w:rsidR="00424C43" w:rsidRPr="006222E2">
        <w:rPr>
          <w:rFonts w:cs="Arial"/>
        </w:rPr>
        <w:t>included in this study</w:t>
      </w:r>
      <w:r w:rsidRPr="006222E2">
        <w:rPr>
          <w:rFonts w:cs="Arial"/>
        </w:rPr>
        <w:t xml:space="preserve"> </w:t>
      </w:r>
      <w:r w:rsidR="006038A8" w:rsidRPr="006222E2">
        <w:rPr>
          <w:rFonts w:cs="Arial"/>
        </w:rPr>
        <w:t>between 1</w:t>
      </w:r>
      <w:r w:rsidR="006038A8" w:rsidRPr="006222E2">
        <w:rPr>
          <w:rFonts w:cs="Arial"/>
          <w:vertAlign w:val="superscript"/>
        </w:rPr>
        <w:t>st</w:t>
      </w:r>
      <w:r w:rsidR="006038A8" w:rsidRPr="006222E2">
        <w:rPr>
          <w:rFonts w:cs="Arial"/>
        </w:rPr>
        <w:t xml:space="preserve"> July 2014</w:t>
      </w:r>
      <w:r w:rsidRPr="006222E2">
        <w:rPr>
          <w:rFonts w:cs="Arial"/>
        </w:rPr>
        <w:t xml:space="preserve"> and </w:t>
      </w:r>
      <w:r w:rsidR="006038A8" w:rsidRPr="006222E2">
        <w:rPr>
          <w:rFonts w:cs="Arial"/>
        </w:rPr>
        <w:t>29</w:t>
      </w:r>
      <w:r w:rsidR="006038A8" w:rsidRPr="006222E2">
        <w:rPr>
          <w:rFonts w:cs="Arial"/>
          <w:vertAlign w:val="superscript"/>
        </w:rPr>
        <w:t>th</w:t>
      </w:r>
      <w:r w:rsidR="006038A8" w:rsidRPr="006222E2">
        <w:rPr>
          <w:rFonts w:cs="Arial"/>
        </w:rPr>
        <w:t xml:space="preserve"> December 2015</w:t>
      </w:r>
      <w:r w:rsidR="00B67088" w:rsidRPr="006222E2">
        <w:rPr>
          <w:rFonts w:cs="Arial"/>
        </w:rPr>
        <w:t>.</w:t>
      </w:r>
      <w:r w:rsidR="00B67088" w:rsidRPr="006222E2">
        <w:rPr>
          <w:rFonts w:cs="Arial"/>
          <w:b/>
        </w:rPr>
        <w:t xml:space="preserve"> </w:t>
      </w:r>
      <w:r w:rsidR="00C72684" w:rsidRPr="006222E2">
        <w:t xml:space="preserve">Participation in the AQ sepsis program was associated with a reduction in readmissions within 30 days </w:t>
      </w:r>
      <w:r w:rsidR="00222799" w:rsidRPr="006222E2">
        <w:t>(</w:t>
      </w:r>
      <w:r w:rsidR="00C72684" w:rsidRPr="006222E2">
        <w:t>OR 0.81 [0.69-0.95]</w:t>
      </w:r>
      <w:r w:rsidR="00222799" w:rsidRPr="006222E2">
        <w:t>)</w:t>
      </w:r>
      <w:r w:rsidR="00C72684" w:rsidRPr="006222E2">
        <w:t xml:space="preserve"> and hospital stays over 10 days </w:t>
      </w:r>
      <w:r w:rsidR="00222799" w:rsidRPr="006222E2">
        <w:t>(</w:t>
      </w:r>
      <w:r w:rsidR="00C72684" w:rsidRPr="006222E2">
        <w:t>OR 0.69 [0.60-0.78]</w:t>
      </w:r>
      <w:r w:rsidR="00222799" w:rsidRPr="006222E2">
        <w:t>)</w:t>
      </w:r>
      <w:r w:rsidR="00C72684" w:rsidRPr="006222E2">
        <w:t>. However</w:t>
      </w:r>
      <w:r w:rsidR="00222799" w:rsidRPr="006222E2">
        <w:t xml:space="preserve"> there was no reduction in mortality. A</w:t>
      </w:r>
      <w:r w:rsidR="00F5308B" w:rsidRPr="006222E2">
        <w:t xml:space="preserve">dministration of a second litre of </w:t>
      </w:r>
      <w:r w:rsidR="006222E2">
        <w:t xml:space="preserve">intravenous </w:t>
      </w:r>
      <w:r w:rsidR="00F5308B" w:rsidRPr="006222E2">
        <w:t>fluid within 2 hours, oxygen therapy and review by a senior clinic</w:t>
      </w:r>
      <w:r w:rsidR="000B3FCB">
        <w:t xml:space="preserve">ian </w:t>
      </w:r>
      <w:r w:rsidR="00F5308B" w:rsidRPr="006222E2">
        <w:t xml:space="preserve">were associated with increased mortality. </w:t>
      </w:r>
      <w:r w:rsidR="00EF1C0E">
        <w:rPr>
          <w:rFonts w:cstheme="minorHAnsi"/>
        </w:rPr>
        <w:t>Starting</w:t>
      </w:r>
      <w:r w:rsidR="00EF1C0E" w:rsidRPr="006222E2">
        <w:rPr>
          <w:rFonts w:cstheme="minorHAnsi"/>
        </w:rPr>
        <w:t xml:space="preserve"> </w:t>
      </w:r>
      <w:r w:rsidR="00996AFE" w:rsidRPr="006222E2">
        <w:rPr>
          <w:rFonts w:cstheme="minorHAnsi"/>
        </w:rPr>
        <w:t xml:space="preserve">a fluid balance chart within 4 hours was the only clinical process measure which </w:t>
      </w:r>
      <w:r w:rsidR="006F21E2" w:rsidRPr="006222E2">
        <w:rPr>
          <w:rFonts w:cstheme="minorHAnsi"/>
        </w:rPr>
        <w:t xml:space="preserve">did not affect mortality. </w:t>
      </w:r>
      <w:r w:rsidR="00270C09" w:rsidRPr="006222E2">
        <w:t xml:space="preserve">Taking a blood culture sample, </w:t>
      </w:r>
      <w:r w:rsidR="00424C43" w:rsidRPr="006222E2">
        <w:t>administering antibiotic therapy and measuring serum lactate within 3</w:t>
      </w:r>
      <w:r w:rsidR="00EB0149" w:rsidRPr="006222E2">
        <w:t xml:space="preserve"> hours </w:t>
      </w:r>
      <w:r w:rsidR="006222E2">
        <w:t xml:space="preserve">of hospital arrival </w:t>
      </w:r>
      <w:r w:rsidR="00424C43" w:rsidRPr="006222E2">
        <w:t xml:space="preserve">were all associated with reduced mortality </w:t>
      </w:r>
      <w:r w:rsidR="00C72684" w:rsidRPr="006222E2">
        <w:t>(</w:t>
      </w:r>
      <w:r w:rsidR="00270C09" w:rsidRPr="006222E2">
        <w:t xml:space="preserve">OR 0.69  </w:t>
      </w:r>
      <w:r w:rsidR="00F81145" w:rsidRPr="006222E2">
        <w:t>[</w:t>
      </w:r>
      <w:r w:rsidR="00270C09" w:rsidRPr="006222E2">
        <w:t>0.59-0.81</w:t>
      </w:r>
      <w:r w:rsidR="00F81145" w:rsidRPr="006222E2">
        <w:t>],</w:t>
      </w:r>
      <w:r w:rsidR="00270C09" w:rsidRPr="006222E2">
        <w:t xml:space="preserve"> OR 0.77</w:t>
      </w:r>
      <w:r w:rsidR="00F81145" w:rsidRPr="006222E2">
        <w:t xml:space="preserve"> [</w:t>
      </w:r>
      <w:r w:rsidR="00270C09" w:rsidRPr="006222E2">
        <w:t>0.67-0.89</w:t>
      </w:r>
      <w:r w:rsidR="00F81145" w:rsidRPr="006222E2">
        <w:t>]</w:t>
      </w:r>
      <w:r w:rsidR="00270C09" w:rsidRPr="006222E2">
        <w:t xml:space="preserve"> </w:t>
      </w:r>
      <w:r w:rsidR="00F81145" w:rsidRPr="006222E2">
        <w:t>and</w:t>
      </w:r>
      <w:r w:rsidR="00270C09" w:rsidRPr="006222E2">
        <w:t xml:space="preserve"> OR 0.64</w:t>
      </w:r>
      <w:r w:rsidR="00F81145" w:rsidRPr="006222E2">
        <w:t xml:space="preserve"> [</w:t>
      </w:r>
      <w:r w:rsidR="00270C09" w:rsidRPr="006222E2">
        <w:t>0.54-0.77</w:t>
      </w:r>
      <w:r w:rsidR="00F81145" w:rsidRPr="006222E2">
        <w:t>] respectively</w:t>
      </w:r>
      <w:r w:rsidR="00C72684" w:rsidRPr="006222E2">
        <w:t>)</w:t>
      </w:r>
      <w:r w:rsidR="00F81145" w:rsidRPr="006222E2">
        <w:t xml:space="preserve"> </w:t>
      </w:r>
      <w:r w:rsidR="00424C43" w:rsidRPr="006222E2">
        <w:t>and shorter hospitalizations</w:t>
      </w:r>
      <w:r w:rsidR="00270C09" w:rsidRPr="006222E2">
        <w:t xml:space="preserve"> </w:t>
      </w:r>
      <w:r w:rsidR="00C72684" w:rsidRPr="006222E2">
        <w:t>(</w:t>
      </w:r>
      <w:r w:rsidR="00270C09" w:rsidRPr="006222E2">
        <w:t xml:space="preserve">OR 0.58 </w:t>
      </w:r>
      <w:r w:rsidR="00F81145" w:rsidRPr="006222E2">
        <w:t>[</w:t>
      </w:r>
      <w:r w:rsidR="00270C09" w:rsidRPr="006222E2">
        <w:t>0.49-0.69</w:t>
      </w:r>
      <w:r w:rsidR="00F81145" w:rsidRPr="006222E2">
        <w:t>],</w:t>
      </w:r>
      <w:r w:rsidR="00270C09" w:rsidRPr="006222E2">
        <w:t xml:space="preserve"> OR0.81 </w:t>
      </w:r>
      <w:r w:rsidR="00F81145" w:rsidRPr="006222E2">
        <w:t>[</w:t>
      </w:r>
      <w:r w:rsidR="00270C09" w:rsidRPr="006222E2">
        <w:t>0.70-0.94</w:t>
      </w:r>
      <w:r w:rsidR="00F81145" w:rsidRPr="006222E2">
        <w:t xml:space="preserve">] and </w:t>
      </w:r>
      <w:r w:rsidR="00270C09" w:rsidRPr="006222E2">
        <w:t xml:space="preserve">OR 0.54 </w:t>
      </w:r>
      <w:r w:rsidR="00F81145" w:rsidRPr="006222E2">
        <w:t>[</w:t>
      </w:r>
      <w:r w:rsidR="00270C09" w:rsidRPr="006222E2">
        <w:t>0.45-0.66</w:t>
      </w:r>
      <w:r w:rsidR="00F81145" w:rsidRPr="006222E2">
        <w:t>]</w:t>
      </w:r>
      <w:r w:rsidR="006222E2">
        <w:t xml:space="preserve"> </w:t>
      </w:r>
      <w:r w:rsidR="00C72684" w:rsidRPr="006222E2">
        <w:t>respectively)</w:t>
      </w:r>
      <w:r w:rsidR="00F81145" w:rsidRPr="006222E2">
        <w:t xml:space="preserve">. </w:t>
      </w:r>
      <w:r w:rsidR="00EB0149" w:rsidRPr="006222E2">
        <w:t>H</w:t>
      </w:r>
      <w:r w:rsidR="00424C43" w:rsidRPr="006222E2">
        <w:t xml:space="preserve">owever, </w:t>
      </w:r>
      <w:r w:rsidR="00222799" w:rsidRPr="006222E2">
        <w:t xml:space="preserve">none of these measures had an impact on </w:t>
      </w:r>
      <w:r w:rsidR="00424C43" w:rsidRPr="006222E2">
        <w:t>the risk of readmission to hospital within 30 days</w:t>
      </w:r>
      <w:r w:rsidR="00222799" w:rsidRPr="006222E2">
        <w:t>.</w:t>
      </w:r>
    </w:p>
    <w:p w14:paraId="50F60B30" w14:textId="1E13D28D" w:rsidR="007E5AAC" w:rsidRPr="001B74B9" w:rsidRDefault="00B67088" w:rsidP="00857F17">
      <w:pPr>
        <w:jc w:val="both"/>
        <w:rPr>
          <w:rFonts w:cstheme="minorHAnsi"/>
        </w:rPr>
      </w:pPr>
      <w:r w:rsidRPr="00B67088">
        <w:rPr>
          <w:rFonts w:cs="Arial"/>
          <w:b/>
        </w:rPr>
        <w:t>Conclusions</w:t>
      </w:r>
      <w:r w:rsidRPr="00D81D5F">
        <w:rPr>
          <w:rFonts w:cs="Arial"/>
        </w:rPr>
        <w:t xml:space="preserve">: The </w:t>
      </w:r>
      <w:r w:rsidR="00424C43" w:rsidRPr="00D81D5F">
        <w:rPr>
          <w:rFonts w:cs="Arial"/>
        </w:rPr>
        <w:t xml:space="preserve">AQ Sepsis collaborative in </w:t>
      </w:r>
      <w:r w:rsidR="00222799">
        <w:rPr>
          <w:rFonts w:cs="Arial"/>
        </w:rPr>
        <w:t>northwest</w:t>
      </w:r>
      <w:r w:rsidR="00222799" w:rsidRPr="00D81D5F">
        <w:rPr>
          <w:rFonts w:cs="Arial"/>
        </w:rPr>
        <w:t xml:space="preserve"> </w:t>
      </w:r>
      <w:r w:rsidR="00334220" w:rsidRPr="00D81D5F">
        <w:rPr>
          <w:rFonts w:cs="Arial"/>
        </w:rPr>
        <w:t xml:space="preserve">of </w:t>
      </w:r>
      <w:r w:rsidR="00424C43" w:rsidRPr="00D81D5F">
        <w:rPr>
          <w:rFonts w:cs="Arial"/>
        </w:rPr>
        <w:t xml:space="preserve">England </w:t>
      </w:r>
      <w:r w:rsidR="00334220" w:rsidRPr="00D81D5F">
        <w:rPr>
          <w:rFonts w:cs="Arial"/>
        </w:rPr>
        <w:t xml:space="preserve">improved </w:t>
      </w:r>
      <w:r w:rsidR="00424C43" w:rsidRPr="00D81D5F">
        <w:rPr>
          <w:rFonts w:cs="Arial"/>
        </w:rPr>
        <w:t xml:space="preserve">readmission and length of stay for patients </w:t>
      </w:r>
      <w:r w:rsidR="00B259AF">
        <w:rPr>
          <w:rFonts w:cs="Arial"/>
        </w:rPr>
        <w:t xml:space="preserve">admitted </w:t>
      </w:r>
      <w:r w:rsidR="00424C43" w:rsidRPr="00D81D5F">
        <w:rPr>
          <w:rFonts w:cs="Arial"/>
        </w:rPr>
        <w:t>with sepsis but did not affect mortality.</w:t>
      </w:r>
      <w:r w:rsidR="00424C43">
        <w:rPr>
          <w:rFonts w:cs="Arial"/>
          <w:b/>
        </w:rPr>
        <w:t xml:space="preserve"> </w:t>
      </w:r>
      <w:r w:rsidR="00857F17">
        <w:rPr>
          <w:rFonts w:cstheme="minorHAnsi"/>
        </w:rPr>
        <w:t xml:space="preserve">Further cost-effectiveness evaluation of the program is needed. </w:t>
      </w:r>
    </w:p>
    <w:p w14:paraId="7612FEAE" w14:textId="77777777" w:rsidR="009C29AA" w:rsidRDefault="009C29AA" w:rsidP="00FD44CA">
      <w:pPr>
        <w:jc w:val="both"/>
        <w:rPr>
          <w:rFonts w:cs="Arial"/>
          <w:b/>
        </w:rPr>
      </w:pPr>
    </w:p>
    <w:p w14:paraId="7EECD4C0" w14:textId="77777777" w:rsidR="00F713EE" w:rsidRDefault="00F713EE" w:rsidP="00F713EE">
      <w:pPr>
        <w:pStyle w:val="PlainText"/>
      </w:pPr>
      <w:r>
        <w:t xml:space="preserve">Section 1: What is already known on this </w:t>
      </w:r>
      <w:proofErr w:type="gramStart"/>
      <w:r>
        <w:t>subject</w:t>
      </w:r>
      <w:proofErr w:type="gramEnd"/>
    </w:p>
    <w:p w14:paraId="51C160C1" w14:textId="77777777" w:rsidR="00424C43" w:rsidRDefault="00424C43" w:rsidP="00FD44CA">
      <w:pPr>
        <w:jc w:val="both"/>
        <w:rPr>
          <w:rFonts w:cs="Arial"/>
          <w:b/>
        </w:rPr>
      </w:pPr>
    </w:p>
    <w:p w14:paraId="729A0BED" w14:textId="51B303B7" w:rsidR="007C7C37" w:rsidRDefault="00F713EE">
      <w:pPr>
        <w:rPr>
          <w:rFonts w:cs="Arial"/>
          <w:b/>
        </w:rPr>
      </w:pPr>
      <w:r w:rsidRPr="00F713EE">
        <w:rPr>
          <w:rFonts w:cs="Arial"/>
          <w:b/>
          <w:noProof/>
          <w:lang w:eastAsia="en-GB"/>
        </w:rPr>
        <mc:AlternateContent>
          <mc:Choice Requires="wps">
            <w:drawing>
              <wp:anchor distT="0" distB="0" distL="114300" distR="114300" simplePos="0" relativeHeight="251659264" behindDoc="0" locked="0" layoutInCell="1" allowOverlap="1" wp14:anchorId="5BA26F9A" wp14:editId="6EBD80D6">
                <wp:simplePos x="0" y="0"/>
                <wp:positionH relativeFrom="column">
                  <wp:align>center</wp:align>
                </wp:positionH>
                <wp:positionV relativeFrom="paragraph">
                  <wp:posOffset>0</wp:posOffset>
                </wp:positionV>
                <wp:extent cx="522922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solidFill>
                          <a:srgbClr val="FFFFFF"/>
                        </a:solidFill>
                        <a:ln w="9525">
                          <a:solidFill>
                            <a:srgbClr val="000000"/>
                          </a:solidFill>
                          <a:miter lim="800000"/>
                          <a:headEnd/>
                          <a:tailEnd/>
                        </a:ln>
                      </wps:spPr>
                      <wps:txbx>
                        <w:txbxContent>
                          <w:p w14:paraId="7051605B" w14:textId="63273537" w:rsidR="002A621E" w:rsidRDefault="002A621E" w:rsidP="00F46384">
                            <w:pPr>
                              <w:pStyle w:val="ListParagraph"/>
                              <w:numPr>
                                <w:ilvl w:val="0"/>
                                <w:numId w:val="7"/>
                              </w:numPr>
                            </w:pPr>
                            <w:r>
                              <w:t xml:space="preserve">Sepsis is a significant cause of mortality and healthcare costs. Most patients with sepsis are admitted to hospital via the Emergency Department. </w:t>
                            </w:r>
                          </w:p>
                          <w:p w14:paraId="7704832E" w14:textId="77777777" w:rsidR="002A621E" w:rsidRDefault="002A621E" w:rsidP="008C0E60">
                            <w:pPr>
                              <w:pStyle w:val="ListParagraph"/>
                            </w:pPr>
                          </w:p>
                          <w:p w14:paraId="0DE0C8AE" w14:textId="7231622F" w:rsidR="002A621E" w:rsidRDefault="002A621E" w:rsidP="00F46384">
                            <w:pPr>
                              <w:pStyle w:val="ListParagraph"/>
                              <w:numPr>
                                <w:ilvl w:val="0"/>
                                <w:numId w:val="7"/>
                              </w:numPr>
                            </w:pPr>
                            <w:r>
                              <w:t xml:space="preserve">Multiple observational studies have shown that sepsis improvement programs improve mortality however the impact on length of stay and readmissions is not well described </w:t>
                            </w:r>
                          </w:p>
                          <w:p w14:paraId="6989517E" w14:textId="77777777" w:rsidR="002A621E" w:rsidRDefault="002A621E" w:rsidP="008C0E60">
                            <w:pPr>
                              <w:pStyle w:val="ListParagraph"/>
                            </w:pPr>
                          </w:p>
                          <w:p w14:paraId="196133D8" w14:textId="037F6447" w:rsidR="002A621E" w:rsidRDefault="002A621E" w:rsidP="00F46384">
                            <w:pPr>
                              <w:pStyle w:val="ListParagraph"/>
                              <w:numPr>
                                <w:ilvl w:val="0"/>
                                <w:numId w:val="7"/>
                              </w:numPr>
                            </w:pPr>
                            <w:r>
                              <w:t xml:space="preserve">Controversy also exists about how rapidly sepsis should be treated and which interventions improve outcomes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1.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">
                <v:textbox style="mso-fit-shape-to-text:t">
                  <w:txbxContent>
                    <w:p w14:paraId="7051605B" w14:textId="63273537" w:rsidR="00193E9E" w:rsidRDefault="00193E9E" w:rsidP="00F46384">
                      <w:pPr>
                        <w:pStyle w:val="ListParagraph"/>
                        <w:numPr>
                          <w:ilvl w:val="0"/>
                          <w:numId w:val="7"/>
                        </w:numPr>
                      </w:pPr>
                      <w:r>
                        <w:t xml:space="preserve">Sepsis is a significant cause of mortality and healthcare costs. Most patients with sepsis are admitted to hospital via the Emergency Department. </w:t>
                      </w:r>
                    </w:p>
                    <w:p w14:paraId="7704832E" w14:textId="77777777" w:rsidR="00193E9E" w:rsidRDefault="00193E9E" w:rsidP="008C0E60">
                      <w:pPr>
                        <w:pStyle w:val="ListParagraph"/>
                      </w:pPr>
                    </w:p>
                    <w:p w14:paraId="0DE0C8AE" w14:textId="7231622F" w:rsidR="00193E9E" w:rsidRDefault="00193E9E" w:rsidP="00F46384">
                      <w:pPr>
                        <w:pStyle w:val="ListParagraph"/>
                        <w:numPr>
                          <w:ilvl w:val="0"/>
                          <w:numId w:val="7"/>
                        </w:numPr>
                      </w:pPr>
                      <w:r>
                        <w:t xml:space="preserve">Multiple observational studies have shown that sepsis improvement programs improve mortality however the impact on length of stay and readmissions is not well described </w:t>
                      </w:r>
                    </w:p>
                    <w:p w14:paraId="6989517E" w14:textId="77777777" w:rsidR="00193E9E" w:rsidRDefault="00193E9E" w:rsidP="008C0E60">
                      <w:pPr>
                        <w:pStyle w:val="ListParagraph"/>
                      </w:pPr>
                    </w:p>
                    <w:p w14:paraId="196133D8" w14:textId="037F6447" w:rsidR="00193E9E" w:rsidRDefault="00193E9E" w:rsidP="00F46384">
                      <w:pPr>
                        <w:pStyle w:val="ListParagraph"/>
                        <w:numPr>
                          <w:ilvl w:val="0"/>
                          <w:numId w:val="7"/>
                        </w:numPr>
                      </w:pPr>
                      <w:r>
                        <w:t xml:space="preserve">Controversy also exists about how rapidly sepsis should be treated and which interventions improve outcomes </w:t>
                      </w:r>
                    </w:p>
                  </w:txbxContent>
                </v:textbox>
              </v:shape>
            </w:pict>
          </mc:Fallback>
        </mc:AlternateContent>
      </w:r>
      <w:r w:rsidR="007C7C37">
        <w:rPr>
          <w:rFonts w:cs="Arial"/>
          <w:b/>
        </w:rPr>
        <w:br w:type="page"/>
      </w:r>
    </w:p>
    <w:p w14:paraId="54647D80" w14:textId="77777777" w:rsidR="00F713EE" w:rsidRDefault="00F713EE" w:rsidP="00F713EE">
      <w:pPr>
        <w:pStyle w:val="PlainText"/>
      </w:pPr>
      <w:r>
        <w:lastRenderedPageBreak/>
        <w:t>Section 2: What this study adds</w:t>
      </w:r>
    </w:p>
    <w:p w14:paraId="2C904BE4" w14:textId="77777777" w:rsidR="008C0E60" w:rsidRDefault="008C0E60" w:rsidP="00F713EE">
      <w:pPr>
        <w:pStyle w:val="PlainText"/>
      </w:pPr>
    </w:p>
    <w:p w14:paraId="5EAACDC6" w14:textId="731EB365" w:rsidR="00F713EE" w:rsidRDefault="00F713EE">
      <w:pPr>
        <w:rPr>
          <w:rFonts w:cs="Arial"/>
          <w:b/>
        </w:rPr>
      </w:pPr>
      <w:r w:rsidRPr="00F713EE">
        <w:rPr>
          <w:rFonts w:cs="Arial"/>
          <w:b/>
          <w:noProof/>
          <w:lang w:eastAsia="en-GB"/>
        </w:rPr>
        <mc:AlternateContent>
          <mc:Choice Requires="wps">
            <w:drawing>
              <wp:anchor distT="0" distB="0" distL="114300" distR="114300" simplePos="0" relativeHeight="251661312" behindDoc="0" locked="0" layoutInCell="1" allowOverlap="1" wp14:anchorId="7BD524F1" wp14:editId="1DE84A7F">
                <wp:simplePos x="0" y="0"/>
                <wp:positionH relativeFrom="column">
                  <wp:align>center</wp:align>
                </wp:positionH>
                <wp:positionV relativeFrom="paragraph">
                  <wp:posOffset>0</wp:posOffset>
                </wp:positionV>
                <wp:extent cx="5438775" cy="1403985"/>
                <wp:effectExtent l="0" t="0" r="2857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solidFill>
                            <a:srgbClr val="000000"/>
                          </a:solidFill>
                          <a:miter lim="800000"/>
                          <a:headEnd/>
                          <a:tailEnd/>
                        </a:ln>
                      </wps:spPr>
                      <wps:txbx>
                        <w:txbxContent>
                          <w:p w14:paraId="026546A7" w14:textId="55D18D51" w:rsidR="002A621E" w:rsidRDefault="002A621E" w:rsidP="00F46384">
                            <w:pPr>
                              <w:pStyle w:val="ListParagraph"/>
                              <w:numPr>
                                <w:ilvl w:val="0"/>
                                <w:numId w:val="8"/>
                              </w:numPr>
                            </w:pPr>
                            <w:r>
                              <w:t>A  regional sepsis improvement program focusing on patients admitted with sepsis in the northwest of England improved length of stay and readmissions but not mortality</w:t>
                            </w:r>
                          </w:p>
                          <w:p w14:paraId="5CAAEDE2" w14:textId="77777777" w:rsidR="002A621E" w:rsidRDefault="002A621E" w:rsidP="008C0E60">
                            <w:pPr>
                              <w:pStyle w:val="ListParagraph"/>
                            </w:pPr>
                          </w:p>
                          <w:p w14:paraId="527EC241" w14:textId="5ACA4A8A" w:rsidR="002A621E" w:rsidRDefault="002A621E" w:rsidP="00F46384">
                            <w:pPr>
                              <w:pStyle w:val="ListParagraph"/>
                              <w:numPr>
                                <w:ilvl w:val="0"/>
                                <w:numId w:val="8"/>
                              </w:numPr>
                            </w:pPr>
                            <w:r>
                              <w:t>Our study suggests that sepsis quality improvement projects should assess hospital length of stay and readmission rates as well as mortality</w:t>
                            </w:r>
                          </w:p>
                          <w:p w14:paraId="2474D763" w14:textId="77777777" w:rsidR="002A621E" w:rsidRDefault="002A621E" w:rsidP="008C0E60">
                            <w:pPr>
                              <w:pStyle w:val="ListParagraph"/>
                            </w:pPr>
                          </w:p>
                          <w:p w14:paraId="5A0F6445" w14:textId="6FDDD70F" w:rsidR="002A621E" w:rsidRDefault="002A621E" w:rsidP="00F46384">
                            <w:pPr>
                              <w:pStyle w:val="ListParagraph"/>
                              <w:numPr>
                                <w:ilvl w:val="0"/>
                                <w:numId w:val="8"/>
                              </w:numPr>
                            </w:pPr>
                            <w:r w:rsidRPr="00FD44CA">
                              <w:rPr>
                                <w:rFonts w:cstheme="minorHAnsi"/>
                              </w:rPr>
                              <w:t>Taking a blood culture sample</w:t>
                            </w:r>
                            <w:r>
                              <w:rPr>
                                <w:rFonts w:cstheme="minorHAnsi"/>
                              </w:rPr>
                              <w:t xml:space="preserve">, </w:t>
                            </w:r>
                            <w:r w:rsidRPr="00FD44CA">
                              <w:rPr>
                                <w:rFonts w:cstheme="minorHAnsi"/>
                              </w:rPr>
                              <w:t>administering antibiotic therapy and measuring serum lactate within 3</w:t>
                            </w:r>
                            <w:r>
                              <w:rPr>
                                <w:rFonts w:cstheme="minorHAnsi"/>
                              </w:rPr>
                              <w:t xml:space="preserve"> </w:t>
                            </w:r>
                            <w:r w:rsidRPr="00FD44CA">
                              <w:rPr>
                                <w:rFonts w:cstheme="minorHAnsi"/>
                              </w:rPr>
                              <w:t>h</w:t>
                            </w:r>
                            <w:r>
                              <w:rPr>
                                <w:rFonts w:cstheme="minorHAnsi"/>
                              </w:rPr>
                              <w:t>ours</w:t>
                            </w:r>
                            <w:r w:rsidRPr="00FD44CA">
                              <w:rPr>
                                <w:rFonts w:cstheme="minorHAnsi"/>
                              </w:rPr>
                              <w:t xml:space="preserve"> </w:t>
                            </w:r>
                            <w:r>
                              <w:rPr>
                                <w:rFonts w:cstheme="minorHAnsi"/>
                              </w:rPr>
                              <w:t xml:space="preserve">of hospital arrival </w:t>
                            </w:r>
                            <w:r w:rsidRPr="00FD44CA">
                              <w:rPr>
                                <w:rFonts w:cstheme="minorHAnsi"/>
                              </w:rPr>
                              <w:t>were all associated with reduced mortality and shorter hospitalizations</w:t>
                            </w:r>
                            <w:r>
                              <w:rPr>
                                <w:rFonts w:cstheme="minorHAnsi"/>
                              </w:rPr>
                              <w:t xml:space="preserve">. Our study adds to the body of evidence supporting timely treatment for patients with sepsis.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28.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">
                <v:textbox style="mso-fit-shape-to-text:t">
                  <w:txbxContent>
                    <w:p w14:paraId="026546A7" w14:textId="55D18D51" w:rsidR="00193E9E" w:rsidRDefault="00193E9E" w:rsidP="00F46384">
                      <w:pPr>
                        <w:pStyle w:val="ListParagraph"/>
                        <w:numPr>
                          <w:ilvl w:val="0"/>
                          <w:numId w:val="8"/>
                        </w:numPr>
                      </w:pPr>
                      <w:r>
                        <w:t>A  regional sepsis improvement program focusing on patients admitted with sepsis in the northwest of England improved length of stay and readmissions but not mortality</w:t>
                      </w:r>
                    </w:p>
                    <w:p w14:paraId="5CAAEDE2" w14:textId="77777777" w:rsidR="00193E9E" w:rsidRDefault="00193E9E" w:rsidP="008C0E60">
                      <w:pPr>
                        <w:pStyle w:val="ListParagraph"/>
                      </w:pPr>
                    </w:p>
                    <w:p w14:paraId="527EC241" w14:textId="5ACA4A8A" w:rsidR="00193E9E" w:rsidRDefault="00193E9E" w:rsidP="00F46384">
                      <w:pPr>
                        <w:pStyle w:val="ListParagraph"/>
                        <w:numPr>
                          <w:ilvl w:val="0"/>
                          <w:numId w:val="8"/>
                        </w:numPr>
                      </w:pPr>
                      <w:r>
                        <w:t>Our study suggests that sepsis quality improvement projects should assess hospital length of stay and readmission rates as well as mortality</w:t>
                      </w:r>
                    </w:p>
                    <w:p w14:paraId="2474D763" w14:textId="77777777" w:rsidR="00193E9E" w:rsidRDefault="00193E9E" w:rsidP="008C0E60">
                      <w:pPr>
                        <w:pStyle w:val="ListParagraph"/>
                      </w:pPr>
                    </w:p>
                    <w:p w14:paraId="5A0F6445" w14:textId="6FDDD70F" w:rsidR="00193E9E" w:rsidRDefault="00193E9E" w:rsidP="00F46384">
                      <w:pPr>
                        <w:pStyle w:val="ListParagraph"/>
                        <w:numPr>
                          <w:ilvl w:val="0"/>
                          <w:numId w:val="8"/>
                        </w:numPr>
                      </w:pPr>
                      <w:r w:rsidRPr="00FD44CA">
                        <w:rPr>
                          <w:rFonts w:cstheme="minorHAnsi"/>
                        </w:rPr>
                        <w:t>Taking a blood culture sample</w:t>
                      </w:r>
                      <w:r>
                        <w:rPr>
                          <w:rFonts w:cstheme="minorHAnsi"/>
                        </w:rPr>
                        <w:t xml:space="preserve">, </w:t>
                      </w:r>
                      <w:r w:rsidRPr="00FD44CA">
                        <w:rPr>
                          <w:rFonts w:cstheme="minorHAnsi"/>
                        </w:rPr>
                        <w:t>administering antibiotic therapy and measuring serum lactate within 3</w:t>
                      </w:r>
                      <w:r>
                        <w:rPr>
                          <w:rFonts w:cstheme="minorHAnsi"/>
                        </w:rPr>
                        <w:t xml:space="preserve"> </w:t>
                      </w:r>
                      <w:r w:rsidRPr="00FD44CA">
                        <w:rPr>
                          <w:rFonts w:cstheme="minorHAnsi"/>
                        </w:rPr>
                        <w:t>h</w:t>
                      </w:r>
                      <w:r>
                        <w:rPr>
                          <w:rFonts w:cstheme="minorHAnsi"/>
                        </w:rPr>
                        <w:t>ours</w:t>
                      </w:r>
                      <w:r w:rsidRPr="00FD44CA">
                        <w:rPr>
                          <w:rFonts w:cstheme="minorHAnsi"/>
                        </w:rPr>
                        <w:t xml:space="preserve"> </w:t>
                      </w:r>
                      <w:r>
                        <w:rPr>
                          <w:rFonts w:cstheme="minorHAnsi"/>
                        </w:rPr>
                        <w:t xml:space="preserve">of hospital arrival </w:t>
                      </w:r>
                      <w:r w:rsidRPr="00FD44CA">
                        <w:rPr>
                          <w:rFonts w:cstheme="minorHAnsi"/>
                        </w:rPr>
                        <w:t>were all associated with reduced mortality and shorter hospitalizations</w:t>
                      </w:r>
                      <w:r>
                        <w:rPr>
                          <w:rFonts w:cstheme="minorHAnsi"/>
                        </w:rPr>
                        <w:t xml:space="preserve">. Our study adds to the body of evidence supporting timely treatment for patients with sepsis. </w:t>
                      </w:r>
                    </w:p>
                  </w:txbxContent>
                </v:textbox>
              </v:shape>
            </w:pict>
          </mc:Fallback>
        </mc:AlternateContent>
      </w:r>
    </w:p>
    <w:p w14:paraId="35F2253E" w14:textId="77777777" w:rsidR="00F713EE" w:rsidRDefault="00F713EE" w:rsidP="00FD44CA">
      <w:pPr>
        <w:jc w:val="both"/>
        <w:rPr>
          <w:rFonts w:cs="Arial"/>
          <w:b/>
        </w:rPr>
      </w:pPr>
    </w:p>
    <w:p w14:paraId="258B9896" w14:textId="77777777" w:rsidR="00F713EE" w:rsidRDefault="00F713EE" w:rsidP="00FD44CA">
      <w:pPr>
        <w:jc w:val="both"/>
        <w:rPr>
          <w:rFonts w:cs="Arial"/>
          <w:b/>
        </w:rPr>
      </w:pPr>
    </w:p>
    <w:p w14:paraId="77697CE5" w14:textId="77777777" w:rsidR="00F713EE" w:rsidRDefault="00F713EE" w:rsidP="00FD44CA">
      <w:pPr>
        <w:jc w:val="both"/>
        <w:rPr>
          <w:rFonts w:cs="Arial"/>
          <w:b/>
        </w:rPr>
      </w:pPr>
    </w:p>
    <w:p w14:paraId="24E94532" w14:textId="77777777" w:rsidR="00F713EE" w:rsidRDefault="00F713EE" w:rsidP="00FD44CA">
      <w:pPr>
        <w:jc w:val="both"/>
        <w:rPr>
          <w:rFonts w:cs="Arial"/>
          <w:b/>
        </w:rPr>
      </w:pPr>
    </w:p>
    <w:p w14:paraId="24104723" w14:textId="77777777" w:rsidR="00F713EE" w:rsidRDefault="00F713EE" w:rsidP="00FD44CA">
      <w:pPr>
        <w:jc w:val="both"/>
        <w:rPr>
          <w:rFonts w:cs="Arial"/>
          <w:b/>
        </w:rPr>
      </w:pPr>
    </w:p>
    <w:p w14:paraId="1F85D77E" w14:textId="77777777" w:rsidR="00F713EE" w:rsidRDefault="00F713EE" w:rsidP="00FD44CA">
      <w:pPr>
        <w:jc w:val="both"/>
        <w:rPr>
          <w:rFonts w:cs="Arial"/>
          <w:b/>
        </w:rPr>
      </w:pPr>
    </w:p>
    <w:p w14:paraId="6CA8C514" w14:textId="77777777" w:rsidR="00F713EE" w:rsidRDefault="00F713EE" w:rsidP="00FD44CA">
      <w:pPr>
        <w:jc w:val="both"/>
        <w:rPr>
          <w:rFonts w:cs="Arial"/>
          <w:b/>
        </w:rPr>
      </w:pPr>
    </w:p>
    <w:p w14:paraId="219D74F9" w14:textId="77777777" w:rsidR="00F713EE" w:rsidRDefault="00F713EE" w:rsidP="00FD44CA">
      <w:pPr>
        <w:jc w:val="both"/>
        <w:rPr>
          <w:rFonts w:cs="Arial"/>
          <w:b/>
        </w:rPr>
      </w:pPr>
    </w:p>
    <w:p w14:paraId="309D2CBB" w14:textId="77777777" w:rsidR="00F713EE" w:rsidRDefault="00F713EE" w:rsidP="00FD44CA">
      <w:pPr>
        <w:jc w:val="both"/>
        <w:rPr>
          <w:rFonts w:cs="Arial"/>
          <w:b/>
        </w:rPr>
      </w:pPr>
    </w:p>
    <w:p w14:paraId="18C9C539" w14:textId="77777777" w:rsidR="00F713EE" w:rsidRDefault="00F713EE" w:rsidP="00FD44CA">
      <w:pPr>
        <w:jc w:val="both"/>
        <w:rPr>
          <w:rFonts w:cs="Arial"/>
          <w:b/>
        </w:rPr>
      </w:pPr>
    </w:p>
    <w:p w14:paraId="0F9FD388" w14:textId="77777777" w:rsidR="00F713EE" w:rsidRDefault="00F713EE" w:rsidP="00FD44CA">
      <w:pPr>
        <w:jc w:val="both"/>
        <w:rPr>
          <w:rFonts w:cs="Arial"/>
          <w:b/>
        </w:rPr>
      </w:pPr>
    </w:p>
    <w:p w14:paraId="0182C840" w14:textId="77777777" w:rsidR="00F713EE" w:rsidRDefault="00F713EE" w:rsidP="00FD44CA">
      <w:pPr>
        <w:jc w:val="both"/>
        <w:rPr>
          <w:rFonts w:cs="Arial"/>
          <w:b/>
        </w:rPr>
      </w:pPr>
    </w:p>
    <w:p w14:paraId="1148E970" w14:textId="77777777" w:rsidR="00F713EE" w:rsidRDefault="00F713EE" w:rsidP="00FD44CA">
      <w:pPr>
        <w:jc w:val="both"/>
        <w:rPr>
          <w:rFonts w:cs="Arial"/>
          <w:b/>
        </w:rPr>
      </w:pPr>
    </w:p>
    <w:p w14:paraId="35302B48" w14:textId="77777777" w:rsidR="00F713EE" w:rsidRDefault="00F713EE" w:rsidP="00FD44CA">
      <w:pPr>
        <w:jc w:val="both"/>
        <w:rPr>
          <w:rFonts w:cs="Arial"/>
          <w:b/>
        </w:rPr>
      </w:pPr>
    </w:p>
    <w:p w14:paraId="13F933FA" w14:textId="77777777" w:rsidR="00F713EE" w:rsidRDefault="00F713EE" w:rsidP="00FD44CA">
      <w:pPr>
        <w:jc w:val="both"/>
        <w:rPr>
          <w:rFonts w:cs="Arial"/>
          <w:b/>
        </w:rPr>
      </w:pPr>
    </w:p>
    <w:p w14:paraId="5A4BAC3D" w14:textId="77777777" w:rsidR="00F713EE" w:rsidRDefault="00F713EE" w:rsidP="00FD44CA">
      <w:pPr>
        <w:jc w:val="both"/>
        <w:rPr>
          <w:rFonts w:cs="Arial"/>
          <w:b/>
        </w:rPr>
      </w:pPr>
    </w:p>
    <w:p w14:paraId="241B7B03" w14:textId="77777777" w:rsidR="00F713EE" w:rsidRDefault="00F713EE" w:rsidP="00FD44CA">
      <w:pPr>
        <w:jc w:val="both"/>
        <w:rPr>
          <w:rFonts w:cs="Arial"/>
          <w:b/>
        </w:rPr>
      </w:pPr>
    </w:p>
    <w:p w14:paraId="4D4AF1F7" w14:textId="77777777" w:rsidR="00F713EE" w:rsidRDefault="00F713EE" w:rsidP="00FD44CA">
      <w:pPr>
        <w:jc w:val="both"/>
        <w:rPr>
          <w:rFonts w:cs="Arial"/>
          <w:b/>
        </w:rPr>
      </w:pPr>
    </w:p>
    <w:p w14:paraId="4F315C55" w14:textId="77777777" w:rsidR="00F713EE" w:rsidRDefault="00F713EE" w:rsidP="00FD44CA">
      <w:pPr>
        <w:jc w:val="both"/>
        <w:rPr>
          <w:rFonts w:cs="Arial"/>
          <w:b/>
        </w:rPr>
      </w:pPr>
    </w:p>
    <w:p w14:paraId="33B00D49" w14:textId="77777777" w:rsidR="00F713EE" w:rsidRDefault="00F713EE" w:rsidP="00FD44CA">
      <w:pPr>
        <w:jc w:val="both"/>
        <w:rPr>
          <w:rFonts w:cs="Arial"/>
          <w:b/>
        </w:rPr>
      </w:pPr>
    </w:p>
    <w:p w14:paraId="03FA6C49" w14:textId="77777777" w:rsidR="00F713EE" w:rsidRDefault="00F713EE" w:rsidP="00FD44CA">
      <w:pPr>
        <w:jc w:val="both"/>
        <w:rPr>
          <w:rFonts w:cs="Arial"/>
          <w:b/>
        </w:rPr>
      </w:pPr>
    </w:p>
    <w:p w14:paraId="3918D9ED" w14:textId="77777777" w:rsidR="00F713EE" w:rsidRDefault="00F713EE" w:rsidP="00FD44CA">
      <w:pPr>
        <w:jc w:val="both"/>
        <w:rPr>
          <w:rFonts w:cs="Arial"/>
          <w:b/>
        </w:rPr>
      </w:pPr>
    </w:p>
    <w:p w14:paraId="096D35CA" w14:textId="77777777" w:rsidR="00F713EE" w:rsidRDefault="00F713EE" w:rsidP="00FD44CA">
      <w:pPr>
        <w:jc w:val="both"/>
        <w:rPr>
          <w:rFonts w:cs="Arial"/>
          <w:b/>
        </w:rPr>
      </w:pPr>
    </w:p>
    <w:p w14:paraId="3DB52DF2" w14:textId="77777777" w:rsidR="00F713EE" w:rsidRDefault="00F713EE" w:rsidP="00FD44CA">
      <w:pPr>
        <w:jc w:val="both"/>
        <w:rPr>
          <w:rFonts w:cs="Arial"/>
          <w:b/>
        </w:rPr>
      </w:pPr>
    </w:p>
    <w:p w14:paraId="6AB07327" w14:textId="77777777" w:rsidR="00F713EE" w:rsidRDefault="00F713EE" w:rsidP="00FD44CA">
      <w:pPr>
        <w:jc w:val="both"/>
        <w:rPr>
          <w:rFonts w:cs="Arial"/>
          <w:b/>
        </w:rPr>
      </w:pPr>
    </w:p>
    <w:p w14:paraId="0E3EA1FF" w14:textId="77777777" w:rsidR="00F713EE" w:rsidRDefault="00F713EE" w:rsidP="00FD44CA">
      <w:pPr>
        <w:jc w:val="both"/>
        <w:rPr>
          <w:rFonts w:cs="Arial"/>
          <w:b/>
        </w:rPr>
      </w:pPr>
    </w:p>
    <w:p w14:paraId="13D96CA9" w14:textId="77777777" w:rsidR="00F713EE" w:rsidRDefault="00F713EE" w:rsidP="00FD44CA">
      <w:pPr>
        <w:jc w:val="both"/>
        <w:rPr>
          <w:rFonts w:cs="Arial"/>
          <w:b/>
        </w:rPr>
      </w:pPr>
    </w:p>
    <w:p w14:paraId="172A4BA4" w14:textId="77777777" w:rsidR="00F713EE" w:rsidRDefault="00F713EE" w:rsidP="00FD44CA">
      <w:pPr>
        <w:jc w:val="both"/>
        <w:rPr>
          <w:rFonts w:cs="Arial"/>
          <w:b/>
        </w:rPr>
      </w:pPr>
    </w:p>
    <w:p w14:paraId="4CA4878D" w14:textId="77777777" w:rsidR="00F713EE" w:rsidRDefault="00F713EE" w:rsidP="00FD44CA">
      <w:pPr>
        <w:jc w:val="both"/>
        <w:rPr>
          <w:rFonts w:cs="Arial"/>
          <w:b/>
        </w:rPr>
      </w:pPr>
    </w:p>
    <w:p w14:paraId="5EF1162B" w14:textId="77777777" w:rsidR="00F713EE" w:rsidRDefault="00F713EE" w:rsidP="00FD44CA">
      <w:pPr>
        <w:jc w:val="both"/>
        <w:rPr>
          <w:rFonts w:cs="Arial"/>
          <w:b/>
        </w:rPr>
      </w:pPr>
    </w:p>
    <w:p w14:paraId="61EC69AD" w14:textId="77777777" w:rsidR="00F713EE" w:rsidRDefault="00F713EE" w:rsidP="00FD44CA">
      <w:pPr>
        <w:jc w:val="both"/>
        <w:rPr>
          <w:rFonts w:cs="Arial"/>
          <w:b/>
        </w:rPr>
      </w:pPr>
    </w:p>
    <w:p w14:paraId="459F0DEE" w14:textId="77777777" w:rsidR="00F713EE" w:rsidRDefault="00F713EE" w:rsidP="00FD44CA">
      <w:pPr>
        <w:jc w:val="both"/>
        <w:rPr>
          <w:rFonts w:cs="Arial"/>
          <w:b/>
        </w:rPr>
      </w:pPr>
    </w:p>
    <w:p w14:paraId="01E63583" w14:textId="77777777" w:rsidR="00F713EE" w:rsidRDefault="00F713EE" w:rsidP="00FD44CA">
      <w:pPr>
        <w:jc w:val="both"/>
        <w:rPr>
          <w:rFonts w:cs="Arial"/>
          <w:b/>
        </w:rPr>
      </w:pPr>
    </w:p>
    <w:p w14:paraId="779F9217" w14:textId="77777777" w:rsidR="00F713EE" w:rsidRDefault="00F713EE" w:rsidP="00FD44CA">
      <w:pPr>
        <w:jc w:val="both"/>
        <w:rPr>
          <w:rFonts w:cs="Arial"/>
          <w:b/>
        </w:rPr>
      </w:pPr>
    </w:p>
    <w:p w14:paraId="3FB482B4" w14:textId="77777777" w:rsidR="00F713EE" w:rsidRDefault="00F713EE" w:rsidP="00FD44CA">
      <w:pPr>
        <w:jc w:val="both"/>
        <w:rPr>
          <w:rFonts w:cs="Arial"/>
          <w:b/>
        </w:rPr>
      </w:pPr>
    </w:p>
    <w:p w14:paraId="0B071806" w14:textId="77777777" w:rsidR="00F713EE" w:rsidRDefault="00F713EE" w:rsidP="00FD44CA">
      <w:pPr>
        <w:jc w:val="both"/>
        <w:rPr>
          <w:rFonts w:cs="Arial"/>
          <w:b/>
        </w:rPr>
      </w:pPr>
    </w:p>
    <w:p w14:paraId="2A314F7C" w14:textId="77777777" w:rsidR="00F713EE" w:rsidRDefault="00F713EE" w:rsidP="00FD44CA">
      <w:pPr>
        <w:jc w:val="both"/>
        <w:rPr>
          <w:rFonts w:cs="Arial"/>
          <w:b/>
        </w:rPr>
      </w:pPr>
    </w:p>
    <w:p w14:paraId="40C30F74" w14:textId="77777777" w:rsidR="00F713EE" w:rsidRDefault="00F713EE" w:rsidP="00FD44CA">
      <w:pPr>
        <w:jc w:val="both"/>
        <w:rPr>
          <w:rFonts w:cs="Arial"/>
          <w:b/>
        </w:rPr>
      </w:pPr>
    </w:p>
    <w:p w14:paraId="1634B2F4" w14:textId="77777777" w:rsidR="00F713EE" w:rsidRDefault="00F713EE" w:rsidP="00FD44CA">
      <w:pPr>
        <w:jc w:val="both"/>
        <w:rPr>
          <w:rFonts w:cs="Arial"/>
          <w:b/>
        </w:rPr>
      </w:pPr>
    </w:p>
    <w:p w14:paraId="7EC1FDFF" w14:textId="77777777" w:rsidR="00F713EE" w:rsidRDefault="00F713EE" w:rsidP="00FD44CA">
      <w:pPr>
        <w:jc w:val="both"/>
        <w:rPr>
          <w:rFonts w:cs="Arial"/>
          <w:b/>
        </w:rPr>
      </w:pPr>
    </w:p>
    <w:p w14:paraId="733A2B27" w14:textId="77777777" w:rsidR="00F713EE" w:rsidRDefault="00F713EE" w:rsidP="00FD44CA">
      <w:pPr>
        <w:jc w:val="both"/>
        <w:rPr>
          <w:rFonts w:cs="Arial"/>
          <w:b/>
        </w:rPr>
      </w:pPr>
    </w:p>
    <w:p w14:paraId="19965940" w14:textId="77777777" w:rsidR="00F713EE" w:rsidRDefault="00F713EE" w:rsidP="00FD44CA">
      <w:pPr>
        <w:jc w:val="both"/>
        <w:rPr>
          <w:rFonts w:cs="Arial"/>
          <w:b/>
        </w:rPr>
      </w:pPr>
    </w:p>
    <w:p w14:paraId="37EABD40" w14:textId="77777777" w:rsidR="00F713EE" w:rsidRDefault="00F713EE" w:rsidP="00FD44CA">
      <w:pPr>
        <w:jc w:val="both"/>
        <w:rPr>
          <w:rFonts w:cs="Arial"/>
          <w:b/>
        </w:rPr>
      </w:pPr>
    </w:p>
    <w:p w14:paraId="22F3588C" w14:textId="77777777" w:rsidR="00F713EE" w:rsidRDefault="00F713EE" w:rsidP="00FD44CA">
      <w:pPr>
        <w:jc w:val="both"/>
        <w:rPr>
          <w:rFonts w:cs="Arial"/>
          <w:b/>
        </w:rPr>
      </w:pPr>
    </w:p>
    <w:p w14:paraId="02A9BC96" w14:textId="1A845CAA" w:rsidR="00DE15E6" w:rsidRPr="00504081" w:rsidRDefault="007C7C37" w:rsidP="00FD44CA">
      <w:pPr>
        <w:jc w:val="both"/>
        <w:rPr>
          <w:rFonts w:cs="Arial"/>
          <w:b/>
        </w:rPr>
      </w:pPr>
      <w:r>
        <w:rPr>
          <w:rFonts w:cs="Arial"/>
          <w:b/>
        </w:rPr>
        <w:lastRenderedPageBreak/>
        <w:t>INTRODUCTION</w:t>
      </w:r>
    </w:p>
    <w:p w14:paraId="44B46C42" w14:textId="77777777" w:rsidR="00DE15E6" w:rsidRPr="008168B5" w:rsidRDefault="00DE15E6" w:rsidP="00FD44CA">
      <w:pPr>
        <w:jc w:val="both"/>
        <w:rPr>
          <w:rFonts w:cs="Arial"/>
        </w:rPr>
      </w:pPr>
    </w:p>
    <w:p w14:paraId="2A30B310" w14:textId="75EC1776" w:rsidR="00B25ADB" w:rsidRDefault="00DE15E6" w:rsidP="00B25ADB">
      <w:pPr>
        <w:jc w:val="both"/>
      </w:pPr>
      <w:r w:rsidRPr="008168B5">
        <w:rPr>
          <w:rFonts w:cs="Arial"/>
        </w:rPr>
        <w:t>Sepsis is a significant cause of morbidity and mortality</w:t>
      </w:r>
      <w:r w:rsidR="008168B5">
        <w:rPr>
          <w:rFonts w:cs="Arial"/>
        </w:rPr>
        <w:t>. In t</w:t>
      </w:r>
      <w:r w:rsidR="00A122C7" w:rsidRPr="008168B5">
        <w:rPr>
          <w:rFonts w:cs="Arial"/>
        </w:rPr>
        <w:t>he UK</w:t>
      </w:r>
      <w:r w:rsidR="008168B5">
        <w:rPr>
          <w:rFonts w:cs="Arial"/>
        </w:rPr>
        <w:t>, the e</w:t>
      </w:r>
      <w:r w:rsidR="001D2953" w:rsidRPr="008168B5">
        <w:rPr>
          <w:rFonts w:cs="Arial"/>
        </w:rPr>
        <w:t xml:space="preserve">stimated </w:t>
      </w:r>
      <w:r w:rsidR="008168B5">
        <w:rPr>
          <w:rFonts w:cs="Arial"/>
        </w:rPr>
        <w:t>in hospital mortality is 3</w:t>
      </w:r>
      <w:r w:rsidR="00823837">
        <w:rPr>
          <w:rFonts w:cs="Arial"/>
        </w:rPr>
        <w:t>0</w:t>
      </w:r>
      <w:r w:rsidR="008168B5">
        <w:rPr>
          <w:rFonts w:cs="Arial"/>
        </w:rPr>
        <w:t xml:space="preserve">% </w:t>
      </w:r>
      <w:r w:rsidR="00C070FA">
        <w:rPr>
          <w:rFonts w:cs="Arial"/>
        </w:rPr>
        <w:fldChar w:fldCharType="begin" w:fldLock="1"/>
      </w:r>
      <w:r w:rsidR="00B20484">
        <w:rPr>
          <w:rFonts w:cs="Arial"/>
        </w:rPr>
        <w:instrText>ADDIN CSL_CITATION { "citationItems" : [ { "id" : "ITEM-1", "itemData" : { "DOI" : "10.1056/NEJMoa1500896", "ISBN" : "0028-4793, 1533-4406", "ISSN" : "1533-4406", "PMID" : "25776532", "abstract" : "BACKGROUND Early, goal-directed therapy (EGDT) is recommended in international guidelines for the resuscitation of patients presenting with early septic shock. However, adoption has been limited, and uncertainty about its effectiveness remains. METHODS We conducted a pragmatic randomized trial with an integrated cost-effectiveness analysis in 56 hospitals in England. Patients were randomly assigned to receive either EGDT (a 6-hour resuscitation protocol) or usual care. The primary clinical outcome was all-cause mortality at 90 days. RESULTS We enrolled 1260 patients, with 630 assigned to EGDT and 630 to usual care. By 90 days, 184 of 623 patients (29.5%) in the EGDT group and 181 of 620 patients (29.2%) in the usual-care group had died (relative risk in the EGDT group, 1.01; 95% confidence interval [CI], 0.85 to 1.20; P=0.90), for an absolute risk reduction in the EGDT group of -0.3 percentage points (95% CI, -5.4 to 4.7). Increased treatment intensity in the EGDT group was indicated by increased use of intravenous fluids, vasoactive drugs, and red-cell transfusions and reflected by significantly worse organ-failure scores, more days receiving advanced cardiovascular support, and longer stays in the intensive care unit. There were no significant differences in any other secondary outcomes, including health-related quality of life, or in rates of serious adverse events. On average, EGDT increased costs, and the probability that it was cost-effective was below 20%. CONCLUSIONS In patients with septic shock who were identified early and received intravenous antibiotics and adequate fluid resuscitation, hemodynamic management according to a strict EGDT protocol did not lead to an improvement in outcome. (Funded by the United Kingdom National Institute for Health Research Health Technology Assessment Programme; ProMISe Current Controlled Trials number, ISRCTN36307479.).", "author" : [ { "dropping-particle" : "", "family" : "Mouncey", "given" : "Paul R", "non-dropping-particle" : "", "parse-names" : false, "suffix" : "" }, { "dropping-particle" : "", "family" : "Osborn", "given" : "Tiffany M", "non-dropping-particle" : "", "parse-names" : false, "suffix" : "" }, { "dropping-particle" : "", "family" : "Power", "given" : "G Sarah", "non-dropping-particle" : "", "parse-names" : false, "suffix" : "" }, { "dropping-particle" : "", "family" : "Harrison", "given" : "David a", "non-dropping-particle" : "", "parse-names" : false, "suffix" : "" }, { "dropping-particle" : "", "family" : "Sadique", "given" : "M Zia", "non-dropping-particle" : "", "parse-names" : false, "suffix" : "" }, { "dropping-particle" : "", "family" : "Grieve", "given" : "Richard D", "non-dropping-particle" : "", "parse-names" : false, "suffix" : "" }, { "dropping-particle" : "", "family" : "Jahan", "given" : "Rahi", "non-dropping-particle" : "", "parse-names" : false, "suffix" : "" }, { "dropping-particle" : "", "family" : "Harvey", "given" : "Sheila E", "non-dropping-particle" : "", "parse-names" : false, "suffix" : "" }, { "dropping-particle" : "", "family" : "Bell", "given" : "Derek", "non-dropping-particle" : "", "parse-names" : false, "suffix" : "" }, { "dropping-particle" : "", "family" : "Bion", "given" : "Julian F", "non-dropping-particle" : "", "parse-names" : false, "suffix" : "" }, { "dropping-particle" : "", "family" : "Coats", "given" : "Timothy J", "non-dropping-particle" : "", "parse-names" : false, "suffix" : "" }, { "dropping-particle" : "", "family" : "Singer", "given" : "Mervyn", "non-dropping-particle" : "", "parse-names" : false, "suffix" : "" }, { "dropping-particle" : "", "family" : "Young", "given" : "J Duncan", "non-dropping-particle" : "", "parse-names" : false, "suffix" : "" }, { "dropping-particle" : "", "family" : "Rowan", "given" : "Kathryn M", "non-dropping-particle" : "", "parse-names" : false, "suffix" : "" } ], "container-title" : "The New England journal of medicine", "id" : "ITEM-1", "issue" : "14", "issued" : { "date-parts" : [ [ "2015" ] ] }, "page" : "1301-11", "title" : "Trial of Early, Goal-Directed Resuscitation for Septic Shock for the ProMISe Trial Investigators*", "type" : "article-journal", "volume" : "372" }, "uris" : [ "http://www.mendeley.com/documents/?uuid=67b6275c-f45b-4b69-8c37-c869665ef464" ] } ], "mendeley" : { "formattedCitation" : "(1)", "plainTextFormattedCitation" : "(1)", "previouslyFormattedCitation" : "(1)" }, "properties" : { "noteIndex" : 0 }, "schema" : "https://github.com/citation-style-language/schema/raw/master/csl-citation.json" }</w:instrText>
      </w:r>
      <w:r w:rsidR="00C070FA">
        <w:rPr>
          <w:rFonts w:cs="Arial"/>
        </w:rPr>
        <w:fldChar w:fldCharType="separate"/>
      </w:r>
      <w:r w:rsidR="00C070FA" w:rsidRPr="00C070FA">
        <w:rPr>
          <w:rFonts w:cs="Arial"/>
          <w:noProof/>
        </w:rPr>
        <w:t>(1)</w:t>
      </w:r>
      <w:r w:rsidR="00C070FA">
        <w:rPr>
          <w:rFonts w:cs="Arial"/>
        </w:rPr>
        <w:fldChar w:fldCharType="end"/>
      </w:r>
      <w:r w:rsidRPr="008168B5">
        <w:rPr>
          <w:rFonts w:cs="Arial"/>
        </w:rPr>
        <w:t>.</w:t>
      </w:r>
      <w:r w:rsidR="001D2953" w:rsidRPr="008168B5">
        <w:rPr>
          <w:rFonts w:cs="Arial"/>
        </w:rPr>
        <w:t xml:space="preserve"> </w:t>
      </w:r>
      <w:r w:rsidR="00EA41D5">
        <w:rPr>
          <w:rFonts w:cs="Arial"/>
        </w:rPr>
        <w:t>T</w:t>
      </w:r>
      <w:r w:rsidR="00C622EE">
        <w:rPr>
          <w:rFonts w:cs="Arial"/>
        </w:rPr>
        <w:t xml:space="preserve">here are an estimated </w:t>
      </w:r>
      <w:r w:rsidR="00EB0149">
        <w:rPr>
          <w:rFonts w:cs="Arial"/>
        </w:rPr>
        <w:t>150</w:t>
      </w:r>
      <w:r w:rsidR="00C622EE">
        <w:rPr>
          <w:rFonts w:cs="Arial"/>
        </w:rPr>
        <w:t xml:space="preserve">,000 </w:t>
      </w:r>
      <w:r w:rsidR="00EB0149">
        <w:rPr>
          <w:rFonts w:cs="Arial"/>
        </w:rPr>
        <w:t xml:space="preserve">sepsis admissions </w:t>
      </w:r>
      <w:r w:rsidR="00C622EE">
        <w:rPr>
          <w:rFonts w:cs="Arial"/>
        </w:rPr>
        <w:t xml:space="preserve">of sepsis in the </w:t>
      </w:r>
      <w:r w:rsidR="00EB0149">
        <w:rPr>
          <w:rFonts w:cs="Arial"/>
        </w:rPr>
        <w:t>UK, resulting</w:t>
      </w:r>
      <w:r w:rsidR="00C622EE">
        <w:rPr>
          <w:rFonts w:cs="Arial"/>
        </w:rPr>
        <w:t xml:space="preserve"> in over 44,000 deaths </w:t>
      </w:r>
      <w:r w:rsidR="00CE131E" w:rsidRPr="00CE131E">
        <w:rPr>
          <w:rFonts w:cs="Arial"/>
        </w:rPr>
        <w:fldChar w:fldCharType="begin" w:fldLock="1"/>
      </w:r>
      <w:r w:rsidR="00CE131E">
        <w:rPr>
          <w:rFonts w:cs="Arial"/>
        </w:rPr>
        <w:instrText>ADDIN CSL_CITATION { "citationItems" : [ { "id" : "ITEM-1", "itemData" : { "DOI" : "10.1136/emj.2010.095067", "ISBN" : "1472-0213", "ISSN" : "1472-0205", "PMID" : "21036796", "abstract" : "Severe sepsis is likely to account for around 37,000 deaths annually in the UK. Five years after the international Surviving Sepsis Campaign (SSC) care bundles were published, care standards in the management of patients with severe sepsis are achieved in fewer than one in seven patients.", "author" : [ { "dropping-particle" : "", "family" : "Daniels", "given" : "Ron", "non-dropping-particle" : "", "parse-names" : false, "suffix" : "" }, { "dropping-particle" : "", "family" : "Nutbeam", "given" : "Tim", "non-dropping-particle" : "", "parse-names" : false, "suffix" : "" }, { "dropping-particle" : "", "family" : "McNamara", "given" : "Georgina", "non-dropping-particle" : "", "parse-names" : false, "suffix" : "" }, { "dropping-particle" : "", "family" : "Galvin", "given" : "Clare", "non-dropping-particle" : "", "parse-names" : false, "suffix" : "" } ], "container-title" : "Emergency medicine journal : EMJ", "id" : "ITEM-1", "issue" : "6", "issued" : { "date-parts" : [ [ "2011" ] ] }, "page" : "507-512", "title" : "The sepsis six and the severe sepsis resuscitation bundle: a prospective observational cohort study.", "type" : "article-journal", "volume" : "28" }, "uris" : [ "http://www.mendeley.com/documents/?uuid=1717391f-e9ba-4371-93c7-3ba235d23766" ] } ], "mendeley" : { "formattedCitation" : "(2)", "plainTextFormattedCitation" : "(2)", "previouslyFormattedCitation" : "(2)" }, "properties" : { "noteIndex" : 0 }, "schema" : "https://github.com/citation-style-language/schema/raw/master/csl-citation.json" }</w:instrText>
      </w:r>
      <w:r w:rsidR="00CE131E" w:rsidRPr="00CE131E">
        <w:rPr>
          <w:rFonts w:cs="Arial"/>
        </w:rPr>
        <w:fldChar w:fldCharType="separate"/>
      </w:r>
      <w:r w:rsidR="00CE131E" w:rsidRPr="00CE131E">
        <w:rPr>
          <w:rFonts w:cs="Arial"/>
          <w:noProof/>
        </w:rPr>
        <w:t>(2)</w:t>
      </w:r>
      <w:r w:rsidR="00CE131E" w:rsidRPr="00CE131E">
        <w:rPr>
          <w:rFonts w:cs="Arial"/>
        </w:rPr>
        <w:fldChar w:fldCharType="end"/>
      </w:r>
      <w:r w:rsidRPr="00CE131E">
        <w:rPr>
          <w:rFonts w:cs="Arial"/>
        </w:rPr>
        <w:t xml:space="preserve">. </w:t>
      </w:r>
      <w:r w:rsidR="008168B5" w:rsidRPr="00CE131E">
        <w:rPr>
          <w:color w:val="333333"/>
          <w:shd w:val="clear" w:color="auto" w:fill="FFFFFF"/>
        </w:rPr>
        <w:t>Over</w:t>
      </w:r>
      <w:r w:rsidR="008168B5" w:rsidRPr="008168B5">
        <w:rPr>
          <w:color w:val="333333"/>
          <w:shd w:val="clear" w:color="auto" w:fill="FFFFFF"/>
        </w:rPr>
        <w:t xml:space="preserve"> the past 40 years the incidence of sepsis has substantially increased, partly because of </w:t>
      </w:r>
      <w:r w:rsidR="00EA6D26">
        <w:rPr>
          <w:color w:val="333333"/>
          <w:shd w:val="clear" w:color="auto" w:fill="FFFFFF"/>
        </w:rPr>
        <w:t>improved ascertainment and hospital coding</w:t>
      </w:r>
      <w:r w:rsidR="00EA6D26" w:rsidRPr="008168B5">
        <w:rPr>
          <w:color w:val="333333"/>
          <w:shd w:val="clear" w:color="auto" w:fill="FFFFFF"/>
        </w:rPr>
        <w:t xml:space="preserve"> </w:t>
      </w:r>
      <w:r w:rsidR="00EA6D26">
        <w:rPr>
          <w:color w:val="333333"/>
          <w:shd w:val="clear" w:color="auto" w:fill="FFFFFF"/>
        </w:rPr>
        <w:t xml:space="preserve">but importantly as a consequence of </w:t>
      </w:r>
      <w:r w:rsidR="008168B5" w:rsidRPr="008168B5">
        <w:rPr>
          <w:color w:val="333333"/>
          <w:shd w:val="clear" w:color="auto" w:fill="FFFFFF"/>
        </w:rPr>
        <w:t>increasing age of the population</w:t>
      </w:r>
      <w:r w:rsidR="008168B5">
        <w:rPr>
          <w:color w:val="333333"/>
          <w:shd w:val="clear" w:color="auto" w:fill="FFFFFF"/>
        </w:rPr>
        <w:t xml:space="preserve"> and</w:t>
      </w:r>
      <w:r w:rsidR="00EA6D26">
        <w:rPr>
          <w:color w:val="333333"/>
          <w:shd w:val="clear" w:color="auto" w:fill="FFFFFF"/>
        </w:rPr>
        <w:t xml:space="preserve"> greater prevalence of comorbidities</w:t>
      </w:r>
      <w:r w:rsidR="00E7096B">
        <w:rPr>
          <w:color w:val="333333"/>
          <w:shd w:val="clear" w:color="auto" w:fill="FFFFFF"/>
        </w:rPr>
        <w:fldChar w:fldCharType="begin" w:fldLock="1"/>
      </w:r>
      <w:r w:rsidR="00AA0AFE">
        <w:rPr>
          <w:color w:val="333333"/>
          <w:shd w:val="clear" w:color="auto" w:fill="FFFFFF"/>
        </w:rPr>
        <w:instrText>ADDIN CSL_CITATION { "citationItems" : [ { "id" : "ITEM-1", "itemData" : { "DOI" : "10.1378/chest.11-0352", "ISBN" : "1931-3543 (Electronic)\\n0012-3692 (Linking)", "ISSN" : "00123692", "PMID" : "21852297", "abstract" : "BACKGROUND: Severe sepsis is common and often fatal. The expanding armamentarium of evidence-based therapies has improved the outcomes of persons with this disease. However, the existing national estimates of the frequency and outcomes of severe sepsis were made before many of the recent therapeutic advances. Therefore, it is important to study the outcomes of this disease in an aging US population with rising comorbidities.\\n\\nMETHODS: We used the Healthcare Costs and Utilization Project's Nationwide Inpatient Sample (NIS) to estimate the frequency and outcomes of severe sepsis hospitalizations between 2000 and 2007. We identified hospitalizations for severe sepsis using International Classification of Diseases, Ninth Revision, Clinical Modification codes indicating the presence of sepsis and organ system failure. Using weights from NIS, we estimated the number of hospitalizations for severe sepsis in each year. We combined these with census data to determine the number of severe sepsis hospitalizations per 100,000 persons. We used discharge status to identify in-hospital mortality and compared mortality rates in 2000 with those in 2007 after adjusting for demographics, number of organ systems failing, and presence of comorbid conditions.\\n\\nRESULTS: The number of severe sepsis hospitalizations per 100,000 persons increased from 143 in 2000 to 343 in 2007. The mean number of organ system failures during admission increased from 1.6 to 1.9 (P &lt; .001). The mean length of hospital stay decreased from 17.3 to 14.9 days. The mortality rate decreased from 39% to 27%. However, more admissions ended with discharge to a long-term care facility in 2007 than in 2000 (35% vs 27%, P &lt; .001).\\n\\nCONCLUSIONS: An increasing number of admissions for severe sepsis combined with declining mortality rates contribute to more individuals surviving to hospital discharge. Importantly, this leads to more survivors being discharged to skilled nursing facilities and home with in-home care. Increased attention to this phenomenon is warranted.", "author" : [ { "dropping-particle" : "", "family" : "Kumar", "given" : "Gagan", "non-dropping-particle" : "", "parse-names" : false, "suffix" : "" }, { "dropping-particle" : "", "family" : "Kumar", "given" : "Nilay", "non-dropping-particle" : "", "parse-names" : false, "suffix" : "" }, { "dropping-particle" : "", "family" : "Taneja", "given" : "Amit", "non-dropping-particle" : "", "parse-names" : false, "suffix" : "" }, { "dropping-particle" : "", "family" : "Kaleekal", "given" : "Thomas", "non-dropping-particle" : "", "parse-names" : false, "suffix" : "" }, { "dropping-particle" : "", "family" : "Tarima", "given" : "Sergey", "non-dropping-particle" : "", "parse-names" : false, "suffix" : "" }, { "dropping-particle" : "", "family" : "McGinley", "given" : "Emily", "non-dropping-particle" : "", "parse-names" : false, "suffix" : "" }, { "dropping-particle" : "", "family" : "Jimenez", "given" : "Edgar", "non-dropping-particle" : "", "parse-names" : false, "suffix" : "" }, { "dropping-particle" : "", "family" : "Mohan", "given" : "Anand", "non-dropping-particle" : "", "parse-names" : false, "suffix" : "" }, { "dropping-particle" : "", "family" : "Khan", "given" : "Rumi Ahmed", "non-dropping-particle" : "", "parse-names" : false, "suffix" : "" }, { "dropping-particle" : "", "family" : "Whittle", "given" : "Jeff", "non-dropping-particle" : "", "parse-names" : false, "suffix" : "" }, { "dropping-particle" : "", "family" : "Jacobs", "given" : "Elizabeth", "non-dropping-particle" : "", "parse-names" : false, "suffix" : "" }, { "dropping-particle" : "", "family" : "Nanchal", "given" : "Rahul", "non-dropping-particle" : "", "parse-names" : false, "suffix" : "" } ], "container-title" : "Chest", "id" : "ITEM-1", "issue" : "5", "issued" : { "date-parts" : [ [ "2011" ] ] }, "page" : "1223-1231", "title" : "Nationwide trends of severe sepsis in the 21st century (2000-2007)", "type" : "article-journal", "volume" : "140" }, "uris" : [ "http://www.mendeley.com/documents/?uuid=912b4361-3eff-425c-be2e-fbcf1fba838b" ] }, { "id" : "ITEM-2", "itemData" : { "DOI" : "10.1097/01.CCM.0000261890.41311.E9", "ISBN" : "0000261890", "ISSN" : "0090-3493", "PMID" : "17414736", "abstract" : "OBJECTIVE: To determine recent trends in rates of hospitalization, mortality, and hospital case fatality for severe sepsis in the United States.\\n\\nDESIGN: Trend analysis for the period from 1993 to 2003.\\n\\nSETTING: U.S. community hospitals from the Nationwide Inpatient Sample that is a 20% stratified sample of all U.S. community hospitals.\\n\\nPATIENTS: Subjects of any age with sepsis including severe sepsis who were hospitalized in the United States during the study period.\\n\\nINTERVENTIONS: None.\\n\\nMEASUREMENTS AND MAIN RESULTS: Utilizing International Classification of Diseases, Ninth Revision, Clinical Modification (ICD-9-CM) codes for septicemia and major organ dysfunction, we identified 8,403,766 patients with sepsis, including 2,857,476 patients with severe sepsis, who were hospitalized in the United States from 1993 to 2003. The percentage of severe sepsis cases among all sepsis cases increased continuously from 25.6% in 1993 to 43.8% in 2003 (p &lt; .001). Age-adjusted rate of hospitalization for severe sepsis grew from 66.8 +/- 0.16 to 132.0 +/- 0.21 per 100,000 population (p &lt; .001). Age-adjusted, population-based mortality rate within these years increased from 30.3 +/- 0.11 to 49.7 +/- 0.13 per 100,000 population (p &lt; .001), whereas hospital case fatality rate fell from 45.8% +/- 0.17% to 37.8% +/- 0.10% (p &lt; .001). During each study year, the rates of hospitalization, mortality, and case fatality increased with age. Hospitalization and mortality rates in males exceeded those in females, but case fatality rate was greater in females. From 1993 to 2003, age-adjusted rates for severe sepsis hospitalization and mortality increased annually by 8.2% (p &lt; .001) and 5.6% (p &lt; .001), respectively, whereas case fatality rate decreased by 1.4% (p &lt; .001).\\n\\nCONCLUSIONS: The rate of severe sepsis hospitalization almost doubled during the 11-yr period studied and is considerably greater than has been previously predicted. Mortality from severe sepsis also increased significantly. However, case fatality rates decreased during the same study period.", "author" : [ { "dropping-particle" : "", "family" : "Dombrovskiy", "given" : "Viktor Y", "non-dropping-particle" : "", "parse-names" : false, "suffix" : "" }, { "dropping-particle" : "", "family" : "Martin", "given" : "Andrew A", "non-dropping-particle" : "", "parse-names" : false, "suffix" : "" }, { "dropping-particle" : "", "family" : "Sunderram", "given" : "Jagadeeshan", "non-dropping-particle" : "", "parse-names" : false, "suffix" : "" }, { "dropping-particle" : "", "family" : "Paz", "given" : "Harold L", "non-dropping-particle" : "", "parse-names" : false, "suffix" : "" } ], "container-title" : "Critical care medicine", "id" : "ITEM-2", "issue" : "5", "issued" : { "date-parts" : [ [ "2007" ] ] }, "page" : "1244-50", "title" : "Rapid increase in hospitalization and mortality rates for severe sepsis in the United States: a trend analysis from 1993 to 2003.", "type" : "article-journal", "volume" : "35" }, "uris" : [ "http://www.mendeley.com/documents/?uuid=7173ec08-a09b-437d-9d01-d8ba66440215" ] } ], "mendeley" : { "formattedCitation" : "(3,4)", "plainTextFormattedCitation" : "(3,4)", "previouslyFormattedCitation" : "(3,4)" }, "properties" : { "noteIndex" : 0 }, "schema" : "https://github.com/citation-style-language/schema/raw/master/csl-citation.json" }</w:instrText>
      </w:r>
      <w:r w:rsidR="00E7096B">
        <w:rPr>
          <w:color w:val="333333"/>
          <w:shd w:val="clear" w:color="auto" w:fill="FFFFFF"/>
        </w:rPr>
        <w:fldChar w:fldCharType="separate"/>
      </w:r>
      <w:r w:rsidR="00E7096B" w:rsidRPr="00E7096B">
        <w:rPr>
          <w:noProof/>
          <w:color w:val="333333"/>
          <w:shd w:val="clear" w:color="auto" w:fill="FFFFFF"/>
        </w:rPr>
        <w:t>(3,4)</w:t>
      </w:r>
      <w:r w:rsidR="00E7096B">
        <w:rPr>
          <w:color w:val="333333"/>
          <w:shd w:val="clear" w:color="auto" w:fill="FFFFFF"/>
        </w:rPr>
        <w:fldChar w:fldCharType="end"/>
      </w:r>
      <w:r w:rsidR="008168B5">
        <w:rPr>
          <w:color w:val="333333"/>
          <w:shd w:val="clear" w:color="auto" w:fill="FFFFFF"/>
        </w:rPr>
        <w:t xml:space="preserve">. </w:t>
      </w:r>
      <w:r w:rsidRPr="008168B5">
        <w:rPr>
          <w:rFonts w:cs="Arial"/>
        </w:rPr>
        <w:t>Early recognition and management through use of care bundles can reduce mortality</w:t>
      </w:r>
      <w:r w:rsidR="001321CF">
        <w:rPr>
          <w:rFonts w:cs="Arial"/>
        </w:rPr>
        <w:t xml:space="preserve"> </w:t>
      </w:r>
      <w:r w:rsidR="00CA2395">
        <w:rPr>
          <w:rFonts w:cs="Arial"/>
        </w:rPr>
        <w:fldChar w:fldCharType="begin" w:fldLock="1"/>
      </w:r>
      <w:r w:rsidR="00CA2395">
        <w:rPr>
          <w:rFonts w:cs="Arial"/>
        </w:rPr>
        <w:instrText>ADDIN CSL_CITATION { "citationItems" : [ { "id" : "ITEM-1", "itemData" : { "DOI" : "10.1056/NEJMoa1500896", "ISBN" : "0028-4793, 1533-4406", "ISSN" : "1533-4406", "PMID" : "25776532", "abstract" : "BACKGROUND Early, goal-directed therapy (EGDT) is recommended in international guidelines for the resuscitation of patients presenting with early septic shock. However, adoption has been limited, and uncertainty about its effectiveness remains. METHODS We conducted a pragmatic randomized trial with an integrated cost-effectiveness analysis in 56 hospitals in England. Patients were randomly assigned to receive either EGDT (a 6-hour resuscitation protocol) or usual care. The primary clinical outcome was all-cause mortality at 90 days. RESULTS We enrolled 1260 patients, with 630 assigned to EGDT and 630 to usual care. By 90 days, 184 of 623 patients (29.5%) in the EGDT group and 181 of 620 patients (29.2%) in the usual-care group had died (relative risk in the EGDT group, 1.01; 95% confidence interval [CI], 0.85 to 1.20; P=0.90), for an absolute risk reduction in the EGDT group of -0.3 percentage points (95% CI, -5.4 to 4.7). Increased treatment intensity in the EGDT group was indicated by increased use of intravenous fluids, vasoactive drugs, and red-cell transfusions and reflected by significantly worse organ-failure scores, more days receiving advanced cardiovascular support, and longer stays in the intensive care unit. There were no significant differences in any other secondary outcomes, including health-related quality of life, or in rates of serious adverse events. On average, EGDT increased costs, and the probability that it was cost-effective was below 20%. CONCLUSIONS In patients with septic shock who were identified early and received intravenous antibiotics and adequate fluid resuscitation, hemodynamic management according to a strict EGDT protocol did not lead to an improvement in outcome. (Funded by the United Kingdom National Institute for Health Research Health Technology Assessment Programme; ProMISe Current Controlled Trials number, ISRCTN36307479.).", "author" : [ { "dropping-particle" : "", "family" : "Mouncey", "given" : "Paul R", "non-dropping-particle" : "", "parse-names" : false, "suffix" : "" }, { "dropping-particle" : "", "family" : "Osborn", "given" : "Tiffany M", "non-dropping-particle" : "", "parse-names" : false, "suffix" : "" }, { "dropping-particle" : "", "family" : "Power", "given" : "G Sarah", "non-dropping-particle" : "", "parse-names" : false, "suffix" : "" }, { "dropping-particle" : "", "family" : "Harrison", "given" : "David a", "non-dropping-particle" : "", "parse-names" : false, "suffix" : "" }, { "dropping-particle" : "", "family" : "Sadique", "given" : "M Zia", "non-dropping-particle" : "", "parse-names" : false, "suffix" : "" }, { "dropping-particle" : "", "family" : "Grieve", "given" : "Richard D", "non-dropping-particle" : "", "parse-names" : false, "suffix" : "" }, { "dropping-particle" : "", "family" : "Jahan", "given" : "Rahi", "non-dropping-particle" : "", "parse-names" : false, "suffix" : "" }, { "dropping-particle" : "", "family" : "Harvey", "given" : "Sheila E", "non-dropping-particle" : "", "parse-names" : false, "suffix" : "" }, { "dropping-particle" : "", "family" : "Bell", "given" : "Derek", "non-dropping-particle" : "", "parse-names" : false, "suffix" : "" }, { "dropping-particle" : "", "family" : "Bion", "given" : "Julian F", "non-dropping-particle" : "", "parse-names" : false, "suffix" : "" }, { "dropping-particle" : "", "family" : "Coats", "given" : "Timothy J", "non-dropping-particle" : "", "parse-names" : false, "suffix" : "" }, { "dropping-particle" : "", "family" : "Singer", "given" : "Mervyn", "non-dropping-particle" : "", "parse-names" : false, "suffix" : "" }, { "dropping-particle" : "", "family" : "Young", "given" : "J Duncan", "non-dropping-particle" : "", "parse-names" : false, "suffix" : "" }, { "dropping-particle" : "", "family" : "Rowan", "given" : "Kathryn M", "non-dropping-particle" : "", "parse-names" : false, "suffix" : "" } ], "container-title" : "The New England journal of medicine", "id" : "ITEM-1", "issue" : "14", "issued" : { "date-parts" : [ [ "2015" ] ] }, "page" : "1301-11", "title" : "Trial of Early, Goal-Directed Resuscitation for Septic Shock for the ProMISe Trial Investigators*", "type" : "article-journal", "volume" : "372" }, "uris" : [ "http://www.mendeley.com/documents/?uuid=67b6275c-f45b-4b69-8c37-c869665ef464" ] } ], "mendeley" : { "formattedCitation" : "(1)", "plainTextFormattedCitation" : "(1)", "previouslyFormattedCitation" : "(1)" }, "properties" : { "noteIndex" : 0 }, "schema" : "https://github.com/citation-style-language/schema/raw/master/csl-citation.json" }</w:instrText>
      </w:r>
      <w:r w:rsidR="00CA2395">
        <w:rPr>
          <w:rFonts w:cs="Arial"/>
        </w:rPr>
        <w:fldChar w:fldCharType="separate"/>
      </w:r>
      <w:r w:rsidR="00CA2395" w:rsidRPr="00CA2395">
        <w:rPr>
          <w:rFonts w:cs="Arial"/>
          <w:noProof/>
        </w:rPr>
        <w:t>(1)</w:t>
      </w:r>
      <w:r w:rsidR="00CA2395">
        <w:rPr>
          <w:rFonts w:cs="Arial"/>
        </w:rPr>
        <w:fldChar w:fldCharType="end"/>
      </w:r>
      <w:r w:rsidR="00CA2395">
        <w:rPr>
          <w:rFonts w:cs="Arial"/>
        </w:rPr>
        <w:fldChar w:fldCharType="begin" w:fldLock="1"/>
      </w:r>
      <w:r w:rsidR="00AA0AFE">
        <w:rPr>
          <w:rFonts w:cs="Arial"/>
        </w:rPr>
        <w:instrText>ADDIN CSL_CITATION { "citationItems" : [ { "id" : "ITEM-1", "itemData" : { "DOI" : "10.1056/NEJMoa1404380", "ISBN" : "1533-4406 (Electronic)\\r0028-4793 (Linking)", "ISSN" : "0028-4793", "PMID" : "25272316", "abstract" : "Background Early goal-directed therapy (EGDT) has been endorsed in the guidelines of the Surviving Sepsis Campaign as a key strategy to decrease mortality among patients presenting to the emergency department with septic shock. However, its effectiveness is uncertain. Methods In this trial conducted at 51 centers (mostly in Australia or New Zealand), we randomly assigned patients presenting to the emergency department with early septic shock to receive either EGDT or usual care. The primary outcome was all-cause mortality within 90 days after randomization. Results Of the 1600 enrolled patients, 796 were assigned to the EGDT group and 804 to the usual-care group. Primary outcome data were available for more than 99% of the patients. Patients in the EGDT group received a larger mean (\u00b1SD) volume of intravenous fluids in the first 6 hours after randomization than did those in the usual-care group (1964\u00b11415 ml vs. 1713\u00b11401 ml) and were more likely to receive vasopressor infusions (66.6% vs. 57.8%), red-cell transfusions (13.6% vs. 7.0%), and dobutamine (15.4% vs. 2.6%) (P&lt;0.001 for all comparisons). At 90 days after randomization, 147 deaths had occurred in the EGDT group and 150 had occurred in the usual-care group, for rates of death of 18.6% and 18.8%, respectively (absolute risk difference with EGDT vs. usual care, -0.3 percentage points; 95% confidence interval, -4.1 to 3.6; P=0.90). There was no significant difference in survival time, in-hospital mortality, duration of organ support, or length of hospital stay. Conclusions In critically ill patients presenting to the emergency department with early septic shock, EGDT did not reduce all-cause mortality at 90 days. (Funded by the National Health and Medical Research Council of Australia and the Alfred Foundation; ARISE ClinicalTrials.gov number, NCT00975793 .).", "author" : [ { "dropping-particle" : "", "family" : "Bailey", "given" : "Michael", "non-dropping-particle" : "", "parse-names" : false, "suffix" : "" }, { "dropping-particle" : "", "family" : "Bellomo", "given" : "Rinaldo", "non-dropping-particle" : "", "parse-names" : false, "suffix" : "" }, { "dropping-particle" : "", "family" : "Peter", "given" : "A", "non-dropping-particle" : "", "parse-names" : false, "suffix" : "" }, { "dropping-particle" : "", "family" : "Cooper", "given" : "D James", "non-dropping-particle" : "", "parse-names" : false, "suffix" : "" }, { "dropping-particle" : "", "family" : "Higgins", "given" : "Alisa M", "non-dropping-particle" : "", "parse-names" : false, "suffix" : "" }, { "dropping-particle" : "", "family" : "Hold-", "given" : "Anna", "non-dropping-particle" : "", "parse-names" : false, "suffix" : "" }, { "dropping-particle" : "", "family" : "Howe", "given" : "Belinda D", "non-dropping-particle" : "", "parse-names" : false, "suffix" : "" }, { "dropping-particle" : "", "family" : "Webb", "given" : "Steven A R", "non-dropping-particle" : "", "parse-names" : false, "suffix" : "" }, { "dropping-particle" : "", "family" : "Intensive", "given" : "Zealand", "non-dropping-particle" : "", "parse-names" : false, "suffix" : "" }, { "dropping-particle" : "", "family" : "Centre", "given" : "Alfred", "non-dropping-particle" : "", "parse-names" : false, "suffix" : "" }, { "dropping-particle" : "", "family" : "Group", "given" : "Clinical Trials", "non-dropping-particle" : "", "parse-names" : false, "suffix" : "" }, { "dropping-particle" : "", "family" : "Inten-", "given" : "New Zealand", "non-dropping-particle" : "", "parse-names" : false, "suffix" : "" }, { "dropping-particle" : "", "family" : "Peake", "given" : "Sandra L", "non-dropping-particle" : "", "parse-names" : false, "suffix" : "" }, { "dropping-particle" : "", "family" : "Delaney", "given" : "Anthony", "non-dropping-particle" : "", "parse-names" : false, "suffix" : "" }, { "dropping-particle" : "", "family" : "Cameron", "given" : "Peter A", "non-dropping-particle" : "", "parse-names" : false, "suffix" : "" }, { "dropping-particle" : "", "family" : "Holdgate", "given" : "Anna", "non-dropping-particle" : "", "parse-names" : false, "suffix" : "" }, { "dropping-particle" : "", "family" : "Williams", "given" : "Patricia", "non-dropping-particle" : "", "parse-names" : false, "suffix" : "" } ], "container-title" : "New England Journal of Medicine", "id" : "ITEM-1", "issue" : "16", "issued" : { "date-parts" : [ [ "2014" ] ] }, "page" : "141001063014008", "title" : "Goal-Directed Resuscitation for Patients with Early Septic Shock", "type" : "article-journal", "volume" : "371" }, "uris" : [ "http://www.mendeley.com/documents/?uuid=aabc973c-ab91-4a1a-9eb2-9ba03270b8b1" ] } ], "mendeley" : { "formattedCitation" : "(5)", "plainTextFormattedCitation" : "(5)", "previouslyFormattedCitation" : "(5)" }, "properties" : { "noteIndex" : 0 }, "schema" : "https://github.com/citation-style-language/schema/raw/master/csl-citation.json" }</w:instrText>
      </w:r>
      <w:r w:rsidR="00CA2395">
        <w:rPr>
          <w:rFonts w:cs="Arial"/>
        </w:rPr>
        <w:fldChar w:fldCharType="separate"/>
      </w:r>
      <w:r w:rsidR="00E7096B" w:rsidRPr="00E7096B">
        <w:rPr>
          <w:rFonts w:cs="Arial"/>
          <w:noProof/>
        </w:rPr>
        <w:t>(5)</w:t>
      </w:r>
      <w:r w:rsidR="00CA2395">
        <w:rPr>
          <w:rFonts w:cs="Arial"/>
        </w:rPr>
        <w:fldChar w:fldCharType="end"/>
      </w:r>
      <w:r w:rsidR="00CA2395">
        <w:rPr>
          <w:rFonts w:cs="Arial"/>
        </w:rPr>
        <w:fldChar w:fldCharType="begin" w:fldLock="1"/>
      </w:r>
      <w:r w:rsidR="00AA0AFE">
        <w:rPr>
          <w:rFonts w:cs="Arial"/>
        </w:rPr>
        <w:instrText>ADDIN CSL_CITATION { "citationItems" : [ { "id" : "ITEM-1", "itemData" : { "DOI" : "10.1056/NEJMoa1401602", "ISBN" : "1533-4406 (Electronic)\\r0028-4793 (Linking)", "ISSN" : "1533-4406", "PMID" : "24635773", "abstract" : "Background In a single-center study published more than a decade ago involving patients presenting to the emergency department with severe sepsis and septic shock, mortality was markedly lower among those who were treated according to a 6-hour protocol of early goal-directed therapy (EGDT), in which intravenous fluids, vasopressors, inotropes, and blood transfusions were adjusted to reach central hemodynamic targets, than among those receiving usual care. We conducted a trial to determine whether these findings were generalizable and whether all aspects of the protocol were necessary. Methods In 31 emergency departments in the United States, we randomly assigned patients with septic shock to one of three groups for 6 hours of resuscitation: protocol-based EGDT; protocol-based standard therapy that did not require the placement of a central venous catheter, administration of inotropes, or blood transfusions; or usual care. The primary end point was 60-day in-hospital mortality. We tested sequentially whether protocol-based care (EGDT and standard-therapy groups combined) was superior to usual care and whether protocol-based EGDT was superior to protocol-based standard therapy. Secondary outcomes included longer-term mortality and the need for organ support. Results We enrolled 1341 patients, of whom 439 were randomly assigned to protocol-based EGDT, 446 to protocol-based standard therapy, and 456 to usual care. Resuscitation strategies differed significantly with respect to the monitoring of central venous pressure and oxygen and the use of intravenous fluids, vasopressors, inotropes, and blood transfusions. By 60 days, there were 92 deaths in the protocol-based EGDT group (21.0%), 81 in the protocol-based standard-therapy group (18.2%), and 86 in the usual-care group (18.9%) (relative risk with protocol-based therapy vs. usual care, 1.04; 95% confidence interval [CI], 0.82 to 1.31; P=0.83; relative risk with protocol-based EGDT vs. protocol-based standard therapy, 1.15; 95% CI, 0.88 to 1.51; P=0.31). There were no significant differences in 90-day mortality, 1-year mortality, or the need for organ support. Conclusions In a multicenter trial conducted in the tertiary care setting, protocol-based resuscitation of patients in whom septic shock was diagnosed in the emergency department did not improve outcomes. (Funded by the National Institute of General Medical Sciences; ProCESS ClinicalTrials.gov number, NCT00510835 .).", "author" : [ { "dropping-particle" : "", "family" : "Investigators", "given" : "The Process", "non-dropping-particle" : "", "parse-names" : false, "suffix" : "" } ], "container-title" : "The New England journal of medicine", "id" : "ITEM-1", "issue" : "18", "issued" : { "date-parts" : [ [ "2014" ] ] }, "page" : "1-11", "title" : "A Randomized Trial of Protocol-Based Care for Early Septic Shock. Process trial", "type" : "article-journal", "volume" : "370" }, "uris" : [ "http://www.mendeley.com/documents/?uuid=5f2d8324-8e1c-4ab7-a1d1-078938b39c04" ] } ], "mendeley" : { "formattedCitation" : "(6)", "plainTextFormattedCitation" : "(6)", "previouslyFormattedCitation" : "(6)" }, "properties" : { "noteIndex" : 0 }, "schema" : "https://github.com/citation-style-language/schema/raw/master/csl-citation.json" }</w:instrText>
      </w:r>
      <w:r w:rsidR="00CA2395">
        <w:rPr>
          <w:rFonts w:cs="Arial"/>
        </w:rPr>
        <w:fldChar w:fldCharType="separate"/>
      </w:r>
      <w:r w:rsidR="00E7096B" w:rsidRPr="00E7096B">
        <w:rPr>
          <w:rFonts w:cs="Arial"/>
          <w:noProof/>
        </w:rPr>
        <w:t>(6)</w:t>
      </w:r>
      <w:r w:rsidR="00CA2395">
        <w:rPr>
          <w:rFonts w:cs="Arial"/>
        </w:rPr>
        <w:fldChar w:fldCharType="end"/>
      </w:r>
      <w:r w:rsidR="00B20484">
        <w:rPr>
          <w:rFonts w:cs="Arial"/>
        </w:rPr>
        <w:t xml:space="preserve"> </w:t>
      </w:r>
      <w:r w:rsidRPr="008168B5">
        <w:rPr>
          <w:rFonts w:cs="Arial"/>
        </w:rPr>
        <w:t>however multiple national audits ha</w:t>
      </w:r>
      <w:r w:rsidR="00EA6D26">
        <w:rPr>
          <w:rFonts w:cs="Arial"/>
        </w:rPr>
        <w:t>ve</w:t>
      </w:r>
      <w:r w:rsidRPr="008168B5">
        <w:rPr>
          <w:rFonts w:cs="Arial"/>
        </w:rPr>
        <w:t xml:space="preserve"> demonstrated inadequate management</w:t>
      </w:r>
      <w:r w:rsidR="00EA6D26">
        <w:rPr>
          <w:rFonts w:cs="Arial"/>
        </w:rPr>
        <w:t xml:space="preserve"> </w:t>
      </w:r>
      <w:r w:rsidR="00CA2395">
        <w:rPr>
          <w:rFonts w:cs="Arial"/>
        </w:rPr>
        <w:fldChar w:fldCharType="begin" w:fldLock="1"/>
      </w:r>
      <w:r w:rsidR="00AA0AFE">
        <w:rPr>
          <w:rFonts w:cs="Arial"/>
        </w:rPr>
        <w:instrText>ADDIN CSL_CITATION { "citationItems" : [ { "id" : "ITEM-1", "itemData" : { "URL" : "http://www.ncepod.org.uk/2015report2/downloads/JustSaySepsis_FullReport.pdf", "accessed" : { "date-parts" : [ [ "2017", "4", "26" ] ] }, "author" : [ { "dropping-particle" : "", "family" : "NCEPOD", "given" : "", "non-dropping-particle" : "", "parse-names" : false, "suffix" : "" } ], "container-title" : "Just say sepsis!", "id" : "ITEM-1", "issued" : { "date-parts" : [ [ "0" ] ] }, "title" : "No Title", "type" : "webpage" }, "uris" : [ "http://www.mendeley.com/documents/?uuid=85eec30f-e387-4447-a23c-387884e4f10f" ] } ], "mendeley" : { "formattedCitation" : "(7)", "plainTextFormattedCitation" : "(7)", "previouslyFormattedCitation" : "(7)" }, "properties" : { "noteIndex" : 0 }, "schema" : "https://github.com/citation-style-language/schema/raw/master/csl-citation.json" }</w:instrText>
      </w:r>
      <w:r w:rsidR="00CA2395">
        <w:rPr>
          <w:rFonts w:cs="Arial"/>
        </w:rPr>
        <w:fldChar w:fldCharType="separate"/>
      </w:r>
      <w:r w:rsidR="00E7096B" w:rsidRPr="00E7096B">
        <w:rPr>
          <w:rFonts w:cs="Arial"/>
          <w:noProof/>
        </w:rPr>
        <w:t>(7)</w:t>
      </w:r>
      <w:r w:rsidR="00CA2395">
        <w:rPr>
          <w:rFonts w:cs="Arial"/>
        </w:rPr>
        <w:fldChar w:fldCharType="end"/>
      </w:r>
      <w:r w:rsidR="00CA2395">
        <w:rPr>
          <w:rFonts w:cs="Arial"/>
        </w:rPr>
        <w:fldChar w:fldCharType="begin" w:fldLock="1"/>
      </w:r>
      <w:r w:rsidR="00AA0AFE">
        <w:rPr>
          <w:rFonts w:cs="Arial"/>
        </w:rPr>
        <w:instrText>ADDIN CSL_CITATION { "citationItems" : [ { "id" : "ITEM-1", "itemData" : { "URL" : "https://www.nursingtimes.net/Journals/2015/10/27/o/m/o/APPG-Sepsis-Report-2015.pdf", "accessed" : { "date-parts" : [ [ "2017", "4", "26" ] ] }, "author" : [ { "dropping-particle" : "", "family" : "APPG", "given" : "", "non-dropping-particle" : "", "parse-names" : false, "suffix" : "" } ], "id" : "ITEM-1", "issued" : { "date-parts" : [ [ "0" ] ] }, "title" : "Sepsis and the NHS - Annual review by the All-Party Parliamentary Group on Sepsis", "type" : "webpage" }, "uris" : [ "http://www.mendeley.com/documents/?uuid=028abafc-e92a-47bd-a518-0828c32ee532" ] } ], "mendeley" : { "formattedCitation" : "(8)", "plainTextFormattedCitation" : "(8)", "previouslyFormattedCitation" : "(8)" }, "properties" : { "noteIndex" : 0 }, "schema" : "https://github.com/citation-style-language/schema/raw/master/csl-citation.json" }</w:instrText>
      </w:r>
      <w:r w:rsidR="00CA2395">
        <w:rPr>
          <w:rFonts w:cs="Arial"/>
        </w:rPr>
        <w:fldChar w:fldCharType="separate"/>
      </w:r>
      <w:r w:rsidR="00E7096B" w:rsidRPr="00E7096B">
        <w:rPr>
          <w:rFonts w:cs="Arial"/>
          <w:noProof/>
        </w:rPr>
        <w:t>(8)</w:t>
      </w:r>
      <w:r w:rsidR="00CA2395">
        <w:rPr>
          <w:rFonts w:cs="Arial"/>
        </w:rPr>
        <w:fldChar w:fldCharType="end"/>
      </w:r>
      <w:r w:rsidRPr="008168B5">
        <w:rPr>
          <w:rFonts w:cs="Arial"/>
        </w:rPr>
        <w:t>.</w:t>
      </w:r>
      <w:r w:rsidR="00AA0AFE">
        <w:rPr>
          <w:rFonts w:cs="Arial"/>
        </w:rPr>
        <w:t xml:space="preserve"> A number of international, national and regional sepsis improvement collaborative programs have reported on their outcomes</w:t>
      </w:r>
      <w:r w:rsidR="007E5AAC">
        <w:rPr>
          <w:rFonts w:cs="Arial"/>
        </w:rPr>
        <w:t xml:space="preserve"> </w:t>
      </w:r>
      <w:r w:rsidR="001C7C8A">
        <w:rPr>
          <w:rFonts w:cs="Arial"/>
        </w:rPr>
        <w:fldChar w:fldCharType="begin" w:fldLock="1"/>
      </w:r>
      <w:r w:rsidR="001C7C8A">
        <w:rPr>
          <w:rFonts w:cs="Arial"/>
        </w:rPr>
        <w:instrText>ADDIN CSL_CITATION { "citationItems" : [ { "id" : "ITEM-1", "itemData" : { "ISBN" : "1553-7250", "ISSN" : "15537250", "PMID" : "25977247", "abstract" : "Background: As part of a zero-tolerance approach to preventable deaths, North Shore-LIJ Health System (North Shore-LIJ) leadership prioritized a major patient safety initiative to reduce sepsis mortality in 2009 across 10 acute care hospitals (an 11th joined later). At baseline (2008), approximately 3,500 patients were discharged with a diagnosis of sepsis, which ranked as the top All Patient Refined Diagnosis-Related Group by number of deaths (N = 883). Initially, the focus was sepsis recognition and treatment in the emergency departments (EDs).\\r\\n\\r\\nMethods: North Shore-LIJ, the 14th largest health care system in the United States, cares for individuals at every stage of life at 19 acute care and specialty hospitals and more than 400 outpatient physician practice sites throughout New York City and the greater New York metropolitan area. The health system launched a strategic partnership with the Institute for Healthcare Improvement (IHI) in August 2011 to accelerate the pace of sepsis improvement. Throughout the course of the initiative, North Shore-LIJ collaborated with many local, state, national, and international organizations to test innovative ideas, share evidence-based best practices, and, more\\r\\nrecently, to raise public awareness.\\r\\n\\r\\nResults: North Shore-LIJ reduced overall sepsis mortality by approximately 50% in a six-year period (2008\u20132013; sustained\\r\\nthrough 2014) and increased compliance with sepsis resuscitation bundle elements in the EDs and inpatient units in the 11 acute care hospitals.\\r\\n\\r\\nConclusion: Improvements were achieved by engaging leadership; fostering interprofessional collaboration, collaborating\\r\\nwith other leading health care organizations; and developing meaningful, real-time metrics for all levels of staff.", "author" : [ { "dropping-particle" : "", "family" : "Doerfler", "given" : "Martin E.", "non-dropping-particle" : "", "parse-names" : false, "suffix" : "" }, { "dropping-particle" : "", "family" : "D'Angelo", "given" : "John", "non-dropping-particle" : "", "parse-names" : false, "suffix" : "" }, { "dropping-particle" : "", "family" : "Jacobsen", "given" : "Diane", "non-dropping-particle" : "", "parse-names" : false, "suffix" : "" }, { "dropping-particle" : "", "family" : "Jarrett", "given" : "Mark P.", "non-dropping-particle" : "", "parse-names" : false, "suffix" : "" }, { "dropping-particle" : "", "family" : "Kabcenell", "given" : "Andrea I.", "non-dropping-particle" : "", "parse-names" : false, "suffix" : "" }, { "dropping-particle" : "", "family" : "Masick", "given" : "Kevin D.", "non-dropping-particle" : "", "parse-names" : false, "suffix" : "" }, { "dropping-particle" : "", "family" : "Parmentier", "given" : "Darlene", "non-dropping-particle" : "", "parse-names" : false, "suffix" : "" }, { "dropping-particle" : "", "family" : "Nelson", "given" : "Karen L.", "non-dropping-particle" : "", "parse-names" : false, "suffix" : "" }, { "dropping-particle" : "", "family" : "Stier", "given" : "Lori", "non-dropping-particle" : "", "parse-names" : false, "suffix" : "" } ], "container-title" : "Joint Commission Journal on Quality and Patient Safety", "id" : "ITEM-1", "issue" : "5", "issued" : { "date-parts" : [ [ "2015" ] ] }, "page" : "205-211", "title" : "Methods for reducing sepsis mortality in emergency departments and inpatient units", "type" : "article-journal", "volume" : "41" }, "uris" : [ "http://www.mendeley.com/documents/?uuid=a3b014b2-910c-4b4a-9c2e-9443bb9e5832" ] } ], "mendeley" : { "formattedCitation" : "(9)", "plainTextFormattedCitation" : "(9)", "previouslyFormattedCitation" : "(9)" }, "properties" : { "noteIndex" : 0 }, "schema" : "https://github.com/citation-style-language/schema/raw/master/csl-citation.json" }</w:instrText>
      </w:r>
      <w:r w:rsidR="001C7C8A">
        <w:rPr>
          <w:rFonts w:cs="Arial"/>
        </w:rPr>
        <w:fldChar w:fldCharType="separate"/>
      </w:r>
      <w:r w:rsidR="001C7C8A" w:rsidRPr="001C7C8A">
        <w:rPr>
          <w:rFonts w:cs="Arial"/>
          <w:noProof/>
        </w:rPr>
        <w:t>(9)</w:t>
      </w:r>
      <w:r w:rsidR="001C7C8A">
        <w:rPr>
          <w:rFonts w:cs="Arial"/>
        </w:rPr>
        <w:fldChar w:fldCharType="end"/>
      </w:r>
      <w:r w:rsidR="001C7C8A">
        <w:rPr>
          <w:rFonts w:cs="Arial"/>
        </w:rPr>
        <w:fldChar w:fldCharType="begin" w:fldLock="1"/>
      </w:r>
      <w:r w:rsidR="001C7C8A">
        <w:rPr>
          <w:rFonts w:cs="Arial"/>
        </w:rPr>
        <w:instrText>ADDIN CSL_CITATION { "citationItems" : [ { "id" : "ITEM-1", "itemData" : { "DOI" : "10.5694/mja15.00657", "ISBN" : "1326-5377 (Electronic)\\r0025-729X (Linking)", "ISSN" : "13265377", "PMID" : "26821106", "abstract" : "OBJECTIVE: To implement a statewide program for the early recognition and treatment of sepsis in New South Wales, Australia. SETTING: Ninety-seven emergency departments in NSW hospitals. INTERVENTION: A quality improvement program (SEPSIS KILLS) that promoted intervention within 60 minutes of recognition, including taking of blood cultures, measuring serum lactate levels, administration of intravenous antibiotics, and fluid resuscitation. MAIN OUTCOME MEASURES: Time to antibiotics and fluid resuscitation; mortality rates and length of stay. RESULTS: Data for 13 567 patients were entered into the database. The proportion of patients receiving intravenous antibiotics within 60 minutes of triage increased from 29.3% in 2009-2011 to 52.2% in 2013. The percentage for whom a second litre of fluid was started within 60 minutes rose from 10.6% to 27.5% (each P &lt; 0.001). The proportion of patients classed as Australasian Triage Scale (ATS) 1 increased from 2.3% in 2009-2011 to 4.2% in 2013, and the proportion classed as ATS 2 rose from 40.7% in 2009-2011 to 60.7% in 2013 (P &lt; 0.001). There was a linear decrease in mortality from 19.3% in 2009-2011 to 14.1% in 2013; there was also a significant decline in time in intensive care and total length of stay (each P &lt; 0.0001). The mortality rate for patients with severe sepsis (serum lactate &gt;/= 4 mmol/L or systolic blood pressure [SBP] &lt; 90 mmHg) was 19.7%. The mortality rates for patients with severe sepsis admitted to intensive care and for those admitted to a ward did not change significantly over time. The proportion of patients with uncomplicated sepsis (SBP &gt;/= 90 mmHg, serum lactate &lt; 4 mmol/L) transferred to a ward increased, and the mortality rate after transfer increased from 3.2% in 2009-2011 to 6.2% in 2013 (P &lt; 0.05). The survival benefit was greatest for patients with evidence of haemodynamic instability (SBP &lt; 90 mmHg) but normal lactate levels (P = 0.03). CONCLUSIONS: The SEPSIS KILLS program has improved the process of care for patients with sepsis in NSW hospitals. The program has focused attention on sepsis management in the wards.", "author" : [ { "dropping-particle" : "", "family" : "Burrell", "given" : "Anthony R.", "non-dropping-particle" : "", "parse-names" : false, "suffix" : "" }, { "dropping-particle" : "", "family" : "McLaws", "given" : "Mary Louise", "non-dropping-particle" : "", "parse-names" : false, "suffix" : "" }, { "dropping-particle" : "", "family" : "Fullick", "given" : "Mary", "non-dropping-particle" : "", "parse-names" : false, "suffix" : "" }, { "dropping-particle" : "", "family" : "Sullivan", "given" : "Rosemary B.", "non-dropping-particle" : "", "parse-names" : false, "suffix" : "" }, { "dropping-particle" : "", "family" : "Sindhusake", "given" : "Doungkamol", "non-dropping-particle" : "", "parse-names" : false, "suffix" : "" } ], "container-title" : "Medical Journal of Australia", "id" : "ITEM-1", "issue" : "2", "issued" : { "date-parts" : [ [ "2016" ] ] }, "page" : "1.e1-1.e7", "title" : "SEPSIS KILLS: Early intervention saves lives", "type" : "article-journal", "volume" : "204" }, "uris" : [ "http://www.mendeley.com/documents/?uuid=e1e58a15-f883-4404-bbad-4ec5b5949a46" ] } ], "mendeley" : { "formattedCitation" : "(10)", "plainTextFormattedCitation" : "(10)", "previouslyFormattedCitation" : "(10)" }, "properties" : { "noteIndex" : 0 }, "schema" : "https://github.com/citation-style-language/schema/raw/master/csl-citation.json" }</w:instrText>
      </w:r>
      <w:r w:rsidR="001C7C8A">
        <w:rPr>
          <w:rFonts w:cs="Arial"/>
        </w:rPr>
        <w:fldChar w:fldCharType="separate"/>
      </w:r>
      <w:r w:rsidR="001C7C8A" w:rsidRPr="001C7C8A">
        <w:rPr>
          <w:rFonts w:cs="Arial"/>
          <w:noProof/>
        </w:rPr>
        <w:t>(10)</w:t>
      </w:r>
      <w:r w:rsidR="001C7C8A">
        <w:rPr>
          <w:rFonts w:cs="Arial"/>
        </w:rPr>
        <w:fldChar w:fldCharType="end"/>
      </w:r>
      <w:r w:rsidR="00AA0AFE">
        <w:rPr>
          <w:rFonts w:cs="Arial"/>
        </w:rPr>
        <w:t xml:space="preserve"> </w:t>
      </w:r>
      <w:r w:rsidR="001C7C8A">
        <w:rPr>
          <w:rFonts w:cs="Arial"/>
        </w:rPr>
        <w:fldChar w:fldCharType="begin" w:fldLock="1"/>
      </w:r>
      <w:r w:rsidR="004B1D33">
        <w:rPr>
          <w:rFonts w:cs="Arial"/>
        </w:rPr>
        <w:instrText>ADDIN CSL_CITATION { "citationItems" : [ { "id" : "ITEM-1", "itemData" : { "DOI" : "10.1007/s00134-015-3906-y", "ISBN" : "1432-1238 (Electronic)\\r0342-4642 (Linking)", "ISSN" : "14321238", "PMID" : "26109396", "abstract" : "INTRODUCTION: Despite evidence demonstrating the value of performance initiatives, marked differences remain between hospitals in the delivery of care for patients with sepsis. The aims of this study were to improve our understanding of how compliance with the 3-h and 6-h Surviving Sepsis Campaign (SSC) bundles are used in different geographic areas, and how this relates to outcome. METHODS: This was a global, prospective, observational, quality improvement study of compliance with the SSC bundles in patients with either severe sepsis or septic shock. RESULTS: A total of 1794 patients from 62 countries were enrolled in the study with either severe sepsis or septic shock. Overall compliance with all the 3-h bundle metrics was 19 %. This was associated with lower hospital mortality than non-compliance (20 vs. 31 %, p &lt; 0.001). Overall compliance with all the 6-h bundle metrics was 36 %. This was associated with lower hospital mortality than non-compliance (22 vs. 32 %, p &lt; 0.001). After adjusting the crude mortality differences for ICU admission, sepsis status (severe sepsis or septic shock), location of diagnosis, APACHE II score and country, compliance remained independently associated with improvements in hospital mortality for both the 3-h bundle (OR = 0.64 (95 % CI 0.47-0.87), p = 0.004)) and 6-h bundle (OR = 0.71 (95 % CI 0.56-0.90), p = 0.005)). DISCUSSION: Compliance with all of the evidence-based bundle metrics was not high. Patients whose care included compliance with all of these metrics had a 40 % reduction in the odds of dying in hospital with the 3-h bundle and 36 % for the 6-h bundle.", "author" : [ { "dropping-particle" : "", "family" : "Rhodes", "given" : "Andrew", "non-dropping-particle" : "", "parse-names" : false, "suffix" : "" }, { "dropping-particle" : "", "family" : "Phillips", "given" : "Gary", "non-dropping-particle" : "", "parse-names" : false, "suffix" : "" }, { "dropping-particle" : "", "family" : "Beale", "given" : "Richard", "non-dropping-particle" : "", "parse-names" : false, "suffix" : "" }, { "dropping-particle" : "", "family" : "Cecconi", "given" : "Maurizio", "non-dropping-particle" : "", "parse-names" : false, "suffix" : "" }, { "dropping-particle" : "", "family" : "Chiche", "given" : "Jean Daniel", "non-dropping-particle" : "", "parse-names" : false, "suffix" : "" }, { "dropping-particle" : "", "family" : "Backer", "given" : "Daniel", "non-dropping-particle" : "De", "parse-names" : false, "suffix" : "" }, { "dropping-particle" : "", "family" : "Divatia", "given" : "Jigeeshu", "non-dropping-particle" : "", "parse-names" : false, "suffix" : "" }, { "dropping-particle" : "", "family" : "Du", "given" : "Bin", "non-dropping-particle" : "", "parse-names" : false, "suffix" : "" }, { "dropping-particle" : "", "family" : "Evans", "given" : "Laura", "non-dropping-particle" : "", "parse-names" : false, "suffix" : "" }, { "dropping-particle" : "", "family" : "Ferrer", "given" : "Ricard", "non-dropping-particle" : "", "parse-names" : false, "suffix" : "" }, { "dropping-particle" : "", "family" : "Girardis", "given" : "Massimo", "non-dropping-particle" : "", "parse-names" : false, "suffix" : "" }, { "dropping-particle" : "", "family" : "Koulenti", "given" : "Despoina", "non-dropping-particle" : "", "parse-names" : false, "suffix" : "" }, { "dropping-particle" : "", "family" : "Machado", "given" : "Flavia", "non-dropping-particle" : "", "parse-names" : false, "suffix" : "" }, { "dropping-particle" : "", "family" : "Simpson", "given" : "Steven Q.", "non-dropping-particle" : "", "parse-names" : false, "suffix" : "" }, { "dropping-particle" : "", "family" : "Tan", "given" : "Cheng Cheng", "non-dropping-particle" : "", "parse-names" : false, "suffix" : "" }, { "dropping-particle" : "", "family" : "Wittebole", "given" : "Xavier", "non-dropping-particle" : "", "parse-names" : false, "suffix" : "" }, { "dropping-particle" : "", "family" : "Levy", "given" : "Mitchell", "non-dropping-particle" : "", "parse-names" : false, "suffix" : "" } ], "container-title" : "Intensive Care Medicine", "id" : "ITEM-1", "issue" : "9", "issued" : { "date-parts" : [ [ "2015" ] ] }, "page" : "1620-1628", "title" : "The Surviving Sepsis Campaign bundles and outcome: results from the International Multicentre Prevalence Study on Sepsis (the IMPreSS study)", "type" : "article-journal", "volume" : "41" }, "uris" : [ "http://www.mendeley.com/documents/?uuid=0662dadd-e4a2-436b-b828-2839addac152" ] } ], "mendeley" : { "formattedCitation" : "(11)", "plainTextFormattedCitation" : "(11)", "previouslyFormattedCitation" : "(11)" }, "properties" : { "noteIndex" : 0 }, "schema" : "https://github.com/citation-style-language/schema/raw/master/csl-citation.json" }</w:instrText>
      </w:r>
      <w:r w:rsidR="001C7C8A">
        <w:rPr>
          <w:rFonts w:cs="Arial"/>
        </w:rPr>
        <w:fldChar w:fldCharType="separate"/>
      </w:r>
      <w:r w:rsidR="001C7C8A" w:rsidRPr="001C7C8A">
        <w:rPr>
          <w:rFonts w:cs="Arial"/>
          <w:noProof/>
        </w:rPr>
        <w:t>(11)</w:t>
      </w:r>
      <w:r w:rsidR="001C7C8A">
        <w:rPr>
          <w:rFonts w:cs="Arial"/>
        </w:rPr>
        <w:fldChar w:fldCharType="end"/>
      </w:r>
      <w:r w:rsidR="001C7C8A">
        <w:rPr>
          <w:rFonts w:cs="Arial"/>
        </w:rPr>
        <w:t>.</w:t>
      </w:r>
      <w:r w:rsidR="00875217">
        <w:rPr>
          <w:rFonts w:cs="Arial"/>
        </w:rPr>
        <w:t xml:space="preserve"> However </w:t>
      </w:r>
      <w:r w:rsidR="0045328D">
        <w:rPr>
          <w:rFonts w:cs="Arial"/>
        </w:rPr>
        <w:t>most of these programs have focused on assessing the impact on sepsis mortality</w:t>
      </w:r>
      <w:r w:rsidR="00B25ADB">
        <w:t xml:space="preserve">. Controversy also exists about how rapidly sepsis should be treated and which interventions improve outcomes </w:t>
      </w:r>
      <w:r w:rsidR="00B25ADB">
        <w:fldChar w:fldCharType="begin" w:fldLock="1"/>
      </w:r>
      <w:r w:rsidR="00E44D59">
        <w:instrText>ADDIN CSL_CITATION { "citationItems" : [ { "id" : "ITEM-1", "itemData" : { "DOI" : "10.1097/CCM.0000000000001142", "ISBN" : "0000000000", "ISSN" : "0090-3493", "PMID" : "26121073", "abstract" : "OBJECTIVES: We sought to systematically review and meta-analyze the available data on the association between timing of antibiotic administration and mortality in severe sepsis and septic shock. DATA SOURCES: A comprehensive search criteria was performed using a predefined protocol. STUDY SELECTION: Inclusion criteria: adult patients with severe sepsis or septic shock, reported time to antibiotic administration in relation to emergency department triage and/or shock recognition, and mortality. EXCLUSION CRITERIA: immunosuppressed populations, review article, editorial, or nonhuman studies. DATA EXTRACTION: Two reviewers screened abstracts with a third reviewer arbitrating. The effect of time to antibiotic administration on mortality was based on current guideline recommendations: 1) administration within 3 hours of emergency department triage and 2) administration within 1 hour of severe sepsis/septic shock recognition. Odds ratios were calculated using a random effect model. The primary outcome was mortality. DATA SYNTHESIS: A total of 1,123 publications were identified and 11 were included in the analysis. Among the 11 included studies, 16,178 patients were evaluable for antibiotic administration from emergency department triage. Patients who received antibiotics more than 3 hours after emergency department triage (&lt; 3 hr reference) had a pooled odds ratio for mortality of 1.16 (0.92-1.46; p = 0.21). A total of 11,017 patients were evaluable for antibiotic administration from severe sepsis/septic shock recognition. Patients who received antibiotics more than 1 hour after severe sepsis/shock recognition (&lt; 1 hr reference) had a pooled odds ratio for mortality of 1.46 (0.89-2.40; p = 0.13). There was no increased mortality in the pooled odds ratios for each hourly delay from less than 1 to more than 5 hours in antibiotic administration from severe sepsis/shock recognition. CONCLUSION: Using the available pooled data, we found no significant mortality benefit of administering antibiotics within 3 hours of emergency department triage or within 1 hour of shock recognition in severe sepsis and septic shock. These results suggest that currently recommended timing metrics as measures of quality of care are not supported by the available evidence.", "author" : [ { "dropping-particle" : "", "family" : "Sterling", "given" : "Sarah A.", "non-dropping-particle" : "", "parse-names" : false, "suffix" : "" }, { "dropping-particle" : "", "family" : "Miller", "given" : "W. Ryan", "non-dropping-particle" : "", "parse-names" : false, "suffix" : "" }, { "dropping-particle" : "", "family" : "Pryor", "given" : "Jason", "non-dropping-particle" : "", "parse-names" : false, "suffix" : "" }, { "dropping-particle" : "", "family" : "Puskarich", "given" : "Michael A.", "non-dropping-particle" : "", "parse-names" : false, "suffix" : "" }, { "dropping-particle" : "", "family" : "Jones", "given" : "Alan E.", "non-dropping-particle" : "", "parse-names" : false, "suffix" : "" } ], "container-title" : "Critical Care Medicine", "id" : "ITEM-1", "issue" : "9", "issued" : { "date-parts" : [ [ "2015" ] ] }, "page" : "1907-1915", "title" : "The Impact of Timing of Antibiotics on Outcomes in Severe Sepsis and Septic Shock", "type" : "article-journal", "volume" : "43" }, "uris" : [ "http://www.mendeley.com/documents/?uuid=9182d418-fcd9-483e-8ef1-2ef0727bdd98" ] } ], "mendeley" : { "formattedCitation" : "(12)", "plainTextFormattedCitation" : "(12)", "previouslyFormattedCitation" : "(12)" }, "properties" : { "noteIndex" : 0 }, "schema" : "https://github.com/citation-style-language/schema/raw/master/csl-citation.json" }</w:instrText>
      </w:r>
      <w:r w:rsidR="00B25ADB">
        <w:fldChar w:fldCharType="separate"/>
      </w:r>
      <w:r w:rsidR="00B25ADB" w:rsidRPr="00B25ADB">
        <w:rPr>
          <w:noProof/>
        </w:rPr>
        <w:t>(12)</w:t>
      </w:r>
      <w:r w:rsidR="00B25ADB">
        <w:fldChar w:fldCharType="end"/>
      </w:r>
      <w:r w:rsidR="00B25ADB">
        <w:t xml:space="preserve">. </w:t>
      </w:r>
    </w:p>
    <w:p w14:paraId="1B5B6F5B" w14:textId="77777777" w:rsidR="00B25ADB" w:rsidRPr="009C29AA" w:rsidRDefault="00B25ADB" w:rsidP="00FD44CA">
      <w:pPr>
        <w:jc w:val="both"/>
        <w:rPr>
          <w:rFonts w:cs="Arial"/>
        </w:rPr>
      </w:pPr>
    </w:p>
    <w:p w14:paraId="7C4A80A2" w14:textId="77777777" w:rsidR="00DE15E6" w:rsidRPr="00504081" w:rsidRDefault="00DE15E6" w:rsidP="00FD44CA">
      <w:pPr>
        <w:jc w:val="both"/>
        <w:rPr>
          <w:rFonts w:cs="Arial"/>
          <w:lang w:val="en-US"/>
        </w:rPr>
      </w:pPr>
      <w:r w:rsidRPr="00504081">
        <w:rPr>
          <w:rFonts w:cs="Arial"/>
        </w:rPr>
        <w:t xml:space="preserve">Advancing Quality (AQ) is an established approach to reducing variation and improving outcomes for patients in the </w:t>
      </w:r>
      <w:r w:rsidR="00B20484">
        <w:rPr>
          <w:rFonts w:cs="Arial"/>
        </w:rPr>
        <w:t>northwest</w:t>
      </w:r>
      <w:r w:rsidRPr="00504081">
        <w:rPr>
          <w:rFonts w:cs="Arial"/>
        </w:rPr>
        <w:t xml:space="preserve"> of England. </w:t>
      </w:r>
      <w:r w:rsidRPr="00504081">
        <w:rPr>
          <w:rFonts w:cs="Arial"/>
          <w:iCs/>
        </w:rPr>
        <w:t xml:space="preserve">It aims to improve clinical care by producing and implementing evidence-based </w:t>
      </w:r>
      <w:r w:rsidR="00823837">
        <w:rPr>
          <w:rFonts w:cs="Arial"/>
          <w:iCs/>
        </w:rPr>
        <w:t xml:space="preserve">care </w:t>
      </w:r>
      <w:r w:rsidRPr="00504081">
        <w:rPr>
          <w:rFonts w:cs="Arial"/>
          <w:iCs/>
        </w:rPr>
        <w:t xml:space="preserve">bundles </w:t>
      </w:r>
      <w:r w:rsidR="00504081" w:rsidRPr="00504081">
        <w:rPr>
          <w:rFonts w:cs="Arial"/>
          <w:iCs/>
        </w:rPr>
        <w:t>(measure set</w:t>
      </w:r>
      <w:r w:rsidR="00823837">
        <w:rPr>
          <w:rFonts w:cs="Arial"/>
          <w:iCs/>
        </w:rPr>
        <w:t>s</w:t>
      </w:r>
      <w:r w:rsidR="00504081" w:rsidRPr="00504081">
        <w:rPr>
          <w:rFonts w:cs="Arial"/>
          <w:iCs/>
        </w:rPr>
        <w:t>)</w:t>
      </w:r>
      <w:r w:rsidRPr="00504081">
        <w:rPr>
          <w:rFonts w:cs="Arial"/>
          <w:iCs/>
        </w:rPr>
        <w:t xml:space="preserve"> across a collaborative network of hospitals. </w:t>
      </w:r>
    </w:p>
    <w:p w14:paraId="5135B213" w14:textId="77777777" w:rsidR="00DE15E6" w:rsidRPr="00504081" w:rsidRDefault="00DE15E6" w:rsidP="00FD44CA">
      <w:pPr>
        <w:jc w:val="both"/>
        <w:rPr>
          <w:b/>
        </w:rPr>
      </w:pPr>
    </w:p>
    <w:p w14:paraId="6B77F822" w14:textId="365FE4D5" w:rsidR="00453EA5" w:rsidRDefault="00235073" w:rsidP="00453EA5">
      <w:pPr>
        <w:jc w:val="both"/>
        <w:rPr>
          <w:rFonts w:cs="Arial"/>
        </w:rPr>
      </w:pPr>
      <w:r>
        <w:t>The aim of the AQ Sepsis programme is to improve early identification, diagnosis and treatment of patients presenting to hospital with sepsis</w:t>
      </w:r>
      <w:r w:rsidR="00725652">
        <w:t xml:space="preserve"> and thereby improve outcomes</w:t>
      </w:r>
      <w:r>
        <w:t xml:space="preserve">. </w:t>
      </w:r>
      <w:r w:rsidR="00B259AF">
        <w:t xml:space="preserve">The project only includes patients admitted with sepsis and therefore patients who develop sepsis more than 48 hours after admission </w:t>
      </w:r>
      <w:r w:rsidR="00B20484">
        <w:t xml:space="preserve">are </w:t>
      </w:r>
      <w:r w:rsidR="00B259AF">
        <w:t xml:space="preserve">excluded. </w:t>
      </w:r>
      <w:r w:rsidR="002C76DA">
        <w:rPr>
          <w:rFonts w:cs="Arial"/>
        </w:rPr>
        <w:t>E</w:t>
      </w:r>
      <w:r w:rsidR="00453EA5">
        <w:rPr>
          <w:rFonts w:cs="Arial"/>
        </w:rPr>
        <w:t xml:space="preserve">valuation of </w:t>
      </w:r>
      <w:r w:rsidR="002C76DA">
        <w:rPr>
          <w:rFonts w:cs="Arial"/>
        </w:rPr>
        <w:t xml:space="preserve">the AQ sepsis program and use of its measure set </w:t>
      </w:r>
      <w:r w:rsidR="00453EA5">
        <w:rPr>
          <w:rFonts w:cs="Arial"/>
        </w:rPr>
        <w:t>in routine care had not been done.</w:t>
      </w:r>
    </w:p>
    <w:p w14:paraId="78A4DAE2" w14:textId="77777777" w:rsidR="00453EA5" w:rsidRPr="00504081" w:rsidDel="00453EA5" w:rsidRDefault="00453EA5" w:rsidP="00453EA5">
      <w:pPr>
        <w:jc w:val="both"/>
        <w:rPr>
          <w:rFonts w:cs="Arial"/>
        </w:rPr>
      </w:pPr>
    </w:p>
    <w:p w14:paraId="7B15BFFD" w14:textId="77C03976" w:rsidR="00BC316B" w:rsidRPr="00504081" w:rsidRDefault="00BC316B" w:rsidP="0032260B">
      <w:pPr>
        <w:jc w:val="both"/>
        <w:rPr>
          <w:rFonts w:cs="Arial"/>
        </w:rPr>
      </w:pPr>
      <w:r>
        <w:rPr>
          <w:rFonts w:cs="Arial"/>
        </w:rPr>
        <w:t xml:space="preserve">We report the results of the evaluation of the AQ sepsis programme in 14 hospitals in the </w:t>
      </w:r>
      <w:r w:rsidR="00CA2395">
        <w:rPr>
          <w:rFonts w:cs="Arial"/>
        </w:rPr>
        <w:t>northwest</w:t>
      </w:r>
      <w:r>
        <w:rPr>
          <w:rFonts w:cs="Arial"/>
        </w:rPr>
        <w:t xml:space="preserve"> of England.</w:t>
      </w:r>
      <w:r w:rsidR="00321161">
        <w:rPr>
          <w:rFonts w:cs="Arial"/>
        </w:rPr>
        <w:t xml:space="preserve"> </w:t>
      </w:r>
      <w:r>
        <w:rPr>
          <w:rFonts w:cs="Arial"/>
        </w:rPr>
        <w:t>We a</w:t>
      </w:r>
      <w:r w:rsidRPr="00504081">
        <w:rPr>
          <w:rFonts w:cs="Arial"/>
        </w:rPr>
        <w:t>ssess</w:t>
      </w:r>
      <w:r>
        <w:rPr>
          <w:rFonts w:cs="Arial"/>
        </w:rPr>
        <w:t xml:space="preserve">ed the association with specific AQ measures and </w:t>
      </w:r>
      <w:r w:rsidRPr="00504081">
        <w:rPr>
          <w:rFonts w:cs="Arial"/>
        </w:rPr>
        <w:t>mortality, length of stay and readmissions within 30 days</w:t>
      </w:r>
      <w:r>
        <w:rPr>
          <w:rFonts w:cs="Arial"/>
        </w:rPr>
        <w:t>. In addition</w:t>
      </w:r>
      <w:r w:rsidR="00EB0149">
        <w:rPr>
          <w:rFonts w:cs="Arial"/>
        </w:rPr>
        <w:t>, by</w:t>
      </w:r>
      <w:r>
        <w:rPr>
          <w:rFonts w:cs="Arial"/>
        </w:rPr>
        <w:t xml:space="preserve"> using a before and after design we measured the impact of the formal introduction of this bundle into care on in-patient mortality</w:t>
      </w:r>
      <w:r w:rsidR="00026D6F">
        <w:rPr>
          <w:rFonts w:cs="Arial"/>
        </w:rPr>
        <w:t>, readmission and length of hospital stay</w:t>
      </w:r>
      <w:r>
        <w:rPr>
          <w:rFonts w:cs="Arial"/>
        </w:rPr>
        <w:t>.</w:t>
      </w:r>
    </w:p>
    <w:p w14:paraId="0C733417" w14:textId="77777777" w:rsidR="00BC316B" w:rsidRDefault="00BC316B" w:rsidP="00FD44CA">
      <w:pPr>
        <w:jc w:val="both"/>
        <w:rPr>
          <w:rFonts w:cs="Arial"/>
        </w:rPr>
      </w:pPr>
    </w:p>
    <w:p w14:paraId="3AA20E7A" w14:textId="77777777" w:rsidR="00DE15E6" w:rsidRPr="00504081" w:rsidRDefault="00DE15E6" w:rsidP="00FD44CA">
      <w:pPr>
        <w:jc w:val="both"/>
        <w:rPr>
          <w:rFonts w:cs="Arial"/>
          <w:lang w:val="en-US"/>
        </w:rPr>
      </w:pPr>
    </w:p>
    <w:p w14:paraId="3988AE01" w14:textId="77777777" w:rsidR="002A2EF8" w:rsidRDefault="001175F2" w:rsidP="00FD44CA">
      <w:pPr>
        <w:jc w:val="both"/>
        <w:rPr>
          <w:b/>
        </w:rPr>
      </w:pPr>
      <w:r w:rsidRPr="004542B0">
        <w:rPr>
          <w:b/>
        </w:rPr>
        <w:t>METHODS</w:t>
      </w:r>
    </w:p>
    <w:p w14:paraId="4B8826C4" w14:textId="77777777" w:rsidR="00725652" w:rsidRPr="004542B0" w:rsidRDefault="00725652" w:rsidP="00FD44CA">
      <w:pPr>
        <w:jc w:val="both"/>
        <w:rPr>
          <w:b/>
        </w:rPr>
      </w:pPr>
    </w:p>
    <w:p w14:paraId="41441534" w14:textId="77777777" w:rsidR="005E5D0D" w:rsidRDefault="005E5D0D" w:rsidP="00FD44CA">
      <w:pPr>
        <w:jc w:val="both"/>
        <w:rPr>
          <w:rFonts w:cs="Arial"/>
        </w:rPr>
      </w:pPr>
      <w:r>
        <w:rPr>
          <w:b/>
        </w:rPr>
        <w:t>Study design and sites</w:t>
      </w:r>
      <w:r>
        <w:rPr>
          <w:rFonts w:cs="Arial"/>
        </w:rPr>
        <w:t xml:space="preserve"> </w:t>
      </w:r>
    </w:p>
    <w:p w14:paraId="6BEE4A39" w14:textId="77777777" w:rsidR="005E5D0D" w:rsidRDefault="005E5D0D" w:rsidP="00FD44CA">
      <w:pPr>
        <w:jc w:val="both"/>
        <w:rPr>
          <w:rFonts w:cs="Arial"/>
        </w:rPr>
      </w:pPr>
    </w:p>
    <w:p w14:paraId="04B66F0A" w14:textId="5A621379" w:rsidR="00453EA5" w:rsidRDefault="00453EA5" w:rsidP="00453EA5">
      <w:pPr>
        <w:jc w:val="both"/>
        <w:rPr>
          <w:rFonts w:cs="Arial"/>
        </w:rPr>
      </w:pPr>
      <w:r>
        <w:rPr>
          <w:rFonts w:cs="Arial"/>
        </w:rPr>
        <w:t xml:space="preserve">This was a </w:t>
      </w:r>
      <w:r w:rsidR="00A03335">
        <w:rPr>
          <w:rFonts w:cs="Arial"/>
        </w:rPr>
        <w:t xml:space="preserve">retrospective assessment of a quality improvement initiative </w:t>
      </w:r>
      <w:r>
        <w:rPr>
          <w:rFonts w:cs="Arial"/>
        </w:rPr>
        <w:t xml:space="preserve">carried out in 14 acute care hospitals in the northwest </w:t>
      </w:r>
      <w:r w:rsidRPr="00321161">
        <w:rPr>
          <w:rFonts w:cs="Arial"/>
        </w:rPr>
        <w:t xml:space="preserve">region of England that </w:t>
      </w:r>
      <w:r>
        <w:rPr>
          <w:rFonts w:cs="Arial"/>
        </w:rPr>
        <w:t xml:space="preserve">used the </w:t>
      </w:r>
      <w:r w:rsidRPr="00321161">
        <w:rPr>
          <w:rFonts w:cs="Arial"/>
        </w:rPr>
        <w:t xml:space="preserve">AQ sepsis </w:t>
      </w:r>
      <w:r>
        <w:rPr>
          <w:rFonts w:cs="Arial"/>
        </w:rPr>
        <w:t xml:space="preserve">measure </w:t>
      </w:r>
      <w:r w:rsidRPr="00321161">
        <w:rPr>
          <w:rFonts w:cs="Arial"/>
        </w:rPr>
        <w:t xml:space="preserve">set. </w:t>
      </w:r>
      <w:r>
        <w:rPr>
          <w:rFonts w:cs="Arial"/>
        </w:rPr>
        <w:t>The AQ measure set was developed by a local Clinical Expert Group and is based on evidence provided by a team from the British Medical Journal Evidence Centre</w:t>
      </w:r>
      <w:r w:rsidR="00147327">
        <w:rPr>
          <w:rFonts w:cs="Arial"/>
        </w:rPr>
        <w:t>.</w:t>
      </w:r>
      <w:r w:rsidRPr="00504081">
        <w:rPr>
          <w:rFonts w:cs="Arial"/>
        </w:rPr>
        <w:t xml:space="preserve"> The AQ sepsis measure set was developed and launched in September 2014 and is consistent with recommendations from the International Surviving Sepsis Campaign, 2012 </w:t>
      </w:r>
      <w:r>
        <w:rPr>
          <w:rFonts w:cs="Arial"/>
        </w:rPr>
        <w:fldChar w:fldCharType="begin" w:fldLock="1"/>
      </w:r>
      <w:r w:rsidR="00E44D59">
        <w:rPr>
          <w:rFonts w:cs="Arial"/>
        </w:rPr>
        <w:instrText>ADDIN CSL_CITATION { "citationItems" : [ { "id" : "ITEM-1", "itemData" : { "DOI" : "10.1097/CCM.0b013e31827e83af", "ISBN" : "0342-4642", "ISSN" : "1530-0293", "PMID" : "23353941", "abstract" : "OBJECTIVE: To provide an update to the \"Surviving Sepsis Campaign Guidelines for Management of Severe Sepsis and Septic Shock,\" last published in 2008. DESIGN: A consensus committee of 68 international experts representing 30 international organizations was convened. Nominal groups were assembled at key international meetings (for those committee members attending the conference). A formal conflict of interest policy was developed at the onset of the process and enforced throughout. The entire guidelines process was conducted independent of any industry funding. A stand-alone meeting was held for all subgroup heads, co- and vice-chairs, and selected individuals. Teleconferences and electronic-based discussion among subgroups and among the entire committee served as an integral part of the development. METHODS: The authors were advised to follow the principles of the Grading of Recommendations Assessment, Development and Evaluation (GRADE) system to guide assessment of quality of evidence from high (A) to very low (D) and to determine the strength of recommendations as strong (1) or weak (2). The potential drawbacks of making strong recommendations in the presence of low-quality evidence were emphasized. Some recommendations were ungraded (UG). Recommendations were classified into three groups: 1) those directly targeting severe sepsis; 2) those targeting general care of the critically ill patient and considered high priority in severe sepsis; and 3) pediatric considerations. RESULTS: Key recommendations and suggestions, listed by category, include: early quantitative resuscitation of the septic patient during the first 6 hrs after recognition (1C); blood cultures before antibiotic therapy (1C); imaging studies performed promptly to confirm a potential source of infection (UG); administration of broad-spectrum antimicrobials therapy within 1 hr of recognition of septic shock (1B) and severe sepsis without septic shock (1C) as the goal of therapy; reassessment of antimicrobial therapy daily for de-escalation, when appropriate (1B); infection source control with attention to the balance of risks and benefits of the chosen method within 12 hrs of diagnosis (1C); initial fluid resuscitation with crystalloid (1B) and consideration of the addition of albumin in patients who continue to require substantial amounts of crystalloid to maintain adequate mean arterial pressure (2C) and the avoidance of hetastarch formulations (1C); initial fluid challenge in patient\u2026", "author" : [ { "dropping-particle" : "", "family" : "Dellinger", "given" : "Rp", "non-dropping-particle" : "", "parse-names" : false, "suffix" : "" }, { "dropping-particle" : "", "family" : "Levy", "given" : "Mm", "non-dropping-particle" : "", "parse-names" : false, "suffix" : "" }, { "dropping-particle" : "", "family" : "Rhodes", "given" : "Andrew", "non-dropping-particle" : "", "parse-names" : false, "suffix" : "" } ], "container-title" : "Intensive care \u2026", "id" : "ITEM-1", "issue" : "2", "issued" : { "date-parts" : [ [ "2013" ] ] }, "page" : "580-637", "title" : "Surviving Sepsis Campaign: international guidelines for management of severe sepsis and septic shock, 2012", "type" : "article-journal", "volume" : "41" }, "uris" : [ "http://www.mendeley.com/documents/?uuid=959e9708-45d6-49fc-813a-e23605175770" ] } ], "mendeley" : { "formattedCitation" : "(13)", "plainTextFormattedCitation" : "(13)", "previouslyFormattedCitation" : "(13)" }, "properties" : { "noteIndex" : 0 }, "schema" : "https://github.com/citation-style-language/schema/raw/master/csl-citation.json" }</w:instrText>
      </w:r>
      <w:r>
        <w:rPr>
          <w:rFonts w:cs="Arial"/>
        </w:rPr>
        <w:fldChar w:fldCharType="separate"/>
      </w:r>
      <w:r w:rsidR="00B25ADB" w:rsidRPr="00B25ADB">
        <w:rPr>
          <w:rFonts w:cs="Arial"/>
          <w:noProof/>
        </w:rPr>
        <w:t>(13)</w:t>
      </w:r>
      <w:r>
        <w:rPr>
          <w:rFonts w:cs="Arial"/>
        </w:rPr>
        <w:fldChar w:fldCharType="end"/>
      </w:r>
      <w:r>
        <w:rPr>
          <w:rFonts w:cs="Arial"/>
        </w:rPr>
        <w:t xml:space="preserve"> -</w:t>
      </w:r>
      <w:r w:rsidRPr="00504081">
        <w:rPr>
          <w:rFonts w:cs="Arial"/>
        </w:rPr>
        <w:t>(</w:t>
      </w:r>
      <w:r>
        <w:rPr>
          <w:rFonts w:cs="Arial"/>
        </w:rPr>
        <w:t>Table 1</w:t>
      </w:r>
      <w:r w:rsidRPr="00504081">
        <w:rPr>
          <w:rFonts w:cs="Arial"/>
        </w:rPr>
        <w:t>)</w:t>
      </w:r>
      <w:r>
        <w:rPr>
          <w:rFonts w:cs="Arial"/>
        </w:rPr>
        <w:t xml:space="preserve"> </w:t>
      </w:r>
      <w:r w:rsidRPr="00504081">
        <w:rPr>
          <w:rFonts w:cs="Arial"/>
        </w:rPr>
        <w:t xml:space="preserve">. </w:t>
      </w:r>
      <w:r>
        <w:rPr>
          <w:rFonts w:cs="Arial"/>
        </w:rPr>
        <w:t xml:space="preserve"> </w:t>
      </w:r>
    </w:p>
    <w:p w14:paraId="4E3BAD86" w14:textId="77777777" w:rsidR="005D2EF9" w:rsidRDefault="005D2EF9" w:rsidP="00453EA5">
      <w:pPr>
        <w:jc w:val="both"/>
        <w:rPr>
          <w:rFonts w:cs="Arial"/>
        </w:rPr>
      </w:pPr>
    </w:p>
    <w:p w14:paraId="627CCF76" w14:textId="77777777" w:rsidR="005D2EF9" w:rsidRDefault="005D2EF9" w:rsidP="00453EA5">
      <w:pPr>
        <w:jc w:val="both"/>
        <w:rPr>
          <w:rFonts w:cs="Arial"/>
        </w:rPr>
      </w:pPr>
    </w:p>
    <w:p w14:paraId="692FBD47" w14:textId="77777777" w:rsidR="005D2EF9" w:rsidRDefault="005D2EF9" w:rsidP="00453EA5">
      <w:pPr>
        <w:jc w:val="both"/>
        <w:rPr>
          <w:rFonts w:cs="Arial"/>
        </w:rPr>
      </w:pPr>
    </w:p>
    <w:p w14:paraId="677D3DB5" w14:textId="77777777" w:rsidR="005D2EF9" w:rsidRDefault="005D2EF9" w:rsidP="00453EA5">
      <w:pPr>
        <w:jc w:val="both"/>
        <w:rPr>
          <w:rFonts w:cs="Arial"/>
        </w:rPr>
      </w:pPr>
    </w:p>
    <w:p w14:paraId="4AB53EB1" w14:textId="77777777" w:rsidR="005D2EF9" w:rsidRDefault="005D2EF9" w:rsidP="00453EA5">
      <w:pPr>
        <w:jc w:val="both"/>
        <w:rPr>
          <w:rFonts w:cs="Arial"/>
        </w:rPr>
      </w:pPr>
    </w:p>
    <w:p w14:paraId="2632E265" w14:textId="77777777" w:rsidR="005D2EF9" w:rsidRDefault="005D2EF9" w:rsidP="00453EA5">
      <w:pPr>
        <w:jc w:val="both"/>
        <w:rPr>
          <w:rFonts w:cs="Arial"/>
        </w:rPr>
      </w:pPr>
    </w:p>
    <w:p w14:paraId="7D21A6FB" w14:textId="77777777" w:rsidR="00453EA5" w:rsidRDefault="00453EA5" w:rsidP="00453EA5">
      <w:pPr>
        <w:jc w:val="both"/>
        <w:rPr>
          <w:rFonts w:cs="Arial"/>
        </w:rPr>
      </w:pPr>
    </w:p>
    <w:p w14:paraId="2A4C3481" w14:textId="77777777" w:rsidR="00453EA5" w:rsidRDefault="00453EA5" w:rsidP="00453EA5">
      <w:pPr>
        <w:jc w:val="both"/>
        <w:rPr>
          <w:rFonts w:cs="Arial"/>
        </w:rPr>
      </w:pPr>
      <w:r w:rsidRPr="00504081">
        <w:rPr>
          <w:rFonts w:cs="Arial"/>
        </w:rPr>
        <w:t>Table 1: AQ Sepsis Measure set</w:t>
      </w:r>
      <w:r>
        <w:rPr>
          <w:rFonts w:cs="Arial"/>
        </w:rPr>
        <w:t xml:space="preserve"> (care bundle)</w:t>
      </w:r>
    </w:p>
    <w:p w14:paraId="7AB34947" w14:textId="77777777" w:rsidR="005B3E29" w:rsidRPr="00504081" w:rsidRDefault="005B3E29" w:rsidP="00453EA5">
      <w:pPr>
        <w:jc w:val="both"/>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453EA5" w:rsidRPr="00504081" w14:paraId="38E379EB" w14:textId="77777777" w:rsidTr="00754AFA">
        <w:trPr>
          <w:trHeight w:val="680"/>
        </w:trPr>
        <w:tc>
          <w:tcPr>
            <w:tcW w:w="1242" w:type="dxa"/>
            <w:shd w:val="clear" w:color="auto" w:fill="auto"/>
            <w:vAlign w:val="center"/>
          </w:tcPr>
          <w:p w14:paraId="4886EF43" w14:textId="77777777" w:rsidR="00453EA5" w:rsidRPr="00504081" w:rsidRDefault="00453EA5" w:rsidP="00754AFA">
            <w:pPr>
              <w:jc w:val="both"/>
              <w:rPr>
                <w:rFonts w:cs="Arial"/>
                <w:bCs/>
                <w:color w:val="000000"/>
              </w:rPr>
            </w:pPr>
            <w:r w:rsidRPr="00504081">
              <w:rPr>
                <w:rFonts w:cs="Arial"/>
                <w:bCs/>
                <w:color w:val="000000"/>
              </w:rPr>
              <w:t>SEPS-01</w:t>
            </w:r>
          </w:p>
        </w:tc>
        <w:tc>
          <w:tcPr>
            <w:tcW w:w="8222" w:type="dxa"/>
            <w:shd w:val="clear" w:color="auto" w:fill="auto"/>
            <w:vAlign w:val="center"/>
          </w:tcPr>
          <w:p w14:paraId="7B95B23B" w14:textId="77777777" w:rsidR="00453EA5" w:rsidRPr="00504081" w:rsidRDefault="00453EA5" w:rsidP="00754AFA">
            <w:pPr>
              <w:jc w:val="both"/>
              <w:rPr>
                <w:rFonts w:cs="Arial"/>
                <w:color w:val="000000"/>
              </w:rPr>
            </w:pPr>
            <w:r w:rsidRPr="00504081">
              <w:rPr>
                <w:rFonts w:cs="Arial"/>
                <w:color w:val="000000"/>
              </w:rPr>
              <w:t>Early Warning Score recorded within 60 minutes of hospital arrival</w:t>
            </w:r>
          </w:p>
        </w:tc>
      </w:tr>
      <w:tr w:rsidR="00453EA5" w:rsidRPr="00504081" w14:paraId="598AD6E6" w14:textId="77777777" w:rsidTr="00754AFA">
        <w:trPr>
          <w:trHeight w:val="680"/>
        </w:trPr>
        <w:tc>
          <w:tcPr>
            <w:tcW w:w="1242" w:type="dxa"/>
            <w:shd w:val="clear" w:color="auto" w:fill="auto"/>
            <w:vAlign w:val="center"/>
          </w:tcPr>
          <w:p w14:paraId="09C90936" w14:textId="77777777" w:rsidR="00453EA5" w:rsidRPr="00504081" w:rsidRDefault="00453EA5" w:rsidP="00754AFA">
            <w:pPr>
              <w:jc w:val="both"/>
              <w:rPr>
                <w:rFonts w:cs="Arial"/>
                <w:bCs/>
                <w:color w:val="000000"/>
              </w:rPr>
            </w:pPr>
            <w:r w:rsidRPr="00504081">
              <w:rPr>
                <w:rFonts w:cs="Arial"/>
                <w:bCs/>
                <w:color w:val="000000"/>
              </w:rPr>
              <w:t>SEPS-02</w:t>
            </w:r>
          </w:p>
        </w:tc>
        <w:tc>
          <w:tcPr>
            <w:tcW w:w="8222" w:type="dxa"/>
            <w:shd w:val="clear" w:color="auto" w:fill="auto"/>
            <w:vAlign w:val="center"/>
          </w:tcPr>
          <w:p w14:paraId="0073121F" w14:textId="77777777" w:rsidR="00453EA5" w:rsidRPr="00504081" w:rsidRDefault="00453EA5" w:rsidP="00754AFA">
            <w:pPr>
              <w:jc w:val="both"/>
              <w:rPr>
                <w:rFonts w:cs="Arial"/>
                <w:color w:val="000000"/>
              </w:rPr>
            </w:pPr>
            <w:r w:rsidRPr="00504081">
              <w:rPr>
                <w:rFonts w:cs="Arial"/>
                <w:color w:val="000000"/>
              </w:rPr>
              <w:t>Evidence of 2 or more SIRS &amp; documentation of suspected sepsis source within 2 hours of hospital arrival</w:t>
            </w:r>
          </w:p>
        </w:tc>
      </w:tr>
      <w:tr w:rsidR="00453EA5" w:rsidRPr="00504081" w14:paraId="4D6C9D78" w14:textId="77777777" w:rsidTr="00754AFA">
        <w:trPr>
          <w:trHeight w:val="680"/>
        </w:trPr>
        <w:tc>
          <w:tcPr>
            <w:tcW w:w="1242" w:type="dxa"/>
            <w:shd w:val="clear" w:color="auto" w:fill="auto"/>
            <w:vAlign w:val="center"/>
          </w:tcPr>
          <w:p w14:paraId="3E6312C4" w14:textId="77777777" w:rsidR="00453EA5" w:rsidRPr="00504081" w:rsidRDefault="00453EA5" w:rsidP="00754AFA">
            <w:pPr>
              <w:jc w:val="both"/>
              <w:rPr>
                <w:rFonts w:cs="Arial"/>
                <w:bCs/>
                <w:color w:val="000000"/>
              </w:rPr>
            </w:pPr>
            <w:r w:rsidRPr="00504081">
              <w:rPr>
                <w:rFonts w:cs="Arial"/>
                <w:bCs/>
                <w:color w:val="000000"/>
              </w:rPr>
              <w:t>SEPS-03</w:t>
            </w:r>
          </w:p>
        </w:tc>
        <w:tc>
          <w:tcPr>
            <w:tcW w:w="8222" w:type="dxa"/>
            <w:shd w:val="clear" w:color="auto" w:fill="auto"/>
            <w:vAlign w:val="center"/>
          </w:tcPr>
          <w:p w14:paraId="79D3CD01" w14:textId="77777777" w:rsidR="00453EA5" w:rsidRPr="00504081" w:rsidRDefault="00453EA5" w:rsidP="00754AFA">
            <w:pPr>
              <w:jc w:val="both"/>
              <w:rPr>
                <w:rFonts w:cs="Arial"/>
                <w:color w:val="000000"/>
              </w:rPr>
            </w:pPr>
            <w:r w:rsidRPr="00504081">
              <w:rPr>
                <w:rFonts w:cs="Arial"/>
                <w:color w:val="000000"/>
              </w:rPr>
              <w:t>Blood cultures taken within 3 hours of hospital arrival</w:t>
            </w:r>
          </w:p>
        </w:tc>
      </w:tr>
      <w:tr w:rsidR="00453EA5" w:rsidRPr="00504081" w14:paraId="186645A6" w14:textId="77777777" w:rsidTr="00754AFA">
        <w:trPr>
          <w:trHeight w:val="680"/>
        </w:trPr>
        <w:tc>
          <w:tcPr>
            <w:tcW w:w="1242" w:type="dxa"/>
            <w:shd w:val="clear" w:color="auto" w:fill="auto"/>
            <w:vAlign w:val="center"/>
          </w:tcPr>
          <w:p w14:paraId="5AE1D30B" w14:textId="77777777" w:rsidR="00453EA5" w:rsidRPr="00504081" w:rsidRDefault="00453EA5" w:rsidP="00754AFA">
            <w:pPr>
              <w:jc w:val="both"/>
              <w:rPr>
                <w:rFonts w:cs="Arial"/>
                <w:bCs/>
                <w:color w:val="000000"/>
              </w:rPr>
            </w:pPr>
            <w:r w:rsidRPr="00504081">
              <w:rPr>
                <w:rFonts w:cs="Arial"/>
                <w:bCs/>
                <w:color w:val="000000"/>
              </w:rPr>
              <w:t>SEPS-04</w:t>
            </w:r>
          </w:p>
        </w:tc>
        <w:tc>
          <w:tcPr>
            <w:tcW w:w="8222" w:type="dxa"/>
            <w:shd w:val="clear" w:color="auto" w:fill="auto"/>
            <w:vAlign w:val="center"/>
          </w:tcPr>
          <w:p w14:paraId="246A2DA8" w14:textId="77777777" w:rsidR="00453EA5" w:rsidRPr="00504081" w:rsidRDefault="00453EA5" w:rsidP="00754AFA">
            <w:pPr>
              <w:jc w:val="both"/>
              <w:rPr>
                <w:rFonts w:cs="Arial"/>
                <w:color w:val="000000"/>
              </w:rPr>
            </w:pPr>
            <w:r w:rsidRPr="00504081">
              <w:rPr>
                <w:rFonts w:cs="Arial"/>
                <w:color w:val="000000"/>
              </w:rPr>
              <w:t>Antibiotics administered within 3 hours of hospital arrival</w:t>
            </w:r>
          </w:p>
        </w:tc>
      </w:tr>
      <w:tr w:rsidR="00453EA5" w:rsidRPr="00504081" w14:paraId="418AABFD" w14:textId="77777777" w:rsidTr="00754AFA">
        <w:trPr>
          <w:trHeight w:val="680"/>
        </w:trPr>
        <w:tc>
          <w:tcPr>
            <w:tcW w:w="1242" w:type="dxa"/>
            <w:shd w:val="clear" w:color="auto" w:fill="auto"/>
            <w:vAlign w:val="center"/>
          </w:tcPr>
          <w:p w14:paraId="268AACF3" w14:textId="77777777" w:rsidR="00453EA5" w:rsidRPr="00504081" w:rsidRDefault="00453EA5" w:rsidP="00754AFA">
            <w:pPr>
              <w:jc w:val="both"/>
              <w:rPr>
                <w:rFonts w:cs="Arial"/>
                <w:bCs/>
                <w:color w:val="000000"/>
              </w:rPr>
            </w:pPr>
            <w:r w:rsidRPr="00504081">
              <w:rPr>
                <w:rFonts w:cs="Arial"/>
                <w:bCs/>
                <w:color w:val="000000"/>
              </w:rPr>
              <w:t>SEPS-05</w:t>
            </w:r>
          </w:p>
        </w:tc>
        <w:tc>
          <w:tcPr>
            <w:tcW w:w="8222" w:type="dxa"/>
            <w:shd w:val="clear" w:color="auto" w:fill="auto"/>
            <w:vAlign w:val="center"/>
          </w:tcPr>
          <w:p w14:paraId="3119B03C" w14:textId="77777777" w:rsidR="00453EA5" w:rsidRPr="00504081" w:rsidRDefault="00453EA5" w:rsidP="00754AFA">
            <w:pPr>
              <w:jc w:val="both"/>
              <w:rPr>
                <w:rFonts w:cs="Arial"/>
                <w:color w:val="000000"/>
              </w:rPr>
            </w:pPr>
            <w:r w:rsidRPr="00504081">
              <w:rPr>
                <w:rFonts w:cs="Arial"/>
                <w:color w:val="000000"/>
              </w:rPr>
              <w:t>Serum lactate taken within 3 hours of hospital arrival</w:t>
            </w:r>
          </w:p>
        </w:tc>
      </w:tr>
      <w:tr w:rsidR="00453EA5" w:rsidRPr="00504081" w14:paraId="7833DEF6" w14:textId="77777777" w:rsidTr="00754AFA">
        <w:trPr>
          <w:trHeight w:val="680"/>
        </w:trPr>
        <w:tc>
          <w:tcPr>
            <w:tcW w:w="1242" w:type="dxa"/>
            <w:shd w:val="clear" w:color="auto" w:fill="auto"/>
            <w:vAlign w:val="center"/>
          </w:tcPr>
          <w:p w14:paraId="7FF4D99B" w14:textId="77777777" w:rsidR="00453EA5" w:rsidRPr="00504081" w:rsidRDefault="00453EA5" w:rsidP="00754AFA">
            <w:pPr>
              <w:jc w:val="both"/>
              <w:rPr>
                <w:rFonts w:cs="Arial"/>
                <w:bCs/>
                <w:color w:val="000000"/>
              </w:rPr>
            </w:pPr>
            <w:r w:rsidRPr="00504081">
              <w:rPr>
                <w:rFonts w:cs="Arial"/>
                <w:bCs/>
                <w:color w:val="000000"/>
              </w:rPr>
              <w:t>SEPS-06</w:t>
            </w:r>
          </w:p>
        </w:tc>
        <w:tc>
          <w:tcPr>
            <w:tcW w:w="8222" w:type="dxa"/>
            <w:shd w:val="clear" w:color="auto" w:fill="auto"/>
            <w:vAlign w:val="center"/>
          </w:tcPr>
          <w:p w14:paraId="6F4D0132" w14:textId="77777777" w:rsidR="00453EA5" w:rsidRPr="00504081" w:rsidRDefault="00453EA5" w:rsidP="00754AFA">
            <w:pPr>
              <w:jc w:val="both"/>
              <w:rPr>
                <w:rFonts w:cs="Arial"/>
                <w:color w:val="000000"/>
              </w:rPr>
            </w:pPr>
            <w:r w:rsidRPr="00504081">
              <w:rPr>
                <w:rFonts w:eastAsia="MS PGothic" w:cs="Arial"/>
                <w:color w:val="000000"/>
                <w:kern w:val="24"/>
                <w:lang w:val="en-US"/>
              </w:rPr>
              <w:t xml:space="preserve">Second </w:t>
            </w:r>
            <w:proofErr w:type="spellStart"/>
            <w:r w:rsidRPr="00504081">
              <w:rPr>
                <w:rFonts w:eastAsia="MS PGothic" w:cs="Arial"/>
                <w:color w:val="000000"/>
                <w:kern w:val="24"/>
                <w:lang w:val="en-US"/>
              </w:rPr>
              <w:t>litre</w:t>
            </w:r>
            <w:proofErr w:type="spellEnd"/>
            <w:r w:rsidRPr="00504081">
              <w:rPr>
                <w:rFonts w:eastAsia="MS PGothic" w:cs="Arial"/>
                <w:color w:val="000000"/>
                <w:kern w:val="24"/>
                <w:lang w:val="en-US"/>
              </w:rPr>
              <w:t xml:space="preserve"> of IV fluids commenced within 4 hours of hospital arrival if systolic BP &lt; 90 mmHg or Lactate ≥ 4 </w:t>
            </w:r>
            <w:proofErr w:type="spellStart"/>
            <w:r w:rsidRPr="00504081">
              <w:rPr>
                <w:rFonts w:eastAsia="MS PGothic" w:cs="Arial"/>
                <w:color w:val="000000"/>
                <w:kern w:val="24"/>
                <w:lang w:val="en-US"/>
              </w:rPr>
              <w:t>mmol</w:t>
            </w:r>
            <w:proofErr w:type="spellEnd"/>
            <w:r w:rsidRPr="00504081">
              <w:rPr>
                <w:rFonts w:eastAsia="MS PGothic" w:cs="Arial"/>
                <w:color w:val="000000"/>
                <w:kern w:val="24"/>
                <w:lang w:val="en-US"/>
              </w:rPr>
              <w:t>/l</w:t>
            </w:r>
          </w:p>
        </w:tc>
      </w:tr>
      <w:tr w:rsidR="00453EA5" w:rsidRPr="00504081" w14:paraId="75A44801" w14:textId="77777777" w:rsidTr="00754AFA">
        <w:trPr>
          <w:trHeight w:val="680"/>
        </w:trPr>
        <w:tc>
          <w:tcPr>
            <w:tcW w:w="1242" w:type="dxa"/>
            <w:shd w:val="clear" w:color="auto" w:fill="auto"/>
            <w:vAlign w:val="center"/>
          </w:tcPr>
          <w:p w14:paraId="78FD70AF" w14:textId="77777777" w:rsidR="00453EA5" w:rsidRPr="00504081" w:rsidRDefault="00453EA5" w:rsidP="00754AFA">
            <w:pPr>
              <w:jc w:val="both"/>
              <w:rPr>
                <w:rFonts w:cs="Arial"/>
                <w:bCs/>
                <w:color w:val="000000"/>
              </w:rPr>
            </w:pPr>
            <w:r w:rsidRPr="00504081">
              <w:rPr>
                <w:rFonts w:cs="Arial"/>
                <w:bCs/>
                <w:color w:val="000000"/>
              </w:rPr>
              <w:t>SEPS-07</w:t>
            </w:r>
          </w:p>
        </w:tc>
        <w:tc>
          <w:tcPr>
            <w:tcW w:w="8222" w:type="dxa"/>
            <w:shd w:val="clear" w:color="auto" w:fill="auto"/>
            <w:vAlign w:val="center"/>
          </w:tcPr>
          <w:p w14:paraId="2DD8EA61" w14:textId="77777777" w:rsidR="00453EA5" w:rsidRPr="00504081" w:rsidRDefault="00453EA5" w:rsidP="00754AFA">
            <w:pPr>
              <w:jc w:val="both"/>
              <w:textAlignment w:val="baseline"/>
              <w:rPr>
                <w:rFonts w:cs="Arial"/>
              </w:rPr>
            </w:pPr>
            <w:r w:rsidRPr="00504081">
              <w:rPr>
                <w:rFonts w:eastAsia="MS PGothic" w:cs="Arial"/>
                <w:color w:val="000000"/>
                <w:kern w:val="24"/>
                <w:lang w:val="en-US"/>
              </w:rPr>
              <w:t>Oxygen therapy administered within 4 hours of hospital arrival</w:t>
            </w:r>
            <w:r w:rsidRPr="00504081">
              <w:rPr>
                <w:rFonts w:cs="Arial"/>
                <w:color w:val="000000"/>
                <w:kern w:val="24"/>
                <w:lang w:val="en-US"/>
              </w:rPr>
              <w:t xml:space="preserve"> if SpO2 &lt; 94%</w:t>
            </w:r>
          </w:p>
        </w:tc>
      </w:tr>
      <w:tr w:rsidR="00453EA5" w:rsidRPr="00504081" w14:paraId="512D4651" w14:textId="77777777" w:rsidTr="00754AFA">
        <w:trPr>
          <w:trHeight w:val="680"/>
        </w:trPr>
        <w:tc>
          <w:tcPr>
            <w:tcW w:w="1242" w:type="dxa"/>
            <w:shd w:val="clear" w:color="auto" w:fill="auto"/>
            <w:vAlign w:val="center"/>
          </w:tcPr>
          <w:p w14:paraId="3A6B341E" w14:textId="77777777" w:rsidR="00453EA5" w:rsidRPr="00504081" w:rsidRDefault="00453EA5" w:rsidP="00754AFA">
            <w:pPr>
              <w:jc w:val="both"/>
              <w:rPr>
                <w:rFonts w:cs="Arial"/>
                <w:bCs/>
                <w:color w:val="000000"/>
              </w:rPr>
            </w:pPr>
            <w:r w:rsidRPr="00504081">
              <w:rPr>
                <w:rFonts w:cs="Arial"/>
                <w:bCs/>
                <w:color w:val="000000"/>
              </w:rPr>
              <w:t>SEPS-08</w:t>
            </w:r>
          </w:p>
        </w:tc>
        <w:tc>
          <w:tcPr>
            <w:tcW w:w="8222" w:type="dxa"/>
            <w:shd w:val="clear" w:color="auto" w:fill="auto"/>
            <w:vAlign w:val="center"/>
          </w:tcPr>
          <w:p w14:paraId="3DBB3000" w14:textId="77777777" w:rsidR="00453EA5" w:rsidRPr="00504081" w:rsidRDefault="00453EA5" w:rsidP="00754AFA">
            <w:pPr>
              <w:jc w:val="both"/>
              <w:textAlignment w:val="baseline"/>
              <w:rPr>
                <w:rFonts w:cs="Arial"/>
              </w:rPr>
            </w:pPr>
            <w:r w:rsidRPr="00504081">
              <w:rPr>
                <w:rFonts w:eastAsia="MS PGothic" w:cs="Arial"/>
                <w:color w:val="000000"/>
                <w:kern w:val="24"/>
                <w:lang w:val="en-US"/>
              </w:rPr>
              <w:t>Fluid Balance Chart commenced within 4 hours of hospital arrival if IV fluids commenced</w:t>
            </w:r>
          </w:p>
        </w:tc>
      </w:tr>
      <w:tr w:rsidR="00453EA5" w:rsidRPr="00504081" w14:paraId="22F1EB45" w14:textId="77777777" w:rsidTr="00754AFA">
        <w:trPr>
          <w:trHeight w:val="680"/>
        </w:trPr>
        <w:tc>
          <w:tcPr>
            <w:tcW w:w="1242" w:type="dxa"/>
            <w:shd w:val="clear" w:color="auto" w:fill="auto"/>
            <w:vAlign w:val="center"/>
          </w:tcPr>
          <w:p w14:paraId="50EF74DB" w14:textId="77777777" w:rsidR="00453EA5" w:rsidRPr="00504081" w:rsidRDefault="00453EA5" w:rsidP="00754AFA">
            <w:pPr>
              <w:jc w:val="both"/>
              <w:rPr>
                <w:rFonts w:cs="Arial"/>
                <w:bCs/>
                <w:color w:val="000000"/>
              </w:rPr>
            </w:pPr>
            <w:r w:rsidRPr="00504081">
              <w:rPr>
                <w:rFonts w:cs="Arial"/>
                <w:bCs/>
                <w:color w:val="000000"/>
              </w:rPr>
              <w:t>SEPS-09</w:t>
            </w:r>
          </w:p>
        </w:tc>
        <w:tc>
          <w:tcPr>
            <w:tcW w:w="8222" w:type="dxa"/>
            <w:shd w:val="clear" w:color="auto" w:fill="auto"/>
            <w:vAlign w:val="center"/>
          </w:tcPr>
          <w:p w14:paraId="0D62D0D3" w14:textId="77777777" w:rsidR="00453EA5" w:rsidRPr="00504081" w:rsidRDefault="00453EA5" w:rsidP="00754AFA">
            <w:pPr>
              <w:jc w:val="both"/>
              <w:textAlignment w:val="baseline"/>
              <w:rPr>
                <w:rFonts w:cs="Arial"/>
              </w:rPr>
            </w:pPr>
            <w:r w:rsidRPr="00504081">
              <w:rPr>
                <w:rFonts w:eastAsia="MS PGothic" w:cs="Arial"/>
                <w:color w:val="000000"/>
                <w:kern w:val="24"/>
                <w:lang w:val="en-US"/>
              </w:rPr>
              <w:t xml:space="preserve">Senior Review or assessment by Critical Care Team within 4 hours of hospital arrival if lactate &gt; 4 </w:t>
            </w:r>
            <w:proofErr w:type="spellStart"/>
            <w:r w:rsidRPr="00504081">
              <w:rPr>
                <w:rFonts w:eastAsia="MS PGothic" w:cs="Arial"/>
                <w:color w:val="000000"/>
                <w:kern w:val="24"/>
                <w:lang w:val="en-US"/>
              </w:rPr>
              <w:t>mmol</w:t>
            </w:r>
            <w:proofErr w:type="spellEnd"/>
            <w:r w:rsidRPr="00504081">
              <w:rPr>
                <w:rFonts w:eastAsia="MS PGothic" w:cs="Arial"/>
                <w:color w:val="000000"/>
                <w:kern w:val="24"/>
                <w:lang w:val="en-US"/>
              </w:rPr>
              <w:t>/l</w:t>
            </w:r>
          </w:p>
        </w:tc>
      </w:tr>
    </w:tbl>
    <w:p w14:paraId="35DB8DE2" w14:textId="77777777" w:rsidR="00453EA5" w:rsidRPr="00504081" w:rsidRDefault="00453EA5" w:rsidP="00453EA5">
      <w:pPr>
        <w:jc w:val="both"/>
        <w:rPr>
          <w:b/>
        </w:rPr>
      </w:pPr>
    </w:p>
    <w:p w14:paraId="566E5810" w14:textId="37B58981" w:rsidR="00453EA5" w:rsidRDefault="00453EA5" w:rsidP="00FD44CA">
      <w:pPr>
        <w:jc w:val="both"/>
        <w:rPr>
          <w:rFonts w:cs="Arial"/>
        </w:rPr>
      </w:pPr>
    </w:p>
    <w:p w14:paraId="424147D8" w14:textId="246967AB" w:rsidR="00725652" w:rsidRDefault="00725652" w:rsidP="00FD44CA">
      <w:pPr>
        <w:jc w:val="both"/>
        <w:rPr>
          <w:rFonts w:cs="Arial"/>
        </w:rPr>
      </w:pPr>
      <w:r w:rsidRPr="00321161">
        <w:rPr>
          <w:rFonts w:cs="Arial"/>
        </w:rPr>
        <w:t>Hospitals were encouraged to share ideas and best practice. Regular learning and networking events were arranged as well as virtual networks. Hospitals were set specific targets to meet and data published publicly hence generating an element of competition. In addition some commissioners set local pay for performance targets for participating hospitals. Quality improvement was supported by feeding back data on performance and support to standardise data collection</w:t>
      </w:r>
      <w:r w:rsidR="00F60FC1" w:rsidRPr="00321161">
        <w:rPr>
          <w:rFonts w:cs="Arial"/>
        </w:rPr>
        <w:t xml:space="preserve"> after the pilot phase</w:t>
      </w:r>
      <w:r w:rsidRPr="00321161">
        <w:rPr>
          <w:rFonts w:cs="Arial"/>
        </w:rPr>
        <w:t>.</w:t>
      </w:r>
      <w:r>
        <w:rPr>
          <w:rFonts w:cs="Arial"/>
        </w:rPr>
        <w:t xml:space="preserve"> </w:t>
      </w:r>
      <w:r w:rsidR="00746301">
        <w:rPr>
          <w:rFonts w:cs="Arial"/>
        </w:rPr>
        <w:t>Mentoring and coaching support for participating hospitals was also provided to improve organisational aspects such as leadership, clinical pathway developme</w:t>
      </w:r>
      <w:r w:rsidR="001E340E">
        <w:rPr>
          <w:rFonts w:cs="Arial"/>
        </w:rPr>
        <w:t xml:space="preserve">nt and data collection. </w:t>
      </w:r>
      <w:r w:rsidR="00B94277">
        <w:t xml:space="preserve">Subscription of hospitals participating in the collaborative </w:t>
      </w:r>
      <w:r w:rsidR="00CA755B">
        <w:t>is</w:t>
      </w:r>
      <w:r w:rsidR="00B94277">
        <w:t xml:space="preserve"> funded by local commissioners to improve quality of care and outcomes. </w:t>
      </w:r>
    </w:p>
    <w:p w14:paraId="234387FB" w14:textId="77777777" w:rsidR="0034463C" w:rsidRDefault="0034463C" w:rsidP="00FD44CA">
      <w:pPr>
        <w:jc w:val="both"/>
        <w:rPr>
          <w:b/>
        </w:rPr>
      </w:pPr>
    </w:p>
    <w:p w14:paraId="70C45BA8" w14:textId="77777777" w:rsidR="00876F72" w:rsidRPr="004542B0" w:rsidRDefault="00876F72" w:rsidP="00FD44CA">
      <w:pPr>
        <w:jc w:val="both"/>
        <w:rPr>
          <w:b/>
        </w:rPr>
      </w:pPr>
      <w:r w:rsidRPr="004542B0">
        <w:rPr>
          <w:b/>
        </w:rPr>
        <w:t>Population</w:t>
      </w:r>
    </w:p>
    <w:p w14:paraId="37FD3411" w14:textId="77777777" w:rsidR="00876F72" w:rsidRDefault="00876F72" w:rsidP="00FD44CA">
      <w:pPr>
        <w:jc w:val="both"/>
      </w:pPr>
    </w:p>
    <w:p w14:paraId="07C349B8" w14:textId="2E953A35" w:rsidR="00876F72" w:rsidRDefault="00552E96" w:rsidP="00FD44CA">
      <w:pPr>
        <w:jc w:val="both"/>
      </w:pPr>
      <w:r>
        <w:t>Non-elective patients</w:t>
      </w:r>
      <w:r w:rsidR="0034463C">
        <w:t xml:space="preserve"> </w:t>
      </w:r>
      <w:r w:rsidR="00E73AF9">
        <w:t>who developed sepsis within 48 hours of arrival were included</w:t>
      </w:r>
      <w:r w:rsidR="0034463C">
        <w:t>.</w:t>
      </w:r>
      <w:r w:rsidR="00B259AF">
        <w:t xml:space="preserve"> Patients who developed sepsis more than 48 hours after admission</w:t>
      </w:r>
      <w:r w:rsidR="00E73AF9">
        <w:t>, pregnant women and patients who had a decision to palliate</w:t>
      </w:r>
      <w:r w:rsidR="00B259AF">
        <w:t xml:space="preserve"> </w:t>
      </w:r>
      <w:r w:rsidR="00E73AF9">
        <w:t xml:space="preserve">within 4 hours of admission </w:t>
      </w:r>
      <w:r w:rsidR="00B259AF">
        <w:t>were excluded.</w:t>
      </w:r>
      <w:r w:rsidR="0034463C">
        <w:t xml:space="preserve"> </w:t>
      </w:r>
      <w:r w:rsidR="00E571F8">
        <w:t>For the purpose of this study, sepsis was defined as a patient with a suspected infection</w:t>
      </w:r>
      <w:r w:rsidR="005E5D0D">
        <w:t>,</w:t>
      </w:r>
      <w:r w:rsidR="00E571F8">
        <w:t xml:space="preserve"> a documented source of infection, presenting an elevated early warning score</w:t>
      </w:r>
      <w:r w:rsidR="00364665">
        <w:t xml:space="preserve"> (EWS)</w:t>
      </w:r>
      <w:r w:rsidR="00E571F8">
        <w:t xml:space="preserve"> </w:t>
      </w:r>
      <w:r w:rsidR="00364665">
        <w:t xml:space="preserve">of 1 or more </w:t>
      </w:r>
      <w:r w:rsidR="00A608B8">
        <w:t>(and</w:t>
      </w:r>
      <w:r w:rsidR="00E571F8">
        <w:t xml:space="preserve"> two of more systemic inflammatory response syndrome (SIRS) criteria. </w:t>
      </w:r>
      <w:r w:rsidR="00237C84">
        <w:t xml:space="preserve">Early </w:t>
      </w:r>
      <w:r w:rsidR="00237C84">
        <w:lastRenderedPageBreak/>
        <w:t>warning s</w:t>
      </w:r>
      <w:r w:rsidR="00B36952">
        <w:t>c</w:t>
      </w:r>
      <w:r w:rsidR="00237C84">
        <w:t xml:space="preserve">ores used were either the Modified Early Warning Score (MEWS) or National Early Warning Score (NEWS). SIRS criteria consisted of </w:t>
      </w:r>
      <w:r w:rsidR="00364665">
        <w:t>respiratory rate</w:t>
      </w:r>
      <w:r w:rsidR="00237C84">
        <w:t xml:space="preserve">, heart rate, temperature, white cell count, acute confusion and </w:t>
      </w:r>
      <w:r w:rsidR="00635F47">
        <w:t>hypotension</w:t>
      </w:r>
      <w:r w:rsidR="00237C84">
        <w:t xml:space="preserve">. </w:t>
      </w:r>
    </w:p>
    <w:p w14:paraId="69EFCDA4" w14:textId="77777777" w:rsidR="00211F29" w:rsidRDefault="00211F29" w:rsidP="00FD44CA">
      <w:pPr>
        <w:jc w:val="both"/>
      </w:pPr>
    </w:p>
    <w:p w14:paraId="2FB0F674" w14:textId="77777777" w:rsidR="00211F29" w:rsidRPr="004542B0" w:rsidRDefault="009C5EAF" w:rsidP="00FD44CA">
      <w:pPr>
        <w:jc w:val="both"/>
        <w:rPr>
          <w:b/>
        </w:rPr>
      </w:pPr>
      <w:r>
        <w:rPr>
          <w:b/>
        </w:rPr>
        <w:t>End-points</w:t>
      </w:r>
    </w:p>
    <w:p w14:paraId="32EB8CDE" w14:textId="77777777" w:rsidR="00E46432" w:rsidRDefault="00E46432" w:rsidP="00FD44CA">
      <w:pPr>
        <w:jc w:val="both"/>
      </w:pPr>
    </w:p>
    <w:p w14:paraId="1187FA7E" w14:textId="4A89C620" w:rsidR="00033217" w:rsidRDefault="009C5EAF" w:rsidP="00FD44CA">
      <w:pPr>
        <w:jc w:val="both"/>
      </w:pPr>
      <w:r>
        <w:t>The outcomes of interest were inpatient</w:t>
      </w:r>
      <w:r w:rsidR="00BA13C4">
        <w:t xml:space="preserve"> mortality, readmission within 30 days, and hospitalization longer than 10 days</w:t>
      </w:r>
      <w:r w:rsidR="00D86312">
        <w:t>.</w:t>
      </w:r>
      <w:r w:rsidR="00BA13C4">
        <w:t xml:space="preserve"> </w:t>
      </w:r>
      <w:r w:rsidR="00033217">
        <w:t xml:space="preserve">Information on the compliance with the time-based </w:t>
      </w:r>
      <w:r w:rsidR="00952CBD">
        <w:t xml:space="preserve">care </w:t>
      </w:r>
      <w:r w:rsidR="00033217">
        <w:t>bundle</w:t>
      </w:r>
      <w:r w:rsidR="00125E4E">
        <w:t xml:space="preserve"> </w:t>
      </w:r>
      <w:r w:rsidR="00033217">
        <w:t>was available from 1</w:t>
      </w:r>
      <w:r w:rsidR="00033217" w:rsidRPr="00FC60D9">
        <w:rPr>
          <w:vertAlign w:val="superscript"/>
        </w:rPr>
        <w:t>st</w:t>
      </w:r>
      <w:r w:rsidR="00033217">
        <w:t xml:space="preserve"> July 2014. </w:t>
      </w:r>
      <w:r w:rsidR="00E73AF9">
        <w:t>The bundle was published in July</w:t>
      </w:r>
      <w:r w:rsidR="00F96B13">
        <w:t xml:space="preserve"> 2014</w:t>
      </w:r>
      <w:r w:rsidR="0032260B">
        <w:t>, implemented</w:t>
      </w:r>
      <w:r w:rsidR="00033217">
        <w:t xml:space="preserve"> in a pilot phase from 1</w:t>
      </w:r>
      <w:r w:rsidR="00033217" w:rsidRPr="00FC60D9">
        <w:rPr>
          <w:vertAlign w:val="superscript"/>
        </w:rPr>
        <w:t>st</w:t>
      </w:r>
      <w:r w:rsidR="00033217">
        <w:t xml:space="preserve"> September 2014 across all participating NHS trusts, and officially rolled out on 1</w:t>
      </w:r>
      <w:r w:rsidR="00033217" w:rsidRPr="00FC60D9">
        <w:rPr>
          <w:vertAlign w:val="superscript"/>
        </w:rPr>
        <w:t>st</w:t>
      </w:r>
      <w:r w:rsidR="00033217">
        <w:t xml:space="preserve"> December 2014. For the purposes of the study, we considered 1</w:t>
      </w:r>
      <w:r w:rsidR="00033217" w:rsidRPr="00FC60D9">
        <w:rPr>
          <w:vertAlign w:val="superscript"/>
        </w:rPr>
        <w:t>st</w:t>
      </w:r>
      <w:r w:rsidR="0032260B">
        <w:t xml:space="preserve"> </w:t>
      </w:r>
      <w:r w:rsidR="00033217">
        <w:t>July 2014-30</w:t>
      </w:r>
      <w:r w:rsidR="00033217" w:rsidRPr="00FC60D9">
        <w:rPr>
          <w:vertAlign w:val="superscript"/>
        </w:rPr>
        <w:t>th</w:t>
      </w:r>
      <w:r w:rsidR="00033217">
        <w:t xml:space="preserve"> November 2014 as “before” the implementation of the bundle, and 1</w:t>
      </w:r>
      <w:r w:rsidR="00033217" w:rsidRPr="00FC60D9">
        <w:rPr>
          <w:vertAlign w:val="superscript"/>
        </w:rPr>
        <w:t>st</w:t>
      </w:r>
      <w:r w:rsidR="00033217">
        <w:t xml:space="preserve"> December 2014-29</w:t>
      </w:r>
      <w:r w:rsidR="00033217">
        <w:rPr>
          <w:vertAlign w:val="superscript"/>
        </w:rPr>
        <w:t xml:space="preserve">th </w:t>
      </w:r>
      <w:r w:rsidR="00033217">
        <w:t>December 2015 as the “after implementation” period.</w:t>
      </w:r>
    </w:p>
    <w:p w14:paraId="28A15F15" w14:textId="77777777" w:rsidR="000C27AD" w:rsidRDefault="000C27AD" w:rsidP="00FD44CA">
      <w:pPr>
        <w:jc w:val="both"/>
      </w:pPr>
    </w:p>
    <w:p w14:paraId="51C98205" w14:textId="77777777" w:rsidR="000C27AD" w:rsidRDefault="000C27AD" w:rsidP="00FD44CA">
      <w:pPr>
        <w:jc w:val="both"/>
        <w:rPr>
          <w:b/>
        </w:rPr>
      </w:pPr>
      <w:r w:rsidRPr="004542B0">
        <w:rPr>
          <w:b/>
        </w:rPr>
        <w:t>Data collection</w:t>
      </w:r>
    </w:p>
    <w:p w14:paraId="62E39C74" w14:textId="77777777" w:rsidR="007C7C37" w:rsidRDefault="007C7C37" w:rsidP="00FD44CA">
      <w:pPr>
        <w:jc w:val="both"/>
        <w:rPr>
          <w:b/>
        </w:rPr>
      </w:pPr>
    </w:p>
    <w:p w14:paraId="39D01D22" w14:textId="2148E202" w:rsidR="00A03335" w:rsidRPr="00783747" w:rsidRDefault="00A03335" w:rsidP="00A03335">
      <w:pPr>
        <w:jc w:val="both"/>
      </w:pPr>
      <w:r w:rsidRPr="00783747">
        <w:t xml:space="preserve">Identification of the sepsis cohort was done using the national Secondary Uses Services Payment by Results dataset. These extracts were evaluated for Sepsis ICD 10 codes and an algorithm used to determine whether the patient should be included in the population. Inclusion and exclusion criteria were developed and published before data collection.  Patients who did not have suspected infection within 48 hours of admission, pregnant women or patients who were on a palliative care pathway within 4 hours of admission were excluded. In addition, if there was a clinically documented reason why the patient was not eligible for an intervention, the patient was excluded from being eligible for the intervention. The data dictionary and algorithms used are available as an online appendix. </w:t>
      </w:r>
    </w:p>
    <w:p w14:paraId="7FFA6289" w14:textId="77777777" w:rsidR="00A03335" w:rsidRPr="00783747" w:rsidRDefault="00A03335" w:rsidP="00A03335">
      <w:pPr>
        <w:jc w:val="both"/>
      </w:pPr>
    </w:p>
    <w:p w14:paraId="43A32305" w14:textId="77777777" w:rsidR="00A03335" w:rsidRPr="00783747" w:rsidRDefault="00A03335" w:rsidP="00A03335">
      <w:pPr>
        <w:pStyle w:val="Response"/>
        <w:jc w:val="both"/>
        <w:rPr>
          <w:color w:val="auto"/>
          <w:sz w:val="24"/>
          <w:szCs w:val="24"/>
        </w:rPr>
      </w:pPr>
      <w:r w:rsidRPr="00783747">
        <w:rPr>
          <w:color w:val="auto"/>
          <w:sz w:val="24"/>
          <w:szCs w:val="24"/>
        </w:rPr>
        <w:t xml:space="preserve">Retrospective case note review of patients fulfilling the inclusion criteria was undertaken by designated clinical or administrative staff. </w:t>
      </w:r>
      <w:r w:rsidRPr="00783747">
        <w:rPr>
          <w:iCs/>
          <w:color w:val="auto"/>
          <w:sz w:val="24"/>
          <w:szCs w:val="24"/>
        </w:rPr>
        <w:t xml:space="preserve">Hospitals determined who did the data extraction however training for all data extractors was provided by Advancing Quality through Webinars, face-to-face training, a data dictionary and collaborative events.  A standard data collection form, coding rules and definitions were outlined in a data dictionary. </w:t>
      </w:r>
      <w:r>
        <w:rPr>
          <w:iCs/>
          <w:color w:val="auto"/>
          <w:sz w:val="24"/>
          <w:szCs w:val="24"/>
        </w:rPr>
        <w:t>C</w:t>
      </w:r>
      <w:r w:rsidRPr="00783747">
        <w:rPr>
          <w:color w:val="auto"/>
          <w:sz w:val="24"/>
          <w:szCs w:val="24"/>
        </w:rPr>
        <w:t>linical processes included in the bundle of care measures are displayed in Table 1. Clinical information was transcribed onto web based data collection forms o</w:t>
      </w:r>
      <w:r>
        <w:rPr>
          <w:color w:val="auto"/>
          <w:sz w:val="24"/>
          <w:szCs w:val="24"/>
        </w:rPr>
        <w:t>r</w:t>
      </w:r>
      <w:r w:rsidRPr="00783747">
        <w:rPr>
          <w:color w:val="auto"/>
          <w:sz w:val="24"/>
          <w:szCs w:val="24"/>
        </w:rPr>
        <w:t xml:space="preserve"> via automated e-data transfer. </w:t>
      </w:r>
    </w:p>
    <w:p w14:paraId="64835D64" w14:textId="77777777" w:rsidR="00A03335" w:rsidRPr="00783747" w:rsidRDefault="00A03335" w:rsidP="00A03335">
      <w:pPr>
        <w:jc w:val="both"/>
      </w:pPr>
    </w:p>
    <w:p w14:paraId="1EA2B8B8" w14:textId="77777777" w:rsidR="00A03335" w:rsidRPr="00783747" w:rsidRDefault="00A03335" w:rsidP="00A03335">
      <w:pPr>
        <w:pStyle w:val="PlainText"/>
        <w:jc w:val="both"/>
        <w:rPr>
          <w:sz w:val="24"/>
          <w:szCs w:val="24"/>
        </w:rPr>
      </w:pPr>
      <w:r w:rsidRPr="00783747">
        <w:rPr>
          <w:sz w:val="24"/>
          <w:szCs w:val="24"/>
        </w:rPr>
        <w:t>Data completeness was</w:t>
      </w:r>
      <w:r>
        <w:rPr>
          <w:sz w:val="24"/>
          <w:szCs w:val="24"/>
        </w:rPr>
        <w:t xml:space="preserve"> monitored on a hospital-</w:t>
      </w:r>
      <w:r w:rsidRPr="00783747">
        <w:rPr>
          <w:sz w:val="24"/>
          <w:szCs w:val="24"/>
        </w:rPr>
        <w:t xml:space="preserve">level basis and reported to </w:t>
      </w:r>
      <w:r>
        <w:rPr>
          <w:sz w:val="24"/>
          <w:szCs w:val="24"/>
        </w:rPr>
        <w:t>hospitals</w:t>
      </w:r>
      <w:r w:rsidRPr="00783747">
        <w:rPr>
          <w:sz w:val="24"/>
          <w:szCs w:val="24"/>
        </w:rPr>
        <w:t xml:space="preserve"> on a monthly basis. A threshold of 95% was set for all participating organisations to achieve cumulatively over the 12 month period, to ensure that the majority of patient case records are reviewed and recorded. The 95% threshold was set to allow for missing case notes. All hospitals submitted data for at least 95% of patients identified.</w:t>
      </w:r>
    </w:p>
    <w:p w14:paraId="63953A31" w14:textId="77777777" w:rsidR="00A03335" w:rsidRPr="00783747" w:rsidRDefault="00A03335" w:rsidP="00A03335">
      <w:pPr>
        <w:pStyle w:val="PlainText"/>
        <w:jc w:val="both"/>
        <w:rPr>
          <w:sz w:val="24"/>
          <w:szCs w:val="24"/>
        </w:rPr>
      </w:pPr>
    </w:p>
    <w:p w14:paraId="6EE65159" w14:textId="77777777" w:rsidR="00A03335" w:rsidRDefault="00A03335" w:rsidP="00A03335">
      <w:pPr>
        <w:pStyle w:val="PlainText"/>
        <w:jc w:val="both"/>
        <w:rPr>
          <w:sz w:val="24"/>
          <w:szCs w:val="24"/>
        </w:rPr>
      </w:pPr>
      <w:r w:rsidRPr="00783747">
        <w:rPr>
          <w:sz w:val="24"/>
          <w:szCs w:val="24"/>
        </w:rPr>
        <w:t xml:space="preserve">Quality control of the data transcription was ensured by local hospital teams however Advancing Quality used regular audits to assess data accuracy. </w:t>
      </w:r>
    </w:p>
    <w:p w14:paraId="2BB47327" w14:textId="77777777" w:rsidR="008C2803" w:rsidRDefault="008C2803" w:rsidP="00A03335">
      <w:pPr>
        <w:pStyle w:val="PlainText"/>
        <w:jc w:val="both"/>
        <w:rPr>
          <w:sz w:val="24"/>
          <w:szCs w:val="24"/>
        </w:rPr>
      </w:pPr>
    </w:p>
    <w:p w14:paraId="44B257AA" w14:textId="77777777" w:rsidR="008C2803" w:rsidRDefault="008C2803" w:rsidP="00A03335">
      <w:pPr>
        <w:pStyle w:val="PlainText"/>
        <w:jc w:val="both"/>
        <w:rPr>
          <w:sz w:val="24"/>
          <w:szCs w:val="24"/>
        </w:rPr>
      </w:pPr>
    </w:p>
    <w:p w14:paraId="08D9ECF4" w14:textId="77777777" w:rsidR="008C2803" w:rsidRPr="00783747" w:rsidRDefault="008C2803" w:rsidP="00A03335">
      <w:pPr>
        <w:pStyle w:val="PlainText"/>
        <w:jc w:val="both"/>
        <w:rPr>
          <w:sz w:val="24"/>
          <w:szCs w:val="24"/>
        </w:rPr>
      </w:pPr>
    </w:p>
    <w:p w14:paraId="3140E2C8" w14:textId="77777777" w:rsidR="00A03335" w:rsidRDefault="00A03335" w:rsidP="00FD44CA">
      <w:pPr>
        <w:jc w:val="both"/>
      </w:pPr>
    </w:p>
    <w:p w14:paraId="44ED78B1" w14:textId="77777777" w:rsidR="000C27AD" w:rsidRPr="004542B0" w:rsidRDefault="000C27AD" w:rsidP="00FD44CA">
      <w:pPr>
        <w:jc w:val="both"/>
        <w:rPr>
          <w:b/>
        </w:rPr>
      </w:pPr>
      <w:r w:rsidRPr="004542B0">
        <w:rPr>
          <w:b/>
        </w:rPr>
        <w:lastRenderedPageBreak/>
        <w:t>Statistical tests</w:t>
      </w:r>
    </w:p>
    <w:p w14:paraId="653BE601" w14:textId="77777777" w:rsidR="000C27AD" w:rsidRDefault="000C27AD" w:rsidP="00FD44CA">
      <w:pPr>
        <w:jc w:val="both"/>
      </w:pPr>
    </w:p>
    <w:p w14:paraId="45F3AE0C" w14:textId="5D06E529" w:rsidR="000C27AD" w:rsidRDefault="000C27AD" w:rsidP="00FD44CA">
      <w:pPr>
        <w:jc w:val="both"/>
      </w:pPr>
      <w:r>
        <w:t xml:space="preserve">Statistical tests were conducted using STATA 12 for </w:t>
      </w:r>
      <w:proofErr w:type="spellStart"/>
      <w:r>
        <w:t>MacOS</w:t>
      </w:r>
      <w:proofErr w:type="spellEnd"/>
      <w:r w:rsidR="00E571F8">
        <w:t>. Categorical variab</w:t>
      </w:r>
      <w:r w:rsidR="00BA13C4">
        <w:t>les are repo</w:t>
      </w:r>
      <w:r w:rsidR="00A40B75">
        <w:t xml:space="preserve">rted as proportions, and </w:t>
      </w:r>
      <w:proofErr w:type="spellStart"/>
      <w:r w:rsidR="00A40B75">
        <w:t>univar</w:t>
      </w:r>
      <w:r w:rsidR="00BA13C4">
        <w:t>i</w:t>
      </w:r>
      <w:r w:rsidR="00A40B75">
        <w:t>a</w:t>
      </w:r>
      <w:r w:rsidR="00BA13C4">
        <w:t>ble</w:t>
      </w:r>
      <w:proofErr w:type="spellEnd"/>
      <w:r w:rsidR="00BA13C4">
        <w:t xml:space="preserve"> logistic regression was used to evaluat</w:t>
      </w:r>
      <w:r w:rsidR="009C1BA9">
        <w:t xml:space="preserve">e differences in regard of the </w:t>
      </w:r>
      <w:r w:rsidR="00BA13C4">
        <w:t xml:space="preserve">outcomes of mortality, readmission within 30 days, and hospital stays longer than 10 days. </w:t>
      </w:r>
      <w:r w:rsidR="00E571F8">
        <w:t xml:space="preserve">Multivariable logistic regression was used to evaluate </w:t>
      </w:r>
      <w:r w:rsidR="009A0836">
        <w:t xml:space="preserve">the different clinical measures </w:t>
      </w:r>
      <w:r w:rsidR="00EA5666">
        <w:t>of the bundle against the out</w:t>
      </w:r>
      <w:r w:rsidR="00BA13C4">
        <w:t>comes</w:t>
      </w:r>
      <w:r w:rsidR="00EA5666">
        <w:t xml:space="preserve">. Odds-Ratios (OR) and 95% confidence intervals were adjusted for age, </w:t>
      </w:r>
      <w:proofErr w:type="spellStart"/>
      <w:r w:rsidR="00A40B75" w:rsidRPr="00EA5666">
        <w:t>C</w:t>
      </w:r>
      <w:r w:rsidR="00A40B75">
        <w:t>h</w:t>
      </w:r>
      <w:r w:rsidR="00A40B75" w:rsidRPr="00EA5666">
        <w:t>arlson</w:t>
      </w:r>
      <w:proofErr w:type="spellEnd"/>
      <w:r w:rsidR="00EA5666" w:rsidRPr="00EA5666">
        <w:t xml:space="preserve"> Comorbidity </w:t>
      </w:r>
      <w:r w:rsidR="00E103FD">
        <w:t>Index</w:t>
      </w:r>
      <w:r w:rsidR="00EA5666">
        <w:t xml:space="preserve"> (</w:t>
      </w:r>
      <w:r w:rsidR="00B36952">
        <w:t>CC</w:t>
      </w:r>
      <w:r w:rsidR="00E103FD">
        <w:t>I</w:t>
      </w:r>
      <w:r w:rsidR="00EA5666">
        <w:t xml:space="preserve">), and lactate levels </w:t>
      </w:r>
      <w:r w:rsidR="00EA5666" w:rsidRPr="00EA5666">
        <w:rPr>
          <w:u w:val="single"/>
        </w:rPr>
        <w:t>&gt;</w:t>
      </w:r>
      <w:r w:rsidR="00EA5666">
        <w:t xml:space="preserve">4 </w:t>
      </w:r>
      <w:proofErr w:type="spellStart"/>
      <w:r w:rsidR="00EA5666">
        <w:t>mmol</w:t>
      </w:r>
      <w:proofErr w:type="spellEnd"/>
      <w:r w:rsidR="00EA5666">
        <w:t>/L.</w:t>
      </w:r>
      <w:r w:rsidR="00E103FD">
        <w:t xml:space="preserve"> Models included other variables with </w:t>
      </w:r>
      <w:proofErr w:type="spellStart"/>
      <w:r w:rsidR="00E103FD">
        <w:t>univariable</w:t>
      </w:r>
      <w:proofErr w:type="spellEnd"/>
      <w:r w:rsidR="00E103FD">
        <w:t xml:space="preserve"> significance of &lt;0.1</w:t>
      </w:r>
      <w:r w:rsidR="00EA5666">
        <w:t xml:space="preserve"> </w:t>
      </w:r>
      <w:r w:rsidR="00181229">
        <w:t xml:space="preserve">Statistical </w:t>
      </w:r>
      <w:r w:rsidR="00F433E0">
        <w:t>significance</w:t>
      </w:r>
      <w:r w:rsidR="00181229">
        <w:t xml:space="preserve"> </w:t>
      </w:r>
      <w:r w:rsidR="00F433E0">
        <w:t xml:space="preserve">for the evaluation of the </w:t>
      </w:r>
      <w:r w:rsidR="009A0836">
        <w:t xml:space="preserve">clinical </w:t>
      </w:r>
      <w:r w:rsidR="00F433E0">
        <w:t xml:space="preserve">measures </w:t>
      </w:r>
      <w:r w:rsidR="00181229">
        <w:t xml:space="preserve">was set at a p value of </w:t>
      </w:r>
      <w:r w:rsidR="00F433E0">
        <w:t>0.0</w:t>
      </w:r>
      <w:r w:rsidR="007E1503">
        <w:t>5</w:t>
      </w:r>
      <w:r w:rsidR="00181229">
        <w:t xml:space="preserve">. </w:t>
      </w:r>
      <w:r w:rsidR="003631C9">
        <w:t xml:space="preserve"> For analysis of the endpoint mortality, all participants were included. For the analysis of readmission</w:t>
      </w:r>
      <w:r w:rsidR="00A0583F">
        <w:t>s and length of hospital stay</w:t>
      </w:r>
      <w:r w:rsidR="003631C9">
        <w:t xml:space="preserve"> only those individuals who survived the</w:t>
      </w:r>
      <w:r w:rsidR="00A0583F">
        <w:t>ir</w:t>
      </w:r>
      <w:r w:rsidR="003631C9">
        <w:t xml:space="preserve"> hospital stay were included</w:t>
      </w:r>
      <w:r w:rsidR="00AA3949">
        <w:t xml:space="preserve">. </w:t>
      </w:r>
    </w:p>
    <w:p w14:paraId="3068DB9A" w14:textId="77777777" w:rsidR="00101F53" w:rsidRDefault="00101F53" w:rsidP="00FD44CA">
      <w:pPr>
        <w:jc w:val="both"/>
      </w:pPr>
    </w:p>
    <w:p w14:paraId="6C5F1775" w14:textId="77777777" w:rsidR="00F87312" w:rsidRDefault="00F87312" w:rsidP="00FD44CA">
      <w:pPr>
        <w:jc w:val="both"/>
        <w:rPr>
          <w:rFonts w:cstheme="minorHAnsi"/>
          <w:b/>
        </w:rPr>
      </w:pPr>
    </w:p>
    <w:p w14:paraId="0A9D2D0C" w14:textId="77777777" w:rsidR="00EA5666" w:rsidRPr="00FD44CA" w:rsidRDefault="00EA5666" w:rsidP="00FD44CA">
      <w:pPr>
        <w:jc w:val="both"/>
        <w:rPr>
          <w:rFonts w:cstheme="minorHAnsi"/>
          <w:b/>
        </w:rPr>
      </w:pPr>
      <w:r w:rsidRPr="00FD44CA">
        <w:rPr>
          <w:rFonts w:cstheme="minorHAnsi"/>
          <w:b/>
        </w:rPr>
        <w:t>RESULTS</w:t>
      </w:r>
    </w:p>
    <w:p w14:paraId="4AD5D7DC" w14:textId="77777777" w:rsidR="00E61354" w:rsidRPr="00FD44CA" w:rsidRDefault="00E61354" w:rsidP="00FD44CA">
      <w:pPr>
        <w:jc w:val="both"/>
        <w:rPr>
          <w:rFonts w:cstheme="minorHAnsi"/>
          <w:b/>
        </w:rPr>
      </w:pPr>
    </w:p>
    <w:p w14:paraId="73439524" w14:textId="41E7BF74" w:rsidR="00EA5666" w:rsidRDefault="009C5EAF" w:rsidP="00FD44CA">
      <w:pPr>
        <w:jc w:val="both"/>
        <w:rPr>
          <w:rFonts w:cstheme="minorHAnsi"/>
        </w:rPr>
      </w:pPr>
      <w:r w:rsidRPr="00FD44CA">
        <w:rPr>
          <w:rFonts w:cstheme="minorHAnsi"/>
        </w:rPr>
        <w:t>From 1</w:t>
      </w:r>
      <w:r w:rsidRPr="00FD44CA">
        <w:rPr>
          <w:rFonts w:cstheme="minorHAnsi"/>
          <w:vertAlign w:val="superscript"/>
        </w:rPr>
        <w:t>st</w:t>
      </w:r>
      <w:r w:rsidRPr="00FD44CA">
        <w:rPr>
          <w:rFonts w:cstheme="minorHAnsi"/>
        </w:rPr>
        <w:t xml:space="preserve"> July 201</w:t>
      </w:r>
      <w:r w:rsidR="007E1503">
        <w:rPr>
          <w:rFonts w:cstheme="minorHAnsi"/>
        </w:rPr>
        <w:t>4</w:t>
      </w:r>
      <w:r w:rsidRPr="00FD44CA">
        <w:rPr>
          <w:rFonts w:cstheme="minorHAnsi"/>
        </w:rPr>
        <w:t xml:space="preserve"> to 31</w:t>
      </w:r>
      <w:r w:rsidRPr="00FD44CA">
        <w:rPr>
          <w:rFonts w:cstheme="minorHAnsi"/>
          <w:vertAlign w:val="superscript"/>
        </w:rPr>
        <w:t>st</w:t>
      </w:r>
      <w:r w:rsidRPr="00FD44CA">
        <w:rPr>
          <w:rFonts w:cstheme="minorHAnsi"/>
        </w:rPr>
        <w:t xml:space="preserve"> December 2015, 16,210 cases with an ICD-10 code of sepsis were recorded on the databases from all participating hospitals.  Of those, 7,776 cases</w:t>
      </w:r>
      <w:r w:rsidR="007E1503">
        <w:rPr>
          <w:rFonts w:cstheme="minorHAnsi"/>
        </w:rPr>
        <w:t xml:space="preserve"> complied with the AQ sepsis definition and were included in the </w:t>
      </w:r>
      <w:r w:rsidRPr="00FD44CA">
        <w:rPr>
          <w:rFonts w:cstheme="minorHAnsi"/>
        </w:rPr>
        <w:t>analyses</w:t>
      </w:r>
      <w:r w:rsidR="00E2475E" w:rsidRPr="00FD44CA">
        <w:rPr>
          <w:rFonts w:cstheme="minorHAnsi"/>
        </w:rPr>
        <w:t xml:space="preserve">. </w:t>
      </w:r>
      <w:r w:rsidR="00315B35">
        <w:rPr>
          <w:rFonts w:cstheme="minorHAnsi"/>
        </w:rPr>
        <w:t xml:space="preserve">In-hospital mortality </w:t>
      </w:r>
      <w:r w:rsidR="009E6CBF">
        <w:rPr>
          <w:rFonts w:cstheme="minorHAnsi"/>
        </w:rPr>
        <w:t xml:space="preserve">within the study population </w:t>
      </w:r>
      <w:r w:rsidR="00315B35">
        <w:rPr>
          <w:rFonts w:cstheme="minorHAnsi"/>
        </w:rPr>
        <w:t xml:space="preserve">was </w:t>
      </w:r>
      <w:r w:rsidR="009E6CBF">
        <w:rPr>
          <w:rFonts w:cstheme="minorHAnsi"/>
        </w:rPr>
        <w:t>26.86% (2089 patients)</w:t>
      </w:r>
      <w:proofErr w:type="gramStart"/>
      <w:r w:rsidR="009E6CBF">
        <w:rPr>
          <w:rFonts w:cstheme="minorHAnsi"/>
        </w:rPr>
        <w:t>,</w:t>
      </w:r>
      <w:proofErr w:type="gramEnd"/>
      <w:r w:rsidR="009E6CBF">
        <w:rPr>
          <w:rFonts w:cstheme="minorHAnsi"/>
        </w:rPr>
        <w:t xml:space="preserve"> 30-day readmission rate 13.81% (1074 patients) and 38.04% (2958) of patients had a hospital stay &gt; 10 days. </w:t>
      </w:r>
      <w:proofErr w:type="gramStart"/>
      <w:r w:rsidR="00CB39DB" w:rsidRPr="00FD44CA">
        <w:rPr>
          <w:rFonts w:cstheme="minorHAnsi"/>
        </w:rPr>
        <w:t xml:space="preserve">A comparison of the patients’ characteristics </w:t>
      </w:r>
      <w:r w:rsidR="00646E5C" w:rsidRPr="00FD44CA">
        <w:rPr>
          <w:rFonts w:cstheme="minorHAnsi"/>
        </w:rPr>
        <w:t xml:space="preserve">and </w:t>
      </w:r>
      <w:r w:rsidR="00A0583F" w:rsidRPr="00FD44CA">
        <w:rPr>
          <w:rFonts w:cstheme="minorHAnsi"/>
        </w:rPr>
        <w:t xml:space="preserve">crude ORs </w:t>
      </w:r>
      <w:r w:rsidR="00CB39DB" w:rsidRPr="00FD44CA">
        <w:rPr>
          <w:rFonts w:cstheme="minorHAnsi"/>
        </w:rPr>
        <w:t xml:space="preserve">for the outcomes of mortality, readmission within 30 days, and hospitalization longer than 10 days are shown in </w:t>
      </w:r>
      <w:r w:rsidR="00B259AF" w:rsidRPr="00FD44CA">
        <w:rPr>
          <w:rFonts w:cstheme="minorHAnsi"/>
        </w:rPr>
        <w:t>T</w:t>
      </w:r>
      <w:r w:rsidR="00CB39DB" w:rsidRPr="00FD44CA">
        <w:rPr>
          <w:rFonts w:cstheme="minorHAnsi"/>
        </w:rPr>
        <w:t xml:space="preserve">able </w:t>
      </w:r>
      <w:r w:rsidR="00181811" w:rsidRPr="00FD44CA">
        <w:rPr>
          <w:rFonts w:cstheme="minorHAnsi"/>
        </w:rPr>
        <w:t>2</w:t>
      </w:r>
      <w:r w:rsidR="000D08EA">
        <w:rPr>
          <w:rFonts w:cstheme="minorHAnsi"/>
        </w:rPr>
        <w:t>a and 2b</w:t>
      </w:r>
      <w:r w:rsidR="00CB39DB" w:rsidRPr="00FD44CA">
        <w:rPr>
          <w:rFonts w:cstheme="minorHAnsi"/>
        </w:rPr>
        <w:t>.</w:t>
      </w:r>
      <w:proofErr w:type="gramEnd"/>
      <w:r w:rsidR="00DF1051" w:rsidRPr="00FD44CA">
        <w:rPr>
          <w:rFonts w:cstheme="minorHAnsi"/>
        </w:rPr>
        <w:t xml:space="preserve"> </w:t>
      </w:r>
      <w:r w:rsidR="00101F53" w:rsidRPr="00FD44CA">
        <w:rPr>
          <w:rFonts w:cstheme="minorHAnsi"/>
        </w:rPr>
        <w:t xml:space="preserve">Of the </w:t>
      </w:r>
      <w:r w:rsidR="00DF1051" w:rsidRPr="00FD44CA">
        <w:rPr>
          <w:rFonts w:cstheme="minorHAnsi"/>
        </w:rPr>
        <w:t xml:space="preserve">7,776 cases of sepsis recorded </w:t>
      </w:r>
      <w:r w:rsidR="0034463C" w:rsidRPr="00FD44CA">
        <w:rPr>
          <w:rFonts w:cstheme="minorHAnsi"/>
        </w:rPr>
        <w:t>during the study period</w:t>
      </w:r>
      <w:r w:rsidR="00DF1051" w:rsidRPr="00FD44CA">
        <w:rPr>
          <w:rFonts w:cstheme="minorHAnsi"/>
        </w:rPr>
        <w:t>,</w:t>
      </w:r>
      <w:r w:rsidR="009A0836" w:rsidRPr="00FD44CA">
        <w:rPr>
          <w:rFonts w:cstheme="minorHAnsi"/>
        </w:rPr>
        <w:t xml:space="preserve"> 1520 (19.</w:t>
      </w:r>
      <w:r w:rsidR="00A0583F" w:rsidRPr="00FD44CA">
        <w:rPr>
          <w:rFonts w:cstheme="minorHAnsi"/>
        </w:rPr>
        <w:t>6</w:t>
      </w:r>
      <w:r w:rsidR="009A0836" w:rsidRPr="00FD44CA">
        <w:rPr>
          <w:rFonts w:cstheme="minorHAnsi"/>
        </w:rPr>
        <w:t xml:space="preserve">%) </w:t>
      </w:r>
      <w:r w:rsidR="00AA3949" w:rsidRPr="00FD44CA">
        <w:rPr>
          <w:rFonts w:cstheme="minorHAnsi"/>
        </w:rPr>
        <w:t xml:space="preserve">were </w:t>
      </w:r>
      <w:r w:rsidR="009A0836" w:rsidRPr="00FD44CA">
        <w:rPr>
          <w:rFonts w:cstheme="minorHAnsi"/>
        </w:rPr>
        <w:t xml:space="preserve">collected before the official roll-out of the bundle of care, and 6256 (80.5%) after. A total of </w:t>
      </w:r>
      <w:r w:rsidR="00DF1051" w:rsidRPr="00FD44CA">
        <w:rPr>
          <w:rFonts w:cstheme="minorHAnsi"/>
        </w:rPr>
        <w:t>3993 (50.</w:t>
      </w:r>
      <w:r w:rsidR="00A0583F" w:rsidRPr="00FD44CA">
        <w:rPr>
          <w:rFonts w:cstheme="minorHAnsi"/>
        </w:rPr>
        <w:t>6</w:t>
      </w:r>
      <w:r w:rsidR="00DF1051" w:rsidRPr="00FD44CA">
        <w:rPr>
          <w:rFonts w:cstheme="minorHAnsi"/>
        </w:rPr>
        <w:t>%) were female</w:t>
      </w:r>
      <w:r w:rsidR="009A0836" w:rsidRPr="00FD44CA">
        <w:rPr>
          <w:rFonts w:cstheme="minorHAnsi"/>
        </w:rPr>
        <w:t>, and 3842 (49.4%) were male</w:t>
      </w:r>
      <w:r w:rsidR="000B3FCB">
        <w:rPr>
          <w:rFonts w:cstheme="minorHAnsi"/>
        </w:rPr>
        <w:t xml:space="preserve">. There was </w:t>
      </w:r>
      <w:r w:rsidR="009A0836" w:rsidRPr="00FD44CA">
        <w:rPr>
          <w:rFonts w:cstheme="minorHAnsi"/>
        </w:rPr>
        <w:t xml:space="preserve">no significant difference </w:t>
      </w:r>
      <w:r w:rsidR="0032260B">
        <w:rPr>
          <w:rFonts w:cstheme="minorHAnsi"/>
        </w:rPr>
        <w:t>i</w:t>
      </w:r>
      <w:r w:rsidR="009A0836" w:rsidRPr="00FD44CA">
        <w:rPr>
          <w:rFonts w:cstheme="minorHAnsi"/>
        </w:rPr>
        <w:t>n the gender distribution between the two periods.</w:t>
      </w:r>
      <w:r w:rsidR="00DF1051" w:rsidRPr="00FD44CA">
        <w:rPr>
          <w:rFonts w:cstheme="minorHAnsi"/>
        </w:rPr>
        <w:t xml:space="preserve"> Ages were categorised in four groups ranging from 15 to over 85 years, with th</w:t>
      </w:r>
      <w:r w:rsidR="00BA13C4" w:rsidRPr="00FD44CA">
        <w:rPr>
          <w:rFonts w:cstheme="minorHAnsi"/>
        </w:rPr>
        <w:t xml:space="preserve">e smallest </w:t>
      </w:r>
      <w:r w:rsidR="00DF1051" w:rsidRPr="00FD44CA">
        <w:rPr>
          <w:rFonts w:cstheme="minorHAnsi"/>
        </w:rPr>
        <w:t>group, 15-44 years</w:t>
      </w:r>
      <w:r w:rsidR="008E22ED" w:rsidRPr="00FD44CA">
        <w:rPr>
          <w:rFonts w:cstheme="minorHAnsi"/>
        </w:rPr>
        <w:t>,</w:t>
      </w:r>
      <w:r w:rsidR="00BA13C4" w:rsidRPr="00FD44CA">
        <w:rPr>
          <w:rFonts w:cstheme="minorHAnsi"/>
        </w:rPr>
        <w:t xml:space="preserve"> containing 605 (7.8%) cases, </w:t>
      </w:r>
      <w:r w:rsidR="00DF1051" w:rsidRPr="00FD44CA">
        <w:rPr>
          <w:rFonts w:cstheme="minorHAnsi"/>
        </w:rPr>
        <w:t xml:space="preserve">and those within the 65-84 range representing </w:t>
      </w:r>
      <w:r w:rsidR="008E22ED" w:rsidRPr="00FD44CA">
        <w:rPr>
          <w:rFonts w:cstheme="minorHAnsi"/>
        </w:rPr>
        <w:t xml:space="preserve">the </w:t>
      </w:r>
      <w:r w:rsidR="0032260B">
        <w:rPr>
          <w:rFonts w:cstheme="minorHAnsi"/>
        </w:rPr>
        <w:t xml:space="preserve">largest group </w:t>
      </w:r>
      <w:r w:rsidR="008E22ED" w:rsidRPr="00FD44CA">
        <w:rPr>
          <w:rFonts w:cstheme="minorHAnsi"/>
        </w:rPr>
        <w:t>with 3837 (</w:t>
      </w:r>
      <w:r w:rsidR="00DF1051" w:rsidRPr="00FD44CA">
        <w:rPr>
          <w:rFonts w:cstheme="minorHAnsi"/>
        </w:rPr>
        <w:t>49.3%</w:t>
      </w:r>
      <w:r w:rsidR="008E22ED" w:rsidRPr="00FD44CA">
        <w:rPr>
          <w:rFonts w:cstheme="minorHAnsi"/>
        </w:rPr>
        <w:t>) patients</w:t>
      </w:r>
      <w:r w:rsidR="00DF1051" w:rsidRPr="00FD44CA">
        <w:rPr>
          <w:rFonts w:cstheme="minorHAnsi"/>
        </w:rPr>
        <w:t>.</w:t>
      </w:r>
      <w:r w:rsidR="008E22ED" w:rsidRPr="00FD44CA">
        <w:rPr>
          <w:rFonts w:cstheme="minorHAnsi"/>
        </w:rPr>
        <w:t xml:space="preserve"> A total of 6948 (96.9%) of cases were white and </w:t>
      </w:r>
      <w:r w:rsidR="000B3FCB">
        <w:rPr>
          <w:rFonts w:cstheme="minorHAnsi"/>
        </w:rPr>
        <w:t xml:space="preserve">189 (3.1%) from </w:t>
      </w:r>
      <w:r w:rsidR="008E22ED" w:rsidRPr="00FD44CA">
        <w:rPr>
          <w:rFonts w:cstheme="minorHAnsi"/>
        </w:rPr>
        <w:t xml:space="preserve">other ethnic groups. </w:t>
      </w:r>
    </w:p>
    <w:p w14:paraId="7A12A8A6" w14:textId="77777777" w:rsidR="004E1A8D" w:rsidRPr="00C609B3" w:rsidRDefault="004E1A8D" w:rsidP="004E1A8D">
      <w:r>
        <w:rPr>
          <w:rFonts w:cstheme="minorHAnsi"/>
        </w:rPr>
        <w:br w:type="page"/>
      </w:r>
      <w:r w:rsidRPr="00C609B3">
        <w:lastRenderedPageBreak/>
        <w:t xml:space="preserve">Table </w:t>
      </w:r>
      <w:r>
        <w:t>2</w:t>
      </w:r>
      <w:r w:rsidRPr="00C609B3">
        <w:t xml:space="preserve">a: </w:t>
      </w:r>
      <w:proofErr w:type="spellStart"/>
      <w:r w:rsidRPr="00C609B3">
        <w:t>Univariable</w:t>
      </w:r>
      <w:proofErr w:type="spellEnd"/>
      <w:r w:rsidRPr="00C609B3">
        <w:t xml:space="preserve"> association between baseline parameters and mortality (* indicates p&lt;0.05)</w:t>
      </w:r>
    </w:p>
    <w:p w14:paraId="38DCE4FC" w14:textId="77777777" w:rsidR="004E1A8D" w:rsidRPr="00C609B3" w:rsidRDefault="004E1A8D" w:rsidP="004E1A8D"/>
    <w:p w14:paraId="0D497AFB" w14:textId="77777777" w:rsidR="004E1A8D" w:rsidRPr="00C609B3" w:rsidRDefault="004E1A8D" w:rsidP="004E1A8D"/>
    <w:tbl>
      <w:tblP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863"/>
        <w:gridCol w:w="1160"/>
        <w:gridCol w:w="3140"/>
      </w:tblGrid>
      <w:tr w:rsidR="004E1A8D" w:rsidRPr="00C609B3" w14:paraId="010A15B0" w14:textId="77777777" w:rsidTr="00754AFA">
        <w:trPr>
          <w:trHeight w:val="320"/>
        </w:trPr>
        <w:tc>
          <w:tcPr>
            <w:tcW w:w="2965" w:type="dxa"/>
            <w:shd w:val="clear" w:color="auto" w:fill="auto"/>
            <w:noWrap/>
            <w:vAlign w:val="bottom"/>
            <w:hideMark/>
          </w:tcPr>
          <w:p w14:paraId="56FFA415" w14:textId="77777777" w:rsidR="004E1A8D" w:rsidRPr="00FA2838" w:rsidRDefault="004E1A8D" w:rsidP="00754AFA">
            <w:pPr>
              <w:rPr>
                <w:rFonts w:eastAsia="Times New Roman"/>
                <w:b/>
                <w:bCs/>
                <w:color w:val="000000"/>
              </w:rPr>
            </w:pPr>
            <w:r w:rsidRPr="00FA2838">
              <w:rPr>
                <w:rFonts w:eastAsia="Times New Roman"/>
                <w:b/>
                <w:bCs/>
                <w:color w:val="000000"/>
              </w:rPr>
              <w:t> </w:t>
            </w:r>
          </w:p>
        </w:tc>
        <w:tc>
          <w:tcPr>
            <w:tcW w:w="863" w:type="dxa"/>
            <w:shd w:val="clear" w:color="auto" w:fill="auto"/>
            <w:noWrap/>
            <w:vAlign w:val="center"/>
            <w:hideMark/>
          </w:tcPr>
          <w:p w14:paraId="28469C9C" w14:textId="77777777" w:rsidR="004E1A8D" w:rsidRPr="00FA2838" w:rsidRDefault="004E1A8D" w:rsidP="00754AFA">
            <w:pPr>
              <w:jc w:val="center"/>
              <w:rPr>
                <w:rFonts w:eastAsia="Times New Roman"/>
                <w:b/>
                <w:bCs/>
                <w:color w:val="000000"/>
              </w:rPr>
            </w:pPr>
            <w:r w:rsidRPr="00FA2838">
              <w:rPr>
                <w:rFonts w:eastAsia="Times New Roman"/>
                <w:b/>
                <w:bCs/>
                <w:color w:val="000000"/>
              </w:rPr>
              <w:t xml:space="preserve">TOTAL </w:t>
            </w:r>
          </w:p>
        </w:tc>
        <w:tc>
          <w:tcPr>
            <w:tcW w:w="1160" w:type="dxa"/>
            <w:shd w:val="clear" w:color="auto" w:fill="auto"/>
            <w:noWrap/>
            <w:vAlign w:val="center"/>
            <w:hideMark/>
          </w:tcPr>
          <w:p w14:paraId="37F2E47D" w14:textId="77777777" w:rsidR="004E1A8D" w:rsidRPr="00FA2838" w:rsidRDefault="004E1A8D" w:rsidP="00754AFA">
            <w:pPr>
              <w:jc w:val="center"/>
              <w:rPr>
                <w:rFonts w:eastAsia="Times New Roman"/>
                <w:b/>
                <w:bCs/>
                <w:color w:val="000000"/>
              </w:rPr>
            </w:pPr>
            <w:r w:rsidRPr="00FA2838">
              <w:rPr>
                <w:rFonts w:eastAsia="Times New Roman"/>
                <w:b/>
                <w:bCs/>
                <w:color w:val="000000"/>
              </w:rPr>
              <w:t>%</w:t>
            </w:r>
          </w:p>
        </w:tc>
        <w:tc>
          <w:tcPr>
            <w:tcW w:w="3140" w:type="dxa"/>
            <w:shd w:val="clear" w:color="auto" w:fill="auto"/>
            <w:noWrap/>
            <w:vAlign w:val="center"/>
            <w:hideMark/>
          </w:tcPr>
          <w:p w14:paraId="7C3464C0" w14:textId="77777777" w:rsidR="004E1A8D" w:rsidRPr="00FA2838" w:rsidRDefault="004E1A8D" w:rsidP="00754AFA">
            <w:pPr>
              <w:jc w:val="center"/>
              <w:rPr>
                <w:rFonts w:eastAsia="Times New Roman"/>
                <w:b/>
                <w:bCs/>
                <w:color w:val="000000"/>
              </w:rPr>
            </w:pPr>
            <w:r w:rsidRPr="00FA2838">
              <w:rPr>
                <w:rFonts w:eastAsia="Times New Roman"/>
                <w:b/>
                <w:bCs/>
                <w:color w:val="000000"/>
              </w:rPr>
              <w:t>OR mortality</w:t>
            </w:r>
          </w:p>
        </w:tc>
      </w:tr>
      <w:tr w:rsidR="004E1A8D" w:rsidRPr="00C609B3" w14:paraId="1B75A821" w14:textId="77777777" w:rsidTr="00754AFA">
        <w:trPr>
          <w:trHeight w:val="320"/>
        </w:trPr>
        <w:tc>
          <w:tcPr>
            <w:tcW w:w="2965" w:type="dxa"/>
            <w:shd w:val="clear" w:color="auto" w:fill="auto"/>
            <w:noWrap/>
            <w:vAlign w:val="bottom"/>
            <w:hideMark/>
          </w:tcPr>
          <w:p w14:paraId="7AEE9ED5" w14:textId="77777777" w:rsidR="004E1A8D" w:rsidRPr="00FA2838" w:rsidRDefault="004E1A8D" w:rsidP="00754AFA">
            <w:pPr>
              <w:rPr>
                <w:rFonts w:eastAsia="Times New Roman"/>
                <w:b/>
                <w:bCs/>
                <w:color w:val="000000"/>
              </w:rPr>
            </w:pPr>
            <w:r w:rsidRPr="00FA2838">
              <w:rPr>
                <w:rFonts w:eastAsia="Times New Roman"/>
                <w:b/>
                <w:bCs/>
                <w:color w:val="000000"/>
              </w:rPr>
              <w:t>AGE  (n=7776)</w:t>
            </w:r>
          </w:p>
        </w:tc>
        <w:tc>
          <w:tcPr>
            <w:tcW w:w="863" w:type="dxa"/>
            <w:shd w:val="clear" w:color="auto" w:fill="auto"/>
            <w:noWrap/>
            <w:vAlign w:val="center"/>
            <w:hideMark/>
          </w:tcPr>
          <w:p w14:paraId="2F503D6E"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1160" w:type="dxa"/>
            <w:shd w:val="clear" w:color="auto" w:fill="auto"/>
            <w:noWrap/>
            <w:vAlign w:val="center"/>
            <w:hideMark/>
          </w:tcPr>
          <w:p w14:paraId="34516121"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3140" w:type="dxa"/>
            <w:shd w:val="clear" w:color="auto" w:fill="auto"/>
            <w:noWrap/>
            <w:vAlign w:val="center"/>
            <w:hideMark/>
          </w:tcPr>
          <w:p w14:paraId="3108035C" w14:textId="77777777" w:rsidR="004E1A8D" w:rsidRPr="00FA2838" w:rsidRDefault="004E1A8D" w:rsidP="00754AFA">
            <w:pPr>
              <w:jc w:val="center"/>
              <w:rPr>
                <w:rFonts w:eastAsia="Times New Roman"/>
                <w:color w:val="000000"/>
              </w:rPr>
            </w:pPr>
            <w:r w:rsidRPr="00FA2838">
              <w:rPr>
                <w:rFonts w:eastAsia="Times New Roman"/>
                <w:color w:val="000000"/>
              </w:rPr>
              <w:t> </w:t>
            </w:r>
          </w:p>
        </w:tc>
      </w:tr>
      <w:tr w:rsidR="004E1A8D" w:rsidRPr="00C609B3" w14:paraId="6A0159AC" w14:textId="77777777" w:rsidTr="00754AFA">
        <w:trPr>
          <w:trHeight w:val="320"/>
        </w:trPr>
        <w:tc>
          <w:tcPr>
            <w:tcW w:w="2965" w:type="dxa"/>
            <w:shd w:val="clear" w:color="auto" w:fill="auto"/>
            <w:noWrap/>
            <w:vAlign w:val="bottom"/>
            <w:hideMark/>
          </w:tcPr>
          <w:p w14:paraId="0BBFCD50" w14:textId="77777777" w:rsidR="004E1A8D" w:rsidRPr="00FA2838" w:rsidRDefault="004E1A8D" w:rsidP="00754AFA">
            <w:pPr>
              <w:rPr>
                <w:rFonts w:eastAsia="Times New Roman"/>
                <w:b/>
                <w:bCs/>
                <w:color w:val="000000"/>
              </w:rPr>
            </w:pPr>
            <w:r w:rsidRPr="00FA2838">
              <w:rPr>
                <w:rFonts w:eastAsia="Times New Roman"/>
                <w:b/>
                <w:bCs/>
                <w:color w:val="000000"/>
              </w:rPr>
              <w:t>15-44</w:t>
            </w:r>
          </w:p>
        </w:tc>
        <w:tc>
          <w:tcPr>
            <w:tcW w:w="863" w:type="dxa"/>
            <w:shd w:val="clear" w:color="auto" w:fill="auto"/>
            <w:noWrap/>
            <w:vAlign w:val="center"/>
            <w:hideMark/>
          </w:tcPr>
          <w:p w14:paraId="583428F0" w14:textId="77777777" w:rsidR="004E1A8D" w:rsidRPr="00FA2838" w:rsidRDefault="004E1A8D" w:rsidP="00754AFA">
            <w:pPr>
              <w:jc w:val="center"/>
              <w:rPr>
                <w:rFonts w:eastAsia="Times New Roman"/>
                <w:b/>
                <w:bCs/>
                <w:color w:val="000000"/>
              </w:rPr>
            </w:pPr>
            <w:r w:rsidRPr="00FA2838">
              <w:rPr>
                <w:rFonts w:eastAsia="Times New Roman"/>
                <w:b/>
                <w:bCs/>
                <w:color w:val="000000"/>
              </w:rPr>
              <w:t>605</w:t>
            </w:r>
          </w:p>
        </w:tc>
        <w:tc>
          <w:tcPr>
            <w:tcW w:w="1160" w:type="dxa"/>
            <w:shd w:val="clear" w:color="auto" w:fill="auto"/>
            <w:noWrap/>
            <w:vAlign w:val="center"/>
            <w:hideMark/>
          </w:tcPr>
          <w:p w14:paraId="641365D6" w14:textId="77777777" w:rsidR="004E1A8D" w:rsidRPr="00FA2838" w:rsidRDefault="004E1A8D" w:rsidP="00754AFA">
            <w:pPr>
              <w:jc w:val="center"/>
              <w:rPr>
                <w:rFonts w:eastAsia="Times New Roman"/>
                <w:b/>
                <w:bCs/>
                <w:color w:val="000000"/>
              </w:rPr>
            </w:pPr>
            <w:r w:rsidRPr="00FA2838">
              <w:rPr>
                <w:rFonts w:eastAsia="Times New Roman"/>
                <w:b/>
                <w:bCs/>
                <w:color w:val="000000"/>
              </w:rPr>
              <w:t>7.78</w:t>
            </w:r>
          </w:p>
        </w:tc>
        <w:tc>
          <w:tcPr>
            <w:tcW w:w="3140" w:type="dxa"/>
            <w:shd w:val="clear" w:color="auto" w:fill="auto"/>
            <w:noWrap/>
            <w:vAlign w:val="center"/>
            <w:hideMark/>
          </w:tcPr>
          <w:p w14:paraId="5736BD19" w14:textId="77777777" w:rsidR="004E1A8D" w:rsidRPr="00FA2838" w:rsidRDefault="004E1A8D" w:rsidP="00754AFA">
            <w:pPr>
              <w:jc w:val="center"/>
              <w:rPr>
                <w:rFonts w:eastAsia="Times New Roman"/>
                <w:color w:val="000000"/>
              </w:rPr>
            </w:pPr>
            <w:r w:rsidRPr="00FA2838">
              <w:rPr>
                <w:rFonts w:eastAsia="Times New Roman"/>
                <w:color w:val="000000"/>
              </w:rPr>
              <w:t>1</w:t>
            </w:r>
          </w:p>
        </w:tc>
      </w:tr>
      <w:tr w:rsidR="004E1A8D" w:rsidRPr="00C609B3" w14:paraId="4DF825D5" w14:textId="77777777" w:rsidTr="00754AFA">
        <w:trPr>
          <w:trHeight w:val="320"/>
        </w:trPr>
        <w:tc>
          <w:tcPr>
            <w:tcW w:w="2965" w:type="dxa"/>
            <w:shd w:val="clear" w:color="auto" w:fill="auto"/>
            <w:noWrap/>
            <w:vAlign w:val="bottom"/>
            <w:hideMark/>
          </w:tcPr>
          <w:p w14:paraId="50DA0369" w14:textId="77777777" w:rsidR="004E1A8D" w:rsidRPr="00FA2838" w:rsidRDefault="004E1A8D" w:rsidP="00754AFA">
            <w:pPr>
              <w:rPr>
                <w:rFonts w:eastAsia="Times New Roman"/>
                <w:b/>
                <w:bCs/>
                <w:color w:val="000000"/>
              </w:rPr>
            </w:pPr>
            <w:r w:rsidRPr="00FA2838">
              <w:rPr>
                <w:rFonts w:eastAsia="Times New Roman"/>
                <w:b/>
                <w:bCs/>
                <w:color w:val="000000"/>
              </w:rPr>
              <w:t>45-64</w:t>
            </w:r>
          </w:p>
        </w:tc>
        <w:tc>
          <w:tcPr>
            <w:tcW w:w="863" w:type="dxa"/>
            <w:shd w:val="clear" w:color="auto" w:fill="auto"/>
            <w:noWrap/>
            <w:vAlign w:val="center"/>
            <w:hideMark/>
          </w:tcPr>
          <w:p w14:paraId="56C1AA83" w14:textId="77777777" w:rsidR="004E1A8D" w:rsidRPr="00FA2838" w:rsidRDefault="004E1A8D" w:rsidP="00754AFA">
            <w:pPr>
              <w:jc w:val="center"/>
              <w:rPr>
                <w:rFonts w:eastAsia="Times New Roman"/>
                <w:b/>
                <w:bCs/>
                <w:color w:val="000000"/>
              </w:rPr>
            </w:pPr>
            <w:r w:rsidRPr="00FA2838">
              <w:rPr>
                <w:rFonts w:eastAsia="Times New Roman"/>
                <w:b/>
                <w:bCs/>
                <w:color w:val="000000"/>
              </w:rPr>
              <w:t>1767</w:t>
            </w:r>
          </w:p>
        </w:tc>
        <w:tc>
          <w:tcPr>
            <w:tcW w:w="1160" w:type="dxa"/>
            <w:shd w:val="clear" w:color="auto" w:fill="auto"/>
            <w:noWrap/>
            <w:vAlign w:val="center"/>
            <w:hideMark/>
          </w:tcPr>
          <w:p w14:paraId="5EB7357C" w14:textId="77777777" w:rsidR="004E1A8D" w:rsidRPr="00FA2838" w:rsidRDefault="004E1A8D" w:rsidP="00754AFA">
            <w:pPr>
              <w:jc w:val="center"/>
              <w:rPr>
                <w:rFonts w:eastAsia="Times New Roman"/>
                <w:b/>
                <w:bCs/>
                <w:color w:val="000000"/>
              </w:rPr>
            </w:pPr>
            <w:r w:rsidRPr="00FA2838">
              <w:rPr>
                <w:rFonts w:eastAsia="Times New Roman"/>
                <w:b/>
                <w:bCs/>
                <w:color w:val="000000"/>
              </w:rPr>
              <w:t>22.72</w:t>
            </w:r>
          </w:p>
        </w:tc>
        <w:tc>
          <w:tcPr>
            <w:tcW w:w="3140" w:type="dxa"/>
            <w:shd w:val="clear" w:color="auto" w:fill="auto"/>
            <w:noWrap/>
            <w:vAlign w:val="center"/>
            <w:hideMark/>
          </w:tcPr>
          <w:p w14:paraId="358BC458" w14:textId="77777777" w:rsidR="004E1A8D" w:rsidRPr="00FA2838" w:rsidRDefault="004E1A8D" w:rsidP="00754AFA">
            <w:pPr>
              <w:jc w:val="center"/>
              <w:rPr>
                <w:rFonts w:eastAsia="Times New Roman"/>
                <w:color w:val="000000"/>
              </w:rPr>
            </w:pPr>
            <w:r w:rsidRPr="00C609B3">
              <w:rPr>
                <w:rFonts w:eastAsia="Times New Roman"/>
                <w:color w:val="000000"/>
              </w:rPr>
              <w:t>3.26 [2.28-4.66]*</w:t>
            </w:r>
          </w:p>
        </w:tc>
      </w:tr>
      <w:tr w:rsidR="004E1A8D" w:rsidRPr="00C609B3" w14:paraId="6B6F8F94" w14:textId="77777777" w:rsidTr="00754AFA">
        <w:trPr>
          <w:trHeight w:val="320"/>
        </w:trPr>
        <w:tc>
          <w:tcPr>
            <w:tcW w:w="2965" w:type="dxa"/>
            <w:shd w:val="clear" w:color="auto" w:fill="auto"/>
            <w:noWrap/>
            <w:vAlign w:val="bottom"/>
            <w:hideMark/>
          </w:tcPr>
          <w:p w14:paraId="43D02941" w14:textId="77777777" w:rsidR="004E1A8D" w:rsidRPr="00FA2838" w:rsidRDefault="004E1A8D" w:rsidP="00754AFA">
            <w:pPr>
              <w:rPr>
                <w:rFonts w:eastAsia="Times New Roman"/>
                <w:b/>
                <w:bCs/>
                <w:color w:val="000000"/>
              </w:rPr>
            </w:pPr>
            <w:r w:rsidRPr="00FA2838">
              <w:rPr>
                <w:rFonts w:eastAsia="Times New Roman"/>
                <w:b/>
                <w:bCs/>
                <w:color w:val="000000"/>
              </w:rPr>
              <w:t>65-84</w:t>
            </w:r>
          </w:p>
        </w:tc>
        <w:tc>
          <w:tcPr>
            <w:tcW w:w="863" w:type="dxa"/>
            <w:shd w:val="clear" w:color="auto" w:fill="auto"/>
            <w:noWrap/>
            <w:vAlign w:val="center"/>
            <w:hideMark/>
          </w:tcPr>
          <w:p w14:paraId="23CB8A64" w14:textId="77777777" w:rsidR="004E1A8D" w:rsidRPr="00FA2838" w:rsidRDefault="004E1A8D" w:rsidP="00754AFA">
            <w:pPr>
              <w:jc w:val="center"/>
              <w:rPr>
                <w:rFonts w:eastAsia="Times New Roman"/>
                <w:b/>
                <w:bCs/>
                <w:color w:val="000000"/>
              </w:rPr>
            </w:pPr>
            <w:r w:rsidRPr="00FA2838">
              <w:rPr>
                <w:rFonts w:eastAsia="Times New Roman"/>
                <w:b/>
                <w:bCs/>
                <w:color w:val="000000"/>
              </w:rPr>
              <w:t>3837</w:t>
            </w:r>
          </w:p>
        </w:tc>
        <w:tc>
          <w:tcPr>
            <w:tcW w:w="1160" w:type="dxa"/>
            <w:shd w:val="clear" w:color="auto" w:fill="auto"/>
            <w:noWrap/>
            <w:vAlign w:val="center"/>
            <w:hideMark/>
          </w:tcPr>
          <w:p w14:paraId="5288E7C2" w14:textId="77777777" w:rsidR="004E1A8D" w:rsidRPr="00FA2838" w:rsidRDefault="004E1A8D" w:rsidP="00754AFA">
            <w:pPr>
              <w:jc w:val="center"/>
              <w:rPr>
                <w:rFonts w:eastAsia="Times New Roman"/>
                <w:b/>
                <w:bCs/>
                <w:color w:val="000000"/>
              </w:rPr>
            </w:pPr>
            <w:r w:rsidRPr="00FA2838">
              <w:rPr>
                <w:rFonts w:eastAsia="Times New Roman"/>
                <w:b/>
                <w:bCs/>
                <w:color w:val="000000"/>
              </w:rPr>
              <w:t>49.34</w:t>
            </w:r>
          </w:p>
        </w:tc>
        <w:tc>
          <w:tcPr>
            <w:tcW w:w="3140" w:type="dxa"/>
            <w:shd w:val="clear" w:color="auto" w:fill="auto"/>
            <w:noWrap/>
            <w:vAlign w:val="center"/>
            <w:hideMark/>
          </w:tcPr>
          <w:p w14:paraId="692FD79D" w14:textId="77777777" w:rsidR="004E1A8D" w:rsidRPr="00FA2838" w:rsidRDefault="004E1A8D" w:rsidP="00754AFA">
            <w:pPr>
              <w:jc w:val="center"/>
              <w:rPr>
                <w:rFonts w:eastAsia="Times New Roman"/>
                <w:color w:val="000000"/>
              </w:rPr>
            </w:pPr>
            <w:r w:rsidRPr="00C609B3">
              <w:rPr>
                <w:rFonts w:eastAsia="Times New Roman"/>
                <w:color w:val="000000"/>
              </w:rPr>
              <w:t>6.22 [4.41-8.78]*</w:t>
            </w:r>
          </w:p>
        </w:tc>
      </w:tr>
      <w:tr w:rsidR="004E1A8D" w:rsidRPr="00C609B3" w14:paraId="29252FFA" w14:textId="77777777" w:rsidTr="00754AFA">
        <w:trPr>
          <w:trHeight w:val="320"/>
        </w:trPr>
        <w:tc>
          <w:tcPr>
            <w:tcW w:w="2965" w:type="dxa"/>
            <w:shd w:val="clear" w:color="auto" w:fill="auto"/>
            <w:noWrap/>
            <w:vAlign w:val="bottom"/>
            <w:hideMark/>
          </w:tcPr>
          <w:p w14:paraId="31E41009" w14:textId="77777777" w:rsidR="004E1A8D" w:rsidRPr="00FA2838" w:rsidRDefault="004E1A8D" w:rsidP="00754AFA">
            <w:pPr>
              <w:rPr>
                <w:rFonts w:eastAsia="Times New Roman"/>
                <w:b/>
                <w:bCs/>
                <w:color w:val="000000"/>
              </w:rPr>
            </w:pPr>
            <w:r w:rsidRPr="00FA2838">
              <w:rPr>
                <w:rFonts w:eastAsia="Times New Roman"/>
                <w:b/>
                <w:bCs/>
                <w:color w:val="000000"/>
              </w:rPr>
              <w:t>85+</w:t>
            </w:r>
          </w:p>
        </w:tc>
        <w:tc>
          <w:tcPr>
            <w:tcW w:w="863" w:type="dxa"/>
            <w:shd w:val="clear" w:color="auto" w:fill="auto"/>
            <w:noWrap/>
            <w:vAlign w:val="center"/>
            <w:hideMark/>
          </w:tcPr>
          <w:p w14:paraId="1547F912" w14:textId="77777777" w:rsidR="004E1A8D" w:rsidRPr="00FA2838" w:rsidRDefault="004E1A8D" w:rsidP="00754AFA">
            <w:pPr>
              <w:jc w:val="center"/>
              <w:rPr>
                <w:rFonts w:eastAsia="Times New Roman"/>
                <w:b/>
                <w:bCs/>
                <w:color w:val="000000"/>
              </w:rPr>
            </w:pPr>
            <w:r w:rsidRPr="00FA2838">
              <w:rPr>
                <w:rFonts w:eastAsia="Times New Roman"/>
                <w:b/>
                <w:bCs/>
                <w:color w:val="000000"/>
              </w:rPr>
              <w:t>1567</w:t>
            </w:r>
          </w:p>
        </w:tc>
        <w:tc>
          <w:tcPr>
            <w:tcW w:w="1160" w:type="dxa"/>
            <w:shd w:val="clear" w:color="auto" w:fill="auto"/>
            <w:noWrap/>
            <w:vAlign w:val="center"/>
            <w:hideMark/>
          </w:tcPr>
          <w:p w14:paraId="052AEC2D" w14:textId="77777777" w:rsidR="004E1A8D" w:rsidRPr="00FA2838" w:rsidRDefault="004E1A8D" w:rsidP="00754AFA">
            <w:pPr>
              <w:jc w:val="center"/>
              <w:rPr>
                <w:rFonts w:eastAsia="Times New Roman"/>
                <w:b/>
                <w:bCs/>
                <w:color w:val="000000"/>
              </w:rPr>
            </w:pPr>
            <w:r w:rsidRPr="00FA2838">
              <w:rPr>
                <w:rFonts w:eastAsia="Times New Roman"/>
                <w:b/>
                <w:bCs/>
                <w:color w:val="000000"/>
              </w:rPr>
              <w:t>20.15</w:t>
            </w:r>
          </w:p>
        </w:tc>
        <w:tc>
          <w:tcPr>
            <w:tcW w:w="3140" w:type="dxa"/>
            <w:shd w:val="clear" w:color="auto" w:fill="auto"/>
            <w:noWrap/>
            <w:vAlign w:val="center"/>
            <w:hideMark/>
          </w:tcPr>
          <w:p w14:paraId="5AB33C82" w14:textId="77777777" w:rsidR="004E1A8D" w:rsidRPr="00FA2838" w:rsidRDefault="004E1A8D" w:rsidP="00754AFA">
            <w:pPr>
              <w:jc w:val="center"/>
              <w:rPr>
                <w:rFonts w:eastAsia="Times New Roman"/>
                <w:color w:val="000000"/>
              </w:rPr>
            </w:pPr>
            <w:r w:rsidRPr="00C609B3">
              <w:rPr>
                <w:rFonts w:eastAsia="Times New Roman"/>
                <w:color w:val="000000"/>
              </w:rPr>
              <w:t>11.71 [8.24-16.65]*</w:t>
            </w:r>
          </w:p>
        </w:tc>
      </w:tr>
      <w:tr w:rsidR="004E1A8D" w:rsidRPr="00C609B3" w14:paraId="4B101020" w14:textId="77777777" w:rsidTr="00754AFA">
        <w:trPr>
          <w:trHeight w:val="320"/>
        </w:trPr>
        <w:tc>
          <w:tcPr>
            <w:tcW w:w="2965" w:type="dxa"/>
            <w:shd w:val="clear" w:color="auto" w:fill="auto"/>
            <w:noWrap/>
            <w:vAlign w:val="bottom"/>
            <w:hideMark/>
          </w:tcPr>
          <w:p w14:paraId="12AE611D" w14:textId="77777777" w:rsidR="004E1A8D" w:rsidRPr="00FA2838" w:rsidRDefault="004E1A8D" w:rsidP="00754AFA">
            <w:pPr>
              <w:rPr>
                <w:rFonts w:eastAsia="Times New Roman"/>
                <w:color w:val="000000"/>
              </w:rPr>
            </w:pPr>
            <w:r w:rsidRPr="00FA2838">
              <w:rPr>
                <w:rFonts w:eastAsia="Times New Roman"/>
                <w:color w:val="000000"/>
              </w:rPr>
              <w:t> </w:t>
            </w:r>
          </w:p>
        </w:tc>
        <w:tc>
          <w:tcPr>
            <w:tcW w:w="863" w:type="dxa"/>
            <w:shd w:val="clear" w:color="auto" w:fill="auto"/>
            <w:noWrap/>
            <w:vAlign w:val="center"/>
            <w:hideMark/>
          </w:tcPr>
          <w:p w14:paraId="46D06077"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1160" w:type="dxa"/>
            <w:shd w:val="clear" w:color="auto" w:fill="auto"/>
            <w:noWrap/>
            <w:vAlign w:val="center"/>
            <w:hideMark/>
          </w:tcPr>
          <w:p w14:paraId="43118148"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3140" w:type="dxa"/>
            <w:shd w:val="clear" w:color="auto" w:fill="auto"/>
            <w:noWrap/>
            <w:vAlign w:val="center"/>
            <w:hideMark/>
          </w:tcPr>
          <w:p w14:paraId="11998F03" w14:textId="77777777" w:rsidR="004E1A8D" w:rsidRPr="00FA2838" w:rsidRDefault="004E1A8D" w:rsidP="00754AFA">
            <w:pPr>
              <w:jc w:val="center"/>
              <w:rPr>
                <w:rFonts w:eastAsia="Times New Roman"/>
                <w:color w:val="000000"/>
              </w:rPr>
            </w:pPr>
            <w:r w:rsidRPr="00FA2838">
              <w:rPr>
                <w:rFonts w:eastAsia="Times New Roman"/>
                <w:color w:val="000000"/>
              </w:rPr>
              <w:t> </w:t>
            </w:r>
          </w:p>
        </w:tc>
      </w:tr>
      <w:tr w:rsidR="004E1A8D" w:rsidRPr="00C609B3" w14:paraId="3D432E08" w14:textId="77777777" w:rsidTr="00754AFA">
        <w:trPr>
          <w:trHeight w:val="320"/>
        </w:trPr>
        <w:tc>
          <w:tcPr>
            <w:tcW w:w="2965" w:type="dxa"/>
            <w:shd w:val="clear" w:color="auto" w:fill="auto"/>
            <w:noWrap/>
            <w:vAlign w:val="bottom"/>
            <w:hideMark/>
          </w:tcPr>
          <w:p w14:paraId="424771A5" w14:textId="77777777" w:rsidR="004E1A8D" w:rsidRPr="00FA2838" w:rsidRDefault="004E1A8D" w:rsidP="00754AFA">
            <w:pPr>
              <w:rPr>
                <w:rFonts w:eastAsia="Times New Roman"/>
                <w:b/>
                <w:bCs/>
                <w:color w:val="000000"/>
              </w:rPr>
            </w:pPr>
            <w:r w:rsidRPr="00FA2838">
              <w:rPr>
                <w:rFonts w:eastAsia="Times New Roman"/>
                <w:b/>
                <w:bCs/>
                <w:color w:val="000000"/>
              </w:rPr>
              <w:t>GENDER (n=7775)</w:t>
            </w:r>
          </w:p>
        </w:tc>
        <w:tc>
          <w:tcPr>
            <w:tcW w:w="863" w:type="dxa"/>
            <w:shd w:val="clear" w:color="auto" w:fill="auto"/>
            <w:noWrap/>
            <w:vAlign w:val="center"/>
            <w:hideMark/>
          </w:tcPr>
          <w:p w14:paraId="49DF8E7F"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1160" w:type="dxa"/>
            <w:shd w:val="clear" w:color="auto" w:fill="auto"/>
            <w:noWrap/>
            <w:vAlign w:val="center"/>
            <w:hideMark/>
          </w:tcPr>
          <w:p w14:paraId="206A89E3"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3140" w:type="dxa"/>
            <w:shd w:val="clear" w:color="auto" w:fill="auto"/>
            <w:noWrap/>
            <w:vAlign w:val="center"/>
            <w:hideMark/>
          </w:tcPr>
          <w:p w14:paraId="32388496" w14:textId="77777777" w:rsidR="004E1A8D" w:rsidRPr="00FA2838" w:rsidRDefault="004E1A8D" w:rsidP="00754AFA">
            <w:pPr>
              <w:jc w:val="center"/>
              <w:rPr>
                <w:rFonts w:eastAsia="Times New Roman"/>
                <w:color w:val="000000"/>
              </w:rPr>
            </w:pPr>
            <w:r w:rsidRPr="00FA2838">
              <w:rPr>
                <w:rFonts w:eastAsia="Times New Roman"/>
                <w:color w:val="000000"/>
              </w:rPr>
              <w:t> </w:t>
            </w:r>
          </w:p>
        </w:tc>
      </w:tr>
      <w:tr w:rsidR="004E1A8D" w:rsidRPr="00C609B3" w14:paraId="78549B88" w14:textId="77777777" w:rsidTr="00754AFA">
        <w:trPr>
          <w:trHeight w:val="320"/>
        </w:trPr>
        <w:tc>
          <w:tcPr>
            <w:tcW w:w="2965" w:type="dxa"/>
            <w:shd w:val="clear" w:color="auto" w:fill="auto"/>
            <w:noWrap/>
            <w:vAlign w:val="bottom"/>
            <w:hideMark/>
          </w:tcPr>
          <w:p w14:paraId="5549C3F1" w14:textId="77777777" w:rsidR="004E1A8D" w:rsidRPr="00FA2838" w:rsidRDefault="004E1A8D" w:rsidP="00754AFA">
            <w:pPr>
              <w:rPr>
                <w:rFonts w:eastAsia="Times New Roman"/>
                <w:b/>
                <w:bCs/>
                <w:color w:val="000000"/>
              </w:rPr>
            </w:pPr>
            <w:r w:rsidRPr="00FA2838">
              <w:rPr>
                <w:rFonts w:eastAsia="Times New Roman"/>
                <w:b/>
                <w:bCs/>
                <w:color w:val="000000"/>
              </w:rPr>
              <w:t>Female</w:t>
            </w:r>
          </w:p>
        </w:tc>
        <w:tc>
          <w:tcPr>
            <w:tcW w:w="863" w:type="dxa"/>
            <w:shd w:val="clear" w:color="auto" w:fill="auto"/>
            <w:noWrap/>
            <w:vAlign w:val="center"/>
            <w:hideMark/>
          </w:tcPr>
          <w:p w14:paraId="09EEE8FE" w14:textId="77777777" w:rsidR="004E1A8D" w:rsidRPr="00FA2838" w:rsidRDefault="004E1A8D" w:rsidP="00754AFA">
            <w:pPr>
              <w:jc w:val="center"/>
              <w:rPr>
                <w:rFonts w:eastAsia="Times New Roman"/>
                <w:b/>
                <w:bCs/>
                <w:color w:val="000000"/>
              </w:rPr>
            </w:pPr>
            <w:r w:rsidRPr="00FA2838">
              <w:rPr>
                <w:rFonts w:eastAsia="Times New Roman"/>
                <w:b/>
                <w:bCs/>
                <w:color w:val="000000"/>
              </w:rPr>
              <w:t>3933</w:t>
            </w:r>
          </w:p>
        </w:tc>
        <w:tc>
          <w:tcPr>
            <w:tcW w:w="1160" w:type="dxa"/>
            <w:shd w:val="clear" w:color="auto" w:fill="auto"/>
            <w:noWrap/>
            <w:vAlign w:val="center"/>
            <w:hideMark/>
          </w:tcPr>
          <w:p w14:paraId="2D6D1617" w14:textId="77777777" w:rsidR="004E1A8D" w:rsidRPr="00FA2838" w:rsidRDefault="004E1A8D" w:rsidP="00754AFA">
            <w:pPr>
              <w:jc w:val="center"/>
              <w:rPr>
                <w:rFonts w:eastAsia="Times New Roman"/>
                <w:b/>
                <w:bCs/>
                <w:color w:val="000000"/>
              </w:rPr>
            </w:pPr>
            <w:r w:rsidRPr="00FA2838">
              <w:rPr>
                <w:rFonts w:eastAsia="Times New Roman"/>
                <w:b/>
                <w:bCs/>
                <w:color w:val="000000"/>
              </w:rPr>
              <w:t>50.59</w:t>
            </w:r>
          </w:p>
        </w:tc>
        <w:tc>
          <w:tcPr>
            <w:tcW w:w="3140" w:type="dxa"/>
            <w:shd w:val="clear" w:color="auto" w:fill="auto"/>
            <w:noWrap/>
            <w:vAlign w:val="center"/>
            <w:hideMark/>
          </w:tcPr>
          <w:p w14:paraId="4CF54493" w14:textId="77777777" w:rsidR="004E1A8D" w:rsidRPr="00FA2838" w:rsidRDefault="004E1A8D" w:rsidP="00754AFA">
            <w:pPr>
              <w:jc w:val="center"/>
              <w:rPr>
                <w:rFonts w:eastAsia="Times New Roman"/>
                <w:color w:val="000000"/>
              </w:rPr>
            </w:pPr>
            <w:r w:rsidRPr="00FA2838">
              <w:rPr>
                <w:rFonts w:eastAsia="Times New Roman"/>
                <w:color w:val="000000"/>
              </w:rPr>
              <w:t>1</w:t>
            </w:r>
          </w:p>
        </w:tc>
      </w:tr>
      <w:tr w:rsidR="004E1A8D" w:rsidRPr="00C609B3" w14:paraId="578E476A" w14:textId="77777777" w:rsidTr="00754AFA">
        <w:trPr>
          <w:trHeight w:val="320"/>
        </w:trPr>
        <w:tc>
          <w:tcPr>
            <w:tcW w:w="2965" w:type="dxa"/>
            <w:shd w:val="clear" w:color="auto" w:fill="auto"/>
            <w:noWrap/>
            <w:vAlign w:val="bottom"/>
            <w:hideMark/>
          </w:tcPr>
          <w:p w14:paraId="60DFB255" w14:textId="0C4C4B89" w:rsidR="004E1A8D" w:rsidRPr="00FA2838" w:rsidRDefault="0045328D" w:rsidP="00754AFA">
            <w:pPr>
              <w:rPr>
                <w:rFonts w:eastAsia="Times New Roman"/>
                <w:b/>
                <w:bCs/>
                <w:color w:val="000000"/>
              </w:rPr>
            </w:pPr>
            <w:r w:rsidRPr="00FA2838">
              <w:rPr>
                <w:rFonts w:eastAsia="Times New Roman"/>
                <w:b/>
                <w:bCs/>
                <w:color w:val="000000"/>
              </w:rPr>
              <w:t>M</w:t>
            </w:r>
            <w:r w:rsidR="004E1A8D" w:rsidRPr="00FA2838">
              <w:rPr>
                <w:rFonts w:eastAsia="Times New Roman"/>
                <w:b/>
                <w:bCs/>
                <w:color w:val="000000"/>
              </w:rPr>
              <w:t>ale</w:t>
            </w:r>
          </w:p>
        </w:tc>
        <w:tc>
          <w:tcPr>
            <w:tcW w:w="863" w:type="dxa"/>
            <w:shd w:val="clear" w:color="auto" w:fill="auto"/>
            <w:noWrap/>
            <w:vAlign w:val="center"/>
            <w:hideMark/>
          </w:tcPr>
          <w:p w14:paraId="00C93F86" w14:textId="77777777" w:rsidR="004E1A8D" w:rsidRPr="00FA2838" w:rsidRDefault="004E1A8D" w:rsidP="00754AFA">
            <w:pPr>
              <w:jc w:val="center"/>
              <w:rPr>
                <w:rFonts w:eastAsia="Times New Roman"/>
                <w:b/>
                <w:bCs/>
                <w:color w:val="000000"/>
              </w:rPr>
            </w:pPr>
            <w:r w:rsidRPr="00FA2838">
              <w:rPr>
                <w:rFonts w:eastAsia="Times New Roman"/>
                <w:b/>
                <w:bCs/>
                <w:color w:val="000000"/>
              </w:rPr>
              <w:t>3842</w:t>
            </w:r>
          </w:p>
        </w:tc>
        <w:tc>
          <w:tcPr>
            <w:tcW w:w="1160" w:type="dxa"/>
            <w:shd w:val="clear" w:color="auto" w:fill="auto"/>
            <w:noWrap/>
            <w:vAlign w:val="center"/>
            <w:hideMark/>
          </w:tcPr>
          <w:p w14:paraId="4396A696" w14:textId="77777777" w:rsidR="004E1A8D" w:rsidRPr="00FA2838" w:rsidRDefault="004E1A8D" w:rsidP="00754AFA">
            <w:pPr>
              <w:jc w:val="center"/>
              <w:rPr>
                <w:rFonts w:eastAsia="Times New Roman"/>
                <w:b/>
                <w:bCs/>
                <w:color w:val="000000"/>
              </w:rPr>
            </w:pPr>
            <w:r w:rsidRPr="00FA2838">
              <w:rPr>
                <w:rFonts w:eastAsia="Times New Roman"/>
                <w:b/>
                <w:bCs/>
                <w:color w:val="000000"/>
              </w:rPr>
              <w:t>49.41</w:t>
            </w:r>
          </w:p>
        </w:tc>
        <w:tc>
          <w:tcPr>
            <w:tcW w:w="3140" w:type="dxa"/>
            <w:shd w:val="clear" w:color="auto" w:fill="auto"/>
            <w:noWrap/>
            <w:vAlign w:val="center"/>
            <w:hideMark/>
          </w:tcPr>
          <w:p w14:paraId="05819719" w14:textId="77777777" w:rsidR="004E1A8D" w:rsidRPr="00FA2838" w:rsidRDefault="004E1A8D" w:rsidP="00754AFA">
            <w:pPr>
              <w:jc w:val="center"/>
              <w:rPr>
                <w:rFonts w:eastAsia="Times New Roman"/>
                <w:color w:val="000000"/>
              </w:rPr>
            </w:pPr>
            <w:r w:rsidRPr="00C609B3">
              <w:rPr>
                <w:rFonts w:eastAsia="Times New Roman"/>
                <w:color w:val="000000"/>
              </w:rPr>
              <w:t>0.95 [0.86-1.05]</w:t>
            </w:r>
          </w:p>
        </w:tc>
      </w:tr>
      <w:tr w:rsidR="004E1A8D" w:rsidRPr="00C609B3" w14:paraId="428517CE" w14:textId="77777777" w:rsidTr="00754AFA">
        <w:trPr>
          <w:trHeight w:val="320"/>
        </w:trPr>
        <w:tc>
          <w:tcPr>
            <w:tcW w:w="2965" w:type="dxa"/>
            <w:shd w:val="clear" w:color="auto" w:fill="auto"/>
            <w:noWrap/>
            <w:vAlign w:val="bottom"/>
            <w:hideMark/>
          </w:tcPr>
          <w:p w14:paraId="0856833B" w14:textId="77777777" w:rsidR="004E1A8D" w:rsidRPr="00FA2838" w:rsidRDefault="004E1A8D" w:rsidP="00754AFA">
            <w:pPr>
              <w:rPr>
                <w:rFonts w:eastAsia="Times New Roman"/>
                <w:color w:val="000000"/>
              </w:rPr>
            </w:pPr>
            <w:r w:rsidRPr="00FA2838">
              <w:rPr>
                <w:rFonts w:eastAsia="Times New Roman"/>
                <w:color w:val="000000"/>
              </w:rPr>
              <w:t> </w:t>
            </w:r>
          </w:p>
        </w:tc>
        <w:tc>
          <w:tcPr>
            <w:tcW w:w="863" w:type="dxa"/>
            <w:shd w:val="clear" w:color="auto" w:fill="auto"/>
            <w:noWrap/>
            <w:vAlign w:val="bottom"/>
            <w:hideMark/>
          </w:tcPr>
          <w:p w14:paraId="79F51A1D" w14:textId="77777777" w:rsidR="004E1A8D" w:rsidRPr="00FA2838" w:rsidRDefault="004E1A8D" w:rsidP="00754AFA">
            <w:pPr>
              <w:rPr>
                <w:rFonts w:eastAsia="Times New Roman"/>
                <w:b/>
                <w:bCs/>
                <w:color w:val="000000"/>
              </w:rPr>
            </w:pPr>
            <w:r w:rsidRPr="00FA2838">
              <w:rPr>
                <w:rFonts w:eastAsia="Times New Roman"/>
                <w:b/>
                <w:bCs/>
                <w:color w:val="000000"/>
              </w:rPr>
              <w:t> </w:t>
            </w:r>
          </w:p>
        </w:tc>
        <w:tc>
          <w:tcPr>
            <w:tcW w:w="1160" w:type="dxa"/>
            <w:shd w:val="clear" w:color="auto" w:fill="auto"/>
            <w:noWrap/>
            <w:vAlign w:val="center"/>
            <w:hideMark/>
          </w:tcPr>
          <w:p w14:paraId="4AF7C6C4"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3140" w:type="dxa"/>
            <w:shd w:val="clear" w:color="auto" w:fill="auto"/>
            <w:noWrap/>
            <w:vAlign w:val="bottom"/>
            <w:hideMark/>
          </w:tcPr>
          <w:p w14:paraId="1E912D57" w14:textId="77777777" w:rsidR="004E1A8D" w:rsidRPr="00FA2838" w:rsidRDefault="004E1A8D" w:rsidP="00754AFA">
            <w:pPr>
              <w:rPr>
                <w:rFonts w:eastAsia="Times New Roman"/>
                <w:color w:val="000000"/>
              </w:rPr>
            </w:pPr>
            <w:r w:rsidRPr="00FA2838">
              <w:rPr>
                <w:rFonts w:eastAsia="Times New Roman"/>
                <w:color w:val="000000"/>
              </w:rPr>
              <w:t> </w:t>
            </w:r>
          </w:p>
        </w:tc>
      </w:tr>
      <w:tr w:rsidR="004E1A8D" w:rsidRPr="00C609B3" w14:paraId="073ED54C" w14:textId="77777777" w:rsidTr="00754AFA">
        <w:trPr>
          <w:trHeight w:val="320"/>
        </w:trPr>
        <w:tc>
          <w:tcPr>
            <w:tcW w:w="2965" w:type="dxa"/>
            <w:shd w:val="clear" w:color="auto" w:fill="auto"/>
            <w:noWrap/>
            <w:vAlign w:val="bottom"/>
            <w:hideMark/>
          </w:tcPr>
          <w:p w14:paraId="06EF1254" w14:textId="77777777" w:rsidR="004E1A8D" w:rsidRPr="00FA2838" w:rsidRDefault="004E1A8D" w:rsidP="00754AFA">
            <w:pPr>
              <w:rPr>
                <w:rFonts w:eastAsia="Times New Roman"/>
                <w:b/>
                <w:bCs/>
                <w:color w:val="000000"/>
              </w:rPr>
            </w:pPr>
            <w:r w:rsidRPr="00FA2838">
              <w:rPr>
                <w:rFonts w:eastAsia="Times New Roman"/>
                <w:b/>
                <w:bCs/>
                <w:color w:val="000000"/>
              </w:rPr>
              <w:t>CCI (n=7776)</w:t>
            </w:r>
          </w:p>
        </w:tc>
        <w:tc>
          <w:tcPr>
            <w:tcW w:w="863" w:type="dxa"/>
            <w:shd w:val="clear" w:color="auto" w:fill="auto"/>
            <w:noWrap/>
            <w:vAlign w:val="center"/>
            <w:hideMark/>
          </w:tcPr>
          <w:p w14:paraId="1C9EE7DA"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1160" w:type="dxa"/>
            <w:shd w:val="clear" w:color="auto" w:fill="auto"/>
            <w:noWrap/>
            <w:vAlign w:val="center"/>
            <w:hideMark/>
          </w:tcPr>
          <w:p w14:paraId="173146AD"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3140" w:type="dxa"/>
            <w:shd w:val="clear" w:color="auto" w:fill="auto"/>
            <w:noWrap/>
            <w:vAlign w:val="center"/>
            <w:hideMark/>
          </w:tcPr>
          <w:p w14:paraId="58712254" w14:textId="77777777" w:rsidR="004E1A8D" w:rsidRPr="00FA2838" w:rsidRDefault="004E1A8D" w:rsidP="00754AFA">
            <w:pPr>
              <w:jc w:val="center"/>
              <w:rPr>
                <w:rFonts w:eastAsia="Times New Roman"/>
                <w:color w:val="000000"/>
              </w:rPr>
            </w:pPr>
            <w:r w:rsidRPr="00FA2838">
              <w:rPr>
                <w:rFonts w:eastAsia="Times New Roman"/>
                <w:color w:val="000000"/>
              </w:rPr>
              <w:t> </w:t>
            </w:r>
          </w:p>
        </w:tc>
      </w:tr>
      <w:tr w:rsidR="004E1A8D" w:rsidRPr="00C609B3" w14:paraId="1E4447AB" w14:textId="77777777" w:rsidTr="00754AFA">
        <w:trPr>
          <w:trHeight w:val="320"/>
        </w:trPr>
        <w:tc>
          <w:tcPr>
            <w:tcW w:w="2965" w:type="dxa"/>
            <w:shd w:val="clear" w:color="auto" w:fill="auto"/>
            <w:noWrap/>
            <w:vAlign w:val="bottom"/>
            <w:hideMark/>
          </w:tcPr>
          <w:p w14:paraId="108983DA" w14:textId="77777777" w:rsidR="004E1A8D" w:rsidRPr="00FA2838" w:rsidRDefault="004E1A8D" w:rsidP="00754AFA">
            <w:pPr>
              <w:rPr>
                <w:rFonts w:eastAsia="Times New Roman"/>
                <w:b/>
                <w:bCs/>
                <w:color w:val="000000"/>
              </w:rPr>
            </w:pPr>
            <w:r w:rsidRPr="00FA2838">
              <w:rPr>
                <w:rFonts w:eastAsia="Times New Roman"/>
                <w:b/>
                <w:bCs/>
                <w:color w:val="000000"/>
              </w:rPr>
              <w:t>0</w:t>
            </w:r>
          </w:p>
        </w:tc>
        <w:tc>
          <w:tcPr>
            <w:tcW w:w="863" w:type="dxa"/>
            <w:shd w:val="clear" w:color="auto" w:fill="auto"/>
            <w:noWrap/>
            <w:vAlign w:val="center"/>
            <w:hideMark/>
          </w:tcPr>
          <w:p w14:paraId="0694015D" w14:textId="77777777" w:rsidR="004E1A8D" w:rsidRPr="00FA2838" w:rsidRDefault="004E1A8D" w:rsidP="00754AFA">
            <w:pPr>
              <w:jc w:val="center"/>
              <w:rPr>
                <w:rFonts w:eastAsia="Times New Roman"/>
                <w:b/>
                <w:bCs/>
                <w:color w:val="000000"/>
              </w:rPr>
            </w:pPr>
            <w:r w:rsidRPr="00FA2838">
              <w:rPr>
                <w:rFonts w:eastAsia="Times New Roman"/>
                <w:b/>
                <w:bCs/>
                <w:color w:val="000000"/>
              </w:rPr>
              <w:t>1992</w:t>
            </w:r>
          </w:p>
        </w:tc>
        <w:tc>
          <w:tcPr>
            <w:tcW w:w="1160" w:type="dxa"/>
            <w:shd w:val="clear" w:color="auto" w:fill="auto"/>
            <w:noWrap/>
            <w:vAlign w:val="center"/>
            <w:hideMark/>
          </w:tcPr>
          <w:p w14:paraId="770504FA" w14:textId="77777777" w:rsidR="004E1A8D" w:rsidRPr="00FA2838" w:rsidRDefault="004E1A8D" w:rsidP="00754AFA">
            <w:pPr>
              <w:jc w:val="center"/>
              <w:rPr>
                <w:rFonts w:eastAsia="Times New Roman"/>
                <w:b/>
                <w:bCs/>
                <w:color w:val="000000"/>
              </w:rPr>
            </w:pPr>
            <w:r w:rsidRPr="00FA2838">
              <w:rPr>
                <w:rFonts w:eastAsia="Times New Roman"/>
                <w:b/>
                <w:bCs/>
                <w:color w:val="000000"/>
              </w:rPr>
              <w:t>25.62</w:t>
            </w:r>
          </w:p>
        </w:tc>
        <w:tc>
          <w:tcPr>
            <w:tcW w:w="3140" w:type="dxa"/>
            <w:shd w:val="clear" w:color="auto" w:fill="auto"/>
            <w:noWrap/>
            <w:vAlign w:val="center"/>
            <w:hideMark/>
          </w:tcPr>
          <w:p w14:paraId="169CF3DE" w14:textId="77777777" w:rsidR="004E1A8D" w:rsidRPr="00FA2838" w:rsidRDefault="004E1A8D" w:rsidP="00754AFA">
            <w:pPr>
              <w:jc w:val="center"/>
              <w:rPr>
                <w:rFonts w:eastAsia="Times New Roman"/>
                <w:color w:val="000000"/>
              </w:rPr>
            </w:pPr>
            <w:r w:rsidRPr="00FA2838">
              <w:rPr>
                <w:rFonts w:eastAsia="Times New Roman"/>
                <w:color w:val="000000"/>
              </w:rPr>
              <w:t>1</w:t>
            </w:r>
          </w:p>
        </w:tc>
      </w:tr>
      <w:tr w:rsidR="004E1A8D" w:rsidRPr="00C609B3" w14:paraId="462FB0F7" w14:textId="77777777" w:rsidTr="00754AFA">
        <w:trPr>
          <w:trHeight w:val="320"/>
        </w:trPr>
        <w:tc>
          <w:tcPr>
            <w:tcW w:w="2965" w:type="dxa"/>
            <w:shd w:val="clear" w:color="auto" w:fill="auto"/>
            <w:noWrap/>
            <w:vAlign w:val="bottom"/>
            <w:hideMark/>
          </w:tcPr>
          <w:p w14:paraId="3C7E318E" w14:textId="77777777" w:rsidR="004E1A8D" w:rsidRPr="00FA2838" w:rsidRDefault="004E1A8D" w:rsidP="00754AFA">
            <w:pPr>
              <w:rPr>
                <w:rFonts w:eastAsia="Times New Roman"/>
                <w:b/>
                <w:bCs/>
                <w:color w:val="000000"/>
              </w:rPr>
            </w:pPr>
            <w:r w:rsidRPr="00FA2838">
              <w:rPr>
                <w:rFonts w:eastAsia="Times New Roman"/>
                <w:b/>
                <w:bCs/>
                <w:color w:val="000000"/>
              </w:rPr>
              <w:t>1-15</w:t>
            </w:r>
          </w:p>
        </w:tc>
        <w:tc>
          <w:tcPr>
            <w:tcW w:w="863" w:type="dxa"/>
            <w:shd w:val="clear" w:color="auto" w:fill="auto"/>
            <w:noWrap/>
            <w:vAlign w:val="center"/>
            <w:hideMark/>
          </w:tcPr>
          <w:p w14:paraId="503FE489" w14:textId="77777777" w:rsidR="004E1A8D" w:rsidRPr="00FA2838" w:rsidRDefault="004E1A8D" w:rsidP="00754AFA">
            <w:pPr>
              <w:jc w:val="center"/>
              <w:rPr>
                <w:rFonts w:eastAsia="Times New Roman"/>
                <w:b/>
                <w:bCs/>
                <w:color w:val="000000"/>
              </w:rPr>
            </w:pPr>
            <w:r w:rsidRPr="00FA2838">
              <w:rPr>
                <w:rFonts w:eastAsia="Times New Roman"/>
                <w:b/>
                <w:bCs/>
                <w:color w:val="000000"/>
              </w:rPr>
              <w:t>3534</w:t>
            </w:r>
          </w:p>
        </w:tc>
        <w:tc>
          <w:tcPr>
            <w:tcW w:w="1160" w:type="dxa"/>
            <w:shd w:val="clear" w:color="auto" w:fill="auto"/>
            <w:noWrap/>
            <w:vAlign w:val="center"/>
            <w:hideMark/>
          </w:tcPr>
          <w:p w14:paraId="3E2F2E57" w14:textId="77777777" w:rsidR="004E1A8D" w:rsidRPr="00FA2838" w:rsidRDefault="004E1A8D" w:rsidP="00754AFA">
            <w:pPr>
              <w:jc w:val="center"/>
              <w:rPr>
                <w:rFonts w:eastAsia="Times New Roman"/>
                <w:b/>
                <w:bCs/>
                <w:color w:val="000000"/>
              </w:rPr>
            </w:pPr>
            <w:r w:rsidRPr="00FA2838">
              <w:rPr>
                <w:rFonts w:eastAsia="Times New Roman"/>
                <w:b/>
                <w:bCs/>
                <w:color w:val="000000"/>
              </w:rPr>
              <w:t>45.45</w:t>
            </w:r>
          </w:p>
        </w:tc>
        <w:tc>
          <w:tcPr>
            <w:tcW w:w="3140" w:type="dxa"/>
            <w:shd w:val="clear" w:color="auto" w:fill="auto"/>
            <w:noWrap/>
            <w:vAlign w:val="center"/>
            <w:hideMark/>
          </w:tcPr>
          <w:p w14:paraId="33119FE4" w14:textId="77777777" w:rsidR="004E1A8D" w:rsidRPr="00FA2838" w:rsidRDefault="004E1A8D" w:rsidP="00754AFA">
            <w:pPr>
              <w:jc w:val="center"/>
              <w:rPr>
                <w:rFonts w:eastAsia="Times New Roman"/>
                <w:color w:val="000000"/>
              </w:rPr>
            </w:pPr>
            <w:r w:rsidRPr="00C609B3">
              <w:rPr>
                <w:rFonts w:eastAsia="Times New Roman"/>
                <w:color w:val="000000"/>
              </w:rPr>
              <w:t>1.61 [1.40-1.86]*</w:t>
            </w:r>
          </w:p>
        </w:tc>
      </w:tr>
      <w:tr w:rsidR="004E1A8D" w:rsidRPr="00C609B3" w14:paraId="5E6A48AA" w14:textId="77777777" w:rsidTr="00754AFA">
        <w:trPr>
          <w:trHeight w:val="320"/>
        </w:trPr>
        <w:tc>
          <w:tcPr>
            <w:tcW w:w="2965" w:type="dxa"/>
            <w:shd w:val="clear" w:color="auto" w:fill="auto"/>
            <w:noWrap/>
            <w:vAlign w:val="bottom"/>
            <w:hideMark/>
          </w:tcPr>
          <w:p w14:paraId="2EA4C3FB" w14:textId="77777777" w:rsidR="004E1A8D" w:rsidRPr="00FA2838" w:rsidRDefault="004E1A8D" w:rsidP="00754AFA">
            <w:pPr>
              <w:rPr>
                <w:rFonts w:eastAsia="Times New Roman"/>
                <w:b/>
                <w:bCs/>
                <w:color w:val="000000"/>
              </w:rPr>
            </w:pPr>
            <w:r w:rsidRPr="00FA2838">
              <w:rPr>
                <w:rFonts w:eastAsia="Times New Roman"/>
                <w:b/>
                <w:bCs/>
                <w:color w:val="000000"/>
              </w:rPr>
              <w:t>16-30</w:t>
            </w:r>
          </w:p>
        </w:tc>
        <w:tc>
          <w:tcPr>
            <w:tcW w:w="863" w:type="dxa"/>
            <w:shd w:val="clear" w:color="auto" w:fill="auto"/>
            <w:noWrap/>
            <w:vAlign w:val="center"/>
            <w:hideMark/>
          </w:tcPr>
          <w:p w14:paraId="01FF3C45" w14:textId="77777777" w:rsidR="004E1A8D" w:rsidRPr="00FA2838" w:rsidRDefault="004E1A8D" w:rsidP="00754AFA">
            <w:pPr>
              <w:jc w:val="center"/>
              <w:rPr>
                <w:rFonts w:eastAsia="Times New Roman"/>
                <w:b/>
                <w:bCs/>
                <w:color w:val="000000"/>
              </w:rPr>
            </w:pPr>
            <w:r w:rsidRPr="00FA2838">
              <w:rPr>
                <w:rFonts w:eastAsia="Times New Roman"/>
                <w:b/>
                <w:bCs/>
                <w:color w:val="000000"/>
              </w:rPr>
              <w:t>1855</w:t>
            </w:r>
          </w:p>
        </w:tc>
        <w:tc>
          <w:tcPr>
            <w:tcW w:w="1160" w:type="dxa"/>
            <w:shd w:val="clear" w:color="auto" w:fill="auto"/>
            <w:noWrap/>
            <w:vAlign w:val="center"/>
            <w:hideMark/>
          </w:tcPr>
          <w:p w14:paraId="37B7CC81" w14:textId="77777777" w:rsidR="004E1A8D" w:rsidRPr="00FA2838" w:rsidRDefault="004E1A8D" w:rsidP="00754AFA">
            <w:pPr>
              <w:jc w:val="center"/>
              <w:rPr>
                <w:rFonts w:eastAsia="Times New Roman"/>
                <w:b/>
                <w:bCs/>
                <w:color w:val="000000"/>
              </w:rPr>
            </w:pPr>
            <w:r w:rsidRPr="00FA2838">
              <w:rPr>
                <w:rFonts w:eastAsia="Times New Roman"/>
                <w:b/>
                <w:bCs/>
                <w:color w:val="000000"/>
              </w:rPr>
              <w:t>23.86</w:t>
            </w:r>
          </w:p>
        </w:tc>
        <w:tc>
          <w:tcPr>
            <w:tcW w:w="3140" w:type="dxa"/>
            <w:shd w:val="clear" w:color="auto" w:fill="auto"/>
            <w:noWrap/>
            <w:vAlign w:val="center"/>
            <w:hideMark/>
          </w:tcPr>
          <w:p w14:paraId="212D3581" w14:textId="77777777" w:rsidR="004E1A8D" w:rsidRPr="00FA2838" w:rsidRDefault="004E1A8D" w:rsidP="00754AFA">
            <w:pPr>
              <w:jc w:val="center"/>
              <w:rPr>
                <w:rFonts w:eastAsia="Times New Roman"/>
                <w:color w:val="000000"/>
              </w:rPr>
            </w:pPr>
            <w:r w:rsidRPr="00FA2838">
              <w:rPr>
                <w:rFonts w:eastAsia="Times New Roman"/>
                <w:color w:val="000000"/>
              </w:rPr>
              <w:t>3.34 [2.87-3.89]</w:t>
            </w:r>
            <w:r w:rsidRPr="00C609B3">
              <w:rPr>
                <w:rFonts w:eastAsia="Times New Roman"/>
                <w:color w:val="000000"/>
              </w:rPr>
              <w:t>*</w:t>
            </w:r>
          </w:p>
        </w:tc>
      </w:tr>
      <w:tr w:rsidR="004E1A8D" w:rsidRPr="00C609B3" w14:paraId="382A4443" w14:textId="77777777" w:rsidTr="00754AFA">
        <w:trPr>
          <w:trHeight w:val="320"/>
        </w:trPr>
        <w:tc>
          <w:tcPr>
            <w:tcW w:w="2965" w:type="dxa"/>
            <w:shd w:val="clear" w:color="auto" w:fill="auto"/>
            <w:noWrap/>
            <w:vAlign w:val="bottom"/>
            <w:hideMark/>
          </w:tcPr>
          <w:p w14:paraId="2E728171" w14:textId="77777777" w:rsidR="004E1A8D" w:rsidRPr="00FA2838" w:rsidRDefault="004E1A8D" w:rsidP="00754AFA">
            <w:pPr>
              <w:rPr>
                <w:rFonts w:eastAsia="Times New Roman"/>
                <w:b/>
                <w:bCs/>
                <w:color w:val="000000"/>
              </w:rPr>
            </w:pPr>
            <w:r w:rsidRPr="00FA2838">
              <w:rPr>
                <w:rFonts w:eastAsia="Times New Roman"/>
                <w:b/>
                <w:bCs/>
                <w:color w:val="000000"/>
              </w:rPr>
              <w:t>31-45</w:t>
            </w:r>
          </w:p>
        </w:tc>
        <w:tc>
          <w:tcPr>
            <w:tcW w:w="863" w:type="dxa"/>
            <w:shd w:val="clear" w:color="auto" w:fill="auto"/>
            <w:noWrap/>
            <w:vAlign w:val="center"/>
            <w:hideMark/>
          </w:tcPr>
          <w:p w14:paraId="79DCA42A" w14:textId="77777777" w:rsidR="004E1A8D" w:rsidRPr="00FA2838" w:rsidRDefault="004E1A8D" w:rsidP="00754AFA">
            <w:pPr>
              <w:jc w:val="center"/>
              <w:rPr>
                <w:rFonts w:eastAsia="Times New Roman"/>
                <w:b/>
                <w:bCs/>
                <w:color w:val="000000"/>
              </w:rPr>
            </w:pPr>
            <w:r w:rsidRPr="00FA2838">
              <w:rPr>
                <w:rFonts w:eastAsia="Times New Roman"/>
                <w:b/>
                <w:bCs/>
                <w:color w:val="000000"/>
              </w:rPr>
              <w:t>365</w:t>
            </w:r>
          </w:p>
        </w:tc>
        <w:tc>
          <w:tcPr>
            <w:tcW w:w="1160" w:type="dxa"/>
            <w:shd w:val="clear" w:color="auto" w:fill="auto"/>
            <w:noWrap/>
            <w:vAlign w:val="center"/>
            <w:hideMark/>
          </w:tcPr>
          <w:p w14:paraId="2092D07A" w14:textId="77777777" w:rsidR="004E1A8D" w:rsidRPr="00FA2838" w:rsidRDefault="004E1A8D" w:rsidP="00754AFA">
            <w:pPr>
              <w:jc w:val="center"/>
              <w:rPr>
                <w:rFonts w:eastAsia="Times New Roman"/>
                <w:b/>
                <w:bCs/>
                <w:color w:val="000000"/>
              </w:rPr>
            </w:pPr>
            <w:r w:rsidRPr="00FA2838">
              <w:rPr>
                <w:rFonts w:eastAsia="Times New Roman"/>
                <w:b/>
                <w:bCs/>
                <w:color w:val="000000"/>
              </w:rPr>
              <w:t>4.69</w:t>
            </w:r>
          </w:p>
        </w:tc>
        <w:tc>
          <w:tcPr>
            <w:tcW w:w="3140" w:type="dxa"/>
            <w:shd w:val="clear" w:color="auto" w:fill="auto"/>
            <w:noWrap/>
            <w:vAlign w:val="center"/>
            <w:hideMark/>
          </w:tcPr>
          <w:p w14:paraId="3B549D7B" w14:textId="77777777" w:rsidR="004E1A8D" w:rsidRPr="00FA2838" w:rsidRDefault="004E1A8D" w:rsidP="00754AFA">
            <w:pPr>
              <w:jc w:val="center"/>
              <w:rPr>
                <w:rFonts w:eastAsia="Times New Roman"/>
                <w:color w:val="000000"/>
              </w:rPr>
            </w:pPr>
            <w:r w:rsidRPr="00FA2838">
              <w:rPr>
                <w:rFonts w:eastAsia="Times New Roman"/>
                <w:color w:val="000000"/>
              </w:rPr>
              <w:t>5.67 [4.47-7.19]</w:t>
            </w:r>
            <w:r w:rsidRPr="00C609B3">
              <w:rPr>
                <w:rFonts w:eastAsia="Times New Roman"/>
                <w:color w:val="000000"/>
              </w:rPr>
              <w:t>*</w:t>
            </w:r>
          </w:p>
        </w:tc>
      </w:tr>
      <w:tr w:rsidR="004E1A8D" w:rsidRPr="00C609B3" w14:paraId="50C7939E" w14:textId="77777777" w:rsidTr="00754AFA">
        <w:trPr>
          <w:trHeight w:val="320"/>
        </w:trPr>
        <w:tc>
          <w:tcPr>
            <w:tcW w:w="2965" w:type="dxa"/>
            <w:shd w:val="clear" w:color="auto" w:fill="auto"/>
            <w:noWrap/>
            <w:vAlign w:val="bottom"/>
            <w:hideMark/>
          </w:tcPr>
          <w:p w14:paraId="48898A3E" w14:textId="77777777" w:rsidR="004E1A8D" w:rsidRPr="00FA2838" w:rsidRDefault="004E1A8D" w:rsidP="00754AFA">
            <w:pPr>
              <w:rPr>
                <w:rFonts w:eastAsia="Times New Roman"/>
                <w:b/>
                <w:bCs/>
                <w:color w:val="000000"/>
              </w:rPr>
            </w:pPr>
            <w:r w:rsidRPr="00FA2838">
              <w:rPr>
                <w:rFonts w:eastAsia="Times New Roman"/>
                <w:b/>
                <w:bCs/>
                <w:color w:val="000000"/>
              </w:rPr>
              <w:t>45+</w:t>
            </w:r>
          </w:p>
        </w:tc>
        <w:tc>
          <w:tcPr>
            <w:tcW w:w="863" w:type="dxa"/>
            <w:shd w:val="clear" w:color="auto" w:fill="auto"/>
            <w:noWrap/>
            <w:vAlign w:val="center"/>
            <w:hideMark/>
          </w:tcPr>
          <w:p w14:paraId="5F894670" w14:textId="77777777" w:rsidR="004E1A8D" w:rsidRPr="00FA2838" w:rsidRDefault="004E1A8D" w:rsidP="00754AFA">
            <w:pPr>
              <w:jc w:val="center"/>
              <w:rPr>
                <w:rFonts w:eastAsia="Times New Roman"/>
                <w:b/>
                <w:bCs/>
                <w:color w:val="000000"/>
              </w:rPr>
            </w:pPr>
            <w:r w:rsidRPr="00FA2838">
              <w:rPr>
                <w:rFonts w:eastAsia="Times New Roman"/>
                <w:b/>
                <w:bCs/>
                <w:color w:val="000000"/>
              </w:rPr>
              <w:t>30</w:t>
            </w:r>
          </w:p>
        </w:tc>
        <w:tc>
          <w:tcPr>
            <w:tcW w:w="1160" w:type="dxa"/>
            <w:shd w:val="clear" w:color="auto" w:fill="auto"/>
            <w:noWrap/>
            <w:vAlign w:val="center"/>
            <w:hideMark/>
          </w:tcPr>
          <w:p w14:paraId="30600F54" w14:textId="77777777" w:rsidR="004E1A8D" w:rsidRPr="00FA2838" w:rsidRDefault="004E1A8D" w:rsidP="00754AFA">
            <w:pPr>
              <w:jc w:val="center"/>
              <w:rPr>
                <w:rFonts w:eastAsia="Times New Roman"/>
                <w:b/>
                <w:bCs/>
                <w:color w:val="000000"/>
              </w:rPr>
            </w:pPr>
            <w:r w:rsidRPr="00FA2838">
              <w:rPr>
                <w:rFonts w:eastAsia="Times New Roman"/>
                <w:b/>
                <w:bCs/>
                <w:color w:val="000000"/>
              </w:rPr>
              <w:t>0.39</w:t>
            </w:r>
          </w:p>
        </w:tc>
        <w:tc>
          <w:tcPr>
            <w:tcW w:w="3140" w:type="dxa"/>
            <w:shd w:val="clear" w:color="auto" w:fill="auto"/>
            <w:noWrap/>
            <w:vAlign w:val="center"/>
            <w:hideMark/>
          </w:tcPr>
          <w:p w14:paraId="7038DEC8" w14:textId="77777777" w:rsidR="004E1A8D" w:rsidRPr="00FA2838" w:rsidRDefault="004E1A8D" w:rsidP="00754AFA">
            <w:pPr>
              <w:jc w:val="center"/>
              <w:rPr>
                <w:rFonts w:eastAsia="Times New Roman"/>
                <w:color w:val="000000"/>
              </w:rPr>
            </w:pPr>
            <w:r w:rsidRPr="00C609B3">
              <w:rPr>
                <w:rFonts w:eastAsia="Times New Roman"/>
                <w:color w:val="000000"/>
              </w:rPr>
              <w:t>12.19 [5.53-26.86]*</w:t>
            </w:r>
          </w:p>
        </w:tc>
      </w:tr>
      <w:tr w:rsidR="004E1A8D" w:rsidRPr="00C609B3" w14:paraId="2F113A15" w14:textId="77777777" w:rsidTr="00754AFA">
        <w:trPr>
          <w:trHeight w:val="320"/>
        </w:trPr>
        <w:tc>
          <w:tcPr>
            <w:tcW w:w="2965" w:type="dxa"/>
            <w:shd w:val="clear" w:color="auto" w:fill="auto"/>
            <w:noWrap/>
            <w:vAlign w:val="bottom"/>
            <w:hideMark/>
          </w:tcPr>
          <w:p w14:paraId="13770312" w14:textId="77777777" w:rsidR="004E1A8D" w:rsidRPr="00FA2838" w:rsidRDefault="004E1A8D" w:rsidP="00754AFA">
            <w:pPr>
              <w:rPr>
                <w:rFonts w:eastAsia="Times New Roman"/>
                <w:color w:val="000000"/>
              </w:rPr>
            </w:pPr>
            <w:r w:rsidRPr="00FA2838">
              <w:rPr>
                <w:rFonts w:eastAsia="Times New Roman"/>
                <w:color w:val="000000"/>
              </w:rPr>
              <w:t> </w:t>
            </w:r>
          </w:p>
        </w:tc>
        <w:tc>
          <w:tcPr>
            <w:tcW w:w="863" w:type="dxa"/>
            <w:shd w:val="clear" w:color="auto" w:fill="auto"/>
            <w:noWrap/>
            <w:vAlign w:val="center"/>
            <w:hideMark/>
          </w:tcPr>
          <w:p w14:paraId="57BD87E1"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1160" w:type="dxa"/>
            <w:shd w:val="clear" w:color="auto" w:fill="auto"/>
            <w:noWrap/>
            <w:vAlign w:val="center"/>
            <w:hideMark/>
          </w:tcPr>
          <w:p w14:paraId="1D12A160"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3140" w:type="dxa"/>
            <w:shd w:val="clear" w:color="auto" w:fill="auto"/>
            <w:noWrap/>
            <w:vAlign w:val="center"/>
            <w:hideMark/>
          </w:tcPr>
          <w:p w14:paraId="6EC5A328" w14:textId="77777777" w:rsidR="004E1A8D" w:rsidRPr="00FA2838" w:rsidRDefault="004E1A8D" w:rsidP="00754AFA">
            <w:pPr>
              <w:jc w:val="center"/>
              <w:rPr>
                <w:rFonts w:eastAsia="Times New Roman"/>
                <w:color w:val="000000"/>
              </w:rPr>
            </w:pPr>
            <w:r w:rsidRPr="00FA2838">
              <w:rPr>
                <w:rFonts w:eastAsia="Times New Roman"/>
                <w:color w:val="000000"/>
              </w:rPr>
              <w:t> </w:t>
            </w:r>
          </w:p>
        </w:tc>
      </w:tr>
      <w:tr w:rsidR="004E1A8D" w:rsidRPr="00C609B3" w14:paraId="4354C425" w14:textId="77777777" w:rsidTr="00754AFA">
        <w:trPr>
          <w:trHeight w:val="320"/>
        </w:trPr>
        <w:tc>
          <w:tcPr>
            <w:tcW w:w="2965" w:type="dxa"/>
            <w:shd w:val="clear" w:color="auto" w:fill="auto"/>
            <w:noWrap/>
            <w:vAlign w:val="bottom"/>
            <w:hideMark/>
          </w:tcPr>
          <w:p w14:paraId="42EDF78B" w14:textId="77777777" w:rsidR="004E1A8D" w:rsidRPr="00FA2838" w:rsidRDefault="004E1A8D" w:rsidP="00754AFA">
            <w:pPr>
              <w:rPr>
                <w:rFonts w:eastAsia="Times New Roman"/>
                <w:b/>
                <w:bCs/>
                <w:color w:val="000000"/>
              </w:rPr>
            </w:pPr>
            <w:r w:rsidRPr="00FA2838">
              <w:rPr>
                <w:rFonts w:eastAsia="Times New Roman"/>
                <w:b/>
                <w:bCs/>
                <w:color w:val="000000"/>
              </w:rPr>
              <w:t>ETHNIC GROUP (n=7169)</w:t>
            </w:r>
          </w:p>
        </w:tc>
        <w:tc>
          <w:tcPr>
            <w:tcW w:w="863" w:type="dxa"/>
            <w:shd w:val="clear" w:color="auto" w:fill="auto"/>
            <w:noWrap/>
            <w:vAlign w:val="bottom"/>
            <w:hideMark/>
          </w:tcPr>
          <w:p w14:paraId="3E3E6703" w14:textId="77777777" w:rsidR="004E1A8D" w:rsidRPr="00FA2838" w:rsidRDefault="004E1A8D" w:rsidP="00754AFA">
            <w:pPr>
              <w:rPr>
                <w:rFonts w:eastAsia="Times New Roman"/>
                <w:b/>
                <w:bCs/>
                <w:color w:val="000000"/>
              </w:rPr>
            </w:pPr>
            <w:r w:rsidRPr="00FA2838">
              <w:rPr>
                <w:rFonts w:eastAsia="Times New Roman"/>
                <w:b/>
                <w:bCs/>
                <w:color w:val="000000"/>
              </w:rPr>
              <w:t> </w:t>
            </w:r>
          </w:p>
        </w:tc>
        <w:tc>
          <w:tcPr>
            <w:tcW w:w="1160" w:type="dxa"/>
            <w:shd w:val="clear" w:color="auto" w:fill="auto"/>
            <w:noWrap/>
            <w:vAlign w:val="center"/>
            <w:hideMark/>
          </w:tcPr>
          <w:p w14:paraId="7B02BDEB" w14:textId="77777777" w:rsidR="004E1A8D" w:rsidRPr="00FA2838" w:rsidRDefault="004E1A8D" w:rsidP="00754AFA">
            <w:pPr>
              <w:jc w:val="center"/>
              <w:rPr>
                <w:rFonts w:eastAsia="Times New Roman"/>
                <w:b/>
                <w:bCs/>
                <w:color w:val="000000"/>
              </w:rPr>
            </w:pPr>
            <w:r w:rsidRPr="00FA2838">
              <w:rPr>
                <w:rFonts w:eastAsia="Times New Roman"/>
                <w:b/>
                <w:bCs/>
                <w:color w:val="000000"/>
              </w:rPr>
              <w:t> </w:t>
            </w:r>
          </w:p>
        </w:tc>
        <w:tc>
          <w:tcPr>
            <w:tcW w:w="3140" w:type="dxa"/>
            <w:shd w:val="clear" w:color="auto" w:fill="auto"/>
            <w:noWrap/>
            <w:vAlign w:val="bottom"/>
            <w:hideMark/>
          </w:tcPr>
          <w:p w14:paraId="333CECCA" w14:textId="77777777" w:rsidR="004E1A8D" w:rsidRPr="00FA2838" w:rsidRDefault="004E1A8D" w:rsidP="00754AFA">
            <w:pPr>
              <w:rPr>
                <w:rFonts w:eastAsia="Times New Roman"/>
                <w:color w:val="000000"/>
              </w:rPr>
            </w:pPr>
            <w:r w:rsidRPr="00FA2838">
              <w:rPr>
                <w:rFonts w:eastAsia="Times New Roman"/>
                <w:color w:val="000000"/>
              </w:rPr>
              <w:t> </w:t>
            </w:r>
          </w:p>
        </w:tc>
      </w:tr>
      <w:tr w:rsidR="004E1A8D" w:rsidRPr="00C609B3" w14:paraId="629E4597" w14:textId="77777777" w:rsidTr="00754AFA">
        <w:trPr>
          <w:trHeight w:val="320"/>
        </w:trPr>
        <w:tc>
          <w:tcPr>
            <w:tcW w:w="2965" w:type="dxa"/>
            <w:shd w:val="clear" w:color="auto" w:fill="auto"/>
            <w:noWrap/>
            <w:vAlign w:val="bottom"/>
            <w:hideMark/>
          </w:tcPr>
          <w:p w14:paraId="25F59337" w14:textId="77777777" w:rsidR="004E1A8D" w:rsidRPr="00FA2838" w:rsidRDefault="004E1A8D" w:rsidP="00754AFA">
            <w:pPr>
              <w:rPr>
                <w:rFonts w:eastAsia="Times New Roman"/>
                <w:b/>
                <w:bCs/>
                <w:color w:val="000000"/>
              </w:rPr>
            </w:pPr>
            <w:r w:rsidRPr="00FA2838">
              <w:rPr>
                <w:rFonts w:eastAsia="Times New Roman"/>
                <w:b/>
                <w:bCs/>
                <w:color w:val="000000"/>
              </w:rPr>
              <w:t>White</w:t>
            </w:r>
          </w:p>
        </w:tc>
        <w:tc>
          <w:tcPr>
            <w:tcW w:w="863" w:type="dxa"/>
            <w:shd w:val="clear" w:color="auto" w:fill="auto"/>
            <w:noWrap/>
            <w:vAlign w:val="center"/>
            <w:hideMark/>
          </w:tcPr>
          <w:p w14:paraId="591D5B4D" w14:textId="77777777" w:rsidR="004E1A8D" w:rsidRPr="00FA2838" w:rsidRDefault="004E1A8D" w:rsidP="00754AFA">
            <w:pPr>
              <w:jc w:val="center"/>
              <w:rPr>
                <w:rFonts w:eastAsia="Times New Roman"/>
                <w:b/>
                <w:bCs/>
                <w:color w:val="000000"/>
              </w:rPr>
            </w:pPr>
            <w:r w:rsidRPr="00FA2838">
              <w:rPr>
                <w:rFonts w:eastAsia="Times New Roman"/>
                <w:b/>
                <w:bCs/>
                <w:color w:val="000000"/>
              </w:rPr>
              <w:t>6948</w:t>
            </w:r>
          </w:p>
        </w:tc>
        <w:tc>
          <w:tcPr>
            <w:tcW w:w="1160" w:type="dxa"/>
            <w:shd w:val="clear" w:color="auto" w:fill="auto"/>
            <w:noWrap/>
            <w:vAlign w:val="center"/>
            <w:hideMark/>
          </w:tcPr>
          <w:p w14:paraId="56448D43" w14:textId="77777777" w:rsidR="004E1A8D" w:rsidRPr="00FA2838" w:rsidRDefault="004E1A8D" w:rsidP="00754AFA">
            <w:pPr>
              <w:jc w:val="center"/>
              <w:rPr>
                <w:rFonts w:eastAsia="Times New Roman"/>
                <w:b/>
                <w:bCs/>
                <w:color w:val="000000"/>
              </w:rPr>
            </w:pPr>
            <w:r w:rsidRPr="00FA2838">
              <w:rPr>
                <w:rFonts w:eastAsia="Times New Roman"/>
                <w:b/>
                <w:bCs/>
                <w:color w:val="000000"/>
              </w:rPr>
              <w:t>96.92</w:t>
            </w:r>
          </w:p>
        </w:tc>
        <w:tc>
          <w:tcPr>
            <w:tcW w:w="3140" w:type="dxa"/>
            <w:shd w:val="clear" w:color="auto" w:fill="auto"/>
            <w:noWrap/>
            <w:vAlign w:val="center"/>
            <w:hideMark/>
          </w:tcPr>
          <w:p w14:paraId="1EEC1996" w14:textId="77777777" w:rsidR="004E1A8D" w:rsidRPr="00FA2838" w:rsidRDefault="004E1A8D" w:rsidP="00754AFA">
            <w:pPr>
              <w:jc w:val="center"/>
              <w:rPr>
                <w:rFonts w:eastAsia="Times New Roman"/>
                <w:color w:val="000000"/>
              </w:rPr>
            </w:pPr>
            <w:r w:rsidRPr="00FA2838">
              <w:rPr>
                <w:rFonts w:eastAsia="Times New Roman"/>
                <w:color w:val="000000"/>
              </w:rPr>
              <w:t>1</w:t>
            </w:r>
          </w:p>
        </w:tc>
      </w:tr>
      <w:tr w:rsidR="004E1A8D" w:rsidRPr="00C609B3" w14:paraId="459C1A32" w14:textId="77777777" w:rsidTr="00754AFA">
        <w:trPr>
          <w:trHeight w:val="320"/>
        </w:trPr>
        <w:tc>
          <w:tcPr>
            <w:tcW w:w="2965" w:type="dxa"/>
            <w:shd w:val="clear" w:color="auto" w:fill="auto"/>
            <w:noWrap/>
            <w:vAlign w:val="bottom"/>
            <w:hideMark/>
          </w:tcPr>
          <w:p w14:paraId="6CE0913D" w14:textId="77777777" w:rsidR="004E1A8D" w:rsidRPr="00FA2838" w:rsidRDefault="004E1A8D" w:rsidP="00754AFA">
            <w:pPr>
              <w:rPr>
                <w:rFonts w:eastAsia="Times New Roman"/>
                <w:b/>
                <w:bCs/>
                <w:color w:val="000000"/>
              </w:rPr>
            </w:pPr>
            <w:r w:rsidRPr="00FA2838">
              <w:rPr>
                <w:rFonts w:eastAsia="Times New Roman"/>
                <w:b/>
                <w:bCs/>
                <w:color w:val="000000"/>
              </w:rPr>
              <w:t>Mixed</w:t>
            </w:r>
          </w:p>
        </w:tc>
        <w:tc>
          <w:tcPr>
            <w:tcW w:w="863" w:type="dxa"/>
            <w:shd w:val="clear" w:color="auto" w:fill="auto"/>
            <w:noWrap/>
            <w:vAlign w:val="center"/>
            <w:hideMark/>
          </w:tcPr>
          <w:p w14:paraId="7E30B3C3" w14:textId="77777777" w:rsidR="004E1A8D" w:rsidRPr="00FA2838" w:rsidRDefault="004E1A8D" w:rsidP="00754AFA">
            <w:pPr>
              <w:jc w:val="center"/>
              <w:rPr>
                <w:rFonts w:eastAsia="Times New Roman"/>
                <w:b/>
                <w:bCs/>
                <w:color w:val="000000"/>
              </w:rPr>
            </w:pPr>
            <w:r w:rsidRPr="00FA2838">
              <w:rPr>
                <w:rFonts w:eastAsia="Times New Roman"/>
                <w:b/>
                <w:bCs/>
                <w:color w:val="000000"/>
              </w:rPr>
              <w:t>20</w:t>
            </w:r>
          </w:p>
        </w:tc>
        <w:tc>
          <w:tcPr>
            <w:tcW w:w="1160" w:type="dxa"/>
            <w:shd w:val="clear" w:color="auto" w:fill="auto"/>
            <w:noWrap/>
            <w:vAlign w:val="center"/>
            <w:hideMark/>
          </w:tcPr>
          <w:p w14:paraId="2D6D418B" w14:textId="77777777" w:rsidR="004E1A8D" w:rsidRPr="00FA2838" w:rsidRDefault="004E1A8D" w:rsidP="00754AFA">
            <w:pPr>
              <w:jc w:val="center"/>
              <w:rPr>
                <w:rFonts w:eastAsia="Times New Roman"/>
                <w:b/>
                <w:bCs/>
                <w:color w:val="000000"/>
              </w:rPr>
            </w:pPr>
            <w:r w:rsidRPr="00FA2838">
              <w:rPr>
                <w:rFonts w:eastAsia="Times New Roman"/>
                <w:b/>
                <w:bCs/>
                <w:color w:val="000000"/>
              </w:rPr>
              <w:t>0.28</w:t>
            </w:r>
          </w:p>
        </w:tc>
        <w:tc>
          <w:tcPr>
            <w:tcW w:w="3140" w:type="dxa"/>
            <w:shd w:val="clear" w:color="auto" w:fill="auto"/>
            <w:noWrap/>
            <w:vAlign w:val="center"/>
            <w:hideMark/>
          </w:tcPr>
          <w:p w14:paraId="53783528" w14:textId="77777777" w:rsidR="004E1A8D" w:rsidRPr="00FA2838" w:rsidRDefault="004E1A8D" w:rsidP="00754AFA">
            <w:pPr>
              <w:jc w:val="center"/>
              <w:rPr>
                <w:rFonts w:eastAsia="Times New Roman"/>
                <w:color w:val="000000"/>
              </w:rPr>
            </w:pPr>
            <w:r w:rsidRPr="00C609B3">
              <w:rPr>
                <w:rFonts w:eastAsia="Times New Roman"/>
                <w:color w:val="000000"/>
              </w:rPr>
              <w:t>0.30 [0.07-1.29]</w:t>
            </w:r>
            <w:r w:rsidRPr="00FA2838">
              <w:rPr>
                <w:rFonts w:eastAsia="Times New Roman"/>
                <w:color w:val="000000"/>
              </w:rPr>
              <w:t xml:space="preserve"> </w:t>
            </w:r>
          </w:p>
        </w:tc>
      </w:tr>
      <w:tr w:rsidR="004E1A8D" w:rsidRPr="00C609B3" w14:paraId="6B7815EC" w14:textId="77777777" w:rsidTr="00754AFA">
        <w:trPr>
          <w:trHeight w:val="320"/>
        </w:trPr>
        <w:tc>
          <w:tcPr>
            <w:tcW w:w="2965" w:type="dxa"/>
            <w:shd w:val="clear" w:color="auto" w:fill="auto"/>
            <w:noWrap/>
            <w:vAlign w:val="bottom"/>
            <w:hideMark/>
          </w:tcPr>
          <w:p w14:paraId="10A5C1C4" w14:textId="77777777" w:rsidR="004E1A8D" w:rsidRPr="00FA2838" w:rsidRDefault="004E1A8D" w:rsidP="00754AFA">
            <w:pPr>
              <w:rPr>
                <w:rFonts w:eastAsia="Times New Roman"/>
                <w:b/>
                <w:bCs/>
                <w:color w:val="000000"/>
              </w:rPr>
            </w:pPr>
            <w:r w:rsidRPr="00FA2838">
              <w:rPr>
                <w:rFonts w:eastAsia="Times New Roman"/>
                <w:b/>
                <w:bCs/>
                <w:color w:val="000000"/>
              </w:rPr>
              <w:t>Asian</w:t>
            </w:r>
          </w:p>
        </w:tc>
        <w:tc>
          <w:tcPr>
            <w:tcW w:w="863" w:type="dxa"/>
            <w:shd w:val="clear" w:color="auto" w:fill="auto"/>
            <w:noWrap/>
            <w:vAlign w:val="center"/>
            <w:hideMark/>
          </w:tcPr>
          <w:p w14:paraId="42072843" w14:textId="77777777" w:rsidR="004E1A8D" w:rsidRPr="00FA2838" w:rsidRDefault="004E1A8D" w:rsidP="00754AFA">
            <w:pPr>
              <w:jc w:val="center"/>
              <w:rPr>
                <w:rFonts w:eastAsia="Times New Roman"/>
                <w:b/>
                <w:bCs/>
                <w:color w:val="000000"/>
              </w:rPr>
            </w:pPr>
            <w:r w:rsidRPr="00FA2838">
              <w:rPr>
                <w:rFonts w:eastAsia="Times New Roman"/>
                <w:b/>
                <w:bCs/>
                <w:color w:val="000000"/>
              </w:rPr>
              <w:t>168</w:t>
            </w:r>
          </w:p>
        </w:tc>
        <w:tc>
          <w:tcPr>
            <w:tcW w:w="1160" w:type="dxa"/>
            <w:shd w:val="clear" w:color="auto" w:fill="auto"/>
            <w:noWrap/>
            <w:vAlign w:val="center"/>
            <w:hideMark/>
          </w:tcPr>
          <w:p w14:paraId="27A064B0" w14:textId="77777777" w:rsidR="004E1A8D" w:rsidRPr="00FA2838" w:rsidRDefault="004E1A8D" w:rsidP="00754AFA">
            <w:pPr>
              <w:jc w:val="center"/>
              <w:rPr>
                <w:rFonts w:eastAsia="Times New Roman"/>
                <w:b/>
                <w:bCs/>
                <w:color w:val="000000"/>
              </w:rPr>
            </w:pPr>
            <w:r w:rsidRPr="00FA2838">
              <w:rPr>
                <w:rFonts w:eastAsia="Times New Roman"/>
                <w:b/>
                <w:bCs/>
                <w:color w:val="000000"/>
              </w:rPr>
              <w:t>2.34</w:t>
            </w:r>
          </w:p>
        </w:tc>
        <w:tc>
          <w:tcPr>
            <w:tcW w:w="3140" w:type="dxa"/>
            <w:shd w:val="clear" w:color="auto" w:fill="auto"/>
            <w:noWrap/>
            <w:vAlign w:val="center"/>
            <w:hideMark/>
          </w:tcPr>
          <w:p w14:paraId="4F437F51" w14:textId="77777777" w:rsidR="004E1A8D" w:rsidRPr="00FA2838" w:rsidRDefault="004E1A8D" w:rsidP="00754AFA">
            <w:pPr>
              <w:jc w:val="center"/>
              <w:rPr>
                <w:rFonts w:eastAsia="Times New Roman"/>
                <w:color w:val="000000"/>
              </w:rPr>
            </w:pPr>
            <w:r w:rsidRPr="00C609B3">
              <w:rPr>
                <w:rFonts w:eastAsia="Times New Roman"/>
                <w:color w:val="000000"/>
              </w:rPr>
              <w:t>0.47 [0.31-0.72]*</w:t>
            </w:r>
          </w:p>
        </w:tc>
      </w:tr>
      <w:tr w:rsidR="004E1A8D" w:rsidRPr="00C609B3" w14:paraId="2CA21CC3" w14:textId="77777777" w:rsidTr="00754AFA">
        <w:trPr>
          <w:trHeight w:val="320"/>
        </w:trPr>
        <w:tc>
          <w:tcPr>
            <w:tcW w:w="2965" w:type="dxa"/>
            <w:shd w:val="clear" w:color="auto" w:fill="auto"/>
            <w:noWrap/>
            <w:vAlign w:val="bottom"/>
            <w:hideMark/>
          </w:tcPr>
          <w:p w14:paraId="78EDF438" w14:textId="77777777" w:rsidR="004E1A8D" w:rsidRPr="00FA2838" w:rsidRDefault="004E1A8D" w:rsidP="00754AFA">
            <w:pPr>
              <w:rPr>
                <w:rFonts w:eastAsia="Times New Roman"/>
                <w:b/>
                <w:bCs/>
                <w:color w:val="000000"/>
              </w:rPr>
            </w:pPr>
            <w:r w:rsidRPr="00FA2838">
              <w:rPr>
                <w:rFonts w:eastAsia="Times New Roman"/>
                <w:b/>
                <w:bCs/>
                <w:color w:val="000000"/>
              </w:rPr>
              <w:t>Black</w:t>
            </w:r>
          </w:p>
        </w:tc>
        <w:tc>
          <w:tcPr>
            <w:tcW w:w="863" w:type="dxa"/>
            <w:shd w:val="clear" w:color="auto" w:fill="auto"/>
            <w:noWrap/>
            <w:vAlign w:val="center"/>
            <w:hideMark/>
          </w:tcPr>
          <w:p w14:paraId="5BBF015A" w14:textId="77777777" w:rsidR="004E1A8D" w:rsidRPr="00FA2838" w:rsidRDefault="004E1A8D" w:rsidP="00754AFA">
            <w:pPr>
              <w:jc w:val="center"/>
              <w:rPr>
                <w:rFonts w:eastAsia="Times New Roman"/>
                <w:b/>
                <w:bCs/>
                <w:color w:val="000000"/>
              </w:rPr>
            </w:pPr>
            <w:r w:rsidRPr="00FA2838">
              <w:rPr>
                <w:rFonts w:eastAsia="Times New Roman"/>
                <w:b/>
                <w:bCs/>
                <w:color w:val="000000"/>
              </w:rPr>
              <w:t>33</w:t>
            </w:r>
          </w:p>
        </w:tc>
        <w:tc>
          <w:tcPr>
            <w:tcW w:w="1160" w:type="dxa"/>
            <w:shd w:val="clear" w:color="auto" w:fill="auto"/>
            <w:noWrap/>
            <w:vAlign w:val="center"/>
            <w:hideMark/>
          </w:tcPr>
          <w:p w14:paraId="49A3C105" w14:textId="77777777" w:rsidR="004E1A8D" w:rsidRPr="00FA2838" w:rsidRDefault="004E1A8D" w:rsidP="00754AFA">
            <w:pPr>
              <w:jc w:val="center"/>
              <w:rPr>
                <w:rFonts w:eastAsia="Times New Roman"/>
                <w:b/>
                <w:bCs/>
                <w:color w:val="000000"/>
              </w:rPr>
            </w:pPr>
            <w:r w:rsidRPr="00FA2838">
              <w:rPr>
                <w:rFonts w:eastAsia="Times New Roman"/>
                <w:b/>
                <w:bCs/>
                <w:color w:val="000000"/>
              </w:rPr>
              <w:t>0.46</w:t>
            </w:r>
          </w:p>
        </w:tc>
        <w:tc>
          <w:tcPr>
            <w:tcW w:w="3140" w:type="dxa"/>
            <w:shd w:val="clear" w:color="auto" w:fill="auto"/>
            <w:noWrap/>
            <w:vAlign w:val="center"/>
            <w:hideMark/>
          </w:tcPr>
          <w:p w14:paraId="2A30C92A" w14:textId="77777777" w:rsidR="004E1A8D" w:rsidRPr="00FA2838" w:rsidRDefault="004E1A8D" w:rsidP="00754AFA">
            <w:pPr>
              <w:jc w:val="center"/>
              <w:rPr>
                <w:rFonts w:eastAsia="Times New Roman"/>
                <w:color w:val="000000"/>
              </w:rPr>
            </w:pPr>
            <w:r w:rsidRPr="00C609B3">
              <w:rPr>
                <w:rFonts w:eastAsia="Times New Roman"/>
                <w:color w:val="000000"/>
              </w:rPr>
              <w:t>0.48 [0.18-1.25]</w:t>
            </w:r>
          </w:p>
        </w:tc>
      </w:tr>
    </w:tbl>
    <w:p w14:paraId="623629C6" w14:textId="77777777" w:rsidR="004E1A8D" w:rsidRPr="00C609B3" w:rsidRDefault="004E1A8D" w:rsidP="004E1A8D"/>
    <w:p w14:paraId="07FC6304" w14:textId="77777777" w:rsidR="005D2EF9" w:rsidRDefault="004E1A8D" w:rsidP="004E1A8D">
      <w:pPr>
        <w:sectPr w:rsidR="005D2EF9" w:rsidSect="004E1A8D">
          <w:pgSz w:w="11900" w:h="16840"/>
          <w:pgMar w:top="1440" w:right="1440" w:bottom="1440" w:left="1440" w:header="720" w:footer="720" w:gutter="0"/>
          <w:cols w:space="720"/>
          <w:docGrid w:linePitch="360"/>
        </w:sectPr>
      </w:pPr>
      <w:r w:rsidRPr="00C609B3">
        <w:br w:type="page"/>
      </w:r>
    </w:p>
    <w:p w14:paraId="52ED6EF7" w14:textId="35909DA4" w:rsidR="004E1A8D" w:rsidRPr="00C609B3" w:rsidRDefault="004E1A8D" w:rsidP="004E1A8D">
      <w:r w:rsidRPr="00C609B3">
        <w:lastRenderedPageBreak/>
        <w:t xml:space="preserve">Table </w:t>
      </w:r>
      <w:r>
        <w:t>2</w:t>
      </w:r>
      <w:r w:rsidRPr="00C609B3">
        <w:t xml:space="preserve">b: </w:t>
      </w:r>
      <w:proofErr w:type="spellStart"/>
      <w:r w:rsidRPr="00C609B3">
        <w:t>Univariable</w:t>
      </w:r>
      <w:proofErr w:type="spellEnd"/>
      <w:r w:rsidRPr="00C609B3">
        <w:t xml:space="preserve"> association between baseline parameters and readmission and length of stay&gt;10 days (* indicates p&lt;0.05)</w:t>
      </w:r>
    </w:p>
    <w:p w14:paraId="79C6D1FE" w14:textId="77777777" w:rsidR="004E1A8D" w:rsidRPr="00C609B3" w:rsidRDefault="004E1A8D" w:rsidP="004E1A8D"/>
    <w:tbl>
      <w:tblPr>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160"/>
        <w:gridCol w:w="1160"/>
        <w:gridCol w:w="3140"/>
        <w:gridCol w:w="3140"/>
      </w:tblGrid>
      <w:tr w:rsidR="004E1A8D" w:rsidRPr="00C609B3" w14:paraId="22ACD0CB" w14:textId="77777777" w:rsidTr="00754AFA">
        <w:trPr>
          <w:trHeight w:val="320"/>
        </w:trPr>
        <w:tc>
          <w:tcPr>
            <w:tcW w:w="2580" w:type="dxa"/>
            <w:shd w:val="clear" w:color="auto" w:fill="auto"/>
            <w:noWrap/>
            <w:vAlign w:val="bottom"/>
            <w:hideMark/>
          </w:tcPr>
          <w:p w14:paraId="24A14EA8" w14:textId="77777777" w:rsidR="004E1A8D" w:rsidRPr="00C609B3" w:rsidRDefault="004E1A8D" w:rsidP="00754AFA">
            <w:pPr>
              <w:rPr>
                <w:rFonts w:eastAsia="Times New Roman"/>
                <w:b/>
                <w:bCs/>
                <w:color w:val="000000"/>
              </w:rPr>
            </w:pPr>
            <w:r w:rsidRPr="00C609B3">
              <w:rPr>
                <w:rFonts w:eastAsia="Times New Roman"/>
                <w:b/>
                <w:bCs/>
                <w:color w:val="000000"/>
              </w:rPr>
              <w:t> </w:t>
            </w:r>
          </w:p>
        </w:tc>
        <w:tc>
          <w:tcPr>
            <w:tcW w:w="1160" w:type="dxa"/>
            <w:shd w:val="clear" w:color="auto" w:fill="auto"/>
            <w:noWrap/>
            <w:vAlign w:val="center"/>
            <w:hideMark/>
          </w:tcPr>
          <w:p w14:paraId="5B534CD6" w14:textId="77777777" w:rsidR="004E1A8D" w:rsidRPr="00C609B3" w:rsidRDefault="004E1A8D" w:rsidP="00754AFA">
            <w:pPr>
              <w:jc w:val="center"/>
              <w:rPr>
                <w:rFonts w:eastAsia="Times New Roman"/>
                <w:b/>
                <w:bCs/>
                <w:color w:val="000000"/>
              </w:rPr>
            </w:pPr>
            <w:r w:rsidRPr="00C609B3">
              <w:rPr>
                <w:rFonts w:eastAsia="Times New Roman"/>
                <w:b/>
                <w:bCs/>
                <w:color w:val="000000"/>
              </w:rPr>
              <w:t>TOTAL*</w:t>
            </w:r>
          </w:p>
        </w:tc>
        <w:tc>
          <w:tcPr>
            <w:tcW w:w="1160" w:type="dxa"/>
            <w:shd w:val="clear" w:color="auto" w:fill="auto"/>
            <w:noWrap/>
            <w:vAlign w:val="center"/>
            <w:hideMark/>
          </w:tcPr>
          <w:p w14:paraId="25B7845C" w14:textId="77777777" w:rsidR="004E1A8D" w:rsidRPr="00C609B3" w:rsidRDefault="004E1A8D" w:rsidP="00754AFA">
            <w:pPr>
              <w:jc w:val="center"/>
              <w:rPr>
                <w:rFonts w:eastAsia="Times New Roman"/>
                <w:b/>
                <w:bCs/>
                <w:color w:val="000000"/>
              </w:rPr>
            </w:pPr>
            <w:r w:rsidRPr="00C609B3">
              <w:rPr>
                <w:rFonts w:eastAsia="Times New Roman"/>
                <w:b/>
                <w:bCs/>
                <w:color w:val="000000"/>
              </w:rPr>
              <w:t>%</w:t>
            </w:r>
          </w:p>
        </w:tc>
        <w:tc>
          <w:tcPr>
            <w:tcW w:w="3140" w:type="dxa"/>
            <w:shd w:val="clear" w:color="auto" w:fill="auto"/>
            <w:noWrap/>
            <w:vAlign w:val="center"/>
            <w:hideMark/>
          </w:tcPr>
          <w:p w14:paraId="0C5D965E" w14:textId="77777777" w:rsidR="004E1A8D" w:rsidRPr="00C609B3" w:rsidRDefault="004E1A8D" w:rsidP="00754AFA">
            <w:pPr>
              <w:jc w:val="center"/>
              <w:rPr>
                <w:rFonts w:eastAsia="Times New Roman"/>
                <w:b/>
                <w:bCs/>
                <w:color w:val="000000"/>
              </w:rPr>
            </w:pPr>
            <w:r w:rsidRPr="00C609B3">
              <w:rPr>
                <w:rFonts w:eastAsia="Times New Roman"/>
                <w:b/>
                <w:bCs/>
                <w:color w:val="000000"/>
              </w:rPr>
              <w:t>OR readmission</w:t>
            </w:r>
          </w:p>
        </w:tc>
        <w:tc>
          <w:tcPr>
            <w:tcW w:w="3140" w:type="dxa"/>
            <w:shd w:val="clear" w:color="auto" w:fill="auto"/>
            <w:noWrap/>
            <w:vAlign w:val="center"/>
            <w:hideMark/>
          </w:tcPr>
          <w:p w14:paraId="7D5E388F" w14:textId="77777777" w:rsidR="004E1A8D" w:rsidRPr="00C609B3" w:rsidRDefault="004E1A8D" w:rsidP="00754AFA">
            <w:pPr>
              <w:jc w:val="center"/>
              <w:rPr>
                <w:rFonts w:eastAsia="Times New Roman"/>
                <w:b/>
                <w:bCs/>
                <w:color w:val="000000"/>
              </w:rPr>
            </w:pPr>
            <w:r w:rsidRPr="00C609B3">
              <w:rPr>
                <w:rFonts w:eastAsia="Times New Roman"/>
                <w:b/>
                <w:bCs/>
                <w:color w:val="000000"/>
              </w:rPr>
              <w:t>OR hospitalization &gt;10 days</w:t>
            </w:r>
          </w:p>
        </w:tc>
      </w:tr>
      <w:tr w:rsidR="004E1A8D" w:rsidRPr="00C609B3" w14:paraId="03DDEAE6" w14:textId="77777777" w:rsidTr="00754AFA">
        <w:trPr>
          <w:trHeight w:val="320"/>
        </w:trPr>
        <w:tc>
          <w:tcPr>
            <w:tcW w:w="2580" w:type="dxa"/>
            <w:shd w:val="clear" w:color="auto" w:fill="auto"/>
            <w:noWrap/>
            <w:vAlign w:val="bottom"/>
          </w:tcPr>
          <w:p w14:paraId="5AD2C58D" w14:textId="77777777" w:rsidR="004E1A8D" w:rsidRPr="00C609B3" w:rsidRDefault="004E1A8D" w:rsidP="00754AFA">
            <w:pPr>
              <w:rPr>
                <w:rFonts w:eastAsia="Times New Roman"/>
                <w:color w:val="000000"/>
              </w:rPr>
            </w:pPr>
          </w:p>
        </w:tc>
        <w:tc>
          <w:tcPr>
            <w:tcW w:w="1160" w:type="dxa"/>
            <w:shd w:val="clear" w:color="auto" w:fill="auto"/>
            <w:noWrap/>
            <w:vAlign w:val="center"/>
          </w:tcPr>
          <w:p w14:paraId="62F188D7" w14:textId="77777777" w:rsidR="004E1A8D" w:rsidRPr="00C609B3" w:rsidRDefault="004E1A8D" w:rsidP="00754AFA">
            <w:pPr>
              <w:jc w:val="center"/>
              <w:rPr>
                <w:rFonts w:eastAsia="Times New Roman"/>
                <w:color w:val="000000"/>
              </w:rPr>
            </w:pPr>
          </w:p>
        </w:tc>
        <w:tc>
          <w:tcPr>
            <w:tcW w:w="1160" w:type="dxa"/>
            <w:shd w:val="clear" w:color="auto" w:fill="auto"/>
            <w:noWrap/>
            <w:vAlign w:val="center"/>
          </w:tcPr>
          <w:p w14:paraId="671B790B" w14:textId="77777777" w:rsidR="004E1A8D" w:rsidRPr="00C609B3" w:rsidRDefault="004E1A8D" w:rsidP="00754AFA">
            <w:pPr>
              <w:jc w:val="center"/>
              <w:rPr>
                <w:rFonts w:eastAsia="Times New Roman"/>
                <w:color w:val="000000"/>
              </w:rPr>
            </w:pPr>
          </w:p>
        </w:tc>
        <w:tc>
          <w:tcPr>
            <w:tcW w:w="3140" w:type="dxa"/>
            <w:shd w:val="clear" w:color="auto" w:fill="auto"/>
            <w:noWrap/>
            <w:vAlign w:val="center"/>
          </w:tcPr>
          <w:p w14:paraId="23FF8C24" w14:textId="77777777" w:rsidR="004E1A8D" w:rsidRPr="00C609B3" w:rsidRDefault="004E1A8D" w:rsidP="00754AFA">
            <w:pPr>
              <w:jc w:val="center"/>
              <w:rPr>
                <w:rFonts w:eastAsia="Times New Roman"/>
                <w:color w:val="000000"/>
              </w:rPr>
            </w:pPr>
          </w:p>
        </w:tc>
        <w:tc>
          <w:tcPr>
            <w:tcW w:w="3140" w:type="dxa"/>
            <w:shd w:val="clear" w:color="auto" w:fill="auto"/>
            <w:noWrap/>
            <w:vAlign w:val="center"/>
          </w:tcPr>
          <w:p w14:paraId="1DAFFF32" w14:textId="77777777" w:rsidR="004E1A8D" w:rsidRPr="00C609B3" w:rsidRDefault="004E1A8D" w:rsidP="00754AFA">
            <w:pPr>
              <w:jc w:val="center"/>
              <w:rPr>
                <w:rFonts w:eastAsia="Times New Roman"/>
                <w:color w:val="000000"/>
              </w:rPr>
            </w:pPr>
          </w:p>
        </w:tc>
      </w:tr>
      <w:tr w:rsidR="004E1A8D" w:rsidRPr="00C609B3" w14:paraId="326AE44E" w14:textId="77777777" w:rsidTr="00754AFA">
        <w:trPr>
          <w:trHeight w:val="320"/>
        </w:trPr>
        <w:tc>
          <w:tcPr>
            <w:tcW w:w="2580" w:type="dxa"/>
            <w:shd w:val="clear" w:color="auto" w:fill="auto"/>
            <w:noWrap/>
            <w:vAlign w:val="bottom"/>
            <w:hideMark/>
          </w:tcPr>
          <w:p w14:paraId="738922D6" w14:textId="77777777" w:rsidR="004E1A8D" w:rsidRPr="00C609B3" w:rsidRDefault="004E1A8D" w:rsidP="00754AFA">
            <w:pPr>
              <w:rPr>
                <w:rFonts w:eastAsia="Times New Roman"/>
                <w:b/>
                <w:bCs/>
                <w:color w:val="000000"/>
              </w:rPr>
            </w:pPr>
            <w:r w:rsidRPr="00C609B3">
              <w:rPr>
                <w:rFonts w:eastAsia="Times New Roman"/>
                <w:b/>
                <w:bCs/>
                <w:color w:val="000000"/>
              </w:rPr>
              <w:t>AGE  (n=5687)</w:t>
            </w:r>
          </w:p>
        </w:tc>
        <w:tc>
          <w:tcPr>
            <w:tcW w:w="1160" w:type="dxa"/>
            <w:shd w:val="clear" w:color="auto" w:fill="auto"/>
            <w:noWrap/>
            <w:vAlign w:val="center"/>
            <w:hideMark/>
          </w:tcPr>
          <w:p w14:paraId="6F0A6F2A"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1160" w:type="dxa"/>
            <w:shd w:val="clear" w:color="auto" w:fill="auto"/>
            <w:noWrap/>
            <w:vAlign w:val="center"/>
            <w:hideMark/>
          </w:tcPr>
          <w:p w14:paraId="7E578F2C"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3140" w:type="dxa"/>
            <w:shd w:val="clear" w:color="auto" w:fill="auto"/>
            <w:noWrap/>
            <w:vAlign w:val="center"/>
            <w:hideMark/>
          </w:tcPr>
          <w:p w14:paraId="001C8100"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3140" w:type="dxa"/>
            <w:shd w:val="clear" w:color="auto" w:fill="auto"/>
            <w:noWrap/>
            <w:vAlign w:val="center"/>
            <w:hideMark/>
          </w:tcPr>
          <w:p w14:paraId="608D93C5" w14:textId="77777777" w:rsidR="004E1A8D" w:rsidRPr="00C609B3" w:rsidRDefault="004E1A8D" w:rsidP="00754AFA">
            <w:pPr>
              <w:jc w:val="center"/>
              <w:rPr>
                <w:rFonts w:eastAsia="Times New Roman"/>
                <w:color w:val="000000"/>
              </w:rPr>
            </w:pPr>
            <w:r w:rsidRPr="00C609B3">
              <w:rPr>
                <w:rFonts w:eastAsia="Times New Roman"/>
                <w:color w:val="000000"/>
              </w:rPr>
              <w:t> </w:t>
            </w:r>
          </w:p>
        </w:tc>
      </w:tr>
      <w:tr w:rsidR="004E1A8D" w:rsidRPr="00C609B3" w14:paraId="6F8C53CE" w14:textId="77777777" w:rsidTr="00754AFA">
        <w:trPr>
          <w:trHeight w:val="320"/>
        </w:trPr>
        <w:tc>
          <w:tcPr>
            <w:tcW w:w="2580" w:type="dxa"/>
            <w:shd w:val="clear" w:color="auto" w:fill="auto"/>
            <w:noWrap/>
            <w:vAlign w:val="bottom"/>
            <w:hideMark/>
          </w:tcPr>
          <w:p w14:paraId="49C5503D" w14:textId="77777777" w:rsidR="004E1A8D" w:rsidRPr="00C609B3" w:rsidRDefault="004E1A8D" w:rsidP="00754AFA">
            <w:pPr>
              <w:rPr>
                <w:rFonts w:eastAsia="Times New Roman"/>
                <w:b/>
                <w:bCs/>
                <w:color w:val="000000"/>
              </w:rPr>
            </w:pPr>
            <w:r w:rsidRPr="00C609B3">
              <w:rPr>
                <w:rFonts w:eastAsia="Times New Roman"/>
                <w:b/>
                <w:bCs/>
                <w:color w:val="000000"/>
              </w:rPr>
              <w:t>15-44</w:t>
            </w:r>
          </w:p>
        </w:tc>
        <w:tc>
          <w:tcPr>
            <w:tcW w:w="1160" w:type="dxa"/>
            <w:shd w:val="clear" w:color="auto" w:fill="auto"/>
            <w:noWrap/>
            <w:vAlign w:val="center"/>
            <w:hideMark/>
          </w:tcPr>
          <w:p w14:paraId="31A40E13" w14:textId="77777777" w:rsidR="004E1A8D" w:rsidRPr="00C609B3" w:rsidRDefault="004E1A8D" w:rsidP="00754AFA">
            <w:pPr>
              <w:jc w:val="center"/>
              <w:rPr>
                <w:rFonts w:eastAsia="Times New Roman"/>
                <w:b/>
                <w:bCs/>
                <w:color w:val="000000"/>
              </w:rPr>
            </w:pPr>
            <w:r w:rsidRPr="00C609B3">
              <w:rPr>
                <w:rFonts w:eastAsia="Times New Roman"/>
                <w:b/>
                <w:bCs/>
                <w:color w:val="000000"/>
              </w:rPr>
              <w:t>569</w:t>
            </w:r>
          </w:p>
        </w:tc>
        <w:tc>
          <w:tcPr>
            <w:tcW w:w="1160" w:type="dxa"/>
            <w:shd w:val="clear" w:color="auto" w:fill="auto"/>
            <w:noWrap/>
            <w:vAlign w:val="center"/>
            <w:hideMark/>
          </w:tcPr>
          <w:p w14:paraId="7DBCC78A" w14:textId="77777777" w:rsidR="004E1A8D" w:rsidRPr="00C609B3" w:rsidRDefault="004E1A8D" w:rsidP="00754AFA">
            <w:pPr>
              <w:jc w:val="center"/>
              <w:rPr>
                <w:rFonts w:eastAsia="Times New Roman"/>
                <w:b/>
                <w:bCs/>
                <w:color w:val="000000"/>
              </w:rPr>
            </w:pPr>
            <w:r w:rsidRPr="00C609B3">
              <w:rPr>
                <w:rFonts w:eastAsia="Times New Roman"/>
                <w:b/>
                <w:bCs/>
                <w:color w:val="000000"/>
              </w:rPr>
              <w:t>10.01</w:t>
            </w:r>
          </w:p>
        </w:tc>
        <w:tc>
          <w:tcPr>
            <w:tcW w:w="3140" w:type="dxa"/>
            <w:shd w:val="clear" w:color="auto" w:fill="auto"/>
            <w:noWrap/>
            <w:vAlign w:val="center"/>
            <w:hideMark/>
          </w:tcPr>
          <w:p w14:paraId="4E3FF4C4" w14:textId="77777777" w:rsidR="004E1A8D" w:rsidRPr="00C609B3" w:rsidRDefault="004E1A8D" w:rsidP="00754AFA">
            <w:pPr>
              <w:jc w:val="center"/>
              <w:rPr>
                <w:rFonts w:eastAsia="Times New Roman"/>
                <w:color w:val="000000"/>
              </w:rPr>
            </w:pPr>
            <w:r w:rsidRPr="00C609B3">
              <w:rPr>
                <w:rFonts w:eastAsia="Times New Roman"/>
                <w:color w:val="000000"/>
              </w:rPr>
              <w:t>1</w:t>
            </w:r>
          </w:p>
        </w:tc>
        <w:tc>
          <w:tcPr>
            <w:tcW w:w="3140" w:type="dxa"/>
            <w:shd w:val="clear" w:color="auto" w:fill="auto"/>
            <w:noWrap/>
            <w:vAlign w:val="center"/>
            <w:hideMark/>
          </w:tcPr>
          <w:p w14:paraId="069DD1F5" w14:textId="77777777" w:rsidR="004E1A8D" w:rsidRPr="00C609B3" w:rsidRDefault="004E1A8D" w:rsidP="00754AFA">
            <w:pPr>
              <w:jc w:val="center"/>
              <w:rPr>
                <w:rFonts w:eastAsia="Times New Roman"/>
                <w:color w:val="000000"/>
              </w:rPr>
            </w:pPr>
            <w:r w:rsidRPr="00C609B3">
              <w:rPr>
                <w:rFonts w:eastAsia="Times New Roman"/>
                <w:color w:val="000000"/>
              </w:rPr>
              <w:t>1</w:t>
            </w:r>
          </w:p>
        </w:tc>
      </w:tr>
      <w:tr w:rsidR="004E1A8D" w:rsidRPr="00C609B3" w14:paraId="0976E344" w14:textId="77777777" w:rsidTr="00754AFA">
        <w:trPr>
          <w:trHeight w:val="320"/>
        </w:trPr>
        <w:tc>
          <w:tcPr>
            <w:tcW w:w="2580" w:type="dxa"/>
            <w:shd w:val="clear" w:color="auto" w:fill="auto"/>
            <w:noWrap/>
            <w:vAlign w:val="bottom"/>
            <w:hideMark/>
          </w:tcPr>
          <w:p w14:paraId="757801B1" w14:textId="77777777" w:rsidR="004E1A8D" w:rsidRPr="00C609B3" w:rsidRDefault="004E1A8D" w:rsidP="00754AFA">
            <w:pPr>
              <w:rPr>
                <w:rFonts w:eastAsia="Times New Roman"/>
                <w:b/>
                <w:bCs/>
                <w:color w:val="000000"/>
              </w:rPr>
            </w:pPr>
            <w:r w:rsidRPr="00C609B3">
              <w:rPr>
                <w:rFonts w:eastAsia="Times New Roman"/>
                <w:b/>
                <w:bCs/>
                <w:color w:val="000000"/>
              </w:rPr>
              <w:t>45-64</w:t>
            </w:r>
          </w:p>
        </w:tc>
        <w:tc>
          <w:tcPr>
            <w:tcW w:w="1160" w:type="dxa"/>
            <w:shd w:val="clear" w:color="auto" w:fill="auto"/>
            <w:noWrap/>
            <w:vAlign w:val="center"/>
            <w:hideMark/>
          </w:tcPr>
          <w:p w14:paraId="17E5C6E2" w14:textId="77777777" w:rsidR="004E1A8D" w:rsidRPr="00C609B3" w:rsidRDefault="004E1A8D" w:rsidP="00754AFA">
            <w:pPr>
              <w:jc w:val="center"/>
              <w:rPr>
                <w:rFonts w:eastAsia="Times New Roman"/>
                <w:b/>
                <w:bCs/>
                <w:color w:val="000000"/>
              </w:rPr>
            </w:pPr>
            <w:r w:rsidRPr="00C609B3">
              <w:rPr>
                <w:rFonts w:eastAsia="Times New Roman"/>
                <w:b/>
                <w:bCs/>
                <w:color w:val="000000"/>
              </w:rPr>
              <w:t>1465</w:t>
            </w:r>
          </w:p>
        </w:tc>
        <w:tc>
          <w:tcPr>
            <w:tcW w:w="1160" w:type="dxa"/>
            <w:shd w:val="clear" w:color="auto" w:fill="auto"/>
            <w:noWrap/>
            <w:vAlign w:val="center"/>
            <w:hideMark/>
          </w:tcPr>
          <w:p w14:paraId="650B8F03" w14:textId="77777777" w:rsidR="004E1A8D" w:rsidRPr="00C609B3" w:rsidRDefault="004E1A8D" w:rsidP="00754AFA">
            <w:pPr>
              <w:jc w:val="center"/>
              <w:rPr>
                <w:rFonts w:eastAsia="Times New Roman"/>
                <w:b/>
                <w:bCs/>
                <w:color w:val="000000"/>
              </w:rPr>
            </w:pPr>
            <w:r w:rsidRPr="00C609B3">
              <w:rPr>
                <w:rFonts w:eastAsia="Times New Roman"/>
                <w:b/>
                <w:bCs/>
                <w:color w:val="000000"/>
              </w:rPr>
              <w:t>25.76</w:t>
            </w:r>
          </w:p>
        </w:tc>
        <w:tc>
          <w:tcPr>
            <w:tcW w:w="3140" w:type="dxa"/>
            <w:shd w:val="clear" w:color="auto" w:fill="auto"/>
            <w:noWrap/>
            <w:vAlign w:val="center"/>
            <w:hideMark/>
          </w:tcPr>
          <w:p w14:paraId="077A47CD" w14:textId="77777777" w:rsidR="004E1A8D" w:rsidRPr="00C609B3" w:rsidRDefault="004E1A8D" w:rsidP="00754AFA">
            <w:pPr>
              <w:jc w:val="center"/>
              <w:rPr>
                <w:rFonts w:eastAsia="Times New Roman"/>
                <w:color w:val="000000"/>
              </w:rPr>
            </w:pPr>
            <w:r w:rsidRPr="00C609B3">
              <w:rPr>
                <w:rFonts w:eastAsia="Times New Roman"/>
                <w:color w:val="000000"/>
              </w:rPr>
              <w:t>1.38 [1.07-1.80]*</w:t>
            </w:r>
          </w:p>
        </w:tc>
        <w:tc>
          <w:tcPr>
            <w:tcW w:w="3140" w:type="dxa"/>
            <w:shd w:val="clear" w:color="auto" w:fill="auto"/>
            <w:noWrap/>
            <w:vAlign w:val="center"/>
            <w:hideMark/>
          </w:tcPr>
          <w:p w14:paraId="7921318D" w14:textId="77777777" w:rsidR="004E1A8D" w:rsidRPr="00C609B3" w:rsidRDefault="004E1A8D" w:rsidP="00754AFA">
            <w:pPr>
              <w:jc w:val="center"/>
              <w:rPr>
                <w:rFonts w:eastAsia="Times New Roman"/>
                <w:color w:val="000000"/>
              </w:rPr>
            </w:pPr>
            <w:r w:rsidRPr="00C609B3">
              <w:rPr>
                <w:rFonts w:eastAsia="Times New Roman"/>
                <w:color w:val="000000"/>
              </w:rPr>
              <w:t>1.84 [1.47-2.31]*</w:t>
            </w:r>
          </w:p>
        </w:tc>
      </w:tr>
      <w:tr w:rsidR="004E1A8D" w:rsidRPr="00C609B3" w14:paraId="62829B30" w14:textId="77777777" w:rsidTr="00754AFA">
        <w:trPr>
          <w:trHeight w:val="320"/>
        </w:trPr>
        <w:tc>
          <w:tcPr>
            <w:tcW w:w="2580" w:type="dxa"/>
            <w:shd w:val="clear" w:color="auto" w:fill="auto"/>
            <w:noWrap/>
            <w:vAlign w:val="bottom"/>
            <w:hideMark/>
          </w:tcPr>
          <w:p w14:paraId="30F950B1" w14:textId="77777777" w:rsidR="004E1A8D" w:rsidRPr="00C609B3" w:rsidRDefault="004E1A8D" w:rsidP="00754AFA">
            <w:pPr>
              <w:rPr>
                <w:rFonts w:eastAsia="Times New Roman"/>
                <w:b/>
                <w:bCs/>
                <w:color w:val="000000"/>
              </w:rPr>
            </w:pPr>
            <w:r w:rsidRPr="00C609B3">
              <w:rPr>
                <w:rFonts w:eastAsia="Times New Roman"/>
                <w:b/>
                <w:bCs/>
                <w:color w:val="000000"/>
              </w:rPr>
              <w:t>65-84</w:t>
            </w:r>
          </w:p>
        </w:tc>
        <w:tc>
          <w:tcPr>
            <w:tcW w:w="1160" w:type="dxa"/>
            <w:shd w:val="clear" w:color="auto" w:fill="auto"/>
            <w:noWrap/>
            <w:vAlign w:val="center"/>
            <w:hideMark/>
          </w:tcPr>
          <w:p w14:paraId="6799577C" w14:textId="77777777" w:rsidR="004E1A8D" w:rsidRPr="00C609B3" w:rsidRDefault="004E1A8D" w:rsidP="00754AFA">
            <w:pPr>
              <w:jc w:val="center"/>
              <w:rPr>
                <w:rFonts w:eastAsia="Times New Roman"/>
                <w:b/>
                <w:bCs/>
                <w:color w:val="000000"/>
              </w:rPr>
            </w:pPr>
            <w:r w:rsidRPr="00C609B3">
              <w:rPr>
                <w:rFonts w:eastAsia="Times New Roman"/>
                <w:b/>
                <w:bCs/>
                <w:color w:val="000000"/>
              </w:rPr>
              <w:t>2753</w:t>
            </w:r>
          </w:p>
        </w:tc>
        <w:tc>
          <w:tcPr>
            <w:tcW w:w="1160" w:type="dxa"/>
            <w:shd w:val="clear" w:color="auto" w:fill="auto"/>
            <w:noWrap/>
            <w:vAlign w:val="center"/>
            <w:hideMark/>
          </w:tcPr>
          <w:p w14:paraId="00BE314D" w14:textId="77777777" w:rsidR="004E1A8D" w:rsidRPr="00C609B3" w:rsidRDefault="004E1A8D" w:rsidP="00754AFA">
            <w:pPr>
              <w:jc w:val="center"/>
              <w:rPr>
                <w:rFonts w:eastAsia="Times New Roman"/>
                <w:b/>
                <w:bCs/>
                <w:color w:val="000000"/>
              </w:rPr>
            </w:pPr>
            <w:r w:rsidRPr="00C609B3">
              <w:rPr>
                <w:rFonts w:eastAsia="Times New Roman"/>
                <w:b/>
                <w:bCs/>
                <w:color w:val="000000"/>
              </w:rPr>
              <w:t>48.41</w:t>
            </w:r>
          </w:p>
        </w:tc>
        <w:tc>
          <w:tcPr>
            <w:tcW w:w="3140" w:type="dxa"/>
            <w:shd w:val="clear" w:color="auto" w:fill="auto"/>
            <w:noWrap/>
            <w:vAlign w:val="center"/>
            <w:hideMark/>
          </w:tcPr>
          <w:p w14:paraId="1B76171D" w14:textId="77777777" w:rsidR="004E1A8D" w:rsidRPr="00C609B3" w:rsidRDefault="004E1A8D" w:rsidP="00754AFA">
            <w:pPr>
              <w:jc w:val="center"/>
              <w:rPr>
                <w:rFonts w:eastAsia="Times New Roman"/>
                <w:color w:val="000000"/>
              </w:rPr>
            </w:pPr>
            <w:r w:rsidRPr="00C609B3">
              <w:rPr>
                <w:rFonts w:eastAsia="Times New Roman"/>
                <w:color w:val="000000"/>
              </w:rPr>
              <w:t>1.30 [1.02-1.67]*</w:t>
            </w:r>
          </w:p>
        </w:tc>
        <w:tc>
          <w:tcPr>
            <w:tcW w:w="3140" w:type="dxa"/>
            <w:shd w:val="clear" w:color="auto" w:fill="auto"/>
            <w:noWrap/>
            <w:vAlign w:val="center"/>
            <w:hideMark/>
          </w:tcPr>
          <w:p w14:paraId="1C617999" w14:textId="77777777" w:rsidR="004E1A8D" w:rsidRPr="00C609B3" w:rsidRDefault="004E1A8D" w:rsidP="00754AFA">
            <w:pPr>
              <w:jc w:val="center"/>
              <w:rPr>
                <w:rFonts w:eastAsia="Times New Roman"/>
                <w:color w:val="000000"/>
              </w:rPr>
            </w:pPr>
            <w:r w:rsidRPr="00C609B3">
              <w:rPr>
                <w:rFonts w:eastAsia="Times New Roman"/>
                <w:color w:val="000000"/>
              </w:rPr>
              <w:t>2.81 [2.27-3.49]*</w:t>
            </w:r>
          </w:p>
        </w:tc>
      </w:tr>
      <w:tr w:rsidR="004E1A8D" w:rsidRPr="00C609B3" w14:paraId="40A8B5FA" w14:textId="77777777" w:rsidTr="00754AFA">
        <w:trPr>
          <w:trHeight w:val="320"/>
        </w:trPr>
        <w:tc>
          <w:tcPr>
            <w:tcW w:w="2580" w:type="dxa"/>
            <w:shd w:val="clear" w:color="auto" w:fill="auto"/>
            <w:noWrap/>
            <w:vAlign w:val="bottom"/>
            <w:hideMark/>
          </w:tcPr>
          <w:p w14:paraId="47887643" w14:textId="77777777" w:rsidR="004E1A8D" w:rsidRPr="00C609B3" w:rsidRDefault="004E1A8D" w:rsidP="00754AFA">
            <w:pPr>
              <w:rPr>
                <w:rFonts w:eastAsia="Times New Roman"/>
                <w:b/>
                <w:bCs/>
                <w:color w:val="000000"/>
              </w:rPr>
            </w:pPr>
            <w:r w:rsidRPr="00C609B3">
              <w:rPr>
                <w:rFonts w:eastAsia="Times New Roman"/>
                <w:b/>
                <w:bCs/>
                <w:color w:val="000000"/>
              </w:rPr>
              <w:t>85+</w:t>
            </w:r>
          </w:p>
        </w:tc>
        <w:tc>
          <w:tcPr>
            <w:tcW w:w="1160" w:type="dxa"/>
            <w:shd w:val="clear" w:color="auto" w:fill="auto"/>
            <w:noWrap/>
            <w:vAlign w:val="center"/>
            <w:hideMark/>
          </w:tcPr>
          <w:p w14:paraId="592DC733" w14:textId="77777777" w:rsidR="004E1A8D" w:rsidRPr="00C609B3" w:rsidRDefault="004E1A8D" w:rsidP="00754AFA">
            <w:pPr>
              <w:jc w:val="center"/>
              <w:rPr>
                <w:rFonts w:eastAsia="Times New Roman"/>
                <w:b/>
                <w:bCs/>
                <w:color w:val="000000"/>
              </w:rPr>
            </w:pPr>
            <w:r w:rsidRPr="00C609B3">
              <w:rPr>
                <w:rFonts w:eastAsia="Times New Roman"/>
                <w:b/>
                <w:bCs/>
                <w:color w:val="000000"/>
              </w:rPr>
              <w:t>900</w:t>
            </w:r>
          </w:p>
        </w:tc>
        <w:tc>
          <w:tcPr>
            <w:tcW w:w="1160" w:type="dxa"/>
            <w:shd w:val="clear" w:color="auto" w:fill="auto"/>
            <w:noWrap/>
            <w:vAlign w:val="center"/>
            <w:hideMark/>
          </w:tcPr>
          <w:p w14:paraId="4C3FC7B8" w14:textId="77777777" w:rsidR="004E1A8D" w:rsidRPr="00C609B3" w:rsidRDefault="004E1A8D" w:rsidP="00754AFA">
            <w:pPr>
              <w:jc w:val="center"/>
              <w:rPr>
                <w:rFonts w:eastAsia="Times New Roman"/>
                <w:b/>
                <w:bCs/>
                <w:color w:val="000000"/>
              </w:rPr>
            </w:pPr>
            <w:r w:rsidRPr="00C609B3">
              <w:rPr>
                <w:rFonts w:eastAsia="Times New Roman"/>
                <w:b/>
                <w:bCs/>
                <w:color w:val="000000"/>
              </w:rPr>
              <w:t>15.83</w:t>
            </w:r>
          </w:p>
        </w:tc>
        <w:tc>
          <w:tcPr>
            <w:tcW w:w="3140" w:type="dxa"/>
            <w:shd w:val="clear" w:color="auto" w:fill="auto"/>
            <w:noWrap/>
            <w:vAlign w:val="center"/>
            <w:hideMark/>
          </w:tcPr>
          <w:p w14:paraId="45DDAFAA" w14:textId="77777777" w:rsidR="004E1A8D" w:rsidRPr="00C609B3" w:rsidRDefault="004E1A8D" w:rsidP="00754AFA">
            <w:pPr>
              <w:jc w:val="center"/>
              <w:rPr>
                <w:rFonts w:eastAsia="Times New Roman"/>
                <w:color w:val="000000"/>
              </w:rPr>
            </w:pPr>
            <w:r w:rsidRPr="00C609B3">
              <w:rPr>
                <w:rFonts w:eastAsia="Times New Roman"/>
                <w:color w:val="000000"/>
              </w:rPr>
              <w:t>1.18 [1.15-0.23]*</w:t>
            </w:r>
          </w:p>
        </w:tc>
        <w:tc>
          <w:tcPr>
            <w:tcW w:w="3140" w:type="dxa"/>
            <w:shd w:val="clear" w:color="auto" w:fill="auto"/>
            <w:noWrap/>
            <w:vAlign w:val="center"/>
            <w:hideMark/>
          </w:tcPr>
          <w:p w14:paraId="64A8F415" w14:textId="77777777" w:rsidR="004E1A8D" w:rsidRPr="00C609B3" w:rsidRDefault="004E1A8D" w:rsidP="00754AFA">
            <w:pPr>
              <w:jc w:val="center"/>
              <w:rPr>
                <w:rFonts w:eastAsia="Times New Roman"/>
                <w:color w:val="000000"/>
              </w:rPr>
            </w:pPr>
            <w:r w:rsidRPr="00C609B3">
              <w:rPr>
                <w:rFonts w:eastAsia="Times New Roman"/>
                <w:color w:val="000000"/>
              </w:rPr>
              <w:t>4.35 [3.42-5.52]*</w:t>
            </w:r>
          </w:p>
        </w:tc>
      </w:tr>
      <w:tr w:rsidR="004E1A8D" w:rsidRPr="00C609B3" w14:paraId="4F79E51D" w14:textId="77777777" w:rsidTr="00754AFA">
        <w:trPr>
          <w:trHeight w:val="320"/>
        </w:trPr>
        <w:tc>
          <w:tcPr>
            <w:tcW w:w="2580" w:type="dxa"/>
            <w:shd w:val="clear" w:color="auto" w:fill="auto"/>
            <w:noWrap/>
            <w:vAlign w:val="bottom"/>
            <w:hideMark/>
          </w:tcPr>
          <w:p w14:paraId="235A0453" w14:textId="77777777" w:rsidR="004E1A8D" w:rsidRPr="00C609B3" w:rsidRDefault="004E1A8D" w:rsidP="00754AFA">
            <w:pPr>
              <w:rPr>
                <w:rFonts w:eastAsia="Times New Roman"/>
                <w:color w:val="000000"/>
              </w:rPr>
            </w:pPr>
            <w:r w:rsidRPr="00C609B3">
              <w:rPr>
                <w:rFonts w:eastAsia="Times New Roman"/>
                <w:color w:val="000000"/>
              </w:rPr>
              <w:t> </w:t>
            </w:r>
          </w:p>
        </w:tc>
        <w:tc>
          <w:tcPr>
            <w:tcW w:w="1160" w:type="dxa"/>
            <w:shd w:val="clear" w:color="auto" w:fill="auto"/>
            <w:noWrap/>
            <w:vAlign w:val="center"/>
            <w:hideMark/>
          </w:tcPr>
          <w:p w14:paraId="4F64A916"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1160" w:type="dxa"/>
            <w:shd w:val="clear" w:color="auto" w:fill="auto"/>
            <w:noWrap/>
            <w:vAlign w:val="center"/>
            <w:hideMark/>
          </w:tcPr>
          <w:p w14:paraId="63B78F06"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3140" w:type="dxa"/>
            <w:shd w:val="clear" w:color="auto" w:fill="auto"/>
            <w:noWrap/>
            <w:vAlign w:val="center"/>
            <w:hideMark/>
          </w:tcPr>
          <w:p w14:paraId="13F6D7D0"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3140" w:type="dxa"/>
            <w:shd w:val="clear" w:color="auto" w:fill="auto"/>
            <w:noWrap/>
            <w:vAlign w:val="center"/>
            <w:hideMark/>
          </w:tcPr>
          <w:p w14:paraId="7FC1F8FC" w14:textId="77777777" w:rsidR="004E1A8D" w:rsidRPr="00C609B3" w:rsidRDefault="004E1A8D" w:rsidP="00754AFA">
            <w:pPr>
              <w:jc w:val="center"/>
              <w:rPr>
                <w:rFonts w:eastAsia="Times New Roman"/>
                <w:color w:val="000000"/>
              </w:rPr>
            </w:pPr>
            <w:r w:rsidRPr="00C609B3">
              <w:rPr>
                <w:rFonts w:eastAsia="Times New Roman"/>
                <w:color w:val="000000"/>
              </w:rPr>
              <w:t> </w:t>
            </w:r>
          </w:p>
        </w:tc>
      </w:tr>
      <w:tr w:rsidR="004E1A8D" w:rsidRPr="00C609B3" w14:paraId="3527514E" w14:textId="77777777" w:rsidTr="00754AFA">
        <w:trPr>
          <w:trHeight w:val="320"/>
        </w:trPr>
        <w:tc>
          <w:tcPr>
            <w:tcW w:w="2580" w:type="dxa"/>
            <w:shd w:val="clear" w:color="auto" w:fill="auto"/>
            <w:noWrap/>
            <w:vAlign w:val="bottom"/>
            <w:hideMark/>
          </w:tcPr>
          <w:p w14:paraId="12577642" w14:textId="77777777" w:rsidR="004E1A8D" w:rsidRPr="00C609B3" w:rsidRDefault="004E1A8D" w:rsidP="00754AFA">
            <w:pPr>
              <w:rPr>
                <w:rFonts w:eastAsia="Times New Roman"/>
                <w:b/>
                <w:bCs/>
                <w:color w:val="000000"/>
              </w:rPr>
            </w:pPr>
            <w:r w:rsidRPr="00C609B3">
              <w:rPr>
                <w:rFonts w:eastAsia="Times New Roman"/>
                <w:b/>
                <w:bCs/>
                <w:color w:val="000000"/>
              </w:rPr>
              <w:t>GENDER (n=5686)</w:t>
            </w:r>
          </w:p>
        </w:tc>
        <w:tc>
          <w:tcPr>
            <w:tcW w:w="1160" w:type="dxa"/>
            <w:shd w:val="clear" w:color="auto" w:fill="auto"/>
            <w:noWrap/>
            <w:vAlign w:val="center"/>
            <w:hideMark/>
          </w:tcPr>
          <w:p w14:paraId="40608AF5"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1160" w:type="dxa"/>
            <w:shd w:val="clear" w:color="auto" w:fill="auto"/>
            <w:noWrap/>
            <w:vAlign w:val="center"/>
            <w:hideMark/>
          </w:tcPr>
          <w:p w14:paraId="52BFAFB2"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3140" w:type="dxa"/>
            <w:shd w:val="clear" w:color="auto" w:fill="auto"/>
            <w:noWrap/>
            <w:vAlign w:val="center"/>
            <w:hideMark/>
          </w:tcPr>
          <w:p w14:paraId="1EC41F93"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3140" w:type="dxa"/>
            <w:shd w:val="clear" w:color="auto" w:fill="auto"/>
            <w:noWrap/>
            <w:vAlign w:val="center"/>
            <w:hideMark/>
          </w:tcPr>
          <w:p w14:paraId="64FC110F" w14:textId="77777777" w:rsidR="004E1A8D" w:rsidRPr="00C609B3" w:rsidRDefault="004E1A8D" w:rsidP="00754AFA">
            <w:pPr>
              <w:jc w:val="center"/>
              <w:rPr>
                <w:rFonts w:eastAsia="Times New Roman"/>
                <w:color w:val="000000"/>
              </w:rPr>
            </w:pPr>
            <w:r w:rsidRPr="00C609B3">
              <w:rPr>
                <w:rFonts w:eastAsia="Times New Roman"/>
                <w:color w:val="000000"/>
              </w:rPr>
              <w:t> </w:t>
            </w:r>
          </w:p>
        </w:tc>
      </w:tr>
      <w:tr w:rsidR="004E1A8D" w:rsidRPr="00C609B3" w14:paraId="6F215C40" w14:textId="77777777" w:rsidTr="00754AFA">
        <w:trPr>
          <w:trHeight w:val="320"/>
        </w:trPr>
        <w:tc>
          <w:tcPr>
            <w:tcW w:w="2580" w:type="dxa"/>
            <w:shd w:val="clear" w:color="auto" w:fill="auto"/>
            <w:noWrap/>
            <w:vAlign w:val="bottom"/>
            <w:hideMark/>
          </w:tcPr>
          <w:p w14:paraId="4066E38B" w14:textId="77777777" w:rsidR="004E1A8D" w:rsidRPr="00C609B3" w:rsidRDefault="004E1A8D" w:rsidP="00754AFA">
            <w:pPr>
              <w:rPr>
                <w:rFonts w:eastAsia="Times New Roman"/>
                <w:b/>
                <w:bCs/>
                <w:color w:val="000000"/>
              </w:rPr>
            </w:pPr>
            <w:r w:rsidRPr="00C609B3">
              <w:rPr>
                <w:rFonts w:eastAsia="Times New Roman"/>
                <w:b/>
                <w:bCs/>
                <w:color w:val="000000"/>
              </w:rPr>
              <w:t>Female</w:t>
            </w:r>
          </w:p>
        </w:tc>
        <w:tc>
          <w:tcPr>
            <w:tcW w:w="1160" w:type="dxa"/>
            <w:shd w:val="clear" w:color="auto" w:fill="auto"/>
            <w:noWrap/>
            <w:vAlign w:val="center"/>
            <w:hideMark/>
          </w:tcPr>
          <w:p w14:paraId="46342CE7" w14:textId="77777777" w:rsidR="004E1A8D" w:rsidRPr="00C609B3" w:rsidRDefault="004E1A8D" w:rsidP="00754AFA">
            <w:pPr>
              <w:jc w:val="center"/>
              <w:rPr>
                <w:rFonts w:eastAsia="Times New Roman"/>
                <w:b/>
                <w:bCs/>
                <w:color w:val="000000"/>
              </w:rPr>
            </w:pPr>
            <w:r w:rsidRPr="00C609B3">
              <w:rPr>
                <w:rFonts w:eastAsia="Times New Roman"/>
                <w:b/>
                <w:bCs/>
                <w:color w:val="000000"/>
              </w:rPr>
              <w:t>2856</w:t>
            </w:r>
          </w:p>
        </w:tc>
        <w:tc>
          <w:tcPr>
            <w:tcW w:w="1160" w:type="dxa"/>
            <w:shd w:val="clear" w:color="auto" w:fill="auto"/>
            <w:noWrap/>
            <w:vAlign w:val="center"/>
            <w:hideMark/>
          </w:tcPr>
          <w:p w14:paraId="5AAB78DA" w14:textId="77777777" w:rsidR="004E1A8D" w:rsidRPr="00C609B3" w:rsidRDefault="004E1A8D" w:rsidP="00754AFA">
            <w:pPr>
              <w:jc w:val="center"/>
              <w:rPr>
                <w:rFonts w:eastAsia="Times New Roman"/>
                <w:b/>
                <w:bCs/>
                <w:color w:val="000000"/>
              </w:rPr>
            </w:pPr>
            <w:r w:rsidRPr="00C609B3">
              <w:rPr>
                <w:rFonts w:eastAsia="Times New Roman"/>
                <w:b/>
                <w:bCs/>
                <w:color w:val="000000"/>
              </w:rPr>
              <w:t>50.23</w:t>
            </w:r>
          </w:p>
        </w:tc>
        <w:tc>
          <w:tcPr>
            <w:tcW w:w="3140" w:type="dxa"/>
            <w:shd w:val="clear" w:color="auto" w:fill="auto"/>
            <w:noWrap/>
            <w:vAlign w:val="center"/>
            <w:hideMark/>
          </w:tcPr>
          <w:p w14:paraId="7F48225A" w14:textId="77777777" w:rsidR="004E1A8D" w:rsidRPr="00C609B3" w:rsidRDefault="004E1A8D" w:rsidP="00754AFA">
            <w:pPr>
              <w:jc w:val="center"/>
              <w:rPr>
                <w:rFonts w:eastAsia="Times New Roman"/>
                <w:color w:val="000000"/>
              </w:rPr>
            </w:pPr>
            <w:r w:rsidRPr="00C609B3">
              <w:rPr>
                <w:rFonts w:eastAsia="Times New Roman"/>
                <w:color w:val="000000"/>
              </w:rPr>
              <w:t>1</w:t>
            </w:r>
          </w:p>
        </w:tc>
        <w:tc>
          <w:tcPr>
            <w:tcW w:w="3140" w:type="dxa"/>
            <w:shd w:val="clear" w:color="auto" w:fill="auto"/>
            <w:noWrap/>
            <w:vAlign w:val="center"/>
            <w:hideMark/>
          </w:tcPr>
          <w:p w14:paraId="0D5ACAC3" w14:textId="77777777" w:rsidR="004E1A8D" w:rsidRPr="00C609B3" w:rsidRDefault="004E1A8D" w:rsidP="00754AFA">
            <w:pPr>
              <w:jc w:val="center"/>
              <w:rPr>
                <w:rFonts w:eastAsia="Times New Roman"/>
                <w:color w:val="000000"/>
              </w:rPr>
            </w:pPr>
            <w:r w:rsidRPr="00C609B3">
              <w:rPr>
                <w:rFonts w:eastAsia="Times New Roman"/>
                <w:color w:val="000000"/>
              </w:rPr>
              <w:t>1</w:t>
            </w:r>
          </w:p>
        </w:tc>
      </w:tr>
      <w:tr w:rsidR="004E1A8D" w:rsidRPr="00C609B3" w14:paraId="422A6B16" w14:textId="77777777" w:rsidTr="00754AFA">
        <w:trPr>
          <w:trHeight w:val="320"/>
        </w:trPr>
        <w:tc>
          <w:tcPr>
            <w:tcW w:w="2580" w:type="dxa"/>
            <w:shd w:val="clear" w:color="auto" w:fill="auto"/>
            <w:noWrap/>
            <w:vAlign w:val="bottom"/>
            <w:hideMark/>
          </w:tcPr>
          <w:p w14:paraId="6DDCF30A" w14:textId="6CB81AAD" w:rsidR="004E1A8D" w:rsidRPr="00C609B3" w:rsidRDefault="00F87312" w:rsidP="00754AFA">
            <w:pPr>
              <w:rPr>
                <w:rFonts w:eastAsia="Times New Roman"/>
                <w:b/>
                <w:bCs/>
                <w:color w:val="000000"/>
              </w:rPr>
            </w:pPr>
            <w:r w:rsidRPr="00C609B3">
              <w:rPr>
                <w:rFonts w:eastAsia="Times New Roman"/>
                <w:b/>
                <w:bCs/>
                <w:color w:val="000000"/>
              </w:rPr>
              <w:t>M</w:t>
            </w:r>
            <w:r w:rsidR="004E1A8D" w:rsidRPr="00C609B3">
              <w:rPr>
                <w:rFonts w:eastAsia="Times New Roman"/>
                <w:b/>
                <w:bCs/>
                <w:color w:val="000000"/>
              </w:rPr>
              <w:t>ale</w:t>
            </w:r>
          </w:p>
        </w:tc>
        <w:tc>
          <w:tcPr>
            <w:tcW w:w="1160" w:type="dxa"/>
            <w:shd w:val="clear" w:color="auto" w:fill="auto"/>
            <w:noWrap/>
            <w:vAlign w:val="center"/>
            <w:hideMark/>
          </w:tcPr>
          <w:p w14:paraId="5064C722" w14:textId="77777777" w:rsidR="004E1A8D" w:rsidRPr="00C609B3" w:rsidRDefault="004E1A8D" w:rsidP="00754AFA">
            <w:pPr>
              <w:jc w:val="center"/>
              <w:rPr>
                <w:rFonts w:eastAsia="Times New Roman"/>
                <w:b/>
                <w:bCs/>
                <w:color w:val="000000"/>
              </w:rPr>
            </w:pPr>
            <w:r w:rsidRPr="00C609B3">
              <w:rPr>
                <w:rFonts w:eastAsia="Times New Roman"/>
                <w:b/>
                <w:bCs/>
                <w:color w:val="000000"/>
              </w:rPr>
              <w:t>2830</w:t>
            </w:r>
          </w:p>
        </w:tc>
        <w:tc>
          <w:tcPr>
            <w:tcW w:w="1160" w:type="dxa"/>
            <w:shd w:val="clear" w:color="auto" w:fill="auto"/>
            <w:noWrap/>
            <w:vAlign w:val="center"/>
            <w:hideMark/>
          </w:tcPr>
          <w:p w14:paraId="453850F9" w14:textId="77777777" w:rsidR="004E1A8D" w:rsidRPr="00C609B3" w:rsidRDefault="004E1A8D" w:rsidP="00754AFA">
            <w:pPr>
              <w:jc w:val="center"/>
              <w:rPr>
                <w:rFonts w:eastAsia="Times New Roman"/>
                <w:b/>
                <w:bCs/>
                <w:color w:val="000000"/>
              </w:rPr>
            </w:pPr>
            <w:r w:rsidRPr="00C609B3">
              <w:rPr>
                <w:rFonts w:eastAsia="Times New Roman"/>
                <w:b/>
                <w:bCs/>
                <w:color w:val="000000"/>
              </w:rPr>
              <w:t>49.77</w:t>
            </w:r>
          </w:p>
        </w:tc>
        <w:tc>
          <w:tcPr>
            <w:tcW w:w="3140" w:type="dxa"/>
            <w:shd w:val="clear" w:color="auto" w:fill="auto"/>
            <w:noWrap/>
            <w:vAlign w:val="center"/>
            <w:hideMark/>
          </w:tcPr>
          <w:p w14:paraId="1C873055" w14:textId="77777777" w:rsidR="004E1A8D" w:rsidRPr="00C609B3" w:rsidRDefault="004E1A8D" w:rsidP="00754AFA">
            <w:pPr>
              <w:jc w:val="center"/>
              <w:rPr>
                <w:rFonts w:eastAsia="Times New Roman"/>
                <w:color w:val="000000"/>
              </w:rPr>
            </w:pPr>
            <w:r w:rsidRPr="00C609B3">
              <w:rPr>
                <w:rFonts w:eastAsia="Times New Roman"/>
                <w:color w:val="000000"/>
              </w:rPr>
              <w:t>0.97 [0.86-1.12]</w:t>
            </w:r>
          </w:p>
        </w:tc>
        <w:tc>
          <w:tcPr>
            <w:tcW w:w="3140" w:type="dxa"/>
            <w:shd w:val="clear" w:color="auto" w:fill="auto"/>
            <w:noWrap/>
            <w:vAlign w:val="center"/>
            <w:hideMark/>
          </w:tcPr>
          <w:p w14:paraId="0955F87C" w14:textId="77777777" w:rsidR="004E1A8D" w:rsidRPr="00C609B3" w:rsidRDefault="004E1A8D" w:rsidP="00754AFA">
            <w:pPr>
              <w:jc w:val="center"/>
              <w:rPr>
                <w:rFonts w:eastAsia="Times New Roman"/>
                <w:color w:val="000000"/>
              </w:rPr>
            </w:pPr>
            <w:r w:rsidRPr="00C609B3">
              <w:rPr>
                <w:rFonts w:eastAsia="Times New Roman"/>
                <w:color w:val="000000"/>
              </w:rPr>
              <w:t>0.91 [0.82-1.01]</w:t>
            </w:r>
          </w:p>
        </w:tc>
      </w:tr>
      <w:tr w:rsidR="004E1A8D" w:rsidRPr="00C609B3" w14:paraId="3D4E3568" w14:textId="77777777" w:rsidTr="00754AFA">
        <w:trPr>
          <w:trHeight w:val="320"/>
        </w:trPr>
        <w:tc>
          <w:tcPr>
            <w:tcW w:w="2580" w:type="dxa"/>
            <w:shd w:val="clear" w:color="auto" w:fill="auto"/>
            <w:noWrap/>
            <w:vAlign w:val="bottom"/>
            <w:hideMark/>
          </w:tcPr>
          <w:p w14:paraId="705B141D" w14:textId="77777777" w:rsidR="004E1A8D" w:rsidRPr="00C609B3" w:rsidRDefault="004E1A8D" w:rsidP="00754AFA">
            <w:pPr>
              <w:rPr>
                <w:rFonts w:eastAsia="Times New Roman"/>
                <w:color w:val="000000"/>
              </w:rPr>
            </w:pPr>
            <w:r w:rsidRPr="00C609B3">
              <w:rPr>
                <w:rFonts w:eastAsia="Times New Roman"/>
                <w:color w:val="000000"/>
              </w:rPr>
              <w:t> </w:t>
            </w:r>
          </w:p>
        </w:tc>
        <w:tc>
          <w:tcPr>
            <w:tcW w:w="1160" w:type="dxa"/>
            <w:shd w:val="clear" w:color="auto" w:fill="auto"/>
            <w:noWrap/>
            <w:vAlign w:val="center"/>
            <w:hideMark/>
          </w:tcPr>
          <w:p w14:paraId="711F96AA"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1160" w:type="dxa"/>
            <w:shd w:val="clear" w:color="auto" w:fill="auto"/>
            <w:noWrap/>
            <w:vAlign w:val="center"/>
            <w:hideMark/>
          </w:tcPr>
          <w:p w14:paraId="63E3FAF5"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3140" w:type="dxa"/>
            <w:shd w:val="clear" w:color="auto" w:fill="auto"/>
            <w:noWrap/>
            <w:vAlign w:val="bottom"/>
            <w:hideMark/>
          </w:tcPr>
          <w:p w14:paraId="3C1F64F1" w14:textId="77777777" w:rsidR="004E1A8D" w:rsidRPr="00C609B3" w:rsidRDefault="004E1A8D" w:rsidP="00754AFA">
            <w:pPr>
              <w:rPr>
                <w:rFonts w:eastAsia="Times New Roman"/>
                <w:color w:val="000000"/>
              </w:rPr>
            </w:pPr>
            <w:r w:rsidRPr="00C609B3">
              <w:rPr>
                <w:rFonts w:eastAsia="Times New Roman"/>
                <w:color w:val="000000"/>
              </w:rPr>
              <w:t> </w:t>
            </w:r>
          </w:p>
        </w:tc>
        <w:tc>
          <w:tcPr>
            <w:tcW w:w="3140" w:type="dxa"/>
            <w:shd w:val="clear" w:color="auto" w:fill="auto"/>
            <w:noWrap/>
            <w:vAlign w:val="center"/>
            <w:hideMark/>
          </w:tcPr>
          <w:p w14:paraId="1B704686" w14:textId="77777777" w:rsidR="004E1A8D" w:rsidRPr="00C609B3" w:rsidRDefault="004E1A8D" w:rsidP="00754AFA">
            <w:pPr>
              <w:jc w:val="center"/>
              <w:rPr>
                <w:rFonts w:eastAsia="Times New Roman"/>
                <w:color w:val="000000"/>
              </w:rPr>
            </w:pPr>
            <w:r w:rsidRPr="00C609B3">
              <w:rPr>
                <w:rFonts w:eastAsia="Times New Roman"/>
                <w:color w:val="000000"/>
              </w:rPr>
              <w:t> </w:t>
            </w:r>
          </w:p>
        </w:tc>
      </w:tr>
      <w:tr w:rsidR="004E1A8D" w:rsidRPr="00C609B3" w14:paraId="6BBBA0E2" w14:textId="77777777" w:rsidTr="00754AFA">
        <w:trPr>
          <w:trHeight w:val="320"/>
        </w:trPr>
        <w:tc>
          <w:tcPr>
            <w:tcW w:w="2580" w:type="dxa"/>
            <w:shd w:val="clear" w:color="auto" w:fill="auto"/>
            <w:noWrap/>
            <w:vAlign w:val="bottom"/>
            <w:hideMark/>
          </w:tcPr>
          <w:p w14:paraId="7C63AF7E" w14:textId="77777777" w:rsidR="004E1A8D" w:rsidRPr="00C609B3" w:rsidRDefault="004E1A8D" w:rsidP="00754AFA">
            <w:pPr>
              <w:rPr>
                <w:rFonts w:eastAsia="Times New Roman"/>
                <w:b/>
                <w:bCs/>
                <w:color w:val="000000"/>
              </w:rPr>
            </w:pPr>
            <w:r w:rsidRPr="00C609B3">
              <w:rPr>
                <w:rFonts w:eastAsia="Times New Roman"/>
                <w:b/>
                <w:bCs/>
                <w:color w:val="000000"/>
              </w:rPr>
              <w:t>CCI (n=5687)</w:t>
            </w:r>
          </w:p>
        </w:tc>
        <w:tc>
          <w:tcPr>
            <w:tcW w:w="1160" w:type="dxa"/>
            <w:shd w:val="clear" w:color="auto" w:fill="auto"/>
            <w:noWrap/>
            <w:vAlign w:val="center"/>
            <w:hideMark/>
          </w:tcPr>
          <w:p w14:paraId="17507760"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1160" w:type="dxa"/>
            <w:shd w:val="clear" w:color="auto" w:fill="auto"/>
            <w:noWrap/>
            <w:vAlign w:val="center"/>
            <w:hideMark/>
          </w:tcPr>
          <w:p w14:paraId="0500686F"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3140" w:type="dxa"/>
            <w:shd w:val="clear" w:color="auto" w:fill="auto"/>
            <w:noWrap/>
            <w:vAlign w:val="center"/>
            <w:hideMark/>
          </w:tcPr>
          <w:p w14:paraId="7BB31388"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3140" w:type="dxa"/>
            <w:shd w:val="clear" w:color="auto" w:fill="auto"/>
            <w:noWrap/>
            <w:vAlign w:val="center"/>
            <w:hideMark/>
          </w:tcPr>
          <w:p w14:paraId="200144DD" w14:textId="77777777" w:rsidR="004E1A8D" w:rsidRPr="00C609B3" w:rsidRDefault="004E1A8D" w:rsidP="00754AFA">
            <w:pPr>
              <w:jc w:val="center"/>
              <w:rPr>
                <w:rFonts w:eastAsia="Times New Roman"/>
                <w:color w:val="000000"/>
              </w:rPr>
            </w:pPr>
            <w:r w:rsidRPr="00C609B3">
              <w:rPr>
                <w:rFonts w:eastAsia="Times New Roman"/>
                <w:color w:val="000000"/>
              </w:rPr>
              <w:t> </w:t>
            </w:r>
          </w:p>
        </w:tc>
      </w:tr>
      <w:tr w:rsidR="004E1A8D" w:rsidRPr="00C609B3" w14:paraId="7B7B2012" w14:textId="77777777" w:rsidTr="00754AFA">
        <w:trPr>
          <w:trHeight w:val="320"/>
        </w:trPr>
        <w:tc>
          <w:tcPr>
            <w:tcW w:w="2580" w:type="dxa"/>
            <w:shd w:val="clear" w:color="auto" w:fill="auto"/>
            <w:noWrap/>
            <w:vAlign w:val="bottom"/>
            <w:hideMark/>
          </w:tcPr>
          <w:p w14:paraId="1817ECB3" w14:textId="77777777" w:rsidR="004E1A8D" w:rsidRPr="00C609B3" w:rsidRDefault="004E1A8D" w:rsidP="00754AFA">
            <w:pPr>
              <w:rPr>
                <w:rFonts w:eastAsia="Times New Roman"/>
                <w:b/>
                <w:bCs/>
                <w:color w:val="000000"/>
              </w:rPr>
            </w:pPr>
            <w:r w:rsidRPr="00C609B3">
              <w:rPr>
                <w:rFonts w:eastAsia="Times New Roman"/>
                <w:b/>
                <w:bCs/>
                <w:color w:val="000000"/>
              </w:rPr>
              <w:t>0</w:t>
            </w:r>
          </w:p>
        </w:tc>
        <w:tc>
          <w:tcPr>
            <w:tcW w:w="1160" w:type="dxa"/>
            <w:shd w:val="clear" w:color="auto" w:fill="auto"/>
            <w:noWrap/>
            <w:vAlign w:val="center"/>
            <w:hideMark/>
          </w:tcPr>
          <w:p w14:paraId="68E04666" w14:textId="77777777" w:rsidR="004E1A8D" w:rsidRPr="00C609B3" w:rsidRDefault="004E1A8D" w:rsidP="00754AFA">
            <w:pPr>
              <w:jc w:val="center"/>
              <w:rPr>
                <w:rFonts w:eastAsia="Times New Roman"/>
                <w:b/>
                <w:bCs/>
                <w:color w:val="000000"/>
              </w:rPr>
            </w:pPr>
            <w:r w:rsidRPr="00C609B3">
              <w:rPr>
                <w:rFonts w:eastAsia="Times New Roman"/>
                <w:b/>
                <w:bCs/>
                <w:color w:val="000000"/>
              </w:rPr>
              <w:t>1672</w:t>
            </w:r>
          </w:p>
        </w:tc>
        <w:tc>
          <w:tcPr>
            <w:tcW w:w="1160" w:type="dxa"/>
            <w:shd w:val="clear" w:color="auto" w:fill="auto"/>
            <w:noWrap/>
            <w:vAlign w:val="center"/>
            <w:hideMark/>
          </w:tcPr>
          <w:p w14:paraId="7EF999CF" w14:textId="77777777" w:rsidR="004E1A8D" w:rsidRPr="00C609B3" w:rsidRDefault="004E1A8D" w:rsidP="00754AFA">
            <w:pPr>
              <w:jc w:val="center"/>
              <w:rPr>
                <w:rFonts w:eastAsia="Times New Roman"/>
                <w:b/>
                <w:bCs/>
                <w:color w:val="000000"/>
              </w:rPr>
            </w:pPr>
            <w:r w:rsidRPr="00C609B3">
              <w:rPr>
                <w:rFonts w:eastAsia="Times New Roman"/>
                <w:b/>
                <w:bCs/>
                <w:color w:val="000000"/>
              </w:rPr>
              <w:t>29.40</w:t>
            </w:r>
          </w:p>
        </w:tc>
        <w:tc>
          <w:tcPr>
            <w:tcW w:w="3140" w:type="dxa"/>
            <w:shd w:val="clear" w:color="auto" w:fill="auto"/>
            <w:noWrap/>
            <w:vAlign w:val="center"/>
            <w:hideMark/>
          </w:tcPr>
          <w:p w14:paraId="488E8379" w14:textId="77777777" w:rsidR="004E1A8D" w:rsidRPr="00C609B3" w:rsidRDefault="004E1A8D" w:rsidP="00754AFA">
            <w:pPr>
              <w:jc w:val="center"/>
              <w:rPr>
                <w:rFonts w:eastAsia="Times New Roman"/>
                <w:color w:val="000000"/>
              </w:rPr>
            </w:pPr>
            <w:r w:rsidRPr="00C609B3">
              <w:rPr>
                <w:rFonts w:eastAsia="Times New Roman"/>
                <w:color w:val="000000"/>
              </w:rPr>
              <w:t>1</w:t>
            </w:r>
          </w:p>
        </w:tc>
        <w:tc>
          <w:tcPr>
            <w:tcW w:w="3140" w:type="dxa"/>
            <w:shd w:val="clear" w:color="auto" w:fill="auto"/>
            <w:noWrap/>
            <w:vAlign w:val="center"/>
            <w:hideMark/>
          </w:tcPr>
          <w:p w14:paraId="1E569ABE" w14:textId="77777777" w:rsidR="004E1A8D" w:rsidRPr="00C609B3" w:rsidRDefault="004E1A8D" w:rsidP="00754AFA">
            <w:pPr>
              <w:jc w:val="center"/>
              <w:rPr>
                <w:rFonts w:eastAsia="Times New Roman"/>
                <w:color w:val="000000"/>
              </w:rPr>
            </w:pPr>
            <w:r w:rsidRPr="00C609B3">
              <w:rPr>
                <w:rFonts w:eastAsia="Times New Roman"/>
                <w:color w:val="000000"/>
              </w:rPr>
              <w:t>1</w:t>
            </w:r>
          </w:p>
        </w:tc>
      </w:tr>
      <w:tr w:rsidR="004E1A8D" w:rsidRPr="00C609B3" w14:paraId="18027125" w14:textId="77777777" w:rsidTr="00754AFA">
        <w:trPr>
          <w:trHeight w:val="320"/>
        </w:trPr>
        <w:tc>
          <w:tcPr>
            <w:tcW w:w="2580" w:type="dxa"/>
            <w:shd w:val="clear" w:color="auto" w:fill="auto"/>
            <w:noWrap/>
            <w:vAlign w:val="bottom"/>
            <w:hideMark/>
          </w:tcPr>
          <w:p w14:paraId="3D8A4375" w14:textId="77777777" w:rsidR="004E1A8D" w:rsidRPr="00C609B3" w:rsidRDefault="004E1A8D" w:rsidP="00754AFA">
            <w:pPr>
              <w:rPr>
                <w:rFonts w:eastAsia="Times New Roman"/>
                <w:b/>
                <w:bCs/>
                <w:color w:val="000000"/>
              </w:rPr>
            </w:pPr>
            <w:r w:rsidRPr="00C609B3">
              <w:rPr>
                <w:rFonts w:eastAsia="Times New Roman"/>
                <w:b/>
                <w:bCs/>
                <w:color w:val="000000"/>
              </w:rPr>
              <w:t>1-15</w:t>
            </w:r>
          </w:p>
        </w:tc>
        <w:tc>
          <w:tcPr>
            <w:tcW w:w="1160" w:type="dxa"/>
            <w:shd w:val="clear" w:color="auto" w:fill="auto"/>
            <w:noWrap/>
            <w:vAlign w:val="center"/>
            <w:hideMark/>
          </w:tcPr>
          <w:p w14:paraId="7C4AAF26" w14:textId="77777777" w:rsidR="004E1A8D" w:rsidRPr="00C609B3" w:rsidRDefault="004E1A8D" w:rsidP="00754AFA">
            <w:pPr>
              <w:jc w:val="center"/>
              <w:rPr>
                <w:rFonts w:eastAsia="Times New Roman"/>
                <w:b/>
                <w:bCs/>
                <w:color w:val="000000"/>
              </w:rPr>
            </w:pPr>
            <w:r w:rsidRPr="00C609B3">
              <w:rPr>
                <w:rFonts w:eastAsia="Times New Roman"/>
                <w:b/>
                <w:bCs/>
                <w:color w:val="000000"/>
              </w:rPr>
              <w:t>2700</w:t>
            </w:r>
          </w:p>
        </w:tc>
        <w:tc>
          <w:tcPr>
            <w:tcW w:w="1160" w:type="dxa"/>
            <w:shd w:val="clear" w:color="auto" w:fill="auto"/>
            <w:noWrap/>
            <w:vAlign w:val="center"/>
            <w:hideMark/>
          </w:tcPr>
          <w:p w14:paraId="582E483A" w14:textId="77777777" w:rsidR="004E1A8D" w:rsidRPr="00C609B3" w:rsidRDefault="004E1A8D" w:rsidP="00754AFA">
            <w:pPr>
              <w:jc w:val="center"/>
              <w:rPr>
                <w:rFonts w:eastAsia="Times New Roman"/>
                <w:b/>
                <w:bCs/>
                <w:color w:val="000000"/>
              </w:rPr>
            </w:pPr>
            <w:r w:rsidRPr="00C609B3">
              <w:rPr>
                <w:rFonts w:eastAsia="Times New Roman"/>
                <w:b/>
                <w:bCs/>
                <w:color w:val="000000"/>
              </w:rPr>
              <w:t>47.48</w:t>
            </w:r>
          </w:p>
        </w:tc>
        <w:tc>
          <w:tcPr>
            <w:tcW w:w="3140" w:type="dxa"/>
            <w:shd w:val="clear" w:color="auto" w:fill="auto"/>
            <w:noWrap/>
            <w:vAlign w:val="center"/>
            <w:hideMark/>
          </w:tcPr>
          <w:p w14:paraId="0295C9FE" w14:textId="77777777" w:rsidR="004E1A8D" w:rsidRPr="00C609B3" w:rsidRDefault="004E1A8D" w:rsidP="00754AFA">
            <w:pPr>
              <w:jc w:val="center"/>
              <w:rPr>
                <w:rFonts w:eastAsia="Times New Roman"/>
                <w:color w:val="000000"/>
              </w:rPr>
            </w:pPr>
            <w:r w:rsidRPr="00C609B3">
              <w:rPr>
                <w:rFonts w:eastAsia="Times New Roman"/>
                <w:color w:val="000000"/>
              </w:rPr>
              <w:t>1.10 [0.93-1.29]</w:t>
            </w:r>
          </w:p>
        </w:tc>
        <w:tc>
          <w:tcPr>
            <w:tcW w:w="3140" w:type="dxa"/>
            <w:shd w:val="clear" w:color="auto" w:fill="auto"/>
            <w:noWrap/>
            <w:vAlign w:val="center"/>
            <w:hideMark/>
          </w:tcPr>
          <w:p w14:paraId="4772BE7C" w14:textId="77777777" w:rsidR="004E1A8D" w:rsidRPr="00C609B3" w:rsidRDefault="004E1A8D" w:rsidP="00754AFA">
            <w:pPr>
              <w:jc w:val="center"/>
              <w:rPr>
                <w:rFonts w:eastAsia="Times New Roman"/>
                <w:color w:val="000000"/>
              </w:rPr>
            </w:pPr>
            <w:r w:rsidRPr="00C609B3">
              <w:rPr>
                <w:rFonts w:eastAsia="Times New Roman"/>
                <w:color w:val="000000"/>
              </w:rPr>
              <w:t>1.31 [1.15-1.49]*</w:t>
            </w:r>
          </w:p>
        </w:tc>
      </w:tr>
      <w:tr w:rsidR="004E1A8D" w:rsidRPr="00C609B3" w14:paraId="698C96F7" w14:textId="77777777" w:rsidTr="00754AFA">
        <w:trPr>
          <w:trHeight w:val="320"/>
        </w:trPr>
        <w:tc>
          <w:tcPr>
            <w:tcW w:w="2580" w:type="dxa"/>
            <w:shd w:val="clear" w:color="auto" w:fill="auto"/>
            <w:noWrap/>
            <w:vAlign w:val="bottom"/>
            <w:hideMark/>
          </w:tcPr>
          <w:p w14:paraId="30BB579B" w14:textId="77777777" w:rsidR="004E1A8D" w:rsidRPr="00C609B3" w:rsidRDefault="004E1A8D" w:rsidP="00754AFA">
            <w:pPr>
              <w:rPr>
                <w:rFonts w:eastAsia="Times New Roman"/>
                <w:b/>
                <w:bCs/>
                <w:color w:val="000000"/>
              </w:rPr>
            </w:pPr>
            <w:r w:rsidRPr="00C609B3">
              <w:rPr>
                <w:rFonts w:eastAsia="Times New Roman"/>
                <w:b/>
                <w:bCs/>
                <w:color w:val="000000"/>
              </w:rPr>
              <w:t>16-30</w:t>
            </w:r>
          </w:p>
        </w:tc>
        <w:tc>
          <w:tcPr>
            <w:tcW w:w="1160" w:type="dxa"/>
            <w:shd w:val="clear" w:color="auto" w:fill="auto"/>
            <w:noWrap/>
            <w:vAlign w:val="center"/>
            <w:hideMark/>
          </w:tcPr>
          <w:p w14:paraId="1E1CB3DF" w14:textId="77777777" w:rsidR="004E1A8D" w:rsidRPr="00C609B3" w:rsidRDefault="004E1A8D" w:rsidP="00754AFA">
            <w:pPr>
              <w:jc w:val="center"/>
              <w:rPr>
                <w:rFonts w:eastAsia="Times New Roman"/>
                <w:b/>
                <w:bCs/>
                <w:color w:val="000000"/>
              </w:rPr>
            </w:pPr>
            <w:r w:rsidRPr="00C609B3">
              <w:rPr>
                <w:rFonts w:eastAsia="Times New Roman"/>
                <w:b/>
                <w:bCs/>
                <w:color w:val="000000"/>
              </w:rPr>
              <w:t>1131</w:t>
            </w:r>
          </w:p>
        </w:tc>
        <w:tc>
          <w:tcPr>
            <w:tcW w:w="1160" w:type="dxa"/>
            <w:shd w:val="clear" w:color="auto" w:fill="auto"/>
            <w:noWrap/>
            <w:vAlign w:val="center"/>
            <w:hideMark/>
          </w:tcPr>
          <w:p w14:paraId="4E2D2E54" w14:textId="77777777" w:rsidR="004E1A8D" w:rsidRPr="00C609B3" w:rsidRDefault="004E1A8D" w:rsidP="00754AFA">
            <w:pPr>
              <w:jc w:val="center"/>
              <w:rPr>
                <w:rFonts w:eastAsia="Times New Roman"/>
                <w:b/>
                <w:bCs/>
                <w:color w:val="000000"/>
              </w:rPr>
            </w:pPr>
            <w:r w:rsidRPr="00C609B3">
              <w:rPr>
                <w:rFonts w:eastAsia="Times New Roman"/>
                <w:b/>
                <w:bCs/>
                <w:color w:val="000000"/>
              </w:rPr>
              <w:t>19.89</w:t>
            </w:r>
          </w:p>
        </w:tc>
        <w:tc>
          <w:tcPr>
            <w:tcW w:w="3140" w:type="dxa"/>
            <w:shd w:val="clear" w:color="auto" w:fill="auto"/>
            <w:noWrap/>
            <w:vAlign w:val="center"/>
            <w:hideMark/>
          </w:tcPr>
          <w:p w14:paraId="36572ED3" w14:textId="77777777" w:rsidR="004E1A8D" w:rsidRPr="00C609B3" w:rsidRDefault="004E1A8D" w:rsidP="00754AFA">
            <w:pPr>
              <w:jc w:val="center"/>
              <w:rPr>
                <w:rFonts w:eastAsia="Times New Roman"/>
                <w:color w:val="000000"/>
              </w:rPr>
            </w:pPr>
            <w:r w:rsidRPr="00C609B3">
              <w:rPr>
                <w:rFonts w:eastAsia="Times New Roman"/>
                <w:color w:val="000000"/>
              </w:rPr>
              <w:t>1.46 [1.21-1.77]*</w:t>
            </w:r>
          </w:p>
        </w:tc>
        <w:tc>
          <w:tcPr>
            <w:tcW w:w="3140" w:type="dxa"/>
            <w:shd w:val="clear" w:color="auto" w:fill="auto"/>
            <w:noWrap/>
            <w:vAlign w:val="center"/>
            <w:hideMark/>
          </w:tcPr>
          <w:p w14:paraId="49AC141E" w14:textId="77777777" w:rsidR="004E1A8D" w:rsidRPr="00C609B3" w:rsidRDefault="004E1A8D" w:rsidP="00754AFA">
            <w:pPr>
              <w:jc w:val="center"/>
              <w:rPr>
                <w:rFonts w:eastAsia="Times New Roman"/>
                <w:color w:val="000000"/>
              </w:rPr>
            </w:pPr>
            <w:r w:rsidRPr="00C609B3">
              <w:rPr>
                <w:rFonts w:eastAsia="Times New Roman"/>
                <w:color w:val="000000"/>
              </w:rPr>
              <w:t>2.10 [1.80-2.45]*</w:t>
            </w:r>
          </w:p>
        </w:tc>
      </w:tr>
      <w:tr w:rsidR="004E1A8D" w:rsidRPr="00C609B3" w14:paraId="2D2184B4" w14:textId="77777777" w:rsidTr="00754AFA">
        <w:trPr>
          <w:trHeight w:val="320"/>
        </w:trPr>
        <w:tc>
          <w:tcPr>
            <w:tcW w:w="2580" w:type="dxa"/>
            <w:shd w:val="clear" w:color="auto" w:fill="auto"/>
            <w:noWrap/>
            <w:vAlign w:val="bottom"/>
            <w:hideMark/>
          </w:tcPr>
          <w:p w14:paraId="51887A4A" w14:textId="77777777" w:rsidR="004E1A8D" w:rsidRPr="00C609B3" w:rsidRDefault="004E1A8D" w:rsidP="00754AFA">
            <w:pPr>
              <w:rPr>
                <w:rFonts w:eastAsia="Times New Roman"/>
                <w:b/>
                <w:bCs/>
                <w:color w:val="000000"/>
              </w:rPr>
            </w:pPr>
            <w:r w:rsidRPr="00C609B3">
              <w:rPr>
                <w:rFonts w:eastAsia="Times New Roman"/>
                <w:b/>
                <w:bCs/>
                <w:color w:val="000000"/>
              </w:rPr>
              <w:t>31-45</w:t>
            </w:r>
          </w:p>
        </w:tc>
        <w:tc>
          <w:tcPr>
            <w:tcW w:w="1160" w:type="dxa"/>
            <w:shd w:val="clear" w:color="auto" w:fill="auto"/>
            <w:noWrap/>
            <w:vAlign w:val="center"/>
            <w:hideMark/>
          </w:tcPr>
          <w:p w14:paraId="7BC84CAF" w14:textId="77777777" w:rsidR="004E1A8D" w:rsidRPr="00C609B3" w:rsidRDefault="004E1A8D" w:rsidP="00754AFA">
            <w:pPr>
              <w:jc w:val="center"/>
              <w:rPr>
                <w:rFonts w:eastAsia="Times New Roman"/>
                <w:b/>
                <w:bCs/>
                <w:color w:val="000000"/>
              </w:rPr>
            </w:pPr>
            <w:r w:rsidRPr="00C609B3">
              <w:rPr>
                <w:rFonts w:eastAsia="Times New Roman"/>
                <w:b/>
                <w:bCs/>
                <w:color w:val="000000"/>
              </w:rPr>
              <w:t>175</w:t>
            </w:r>
          </w:p>
        </w:tc>
        <w:tc>
          <w:tcPr>
            <w:tcW w:w="1160" w:type="dxa"/>
            <w:shd w:val="clear" w:color="auto" w:fill="auto"/>
            <w:noWrap/>
            <w:vAlign w:val="center"/>
            <w:hideMark/>
          </w:tcPr>
          <w:p w14:paraId="4E32D3AE" w14:textId="77777777" w:rsidR="004E1A8D" w:rsidRPr="00C609B3" w:rsidRDefault="004E1A8D" w:rsidP="00754AFA">
            <w:pPr>
              <w:jc w:val="center"/>
              <w:rPr>
                <w:rFonts w:eastAsia="Times New Roman"/>
                <w:b/>
                <w:bCs/>
                <w:color w:val="000000"/>
              </w:rPr>
            </w:pPr>
            <w:r w:rsidRPr="00C609B3">
              <w:rPr>
                <w:rFonts w:eastAsia="Times New Roman"/>
                <w:b/>
                <w:bCs/>
                <w:color w:val="000000"/>
              </w:rPr>
              <w:t>3.08</w:t>
            </w:r>
          </w:p>
        </w:tc>
        <w:tc>
          <w:tcPr>
            <w:tcW w:w="3140" w:type="dxa"/>
            <w:shd w:val="clear" w:color="auto" w:fill="auto"/>
            <w:noWrap/>
            <w:vAlign w:val="center"/>
            <w:hideMark/>
          </w:tcPr>
          <w:p w14:paraId="0EEF88AA" w14:textId="77777777" w:rsidR="004E1A8D" w:rsidRPr="00C609B3" w:rsidRDefault="004E1A8D" w:rsidP="00754AFA">
            <w:pPr>
              <w:jc w:val="center"/>
              <w:rPr>
                <w:rFonts w:eastAsia="Times New Roman"/>
                <w:color w:val="000000"/>
              </w:rPr>
            </w:pPr>
            <w:r w:rsidRPr="00C609B3">
              <w:rPr>
                <w:rFonts w:eastAsia="Times New Roman"/>
                <w:color w:val="000000"/>
              </w:rPr>
              <w:t>1.46 [1.00-2.13]*</w:t>
            </w:r>
          </w:p>
        </w:tc>
        <w:tc>
          <w:tcPr>
            <w:tcW w:w="3140" w:type="dxa"/>
            <w:shd w:val="clear" w:color="auto" w:fill="auto"/>
            <w:noWrap/>
            <w:vAlign w:val="center"/>
            <w:hideMark/>
          </w:tcPr>
          <w:p w14:paraId="165A9C0E" w14:textId="77777777" w:rsidR="004E1A8D" w:rsidRPr="00C609B3" w:rsidRDefault="004E1A8D" w:rsidP="00754AFA">
            <w:pPr>
              <w:jc w:val="center"/>
              <w:rPr>
                <w:rFonts w:eastAsia="Times New Roman"/>
                <w:color w:val="000000"/>
              </w:rPr>
            </w:pPr>
            <w:r w:rsidRPr="00C609B3">
              <w:rPr>
                <w:rFonts w:eastAsia="Times New Roman"/>
                <w:color w:val="000000"/>
              </w:rPr>
              <w:t>3.46 [2.50-4.79]*</w:t>
            </w:r>
          </w:p>
        </w:tc>
      </w:tr>
      <w:tr w:rsidR="004E1A8D" w:rsidRPr="00C609B3" w14:paraId="0F4AB79C" w14:textId="77777777" w:rsidTr="00754AFA">
        <w:trPr>
          <w:trHeight w:val="320"/>
        </w:trPr>
        <w:tc>
          <w:tcPr>
            <w:tcW w:w="2580" w:type="dxa"/>
            <w:shd w:val="clear" w:color="auto" w:fill="auto"/>
            <w:noWrap/>
            <w:vAlign w:val="bottom"/>
            <w:hideMark/>
          </w:tcPr>
          <w:p w14:paraId="79ECA908" w14:textId="77777777" w:rsidR="004E1A8D" w:rsidRPr="00C609B3" w:rsidRDefault="004E1A8D" w:rsidP="00754AFA">
            <w:pPr>
              <w:rPr>
                <w:rFonts w:eastAsia="Times New Roman"/>
                <w:b/>
                <w:bCs/>
                <w:color w:val="000000"/>
              </w:rPr>
            </w:pPr>
            <w:r w:rsidRPr="00C609B3">
              <w:rPr>
                <w:rFonts w:eastAsia="Times New Roman"/>
                <w:b/>
                <w:bCs/>
                <w:color w:val="000000"/>
              </w:rPr>
              <w:t>45+</w:t>
            </w:r>
          </w:p>
        </w:tc>
        <w:tc>
          <w:tcPr>
            <w:tcW w:w="1160" w:type="dxa"/>
            <w:shd w:val="clear" w:color="auto" w:fill="auto"/>
            <w:noWrap/>
            <w:vAlign w:val="center"/>
            <w:hideMark/>
          </w:tcPr>
          <w:p w14:paraId="071D883A" w14:textId="77777777" w:rsidR="004E1A8D" w:rsidRPr="00C609B3" w:rsidRDefault="004E1A8D" w:rsidP="00754AFA">
            <w:pPr>
              <w:jc w:val="center"/>
              <w:rPr>
                <w:rFonts w:eastAsia="Times New Roman"/>
                <w:b/>
                <w:bCs/>
                <w:color w:val="000000"/>
              </w:rPr>
            </w:pPr>
            <w:r w:rsidRPr="00C609B3">
              <w:rPr>
                <w:rFonts w:eastAsia="Times New Roman"/>
                <w:b/>
                <w:bCs/>
                <w:color w:val="000000"/>
              </w:rPr>
              <w:t>6</w:t>
            </w:r>
          </w:p>
        </w:tc>
        <w:tc>
          <w:tcPr>
            <w:tcW w:w="1160" w:type="dxa"/>
            <w:shd w:val="clear" w:color="auto" w:fill="auto"/>
            <w:noWrap/>
            <w:vAlign w:val="center"/>
            <w:hideMark/>
          </w:tcPr>
          <w:p w14:paraId="12FFD757" w14:textId="77777777" w:rsidR="004E1A8D" w:rsidRPr="00C609B3" w:rsidRDefault="004E1A8D" w:rsidP="00754AFA">
            <w:pPr>
              <w:jc w:val="center"/>
              <w:rPr>
                <w:rFonts w:eastAsia="Times New Roman"/>
                <w:b/>
                <w:bCs/>
                <w:color w:val="000000"/>
              </w:rPr>
            </w:pPr>
            <w:r w:rsidRPr="00C609B3">
              <w:rPr>
                <w:rFonts w:eastAsia="Times New Roman"/>
                <w:b/>
                <w:bCs/>
                <w:color w:val="000000"/>
              </w:rPr>
              <w:t>0.11</w:t>
            </w:r>
          </w:p>
        </w:tc>
        <w:tc>
          <w:tcPr>
            <w:tcW w:w="3140" w:type="dxa"/>
            <w:shd w:val="clear" w:color="auto" w:fill="auto"/>
            <w:noWrap/>
            <w:vAlign w:val="center"/>
            <w:hideMark/>
          </w:tcPr>
          <w:p w14:paraId="7BF4D5E8" w14:textId="77777777" w:rsidR="004E1A8D" w:rsidRPr="00C609B3" w:rsidRDefault="004E1A8D" w:rsidP="00754AFA">
            <w:pPr>
              <w:jc w:val="center"/>
              <w:rPr>
                <w:rFonts w:eastAsia="Times New Roman"/>
                <w:color w:val="000000"/>
              </w:rPr>
            </w:pPr>
            <w:r w:rsidRPr="00C609B3">
              <w:rPr>
                <w:rFonts w:eastAsia="Times New Roman"/>
                <w:color w:val="000000"/>
              </w:rPr>
              <w:t>0.62 [0.08-4.95]</w:t>
            </w:r>
          </w:p>
        </w:tc>
        <w:tc>
          <w:tcPr>
            <w:tcW w:w="3140" w:type="dxa"/>
            <w:shd w:val="clear" w:color="auto" w:fill="auto"/>
            <w:noWrap/>
            <w:vAlign w:val="center"/>
            <w:hideMark/>
          </w:tcPr>
          <w:p w14:paraId="7ABF130C" w14:textId="77777777" w:rsidR="004E1A8D" w:rsidRPr="00C609B3" w:rsidRDefault="004E1A8D" w:rsidP="00754AFA">
            <w:pPr>
              <w:jc w:val="center"/>
              <w:rPr>
                <w:rFonts w:eastAsia="Times New Roman"/>
                <w:color w:val="000000"/>
              </w:rPr>
            </w:pPr>
            <w:r w:rsidRPr="00C609B3">
              <w:rPr>
                <w:rFonts w:eastAsia="Times New Roman"/>
                <w:color w:val="000000"/>
              </w:rPr>
              <w:t>3.99 [-.99-16.02]</w:t>
            </w:r>
          </w:p>
        </w:tc>
      </w:tr>
      <w:tr w:rsidR="004E1A8D" w:rsidRPr="00C609B3" w14:paraId="249A5C8F" w14:textId="77777777" w:rsidTr="00754AFA">
        <w:trPr>
          <w:trHeight w:val="320"/>
        </w:trPr>
        <w:tc>
          <w:tcPr>
            <w:tcW w:w="2580" w:type="dxa"/>
            <w:shd w:val="clear" w:color="auto" w:fill="auto"/>
            <w:noWrap/>
            <w:vAlign w:val="bottom"/>
            <w:hideMark/>
          </w:tcPr>
          <w:p w14:paraId="4072A613" w14:textId="77777777" w:rsidR="004E1A8D" w:rsidRPr="00C609B3" w:rsidRDefault="004E1A8D" w:rsidP="00754AFA">
            <w:pPr>
              <w:rPr>
                <w:rFonts w:eastAsia="Times New Roman"/>
                <w:color w:val="000000"/>
              </w:rPr>
            </w:pPr>
            <w:r w:rsidRPr="00C609B3">
              <w:rPr>
                <w:rFonts w:eastAsia="Times New Roman"/>
                <w:color w:val="000000"/>
              </w:rPr>
              <w:t> </w:t>
            </w:r>
          </w:p>
        </w:tc>
        <w:tc>
          <w:tcPr>
            <w:tcW w:w="1160" w:type="dxa"/>
            <w:shd w:val="clear" w:color="auto" w:fill="auto"/>
            <w:noWrap/>
            <w:vAlign w:val="center"/>
            <w:hideMark/>
          </w:tcPr>
          <w:p w14:paraId="095A0EE8"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1160" w:type="dxa"/>
            <w:shd w:val="clear" w:color="auto" w:fill="auto"/>
            <w:noWrap/>
            <w:vAlign w:val="center"/>
            <w:hideMark/>
          </w:tcPr>
          <w:p w14:paraId="5EFA9240"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3140" w:type="dxa"/>
            <w:shd w:val="clear" w:color="auto" w:fill="auto"/>
            <w:noWrap/>
            <w:vAlign w:val="center"/>
            <w:hideMark/>
          </w:tcPr>
          <w:p w14:paraId="4DC99563"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3140" w:type="dxa"/>
            <w:shd w:val="clear" w:color="auto" w:fill="auto"/>
            <w:noWrap/>
            <w:vAlign w:val="center"/>
            <w:hideMark/>
          </w:tcPr>
          <w:p w14:paraId="4974E5A2" w14:textId="77777777" w:rsidR="004E1A8D" w:rsidRPr="00C609B3" w:rsidRDefault="004E1A8D" w:rsidP="00754AFA">
            <w:pPr>
              <w:jc w:val="center"/>
              <w:rPr>
                <w:rFonts w:eastAsia="Times New Roman"/>
                <w:color w:val="000000"/>
              </w:rPr>
            </w:pPr>
            <w:r w:rsidRPr="00C609B3">
              <w:rPr>
                <w:rFonts w:eastAsia="Times New Roman"/>
                <w:color w:val="000000"/>
              </w:rPr>
              <w:t> </w:t>
            </w:r>
          </w:p>
        </w:tc>
      </w:tr>
      <w:tr w:rsidR="004E1A8D" w:rsidRPr="00C609B3" w14:paraId="54FAA8ED" w14:textId="77777777" w:rsidTr="00754AFA">
        <w:trPr>
          <w:trHeight w:val="320"/>
        </w:trPr>
        <w:tc>
          <w:tcPr>
            <w:tcW w:w="2580" w:type="dxa"/>
            <w:shd w:val="clear" w:color="auto" w:fill="auto"/>
            <w:noWrap/>
            <w:vAlign w:val="bottom"/>
            <w:hideMark/>
          </w:tcPr>
          <w:p w14:paraId="50DD9238" w14:textId="77777777" w:rsidR="004E1A8D" w:rsidRPr="00C609B3" w:rsidRDefault="004E1A8D" w:rsidP="00754AFA">
            <w:pPr>
              <w:rPr>
                <w:rFonts w:eastAsia="Times New Roman"/>
                <w:b/>
                <w:bCs/>
                <w:color w:val="000000"/>
              </w:rPr>
            </w:pPr>
            <w:r w:rsidRPr="00C609B3">
              <w:rPr>
                <w:rFonts w:eastAsia="Times New Roman"/>
                <w:b/>
                <w:bCs/>
                <w:color w:val="000000"/>
              </w:rPr>
              <w:t>ETHNIC GROUP (n=5256)</w:t>
            </w:r>
          </w:p>
        </w:tc>
        <w:tc>
          <w:tcPr>
            <w:tcW w:w="1160" w:type="dxa"/>
            <w:shd w:val="clear" w:color="auto" w:fill="auto"/>
            <w:noWrap/>
            <w:vAlign w:val="center"/>
            <w:hideMark/>
          </w:tcPr>
          <w:p w14:paraId="5F3F57FE"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1160" w:type="dxa"/>
            <w:shd w:val="clear" w:color="auto" w:fill="auto"/>
            <w:noWrap/>
            <w:vAlign w:val="center"/>
            <w:hideMark/>
          </w:tcPr>
          <w:p w14:paraId="1C1F8976" w14:textId="77777777" w:rsidR="004E1A8D" w:rsidRPr="00C609B3" w:rsidRDefault="004E1A8D" w:rsidP="00754AFA">
            <w:pPr>
              <w:jc w:val="center"/>
              <w:rPr>
                <w:rFonts w:eastAsia="Times New Roman"/>
                <w:b/>
                <w:bCs/>
                <w:color w:val="000000"/>
              </w:rPr>
            </w:pPr>
            <w:r w:rsidRPr="00C609B3">
              <w:rPr>
                <w:rFonts w:eastAsia="Times New Roman"/>
                <w:b/>
                <w:bCs/>
                <w:color w:val="000000"/>
              </w:rPr>
              <w:t> </w:t>
            </w:r>
          </w:p>
        </w:tc>
        <w:tc>
          <w:tcPr>
            <w:tcW w:w="3140" w:type="dxa"/>
            <w:shd w:val="clear" w:color="auto" w:fill="auto"/>
            <w:noWrap/>
            <w:vAlign w:val="bottom"/>
            <w:hideMark/>
          </w:tcPr>
          <w:p w14:paraId="00E933B6" w14:textId="77777777" w:rsidR="004E1A8D" w:rsidRPr="00C609B3" w:rsidRDefault="004E1A8D" w:rsidP="00754AFA">
            <w:pPr>
              <w:rPr>
                <w:rFonts w:eastAsia="Times New Roman"/>
                <w:color w:val="000000"/>
              </w:rPr>
            </w:pPr>
            <w:r w:rsidRPr="00C609B3">
              <w:rPr>
                <w:rFonts w:eastAsia="Times New Roman"/>
                <w:color w:val="000000"/>
              </w:rPr>
              <w:t> </w:t>
            </w:r>
          </w:p>
        </w:tc>
        <w:tc>
          <w:tcPr>
            <w:tcW w:w="3140" w:type="dxa"/>
            <w:shd w:val="clear" w:color="auto" w:fill="auto"/>
            <w:noWrap/>
            <w:vAlign w:val="center"/>
            <w:hideMark/>
          </w:tcPr>
          <w:p w14:paraId="0D71774E" w14:textId="77777777" w:rsidR="004E1A8D" w:rsidRPr="00C609B3" w:rsidRDefault="004E1A8D" w:rsidP="00754AFA">
            <w:pPr>
              <w:jc w:val="center"/>
              <w:rPr>
                <w:rFonts w:eastAsia="Times New Roman"/>
                <w:color w:val="000000"/>
              </w:rPr>
            </w:pPr>
            <w:r w:rsidRPr="00C609B3">
              <w:rPr>
                <w:rFonts w:eastAsia="Times New Roman"/>
                <w:color w:val="000000"/>
              </w:rPr>
              <w:t> </w:t>
            </w:r>
          </w:p>
        </w:tc>
      </w:tr>
      <w:tr w:rsidR="004E1A8D" w:rsidRPr="00C609B3" w14:paraId="2FF8693C" w14:textId="77777777" w:rsidTr="00754AFA">
        <w:trPr>
          <w:trHeight w:val="320"/>
        </w:trPr>
        <w:tc>
          <w:tcPr>
            <w:tcW w:w="2580" w:type="dxa"/>
            <w:shd w:val="clear" w:color="auto" w:fill="auto"/>
            <w:noWrap/>
            <w:vAlign w:val="bottom"/>
            <w:hideMark/>
          </w:tcPr>
          <w:p w14:paraId="2F2F7D47" w14:textId="77777777" w:rsidR="004E1A8D" w:rsidRPr="00C609B3" w:rsidRDefault="004E1A8D" w:rsidP="00754AFA">
            <w:pPr>
              <w:rPr>
                <w:rFonts w:eastAsia="Times New Roman"/>
                <w:b/>
                <w:bCs/>
                <w:color w:val="000000"/>
              </w:rPr>
            </w:pPr>
            <w:r w:rsidRPr="00C609B3">
              <w:rPr>
                <w:rFonts w:eastAsia="Times New Roman"/>
                <w:b/>
                <w:bCs/>
                <w:color w:val="000000"/>
              </w:rPr>
              <w:t>White</w:t>
            </w:r>
          </w:p>
        </w:tc>
        <w:tc>
          <w:tcPr>
            <w:tcW w:w="1160" w:type="dxa"/>
            <w:shd w:val="clear" w:color="auto" w:fill="auto"/>
            <w:noWrap/>
            <w:vAlign w:val="center"/>
            <w:hideMark/>
          </w:tcPr>
          <w:p w14:paraId="4BE5E19D" w14:textId="77777777" w:rsidR="004E1A8D" w:rsidRPr="00C609B3" w:rsidRDefault="004E1A8D" w:rsidP="00754AFA">
            <w:pPr>
              <w:jc w:val="center"/>
              <w:rPr>
                <w:rFonts w:eastAsia="Times New Roman"/>
                <w:b/>
                <w:bCs/>
                <w:color w:val="000000"/>
              </w:rPr>
            </w:pPr>
            <w:r w:rsidRPr="00C609B3">
              <w:rPr>
                <w:rFonts w:eastAsia="Times New Roman"/>
                <w:b/>
                <w:bCs/>
                <w:color w:val="000000"/>
              </w:rPr>
              <w:t>5067</w:t>
            </w:r>
          </w:p>
        </w:tc>
        <w:tc>
          <w:tcPr>
            <w:tcW w:w="1160" w:type="dxa"/>
            <w:shd w:val="clear" w:color="auto" w:fill="auto"/>
            <w:noWrap/>
            <w:vAlign w:val="center"/>
            <w:hideMark/>
          </w:tcPr>
          <w:p w14:paraId="4D0D0F30" w14:textId="77777777" w:rsidR="004E1A8D" w:rsidRPr="00C609B3" w:rsidRDefault="004E1A8D" w:rsidP="00754AFA">
            <w:pPr>
              <w:jc w:val="center"/>
              <w:rPr>
                <w:rFonts w:eastAsia="Times New Roman"/>
                <w:b/>
                <w:bCs/>
                <w:color w:val="000000"/>
              </w:rPr>
            </w:pPr>
            <w:r w:rsidRPr="00C609B3">
              <w:rPr>
                <w:rFonts w:eastAsia="Times New Roman"/>
                <w:b/>
                <w:bCs/>
                <w:color w:val="000000"/>
              </w:rPr>
              <w:t>96.40</w:t>
            </w:r>
          </w:p>
        </w:tc>
        <w:tc>
          <w:tcPr>
            <w:tcW w:w="3140" w:type="dxa"/>
            <w:shd w:val="clear" w:color="auto" w:fill="auto"/>
            <w:noWrap/>
            <w:vAlign w:val="center"/>
            <w:hideMark/>
          </w:tcPr>
          <w:p w14:paraId="090C8566" w14:textId="77777777" w:rsidR="004E1A8D" w:rsidRPr="00C609B3" w:rsidRDefault="004E1A8D" w:rsidP="00754AFA">
            <w:pPr>
              <w:jc w:val="center"/>
              <w:rPr>
                <w:rFonts w:eastAsia="Times New Roman"/>
                <w:color w:val="000000"/>
              </w:rPr>
            </w:pPr>
            <w:r w:rsidRPr="00C609B3">
              <w:rPr>
                <w:rFonts w:eastAsia="Times New Roman"/>
                <w:color w:val="000000"/>
              </w:rPr>
              <w:t>1</w:t>
            </w:r>
          </w:p>
        </w:tc>
        <w:tc>
          <w:tcPr>
            <w:tcW w:w="3140" w:type="dxa"/>
            <w:shd w:val="clear" w:color="auto" w:fill="auto"/>
            <w:noWrap/>
            <w:vAlign w:val="center"/>
            <w:hideMark/>
          </w:tcPr>
          <w:p w14:paraId="40664F2E" w14:textId="77777777" w:rsidR="004E1A8D" w:rsidRPr="00C609B3" w:rsidRDefault="004E1A8D" w:rsidP="00754AFA">
            <w:pPr>
              <w:jc w:val="center"/>
              <w:rPr>
                <w:rFonts w:eastAsia="Times New Roman"/>
                <w:color w:val="000000"/>
              </w:rPr>
            </w:pPr>
            <w:r w:rsidRPr="00C609B3">
              <w:rPr>
                <w:rFonts w:eastAsia="Times New Roman"/>
                <w:color w:val="000000"/>
              </w:rPr>
              <w:t>1</w:t>
            </w:r>
          </w:p>
        </w:tc>
      </w:tr>
      <w:tr w:rsidR="004E1A8D" w:rsidRPr="00C609B3" w14:paraId="339A5DDF" w14:textId="77777777" w:rsidTr="00754AFA">
        <w:trPr>
          <w:trHeight w:val="320"/>
        </w:trPr>
        <w:tc>
          <w:tcPr>
            <w:tcW w:w="2580" w:type="dxa"/>
            <w:shd w:val="clear" w:color="auto" w:fill="auto"/>
            <w:noWrap/>
            <w:vAlign w:val="bottom"/>
            <w:hideMark/>
          </w:tcPr>
          <w:p w14:paraId="67E9EE3F" w14:textId="77777777" w:rsidR="004E1A8D" w:rsidRPr="00C609B3" w:rsidRDefault="004E1A8D" w:rsidP="00754AFA">
            <w:pPr>
              <w:rPr>
                <w:rFonts w:eastAsia="Times New Roman"/>
                <w:b/>
                <w:bCs/>
                <w:color w:val="000000"/>
              </w:rPr>
            </w:pPr>
            <w:r w:rsidRPr="00C609B3">
              <w:rPr>
                <w:rFonts w:eastAsia="Times New Roman"/>
                <w:b/>
                <w:bCs/>
                <w:color w:val="000000"/>
              </w:rPr>
              <w:t>Mixed</w:t>
            </w:r>
          </w:p>
        </w:tc>
        <w:tc>
          <w:tcPr>
            <w:tcW w:w="1160" w:type="dxa"/>
            <w:shd w:val="clear" w:color="auto" w:fill="auto"/>
            <w:noWrap/>
            <w:vAlign w:val="center"/>
            <w:hideMark/>
          </w:tcPr>
          <w:p w14:paraId="1465E3B8" w14:textId="77777777" w:rsidR="004E1A8D" w:rsidRPr="00C609B3" w:rsidRDefault="004E1A8D" w:rsidP="00754AFA">
            <w:pPr>
              <w:jc w:val="center"/>
              <w:rPr>
                <w:rFonts w:eastAsia="Times New Roman"/>
                <w:b/>
                <w:bCs/>
                <w:color w:val="000000"/>
              </w:rPr>
            </w:pPr>
            <w:r w:rsidRPr="00C609B3">
              <w:rPr>
                <w:rFonts w:eastAsia="Times New Roman"/>
                <w:b/>
                <w:bCs/>
                <w:color w:val="000000"/>
              </w:rPr>
              <w:t>18</w:t>
            </w:r>
          </w:p>
        </w:tc>
        <w:tc>
          <w:tcPr>
            <w:tcW w:w="1160" w:type="dxa"/>
            <w:shd w:val="clear" w:color="auto" w:fill="auto"/>
            <w:noWrap/>
            <w:vAlign w:val="center"/>
            <w:hideMark/>
          </w:tcPr>
          <w:p w14:paraId="23DDD4D9" w14:textId="77777777" w:rsidR="004E1A8D" w:rsidRPr="00C609B3" w:rsidRDefault="004E1A8D" w:rsidP="00754AFA">
            <w:pPr>
              <w:jc w:val="center"/>
              <w:rPr>
                <w:rFonts w:eastAsia="Times New Roman"/>
                <w:b/>
                <w:bCs/>
                <w:color w:val="000000"/>
              </w:rPr>
            </w:pPr>
            <w:r w:rsidRPr="00C609B3">
              <w:rPr>
                <w:rFonts w:eastAsia="Times New Roman"/>
                <w:b/>
                <w:bCs/>
                <w:color w:val="000000"/>
              </w:rPr>
              <w:t>0.34</w:t>
            </w:r>
          </w:p>
        </w:tc>
        <w:tc>
          <w:tcPr>
            <w:tcW w:w="3140" w:type="dxa"/>
            <w:shd w:val="clear" w:color="auto" w:fill="auto"/>
            <w:noWrap/>
            <w:vAlign w:val="bottom"/>
            <w:hideMark/>
          </w:tcPr>
          <w:p w14:paraId="103B5BDB" w14:textId="77777777" w:rsidR="004E1A8D" w:rsidRPr="00C609B3" w:rsidRDefault="004E1A8D" w:rsidP="00754AFA">
            <w:pPr>
              <w:jc w:val="center"/>
              <w:rPr>
                <w:rFonts w:eastAsia="Times New Roman"/>
                <w:color w:val="000000"/>
              </w:rPr>
            </w:pPr>
            <w:r w:rsidRPr="00C609B3">
              <w:rPr>
                <w:rFonts w:eastAsia="Times New Roman"/>
                <w:color w:val="000000"/>
              </w:rPr>
              <w:t>0.52 [0.12-2.25]</w:t>
            </w:r>
          </w:p>
        </w:tc>
        <w:tc>
          <w:tcPr>
            <w:tcW w:w="3140" w:type="dxa"/>
            <w:shd w:val="clear" w:color="auto" w:fill="auto"/>
            <w:noWrap/>
            <w:vAlign w:val="center"/>
            <w:hideMark/>
          </w:tcPr>
          <w:p w14:paraId="503F9DED" w14:textId="77777777" w:rsidR="004E1A8D" w:rsidRPr="00C609B3" w:rsidRDefault="004E1A8D" w:rsidP="00754AFA">
            <w:pPr>
              <w:jc w:val="center"/>
              <w:rPr>
                <w:rFonts w:eastAsia="Times New Roman"/>
                <w:color w:val="000000"/>
              </w:rPr>
            </w:pPr>
            <w:r w:rsidRPr="00C609B3">
              <w:rPr>
                <w:rFonts w:eastAsia="Times New Roman"/>
                <w:color w:val="000000"/>
              </w:rPr>
              <w:t>0.71 [0.28-1.79]</w:t>
            </w:r>
          </w:p>
        </w:tc>
      </w:tr>
      <w:tr w:rsidR="004E1A8D" w:rsidRPr="00C609B3" w14:paraId="376B4E7F" w14:textId="77777777" w:rsidTr="00754AFA">
        <w:trPr>
          <w:trHeight w:val="320"/>
        </w:trPr>
        <w:tc>
          <w:tcPr>
            <w:tcW w:w="2580" w:type="dxa"/>
            <w:shd w:val="clear" w:color="auto" w:fill="auto"/>
            <w:noWrap/>
            <w:vAlign w:val="bottom"/>
            <w:hideMark/>
          </w:tcPr>
          <w:p w14:paraId="44100682" w14:textId="77777777" w:rsidR="004E1A8D" w:rsidRPr="00C609B3" w:rsidRDefault="004E1A8D" w:rsidP="00754AFA">
            <w:pPr>
              <w:rPr>
                <w:rFonts w:eastAsia="Times New Roman"/>
                <w:b/>
                <w:bCs/>
                <w:color w:val="000000"/>
              </w:rPr>
            </w:pPr>
            <w:r w:rsidRPr="00C609B3">
              <w:rPr>
                <w:rFonts w:eastAsia="Times New Roman"/>
                <w:b/>
                <w:bCs/>
                <w:color w:val="000000"/>
              </w:rPr>
              <w:t>Asian</w:t>
            </w:r>
          </w:p>
        </w:tc>
        <w:tc>
          <w:tcPr>
            <w:tcW w:w="1160" w:type="dxa"/>
            <w:shd w:val="clear" w:color="auto" w:fill="auto"/>
            <w:noWrap/>
            <w:vAlign w:val="center"/>
            <w:hideMark/>
          </w:tcPr>
          <w:p w14:paraId="35D6828B" w14:textId="77777777" w:rsidR="004E1A8D" w:rsidRPr="00C609B3" w:rsidRDefault="004E1A8D" w:rsidP="00754AFA">
            <w:pPr>
              <w:jc w:val="center"/>
              <w:rPr>
                <w:rFonts w:eastAsia="Times New Roman"/>
                <w:b/>
                <w:bCs/>
                <w:color w:val="000000"/>
              </w:rPr>
            </w:pPr>
            <w:r w:rsidRPr="00C609B3">
              <w:rPr>
                <w:rFonts w:eastAsia="Times New Roman"/>
                <w:b/>
                <w:bCs/>
                <w:color w:val="000000"/>
              </w:rPr>
              <w:t>143</w:t>
            </w:r>
          </w:p>
        </w:tc>
        <w:tc>
          <w:tcPr>
            <w:tcW w:w="1160" w:type="dxa"/>
            <w:shd w:val="clear" w:color="auto" w:fill="auto"/>
            <w:noWrap/>
            <w:vAlign w:val="center"/>
            <w:hideMark/>
          </w:tcPr>
          <w:p w14:paraId="015AD5C2" w14:textId="77777777" w:rsidR="004E1A8D" w:rsidRPr="00C609B3" w:rsidRDefault="004E1A8D" w:rsidP="00754AFA">
            <w:pPr>
              <w:jc w:val="center"/>
              <w:rPr>
                <w:rFonts w:eastAsia="Times New Roman"/>
                <w:b/>
                <w:bCs/>
                <w:color w:val="000000"/>
              </w:rPr>
            </w:pPr>
            <w:r w:rsidRPr="00C609B3">
              <w:rPr>
                <w:rFonts w:eastAsia="Times New Roman"/>
                <w:b/>
                <w:bCs/>
                <w:color w:val="000000"/>
              </w:rPr>
              <w:t>2.72</w:t>
            </w:r>
          </w:p>
        </w:tc>
        <w:tc>
          <w:tcPr>
            <w:tcW w:w="3140" w:type="dxa"/>
            <w:shd w:val="clear" w:color="auto" w:fill="auto"/>
            <w:noWrap/>
            <w:vAlign w:val="bottom"/>
            <w:hideMark/>
          </w:tcPr>
          <w:p w14:paraId="14C71CFD" w14:textId="77777777" w:rsidR="004E1A8D" w:rsidRPr="00C609B3" w:rsidRDefault="004E1A8D" w:rsidP="00754AFA">
            <w:pPr>
              <w:jc w:val="center"/>
              <w:rPr>
                <w:rFonts w:eastAsia="Times New Roman"/>
                <w:color w:val="000000"/>
              </w:rPr>
            </w:pPr>
            <w:r w:rsidRPr="00C609B3">
              <w:rPr>
                <w:rFonts w:eastAsia="Times New Roman"/>
                <w:color w:val="000000"/>
              </w:rPr>
              <w:t>0.96 [0.63-1.47]</w:t>
            </w:r>
          </w:p>
        </w:tc>
        <w:tc>
          <w:tcPr>
            <w:tcW w:w="3140" w:type="dxa"/>
            <w:shd w:val="clear" w:color="auto" w:fill="auto"/>
            <w:noWrap/>
            <w:vAlign w:val="center"/>
            <w:hideMark/>
          </w:tcPr>
          <w:p w14:paraId="35AFE184" w14:textId="77777777" w:rsidR="004E1A8D" w:rsidRPr="00C609B3" w:rsidRDefault="004E1A8D" w:rsidP="00754AFA">
            <w:pPr>
              <w:jc w:val="center"/>
              <w:rPr>
                <w:rFonts w:eastAsia="Times New Roman"/>
                <w:color w:val="000000"/>
              </w:rPr>
            </w:pPr>
            <w:r w:rsidRPr="00C609B3">
              <w:rPr>
                <w:rFonts w:eastAsia="Times New Roman"/>
                <w:color w:val="000000"/>
              </w:rPr>
              <w:t>1.83 [1.27-2.65]*</w:t>
            </w:r>
          </w:p>
        </w:tc>
      </w:tr>
      <w:tr w:rsidR="004E1A8D" w:rsidRPr="00C609B3" w14:paraId="1F76D72D" w14:textId="77777777" w:rsidTr="00754AFA">
        <w:trPr>
          <w:trHeight w:val="320"/>
        </w:trPr>
        <w:tc>
          <w:tcPr>
            <w:tcW w:w="2580" w:type="dxa"/>
            <w:shd w:val="clear" w:color="auto" w:fill="auto"/>
            <w:noWrap/>
            <w:vAlign w:val="bottom"/>
            <w:hideMark/>
          </w:tcPr>
          <w:p w14:paraId="2AAF2F83" w14:textId="77777777" w:rsidR="004E1A8D" w:rsidRPr="00C609B3" w:rsidRDefault="004E1A8D" w:rsidP="00754AFA">
            <w:pPr>
              <w:rPr>
                <w:rFonts w:eastAsia="Times New Roman"/>
                <w:b/>
                <w:bCs/>
                <w:color w:val="000000"/>
              </w:rPr>
            </w:pPr>
            <w:r w:rsidRPr="00C609B3">
              <w:rPr>
                <w:rFonts w:eastAsia="Times New Roman"/>
                <w:b/>
                <w:bCs/>
                <w:color w:val="000000"/>
              </w:rPr>
              <w:t>Black</w:t>
            </w:r>
          </w:p>
        </w:tc>
        <w:tc>
          <w:tcPr>
            <w:tcW w:w="1160" w:type="dxa"/>
            <w:shd w:val="clear" w:color="auto" w:fill="auto"/>
            <w:noWrap/>
            <w:vAlign w:val="center"/>
            <w:hideMark/>
          </w:tcPr>
          <w:p w14:paraId="1DBE721C" w14:textId="77777777" w:rsidR="004E1A8D" w:rsidRPr="00C609B3" w:rsidRDefault="004E1A8D" w:rsidP="00754AFA">
            <w:pPr>
              <w:jc w:val="center"/>
              <w:rPr>
                <w:rFonts w:eastAsia="Times New Roman"/>
                <w:b/>
                <w:bCs/>
                <w:color w:val="000000"/>
              </w:rPr>
            </w:pPr>
            <w:r w:rsidRPr="00C609B3">
              <w:rPr>
                <w:rFonts w:eastAsia="Times New Roman"/>
                <w:b/>
                <w:bCs/>
                <w:color w:val="000000"/>
              </w:rPr>
              <w:t>28</w:t>
            </w:r>
          </w:p>
        </w:tc>
        <w:tc>
          <w:tcPr>
            <w:tcW w:w="1160" w:type="dxa"/>
            <w:shd w:val="clear" w:color="auto" w:fill="auto"/>
            <w:noWrap/>
            <w:vAlign w:val="center"/>
            <w:hideMark/>
          </w:tcPr>
          <w:p w14:paraId="2E2C5485" w14:textId="77777777" w:rsidR="004E1A8D" w:rsidRPr="00C609B3" w:rsidRDefault="004E1A8D" w:rsidP="00754AFA">
            <w:pPr>
              <w:jc w:val="center"/>
              <w:rPr>
                <w:rFonts w:eastAsia="Times New Roman"/>
                <w:b/>
                <w:bCs/>
                <w:color w:val="000000"/>
              </w:rPr>
            </w:pPr>
            <w:r w:rsidRPr="00C609B3">
              <w:rPr>
                <w:rFonts w:eastAsia="Times New Roman"/>
                <w:b/>
                <w:bCs/>
                <w:color w:val="000000"/>
              </w:rPr>
              <w:t>0.53</w:t>
            </w:r>
          </w:p>
        </w:tc>
        <w:tc>
          <w:tcPr>
            <w:tcW w:w="3140" w:type="dxa"/>
            <w:shd w:val="clear" w:color="auto" w:fill="auto"/>
            <w:noWrap/>
            <w:vAlign w:val="bottom"/>
            <w:hideMark/>
          </w:tcPr>
          <w:p w14:paraId="75B33C91" w14:textId="77777777" w:rsidR="004E1A8D" w:rsidRPr="00C609B3" w:rsidRDefault="004E1A8D" w:rsidP="00754AFA">
            <w:pPr>
              <w:rPr>
                <w:rFonts w:eastAsia="Times New Roman"/>
                <w:color w:val="000000"/>
              </w:rPr>
            </w:pPr>
            <w:r w:rsidRPr="00C609B3">
              <w:rPr>
                <w:rFonts w:eastAsia="Times New Roman"/>
                <w:color w:val="000000"/>
              </w:rPr>
              <w:t>0.50 [0.15-1.64] p=0.251</w:t>
            </w:r>
          </w:p>
        </w:tc>
        <w:tc>
          <w:tcPr>
            <w:tcW w:w="3140" w:type="dxa"/>
            <w:shd w:val="clear" w:color="auto" w:fill="auto"/>
            <w:noWrap/>
            <w:vAlign w:val="center"/>
            <w:hideMark/>
          </w:tcPr>
          <w:p w14:paraId="7827871A" w14:textId="77777777" w:rsidR="004E1A8D" w:rsidRPr="00C609B3" w:rsidRDefault="004E1A8D" w:rsidP="00754AFA">
            <w:pPr>
              <w:jc w:val="center"/>
              <w:rPr>
                <w:rFonts w:eastAsia="Times New Roman"/>
                <w:color w:val="000000"/>
              </w:rPr>
            </w:pPr>
            <w:r w:rsidRPr="00C609B3">
              <w:rPr>
                <w:rFonts w:eastAsia="Times New Roman"/>
                <w:color w:val="000000"/>
              </w:rPr>
              <w:t>2.13 [0.91-5.03]</w:t>
            </w:r>
          </w:p>
        </w:tc>
      </w:tr>
    </w:tbl>
    <w:p w14:paraId="5E126434" w14:textId="0F41E43A" w:rsidR="005D2EF9" w:rsidRDefault="005D2EF9" w:rsidP="004E1A8D">
      <w:pPr>
        <w:rPr>
          <w:rFonts w:cstheme="minorHAnsi"/>
          <w:b/>
        </w:rPr>
        <w:sectPr w:rsidR="005D2EF9" w:rsidSect="005D2EF9">
          <w:pgSz w:w="16834" w:h="11894" w:orient="landscape"/>
          <w:pgMar w:top="1440" w:right="1440" w:bottom="1440" w:left="1440" w:header="720" w:footer="720" w:gutter="0"/>
          <w:cols w:space="720"/>
          <w:docGrid w:linePitch="360"/>
        </w:sectPr>
      </w:pPr>
    </w:p>
    <w:p w14:paraId="2A0912E2" w14:textId="786F3A09" w:rsidR="00E0013F" w:rsidRPr="00FD44CA" w:rsidRDefault="00E0013F" w:rsidP="004E1A8D">
      <w:pPr>
        <w:rPr>
          <w:rFonts w:cstheme="minorHAnsi"/>
          <w:b/>
        </w:rPr>
      </w:pPr>
      <w:r w:rsidRPr="00FD44CA">
        <w:rPr>
          <w:rFonts w:cstheme="minorHAnsi"/>
          <w:b/>
        </w:rPr>
        <w:lastRenderedPageBreak/>
        <w:t>Severity Indicators</w:t>
      </w:r>
    </w:p>
    <w:p w14:paraId="392623BF" w14:textId="77777777" w:rsidR="00E61354" w:rsidRPr="00FD44CA" w:rsidRDefault="00E61354" w:rsidP="00FD44CA">
      <w:pPr>
        <w:jc w:val="both"/>
        <w:rPr>
          <w:rFonts w:cstheme="minorHAnsi"/>
          <w:b/>
        </w:rPr>
      </w:pPr>
    </w:p>
    <w:p w14:paraId="534304DF" w14:textId="45CE376C" w:rsidR="004E1A8D" w:rsidRDefault="00AA3949" w:rsidP="00F96B13">
      <w:pPr>
        <w:jc w:val="both"/>
        <w:rPr>
          <w:rFonts w:cstheme="minorHAnsi"/>
        </w:rPr>
      </w:pPr>
      <w:r w:rsidRPr="00FD44CA">
        <w:rPr>
          <w:rFonts w:cstheme="minorHAnsi"/>
        </w:rPr>
        <w:t xml:space="preserve">Gender did not predict </w:t>
      </w:r>
      <w:r w:rsidR="00125E4E" w:rsidRPr="00FD44CA">
        <w:rPr>
          <w:rFonts w:cstheme="minorHAnsi"/>
        </w:rPr>
        <w:t>mortality</w:t>
      </w:r>
      <w:r w:rsidRPr="00FD44CA">
        <w:rPr>
          <w:rFonts w:cstheme="minorHAnsi"/>
        </w:rPr>
        <w:t>, readmission o</w:t>
      </w:r>
      <w:r w:rsidR="00E61354" w:rsidRPr="00FD44CA">
        <w:rPr>
          <w:rFonts w:cstheme="minorHAnsi"/>
        </w:rPr>
        <w:t xml:space="preserve">r prolonged </w:t>
      </w:r>
      <w:r w:rsidRPr="00FD44CA">
        <w:rPr>
          <w:rFonts w:cstheme="minorHAnsi"/>
        </w:rPr>
        <w:t>hospital stay. However, older age showed a statistically significant association with all three evaluated outcomes</w:t>
      </w:r>
      <w:r w:rsidR="000B3FCB">
        <w:rPr>
          <w:rFonts w:cstheme="minorHAnsi"/>
        </w:rPr>
        <w:t xml:space="preserve">. High </w:t>
      </w:r>
      <w:r w:rsidRPr="00FD44CA">
        <w:rPr>
          <w:rFonts w:cstheme="minorHAnsi"/>
        </w:rPr>
        <w:t>CCI scores were associated with higher mortality and shorter hospitalizations (</w:t>
      </w:r>
      <w:r w:rsidR="002529A6">
        <w:rPr>
          <w:rFonts w:cstheme="minorHAnsi"/>
        </w:rPr>
        <w:t>T</w:t>
      </w:r>
      <w:r w:rsidRPr="00FD44CA">
        <w:rPr>
          <w:rFonts w:cstheme="minorHAnsi"/>
        </w:rPr>
        <w:t xml:space="preserve">able </w:t>
      </w:r>
      <w:r w:rsidR="00181811" w:rsidRPr="00FD44CA">
        <w:rPr>
          <w:rFonts w:cstheme="minorHAnsi"/>
        </w:rPr>
        <w:t>2</w:t>
      </w:r>
      <w:r w:rsidR="002529A6">
        <w:rPr>
          <w:rFonts w:cstheme="minorHAnsi"/>
        </w:rPr>
        <w:t>a &amp; 2b</w:t>
      </w:r>
      <w:r w:rsidRPr="00FD44CA">
        <w:rPr>
          <w:rFonts w:cstheme="minorHAnsi"/>
        </w:rPr>
        <w:t>).</w:t>
      </w:r>
      <w:r w:rsidR="002529A6">
        <w:rPr>
          <w:rFonts w:cstheme="minorHAnsi"/>
        </w:rPr>
        <w:t xml:space="preserve"> </w:t>
      </w:r>
      <w:r w:rsidR="00E0013F" w:rsidRPr="00FD44CA">
        <w:rPr>
          <w:rFonts w:cstheme="minorHAnsi"/>
        </w:rPr>
        <w:t>Information on lactate levels, blood pressure, and oxygen saturation was available</w:t>
      </w:r>
      <w:r w:rsidR="00FD44CA" w:rsidRPr="00FD44CA">
        <w:rPr>
          <w:rFonts w:cstheme="minorHAnsi"/>
        </w:rPr>
        <w:t xml:space="preserve"> (Table 3)</w:t>
      </w:r>
      <w:r w:rsidR="00E0013F" w:rsidRPr="00FD44CA">
        <w:rPr>
          <w:rFonts w:cstheme="minorHAnsi"/>
        </w:rPr>
        <w:t>. W</w:t>
      </w:r>
      <w:r w:rsidR="0082402E" w:rsidRPr="00FD44CA">
        <w:rPr>
          <w:rFonts w:cstheme="minorHAnsi"/>
        </w:rPr>
        <w:t xml:space="preserve">e observed </w:t>
      </w:r>
      <w:r w:rsidR="0070600B" w:rsidRPr="00FD44CA">
        <w:rPr>
          <w:rFonts w:cstheme="minorHAnsi"/>
        </w:rPr>
        <w:t>a strong association between elevated lactate levels and</w:t>
      </w:r>
      <w:r w:rsidR="00FF79AE">
        <w:rPr>
          <w:rFonts w:cstheme="minorHAnsi"/>
        </w:rPr>
        <w:t xml:space="preserve"> increased</w:t>
      </w:r>
      <w:r w:rsidR="0070600B" w:rsidRPr="00FD44CA">
        <w:rPr>
          <w:rFonts w:cstheme="minorHAnsi"/>
        </w:rPr>
        <w:t xml:space="preserve"> mortality (OR</w:t>
      </w:r>
      <w:proofErr w:type="gramStart"/>
      <w:r w:rsidR="0070600B" w:rsidRPr="00FD44CA">
        <w:rPr>
          <w:rFonts w:cstheme="minorHAnsi"/>
        </w:rPr>
        <w:t>:3.10</w:t>
      </w:r>
      <w:proofErr w:type="gramEnd"/>
      <w:r w:rsidR="0070600B" w:rsidRPr="00FD44CA">
        <w:rPr>
          <w:rFonts w:cstheme="minorHAnsi"/>
        </w:rPr>
        <w:t>; CI [2.73-3.52])</w:t>
      </w:r>
      <w:r w:rsidR="00E273DF" w:rsidRPr="00FD44CA">
        <w:rPr>
          <w:rFonts w:cstheme="minorHAnsi"/>
        </w:rPr>
        <w:t>,</w:t>
      </w:r>
      <w:r w:rsidR="0070600B" w:rsidRPr="00FD44CA">
        <w:rPr>
          <w:rFonts w:cstheme="minorHAnsi"/>
        </w:rPr>
        <w:t xml:space="preserve"> and </w:t>
      </w:r>
      <w:r w:rsidR="00E0013F" w:rsidRPr="00FD44CA">
        <w:rPr>
          <w:rFonts w:cstheme="minorHAnsi"/>
        </w:rPr>
        <w:t xml:space="preserve">an </w:t>
      </w:r>
      <w:r w:rsidR="0070600B" w:rsidRPr="00FD44CA">
        <w:rPr>
          <w:rFonts w:cstheme="minorHAnsi"/>
        </w:rPr>
        <w:t xml:space="preserve">extended hospital stay (OR: 1.89; CI </w:t>
      </w:r>
      <w:r w:rsidR="007E2CCE" w:rsidRPr="00FD44CA">
        <w:rPr>
          <w:rFonts w:cstheme="minorHAnsi"/>
        </w:rPr>
        <w:t xml:space="preserve">[1.59-2.24]). </w:t>
      </w:r>
      <w:r w:rsidR="00563495" w:rsidRPr="00FD44CA">
        <w:rPr>
          <w:rFonts w:cstheme="minorHAnsi"/>
        </w:rPr>
        <w:t xml:space="preserve">Similarly, </w:t>
      </w:r>
      <w:r w:rsidR="0082402E" w:rsidRPr="00FD44CA">
        <w:rPr>
          <w:rFonts w:cstheme="minorHAnsi"/>
        </w:rPr>
        <w:t xml:space="preserve">a </w:t>
      </w:r>
      <w:r w:rsidR="00147327">
        <w:rPr>
          <w:rFonts w:cstheme="minorHAnsi"/>
        </w:rPr>
        <w:t xml:space="preserve">systolic </w:t>
      </w:r>
      <w:r w:rsidR="00563495" w:rsidRPr="00FD44CA">
        <w:rPr>
          <w:rFonts w:cstheme="minorHAnsi"/>
        </w:rPr>
        <w:t xml:space="preserve">blood pressure &lt;90mmHg </w:t>
      </w:r>
      <w:r w:rsidR="00FF79AE">
        <w:rPr>
          <w:rFonts w:cstheme="minorHAnsi"/>
        </w:rPr>
        <w:t xml:space="preserve">was </w:t>
      </w:r>
      <w:r w:rsidR="00125E4E">
        <w:rPr>
          <w:rFonts w:cstheme="minorHAnsi"/>
        </w:rPr>
        <w:t>associat</w:t>
      </w:r>
      <w:r w:rsidR="00FF79AE">
        <w:rPr>
          <w:rFonts w:cstheme="minorHAnsi"/>
        </w:rPr>
        <w:t>ed</w:t>
      </w:r>
      <w:r w:rsidR="00125E4E">
        <w:rPr>
          <w:rFonts w:cstheme="minorHAnsi"/>
        </w:rPr>
        <w:t xml:space="preserve"> with </w:t>
      </w:r>
      <w:r w:rsidR="00FF79AE">
        <w:rPr>
          <w:rFonts w:cstheme="minorHAnsi"/>
        </w:rPr>
        <w:t xml:space="preserve">poor outcome in </w:t>
      </w:r>
      <w:r w:rsidR="00563495" w:rsidRPr="00FD44CA">
        <w:rPr>
          <w:rFonts w:cstheme="minorHAnsi"/>
        </w:rPr>
        <w:t>a</w:t>
      </w:r>
      <w:r w:rsidR="0082402E" w:rsidRPr="00FD44CA">
        <w:rPr>
          <w:rFonts w:cstheme="minorHAnsi"/>
        </w:rPr>
        <w:t>ll three outcomes analysed</w:t>
      </w:r>
      <w:r w:rsidR="00FF79AE">
        <w:rPr>
          <w:rFonts w:cstheme="minorHAnsi"/>
        </w:rPr>
        <w:t>. O</w:t>
      </w:r>
      <w:r w:rsidR="0082402E" w:rsidRPr="00FD44CA">
        <w:rPr>
          <w:rFonts w:cstheme="minorHAnsi"/>
        </w:rPr>
        <w:t xml:space="preserve">xygen saturation &lt;94% was associated with an 82% increase </w:t>
      </w:r>
      <w:r w:rsidR="00125E4E">
        <w:rPr>
          <w:rFonts w:cstheme="minorHAnsi"/>
        </w:rPr>
        <w:t>i</w:t>
      </w:r>
      <w:r w:rsidR="0082402E" w:rsidRPr="00FD44CA">
        <w:rPr>
          <w:rFonts w:cstheme="minorHAnsi"/>
        </w:rPr>
        <w:t xml:space="preserve">n mortality (1.82 </w:t>
      </w:r>
      <w:r w:rsidR="00FF79AE">
        <w:rPr>
          <w:rFonts w:cstheme="minorHAnsi"/>
        </w:rPr>
        <w:t>[</w:t>
      </w:r>
      <w:r w:rsidR="0082402E" w:rsidRPr="00FD44CA">
        <w:rPr>
          <w:rFonts w:cstheme="minorHAnsi"/>
        </w:rPr>
        <w:t xml:space="preserve">1.65-2.10]), and a 46% increase </w:t>
      </w:r>
      <w:r w:rsidR="00147327">
        <w:rPr>
          <w:rFonts w:cstheme="minorHAnsi"/>
        </w:rPr>
        <w:t>i</w:t>
      </w:r>
      <w:r w:rsidR="0082402E" w:rsidRPr="00FD44CA">
        <w:rPr>
          <w:rFonts w:cstheme="minorHAnsi"/>
        </w:rPr>
        <w:t xml:space="preserve">n hospitalizations &gt;10 days (1.46 [1.31-1.64]) (Table </w:t>
      </w:r>
      <w:r w:rsidR="002529A6">
        <w:rPr>
          <w:rFonts w:cstheme="minorHAnsi"/>
        </w:rPr>
        <w:t>3</w:t>
      </w:r>
      <w:r w:rsidR="0082402E" w:rsidRPr="00FD44CA">
        <w:rPr>
          <w:rFonts w:cstheme="minorHAnsi"/>
        </w:rPr>
        <w:t>).</w:t>
      </w:r>
      <w:r w:rsidR="00F60FC1" w:rsidRPr="00FD44CA">
        <w:rPr>
          <w:rFonts w:cstheme="minorHAnsi"/>
        </w:rPr>
        <w:t xml:space="preserve"> </w:t>
      </w:r>
    </w:p>
    <w:p w14:paraId="6DDD4D14" w14:textId="5DE2D819" w:rsidR="005D2EF9" w:rsidRDefault="005D2EF9">
      <w:pPr>
        <w:rPr>
          <w:rFonts w:cstheme="minorHAnsi"/>
        </w:rPr>
      </w:pPr>
      <w:r>
        <w:rPr>
          <w:rFonts w:cstheme="minorHAnsi"/>
        </w:rPr>
        <w:br w:type="page"/>
      </w:r>
    </w:p>
    <w:p w14:paraId="0C98CC39" w14:textId="77777777" w:rsidR="005D2EF9" w:rsidRDefault="005D2EF9" w:rsidP="00F96B13">
      <w:pPr>
        <w:jc w:val="both"/>
        <w:rPr>
          <w:rFonts w:cstheme="minorHAnsi"/>
        </w:rPr>
        <w:sectPr w:rsidR="005D2EF9" w:rsidSect="004E1A8D">
          <w:pgSz w:w="11900" w:h="16840"/>
          <w:pgMar w:top="1440" w:right="1440" w:bottom="1440" w:left="1440" w:header="720" w:footer="720" w:gutter="0"/>
          <w:cols w:space="720"/>
          <w:docGrid w:linePitch="360"/>
        </w:sectPr>
      </w:pPr>
    </w:p>
    <w:p w14:paraId="62891D35" w14:textId="2A940BE3" w:rsidR="005D2EF9" w:rsidRDefault="005D2EF9" w:rsidP="00F96B13">
      <w:pPr>
        <w:jc w:val="both"/>
        <w:rPr>
          <w:rFonts w:cstheme="minorHAnsi"/>
        </w:rPr>
      </w:pPr>
    </w:p>
    <w:p w14:paraId="26A865D2" w14:textId="77777777" w:rsidR="004E1A8D" w:rsidRDefault="004E1A8D" w:rsidP="004E1A8D">
      <w:r>
        <w:t>Table 3</w:t>
      </w:r>
      <w:r w:rsidRPr="00C609B3">
        <w:t>: Association of outcomes with medical indicators of disease severity (* indicates p&lt;0.05)</w:t>
      </w:r>
    </w:p>
    <w:p w14:paraId="2556E622" w14:textId="77777777" w:rsidR="004E1A8D" w:rsidRDefault="004E1A8D" w:rsidP="004E1A8D"/>
    <w:p w14:paraId="11C76CB6" w14:textId="77777777" w:rsidR="004E1A8D" w:rsidRPr="00C609B3" w:rsidRDefault="004E1A8D" w:rsidP="004E1A8D"/>
    <w:p w14:paraId="2AA24B19" w14:textId="77777777" w:rsidR="004E1A8D" w:rsidRPr="00F32BA6" w:rsidRDefault="004E1A8D" w:rsidP="004E1A8D">
      <w:pPr>
        <w:rPr>
          <w:b/>
        </w:rPr>
      </w:pPr>
      <w:r w:rsidRPr="00F32BA6">
        <w:rPr>
          <w:b/>
        </w:rPr>
        <w:t xml:space="preserve">               </w:t>
      </w:r>
      <w:r>
        <w:rPr>
          <w:b/>
        </w:rPr>
        <w:t xml:space="preserve">                          </w:t>
      </w:r>
      <w:r w:rsidRPr="00F32BA6">
        <w:rPr>
          <w:b/>
        </w:rPr>
        <w:t xml:space="preserve"> Lactate &gt;4mmol/L                                    </w:t>
      </w:r>
      <w:r>
        <w:rPr>
          <w:b/>
        </w:rPr>
        <w:t xml:space="preserve">        </w:t>
      </w:r>
      <w:r w:rsidRPr="00F32BA6">
        <w:rPr>
          <w:b/>
        </w:rPr>
        <w:t>Blood pressure &lt;90mmHg                           Oxygen saturation &lt;94%</w:t>
      </w:r>
    </w:p>
    <w:tbl>
      <w:tblPr>
        <w:tblStyle w:val="TableGrid"/>
        <w:tblpPr w:leftFromText="180" w:rightFromText="180" w:vertAnchor="text" w:horzAnchor="page" w:tblpX="1034" w:tblpY="140"/>
        <w:tblW w:w="15559" w:type="dxa"/>
        <w:tblLook w:val="04A0" w:firstRow="1" w:lastRow="0" w:firstColumn="1" w:lastColumn="0" w:noHBand="0" w:noVBand="1"/>
      </w:tblPr>
      <w:tblGrid>
        <w:gridCol w:w="1723"/>
        <w:gridCol w:w="1136"/>
        <w:gridCol w:w="802"/>
        <w:gridCol w:w="887"/>
        <w:gridCol w:w="1796"/>
        <w:gridCol w:w="1097"/>
        <w:gridCol w:w="1072"/>
        <w:gridCol w:w="642"/>
        <w:gridCol w:w="1682"/>
        <w:gridCol w:w="1097"/>
        <w:gridCol w:w="959"/>
        <w:gridCol w:w="780"/>
        <w:gridCol w:w="1886"/>
      </w:tblGrid>
      <w:tr w:rsidR="004E1A8D" w:rsidRPr="00C609B3" w14:paraId="21C1C659" w14:textId="77777777" w:rsidTr="00754AFA">
        <w:tc>
          <w:tcPr>
            <w:tcW w:w="1724" w:type="dxa"/>
          </w:tcPr>
          <w:p w14:paraId="2F27D4C7" w14:textId="77777777" w:rsidR="004E1A8D" w:rsidRPr="00C609B3" w:rsidRDefault="004E1A8D" w:rsidP="00754AFA"/>
        </w:tc>
        <w:tc>
          <w:tcPr>
            <w:tcW w:w="1136" w:type="dxa"/>
            <w:vAlign w:val="bottom"/>
          </w:tcPr>
          <w:p w14:paraId="261A8FD7" w14:textId="77777777" w:rsidR="004E1A8D" w:rsidRPr="00EA0D68" w:rsidRDefault="004E1A8D" w:rsidP="00754AFA">
            <w:pPr>
              <w:jc w:val="center"/>
              <w:rPr>
                <w:rFonts w:eastAsia="Times New Roman"/>
                <w:b/>
                <w:bCs/>
                <w:color w:val="000000"/>
              </w:rPr>
            </w:pPr>
            <w:r w:rsidRPr="00EA0D68">
              <w:rPr>
                <w:rFonts w:eastAsia="Times New Roman"/>
                <w:b/>
                <w:bCs/>
                <w:color w:val="000000"/>
              </w:rPr>
              <w:t>Total included</w:t>
            </w:r>
          </w:p>
        </w:tc>
        <w:tc>
          <w:tcPr>
            <w:tcW w:w="802" w:type="dxa"/>
            <w:vAlign w:val="bottom"/>
          </w:tcPr>
          <w:p w14:paraId="640CF1C3" w14:textId="77777777" w:rsidR="004E1A8D" w:rsidRPr="00EA0D68" w:rsidRDefault="004E1A8D" w:rsidP="00754AFA">
            <w:pPr>
              <w:jc w:val="center"/>
              <w:rPr>
                <w:rFonts w:eastAsia="Times New Roman"/>
                <w:b/>
                <w:bCs/>
                <w:color w:val="000000"/>
              </w:rPr>
            </w:pPr>
            <w:r w:rsidRPr="00EA0D68">
              <w:rPr>
                <w:rFonts w:eastAsia="Times New Roman"/>
                <w:b/>
                <w:bCs/>
                <w:color w:val="000000"/>
              </w:rPr>
              <w:t>Total</w:t>
            </w:r>
          </w:p>
        </w:tc>
        <w:tc>
          <w:tcPr>
            <w:tcW w:w="887" w:type="dxa"/>
            <w:vAlign w:val="bottom"/>
          </w:tcPr>
          <w:p w14:paraId="5FA3AAB1" w14:textId="77777777" w:rsidR="004E1A8D" w:rsidRPr="00EA0D68" w:rsidRDefault="004E1A8D" w:rsidP="00754AFA">
            <w:pPr>
              <w:jc w:val="center"/>
              <w:rPr>
                <w:rFonts w:eastAsia="Times New Roman"/>
                <w:b/>
                <w:bCs/>
                <w:color w:val="000000"/>
              </w:rPr>
            </w:pPr>
            <w:r w:rsidRPr="00EA0D68">
              <w:rPr>
                <w:rFonts w:eastAsia="Times New Roman"/>
                <w:b/>
                <w:bCs/>
                <w:color w:val="000000"/>
              </w:rPr>
              <w:t>%</w:t>
            </w:r>
          </w:p>
        </w:tc>
        <w:tc>
          <w:tcPr>
            <w:tcW w:w="1797" w:type="dxa"/>
            <w:vAlign w:val="bottom"/>
          </w:tcPr>
          <w:p w14:paraId="24D834E0" w14:textId="77777777" w:rsidR="004E1A8D" w:rsidRPr="00EA0D68" w:rsidRDefault="004E1A8D" w:rsidP="00754AFA">
            <w:pPr>
              <w:jc w:val="center"/>
              <w:rPr>
                <w:rFonts w:eastAsia="Times New Roman"/>
                <w:b/>
                <w:bCs/>
                <w:color w:val="000000"/>
              </w:rPr>
            </w:pPr>
            <w:r w:rsidRPr="00EA0D68">
              <w:rPr>
                <w:rFonts w:eastAsia="Times New Roman"/>
                <w:b/>
                <w:bCs/>
                <w:color w:val="000000"/>
              </w:rPr>
              <w:t>Odds ratio</w:t>
            </w:r>
          </w:p>
        </w:tc>
        <w:tc>
          <w:tcPr>
            <w:tcW w:w="1097" w:type="dxa"/>
            <w:vAlign w:val="bottom"/>
          </w:tcPr>
          <w:p w14:paraId="1571306C" w14:textId="77777777" w:rsidR="004E1A8D" w:rsidRPr="00EA0D68" w:rsidRDefault="004E1A8D" w:rsidP="00754AFA">
            <w:pPr>
              <w:jc w:val="center"/>
              <w:rPr>
                <w:rFonts w:eastAsia="Times New Roman"/>
                <w:b/>
                <w:bCs/>
                <w:color w:val="000000"/>
              </w:rPr>
            </w:pPr>
            <w:r w:rsidRPr="00EA0D68">
              <w:rPr>
                <w:rFonts w:eastAsia="Times New Roman"/>
                <w:b/>
                <w:bCs/>
                <w:color w:val="000000"/>
              </w:rPr>
              <w:t>Total included</w:t>
            </w:r>
          </w:p>
        </w:tc>
        <w:tc>
          <w:tcPr>
            <w:tcW w:w="1073" w:type="dxa"/>
            <w:vAlign w:val="bottom"/>
          </w:tcPr>
          <w:p w14:paraId="325B57CE" w14:textId="77777777" w:rsidR="004E1A8D" w:rsidRPr="00EA0D68" w:rsidRDefault="004E1A8D" w:rsidP="00754AFA">
            <w:pPr>
              <w:jc w:val="center"/>
              <w:rPr>
                <w:rFonts w:eastAsia="Times New Roman"/>
                <w:b/>
                <w:bCs/>
                <w:color w:val="000000"/>
              </w:rPr>
            </w:pPr>
            <w:r w:rsidRPr="00EA0D68">
              <w:rPr>
                <w:rFonts w:eastAsia="Times New Roman"/>
                <w:b/>
                <w:bCs/>
                <w:color w:val="000000"/>
              </w:rPr>
              <w:t>Total</w:t>
            </w:r>
          </w:p>
        </w:tc>
        <w:tc>
          <w:tcPr>
            <w:tcW w:w="636" w:type="dxa"/>
            <w:vAlign w:val="bottom"/>
          </w:tcPr>
          <w:p w14:paraId="754458FE" w14:textId="77777777" w:rsidR="004E1A8D" w:rsidRPr="00EA0D68" w:rsidRDefault="004E1A8D" w:rsidP="00754AFA">
            <w:pPr>
              <w:jc w:val="center"/>
              <w:rPr>
                <w:rFonts w:eastAsia="Times New Roman"/>
                <w:b/>
                <w:bCs/>
                <w:color w:val="000000"/>
              </w:rPr>
            </w:pPr>
            <w:r w:rsidRPr="00EA0D68">
              <w:rPr>
                <w:rFonts w:eastAsia="Times New Roman"/>
                <w:b/>
                <w:bCs/>
                <w:color w:val="000000"/>
              </w:rPr>
              <w:t>%</w:t>
            </w:r>
          </w:p>
        </w:tc>
        <w:tc>
          <w:tcPr>
            <w:tcW w:w="1683" w:type="dxa"/>
            <w:vAlign w:val="bottom"/>
          </w:tcPr>
          <w:p w14:paraId="5A16FC56" w14:textId="77777777" w:rsidR="004E1A8D" w:rsidRPr="00EA0D68" w:rsidRDefault="004E1A8D" w:rsidP="00754AFA">
            <w:pPr>
              <w:jc w:val="center"/>
              <w:rPr>
                <w:rFonts w:eastAsia="Times New Roman"/>
                <w:b/>
                <w:bCs/>
                <w:color w:val="000000"/>
              </w:rPr>
            </w:pPr>
            <w:r w:rsidRPr="00EA0D68">
              <w:rPr>
                <w:rFonts w:eastAsia="Times New Roman"/>
                <w:b/>
                <w:bCs/>
                <w:color w:val="000000"/>
              </w:rPr>
              <w:t>Odds ratio</w:t>
            </w:r>
          </w:p>
        </w:tc>
        <w:tc>
          <w:tcPr>
            <w:tcW w:w="1097" w:type="dxa"/>
            <w:vAlign w:val="bottom"/>
          </w:tcPr>
          <w:p w14:paraId="3EDB5705" w14:textId="77777777" w:rsidR="004E1A8D" w:rsidRPr="00EA0D68" w:rsidRDefault="004E1A8D" w:rsidP="00754AFA">
            <w:pPr>
              <w:jc w:val="center"/>
              <w:rPr>
                <w:rFonts w:eastAsia="Times New Roman"/>
                <w:b/>
                <w:bCs/>
                <w:color w:val="000000"/>
              </w:rPr>
            </w:pPr>
            <w:r w:rsidRPr="00EA0D68">
              <w:rPr>
                <w:rFonts w:eastAsia="Times New Roman"/>
                <w:b/>
                <w:bCs/>
                <w:color w:val="000000"/>
              </w:rPr>
              <w:t>Total included</w:t>
            </w:r>
          </w:p>
        </w:tc>
        <w:tc>
          <w:tcPr>
            <w:tcW w:w="959" w:type="dxa"/>
            <w:vAlign w:val="bottom"/>
          </w:tcPr>
          <w:p w14:paraId="7FA6243E" w14:textId="77777777" w:rsidR="004E1A8D" w:rsidRPr="00EA0D68" w:rsidRDefault="004E1A8D" w:rsidP="00754AFA">
            <w:pPr>
              <w:jc w:val="center"/>
              <w:rPr>
                <w:rFonts w:eastAsia="Times New Roman"/>
                <w:b/>
                <w:bCs/>
                <w:color w:val="000000"/>
              </w:rPr>
            </w:pPr>
            <w:r w:rsidRPr="00EA0D68">
              <w:rPr>
                <w:rFonts w:eastAsia="Times New Roman"/>
                <w:b/>
                <w:bCs/>
                <w:color w:val="000000"/>
              </w:rPr>
              <w:t>Total</w:t>
            </w:r>
          </w:p>
        </w:tc>
        <w:tc>
          <w:tcPr>
            <w:tcW w:w="780" w:type="dxa"/>
            <w:vAlign w:val="bottom"/>
          </w:tcPr>
          <w:p w14:paraId="23C95F07" w14:textId="77777777" w:rsidR="004E1A8D" w:rsidRPr="00EA0D68" w:rsidRDefault="004E1A8D" w:rsidP="00754AFA">
            <w:pPr>
              <w:jc w:val="center"/>
              <w:rPr>
                <w:rFonts w:eastAsia="Times New Roman"/>
                <w:b/>
                <w:bCs/>
                <w:color w:val="000000"/>
              </w:rPr>
            </w:pPr>
            <w:r w:rsidRPr="00EA0D68">
              <w:rPr>
                <w:rFonts w:eastAsia="Times New Roman"/>
                <w:b/>
                <w:bCs/>
                <w:color w:val="000000"/>
              </w:rPr>
              <w:t>%</w:t>
            </w:r>
          </w:p>
        </w:tc>
        <w:tc>
          <w:tcPr>
            <w:tcW w:w="1888" w:type="dxa"/>
            <w:vAlign w:val="bottom"/>
          </w:tcPr>
          <w:p w14:paraId="7F4F56CC" w14:textId="77777777" w:rsidR="004E1A8D" w:rsidRPr="00EA0D68" w:rsidRDefault="004E1A8D" w:rsidP="00754AFA">
            <w:pPr>
              <w:jc w:val="center"/>
              <w:rPr>
                <w:rFonts w:eastAsia="Times New Roman"/>
                <w:b/>
                <w:bCs/>
                <w:color w:val="000000"/>
              </w:rPr>
            </w:pPr>
            <w:r w:rsidRPr="00EA0D68">
              <w:rPr>
                <w:rFonts w:eastAsia="Times New Roman"/>
                <w:b/>
                <w:bCs/>
                <w:color w:val="000000"/>
              </w:rPr>
              <w:t>Odds ratio</w:t>
            </w:r>
          </w:p>
        </w:tc>
      </w:tr>
      <w:tr w:rsidR="004E1A8D" w:rsidRPr="00C609B3" w14:paraId="7C1829E5" w14:textId="77777777" w:rsidTr="00754AFA">
        <w:tc>
          <w:tcPr>
            <w:tcW w:w="1724" w:type="dxa"/>
            <w:vAlign w:val="bottom"/>
          </w:tcPr>
          <w:p w14:paraId="21E31016" w14:textId="77777777" w:rsidR="004E1A8D" w:rsidRPr="00EA0D68" w:rsidRDefault="004E1A8D" w:rsidP="00754AFA">
            <w:pPr>
              <w:rPr>
                <w:rFonts w:eastAsia="Times New Roman"/>
                <w:b/>
                <w:bCs/>
                <w:color w:val="000000"/>
              </w:rPr>
            </w:pPr>
            <w:r w:rsidRPr="00EA0D68">
              <w:rPr>
                <w:rFonts w:eastAsia="Times New Roman"/>
                <w:b/>
                <w:bCs/>
                <w:color w:val="000000"/>
              </w:rPr>
              <w:t>Mortality</w:t>
            </w:r>
          </w:p>
        </w:tc>
        <w:tc>
          <w:tcPr>
            <w:tcW w:w="1136" w:type="dxa"/>
            <w:vAlign w:val="bottom"/>
          </w:tcPr>
          <w:p w14:paraId="1EECE7F9" w14:textId="77777777" w:rsidR="004E1A8D" w:rsidRPr="00EA0D68" w:rsidRDefault="004E1A8D" w:rsidP="00754AFA">
            <w:pPr>
              <w:jc w:val="center"/>
              <w:rPr>
                <w:rFonts w:eastAsia="Times New Roman"/>
                <w:color w:val="000000"/>
              </w:rPr>
            </w:pPr>
            <w:r w:rsidRPr="00EA0D68">
              <w:rPr>
                <w:rFonts w:eastAsia="Times New Roman"/>
                <w:color w:val="000000"/>
              </w:rPr>
              <w:t>6428</w:t>
            </w:r>
          </w:p>
        </w:tc>
        <w:tc>
          <w:tcPr>
            <w:tcW w:w="802" w:type="dxa"/>
            <w:vAlign w:val="bottom"/>
          </w:tcPr>
          <w:p w14:paraId="018BF5FB" w14:textId="77777777" w:rsidR="004E1A8D" w:rsidRPr="00EA0D68" w:rsidRDefault="004E1A8D" w:rsidP="00754AFA">
            <w:pPr>
              <w:jc w:val="center"/>
              <w:rPr>
                <w:rFonts w:eastAsia="Times New Roman"/>
                <w:color w:val="000000"/>
              </w:rPr>
            </w:pPr>
            <w:r w:rsidRPr="00EA0D68">
              <w:rPr>
                <w:rFonts w:eastAsia="Times New Roman"/>
                <w:color w:val="000000"/>
              </w:rPr>
              <w:t>607</w:t>
            </w:r>
          </w:p>
        </w:tc>
        <w:tc>
          <w:tcPr>
            <w:tcW w:w="887" w:type="dxa"/>
            <w:vAlign w:val="bottom"/>
          </w:tcPr>
          <w:p w14:paraId="71684C56" w14:textId="77777777" w:rsidR="004E1A8D" w:rsidRPr="00EA0D68" w:rsidRDefault="004E1A8D" w:rsidP="00754AFA">
            <w:pPr>
              <w:jc w:val="center"/>
              <w:rPr>
                <w:rFonts w:eastAsia="Times New Roman"/>
                <w:color w:val="000000"/>
              </w:rPr>
            </w:pPr>
            <w:r w:rsidRPr="00EA0D68">
              <w:rPr>
                <w:rFonts w:eastAsia="Times New Roman"/>
                <w:color w:val="000000"/>
              </w:rPr>
              <w:t>9.44</w:t>
            </w:r>
          </w:p>
        </w:tc>
        <w:tc>
          <w:tcPr>
            <w:tcW w:w="1797" w:type="dxa"/>
            <w:vAlign w:val="bottom"/>
          </w:tcPr>
          <w:p w14:paraId="49457B40" w14:textId="77777777" w:rsidR="004E1A8D" w:rsidRPr="00EA0D68" w:rsidRDefault="004E1A8D" w:rsidP="00754AFA">
            <w:pPr>
              <w:jc w:val="center"/>
              <w:rPr>
                <w:rFonts w:eastAsia="Times New Roman"/>
                <w:color w:val="000000"/>
              </w:rPr>
            </w:pPr>
            <w:r w:rsidRPr="00EA0D68">
              <w:rPr>
                <w:rFonts w:eastAsia="Times New Roman"/>
                <w:color w:val="000000"/>
              </w:rPr>
              <w:t>3.10 [2.73-3.52]</w:t>
            </w:r>
            <w:r w:rsidRPr="00C609B3">
              <w:rPr>
                <w:rFonts w:eastAsia="Times New Roman"/>
                <w:color w:val="000000"/>
              </w:rPr>
              <w:t>*</w:t>
            </w:r>
          </w:p>
        </w:tc>
        <w:tc>
          <w:tcPr>
            <w:tcW w:w="1097" w:type="dxa"/>
            <w:vAlign w:val="bottom"/>
          </w:tcPr>
          <w:p w14:paraId="09961CF2" w14:textId="77777777" w:rsidR="004E1A8D" w:rsidRPr="00EA0D68" w:rsidRDefault="004E1A8D" w:rsidP="00754AFA">
            <w:pPr>
              <w:jc w:val="center"/>
              <w:rPr>
                <w:rFonts w:eastAsia="Times New Roman"/>
                <w:color w:val="000000"/>
              </w:rPr>
            </w:pPr>
            <w:r w:rsidRPr="00EA0D68">
              <w:rPr>
                <w:rFonts w:eastAsia="Times New Roman"/>
                <w:color w:val="000000"/>
              </w:rPr>
              <w:t>6554</w:t>
            </w:r>
          </w:p>
        </w:tc>
        <w:tc>
          <w:tcPr>
            <w:tcW w:w="1073" w:type="dxa"/>
            <w:vAlign w:val="bottom"/>
          </w:tcPr>
          <w:p w14:paraId="5EE12975" w14:textId="77777777" w:rsidR="004E1A8D" w:rsidRPr="00EA0D68" w:rsidRDefault="004E1A8D" w:rsidP="00754AFA">
            <w:pPr>
              <w:jc w:val="center"/>
              <w:rPr>
                <w:rFonts w:eastAsia="Times New Roman"/>
                <w:color w:val="000000"/>
              </w:rPr>
            </w:pPr>
            <w:r w:rsidRPr="00EA0D68">
              <w:rPr>
                <w:rFonts w:eastAsia="Times New Roman"/>
                <w:color w:val="000000"/>
              </w:rPr>
              <w:t>405</w:t>
            </w:r>
          </w:p>
        </w:tc>
        <w:tc>
          <w:tcPr>
            <w:tcW w:w="636" w:type="dxa"/>
            <w:vAlign w:val="bottom"/>
          </w:tcPr>
          <w:p w14:paraId="7F005A85" w14:textId="77777777" w:rsidR="004E1A8D" w:rsidRPr="00EA0D68" w:rsidRDefault="004E1A8D" w:rsidP="00754AFA">
            <w:pPr>
              <w:jc w:val="center"/>
              <w:rPr>
                <w:rFonts w:eastAsia="Times New Roman"/>
                <w:color w:val="000000"/>
              </w:rPr>
            </w:pPr>
            <w:r w:rsidRPr="00EA0D68">
              <w:rPr>
                <w:rFonts w:eastAsia="Times New Roman"/>
                <w:color w:val="000000"/>
              </w:rPr>
              <w:t>6.18</w:t>
            </w:r>
          </w:p>
        </w:tc>
        <w:tc>
          <w:tcPr>
            <w:tcW w:w="1683" w:type="dxa"/>
            <w:vAlign w:val="bottom"/>
          </w:tcPr>
          <w:p w14:paraId="4B9DAB88" w14:textId="77777777" w:rsidR="004E1A8D" w:rsidRPr="00EA0D68" w:rsidRDefault="004E1A8D" w:rsidP="00754AFA">
            <w:pPr>
              <w:jc w:val="center"/>
              <w:rPr>
                <w:rFonts w:eastAsia="Times New Roman"/>
                <w:color w:val="000000"/>
              </w:rPr>
            </w:pPr>
            <w:r w:rsidRPr="00EA0D68">
              <w:rPr>
                <w:rFonts w:eastAsia="Times New Roman"/>
                <w:color w:val="000000"/>
              </w:rPr>
              <w:t>1.58 [1.38-1.81]</w:t>
            </w:r>
            <w:r w:rsidRPr="00C609B3">
              <w:rPr>
                <w:rFonts w:eastAsia="Times New Roman"/>
                <w:color w:val="000000"/>
              </w:rPr>
              <w:t>*</w:t>
            </w:r>
          </w:p>
        </w:tc>
        <w:tc>
          <w:tcPr>
            <w:tcW w:w="1097" w:type="dxa"/>
            <w:vAlign w:val="bottom"/>
          </w:tcPr>
          <w:p w14:paraId="7ACA6D20" w14:textId="77777777" w:rsidR="004E1A8D" w:rsidRPr="00EA0D68" w:rsidRDefault="004E1A8D" w:rsidP="00754AFA">
            <w:pPr>
              <w:jc w:val="center"/>
              <w:rPr>
                <w:rFonts w:eastAsia="Times New Roman"/>
                <w:color w:val="000000"/>
              </w:rPr>
            </w:pPr>
            <w:r w:rsidRPr="00EA0D68">
              <w:rPr>
                <w:rFonts w:eastAsia="Times New Roman"/>
                <w:color w:val="000000"/>
              </w:rPr>
              <w:t>7774</w:t>
            </w:r>
          </w:p>
        </w:tc>
        <w:tc>
          <w:tcPr>
            <w:tcW w:w="959" w:type="dxa"/>
            <w:vAlign w:val="bottom"/>
          </w:tcPr>
          <w:p w14:paraId="42C953F8" w14:textId="77777777" w:rsidR="004E1A8D" w:rsidRPr="00EA0D68" w:rsidRDefault="004E1A8D" w:rsidP="00754AFA">
            <w:pPr>
              <w:jc w:val="center"/>
              <w:rPr>
                <w:rFonts w:eastAsia="Times New Roman"/>
                <w:color w:val="000000"/>
              </w:rPr>
            </w:pPr>
            <w:r w:rsidRPr="00EA0D68">
              <w:rPr>
                <w:rFonts w:eastAsia="Times New Roman"/>
                <w:color w:val="000000"/>
              </w:rPr>
              <w:t>1018</w:t>
            </w:r>
          </w:p>
        </w:tc>
        <w:tc>
          <w:tcPr>
            <w:tcW w:w="780" w:type="dxa"/>
            <w:vAlign w:val="bottom"/>
          </w:tcPr>
          <w:p w14:paraId="40A727F0" w14:textId="77777777" w:rsidR="004E1A8D" w:rsidRPr="00EA0D68" w:rsidRDefault="004E1A8D" w:rsidP="00754AFA">
            <w:pPr>
              <w:jc w:val="center"/>
              <w:rPr>
                <w:rFonts w:eastAsia="Times New Roman"/>
                <w:color w:val="000000"/>
              </w:rPr>
            </w:pPr>
            <w:r w:rsidRPr="00EA0D68">
              <w:rPr>
                <w:rFonts w:eastAsia="Times New Roman"/>
                <w:color w:val="000000"/>
              </w:rPr>
              <w:t>13.09</w:t>
            </w:r>
          </w:p>
        </w:tc>
        <w:tc>
          <w:tcPr>
            <w:tcW w:w="1888" w:type="dxa"/>
            <w:vAlign w:val="bottom"/>
          </w:tcPr>
          <w:p w14:paraId="67B3E9AB" w14:textId="77777777" w:rsidR="004E1A8D" w:rsidRPr="00EA0D68" w:rsidRDefault="004E1A8D" w:rsidP="00754AFA">
            <w:pPr>
              <w:jc w:val="center"/>
              <w:rPr>
                <w:rFonts w:eastAsia="Times New Roman"/>
                <w:color w:val="000000"/>
              </w:rPr>
            </w:pPr>
            <w:r>
              <w:rPr>
                <w:rFonts w:eastAsia="Times New Roman"/>
                <w:color w:val="000000"/>
              </w:rPr>
              <w:t>1.82 [</w:t>
            </w:r>
            <w:r w:rsidRPr="00EA0D68">
              <w:rPr>
                <w:rFonts w:eastAsia="Times New Roman"/>
                <w:color w:val="000000"/>
              </w:rPr>
              <w:t>1.65-2.10]</w:t>
            </w:r>
            <w:r w:rsidRPr="00C609B3">
              <w:rPr>
                <w:rFonts w:eastAsia="Times New Roman"/>
                <w:color w:val="000000"/>
              </w:rPr>
              <w:t>*</w:t>
            </w:r>
          </w:p>
        </w:tc>
      </w:tr>
      <w:tr w:rsidR="004E1A8D" w:rsidRPr="00C609B3" w14:paraId="02001A0A" w14:textId="77777777" w:rsidTr="00754AFA">
        <w:tc>
          <w:tcPr>
            <w:tcW w:w="1724" w:type="dxa"/>
            <w:vAlign w:val="bottom"/>
          </w:tcPr>
          <w:p w14:paraId="460C4228" w14:textId="77777777" w:rsidR="004E1A8D" w:rsidRPr="00EA0D68" w:rsidRDefault="004E1A8D" w:rsidP="00754AFA">
            <w:pPr>
              <w:rPr>
                <w:rFonts w:eastAsia="Times New Roman"/>
                <w:b/>
                <w:bCs/>
                <w:color w:val="000000"/>
              </w:rPr>
            </w:pPr>
            <w:r w:rsidRPr="00EA0D68">
              <w:rPr>
                <w:rFonts w:eastAsia="Times New Roman"/>
                <w:b/>
                <w:bCs/>
                <w:color w:val="000000"/>
              </w:rPr>
              <w:t xml:space="preserve">Readmission </w:t>
            </w:r>
          </w:p>
        </w:tc>
        <w:tc>
          <w:tcPr>
            <w:tcW w:w="1136" w:type="dxa"/>
            <w:vAlign w:val="bottom"/>
          </w:tcPr>
          <w:p w14:paraId="5F52DE0F" w14:textId="77777777" w:rsidR="004E1A8D" w:rsidRPr="00EA0D68" w:rsidRDefault="004E1A8D" w:rsidP="00754AFA">
            <w:pPr>
              <w:jc w:val="center"/>
              <w:rPr>
                <w:rFonts w:eastAsia="Times New Roman"/>
                <w:color w:val="000000"/>
              </w:rPr>
            </w:pPr>
            <w:r w:rsidRPr="00EA0D68">
              <w:rPr>
                <w:rFonts w:eastAsia="Times New Roman"/>
                <w:color w:val="000000"/>
              </w:rPr>
              <w:t>4620</w:t>
            </w:r>
          </w:p>
        </w:tc>
        <w:tc>
          <w:tcPr>
            <w:tcW w:w="802" w:type="dxa"/>
            <w:vAlign w:val="bottom"/>
          </w:tcPr>
          <w:p w14:paraId="091DC403" w14:textId="77777777" w:rsidR="004E1A8D" w:rsidRPr="00EA0D68" w:rsidRDefault="004E1A8D" w:rsidP="00754AFA">
            <w:pPr>
              <w:jc w:val="center"/>
              <w:rPr>
                <w:rFonts w:eastAsia="Times New Roman"/>
                <w:color w:val="000000"/>
              </w:rPr>
            </w:pPr>
            <w:r w:rsidRPr="00EA0D68">
              <w:rPr>
                <w:rFonts w:eastAsia="Times New Roman"/>
                <w:color w:val="000000"/>
              </w:rPr>
              <w:t>108</w:t>
            </w:r>
          </w:p>
        </w:tc>
        <w:tc>
          <w:tcPr>
            <w:tcW w:w="887" w:type="dxa"/>
            <w:vAlign w:val="bottom"/>
          </w:tcPr>
          <w:p w14:paraId="55F56368" w14:textId="77777777" w:rsidR="004E1A8D" w:rsidRPr="00EA0D68" w:rsidRDefault="004E1A8D" w:rsidP="00754AFA">
            <w:pPr>
              <w:jc w:val="center"/>
              <w:rPr>
                <w:rFonts w:eastAsia="Times New Roman"/>
                <w:color w:val="000000"/>
              </w:rPr>
            </w:pPr>
            <w:r w:rsidRPr="00EA0D68">
              <w:rPr>
                <w:rFonts w:eastAsia="Times New Roman"/>
                <w:color w:val="000000"/>
              </w:rPr>
              <w:t>2.34</w:t>
            </w:r>
          </w:p>
        </w:tc>
        <w:tc>
          <w:tcPr>
            <w:tcW w:w="1797" w:type="dxa"/>
            <w:vAlign w:val="bottom"/>
          </w:tcPr>
          <w:p w14:paraId="41F36F16" w14:textId="77777777" w:rsidR="004E1A8D" w:rsidRPr="00EA0D68" w:rsidRDefault="004E1A8D" w:rsidP="00754AFA">
            <w:pPr>
              <w:jc w:val="center"/>
              <w:rPr>
                <w:rFonts w:eastAsia="Times New Roman"/>
                <w:color w:val="000000"/>
              </w:rPr>
            </w:pPr>
            <w:r w:rsidRPr="00C609B3">
              <w:rPr>
                <w:rFonts w:eastAsia="Times New Roman"/>
                <w:color w:val="000000"/>
              </w:rPr>
              <w:t>0.82 [0.66-1.03]</w:t>
            </w:r>
          </w:p>
        </w:tc>
        <w:tc>
          <w:tcPr>
            <w:tcW w:w="1097" w:type="dxa"/>
            <w:vAlign w:val="bottom"/>
          </w:tcPr>
          <w:p w14:paraId="32F984D2" w14:textId="77777777" w:rsidR="004E1A8D" w:rsidRPr="00EA0D68" w:rsidRDefault="004E1A8D" w:rsidP="00754AFA">
            <w:pPr>
              <w:jc w:val="center"/>
              <w:rPr>
                <w:rFonts w:eastAsia="Times New Roman"/>
                <w:color w:val="000000"/>
              </w:rPr>
            </w:pPr>
            <w:r w:rsidRPr="00EA0D68">
              <w:rPr>
                <w:rFonts w:eastAsia="Times New Roman"/>
                <w:color w:val="000000"/>
              </w:rPr>
              <w:t>5054</w:t>
            </w:r>
          </w:p>
        </w:tc>
        <w:tc>
          <w:tcPr>
            <w:tcW w:w="1073" w:type="dxa"/>
            <w:vAlign w:val="bottom"/>
          </w:tcPr>
          <w:p w14:paraId="2969405C" w14:textId="77777777" w:rsidR="004E1A8D" w:rsidRPr="00EA0D68" w:rsidRDefault="004E1A8D" w:rsidP="00754AFA">
            <w:pPr>
              <w:jc w:val="center"/>
              <w:rPr>
                <w:rFonts w:eastAsia="Times New Roman"/>
                <w:color w:val="000000"/>
              </w:rPr>
            </w:pPr>
            <w:r w:rsidRPr="00EA0D68">
              <w:rPr>
                <w:rFonts w:eastAsia="Times New Roman"/>
                <w:color w:val="000000"/>
              </w:rPr>
              <w:t>219</w:t>
            </w:r>
          </w:p>
        </w:tc>
        <w:tc>
          <w:tcPr>
            <w:tcW w:w="636" w:type="dxa"/>
            <w:vAlign w:val="bottom"/>
          </w:tcPr>
          <w:p w14:paraId="45D6DB9E" w14:textId="77777777" w:rsidR="004E1A8D" w:rsidRPr="00EA0D68" w:rsidRDefault="004E1A8D" w:rsidP="00754AFA">
            <w:pPr>
              <w:jc w:val="center"/>
              <w:rPr>
                <w:rFonts w:eastAsia="Times New Roman"/>
                <w:color w:val="000000"/>
              </w:rPr>
            </w:pPr>
            <w:r w:rsidRPr="00EA0D68">
              <w:rPr>
                <w:rFonts w:eastAsia="Times New Roman"/>
                <w:color w:val="000000"/>
              </w:rPr>
              <w:t>4.33</w:t>
            </w:r>
          </w:p>
        </w:tc>
        <w:tc>
          <w:tcPr>
            <w:tcW w:w="1683" w:type="dxa"/>
            <w:vAlign w:val="bottom"/>
          </w:tcPr>
          <w:p w14:paraId="5EB42034" w14:textId="77777777" w:rsidR="004E1A8D" w:rsidRPr="00EA0D68" w:rsidRDefault="004E1A8D" w:rsidP="00754AFA">
            <w:pPr>
              <w:jc w:val="center"/>
              <w:rPr>
                <w:rFonts w:eastAsia="Times New Roman"/>
                <w:color w:val="000000"/>
              </w:rPr>
            </w:pPr>
            <w:r w:rsidRPr="00C609B3">
              <w:rPr>
                <w:rFonts w:eastAsia="Times New Roman"/>
                <w:color w:val="000000"/>
              </w:rPr>
              <w:t>1.32 [1.11-1.56]*</w:t>
            </w:r>
          </w:p>
        </w:tc>
        <w:tc>
          <w:tcPr>
            <w:tcW w:w="1097" w:type="dxa"/>
            <w:vAlign w:val="bottom"/>
          </w:tcPr>
          <w:p w14:paraId="3F4442A2" w14:textId="77777777" w:rsidR="004E1A8D" w:rsidRPr="00EA0D68" w:rsidRDefault="004E1A8D" w:rsidP="00754AFA">
            <w:pPr>
              <w:jc w:val="center"/>
              <w:rPr>
                <w:rFonts w:eastAsia="Times New Roman"/>
                <w:color w:val="000000"/>
              </w:rPr>
            </w:pPr>
            <w:r w:rsidRPr="00EA0D68">
              <w:rPr>
                <w:rFonts w:eastAsia="Times New Roman"/>
                <w:color w:val="000000"/>
              </w:rPr>
              <w:t>5385</w:t>
            </w:r>
          </w:p>
        </w:tc>
        <w:tc>
          <w:tcPr>
            <w:tcW w:w="959" w:type="dxa"/>
            <w:vAlign w:val="bottom"/>
          </w:tcPr>
          <w:p w14:paraId="38BD0F3A" w14:textId="77777777" w:rsidR="004E1A8D" w:rsidRPr="00EA0D68" w:rsidRDefault="004E1A8D" w:rsidP="00754AFA">
            <w:pPr>
              <w:jc w:val="center"/>
              <w:rPr>
                <w:rFonts w:eastAsia="Times New Roman"/>
                <w:color w:val="000000"/>
              </w:rPr>
            </w:pPr>
            <w:r w:rsidRPr="00EA0D68">
              <w:rPr>
                <w:rFonts w:eastAsia="Times New Roman"/>
                <w:color w:val="000000"/>
              </w:rPr>
              <w:t>358</w:t>
            </w:r>
          </w:p>
        </w:tc>
        <w:tc>
          <w:tcPr>
            <w:tcW w:w="780" w:type="dxa"/>
            <w:vAlign w:val="bottom"/>
          </w:tcPr>
          <w:p w14:paraId="47FDFDC2" w14:textId="77777777" w:rsidR="004E1A8D" w:rsidRPr="00EA0D68" w:rsidRDefault="004E1A8D" w:rsidP="00754AFA">
            <w:pPr>
              <w:jc w:val="center"/>
              <w:rPr>
                <w:rFonts w:eastAsia="Times New Roman"/>
                <w:color w:val="000000"/>
              </w:rPr>
            </w:pPr>
            <w:r w:rsidRPr="00EA0D68">
              <w:rPr>
                <w:rFonts w:eastAsia="Times New Roman"/>
                <w:color w:val="000000"/>
              </w:rPr>
              <w:t>6.65</w:t>
            </w:r>
          </w:p>
        </w:tc>
        <w:tc>
          <w:tcPr>
            <w:tcW w:w="1888" w:type="dxa"/>
            <w:vAlign w:val="bottom"/>
          </w:tcPr>
          <w:p w14:paraId="75FCE592" w14:textId="77777777" w:rsidR="004E1A8D" w:rsidRPr="00EA0D68" w:rsidRDefault="004E1A8D" w:rsidP="00754AFA">
            <w:pPr>
              <w:jc w:val="center"/>
              <w:rPr>
                <w:rFonts w:eastAsia="Times New Roman"/>
                <w:color w:val="000000"/>
              </w:rPr>
            </w:pPr>
            <w:r w:rsidRPr="00EA0D68">
              <w:rPr>
                <w:rFonts w:eastAsia="Times New Roman"/>
                <w:color w:val="000000"/>
              </w:rPr>
              <w:t>0.95 [0.83-1.10]</w:t>
            </w:r>
          </w:p>
        </w:tc>
      </w:tr>
      <w:tr w:rsidR="004E1A8D" w:rsidRPr="00C609B3" w14:paraId="317AEB3E" w14:textId="77777777" w:rsidTr="00754AFA">
        <w:tc>
          <w:tcPr>
            <w:tcW w:w="1724" w:type="dxa"/>
            <w:vAlign w:val="bottom"/>
          </w:tcPr>
          <w:p w14:paraId="58F398D2" w14:textId="77777777" w:rsidR="004E1A8D" w:rsidRPr="00EA0D68" w:rsidRDefault="004E1A8D" w:rsidP="00754AFA">
            <w:pPr>
              <w:rPr>
                <w:rFonts w:eastAsia="Times New Roman"/>
                <w:b/>
                <w:bCs/>
                <w:color w:val="000000"/>
              </w:rPr>
            </w:pPr>
            <w:r w:rsidRPr="00EA0D68">
              <w:rPr>
                <w:rFonts w:eastAsia="Times New Roman"/>
                <w:b/>
                <w:bCs/>
                <w:color w:val="000000"/>
              </w:rPr>
              <w:t>hospitalization &gt;10 days</w:t>
            </w:r>
          </w:p>
        </w:tc>
        <w:tc>
          <w:tcPr>
            <w:tcW w:w="1136" w:type="dxa"/>
            <w:vAlign w:val="bottom"/>
          </w:tcPr>
          <w:p w14:paraId="143A8A0F" w14:textId="77777777" w:rsidR="004E1A8D" w:rsidRPr="00EA0D68" w:rsidRDefault="004E1A8D" w:rsidP="00754AFA">
            <w:pPr>
              <w:jc w:val="center"/>
              <w:rPr>
                <w:rFonts w:eastAsia="Times New Roman"/>
                <w:color w:val="000000"/>
              </w:rPr>
            </w:pPr>
            <w:r w:rsidRPr="00EA0D68">
              <w:rPr>
                <w:rFonts w:eastAsia="Times New Roman"/>
                <w:color w:val="000000"/>
              </w:rPr>
              <w:t>4620</w:t>
            </w:r>
          </w:p>
        </w:tc>
        <w:tc>
          <w:tcPr>
            <w:tcW w:w="802" w:type="dxa"/>
            <w:vAlign w:val="bottom"/>
          </w:tcPr>
          <w:p w14:paraId="24CF1CCB" w14:textId="77777777" w:rsidR="004E1A8D" w:rsidRPr="00EA0D68" w:rsidRDefault="004E1A8D" w:rsidP="00754AFA">
            <w:pPr>
              <w:jc w:val="center"/>
              <w:rPr>
                <w:rFonts w:eastAsia="Times New Roman"/>
                <w:color w:val="000000"/>
              </w:rPr>
            </w:pPr>
            <w:r w:rsidRPr="00EA0D68">
              <w:rPr>
                <w:rFonts w:eastAsia="Times New Roman"/>
                <w:color w:val="000000"/>
              </w:rPr>
              <w:t>358</w:t>
            </w:r>
          </w:p>
        </w:tc>
        <w:tc>
          <w:tcPr>
            <w:tcW w:w="887" w:type="dxa"/>
            <w:vAlign w:val="bottom"/>
          </w:tcPr>
          <w:p w14:paraId="38906C31" w14:textId="77777777" w:rsidR="004E1A8D" w:rsidRPr="00EA0D68" w:rsidRDefault="004E1A8D" w:rsidP="00754AFA">
            <w:pPr>
              <w:jc w:val="center"/>
              <w:rPr>
                <w:rFonts w:eastAsia="Times New Roman"/>
                <w:color w:val="000000"/>
              </w:rPr>
            </w:pPr>
            <w:r w:rsidRPr="00EA0D68">
              <w:rPr>
                <w:rFonts w:eastAsia="Times New Roman"/>
                <w:color w:val="000000"/>
              </w:rPr>
              <w:t>7.75</w:t>
            </w:r>
          </w:p>
        </w:tc>
        <w:tc>
          <w:tcPr>
            <w:tcW w:w="1797" w:type="dxa"/>
            <w:vAlign w:val="bottom"/>
          </w:tcPr>
          <w:p w14:paraId="1793627A" w14:textId="77777777" w:rsidR="004E1A8D" w:rsidRPr="00EA0D68" w:rsidRDefault="004E1A8D" w:rsidP="00754AFA">
            <w:pPr>
              <w:jc w:val="center"/>
              <w:rPr>
                <w:rFonts w:eastAsia="Times New Roman"/>
                <w:color w:val="000000"/>
              </w:rPr>
            </w:pPr>
            <w:r w:rsidRPr="00C609B3">
              <w:rPr>
                <w:rFonts w:eastAsia="Times New Roman"/>
                <w:color w:val="000000"/>
              </w:rPr>
              <w:t>1.89 [1.59-2.24]*</w:t>
            </w:r>
          </w:p>
        </w:tc>
        <w:tc>
          <w:tcPr>
            <w:tcW w:w="1097" w:type="dxa"/>
            <w:vAlign w:val="bottom"/>
          </w:tcPr>
          <w:p w14:paraId="0C35B186" w14:textId="77777777" w:rsidR="004E1A8D" w:rsidRPr="00EA0D68" w:rsidRDefault="004E1A8D" w:rsidP="00754AFA">
            <w:pPr>
              <w:jc w:val="center"/>
              <w:rPr>
                <w:rFonts w:eastAsia="Times New Roman"/>
                <w:color w:val="000000"/>
              </w:rPr>
            </w:pPr>
            <w:r w:rsidRPr="00EA0D68">
              <w:rPr>
                <w:rFonts w:eastAsia="Times New Roman"/>
                <w:color w:val="000000"/>
              </w:rPr>
              <w:t>5054</w:t>
            </w:r>
          </w:p>
        </w:tc>
        <w:tc>
          <w:tcPr>
            <w:tcW w:w="1073" w:type="dxa"/>
            <w:vAlign w:val="bottom"/>
          </w:tcPr>
          <w:p w14:paraId="02E814EF" w14:textId="77777777" w:rsidR="004E1A8D" w:rsidRPr="00EA0D68" w:rsidRDefault="004E1A8D" w:rsidP="00754AFA">
            <w:pPr>
              <w:jc w:val="center"/>
              <w:rPr>
                <w:rFonts w:eastAsia="Times New Roman"/>
                <w:color w:val="000000"/>
              </w:rPr>
            </w:pPr>
            <w:r w:rsidRPr="00EA0D68">
              <w:rPr>
                <w:rFonts w:eastAsia="Times New Roman"/>
                <w:color w:val="000000"/>
              </w:rPr>
              <w:t>420</w:t>
            </w:r>
          </w:p>
        </w:tc>
        <w:tc>
          <w:tcPr>
            <w:tcW w:w="636" w:type="dxa"/>
            <w:vAlign w:val="bottom"/>
          </w:tcPr>
          <w:p w14:paraId="1C77D198" w14:textId="77777777" w:rsidR="004E1A8D" w:rsidRPr="00EA0D68" w:rsidRDefault="004E1A8D" w:rsidP="00754AFA">
            <w:pPr>
              <w:jc w:val="center"/>
              <w:rPr>
                <w:rFonts w:eastAsia="Times New Roman"/>
                <w:color w:val="000000"/>
              </w:rPr>
            </w:pPr>
            <w:r w:rsidRPr="00EA0D68">
              <w:rPr>
                <w:rFonts w:eastAsia="Times New Roman"/>
                <w:color w:val="000000"/>
              </w:rPr>
              <w:t>8.31</w:t>
            </w:r>
          </w:p>
        </w:tc>
        <w:tc>
          <w:tcPr>
            <w:tcW w:w="1683" w:type="dxa"/>
            <w:vAlign w:val="bottom"/>
          </w:tcPr>
          <w:p w14:paraId="3BB0739C" w14:textId="77777777" w:rsidR="004E1A8D" w:rsidRPr="00EA0D68" w:rsidRDefault="004E1A8D" w:rsidP="00754AFA">
            <w:pPr>
              <w:jc w:val="center"/>
              <w:rPr>
                <w:rFonts w:eastAsia="Times New Roman"/>
                <w:color w:val="000000"/>
              </w:rPr>
            </w:pPr>
            <w:r w:rsidRPr="00EA0D68">
              <w:rPr>
                <w:rFonts w:eastAsia="Times New Roman"/>
                <w:color w:val="000000"/>
              </w:rPr>
              <w:t>1.28 [0.57-0.65]</w:t>
            </w:r>
            <w:r w:rsidRPr="00C609B3">
              <w:rPr>
                <w:rFonts w:eastAsia="Times New Roman"/>
                <w:color w:val="000000"/>
              </w:rPr>
              <w:t>*</w:t>
            </w:r>
          </w:p>
        </w:tc>
        <w:tc>
          <w:tcPr>
            <w:tcW w:w="1097" w:type="dxa"/>
            <w:vAlign w:val="bottom"/>
          </w:tcPr>
          <w:p w14:paraId="7B500BC6" w14:textId="77777777" w:rsidR="004E1A8D" w:rsidRPr="00EA0D68" w:rsidRDefault="004E1A8D" w:rsidP="00754AFA">
            <w:pPr>
              <w:jc w:val="center"/>
              <w:rPr>
                <w:rFonts w:eastAsia="Times New Roman"/>
                <w:color w:val="000000"/>
              </w:rPr>
            </w:pPr>
            <w:r w:rsidRPr="00EA0D68">
              <w:rPr>
                <w:rFonts w:eastAsia="Times New Roman"/>
                <w:color w:val="000000"/>
              </w:rPr>
              <w:t>5385</w:t>
            </w:r>
          </w:p>
        </w:tc>
        <w:tc>
          <w:tcPr>
            <w:tcW w:w="959" w:type="dxa"/>
            <w:vAlign w:val="bottom"/>
          </w:tcPr>
          <w:p w14:paraId="48E09E8B" w14:textId="77777777" w:rsidR="004E1A8D" w:rsidRPr="00EA0D68" w:rsidRDefault="004E1A8D" w:rsidP="00754AFA">
            <w:pPr>
              <w:jc w:val="center"/>
              <w:rPr>
                <w:rFonts w:eastAsia="Times New Roman"/>
                <w:color w:val="000000"/>
              </w:rPr>
            </w:pPr>
            <w:r w:rsidRPr="00EA0D68">
              <w:rPr>
                <w:rFonts w:eastAsia="Times New Roman"/>
                <w:color w:val="000000"/>
              </w:rPr>
              <w:t>915</w:t>
            </w:r>
          </w:p>
        </w:tc>
        <w:tc>
          <w:tcPr>
            <w:tcW w:w="780" w:type="dxa"/>
            <w:vAlign w:val="bottom"/>
          </w:tcPr>
          <w:p w14:paraId="6C2F1ED3" w14:textId="77777777" w:rsidR="004E1A8D" w:rsidRPr="00EA0D68" w:rsidRDefault="004E1A8D" w:rsidP="00754AFA">
            <w:pPr>
              <w:jc w:val="center"/>
              <w:rPr>
                <w:rFonts w:eastAsia="Times New Roman"/>
                <w:color w:val="000000"/>
              </w:rPr>
            </w:pPr>
            <w:r w:rsidRPr="00EA0D68">
              <w:rPr>
                <w:rFonts w:eastAsia="Times New Roman"/>
                <w:color w:val="000000"/>
              </w:rPr>
              <w:t>16.99</w:t>
            </w:r>
          </w:p>
        </w:tc>
        <w:tc>
          <w:tcPr>
            <w:tcW w:w="1888" w:type="dxa"/>
            <w:vAlign w:val="bottom"/>
          </w:tcPr>
          <w:p w14:paraId="66BE66CE" w14:textId="77777777" w:rsidR="004E1A8D" w:rsidRPr="00EA0D68" w:rsidRDefault="004E1A8D" w:rsidP="00754AFA">
            <w:pPr>
              <w:jc w:val="center"/>
              <w:rPr>
                <w:rFonts w:eastAsia="Times New Roman"/>
                <w:color w:val="000000"/>
              </w:rPr>
            </w:pPr>
            <w:r w:rsidRPr="00EA0D68">
              <w:rPr>
                <w:rFonts w:eastAsia="Times New Roman"/>
                <w:color w:val="000000"/>
              </w:rPr>
              <w:t>1.46 [1.31-1.64]</w:t>
            </w:r>
            <w:r w:rsidRPr="00C609B3">
              <w:rPr>
                <w:rFonts w:eastAsia="Times New Roman"/>
                <w:color w:val="000000"/>
              </w:rPr>
              <w:t>*</w:t>
            </w:r>
          </w:p>
        </w:tc>
      </w:tr>
    </w:tbl>
    <w:p w14:paraId="539F6D68" w14:textId="77777777" w:rsidR="004E1A8D" w:rsidRPr="00C609B3" w:rsidRDefault="004E1A8D" w:rsidP="004E1A8D"/>
    <w:p w14:paraId="26351E5A" w14:textId="77777777" w:rsidR="004E1A8D" w:rsidRPr="00C609B3" w:rsidRDefault="004E1A8D" w:rsidP="004E1A8D"/>
    <w:p w14:paraId="4E7D9502" w14:textId="77777777" w:rsidR="004E1A8D" w:rsidRDefault="004E1A8D" w:rsidP="00F96B13">
      <w:pPr>
        <w:jc w:val="both"/>
        <w:rPr>
          <w:rFonts w:cstheme="minorHAnsi"/>
        </w:rPr>
      </w:pPr>
    </w:p>
    <w:p w14:paraId="01B8960D" w14:textId="77777777" w:rsidR="005D2EF9" w:rsidRDefault="004E1A8D" w:rsidP="004E1A8D">
      <w:pPr>
        <w:rPr>
          <w:rFonts w:cstheme="minorHAnsi"/>
        </w:rPr>
        <w:sectPr w:rsidR="005D2EF9" w:rsidSect="005D2EF9">
          <w:pgSz w:w="16834" w:h="11894" w:orient="landscape"/>
          <w:pgMar w:top="1440" w:right="1440" w:bottom="1440" w:left="1440" w:header="720" w:footer="720" w:gutter="0"/>
          <w:cols w:space="720"/>
          <w:docGrid w:linePitch="360"/>
        </w:sectPr>
      </w:pPr>
      <w:r>
        <w:rPr>
          <w:rFonts w:cstheme="minorHAnsi"/>
        </w:rPr>
        <w:br w:type="page"/>
      </w:r>
    </w:p>
    <w:p w14:paraId="492EFAC4" w14:textId="5CDF687E" w:rsidR="00F96B13" w:rsidRPr="004E1A8D" w:rsidRDefault="00F96B13" w:rsidP="004E1A8D">
      <w:pPr>
        <w:rPr>
          <w:rFonts w:cstheme="minorHAnsi"/>
        </w:rPr>
      </w:pPr>
      <w:r w:rsidRPr="00FD44CA">
        <w:rPr>
          <w:rFonts w:cstheme="minorHAnsi"/>
          <w:b/>
        </w:rPr>
        <w:lastRenderedPageBreak/>
        <w:t xml:space="preserve">Outcomes before and after the implementation of the sepsis bundle </w:t>
      </w:r>
    </w:p>
    <w:p w14:paraId="2A5710F7" w14:textId="77777777" w:rsidR="00F96B13" w:rsidRPr="00FD44CA" w:rsidRDefault="00F96B13" w:rsidP="00F96B13">
      <w:pPr>
        <w:jc w:val="both"/>
        <w:rPr>
          <w:rFonts w:cstheme="minorHAnsi"/>
          <w:b/>
        </w:rPr>
      </w:pPr>
    </w:p>
    <w:p w14:paraId="69328C73" w14:textId="58AFD6F7" w:rsidR="004E1A8D" w:rsidRDefault="00F96B13" w:rsidP="00F96B13">
      <w:pPr>
        <w:jc w:val="both"/>
        <w:rPr>
          <w:rFonts w:cstheme="minorHAnsi"/>
        </w:rPr>
      </w:pPr>
      <w:r w:rsidRPr="00FD44CA">
        <w:rPr>
          <w:rFonts w:cstheme="minorHAnsi"/>
        </w:rPr>
        <w:t xml:space="preserve">The use of the bundle of care for the identification and management of sepsis patients was associated with a 19% reduction </w:t>
      </w:r>
      <w:r>
        <w:rPr>
          <w:rFonts w:cstheme="minorHAnsi"/>
        </w:rPr>
        <w:t>i</w:t>
      </w:r>
      <w:r w:rsidRPr="00FD44CA">
        <w:rPr>
          <w:rFonts w:cstheme="minorHAnsi"/>
        </w:rPr>
        <w:t>n readmissions within 30 days (</w:t>
      </w:r>
      <w:proofErr w:type="spellStart"/>
      <w:r w:rsidR="002529A6">
        <w:rPr>
          <w:rFonts w:cstheme="minorHAnsi"/>
        </w:rPr>
        <w:t>a</w:t>
      </w:r>
      <w:r w:rsidRPr="00FD44CA">
        <w:rPr>
          <w:rFonts w:cstheme="minorHAnsi"/>
        </w:rPr>
        <w:t>OR</w:t>
      </w:r>
      <w:proofErr w:type="spellEnd"/>
      <w:r w:rsidRPr="00FD44CA">
        <w:rPr>
          <w:rFonts w:cstheme="minorHAnsi"/>
        </w:rPr>
        <w:t xml:space="preserve">: 0.81; CI [0.69-0.95]; and a 31% reduction </w:t>
      </w:r>
      <w:r>
        <w:rPr>
          <w:rFonts w:cstheme="minorHAnsi"/>
        </w:rPr>
        <w:t>i</w:t>
      </w:r>
      <w:r w:rsidRPr="00FD44CA">
        <w:rPr>
          <w:rFonts w:cstheme="minorHAnsi"/>
        </w:rPr>
        <w:t>n hospital stays over 10 days (</w:t>
      </w:r>
      <w:proofErr w:type="spellStart"/>
      <w:r w:rsidR="002529A6">
        <w:rPr>
          <w:rFonts w:cstheme="minorHAnsi"/>
        </w:rPr>
        <w:t>a</w:t>
      </w:r>
      <w:r w:rsidRPr="00FD44CA">
        <w:rPr>
          <w:rFonts w:cstheme="minorHAnsi"/>
        </w:rPr>
        <w:t>OR</w:t>
      </w:r>
      <w:proofErr w:type="spellEnd"/>
      <w:r w:rsidRPr="00FD44CA">
        <w:rPr>
          <w:rFonts w:cstheme="minorHAnsi"/>
        </w:rPr>
        <w:t>: 0.69; CI [0.60-0.78]; p&lt;0.0001). However, mortality was not altered (Table</w:t>
      </w:r>
      <w:r w:rsidR="000B3FCB">
        <w:rPr>
          <w:rFonts w:cstheme="minorHAnsi"/>
        </w:rPr>
        <w:t xml:space="preserve"> </w:t>
      </w:r>
      <w:r w:rsidR="002529A6">
        <w:rPr>
          <w:rFonts w:cstheme="minorHAnsi"/>
        </w:rPr>
        <w:t>4</w:t>
      </w:r>
      <w:r w:rsidRPr="00FD44CA">
        <w:rPr>
          <w:rFonts w:cstheme="minorHAnsi"/>
        </w:rPr>
        <w:t xml:space="preserve">). </w:t>
      </w:r>
    </w:p>
    <w:p w14:paraId="346AF5D9" w14:textId="77777777" w:rsidR="004E1A8D" w:rsidRDefault="004E1A8D" w:rsidP="00F96B13">
      <w:pPr>
        <w:jc w:val="both"/>
        <w:rPr>
          <w:rFonts w:cstheme="minorHAnsi"/>
        </w:rPr>
      </w:pPr>
    </w:p>
    <w:p w14:paraId="78CD46D2" w14:textId="77777777" w:rsidR="005D2EF9" w:rsidRDefault="005D2EF9">
      <w:r>
        <w:br w:type="page"/>
      </w:r>
    </w:p>
    <w:p w14:paraId="329E10C8" w14:textId="77777777" w:rsidR="005D2EF9" w:rsidRDefault="005D2EF9" w:rsidP="004E1A8D">
      <w:pPr>
        <w:sectPr w:rsidR="005D2EF9" w:rsidSect="004E1A8D">
          <w:pgSz w:w="11900" w:h="16840"/>
          <w:pgMar w:top="1440" w:right="1440" w:bottom="1440" w:left="1440" w:header="720" w:footer="720" w:gutter="0"/>
          <w:cols w:space="720"/>
          <w:docGrid w:linePitch="360"/>
        </w:sectPr>
      </w:pPr>
    </w:p>
    <w:p w14:paraId="1E68D291" w14:textId="7622DDA6" w:rsidR="004E1A8D" w:rsidRPr="00C609B3" w:rsidRDefault="004E1A8D" w:rsidP="004E1A8D">
      <w:r w:rsidRPr="00C609B3">
        <w:lastRenderedPageBreak/>
        <w:t>Table 4: Comparison of key endpoints before and after the introduction of the sepsis bundle for care (* indicates p&lt;0.05)</w:t>
      </w:r>
    </w:p>
    <w:p w14:paraId="3662C8B6" w14:textId="77777777" w:rsidR="004E1A8D" w:rsidRPr="00C609B3" w:rsidRDefault="004E1A8D" w:rsidP="004E1A8D"/>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840"/>
        <w:gridCol w:w="1840"/>
        <w:gridCol w:w="1255"/>
        <w:gridCol w:w="1345"/>
        <w:gridCol w:w="1255"/>
        <w:gridCol w:w="1345"/>
        <w:gridCol w:w="2760"/>
      </w:tblGrid>
      <w:tr w:rsidR="004E1A8D" w:rsidRPr="00C609B3" w14:paraId="65E5999C" w14:textId="77777777" w:rsidTr="00754AFA">
        <w:trPr>
          <w:trHeight w:val="320"/>
        </w:trPr>
        <w:tc>
          <w:tcPr>
            <w:tcW w:w="3160" w:type="dxa"/>
            <w:shd w:val="clear" w:color="auto" w:fill="auto"/>
            <w:noWrap/>
            <w:vAlign w:val="bottom"/>
            <w:hideMark/>
          </w:tcPr>
          <w:p w14:paraId="06BAC543"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1840" w:type="dxa"/>
            <w:shd w:val="clear" w:color="auto" w:fill="auto"/>
            <w:noWrap/>
            <w:vAlign w:val="bottom"/>
            <w:hideMark/>
          </w:tcPr>
          <w:p w14:paraId="462E5855"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1840" w:type="dxa"/>
            <w:shd w:val="clear" w:color="auto" w:fill="auto"/>
            <w:noWrap/>
            <w:vAlign w:val="bottom"/>
            <w:hideMark/>
          </w:tcPr>
          <w:p w14:paraId="7AFF892C"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2600" w:type="dxa"/>
            <w:gridSpan w:val="2"/>
            <w:shd w:val="clear" w:color="auto" w:fill="auto"/>
            <w:noWrap/>
            <w:vAlign w:val="bottom"/>
            <w:hideMark/>
          </w:tcPr>
          <w:p w14:paraId="383E4416" w14:textId="77777777" w:rsidR="004E1A8D" w:rsidRPr="00C609B3" w:rsidRDefault="004E1A8D" w:rsidP="00754AFA">
            <w:pPr>
              <w:jc w:val="center"/>
              <w:rPr>
                <w:rFonts w:eastAsia="Times New Roman"/>
                <w:b/>
                <w:bCs/>
                <w:color w:val="000000"/>
              </w:rPr>
            </w:pPr>
            <w:r w:rsidRPr="00C609B3">
              <w:rPr>
                <w:rFonts w:eastAsia="Times New Roman"/>
                <w:b/>
                <w:bCs/>
                <w:color w:val="000000"/>
              </w:rPr>
              <w:t>Before</w:t>
            </w:r>
          </w:p>
        </w:tc>
        <w:tc>
          <w:tcPr>
            <w:tcW w:w="2600" w:type="dxa"/>
            <w:gridSpan w:val="2"/>
            <w:shd w:val="clear" w:color="auto" w:fill="auto"/>
            <w:noWrap/>
            <w:vAlign w:val="bottom"/>
            <w:hideMark/>
          </w:tcPr>
          <w:p w14:paraId="47C6D76F" w14:textId="77777777" w:rsidR="004E1A8D" w:rsidRPr="00C609B3" w:rsidRDefault="004E1A8D" w:rsidP="00754AFA">
            <w:pPr>
              <w:jc w:val="center"/>
              <w:rPr>
                <w:rFonts w:eastAsia="Times New Roman"/>
                <w:b/>
                <w:bCs/>
                <w:color w:val="000000"/>
              </w:rPr>
            </w:pPr>
            <w:r w:rsidRPr="00C609B3">
              <w:rPr>
                <w:rFonts w:eastAsia="Times New Roman"/>
                <w:b/>
                <w:bCs/>
                <w:color w:val="000000"/>
              </w:rPr>
              <w:t xml:space="preserve">After </w:t>
            </w:r>
          </w:p>
        </w:tc>
        <w:tc>
          <w:tcPr>
            <w:tcW w:w="2760" w:type="dxa"/>
            <w:shd w:val="clear" w:color="auto" w:fill="auto"/>
            <w:noWrap/>
            <w:vAlign w:val="bottom"/>
            <w:hideMark/>
          </w:tcPr>
          <w:p w14:paraId="32439631" w14:textId="77777777" w:rsidR="004E1A8D" w:rsidRPr="00C609B3" w:rsidRDefault="004E1A8D" w:rsidP="00754AFA">
            <w:pPr>
              <w:jc w:val="center"/>
              <w:rPr>
                <w:rFonts w:eastAsia="Times New Roman"/>
                <w:color w:val="000000"/>
              </w:rPr>
            </w:pPr>
            <w:r w:rsidRPr="00C609B3">
              <w:rPr>
                <w:rFonts w:eastAsia="Times New Roman"/>
                <w:color w:val="000000"/>
              </w:rPr>
              <w:t> </w:t>
            </w:r>
          </w:p>
        </w:tc>
      </w:tr>
      <w:tr w:rsidR="004E1A8D" w:rsidRPr="00C609B3" w14:paraId="72CE7B59" w14:textId="77777777" w:rsidTr="00754AFA">
        <w:trPr>
          <w:trHeight w:val="320"/>
        </w:trPr>
        <w:tc>
          <w:tcPr>
            <w:tcW w:w="3160" w:type="dxa"/>
            <w:shd w:val="clear" w:color="auto" w:fill="auto"/>
            <w:noWrap/>
            <w:vAlign w:val="bottom"/>
            <w:hideMark/>
          </w:tcPr>
          <w:p w14:paraId="3442DE46" w14:textId="77777777" w:rsidR="004E1A8D" w:rsidRPr="00C609B3" w:rsidRDefault="004E1A8D" w:rsidP="00754AFA">
            <w:pPr>
              <w:jc w:val="center"/>
              <w:rPr>
                <w:rFonts w:eastAsia="Times New Roman"/>
                <w:color w:val="000000"/>
              </w:rPr>
            </w:pPr>
            <w:r w:rsidRPr="00C609B3">
              <w:rPr>
                <w:rFonts w:eastAsia="Times New Roman"/>
                <w:color w:val="000000"/>
              </w:rPr>
              <w:t> </w:t>
            </w:r>
          </w:p>
        </w:tc>
        <w:tc>
          <w:tcPr>
            <w:tcW w:w="1840" w:type="dxa"/>
            <w:shd w:val="clear" w:color="auto" w:fill="auto"/>
            <w:noWrap/>
            <w:vAlign w:val="bottom"/>
            <w:hideMark/>
          </w:tcPr>
          <w:p w14:paraId="0455ECCA" w14:textId="77777777" w:rsidR="004E1A8D" w:rsidRPr="00C609B3" w:rsidRDefault="004E1A8D" w:rsidP="00754AFA">
            <w:pPr>
              <w:jc w:val="center"/>
              <w:rPr>
                <w:rFonts w:eastAsia="Times New Roman"/>
                <w:b/>
                <w:bCs/>
                <w:color w:val="000000"/>
              </w:rPr>
            </w:pPr>
            <w:r w:rsidRPr="00C609B3">
              <w:rPr>
                <w:rFonts w:eastAsia="Times New Roman"/>
                <w:b/>
                <w:bCs/>
                <w:color w:val="000000"/>
              </w:rPr>
              <w:t>Total Before</w:t>
            </w:r>
          </w:p>
        </w:tc>
        <w:tc>
          <w:tcPr>
            <w:tcW w:w="1840" w:type="dxa"/>
            <w:shd w:val="clear" w:color="auto" w:fill="auto"/>
            <w:noWrap/>
            <w:vAlign w:val="bottom"/>
            <w:hideMark/>
          </w:tcPr>
          <w:p w14:paraId="6F69AE30" w14:textId="77777777" w:rsidR="004E1A8D" w:rsidRPr="00C609B3" w:rsidRDefault="004E1A8D" w:rsidP="00754AFA">
            <w:pPr>
              <w:jc w:val="center"/>
              <w:rPr>
                <w:rFonts w:eastAsia="Times New Roman"/>
                <w:b/>
                <w:bCs/>
                <w:color w:val="000000"/>
              </w:rPr>
            </w:pPr>
            <w:r w:rsidRPr="00C609B3">
              <w:rPr>
                <w:rFonts w:eastAsia="Times New Roman"/>
                <w:b/>
                <w:bCs/>
                <w:color w:val="000000"/>
              </w:rPr>
              <w:t>Total After</w:t>
            </w:r>
          </w:p>
        </w:tc>
        <w:tc>
          <w:tcPr>
            <w:tcW w:w="1255" w:type="dxa"/>
            <w:shd w:val="clear" w:color="auto" w:fill="auto"/>
            <w:noWrap/>
            <w:vAlign w:val="bottom"/>
            <w:hideMark/>
          </w:tcPr>
          <w:p w14:paraId="444C591B" w14:textId="77777777" w:rsidR="004E1A8D" w:rsidRPr="00C609B3" w:rsidRDefault="004E1A8D" w:rsidP="00754AFA">
            <w:pPr>
              <w:jc w:val="center"/>
              <w:rPr>
                <w:rFonts w:eastAsia="Times New Roman"/>
                <w:b/>
                <w:bCs/>
                <w:color w:val="000000"/>
              </w:rPr>
            </w:pPr>
            <w:r w:rsidRPr="00C609B3">
              <w:rPr>
                <w:rFonts w:eastAsia="Times New Roman"/>
                <w:b/>
                <w:bCs/>
                <w:color w:val="000000"/>
              </w:rPr>
              <w:t>Total</w:t>
            </w:r>
          </w:p>
        </w:tc>
        <w:tc>
          <w:tcPr>
            <w:tcW w:w="1345" w:type="dxa"/>
            <w:shd w:val="clear" w:color="auto" w:fill="auto"/>
            <w:noWrap/>
            <w:vAlign w:val="bottom"/>
            <w:hideMark/>
          </w:tcPr>
          <w:p w14:paraId="4003296A" w14:textId="77777777" w:rsidR="004E1A8D" w:rsidRPr="00C609B3" w:rsidRDefault="004E1A8D" w:rsidP="00754AFA">
            <w:pPr>
              <w:jc w:val="center"/>
              <w:rPr>
                <w:rFonts w:eastAsia="Times New Roman"/>
                <w:b/>
                <w:bCs/>
                <w:color w:val="000000"/>
              </w:rPr>
            </w:pPr>
            <w:r w:rsidRPr="00C609B3">
              <w:rPr>
                <w:rFonts w:eastAsia="Times New Roman"/>
                <w:b/>
                <w:bCs/>
                <w:color w:val="000000"/>
              </w:rPr>
              <w:t>%</w:t>
            </w:r>
          </w:p>
        </w:tc>
        <w:tc>
          <w:tcPr>
            <w:tcW w:w="1255" w:type="dxa"/>
            <w:shd w:val="clear" w:color="auto" w:fill="auto"/>
            <w:noWrap/>
            <w:vAlign w:val="bottom"/>
            <w:hideMark/>
          </w:tcPr>
          <w:p w14:paraId="5458A1B8" w14:textId="77777777" w:rsidR="004E1A8D" w:rsidRPr="00C609B3" w:rsidRDefault="004E1A8D" w:rsidP="00754AFA">
            <w:pPr>
              <w:jc w:val="center"/>
              <w:rPr>
                <w:rFonts w:eastAsia="Times New Roman"/>
                <w:b/>
                <w:bCs/>
                <w:color w:val="000000"/>
              </w:rPr>
            </w:pPr>
            <w:r w:rsidRPr="00C609B3">
              <w:rPr>
                <w:rFonts w:eastAsia="Times New Roman"/>
                <w:b/>
                <w:bCs/>
                <w:color w:val="000000"/>
              </w:rPr>
              <w:t>Total</w:t>
            </w:r>
          </w:p>
        </w:tc>
        <w:tc>
          <w:tcPr>
            <w:tcW w:w="1345" w:type="dxa"/>
            <w:shd w:val="clear" w:color="auto" w:fill="auto"/>
            <w:noWrap/>
            <w:vAlign w:val="bottom"/>
            <w:hideMark/>
          </w:tcPr>
          <w:p w14:paraId="6741045B" w14:textId="77777777" w:rsidR="004E1A8D" w:rsidRPr="00C609B3" w:rsidRDefault="004E1A8D" w:rsidP="00754AFA">
            <w:pPr>
              <w:jc w:val="center"/>
              <w:rPr>
                <w:rFonts w:eastAsia="Times New Roman"/>
                <w:b/>
                <w:bCs/>
                <w:color w:val="000000"/>
              </w:rPr>
            </w:pPr>
            <w:r w:rsidRPr="00C609B3">
              <w:rPr>
                <w:rFonts w:eastAsia="Times New Roman"/>
                <w:b/>
                <w:bCs/>
                <w:color w:val="000000"/>
              </w:rPr>
              <w:t>%</w:t>
            </w:r>
          </w:p>
        </w:tc>
        <w:tc>
          <w:tcPr>
            <w:tcW w:w="2760" w:type="dxa"/>
            <w:shd w:val="clear" w:color="auto" w:fill="auto"/>
            <w:noWrap/>
            <w:vAlign w:val="bottom"/>
            <w:hideMark/>
          </w:tcPr>
          <w:p w14:paraId="44510235" w14:textId="77777777" w:rsidR="004E1A8D" w:rsidRPr="00C609B3" w:rsidRDefault="004E1A8D" w:rsidP="00754AFA">
            <w:pPr>
              <w:jc w:val="center"/>
              <w:rPr>
                <w:rFonts w:eastAsia="Times New Roman"/>
                <w:b/>
                <w:bCs/>
                <w:color w:val="000000"/>
              </w:rPr>
            </w:pPr>
            <w:r w:rsidRPr="00C609B3">
              <w:rPr>
                <w:rFonts w:eastAsia="Times New Roman"/>
                <w:b/>
                <w:bCs/>
                <w:color w:val="000000"/>
              </w:rPr>
              <w:t>Odds ratio [CI]</w:t>
            </w:r>
          </w:p>
        </w:tc>
      </w:tr>
      <w:tr w:rsidR="004E1A8D" w:rsidRPr="00C609B3" w14:paraId="037D5B9F" w14:textId="77777777" w:rsidTr="00754AFA">
        <w:trPr>
          <w:trHeight w:val="320"/>
        </w:trPr>
        <w:tc>
          <w:tcPr>
            <w:tcW w:w="3160" w:type="dxa"/>
            <w:shd w:val="clear" w:color="auto" w:fill="auto"/>
            <w:noWrap/>
            <w:vAlign w:val="bottom"/>
            <w:hideMark/>
          </w:tcPr>
          <w:p w14:paraId="765F0C33" w14:textId="77777777" w:rsidR="004E1A8D" w:rsidRPr="00C609B3" w:rsidRDefault="004E1A8D" w:rsidP="00754AFA">
            <w:pPr>
              <w:rPr>
                <w:rFonts w:eastAsia="Times New Roman"/>
                <w:b/>
                <w:bCs/>
                <w:color w:val="000000"/>
              </w:rPr>
            </w:pPr>
            <w:r w:rsidRPr="00C609B3">
              <w:rPr>
                <w:rFonts w:eastAsia="Times New Roman"/>
                <w:b/>
                <w:bCs/>
                <w:color w:val="000000"/>
              </w:rPr>
              <w:t>Mortality</w:t>
            </w:r>
          </w:p>
        </w:tc>
        <w:tc>
          <w:tcPr>
            <w:tcW w:w="1840" w:type="dxa"/>
            <w:shd w:val="clear" w:color="auto" w:fill="auto"/>
            <w:noWrap/>
            <w:vAlign w:val="bottom"/>
            <w:hideMark/>
          </w:tcPr>
          <w:p w14:paraId="3763FEEF" w14:textId="77777777" w:rsidR="004E1A8D" w:rsidRPr="00C609B3" w:rsidRDefault="004E1A8D" w:rsidP="00754AFA">
            <w:pPr>
              <w:jc w:val="center"/>
              <w:rPr>
                <w:rFonts w:eastAsia="Times New Roman"/>
                <w:b/>
                <w:bCs/>
                <w:color w:val="000000"/>
              </w:rPr>
            </w:pPr>
            <w:r w:rsidRPr="00C609B3">
              <w:rPr>
                <w:rFonts w:eastAsia="Times New Roman"/>
                <w:b/>
                <w:bCs/>
                <w:color w:val="000000"/>
              </w:rPr>
              <w:t>1520</w:t>
            </w:r>
          </w:p>
        </w:tc>
        <w:tc>
          <w:tcPr>
            <w:tcW w:w="1840" w:type="dxa"/>
            <w:shd w:val="clear" w:color="auto" w:fill="auto"/>
            <w:noWrap/>
            <w:vAlign w:val="bottom"/>
            <w:hideMark/>
          </w:tcPr>
          <w:p w14:paraId="1237DACA" w14:textId="77777777" w:rsidR="004E1A8D" w:rsidRPr="00C609B3" w:rsidRDefault="004E1A8D" w:rsidP="00754AFA">
            <w:pPr>
              <w:jc w:val="center"/>
              <w:rPr>
                <w:rFonts w:eastAsia="Times New Roman"/>
                <w:b/>
                <w:bCs/>
                <w:color w:val="000000"/>
              </w:rPr>
            </w:pPr>
            <w:r w:rsidRPr="00C609B3">
              <w:rPr>
                <w:rFonts w:eastAsia="Times New Roman"/>
                <w:b/>
                <w:bCs/>
                <w:color w:val="000000"/>
              </w:rPr>
              <w:t>6256</w:t>
            </w:r>
          </w:p>
        </w:tc>
        <w:tc>
          <w:tcPr>
            <w:tcW w:w="1255" w:type="dxa"/>
            <w:shd w:val="clear" w:color="auto" w:fill="auto"/>
            <w:noWrap/>
            <w:vAlign w:val="bottom"/>
            <w:hideMark/>
          </w:tcPr>
          <w:p w14:paraId="03D12132" w14:textId="77777777" w:rsidR="004E1A8D" w:rsidRPr="00C609B3" w:rsidRDefault="004E1A8D" w:rsidP="00754AFA">
            <w:pPr>
              <w:jc w:val="center"/>
              <w:rPr>
                <w:rFonts w:eastAsia="Times New Roman"/>
                <w:color w:val="000000"/>
              </w:rPr>
            </w:pPr>
            <w:r w:rsidRPr="00C609B3">
              <w:rPr>
                <w:rFonts w:eastAsia="Times New Roman"/>
                <w:color w:val="000000"/>
              </w:rPr>
              <w:t>405</w:t>
            </w:r>
          </w:p>
        </w:tc>
        <w:tc>
          <w:tcPr>
            <w:tcW w:w="1345" w:type="dxa"/>
            <w:shd w:val="clear" w:color="auto" w:fill="auto"/>
            <w:noWrap/>
            <w:vAlign w:val="bottom"/>
            <w:hideMark/>
          </w:tcPr>
          <w:p w14:paraId="08F33C48" w14:textId="77777777" w:rsidR="004E1A8D" w:rsidRPr="00C609B3" w:rsidRDefault="004E1A8D" w:rsidP="00754AFA">
            <w:pPr>
              <w:jc w:val="center"/>
              <w:rPr>
                <w:rFonts w:eastAsia="Times New Roman"/>
                <w:color w:val="000000"/>
              </w:rPr>
            </w:pPr>
            <w:r w:rsidRPr="00C609B3">
              <w:rPr>
                <w:rFonts w:eastAsia="Times New Roman"/>
                <w:color w:val="000000"/>
              </w:rPr>
              <w:t>26.64</w:t>
            </w:r>
          </w:p>
        </w:tc>
        <w:tc>
          <w:tcPr>
            <w:tcW w:w="1255" w:type="dxa"/>
            <w:shd w:val="clear" w:color="auto" w:fill="auto"/>
            <w:noWrap/>
            <w:vAlign w:val="bottom"/>
            <w:hideMark/>
          </w:tcPr>
          <w:p w14:paraId="765C43B6" w14:textId="77777777" w:rsidR="004E1A8D" w:rsidRPr="00C609B3" w:rsidRDefault="004E1A8D" w:rsidP="00754AFA">
            <w:pPr>
              <w:jc w:val="center"/>
              <w:rPr>
                <w:rFonts w:eastAsia="Times New Roman"/>
                <w:color w:val="000000"/>
              </w:rPr>
            </w:pPr>
            <w:r w:rsidRPr="00C609B3">
              <w:rPr>
                <w:rFonts w:eastAsia="Times New Roman"/>
                <w:color w:val="000000"/>
              </w:rPr>
              <w:t>1684</w:t>
            </w:r>
          </w:p>
        </w:tc>
        <w:tc>
          <w:tcPr>
            <w:tcW w:w="1345" w:type="dxa"/>
            <w:shd w:val="clear" w:color="auto" w:fill="auto"/>
            <w:noWrap/>
            <w:vAlign w:val="bottom"/>
            <w:hideMark/>
          </w:tcPr>
          <w:p w14:paraId="4C9E87BD" w14:textId="77777777" w:rsidR="004E1A8D" w:rsidRPr="00C609B3" w:rsidRDefault="004E1A8D" w:rsidP="00754AFA">
            <w:pPr>
              <w:jc w:val="center"/>
              <w:rPr>
                <w:rFonts w:eastAsia="Times New Roman"/>
                <w:color w:val="000000"/>
              </w:rPr>
            </w:pPr>
            <w:r w:rsidRPr="00C609B3">
              <w:rPr>
                <w:rFonts w:eastAsia="Times New Roman"/>
                <w:color w:val="000000"/>
              </w:rPr>
              <w:t>26.92</w:t>
            </w:r>
          </w:p>
        </w:tc>
        <w:tc>
          <w:tcPr>
            <w:tcW w:w="2760" w:type="dxa"/>
            <w:shd w:val="clear" w:color="auto" w:fill="auto"/>
            <w:noWrap/>
            <w:vAlign w:val="bottom"/>
            <w:hideMark/>
          </w:tcPr>
          <w:p w14:paraId="78CA49C7" w14:textId="77777777" w:rsidR="004E1A8D" w:rsidRPr="00C609B3" w:rsidRDefault="004E1A8D" w:rsidP="00754AFA">
            <w:pPr>
              <w:jc w:val="center"/>
              <w:rPr>
                <w:rFonts w:eastAsia="Times New Roman"/>
                <w:color w:val="000000"/>
              </w:rPr>
            </w:pPr>
            <w:r w:rsidRPr="00C609B3">
              <w:rPr>
                <w:rFonts w:eastAsia="Times New Roman"/>
                <w:color w:val="000000"/>
              </w:rPr>
              <w:t xml:space="preserve">1.01 [0.89-1.15] </w:t>
            </w:r>
          </w:p>
        </w:tc>
      </w:tr>
      <w:tr w:rsidR="004E1A8D" w:rsidRPr="00C609B3" w14:paraId="62A4AEAE" w14:textId="77777777" w:rsidTr="00754AFA">
        <w:trPr>
          <w:trHeight w:val="320"/>
        </w:trPr>
        <w:tc>
          <w:tcPr>
            <w:tcW w:w="3160" w:type="dxa"/>
            <w:shd w:val="clear" w:color="auto" w:fill="auto"/>
            <w:noWrap/>
            <w:vAlign w:val="bottom"/>
            <w:hideMark/>
          </w:tcPr>
          <w:p w14:paraId="7B308DD8" w14:textId="77777777" w:rsidR="004E1A8D" w:rsidRPr="00C609B3" w:rsidRDefault="004E1A8D" w:rsidP="00754AFA">
            <w:pPr>
              <w:rPr>
                <w:rFonts w:eastAsia="Times New Roman"/>
                <w:b/>
                <w:bCs/>
                <w:color w:val="000000"/>
              </w:rPr>
            </w:pPr>
            <w:r w:rsidRPr="00C609B3">
              <w:rPr>
                <w:rFonts w:eastAsia="Times New Roman"/>
                <w:b/>
                <w:bCs/>
                <w:color w:val="000000"/>
              </w:rPr>
              <w:t>Readmission</w:t>
            </w:r>
          </w:p>
        </w:tc>
        <w:tc>
          <w:tcPr>
            <w:tcW w:w="1840" w:type="dxa"/>
            <w:shd w:val="clear" w:color="auto" w:fill="auto"/>
            <w:noWrap/>
            <w:vAlign w:val="bottom"/>
            <w:hideMark/>
          </w:tcPr>
          <w:p w14:paraId="10BE8252" w14:textId="77777777" w:rsidR="004E1A8D" w:rsidRPr="00C609B3" w:rsidRDefault="004E1A8D" w:rsidP="00754AFA">
            <w:pPr>
              <w:jc w:val="center"/>
              <w:rPr>
                <w:rFonts w:eastAsia="Times New Roman"/>
                <w:b/>
                <w:bCs/>
                <w:color w:val="000000"/>
              </w:rPr>
            </w:pPr>
            <w:r w:rsidRPr="00C609B3">
              <w:rPr>
                <w:rFonts w:eastAsia="Times New Roman"/>
                <w:b/>
                <w:bCs/>
                <w:color w:val="000000"/>
              </w:rPr>
              <w:t>1115</w:t>
            </w:r>
          </w:p>
        </w:tc>
        <w:tc>
          <w:tcPr>
            <w:tcW w:w="1840" w:type="dxa"/>
            <w:shd w:val="clear" w:color="auto" w:fill="auto"/>
            <w:noWrap/>
            <w:vAlign w:val="bottom"/>
            <w:hideMark/>
          </w:tcPr>
          <w:p w14:paraId="779A3829" w14:textId="77777777" w:rsidR="004E1A8D" w:rsidRPr="00C609B3" w:rsidRDefault="004E1A8D" w:rsidP="00754AFA">
            <w:pPr>
              <w:jc w:val="center"/>
              <w:rPr>
                <w:rFonts w:eastAsia="Times New Roman"/>
                <w:b/>
                <w:bCs/>
                <w:color w:val="000000"/>
              </w:rPr>
            </w:pPr>
            <w:r w:rsidRPr="00C609B3">
              <w:rPr>
                <w:rFonts w:eastAsia="Times New Roman"/>
                <w:b/>
                <w:bCs/>
                <w:color w:val="000000"/>
              </w:rPr>
              <w:t>4572</w:t>
            </w:r>
          </w:p>
        </w:tc>
        <w:tc>
          <w:tcPr>
            <w:tcW w:w="1255" w:type="dxa"/>
            <w:shd w:val="clear" w:color="auto" w:fill="auto"/>
            <w:noWrap/>
            <w:vAlign w:val="bottom"/>
            <w:hideMark/>
          </w:tcPr>
          <w:p w14:paraId="72697BD2" w14:textId="77777777" w:rsidR="004E1A8D" w:rsidRPr="00C609B3" w:rsidRDefault="004E1A8D" w:rsidP="00754AFA">
            <w:pPr>
              <w:jc w:val="center"/>
              <w:rPr>
                <w:rFonts w:eastAsia="Times New Roman"/>
                <w:color w:val="000000"/>
              </w:rPr>
            </w:pPr>
            <w:r w:rsidRPr="00C609B3">
              <w:rPr>
                <w:rFonts w:eastAsia="Times New Roman"/>
                <w:color w:val="000000"/>
              </w:rPr>
              <w:t>241</w:t>
            </w:r>
          </w:p>
        </w:tc>
        <w:tc>
          <w:tcPr>
            <w:tcW w:w="1345" w:type="dxa"/>
            <w:shd w:val="clear" w:color="auto" w:fill="auto"/>
            <w:noWrap/>
            <w:vAlign w:val="bottom"/>
            <w:hideMark/>
          </w:tcPr>
          <w:p w14:paraId="53C01C1A" w14:textId="77777777" w:rsidR="004E1A8D" w:rsidRPr="00C609B3" w:rsidRDefault="004E1A8D" w:rsidP="00754AFA">
            <w:pPr>
              <w:jc w:val="center"/>
              <w:rPr>
                <w:rFonts w:eastAsia="Times New Roman"/>
                <w:color w:val="000000"/>
              </w:rPr>
            </w:pPr>
            <w:r w:rsidRPr="00C609B3">
              <w:rPr>
                <w:rFonts w:eastAsia="Times New Roman"/>
                <w:color w:val="000000"/>
              </w:rPr>
              <w:t>21.61</w:t>
            </w:r>
          </w:p>
        </w:tc>
        <w:tc>
          <w:tcPr>
            <w:tcW w:w="1255" w:type="dxa"/>
            <w:shd w:val="clear" w:color="auto" w:fill="auto"/>
            <w:noWrap/>
            <w:vAlign w:val="bottom"/>
            <w:hideMark/>
          </w:tcPr>
          <w:p w14:paraId="0C02F22E" w14:textId="77777777" w:rsidR="004E1A8D" w:rsidRPr="00C609B3" w:rsidRDefault="004E1A8D" w:rsidP="00754AFA">
            <w:pPr>
              <w:jc w:val="center"/>
              <w:rPr>
                <w:rFonts w:eastAsia="Times New Roman"/>
                <w:color w:val="000000"/>
              </w:rPr>
            </w:pPr>
            <w:r w:rsidRPr="00C609B3">
              <w:rPr>
                <w:rFonts w:eastAsia="Times New Roman"/>
                <w:color w:val="000000"/>
              </w:rPr>
              <w:t>833</w:t>
            </w:r>
          </w:p>
        </w:tc>
        <w:tc>
          <w:tcPr>
            <w:tcW w:w="1345" w:type="dxa"/>
            <w:shd w:val="clear" w:color="auto" w:fill="auto"/>
            <w:noWrap/>
            <w:vAlign w:val="bottom"/>
            <w:hideMark/>
          </w:tcPr>
          <w:p w14:paraId="6811954B" w14:textId="77777777" w:rsidR="004E1A8D" w:rsidRPr="00C609B3" w:rsidRDefault="004E1A8D" w:rsidP="00754AFA">
            <w:pPr>
              <w:jc w:val="center"/>
              <w:rPr>
                <w:rFonts w:eastAsia="Times New Roman"/>
                <w:color w:val="000000"/>
              </w:rPr>
            </w:pPr>
            <w:r w:rsidRPr="00C609B3">
              <w:rPr>
                <w:rFonts w:eastAsia="Times New Roman"/>
                <w:color w:val="000000"/>
              </w:rPr>
              <w:t>18.22</w:t>
            </w:r>
          </w:p>
        </w:tc>
        <w:tc>
          <w:tcPr>
            <w:tcW w:w="2760" w:type="dxa"/>
            <w:shd w:val="clear" w:color="auto" w:fill="auto"/>
            <w:noWrap/>
            <w:vAlign w:val="bottom"/>
            <w:hideMark/>
          </w:tcPr>
          <w:p w14:paraId="05993C23" w14:textId="77777777" w:rsidR="004E1A8D" w:rsidRPr="00C609B3" w:rsidRDefault="004E1A8D" w:rsidP="00754AFA">
            <w:pPr>
              <w:jc w:val="center"/>
              <w:rPr>
                <w:rFonts w:eastAsia="Times New Roman"/>
                <w:color w:val="000000"/>
              </w:rPr>
            </w:pPr>
            <w:r w:rsidRPr="00C609B3">
              <w:rPr>
                <w:rFonts w:eastAsia="Times New Roman"/>
                <w:color w:val="000000"/>
              </w:rPr>
              <w:t>0.81 [0.69-0.95]*</w:t>
            </w:r>
          </w:p>
        </w:tc>
      </w:tr>
      <w:tr w:rsidR="004E1A8D" w:rsidRPr="00C609B3" w14:paraId="649FD40F" w14:textId="77777777" w:rsidTr="00754AFA">
        <w:trPr>
          <w:trHeight w:val="320"/>
        </w:trPr>
        <w:tc>
          <w:tcPr>
            <w:tcW w:w="3160" w:type="dxa"/>
            <w:shd w:val="clear" w:color="auto" w:fill="auto"/>
            <w:noWrap/>
            <w:vAlign w:val="bottom"/>
            <w:hideMark/>
          </w:tcPr>
          <w:p w14:paraId="62CE2A3E" w14:textId="77777777" w:rsidR="004E1A8D" w:rsidRPr="00C609B3" w:rsidRDefault="004E1A8D" w:rsidP="00754AFA">
            <w:pPr>
              <w:rPr>
                <w:rFonts w:eastAsia="Times New Roman"/>
                <w:b/>
                <w:bCs/>
                <w:color w:val="000000"/>
              </w:rPr>
            </w:pPr>
            <w:r w:rsidRPr="00C609B3">
              <w:rPr>
                <w:rFonts w:eastAsia="Times New Roman"/>
                <w:b/>
                <w:bCs/>
                <w:color w:val="000000"/>
              </w:rPr>
              <w:t>Hospitalization over 10 days</w:t>
            </w:r>
          </w:p>
        </w:tc>
        <w:tc>
          <w:tcPr>
            <w:tcW w:w="1840" w:type="dxa"/>
            <w:shd w:val="clear" w:color="auto" w:fill="auto"/>
            <w:noWrap/>
            <w:vAlign w:val="bottom"/>
            <w:hideMark/>
          </w:tcPr>
          <w:p w14:paraId="1A376EFB" w14:textId="77777777" w:rsidR="004E1A8D" w:rsidRPr="00C609B3" w:rsidRDefault="004E1A8D" w:rsidP="00754AFA">
            <w:pPr>
              <w:jc w:val="center"/>
              <w:rPr>
                <w:rFonts w:eastAsia="Times New Roman"/>
                <w:b/>
                <w:bCs/>
                <w:color w:val="000000"/>
              </w:rPr>
            </w:pPr>
            <w:r w:rsidRPr="00C609B3">
              <w:rPr>
                <w:rFonts w:eastAsia="Times New Roman"/>
                <w:b/>
                <w:bCs/>
                <w:color w:val="000000"/>
              </w:rPr>
              <w:t>1115</w:t>
            </w:r>
          </w:p>
        </w:tc>
        <w:tc>
          <w:tcPr>
            <w:tcW w:w="1840" w:type="dxa"/>
            <w:shd w:val="clear" w:color="auto" w:fill="auto"/>
            <w:noWrap/>
            <w:vAlign w:val="bottom"/>
            <w:hideMark/>
          </w:tcPr>
          <w:p w14:paraId="5BA96095" w14:textId="77777777" w:rsidR="004E1A8D" w:rsidRPr="00C609B3" w:rsidRDefault="004E1A8D" w:rsidP="00754AFA">
            <w:pPr>
              <w:jc w:val="center"/>
              <w:rPr>
                <w:rFonts w:eastAsia="Times New Roman"/>
                <w:b/>
                <w:bCs/>
                <w:color w:val="000000"/>
              </w:rPr>
            </w:pPr>
            <w:r w:rsidRPr="00C609B3">
              <w:rPr>
                <w:rFonts w:eastAsia="Times New Roman"/>
                <w:b/>
                <w:bCs/>
                <w:color w:val="000000"/>
              </w:rPr>
              <w:t>4572</w:t>
            </w:r>
          </w:p>
        </w:tc>
        <w:tc>
          <w:tcPr>
            <w:tcW w:w="1255" w:type="dxa"/>
            <w:shd w:val="clear" w:color="auto" w:fill="auto"/>
            <w:noWrap/>
            <w:vAlign w:val="bottom"/>
            <w:hideMark/>
          </w:tcPr>
          <w:p w14:paraId="0BEB2653" w14:textId="77777777" w:rsidR="004E1A8D" w:rsidRPr="00C609B3" w:rsidRDefault="004E1A8D" w:rsidP="00754AFA">
            <w:pPr>
              <w:jc w:val="center"/>
              <w:rPr>
                <w:rFonts w:eastAsia="Times New Roman"/>
                <w:color w:val="000000"/>
              </w:rPr>
            </w:pPr>
            <w:r w:rsidRPr="00C609B3">
              <w:rPr>
                <w:rFonts w:eastAsia="Times New Roman"/>
                <w:color w:val="000000"/>
              </w:rPr>
              <w:t>538</w:t>
            </w:r>
          </w:p>
        </w:tc>
        <w:tc>
          <w:tcPr>
            <w:tcW w:w="1345" w:type="dxa"/>
            <w:shd w:val="clear" w:color="auto" w:fill="auto"/>
            <w:noWrap/>
            <w:vAlign w:val="bottom"/>
            <w:hideMark/>
          </w:tcPr>
          <w:p w14:paraId="5729EABC" w14:textId="77777777" w:rsidR="004E1A8D" w:rsidRPr="00C609B3" w:rsidRDefault="004E1A8D" w:rsidP="00754AFA">
            <w:pPr>
              <w:jc w:val="center"/>
              <w:rPr>
                <w:rFonts w:eastAsia="Times New Roman"/>
                <w:color w:val="000000"/>
              </w:rPr>
            </w:pPr>
            <w:r w:rsidRPr="00C609B3">
              <w:rPr>
                <w:rFonts w:eastAsia="Times New Roman"/>
                <w:color w:val="000000"/>
              </w:rPr>
              <w:t>48.25</w:t>
            </w:r>
          </w:p>
        </w:tc>
        <w:tc>
          <w:tcPr>
            <w:tcW w:w="1255" w:type="dxa"/>
            <w:shd w:val="clear" w:color="auto" w:fill="auto"/>
            <w:noWrap/>
            <w:vAlign w:val="bottom"/>
            <w:hideMark/>
          </w:tcPr>
          <w:p w14:paraId="7E1F0B0E" w14:textId="77777777" w:rsidR="004E1A8D" w:rsidRPr="00C609B3" w:rsidRDefault="004E1A8D" w:rsidP="00754AFA">
            <w:pPr>
              <w:jc w:val="center"/>
              <w:rPr>
                <w:rFonts w:eastAsia="Times New Roman"/>
                <w:color w:val="000000"/>
              </w:rPr>
            </w:pPr>
            <w:r w:rsidRPr="00C609B3">
              <w:rPr>
                <w:rFonts w:eastAsia="Times New Roman"/>
                <w:color w:val="000000"/>
              </w:rPr>
              <w:t>1786</w:t>
            </w:r>
          </w:p>
        </w:tc>
        <w:tc>
          <w:tcPr>
            <w:tcW w:w="1345" w:type="dxa"/>
            <w:shd w:val="clear" w:color="auto" w:fill="auto"/>
            <w:noWrap/>
            <w:vAlign w:val="bottom"/>
            <w:hideMark/>
          </w:tcPr>
          <w:p w14:paraId="07F81359" w14:textId="77777777" w:rsidR="004E1A8D" w:rsidRPr="00C609B3" w:rsidRDefault="004E1A8D" w:rsidP="00754AFA">
            <w:pPr>
              <w:jc w:val="center"/>
              <w:rPr>
                <w:rFonts w:eastAsia="Times New Roman"/>
                <w:color w:val="000000"/>
              </w:rPr>
            </w:pPr>
            <w:r w:rsidRPr="00C609B3">
              <w:rPr>
                <w:rFonts w:eastAsia="Times New Roman"/>
                <w:color w:val="000000"/>
              </w:rPr>
              <w:t>39.06</w:t>
            </w:r>
          </w:p>
        </w:tc>
        <w:tc>
          <w:tcPr>
            <w:tcW w:w="2760" w:type="dxa"/>
            <w:shd w:val="clear" w:color="auto" w:fill="auto"/>
            <w:noWrap/>
            <w:vAlign w:val="bottom"/>
            <w:hideMark/>
          </w:tcPr>
          <w:p w14:paraId="530AE92A" w14:textId="77777777" w:rsidR="004E1A8D" w:rsidRPr="00C609B3" w:rsidRDefault="004E1A8D" w:rsidP="00754AFA">
            <w:pPr>
              <w:jc w:val="center"/>
              <w:rPr>
                <w:rFonts w:eastAsia="Times New Roman"/>
                <w:color w:val="000000"/>
              </w:rPr>
            </w:pPr>
            <w:r w:rsidRPr="00C609B3">
              <w:rPr>
                <w:rFonts w:eastAsia="Times New Roman"/>
                <w:color w:val="000000"/>
              </w:rPr>
              <w:t>0.69 [0.60-0.78]*</w:t>
            </w:r>
          </w:p>
        </w:tc>
      </w:tr>
    </w:tbl>
    <w:p w14:paraId="6297418D" w14:textId="77777777" w:rsidR="004E1A8D" w:rsidRPr="00C609B3" w:rsidRDefault="004E1A8D" w:rsidP="004E1A8D">
      <w:r w:rsidRPr="00C609B3">
        <w:t>Before: 1st July-30th November 2014</w:t>
      </w:r>
    </w:p>
    <w:p w14:paraId="33E47DE6" w14:textId="672F45E0" w:rsidR="005D2EF9" w:rsidRPr="005D2EF9" w:rsidRDefault="004E1A8D" w:rsidP="005D2EF9">
      <w:pPr>
        <w:sectPr w:rsidR="005D2EF9" w:rsidRPr="005D2EF9" w:rsidSect="005D2EF9">
          <w:pgSz w:w="16834" w:h="11894" w:orient="landscape"/>
          <w:pgMar w:top="1440" w:right="1440" w:bottom="1440" w:left="1440" w:header="720" w:footer="720" w:gutter="0"/>
          <w:cols w:space="720"/>
          <w:docGrid w:linePitch="360"/>
        </w:sectPr>
      </w:pPr>
      <w:r w:rsidRPr="00C609B3">
        <w:t>After: 1st December 2014-29th December 2015</w:t>
      </w:r>
    </w:p>
    <w:p w14:paraId="62ADCA88" w14:textId="0B6C510B" w:rsidR="00E0013F" w:rsidRPr="005D2EF9" w:rsidRDefault="00E0013F" w:rsidP="00FD44CA">
      <w:pPr>
        <w:jc w:val="both"/>
        <w:rPr>
          <w:rFonts w:cstheme="minorHAnsi"/>
          <w:b/>
        </w:rPr>
      </w:pPr>
      <w:r w:rsidRPr="00FD44CA">
        <w:rPr>
          <w:rFonts w:cstheme="minorHAnsi"/>
          <w:b/>
        </w:rPr>
        <w:lastRenderedPageBreak/>
        <w:t>Impact of the time-based bundle of care</w:t>
      </w:r>
    </w:p>
    <w:p w14:paraId="403FBD2A" w14:textId="77777777" w:rsidR="00E0013F" w:rsidRPr="00FD44CA" w:rsidRDefault="00E0013F" w:rsidP="00FD44CA">
      <w:pPr>
        <w:jc w:val="both"/>
        <w:rPr>
          <w:rFonts w:cstheme="minorHAnsi"/>
        </w:rPr>
      </w:pPr>
    </w:p>
    <w:p w14:paraId="6848D477" w14:textId="2AAEB8CC" w:rsidR="001F1B25" w:rsidRPr="00FD44CA" w:rsidRDefault="00E0013F" w:rsidP="00FD44CA">
      <w:pPr>
        <w:jc w:val="both"/>
        <w:rPr>
          <w:rFonts w:cstheme="minorHAnsi"/>
        </w:rPr>
      </w:pPr>
      <w:r w:rsidRPr="00FD44CA">
        <w:rPr>
          <w:rFonts w:cstheme="minorHAnsi"/>
        </w:rPr>
        <w:t xml:space="preserve">The different elements of the bundle were evaluated against the three outcomes of interest over the whole study period. All calculations were adjusted for age, CCI, and the presence of serum lactate levels &gt;4mmol/L, as </w:t>
      </w:r>
      <w:r w:rsidR="00147327">
        <w:rPr>
          <w:rFonts w:cstheme="minorHAnsi"/>
        </w:rPr>
        <w:t xml:space="preserve">these are </w:t>
      </w:r>
      <w:r w:rsidRPr="00FD44CA">
        <w:rPr>
          <w:rFonts w:cstheme="minorHAnsi"/>
        </w:rPr>
        <w:t>accepted indicator</w:t>
      </w:r>
      <w:r w:rsidR="00147327">
        <w:rPr>
          <w:rFonts w:cstheme="minorHAnsi"/>
        </w:rPr>
        <w:t>s</w:t>
      </w:r>
      <w:r w:rsidRPr="00FD44CA">
        <w:rPr>
          <w:rFonts w:cstheme="minorHAnsi"/>
        </w:rPr>
        <w:t xml:space="preserve"> of disease severity (Table </w:t>
      </w:r>
      <w:r w:rsidR="002529A6">
        <w:rPr>
          <w:rFonts w:cstheme="minorHAnsi"/>
        </w:rPr>
        <w:t>5</w:t>
      </w:r>
      <w:r w:rsidRPr="00FD44CA">
        <w:rPr>
          <w:rFonts w:cstheme="minorHAnsi"/>
        </w:rPr>
        <w:t xml:space="preserve">). </w:t>
      </w:r>
      <w:r w:rsidR="000B3FCB">
        <w:rPr>
          <w:rFonts w:cstheme="minorHAnsi"/>
        </w:rPr>
        <w:t>A</w:t>
      </w:r>
      <w:r w:rsidR="000B3FCB" w:rsidRPr="00FD44CA">
        <w:rPr>
          <w:rFonts w:cstheme="minorHAnsi"/>
        </w:rPr>
        <w:t xml:space="preserve">dministration of </w:t>
      </w:r>
      <w:r w:rsidR="000B3FCB">
        <w:rPr>
          <w:rFonts w:cstheme="minorHAnsi"/>
        </w:rPr>
        <w:t xml:space="preserve">a second litre of intravenous fluid within 2 hours, </w:t>
      </w:r>
      <w:r w:rsidR="000B3FCB" w:rsidRPr="00FD44CA">
        <w:rPr>
          <w:rFonts w:cstheme="minorHAnsi"/>
        </w:rPr>
        <w:t>oxygen therapy and review by a senior clinic</w:t>
      </w:r>
      <w:r w:rsidR="000B3FCB">
        <w:rPr>
          <w:rFonts w:cstheme="minorHAnsi"/>
        </w:rPr>
        <w:t xml:space="preserve">ian </w:t>
      </w:r>
      <w:r w:rsidR="000B3FCB" w:rsidRPr="00FD44CA">
        <w:rPr>
          <w:rFonts w:cstheme="minorHAnsi"/>
        </w:rPr>
        <w:t xml:space="preserve">were </w:t>
      </w:r>
      <w:r w:rsidR="00EF1C0E">
        <w:rPr>
          <w:rFonts w:cstheme="minorHAnsi"/>
        </w:rPr>
        <w:t>all</w:t>
      </w:r>
      <w:r w:rsidR="00EF1C0E" w:rsidRPr="00FD44CA">
        <w:rPr>
          <w:rFonts w:cstheme="minorHAnsi"/>
        </w:rPr>
        <w:t xml:space="preserve"> </w:t>
      </w:r>
      <w:r w:rsidR="000B3FCB" w:rsidRPr="00FD44CA">
        <w:rPr>
          <w:rFonts w:cstheme="minorHAnsi"/>
        </w:rPr>
        <w:t xml:space="preserve">associated with an increase </w:t>
      </w:r>
      <w:r w:rsidR="000B3FCB">
        <w:rPr>
          <w:rFonts w:cstheme="minorHAnsi"/>
        </w:rPr>
        <w:t>in</w:t>
      </w:r>
      <w:r w:rsidR="000B3FCB" w:rsidRPr="00FD44CA">
        <w:rPr>
          <w:rFonts w:cstheme="minorHAnsi"/>
        </w:rPr>
        <w:t xml:space="preserve"> mortality. </w:t>
      </w:r>
      <w:r w:rsidR="00EF1C0E">
        <w:rPr>
          <w:rFonts w:cstheme="minorHAnsi"/>
        </w:rPr>
        <w:t xml:space="preserve">Starting </w:t>
      </w:r>
      <w:r w:rsidR="000B3FCB">
        <w:rPr>
          <w:rFonts w:cstheme="minorHAnsi"/>
        </w:rPr>
        <w:t xml:space="preserve">a fluid </w:t>
      </w:r>
      <w:r w:rsidR="000B3FCB" w:rsidRPr="00FD44CA">
        <w:rPr>
          <w:rFonts w:cstheme="minorHAnsi"/>
        </w:rPr>
        <w:t>balance chart within 4</w:t>
      </w:r>
      <w:r w:rsidR="000B3FCB">
        <w:rPr>
          <w:rFonts w:cstheme="minorHAnsi"/>
        </w:rPr>
        <w:t xml:space="preserve"> </w:t>
      </w:r>
      <w:r w:rsidR="000B3FCB" w:rsidRPr="00FD44CA">
        <w:rPr>
          <w:rFonts w:cstheme="minorHAnsi"/>
        </w:rPr>
        <w:t>h</w:t>
      </w:r>
      <w:r w:rsidR="000B3FCB">
        <w:rPr>
          <w:rFonts w:cstheme="minorHAnsi"/>
        </w:rPr>
        <w:t>ours</w:t>
      </w:r>
      <w:r w:rsidR="000B3FCB" w:rsidRPr="00FD44CA">
        <w:rPr>
          <w:rFonts w:cstheme="minorHAnsi"/>
        </w:rPr>
        <w:t xml:space="preserve"> </w:t>
      </w:r>
      <w:r w:rsidR="000B3FCB">
        <w:rPr>
          <w:rFonts w:cstheme="minorHAnsi"/>
        </w:rPr>
        <w:t>was</w:t>
      </w:r>
      <w:r w:rsidR="000B3FCB" w:rsidRPr="00FD44CA">
        <w:rPr>
          <w:rFonts w:cstheme="minorHAnsi"/>
        </w:rPr>
        <w:t xml:space="preserve"> the only clinical process measure which </w:t>
      </w:r>
      <w:r w:rsidR="000B3FCB">
        <w:rPr>
          <w:rFonts w:cstheme="minorHAnsi"/>
        </w:rPr>
        <w:t xml:space="preserve">did not have a statistically significant effect on mortality. </w:t>
      </w:r>
      <w:r w:rsidR="000B3FCB" w:rsidRPr="00FD44CA">
        <w:rPr>
          <w:rFonts w:cstheme="minorHAnsi"/>
        </w:rPr>
        <w:t xml:space="preserve">The </w:t>
      </w:r>
      <w:r w:rsidR="00EF1C0E">
        <w:rPr>
          <w:rFonts w:cstheme="minorHAnsi"/>
        </w:rPr>
        <w:t>implementation</w:t>
      </w:r>
      <w:r w:rsidR="00EF1C0E" w:rsidRPr="00FD44CA">
        <w:rPr>
          <w:rFonts w:cstheme="minorHAnsi"/>
        </w:rPr>
        <w:t xml:space="preserve"> </w:t>
      </w:r>
      <w:r w:rsidR="000B3FCB" w:rsidRPr="00FD44CA">
        <w:rPr>
          <w:rFonts w:cstheme="minorHAnsi"/>
        </w:rPr>
        <w:t xml:space="preserve">of all other individual measures </w:t>
      </w:r>
      <w:r w:rsidR="000B3FCB">
        <w:rPr>
          <w:rFonts w:cstheme="minorHAnsi"/>
        </w:rPr>
        <w:t>was associated with</w:t>
      </w:r>
      <w:r w:rsidR="000B3FCB" w:rsidRPr="00FD44CA">
        <w:rPr>
          <w:rFonts w:cstheme="minorHAnsi"/>
        </w:rPr>
        <w:t xml:space="preserve"> a reduction </w:t>
      </w:r>
      <w:r w:rsidR="000B3FCB">
        <w:rPr>
          <w:rFonts w:cstheme="minorHAnsi"/>
        </w:rPr>
        <w:t>i</w:t>
      </w:r>
      <w:r w:rsidR="000B3FCB" w:rsidRPr="00FD44CA">
        <w:rPr>
          <w:rFonts w:cstheme="minorHAnsi"/>
        </w:rPr>
        <w:t>n mortality.</w:t>
      </w:r>
      <w:r w:rsidR="00F433E0" w:rsidRPr="00FD44CA">
        <w:rPr>
          <w:rFonts w:cstheme="minorHAnsi"/>
        </w:rPr>
        <w:t xml:space="preserve"> </w:t>
      </w:r>
      <w:r w:rsidR="001F1B25" w:rsidRPr="00FD44CA">
        <w:rPr>
          <w:rFonts w:cstheme="minorHAnsi"/>
        </w:rPr>
        <w:t>Taking a blood culture sample</w:t>
      </w:r>
      <w:r w:rsidR="00EF1C0E">
        <w:rPr>
          <w:rFonts w:cstheme="minorHAnsi"/>
        </w:rPr>
        <w:t xml:space="preserve">, </w:t>
      </w:r>
      <w:r w:rsidR="001F1B25" w:rsidRPr="00FD44CA">
        <w:rPr>
          <w:rFonts w:cstheme="minorHAnsi"/>
        </w:rPr>
        <w:t xml:space="preserve">administering antibiotic therapy and measuring serum lactate within </w:t>
      </w:r>
      <w:r w:rsidR="00235073" w:rsidRPr="00FD44CA">
        <w:rPr>
          <w:rFonts w:cstheme="minorHAnsi"/>
        </w:rPr>
        <w:t>3</w:t>
      </w:r>
      <w:r w:rsidR="00125E4E">
        <w:rPr>
          <w:rFonts w:cstheme="minorHAnsi"/>
        </w:rPr>
        <w:t xml:space="preserve"> </w:t>
      </w:r>
      <w:r w:rsidR="001F1B25" w:rsidRPr="00FD44CA">
        <w:rPr>
          <w:rFonts w:cstheme="minorHAnsi"/>
        </w:rPr>
        <w:t>h</w:t>
      </w:r>
      <w:r w:rsidR="00125E4E">
        <w:rPr>
          <w:rFonts w:cstheme="minorHAnsi"/>
        </w:rPr>
        <w:t>ours</w:t>
      </w:r>
      <w:r w:rsidR="001F1B25" w:rsidRPr="00FD44CA">
        <w:rPr>
          <w:rFonts w:cstheme="minorHAnsi"/>
        </w:rPr>
        <w:t xml:space="preserve"> </w:t>
      </w:r>
      <w:r w:rsidR="00EF1C0E">
        <w:rPr>
          <w:rFonts w:cstheme="minorHAnsi"/>
        </w:rPr>
        <w:t xml:space="preserve">of hospital arrival </w:t>
      </w:r>
      <w:r w:rsidR="001F1B25" w:rsidRPr="00FD44CA">
        <w:rPr>
          <w:rFonts w:cstheme="minorHAnsi"/>
        </w:rPr>
        <w:t xml:space="preserve">were </w:t>
      </w:r>
      <w:r w:rsidR="00204FCB" w:rsidRPr="00FD44CA">
        <w:rPr>
          <w:rFonts w:cstheme="minorHAnsi"/>
        </w:rPr>
        <w:t xml:space="preserve">all associated with </w:t>
      </w:r>
      <w:r w:rsidR="00235073" w:rsidRPr="00FD44CA">
        <w:rPr>
          <w:rFonts w:cstheme="minorHAnsi"/>
        </w:rPr>
        <w:t xml:space="preserve">reduced mortality and </w:t>
      </w:r>
      <w:r w:rsidR="00204FCB" w:rsidRPr="00FD44CA">
        <w:rPr>
          <w:rFonts w:cstheme="minorHAnsi"/>
        </w:rPr>
        <w:t>shorter hospitalizations; however, the risk of readmiss</w:t>
      </w:r>
      <w:r w:rsidR="007B511F" w:rsidRPr="00FD44CA">
        <w:rPr>
          <w:rFonts w:cstheme="minorHAnsi"/>
        </w:rPr>
        <w:t>ion to hospital within 30 days was not</w:t>
      </w:r>
      <w:r w:rsidR="0082402E" w:rsidRPr="00FD44CA">
        <w:rPr>
          <w:rFonts w:cstheme="minorHAnsi"/>
        </w:rPr>
        <w:t xml:space="preserve"> altered </w:t>
      </w:r>
      <w:r w:rsidR="00E273DF" w:rsidRPr="00FD44CA">
        <w:rPr>
          <w:rFonts w:cstheme="minorHAnsi"/>
        </w:rPr>
        <w:t>by any of the measures</w:t>
      </w:r>
      <w:r w:rsidR="0082402E" w:rsidRPr="00FD44CA">
        <w:rPr>
          <w:rFonts w:cstheme="minorHAnsi"/>
        </w:rPr>
        <w:t xml:space="preserve">. </w:t>
      </w:r>
    </w:p>
    <w:p w14:paraId="4D0BBBC3" w14:textId="77777777" w:rsidR="001F1B25" w:rsidRDefault="001F1B25" w:rsidP="00FD44CA">
      <w:pPr>
        <w:jc w:val="both"/>
        <w:rPr>
          <w:rFonts w:cstheme="minorHAnsi"/>
        </w:rPr>
      </w:pPr>
    </w:p>
    <w:p w14:paraId="356C4284" w14:textId="33093295" w:rsidR="00F96B13" w:rsidRDefault="00F96B13" w:rsidP="00F96B13">
      <w:pPr>
        <w:jc w:val="both"/>
        <w:rPr>
          <w:rFonts w:eastAsiaTheme="minorEastAsia" w:cstheme="minorHAnsi"/>
          <w:color w:val="000000" w:themeColor="text1"/>
          <w:kern w:val="24"/>
          <w:lang w:val="en-US"/>
        </w:rPr>
      </w:pPr>
      <w:r w:rsidRPr="00FD44CA">
        <w:rPr>
          <w:rFonts w:cstheme="minorHAnsi"/>
        </w:rPr>
        <w:t xml:space="preserve">Administration of intravenous fluid in patients with systolic blood pressure &lt; 90 mmHg or lactate &gt; 4 </w:t>
      </w:r>
      <w:proofErr w:type="spellStart"/>
      <w:r w:rsidRPr="00FD44CA">
        <w:rPr>
          <w:rFonts w:cstheme="minorHAnsi"/>
        </w:rPr>
        <w:t>mmol</w:t>
      </w:r>
      <w:proofErr w:type="spellEnd"/>
      <w:r w:rsidRPr="00FD44CA">
        <w:rPr>
          <w:rFonts w:cstheme="minorHAnsi"/>
        </w:rPr>
        <w:t>/l did not appear to affect mortality (</w:t>
      </w:r>
      <w:proofErr w:type="spellStart"/>
      <w:r w:rsidR="00B256D0">
        <w:rPr>
          <w:rFonts w:cstheme="minorHAnsi"/>
        </w:rPr>
        <w:t>a</w:t>
      </w:r>
      <w:r w:rsidRPr="00FD44CA">
        <w:rPr>
          <w:rFonts w:cstheme="minorHAnsi"/>
        </w:rPr>
        <w:t>OR</w:t>
      </w:r>
      <w:proofErr w:type="spellEnd"/>
      <w:r w:rsidRPr="00FD44CA">
        <w:rPr>
          <w:rFonts w:cstheme="minorHAnsi"/>
        </w:rPr>
        <w:t xml:space="preserve"> </w:t>
      </w:r>
      <w:r w:rsidRPr="00FD44CA">
        <w:rPr>
          <w:rFonts w:eastAsiaTheme="minorEastAsia" w:cstheme="minorHAnsi"/>
          <w:color w:val="000000" w:themeColor="text1"/>
          <w:kern w:val="24"/>
          <w:lang w:val="en-US"/>
        </w:rPr>
        <w:t>1.49 [1.07-2.06])</w:t>
      </w:r>
      <w:r w:rsidRPr="00FD44CA">
        <w:rPr>
          <w:rFonts w:cstheme="minorHAnsi"/>
        </w:rPr>
        <w:t>, readmission (</w:t>
      </w:r>
      <w:proofErr w:type="spellStart"/>
      <w:r w:rsidR="00B256D0">
        <w:rPr>
          <w:rFonts w:cstheme="minorHAnsi"/>
        </w:rPr>
        <w:t>a</w:t>
      </w:r>
      <w:r w:rsidRPr="00FD44CA">
        <w:rPr>
          <w:rFonts w:cstheme="minorHAnsi"/>
        </w:rPr>
        <w:t>OR</w:t>
      </w:r>
      <w:proofErr w:type="spellEnd"/>
      <w:r w:rsidRPr="00FD44CA">
        <w:rPr>
          <w:rFonts w:cstheme="minorHAnsi"/>
        </w:rPr>
        <w:t xml:space="preserve"> </w:t>
      </w:r>
      <w:r w:rsidRPr="00FD44CA">
        <w:rPr>
          <w:rFonts w:eastAsiaTheme="minorEastAsia" w:cstheme="minorHAnsi"/>
          <w:color w:val="000000" w:themeColor="text1"/>
          <w:kern w:val="24"/>
          <w:lang w:val="en-US"/>
        </w:rPr>
        <w:t xml:space="preserve">0.94 [0.64-1.39]) or length of stay </w:t>
      </w:r>
      <w:r w:rsidRPr="00FD44CA">
        <w:rPr>
          <w:rFonts w:eastAsia="MS PGothic" w:cstheme="minorHAnsi"/>
          <w:color w:val="000000"/>
          <w:kern w:val="24"/>
          <w:lang w:val="en-US"/>
        </w:rPr>
        <w:t xml:space="preserve">≥ </w:t>
      </w:r>
      <w:r w:rsidRPr="00FD44CA">
        <w:rPr>
          <w:rFonts w:eastAsiaTheme="minorEastAsia" w:cstheme="minorHAnsi"/>
          <w:color w:val="000000" w:themeColor="text1"/>
          <w:kern w:val="24"/>
          <w:lang w:val="en-US"/>
        </w:rPr>
        <w:t>10 days (</w:t>
      </w:r>
      <w:proofErr w:type="spellStart"/>
      <w:r w:rsidR="00B256D0">
        <w:rPr>
          <w:rFonts w:eastAsiaTheme="minorEastAsia" w:cstheme="minorHAnsi"/>
          <w:color w:val="000000" w:themeColor="text1"/>
          <w:kern w:val="24"/>
          <w:lang w:val="en-US"/>
        </w:rPr>
        <w:t>a</w:t>
      </w:r>
      <w:r w:rsidRPr="00FD44CA">
        <w:rPr>
          <w:rFonts w:eastAsiaTheme="minorEastAsia" w:cstheme="minorHAnsi"/>
          <w:color w:val="000000" w:themeColor="text1"/>
          <w:kern w:val="24"/>
          <w:lang w:val="en-US"/>
        </w:rPr>
        <w:t>OR</w:t>
      </w:r>
      <w:proofErr w:type="spellEnd"/>
      <w:r w:rsidRPr="00FD44CA">
        <w:rPr>
          <w:rFonts w:eastAsiaTheme="minorEastAsia" w:cstheme="minorHAnsi"/>
          <w:color w:val="000000" w:themeColor="text1"/>
          <w:kern w:val="24"/>
          <w:lang w:val="en-US"/>
        </w:rPr>
        <w:t xml:space="preserve"> 0.96 [0.69-1.34])</w:t>
      </w:r>
    </w:p>
    <w:p w14:paraId="42E1B019" w14:textId="77777777" w:rsidR="004E1A8D" w:rsidRDefault="004E1A8D">
      <w:pPr>
        <w:rPr>
          <w:rFonts w:eastAsiaTheme="minorEastAsia" w:cstheme="minorHAnsi"/>
          <w:color w:val="000000" w:themeColor="text1"/>
          <w:kern w:val="24"/>
          <w:lang w:val="en-US"/>
        </w:rPr>
      </w:pPr>
    </w:p>
    <w:p w14:paraId="6A7E5413" w14:textId="77777777" w:rsidR="005D2EF9" w:rsidRDefault="005D2EF9">
      <w:r>
        <w:br w:type="page"/>
      </w:r>
    </w:p>
    <w:p w14:paraId="7282FDAC" w14:textId="77777777" w:rsidR="005D2EF9" w:rsidRDefault="005D2EF9" w:rsidP="004E1A8D">
      <w:pPr>
        <w:sectPr w:rsidR="005D2EF9" w:rsidSect="004E1A8D">
          <w:pgSz w:w="11900" w:h="16840"/>
          <w:pgMar w:top="1440" w:right="1440" w:bottom="1440" w:left="1440" w:header="720" w:footer="720" w:gutter="0"/>
          <w:cols w:space="720"/>
          <w:docGrid w:linePitch="360"/>
        </w:sectPr>
      </w:pPr>
    </w:p>
    <w:p w14:paraId="672D8A91" w14:textId="556DDB4D" w:rsidR="004E1A8D" w:rsidRPr="00C609B3" w:rsidRDefault="004E1A8D" w:rsidP="004E1A8D">
      <w:r>
        <w:lastRenderedPageBreak/>
        <w:t>Table 5</w:t>
      </w:r>
      <w:r w:rsidRPr="00C609B3">
        <w:t>: Multivariable analysis of key endpoints of mortality, readmission and hospitalizations longer than 10 days and the eight steps included on the time-based bundle of care. All OR are adjusted for age, elevated lactate, and CCI (* indicates p&lt;0.05)</w:t>
      </w:r>
    </w:p>
    <w:p w14:paraId="5929D48F" w14:textId="77777777" w:rsidR="004E1A8D" w:rsidRPr="00C609B3" w:rsidRDefault="004E1A8D" w:rsidP="004E1A8D"/>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838"/>
        <w:gridCol w:w="2301"/>
        <w:gridCol w:w="1838"/>
        <w:gridCol w:w="2730"/>
        <w:gridCol w:w="3139"/>
      </w:tblGrid>
      <w:tr w:rsidR="004E1A8D" w:rsidRPr="00C609B3" w14:paraId="033CC067" w14:textId="77777777" w:rsidTr="00754AFA">
        <w:trPr>
          <w:trHeight w:val="320"/>
        </w:trPr>
        <w:tc>
          <w:tcPr>
            <w:tcW w:w="2104" w:type="dxa"/>
            <w:shd w:val="clear" w:color="auto" w:fill="auto"/>
            <w:noWrap/>
            <w:vAlign w:val="bottom"/>
            <w:hideMark/>
          </w:tcPr>
          <w:p w14:paraId="34CC63C4" w14:textId="77777777" w:rsidR="004E1A8D" w:rsidRPr="00C609B3" w:rsidRDefault="004E1A8D" w:rsidP="00754AFA">
            <w:pPr>
              <w:rPr>
                <w:rFonts w:eastAsia="Times New Roman"/>
                <w:b/>
                <w:bCs/>
                <w:color w:val="000000"/>
              </w:rPr>
            </w:pPr>
            <w:r w:rsidRPr="00C609B3">
              <w:rPr>
                <w:rFonts w:eastAsia="Times New Roman"/>
                <w:b/>
                <w:bCs/>
                <w:color w:val="000000"/>
              </w:rPr>
              <w:t> </w:t>
            </w:r>
          </w:p>
        </w:tc>
        <w:tc>
          <w:tcPr>
            <w:tcW w:w="1838" w:type="dxa"/>
            <w:shd w:val="clear" w:color="auto" w:fill="auto"/>
            <w:noWrap/>
            <w:vAlign w:val="center"/>
            <w:hideMark/>
          </w:tcPr>
          <w:p w14:paraId="201C2CAC" w14:textId="77777777" w:rsidR="004E1A8D" w:rsidRPr="00C609B3" w:rsidRDefault="004E1A8D" w:rsidP="00754AFA">
            <w:pPr>
              <w:jc w:val="center"/>
              <w:rPr>
                <w:rFonts w:eastAsia="Times New Roman"/>
                <w:b/>
                <w:bCs/>
                <w:color w:val="000000"/>
              </w:rPr>
            </w:pPr>
            <w:r w:rsidRPr="00C609B3">
              <w:rPr>
                <w:rFonts w:eastAsia="Times New Roman"/>
                <w:b/>
                <w:bCs/>
                <w:color w:val="000000"/>
              </w:rPr>
              <w:t>TOTAL INCLUDED</w:t>
            </w:r>
          </w:p>
        </w:tc>
        <w:tc>
          <w:tcPr>
            <w:tcW w:w="2301" w:type="dxa"/>
            <w:shd w:val="clear" w:color="auto" w:fill="auto"/>
            <w:noWrap/>
            <w:vAlign w:val="center"/>
            <w:hideMark/>
          </w:tcPr>
          <w:p w14:paraId="73EA8D7C" w14:textId="77777777" w:rsidR="004E1A8D" w:rsidRPr="00C609B3" w:rsidRDefault="004E1A8D" w:rsidP="00754AFA">
            <w:pPr>
              <w:jc w:val="center"/>
              <w:rPr>
                <w:rFonts w:eastAsia="Times New Roman"/>
                <w:b/>
                <w:bCs/>
                <w:color w:val="000000"/>
              </w:rPr>
            </w:pPr>
            <w:r w:rsidRPr="00C609B3">
              <w:rPr>
                <w:rFonts w:eastAsia="Times New Roman"/>
                <w:b/>
                <w:bCs/>
                <w:color w:val="000000"/>
              </w:rPr>
              <w:t>OR* Mortality</w:t>
            </w:r>
          </w:p>
        </w:tc>
        <w:tc>
          <w:tcPr>
            <w:tcW w:w="1838" w:type="dxa"/>
            <w:shd w:val="clear" w:color="auto" w:fill="auto"/>
            <w:noWrap/>
            <w:vAlign w:val="center"/>
            <w:hideMark/>
          </w:tcPr>
          <w:p w14:paraId="0842C76F" w14:textId="77777777" w:rsidR="004E1A8D" w:rsidRPr="00C609B3" w:rsidRDefault="004E1A8D" w:rsidP="00754AFA">
            <w:pPr>
              <w:jc w:val="center"/>
              <w:rPr>
                <w:rFonts w:eastAsia="Times New Roman"/>
                <w:b/>
                <w:bCs/>
                <w:color w:val="000000"/>
              </w:rPr>
            </w:pPr>
            <w:r w:rsidRPr="00C609B3">
              <w:rPr>
                <w:rFonts w:eastAsia="Times New Roman"/>
                <w:b/>
                <w:bCs/>
                <w:color w:val="000000"/>
              </w:rPr>
              <w:t>TOTAL INCLUDED</w:t>
            </w:r>
          </w:p>
        </w:tc>
        <w:tc>
          <w:tcPr>
            <w:tcW w:w="2730" w:type="dxa"/>
            <w:shd w:val="clear" w:color="auto" w:fill="auto"/>
            <w:noWrap/>
            <w:vAlign w:val="center"/>
            <w:hideMark/>
          </w:tcPr>
          <w:p w14:paraId="04E9AAB2" w14:textId="77777777" w:rsidR="004E1A8D" w:rsidRPr="00C609B3" w:rsidRDefault="004E1A8D" w:rsidP="00754AFA">
            <w:pPr>
              <w:jc w:val="center"/>
              <w:rPr>
                <w:rFonts w:eastAsia="Times New Roman"/>
                <w:b/>
                <w:bCs/>
                <w:color w:val="000000"/>
              </w:rPr>
            </w:pPr>
            <w:r w:rsidRPr="00C609B3">
              <w:rPr>
                <w:rFonts w:eastAsia="Times New Roman"/>
                <w:b/>
                <w:bCs/>
                <w:color w:val="000000"/>
              </w:rPr>
              <w:t>OR* Readmission within 30 days</w:t>
            </w:r>
          </w:p>
        </w:tc>
        <w:tc>
          <w:tcPr>
            <w:tcW w:w="3139" w:type="dxa"/>
            <w:shd w:val="clear" w:color="auto" w:fill="auto"/>
            <w:noWrap/>
            <w:vAlign w:val="center"/>
            <w:hideMark/>
          </w:tcPr>
          <w:p w14:paraId="13461914" w14:textId="77777777" w:rsidR="004E1A8D" w:rsidRPr="00C609B3" w:rsidRDefault="004E1A8D" w:rsidP="00754AFA">
            <w:pPr>
              <w:jc w:val="center"/>
              <w:rPr>
                <w:rFonts w:eastAsia="Times New Roman"/>
                <w:b/>
                <w:bCs/>
                <w:color w:val="000000"/>
              </w:rPr>
            </w:pPr>
            <w:r w:rsidRPr="00C609B3">
              <w:rPr>
                <w:rFonts w:eastAsia="Times New Roman"/>
                <w:b/>
                <w:bCs/>
                <w:color w:val="000000"/>
              </w:rPr>
              <w:t>OR* Hospitalization &gt;10 days</w:t>
            </w:r>
          </w:p>
        </w:tc>
      </w:tr>
      <w:tr w:rsidR="004E1A8D" w:rsidRPr="00C609B3" w14:paraId="637245CF" w14:textId="77777777" w:rsidTr="00754AFA">
        <w:trPr>
          <w:trHeight w:val="320"/>
        </w:trPr>
        <w:tc>
          <w:tcPr>
            <w:tcW w:w="2104" w:type="dxa"/>
            <w:shd w:val="clear" w:color="auto" w:fill="auto"/>
            <w:noWrap/>
            <w:vAlign w:val="bottom"/>
            <w:hideMark/>
          </w:tcPr>
          <w:p w14:paraId="4CADE25E" w14:textId="77777777" w:rsidR="004E1A8D" w:rsidRPr="00C609B3" w:rsidRDefault="004E1A8D" w:rsidP="00754AFA">
            <w:pPr>
              <w:rPr>
                <w:rFonts w:eastAsia="Times New Roman"/>
                <w:b/>
                <w:bCs/>
                <w:color w:val="000000"/>
              </w:rPr>
            </w:pPr>
            <w:r w:rsidRPr="00C609B3">
              <w:rPr>
                <w:rFonts w:eastAsia="Times New Roman"/>
                <w:b/>
                <w:bCs/>
                <w:color w:val="000000"/>
              </w:rPr>
              <w:t>Screening</w:t>
            </w:r>
          </w:p>
        </w:tc>
        <w:tc>
          <w:tcPr>
            <w:tcW w:w="1838" w:type="dxa"/>
            <w:shd w:val="clear" w:color="auto" w:fill="auto"/>
            <w:noWrap/>
            <w:vAlign w:val="center"/>
            <w:hideMark/>
          </w:tcPr>
          <w:p w14:paraId="45D21DC5" w14:textId="77777777" w:rsidR="004E1A8D" w:rsidRPr="00C609B3" w:rsidRDefault="004E1A8D" w:rsidP="00754AFA">
            <w:pPr>
              <w:jc w:val="center"/>
              <w:rPr>
                <w:rFonts w:eastAsia="Times New Roman"/>
                <w:b/>
                <w:bCs/>
                <w:color w:val="000000"/>
              </w:rPr>
            </w:pPr>
            <w:r w:rsidRPr="00C609B3">
              <w:rPr>
                <w:rFonts w:eastAsia="Times New Roman"/>
                <w:b/>
                <w:bCs/>
                <w:color w:val="000000"/>
              </w:rPr>
              <w:t>7776</w:t>
            </w:r>
          </w:p>
        </w:tc>
        <w:tc>
          <w:tcPr>
            <w:tcW w:w="2301" w:type="dxa"/>
            <w:shd w:val="clear" w:color="auto" w:fill="auto"/>
            <w:noWrap/>
            <w:vAlign w:val="center"/>
            <w:hideMark/>
          </w:tcPr>
          <w:p w14:paraId="28CCF572" w14:textId="77777777" w:rsidR="004E1A8D" w:rsidRPr="00C609B3" w:rsidRDefault="004E1A8D" w:rsidP="00754AFA">
            <w:pPr>
              <w:jc w:val="center"/>
              <w:rPr>
                <w:rFonts w:eastAsia="Times New Roman"/>
                <w:color w:val="000000"/>
              </w:rPr>
            </w:pPr>
            <w:r w:rsidRPr="00C609B3">
              <w:rPr>
                <w:rFonts w:eastAsia="Times New Roman"/>
                <w:color w:val="000000"/>
              </w:rPr>
              <w:t>0.86 [0.73-1.00]*</w:t>
            </w:r>
          </w:p>
        </w:tc>
        <w:tc>
          <w:tcPr>
            <w:tcW w:w="1838" w:type="dxa"/>
            <w:shd w:val="clear" w:color="auto" w:fill="auto"/>
            <w:noWrap/>
            <w:vAlign w:val="center"/>
            <w:hideMark/>
          </w:tcPr>
          <w:p w14:paraId="59F0D8F3" w14:textId="77777777" w:rsidR="004E1A8D" w:rsidRPr="00C609B3" w:rsidRDefault="004E1A8D" w:rsidP="00754AFA">
            <w:pPr>
              <w:jc w:val="center"/>
              <w:rPr>
                <w:rFonts w:eastAsia="Times New Roman"/>
                <w:b/>
                <w:bCs/>
                <w:color w:val="000000"/>
              </w:rPr>
            </w:pPr>
            <w:r w:rsidRPr="00C609B3">
              <w:rPr>
                <w:rFonts w:eastAsia="Times New Roman"/>
                <w:b/>
                <w:bCs/>
                <w:color w:val="000000"/>
              </w:rPr>
              <w:t>5687</w:t>
            </w:r>
          </w:p>
        </w:tc>
        <w:tc>
          <w:tcPr>
            <w:tcW w:w="2730" w:type="dxa"/>
            <w:shd w:val="clear" w:color="auto" w:fill="auto"/>
            <w:noWrap/>
            <w:vAlign w:val="center"/>
            <w:hideMark/>
          </w:tcPr>
          <w:p w14:paraId="07BFC782" w14:textId="77777777" w:rsidR="004E1A8D" w:rsidRPr="00C609B3" w:rsidRDefault="004E1A8D" w:rsidP="00754AFA">
            <w:pPr>
              <w:jc w:val="center"/>
              <w:rPr>
                <w:rFonts w:eastAsia="Times New Roman"/>
                <w:color w:val="000000"/>
              </w:rPr>
            </w:pPr>
            <w:r w:rsidRPr="00C609B3">
              <w:rPr>
                <w:rFonts w:eastAsia="Times New Roman"/>
                <w:color w:val="000000"/>
              </w:rPr>
              <w:t xml:space="preserve">0.95 [0.79-1.16] </w:t>
            </w:r>
          </w:p>
        </w:tc>
        <w:tc>
          <w:tcPr>
            <w:tcW w:w="3139" w:type="dxa"/>
            <w:shd w:val="clear" w:color="auto" w:fill="auto"/>
            <w:noWrap/>
            <w:vAlign w:val="center"/>
            <w:hideMark/>
          </w:tcPr>
          <w:p w14:paraId="635588E9" w14:textId="77777777" w:rsidR="004E1A8D" w:rsidRPr="00C609B3" w:rsidRDefault="004E1A8D" w:rsidP="00754AFA">
            <w:pPr>
              <w:jc w:val="center"/>
              <w:rPr>
                <w:rFonts w:eastAsia="Times New Roman"/>
                <w:color w:val="000000"/>
              </w:rPr>
            </w:pPr>
            <w:r w:rsidRPr="00C609B3">
              <w:rPr>
                <w:rFonts w:eastAsia="Times New Roman"/>
                <w:color w:val="000000"/>
              </w:rPr>
              <w:t>0.85 [0.73-1.00]</w:t>
            </w:r>
          </w:p>
        </w:tc>
      </w:tr>
      <w:tr w:rsidR="004E1A8D" w:rsidRPr="00C609B3" w14:paraId="7958C7BB" w14:textId="77777777" w:rsidTr="00754AFA">
        <w:trPr>
          <w:trHeight w:val="320"/>
        </w:trPr>
        <w:tc>
          <w:tcPr>
            <w:tcW w:w="2104" w:type="dxa"/>
            <w:shd w:val="clear" w:color="auto" w:fill="auto"/>
            <w:noWrap/>
            <w:vAlign w:val="bottom"/>
            <w:hideMark/>
          </w:tcPr>
          <w:p w14:paraId="31ECF702" w14:textId="77777777" w:rsidR="004E1A8D" w:rsidRPr="00C609B3" w:rsidRDefault="004E1A8D" w:rsidP="00754AFA">
            <w:pPr>
              <w:rPr>
                <w:rFonts w:eastAsia="Times New Roman"/>
                <w:b/>
                <w:bCs/>
                <w:color w:val="000000"/>
              </w:rPr>
            </w:pPr>
            <w:r w:rsidRPr="00C609B3">
              <w:rPr>
                <w:rFonts w:eastAsia="Times New Roman"/>
                <w:b/>
                <w:bCs/>
                <w:color w:val="000000"/>
              </w:rPr>
              <w:t>Blood culture</w:t>
            </w:r>
          </w:p>
        </w:tc>
        <w:tc>
          <w:tcPr>
            <w:tcW w:w="1838" w:type="dxa"/>
            <w:shd w:val="clear" w:color="auto" w:fill="auto"/>
            <w:noWrap/>
            <w:vAlign w:val="center"/>
            <w:hideMark/>
          </w:tcPr>
          <w:p w14:paraId="6ACCD546" w14:textId="77777777" w:rsidR="004E1A8D" w:rsidRPr="00C609B3" w:rsidRDefault="004E1A8D" w:rsidP="00754AFA">
            <w:pPr>
              <w:jc w:val="center"/>
              <w:rPr>
                <w:rFonts w:eastAsia="Times New Roman"/>
                <w:b/>
                <w:bCs/>
                <w:color w:val="000000"/>
              </w:rPr>
            </w:pPr>
            <w:r w:rsidRPr="00C609B3">
              <w:rPr>
                <w:rFonts w:eastAsia="Times New Roman"/>
                <w:b/>
                <w:bCs/>
                <w:color w:val="000000"/>
              </w:rPr>
              <w:t>6736</w:t>
            </w:r>
          </w:p>
        </w:tc>
        <w:tc>
          <w:tcPr>
            <w:tcW w:w="2301" w:type="dxa"/>
            <w:shd w:val="clear" w:color="auto" w:fill="auto"/>
            <w:noWrap/>
            <w:vAlign w:val="center"/>
            <w:hideMark/>
          </w:tcPr>
          <w:p w14:paraId="4F1EDE8E" w14:textId="77777777" w:rsidR="004E1A8D" w:rsidRPr="00C609B3" w:rsidRDefault="004E1A8D" w:rsidP="00754AFA">
            <w:pPr>
              <w:jc w:val="center"/>
              <w:rPr>
                <w:rFonts w:eastAsia="Times New Roman"/>
                <w:color w:val="000000"/>
              </w:rPr>
            </w:pPr>
            <w:r w:rsidRPr="00C609B3">
              <w:rPr>
                <w:rFonts w:eastAsia="Times New Roman"/>
                <w:color w:val="000000"/>
              </w:rPr>
              <w:t>0.69 [0.59-0.81]*</w:t>
            </w:r>
          </w:p>
        </w:tc>
        <w:tc>
          <w:tcPr>
            <w:tcW w:w="1838" w:type="dxa"/>
            <w:shd w:val="clear" w:color="auto" w:fill="auto"/>
            <w:noWrap/>
            <w:vAlign w:val="center"/>
            <w:hideMark/>
          </w:tcPr>
          <w:p w14:paraId="6E4CDECD" w14:textId="77777777" w:rsidR="004E1A8D" w:rsidRPr="00C609B3" w:rsidRDefault="004E1A8D" w:rsidP="00754AFA">
            <w:pPr>
              <w:jc w:val="center"/>
              <w:rPr>
                <w:rFonts w:eastAsia="Times New Roman"/>
                <w:b/>
                <w:bCs/>
                <w:color w:val="000000"/>
              </w:rPr>
            </w:pPr>
            <w:r w:rsidRPr="00C609B3">
              <w:rPr>
                <w:rFonts w:eastAsia="Times New Roman"/>
                <w:b/>
                <w:bCs/>
                <w:color w:val="000000"/>
              </w:rPr>
              <w:t>5059</w:t>
            </w:r>
          </w:p>
        </w:tc>
        <w:tc>
          <w:tcPr>
            <w:tcW w:w="2730" w:type="dxa"/>
            <w:shd w:val="clear" w:color="auto" w:fill="auto"/>
            <w:noWrap/>
            <w:vAlign w:val="center"/>
            <w:hideMark/>
          </w:tcPr>
          <w:p w14:paraId="160C49EC" w14:textId="77777777" w:rsidR="004E1A8D" w:rsidRPr="00C609B3" w:rsidRDefault="004E1A8D" w:rsidP="00754AFA">
            <w:pPr>
              <w:jc w:val="center"/>
              <w:rPr>
                <w:rFonts w:eastAsia="Times New Roman"/>
                <w:color w:val="000000"/>
              </w:rPr>
            </w:pPr>
            <w:r w:rsidRPr="00C609B3">
              <w:rPr>
                <w:rFonts w:eastAsia="Times New Roman"/>
                <w:color w:val="000000"/>
              </w:rPr>
              <w:t xml:space="preserve">1.03 [0.83-1.27] </w:t>
            </w:r>
          </w:p>
        </w:tc>
        <w:tc>
          <w:tcPr>
            <w:tcW w:w="3139" w:type="dxa"/>
            <w:shd w:val="clear" w:color="auto" w:fill="auto"/>
            <w:noWrap/>
            <w:vAlign w:val="center"/>
            <w:hideMark/>
          </w:tcPr>
          <w:p w14:paraId="707CA87D" w14:textId="77777777" w:rsidR="004E1A8D" w:rsidRPr="00C609B3" w:rsidRDefault="004E1A8D" w:rsidP="00754AFA">
            <w:pPr>
              <w:jc w:val="center"/>
              <w:rPr>
                <w:rFonts w:eastAsia="Times New Roman"/>
                <w:color w:val="000000"/>
              </w:rPr>
            </w:pPr>
            <w:r w:rsidRPr="00C609B3">
              <w:rPr>
                <w:rFonts w:eastAsia="Times New Roman"/>
                <w:color w:val="000000"/>
              </w:rPr>
              <w:t>0.58 [0.49-0.69]*</w:t>
            </w:r>
          </w:p>
        </w:tc>
      </w:tr>
      <w:tr w:rsidR="004E1A8D" w:rsidRPr="00C609B3" w14:paraId="05039646" w14:textId="77777777" w:rsidTr="00754AFA">
        <w:trPr>
          <w:trHeight w:val="320"/>
        </w:trPr>
        <w:tc>
          <w:tcPr>
            <w:tcW w:w="2104" w:type="dxa"/>
            <w:shd w:val="clear" w:color="auto" w:fill="auto"/>
            <w:noWrap/>
            <w:vAlign w:val="bottom"/>
            <w:hideMark/>
          </w:tcPr>
          <w:p w14:paraId="5DF348BE" w14:textId="77777777" w:rsidR="004E1A8D" w:rsidRPr="00C609B3" w:rsidRDefault="004E1A8D" w:rsidP="00754AFA">
            <w:pPr>
              <w:rPr>
                <w:rFonts w:eastAsia="Times New Roman"/>
                <w:b/>
                <w:bCs/>
                <w:color w:val="000000"/>
              </w:rPr>
            </w:pPr>
            <w:r w:rsidRPr="00C609B3">
              <w:rPr>
                <w:rFonts w:eastAsia="Times New Roman"/>
                <w:b/>
                <w:bCs/>
                <w:color w:val="000000"/>
              </w:rPr>
              <w:t>Antibiotic</w:t>
            </w:r>
          </w:p>
        </w:tc>
        <w:tc>
          <w:tcPr>
            <w:tcW w:w="1838" w:type="dxa"/>
            <w:shd w:val="clear" w:color="auto" w:fill="auto"/>
            <w:noWrap/>
            <w:vAlign w:val="center"/>
            <w:hideMark/>
          </w:tcPr>
          <w:p w14:paraId="593A8BF2" w14:textId="77777777" w:rsidR="004E1A8D" w:rsidRPr="00C609B3" w:rsidRDefault="004E1A8D" w:rsidP="00754AFA">
            <w:pPr>
              <w:jc w:val="center"/>
              <w:rPr>
                <w:rFonts w:eastAsia="Times New Roman"/>
                <w:b/>
                <w:bCs/>
                <w:color w:val="000000"/>
              </w:rPr>
            </w:pPr>
            <w:r w:rsidRPr="00C609B3">
              <w:rPr>
                <w:rFonts w:eastAsia="Times New Roman"/>
                <w:b/>
                <w:bCs/>
                <w:color w:val="000000"/>
              </w:rPr>
              <w:t>7592</w:t>
            </w:r>
          </w:p>
        </w:tc>
        <w:tc>
          <w:tcPr>
            <w:tcW w:w="2301" w:type="dxa"/>
            <w:shd w:val="clear" w:color="auto" w:fill="auto"/>
            <w:noWrap/>
            <w:vAlign w:val="center"/>
            <w:hideMark/>
          </w:tcPr>
          <w:p w14:paraId="3617A479" w14:textId="77777777" w:rsidR="004E1A8D" w:rsidRPr="00C609B3" w:rsidRDefault="004E1A8D" w:rsidP="00754AFA">
            <w:pPr>
              <w:jc w:val="center"/>
              <w:rPr>
                <w:rFonts w:eastAsia="Times New Roman"/>
                <w:color w:val="000000"/>
              </w:rPr>
            </w:pPr>
            <w:r w:rsidRPr="00C609B3">
              <w:rPr>
                <w:rFonts w:eastAsia="Times New Roman"/>
                <w:color w:val="000000"/>
              </w:rPr>
              <w:t>0.77 [0.67-0.89]*</w:t>
            </w:r>
          </w:p>
        </w:tc>
        <w:tc>
          <w:tcPr>
            <w:tcW w:w="1838" w:type="dxa"/>
            <w:shd w:val="clear" w:color="auto" w:fill="auto"/>
            <w:noWrap/>
            <w:vAlign w:val="center"/>
            <w:hideMark/>
          </w:tcPr>
          <w:p w14:paraId="440D7C77" w14:textId="77777777" w:rsidR="004E1A8D" w:rsidRPr="00C609B3" w:rsidRDefault="004E1A8D" w:rsidP="00754AFA">
            <w:pPr>
              <w:jc w:val="center"/>
              <w:rPr>
                <w:rFonts w:eastAsia="Times New Roman"/>
                <w:b/>
                <w:bCs/>
                <w:color w:val="000000"/>
              </w:rPr>
            </w:pPr>
            <w:r w:rsidRPr="00C609B3">
              <w:rPr>
                <w:rFonts w:eastAsia="Times New Roman"/>
                <w:b/>
                <w:bCs/>
                <w:color w:val="000000"/>
              </w:rPr>
              <w:t>5555</w:t>
            </w:r>
          </w:p>
        </w:tc>
        <w:tc>
          <w:tcPr>
            <w:tcW w:w="2730" w:type="dxa"/>
            <w:shd w:val="clear" w:color="auto" w:fill="auto"/>
            <w:noWrap/>
            <w:vAlign w:val="center"/>
            <w:hideMark/>
          </w:tcPr>
          <w:p w14:paraId="546CB825" w14:textId="77777777" w:rsidR="004E1A8D" w:rsidRPr="00C609B3" w:rsidRDefault="004E1A8D" w:rsidP="00754AFA">
            <w:pPr>
              <w:jc w:val="center"/>
              <w:rPr>
                <w:rFonts w:eastAsia="Times New Roman"/>
                <w:color w:val="000000"/>
              </w:rPr>
            </w:pPr>
            <w:r w:rsidRPr="00C609B3">
              <w:rPr>
                <w:rFonts w:eastAsia="Times New Roman"/>
                <w:color w:val="000000"/>
              </w:rPr>
              <w:t xml:space="preserve">1.11 [0.92-1.34] </w:t>
            </w:r>
          </w:p>
        </w:tc>
        <w:tc>
          <w:tcPr>
            <w:tcW w:w="3139" w:type="dxa"/>
            <w:shd w:val="clear" w:color="auto" w:fill="auto"/>
            <w:noWrap/>
            <w:vAlign w:val="center"/>
            <w:hideMark/>
          </w:tcPr>
          <w:p w14:paraId="69E15841" w14:textId="77777777" w:rsidR="004E1A8D" w:rsidRPr="00C609B3" w:rsidRDefault="004E1A8D" w:rsidP="00754AFA">
            <w:pPr>
              <w:jc w:val="center"/>
              <w:rPr>
                <w:rFonts w:eastAsia="Times New Roman"/>
                <w:color w:val="000000"/>
              </w:rPr>
            </w:pPr>
            <w:r w:rsidRPr="00C609B3">
              <w:rPr>
                <w:rFonts w:eastAsia="Times New Roman"/>
                <w:color w:val="000000"/>
              </w:rPr>
              <w:t>0.81 [0.70-0.94]*</w:t>
            </w:r>
          </w:p>
        </w:tc>
      </w:tr>
      <w:tr w:rsidR="004E1A8D" w:rsidRPr="00C609B3" w14:paraId="591235EC" w14:textId="77777777" w:rsidTr="00754AFA">
        <w:trPr>
          <w:trHeight w:val="320"/>
        </w:trPr>
        <w:tc>
          <w:tcPr>
            <w:tcW w:w="2104" w:type="dxa"/>
            <w:shd w:val="clear" w:color="auto" w:fill="auto"/>
            <w:noWrap/>
            <w:vAlign w:val="bottom"/>
            <w:hideMark/>
          </w:tcPr>
          <w:p w14:paraId="75A8BB0A" w14:textId="77777777" w:rsidR="004E1A8D" w:rsidRPr="00C609B3" w:rsidRDefault="004E1A8D" w:rsidP="00754AFA">
            <w:pPr>
              <w:rPr>
                <w:rFonts w:eastAsia="Times New Roman"/>
                <w:b/>
                <w:bCs/>
                <w:color w:val="000000"/>
              </w:rPr>
            </w:pPr>
            <w:r w:rsidRPr="00C609B3">
              <w:rPr>
                <w:rFonts w:eastAsia="Times New Roman"/>
                <w:b/>
                <w:bCs/>
                <w:color w:val="000000"/>
              </w:rPr>
              <w:t>Lactate</w:t>
            </w:r>
          </w:p>
        </w:tc>
        <w:tc>
          <w:tcPr>
            <w:tcW w:w="1838" w:type="dxa"/>
            <w:shd w:val="clear" w:color="auto" w:fill="auto"/>
            <w:noWrap/>
            <w:vAlign w:val="center"/>
            <w:hideMark/>
          </w:tcPr>
          <w:p w14:paraId="651C7700" w14:textId="77777777" w:rsidR="004E1A8D" w:rsidRPr="00C609B3" w:rsidRDefault="004E1A8D" w:rsidP="00754AFA">
            <w:pPr>
              <w:jc w:val="center"/>
              <w:rPr>
                <w:rFonts w:eastAsia="Times New Roman"/>
                <w:b/>
                <w:bCs/>
                <w:color w:val="000000"/>
              </w:rPr>
            </w:pPr>
            <w:r w:rsidRPr="00C609B3">
              <w:rPr>
                <w:rFonts w:eastAsia="Times New Roman"/>
                <w:b/>
                <w:bCs/>
                <w:color w:val="000000"/>
              </w:rPr>
              <w:t>6369</w:t>
            </w:r>
          </w:p>
        </w:tc>
        <w:tc>
          <w:tcPr>
            <w:tcW w:w="2301" w:type="dxa"/>
            <w:shd w:val="clear" w:color="auto" w:fill="auto"/>
            <w:noWrap/>
            <w:vAlign w:val="center"/>
            <w:hideMark/>
          </w:tcPr>
          <w:p w14:paraId="100E2B52" w14:textId="77777777" w:rsidR="004E1A8D" w:rsidRPr="00C609B3" w:rsidRDefault="004E1A8D" w:rsidP="00754AFA">
            <w:pPr>
              <w:jc w:val="center"/>
              <w:rPr>
                <w:rFonts w:eastAsia="Times New Roman"/>
                <w:color w:val="000000"/>
              </w:rPr>
            </w:pPr>
            <w:r w:rsidRPr="00C609B3">
              <w:rPr>
                <w:rFonts w:eastAsia="Times New Roman"/>
                <w:color w:val="000000"/>
              </w:rPr>
              <w:t>0.64 [0.54-0.77]*</w:t>
            </w:r>
          </w:p>
        </w:tc>
        <w:tc>
          <w:tcPr>
            <w:tcW w:w="1838" w:type="dxa"/>
            <w:shd w:val="clear" w:color="auto" w:fill="auto"/>
            <w:noWrap/>
            <w:vAlign w:val="center"/>
            <w:hideMark/>
          </w:tcPr>
          <w:p w14:paraId="0AA0A6FC" w14:textId="77777777" w:rsidR="004E1A8D" w:rsidRPr="00C609B3" w:rsidRDefault="004E1A8D" w:rsidP="00754AFA">
            <w:pPr>
              <w:jc w:val="center"/>
              <w:rPr>
                <w:rFonts w:eastAsia="Times New Roman"/>
                <w:b/>
                <w:bCs/>
                <w:color w:val="000000"/>
              </w:rPr>
            </w:pPr>
            <w:r w:rsidRPr="00C609B3">
              <w:rPr>
                <w:rFonts w:eastAsia="Times New Roman"/>
                <w:b/>
                <w:bCs/>
                <w:color w:val="000000"/>
              </w:rPr>
              <w:t>4581</w:t>
            </w:r>
          </w:p>
        </w:tc>
        <w:tc>
          <w:tcPr>
            <w:tcW w:w="2730" w:type="dxa"/>
            <w:shd w:val="clear" w:color="auto" w:fill="auto"/>
            <w:noWrap/>
            <w:vAlign w:val="center"/>
            <w:hideMark/>
          </w:tcPr>
          <w:p w14:paraId="5032BBE1" w14:textId="77777777" w:rsidR="004E1A8D" w:rsidRPr="00C609B3" w:rsidRDefault="004E1A8D" w:rsidP="00754AFA">
            <w:pPr>
              <w:jc w:val="center"/>
              <w:rPr>
                <w:rFonts w:eastAsia="Times New Roman"/>
                <w:color w:val="000000"/>
              </w:rPr>
            </w:pPr>
            <w:r w:rsidRPr="00C609B3">
              <w:rPr>
                <w:rFonts w:eastAsia="Times New Roman"/>
                <w:color w:val="000000"/>
              </w:rPr>
              <w:t>0.96 [0.75-1.22]</w:t>
            </w:r>
          </w:p>
        </w:tc>
        <w:tc>
          <w:tcPr>
            <w:tcW w:w="3139" w:type="dxa"/>
            <w:shd w:val="clear" w:color="auto" w:fill="auto"/>
            <w:noWrap/>
            <w:vAlign w:val="center"/>
            <w:hideMark/>
          </w:tcPr>
          <w:p w14:paraId="455E98A1" w14:textId="77777777" w:rsidR="004E1A8D" w:rsidRPr="00C609B3" w:rsidRDefault="004E1A8D" w:rsidP="00754AFA">
            <w:pPr>
              <w:jc w:val="center"/>
              <w:rPr>
                <w:rFonts w:eastAsia="Times New Roman"/>
                <w:color w:val="000000"/>
              </w:rPr>
            </w:pPr>
            <w:r w:rsidRPr="00C609B3">
              <w:rPr>
                <w:rFonts w:eastAsia="Times New Roman"/>
                <w:color w:val="000000"/>
              </w:rPr>
              <w:t>0.54 [0.45-0.66]*</w:t>
            </w:r>
          </w:p>
        </w:tc>
      </w:tr>
      <w:tr w:rsidR="004E1A8D" w:rsidRPr="00C609B3" w14:paraId="76E6A69A" w14:textId="77777777" w:rsidTr="00754AFA">
        <w:trPr>
          <w:trHeight w:val="320"/>
        </w:trPr>
        <w:tc>
          <w:tcPr>
            <w:tcW w:w="2104" w:type="dxa"/>
            <w:shd w:val="clear" w:color="auto" w:fill="auto"/>
            <w:noWrap/>
            <w:vAlign w:val="bottom"/>
            <w:hideMark/>
          </w:tcPr>
          <w:p w14:paraId="2AAB8BFB" w14:textId="77777777" w:rsidR="004E1A8D" w:rsidRPr="00C609B3" w:rsidRDefault="004E1A8D" w:rsidP="00754AFA">
            <w:pPr>
              <w:rPr>
                <w:rFonts w:eastAsia="Times New Roman"/>
                <w:b/>
                <w:bCs/>
                <w:color w:val="000000"/>
              </w:rPr>
            </w:pPr>
            <w:r w:rsidRPr="00C609B3">
              <w:rPr>
                <w:rFonts w:eastAsia="Times New Roman"/>
                <w:b/>
                <w:bCs/>
                <w:color w:val="000000"/>
              </w:rPr>
              <w:t>IV fluids</w:t>
            </w:r>
            <w:r w:rsidRPr="00C609B3">
              <w:rPr>
                <w:rFonts w:eastAsia="Times New Roman"/>
                <w:b/>
                <w:bCs/>
                <w:color w:val="000000"/>
                <w:vertAlign w:val="superscript"/>
              </w:rPr>
              <w:t>(1)</w:t>
            </w:r>
          </w:p>
        </w:tc>
        <w:tc>
          <w:tcPr>
            <w:tcW w:w="1838" w:type="dxa"/>
            <w:shd w:val="clear" w:color="auto" w:fill="auto"/>
            <w:noWrap/>
            <w:vAlign w:val="center"/>
            <w:hideMark/>
          </w:tcPr>
          <w:p w14:paraId="1225EF95" w14:textId="77777777" w:rsidR="004E1A8D" w:rsidRPr="00C609B3" w:rsidRDefault="004E1A8D" w:rsidP="00754AFA">
            <w:pPr>
              <w:jc w:val="center"/>
              <w:rPr>
                <w:rFonts w:eastAsia="Times New Roman"/>
                <w:b/>
                <w:bCs/>
                <w:color w:val="000000"/>
              </w:rPr>
            </w:pPr>
            <w:r w:rsidRPr="00C609B3">
              <w:rPr>
                <w:rFonts w:eastAsia="Times New Roman"/>
                <w:b/>
                <w:bCs/>
                <w:color w:val="000000"/>
              </w:rPr>
              <w:t>2385</w:t>
            </w:r>
          </w:p>
        </w:tc>
        <w:tc>
          <w:tcPr>
            <w:tcW w:w="2301" w:type="dxa"/>
            <w:shd w:val="clear" w:color="auto" w:fill="auto"/>
            <w:noWrap/>
            <w:vAlign w:val="center"/>
            <w:hideMark/>
          </w:tcPr>
          <w:p w14:paraId="5464E0F9" w14:textId="77777777" w:rsidR="004E1A8D" w:rsidRPr="00C609B3" w:rsidRDefault="004E1A8D" w:rsidP="00754AFA">
            <w:pPr>
              <w:jc w:val="center"/>
              <w:rPr>
                <w:rFonts w:eastAsia="Times New Roman"/>
                <w:color w:val="000000"/>
              </w:rPr>
            </w:pPr>
            <w:r w:rsidRPr="00C609B3">
              <w:rPr>
                <w:rFonts w:eastAsia="Times New Roman"/>
                <w:color w:val="000000"/>
              </w:rPr>
              <w:t>1.49 [1.07-2.06]*</w:t>
            </w:r>
          </w:p>
        </w:tc>
        <w:tc>
          <w:tcPr>
            <w:tcW w:w="1838" w:type="dxa"/>
            <w:shd w:val="clear" w:color="auto" w:fill="auto"/>
            <w:noWrap/>
            <w:vAlign w:val="center"/>
            <w:hideMark/>
          </w:tcPr>
          <w:p w14:paraId="3D1792FD" w14:textId="77777777" w:rsidR="004E1A8D" w:rsidRPr="00C609B3" w:rsidRDefault="004E1A8D" w:rsidP="00754AFA">
            <w:pPr>
              <w:jc w:val="center"/>
              <w:rPr>
                <w:rFonts w:eastAsia="Times New Roman"/>
                <w:b/>
                <w:bCs/>
                <w:color w:val="000000"/>
              </w:rPr>
            </w:pPr>
            <w:r w:rsidRPr="00C609B3">
              <w:rPr>
                <w:rFonts w:eastAsia="Times New Roman"/>
                <w:b/>
                <w:bCs/>
                <w:color w:val="000000"/>
              </w:rPr>
              <w:t>1504</w:t>
            </w:r>
          </w:p>
        </w:tc>
        <w:tc>
          <w:tcPr>
            <w:tcW w:w="2730" w:type="dxa"/>
            <w:shd w:val="clear" w:color="auto" w:fill="auto"/>
            <w:noWrap/>
            <w:vAlign w:val="center"/>
            <w:hideMark/>
          </w:tcPr>
          <w:p w14:paraId="4C6EC847" w14:textId="77777777" w:rsidR="004E1A8D" w:rsidRPr="00C609B3" w:rsidRDefault="004E1A8D" w:rsidP="00754AFA">
            <w:pPr>
              <w:jc w:val="center"/>
              <w:rPr>
                <w:rFonts w:eastAsia="Times New Roman"/>
                <w:color w:val="000000"/>
              </w:rPr>
            </w:pPr>
            <w:r w:rsidRPr="00C609B3">
              <w:rPr>
                <w:rFonts w:eastAsia="Times New Roman"/>
                <w:color w:val="000000"/>
              </w:rPr>
              <w:t>0.94 [0.64-1.39]</w:t>
            </w:r>
          </w:p>
        </w:tc>
        <w:tc>
          <w:tcPr>
            <w:tcW w:w="3139" w:type="dxa"/>
            <w:shd w:val="clear" w:color="auto" w:fill="auto"/>
            <w:noWrap/>
            <w:vAlign w:val="center"/>
            <w:hideMark/>
          </w:tcPr>
          <w:p w14:paraId="510639DD" w14:textId="77777777" w:rsidR="004E1A8D" w:rsidRPr="00C609B3" w:rsidRDefault="004E1A8D" w:rsidP="00754AFA">
            <w:pPr>
              <w:jc w:val="center"/>
              <w:rPr>
                <w:rFonts w:eastAsia="Times New Roman"/>
                <w:color w:val="000000"/>
              </w:rPr>
            </w:pPr>
            <w:r w:rsidRPr="00C609B3">
              <w:rPr>
                <w:rFonts w:eastAsia="Times New Roman"/>
                <w:color w:val="000000"/>
              </w:rPr>
              <w:t>0.96 [0.69-1.34]</w:t>
            </w:r>
          </w:p>
        </w:tc>
      </w:tr>
      <w:tr w:rsidR="004E1A8D" w:rsidRPr="00C609B3" w14:paraId="2EA22985" w14:textId="77777777" w:rsidTr="00754AFA">
        <w:trPr>
          <w:trHeight w:val="320"/>
        </w:trPr>
        <w:tc>
          <w:tcPr>
            <w:tcW w:w="2104" w:type="dxa"/>
            <w:shd w:val="clear" w:color="auto" w:fill="auto"/>
            <w:noWrap/>
            <w:vAlign w:val="bottom"/>
            <w:hideMark/>
          </w:tcPr>
          <w:p w14:paraId="0992618D" w14:textId="77777777" w:rsidR="004E1A8D" w:rsidRPr="00C609B3" w:rsidRDefault="004E1A8D" w:rsidP="00754AFA">
            <w:pPr>
              <w:rPr>
                <w:rFonts w:eastAsia="Times New Roman"/>
                <w:b/>
                <w:bCs/>
                <w:color w:val="000000"/>
              </w:rPr>
            </w:pPr>
            <w:r w:rsidRPr="00C609B3">
              <w:rPr>
                <w:rFonts w:eastAsia="Times New Roman"/>
                <w:b/>
                <w:bCs/>
                <w:color w:val="000000"/>
              </w:rPr>
              <w:t>Oxygen</w:t>
            </w:r>
            <w:r w:rsidRPr="00C609B3">
              <w:rPr>
                <w:rFonts w:eastAsia="Times New Roman"/>
                <w:bCs/>
                <w:color w:val="000000"/>
                <w:vertAlign w:val="superscript"/>
              </w:rPr>
              <w:t>(2)</w:t>
            </w:r>
          </w:p>
        </w:tc>
        <w:tc>
          <w:tcPr>
            <w:tcW w:w="1838" w:type="dxa"/>
            <w:shd w:val="clear" w:color="auto" w:fill="auto"/>
            <w:noWrap/>
            <w:vAlign w:val="center"/>
            <w:hideMark/>
          </w:tcPr>
          <w:p w14:paraId="4FB51E96" w14:textId="77777777" w:rsidR="004E1A8D" w:rsidRPr="00C609B3" w:rsidRDefault="004E1A8D" w:rsidP="00754AFA">
            <w:pPr>
              <w:jc w:val="center"/>
              <w:rPr>
                <w:rFonts w:eastAsia="Times New Roman"/>
                <w:b/>
                <w:bCs/>
                <w:color w:val="000000"/>
              </w:rPr>
            </w:pPr>
            <w:r w:rsidRPr="00C609B3">
              <w:rPr>
                <w:rFonts w:eastAsia="Times New Roman"/>
                <w:b/>
                <w:bCs/>
                <w:color w:val="000000"/>
              </w:rPr>
              <w:t>2788</w:t>
            </w:r>
          </w:p>
        </w:tc>
        <w:tc>
          <w:tcPr>
            <w:tcW w:w="2301" w:type="dxa"/>
            <w:shd w:val="clear" w:color="auto" w:fill="auto"/>
            <w:noWrap/>
            <w:vAlign w:val="center"/>
            <w:hideMark/>
          </w:tcPr>
          <w:p w14:paraId="72633B74" w14:textId="77777777" w:rsidR="004E1A8D" w:rsidRPr="00C609B3" w:rsidRDefault="004E1A8D" w:rsidP="00754AFA">
            <w:pPr>
              <w:jc w:val="center"/>
              <w:rPr>
                <w:rFonts w:eastAsia="Times New Roman"/>
                <w:color w:val="000000"/>
              </w:rPr>
            </w:pPr>
            <w:r w:rsidRPr="00C609B3">
              <w:rPr>
                <w:rFonts w:eastAsia="Times New Roman"/>
                <w:color w:val="000000"/>
              </w:rPr>
              <w:t>1.92 [1.40-2.62]*</w:t>
            </w:r>
          </w:p>
        </w:tc>
        <w:tc>
          <w:tcPr>
            <w:tcW w:w="1838" w:type="dxa"/>
            <w:shd w:val="clear" w:color="auto" w:fill="auto"/>
            <w:noWrap/>
            <w:vAlign w:val="center"/>
            <w:hideMark/>
          </w:tcPr>
          <w:p w14:paraId="63ECBE9C" w14:textId="77777777" w:rsidR="004E1A8D" w:rsidRPr="00C609B3" w:rsidRDefault="004E1A8D" w:rsidP="00754AFA">
            <w:pPr>
              <w:jc w:val="center"/>
              <w:rPr>
                <w:rFonts w:eastAsia="Times New Roman"/>
                <w:b/>
                <w:bCs/>
                <w:color w:val="000000"/>
              </w:rPr>
            </w:pPr>
            <w:r w:rsidRPr="00C609B3">
              <w:rPr>
                <w:rFonts w:eastAsia="Times New Roman"/>
                <w:b/>
                <w:bCs/>
                <w:color w:val="000000"/>
              </w:rPr>
              <w:t>1812</w:t>
            </w:r>
          </w:p>
        </w:tc>
        <w:tc>
          <w:tcPr>
            <w:tcW w:w="2730" w:type="dxa"/>
            <w:shd w:val="clear" w:color="auto" w:fill="auto"/>
            <w:noWrap/>
            <w:vAlign w:val="center"/>
            <w:hideMark/>
          </w:tcPr>
          <w:p w14:paraId="0C594F0D" w14:textId="77777777" w:rsidR="004E1A8D" w:rsidRPr="00C609B3" w:rsidRDefault="004E1A8D" w:rsidP="00754AFA">
            <w:pPr>
              <w:jc w:val="center"/>
              <w:rPr>
                <w:rFonts w:eastAsia="Times New Roman"/>
                <w:color w:val="000000"/>
              </w:rPr>
            </w:pPr>
            <w:r w:rsidRPr="00C609B3">
              <w:rPr>
                <w:rFonts w:eastAsia="Times New Roman"/>
                <w:color w:val="000000"/>
              </w:rPr>
              <w:t>0.98 [0.67-1.43]</w:t>
            </w:r>
          </w:p>
        </w:tc>
        <w:tc>
          <w:tcPr>
            <w:tcW w:w="3139" w:type="dxa"/>
            <w:shd w:val="clear" w:color="auto" w:fill="auto"/>
            <w:noWrap/>
            <w:vAlign w:val="center"/>
            <w:hideMark/>
          </w:tcPr>
          <w:p w14:paraId="593A5A2C" w14:textId="77777777" w:rsidR="004E1A8D" w:rsidRPr="00C609B3" w:rsidRDefault="004E1A8D" w:rsidP="00754AFA">
            <w:pPr>
              <w:jc w:val="center"/>
              <w:rPr>
                <w:rFonts w:eastAsia="Times New Roman"/>
                <w:color w:val="000000"/>
              </w:rPr>
            </w:pPr>
            <w:r w:rsidRPr="00C609B3">
              <w:rPr>
                <w:rFonts w:eastAsia="Times New Roman"/>
                <w:color w:val="000000"/>
              </w:rPr>
              <w:t>1.12 [0.83-1.51]</w:t>
            </w:r>
          </w:p>
        </w:tc>
      </w:tr>
      <w:tr w:rsidR="004E1A8D" w:rsidRPr="00C609B3" w14:paraId="337290DF" w14:textId="77777777" w:rsidTr="00754AFA">
        <w:trPr>
          <w:trHeight w:val="320"/>
        </w:trPr>
        <w:tc>
          <w:tcPr>
            <w:tcW w:w="2104" w:type="dxa"/>
            <w:shd w:val="clear" w:color="auto" w:fill="auto"/>
            <w:noWrap/>
            <w:vAlign w:val="bottom"/>
            <w:hideMark/>
          </w:tcPr>
          <w:p w14:paraId="1E1F9D7F" w14:textId="77777777" w:rsidR="004E1A8D" w:rsidRPr="00C609B3" w:rsidRDefault="004E1A8D" w:rsidP="00754AFA">
            <w:pPr>
              <w:rPr>
                <w:rFonts w:eastAsia="Times New Roman"/>
                <w:b/>
                <w:bCs/>
                <w:color w:val="000000"/>
              </w:rPr>
            </w:pPr>
            <w:r w:rsidRPr="00C609B3">
              <w:rPr>
                <w:rFonts w:eastAsia="Times New Roman"/>
                <w:b/>
                <w:bCs/>
                <w:color w:val="000000"/>
              </w:rPr>
              <w:t>Fluid balance chart</w:t>
            </w:r>
          </w:p>
        </w:tc>
        <w:tc>
          <w:tcPr>
            <w:tcW w:w="1838" w:type="dxa"/>
            <w:shd w:val="clear" w:color="auto" w:fill="auto"/>
            <w:noWrap/>
            <w:vAlign w:val="center"/>
            <w:hideMark/>
          </w:tcPr>
          <w:p w14:paraId="3DE9E43C" w14:textId="77777777" w:rsidR="004E1A8D" w:rsidRPr="00C609B3" w:rsidRDefault="004E1A8D" w:rsidP="00754AFA">
            <w:pPr>
              <w:jc w:val="center"/>
              <w:rPr>
                <w:rFonts w:eastAsia="Times New Roman"/>
                <w:b/>
                <w:bCs/>
                <w:color w:val="000000"/>
              </w:rPr>
            </w:pPr>
            <w:r w:rsidRPr="00C609B3">
              <w:rPr>
                <w:rFonts w:eastAsia="Times New Roman"/>
                <w:b/>
                <w:bCs/>
                <w:color w:val="000000"/>
              </w:rPr>
              <w:t>6493</w:t>
            </w:r>
          </w:p>
        </w:tc>
        <w:tc>
          <w:tcPr>
            <w:tcW w:w="2301" w:type="dxa"/>
            <w:shd w:val="clear" w:color="auto" w:fill="auto"/>
            <w:noWrap/>
            <w:vAlign w:val="center"/>
            <w:hideMark/>
          </w:tcPr>
          <w:p w14:paraId="50E59621" w14:textId="77777777" w:rsidR="004E1A8D" w:rsidRPr="00C609B3" w:rsidRDefault="004E1A8D" w:rsidP="00754AFA">
            <w:pPr>
              <w:jc w:val="center"/>
              <w:rPr>
                <w:rFonts w:eastAsia="Times New Roman"/>
                <w:color w:val="000000"/>
              </w:rPr>
            </w:pPr>
            <w:r w:rsidRPr="00C609B3">
              <w:rPr>
                <w:rFonts w:eastAsia="Times New Roman"/>
                <w:color w:val="000000"/>
              </w:rPr>
              <w:t>1.01 [0.89-1.16]</w:t>
            </w:r>
          </w:p>
        </w:tc>
        <w:tc>
          <w:tcPr>
            <w:tcW w:w="1838" w:type="dxa"/>
            <w:shd w:val="clear" w:color="auto" w:fill="auto"/>
            <w:noWrap/>
            <w:vAlign w:val="center"/>
            <w:hideMark/>
          </w:tcPr>
          <w:p w14:paraId="12BD6302" w14:textId="77777777" w:rsidR="004E1A8D" w:rsidRPr="00C609B3" w:rsidRDefault="004E1A8D" w:rsidP="00754AFA">
            <w:pPr>
              <w:jc w:val="center"/>
              <w:rPr>
                <w:rFonts w:eastAsia="Times New Roman"/>
                <w:b/>
                <w:bCs/>
                <w:color w:val="000000"/>
              </w:rPr>
            </w:pPr>
            <w:r w:rsidRPr="00C609B3">
              <w:rPr>
                <w:rFonts w:eastAsia="Times New Roman"/>
                <w:b/>
                <w:bCs/>
                <w:color w:val="000000"/>
              </w:rPr>
              <w:t>4721</w:t>
            </w:r>
          </w:p>
        </w:tc>
        <w:tc>
          <w:tcPr>
            <w:tcW w:w="2730" w:type="dxa"/>
            <w:shd w:val="clear" w:color="auto" w:fill="auto"/>
            <w:noWrap/>
            <w:vAlign w:val="center"/>
            <w:hideMark/>
          </w:tcPr>
          <w:p w14:paraId="068BF03D" w14:textId="77777777" w:rsidR="004E1A8D" w:rsidRPr="00C609B3" w:rsidRDefault="004E1A8D" w:rsidP="00754AFA">
            <w:pPr>
              <w:jc w:val="center"/>
              <w:rPr>
                <w:rFonts w:eastAsia="Times New Roman"/>
                <w:color w:val="000000"/>
              </w:rPr>
            </w:pPr>
            <w:r w:rsidRPr="00C609B3">
              <w:rPr>
                <w:rFonts w:eastAsia="Times New Roman"/>
                <w:color w:val="000000"/>
              </w:rPr>
              <w:t>0.93 [0.79-1.10]</w:t>
            </w:r>
          </w:p>
        </w:tc>
        <w:tc>
          <w:tcPr>
            <w:tcW w:w="3139" w:type="dxa"/>
            <w:shd w:val="clear" w:color="auto" w:fill="auto"/>
            <w:noWrap/>
            <w:vAlign w:val="center"/>
            <w:hideMark/>
          </w:tcPr>
          <w:p w14:paraId="418C0397" w14:textId="77777777" w:rsidR="004E1A8D" w:rsidRPr="00C609B3" w:rsidRDefault="004E1A8D" w:rsidP="00754AFA">
            <w:pPr>
              <w:jc w:val="center"/>
              <w:rPr>
                <w:rFonts w:eastAsia="Times New Roman"/>
                <w:color w:val="000000"/>
              </w:rPr>
            </w:pPr>
            <w:r w:rsidRPr="00C609B3">
              <w:rPr>
                <w:rFonts w:eastAsia="Times New Roman"/>
                <w:color w:val="000000"/>
              </w:rPr>
              <w:t>1.12 [0.97-1.29]</w:t>
            </w:r>
          </w:p>
        </w:tc>
      </w:tr>
      <w:tr w:rsidR="004E1A8D" w:rsidRPr="00C609B3" w14:paraId="0E9FA0DB" w14:textId="77777777" w:rsidTr="00754AFA">
        <w:trPr>
          <w:trHeight w:val="320"/>
        </w:trPr>
        <w:tc>
          <w:tcPr>
            <w:tcW w:w="2104" w:type="dxa"/>
            <w:shd w:val="clear" w:color="auto" w:fill="auto"/>
            <w:noWrap/>
            <w:vAlign w:val="bottom"/>
            <w:hideMark/>
          </w:tcPr>
          <w:p w14:paraId="4D2C8CC2" w14:textId="77777777" w:rsidR="004E1A8D" w:rsidRPr="00C609B3" w:rsidRDefault="004E1A8D" w:rsidP="00754AFA">
            <w:pPr>
              <w:rPr>
                <w:rFonts w:eastAsia="Times New Roman"/>
                <w:b/>
                <w:bCs/>
                <w:color w:val="000000"/>
              </w:rPr>
            </w:pPr>
            <w:r w:rsidRPr="00C609B3">
              <w:rPr>
                <w:rFonts w:eastAsia="Times New Roman"/>
                <w:b/>
                <w:bCs/>
                <w:color w:val="000000"/>
              </w:rPr>
              <w:t>Senior review</w:t>
            </w:r>
            <w:r w:rsidRPr="00C609B3">
              <w:rPr>
                <w:rFonts w:eastAsia="Times New Roman"/>
                <w:bCs/>
                <w:color w:val="000000"/>
                <w:vertAlign w:val="superscript"/>
              </w:rPr>
              <w:t>(3)</w:t>
            </w:r>
          </w:p>
        </w:tc>
        <w:tc>
          <w:tcPr>
            <w:tcW w:w="1838" w:type="dxa"/>
            <w:shd w:val="clear" w:color="auto" w:fill="auto"/>
            <w:noWrap/>
            <w:vAlign w:val="center"/>
            <w:hideMark/>
          </w:tcPr>
          <w:p w14:paraId="4120CED6" w14:textId="77777777" w:rsidR="004E1A8D" w:rsidRPr="00C609B3" w:rsidRDefault="004E1A8D" w:rsidP="00754AFA">
            <w:pPr>
              <w:jc w:val="center"/>
              <w:rPr>
                <w:rFonts w:eastAsia="Times New Roman"/>
                <w:b/>
                <w:bCs/>
                <w:color w:val="000000"/>
              </w:rPr>
            </w:pPr>
            <w:r w:rsidRPr="00C609B3">
              <w:rPr>
                <w:rFonts w:eastAsia="Times New Roman"/>
                <w:b/>
                <w:bCs/>
                <w:color w:val="000000"/>
              </w:rPr>
              <w:t>1254</w:t>
            </w:r>
          </w:p>
        </w:tc>
        <w:tc>
          <w:tcPr>
            <w:tcW w:w="2301" w:type="dxa"/>
            <w:shd w:val="clear" w:color="auto" w:fill="auto"/>
            <w:noWrap/>
            <w:vAlign w:val="center"/>
            <w:hideMark/>
          </w:tcPr>
          <w:p w14:paraId="22ABB1D9" w14:textId="77777777" w:rsidR="004E1A8D" w:rsidRPr="00C609B3" w:rsidRDefault="004E1A8D" w:rsidP="00754AFA">
            <w:pPr>
              <w:jc w:val="center"/>
              <w:rPr>
                <w:rFonts w:eastAsia="Times New Roman"/>
                <w:color w:val="000000"/>
              </w:rPr>
            </w:pPr>
            <w:r w:rsidRPr="00C609B3">
              <w:rPr>
                <w:rFonts w:eastAsia="Times New Roman"/>
                <w:color w:val="000000"/>
              </w:rPr>
              <w:t>1.85 [1.33-2.56]*</w:t>
            </w:r>
          </w:p>
        </w:tc>
        <w:tc>
          <w:tcPr>
            <w:tcW w:w="1838" w:type="dxa"/>
            <w:shd w:val="clear" w:color="auto" w:fill="auto"/>
            <w:noWrap/>
            <w:vAlign w:val="center"/>
            <w:hideMark/>
          </w:tcPr>
          <w:p w14:paraId="2FD29DF6" w14:textId="77777777" w:rsidR="004E1A8D" w:rsidRPr="00C609B3" w:rsidRDefault="004E1A8D" w:rsidP="00754AFA">
            <w:pPr>
              <w:jc w:val="center"/>
              <w:rPr>
                <w:rFonts w:eastAsia="Times New Roman"/>
                <w:b/>
                <w:bCs/>
                <w:color w:val="000000"/>
              </w:rPr>
            </w:pPr>
            <w:r w:rsidRPr="00C609B3">
              <w:rPr>
                <w:rFonts w:eastAsia="Times New Roman"/>
                <w:b/>
                <w:bCs/>
                <w:color w:val="000000"/>
              </w:rPr>
              <w:t>647</w:t>
            </w:r>
          </w:p>
        </w:tc>
        <w:tc>
          <w:tcPr>
            <w:tcW w:w="2730" w:type="dxa"/>
            <w:shd w:val="clear" w:color="auto" w:fill="auto"/>
            <w:noWrap/>
            <w:vAlign w:val="center"/>
            <w:hideMark/>
          </w:tcPr>
          <w:p w14:paraId="3E02AED3" w14:textId="77777777" w:rsidR="004E1A8D" w:rsidRPr="00C609B3" w:rsidRDefault="004E1A8D" w:rsidP="00754AFA">
            <w:pPr>
              <w:jc w:val="center"/>
              <w:rPr>
                <w:rFonts w:eastAsia="Times New Roman"/>
                <w:color w:val="000000"/>
              </w:rPr>
            </w:pPr>
            <w:r w:rsidRPr="00C609B3">
              <w:rPr>
                <w:rFonts w:eastAsia="Times New Roman"/>
                <w:color w:val="000000"/>
              </w:rPr>
              <w:t>0.60 [0.36-0.99]*</w:t>
            </w:r>
          </w:p>
        </w:tc>
        <w:tc>
          <w:tcPr>
            <w:tcW w:w="3139" w:type="dxa"/>
            <w:shd w:val="clear" w:color="auto" w:fill="auto"/>
            <w:noWrap/>
            <w:vAlign w:val="center"/>
            <w:hideMark/>
          </w:tcPr>
          <w:p w14:paraId="07F9A0EF" w14:textId="77777777" w:rsidR="004E1A8D" w:rsidRPr="00C609B3" w:rsidRDefault="004E1A8D" w:rsidP="00754AFA">
            <w:pPr>
              <w:jc w:val="center"/>
              <w:rPr>
                <w:rFonts w:eastAsia="Times New Roman"/>
                <w:color w:val="000000"/>
              </w:rPr>
            </w:pPr>
            <w:r w:rsidRPr="00C609B3">
              <w:rPr>
                <w:rFonts w:eastAsia="Times New Roman"/>
                <w:color w:val="000000"/>
              </w:rPr>
              <w:t>1.01 [0.67-1.52]</w:t>
            </w:r>
          </w:p>
        </w:tc>
      </w:tr>
    </w:tbl>
    <w:p w14:paraId="1CEAB599" w14:textId="77777777" w:rsidR="004E1A8D" w:rsidRPr="00C609B3" w:rsidRDefault="004E1A8D" w:rsidP="004E1A8D">
      <w:r w:rsidRPr="00C609B3">
        <w:t xml:space="preserve">(1) </w:t>
      </w:r>
      <w:proofErr w:type="gramStart"/>
      <w:r w:rsidRPr="00C609B3">
        <w:t>applies</w:t>
      </w:r>
      <w:proofErr w:type="gramEnd"/>
      <w:r w:rsidRPr="00C609B3">
        <w:t xml:space="preserve"> to cases with either elevated serum lactate or low blood pressure</w:t>
      </w:r>
    </w:p>
    <w:p w14:paraId="73455F5C" w14:textId="77777777" w:rsidR="004E1A8D" w:rsidRPr="00C609B3" w:rsidRDefault="004E1A8D" w:rsidP="004E1A8D">
      <w:r w:rsidRPr="00C609B3">
        <w:t xml:space="preserve">(2) </w:t>
      </w:r>
      <w:proofErr w:type="gramStart"/>
      <w:r w:rsidRPr="00C609B3">
        <w:t>applies</w:t>
      </w:r>
      <w:proofErr w:type="gramEnd"/>
      <w:r w:rsidRPr="00C609B3">
        <w:t xml:space="preserve"> to cases with either elevated serum lactate or low blood pressure</w:t>
      </w:r>
    </w:p>
    <w:p w14:paraId="47682FC7" w14:textId="77777777" w:rsidR="004E1A8D" w:rsidRPr="00C609B3" w:rsidRDefault="004E1A8D" w:rsidP="004E1A8D">
      <w:r w:rsidRPr="00C609B3">
        <w:t xml:space="preserve">(3) </w:t>
      </w:r>
      <w:proofErr w:type="gramStart"/>
      <w:r w:rsidRPr="00C609B3">
        <w:t>applies</w:t>
      </w:r>
      <w:proofErr w:type="gramEnd"/>
      <w:r w:rsidRPr="00C609B3">
        <w:t xml:space="preserve"> to those with elevated serum lactate</w:t>
      </w:r>
    </w:p>
    <w:p w14:paraId="1AFABC69" w14:textId="77777777" w:rsidR="005D2EF9" w:rsidRDefault="005D2EF9" w:rsidP="004E1A8D">
      <w:pPr>
        <w:rPr>
          <w:rFonts w:eastAsiaTheme="minorEastAsia" w:cstheme="minorHAnsi"/>
          <w:color w:val="000000" w:themeColor="text1"/>
          <w:kern w:val="24"/>
          <w:lang w:val="en-US"/>
        </w:rPr>
        <w:sectPr w:rsidR="005D2EF9" w:rsidSect="005D2EF9">
          <w:pgSz w:w="16834" w:h="11894" w:orient="landscape"/>
          <w:pgMar w:top="1440" w:right="1440" w:bottom="1440" w:left="1440" w:header="720" w:footer="720" w:gutter="0"/>
          <w:cols w:space="720"/>
          <w:docGrid w:linePitch="360"/>
        </w:sectPr>
      </w:pPr>
    </w:p>
    <w:p w14:paraId="593736EB" w14:textId="201AC6F0" w:rsidR="00B8176A" w:rsidRPr="004E1A8D" w:rsidRDefault="00B8176A" w:rsidP="004E1A8D">
      <w:pPr>
        <w:rPr>
          <w:rFonts w:eastAsiaTheme="minorEastAsia" w:cstheme="minorHAnsi"/>
          <w:color w:val="000000" w:themeColor="text1"/>
          <w:kern w:val="24"/>
          <w:lang w:val="en-US"/>
        </w:rPr>
      </w:pPr>
      <w:r w:rsidRPr="00FD44CA">
        <w:rPr>
          <w:rFonts w:cstheme="minorHAnsi"/>
          <w:b/>
        </w:rPr>
        <w:lastRenderedPageBreak/>
        <w:t>Discussion</w:t>
      </w:r>
    </w:p>
    <w:p w14:paraId="3642C6F7" w14:textId="77777777" w:rsidR="00B8176A" w:rsidRPr="00FD44CA" w:rsidRDefault="00B8176A" w:rsidP="00FD44CA">
      <w:pPr>
        <w:jc w:val="both"/>
        <w:rPr>
          <w:rFonts w:cstheme="minorHAnsi"/>
          <w:b/>
        </w:rPr>
      </w:pPr>
    </w:p>
    <w:p w14:paraId="4558B85E" w14:textId="496F1A49" w:rsidR="00B368B6" w:rsidRDefault="00E2475E" w:rsidP="00FD44CA">
      <w:pPr>
        <w:jc w:val="both"/>
        <w:rPr>
          <w:rFonts w:cstheme="minorHAnsi"/>
        </w:rPr>
      </w:pPr>
      <w:r w:rsidRPr="00FD44CA">
        <w:rPr>
          <w:rFonts w:cstheme="minorHAnsi"/>
        </w:rPr>
        <w:t xml:space="preserve">This study highlights the fact that sepsis is </w:t>
      </w:r>
      <w:r w:rsidR="009E6CBF">
        <w:rPr>
          <w:rFonts w:cstheme="minorHAnsi"/>
        </w:rPr>
        <w:t>associated with high mortality</w:t>
      </w:r>
      <w:r w:rsidR="003C3B6F" w:rsidRPr="00FD44CA">
        <w:rPr>
          <w:rFonts w:cstheme="minorHAnsi"/>
        </w:rPr>
        <w:t xml:space="preserve">. </w:t>
      </w:r>
      <w:r w:rsidR="008E55C1" w:rsidRPr="00FD44CA">
        <w:rPr>
          <w:rFonts w:cstheme="minorHAnsi"/>
        </w:rPr>
        <w:t xml:space="preserve">Mortality in our study is consistent with sepsis </w:t>
      </w:r>
      <w:r w:rsidR="00A8686B" w:rsidRPr="00FD44CA">
        <w:rPr>
          <w:rFonts w:cstheme="minorHAnsi"/>
        </w:rPr>
        <w:t xml:space="preserve">mortality in the UK </w:t>
      </w:r>
      <w:r w:rsidR="00C57DD9">
        <w:rPr>
          <w:rFonts w:cstheme="minorHAnsi"/>
        </w:rPr>
        <w:fldChar w:fldCharType="begin" w:fldLock="1"/>
      </w:r>
      <w:r w:rsidR="00C57DD9">
        <w:rPr>
          <w:rFonts w:cstheme="minorHAnsi"/>
        </w:rPr>
        <w:instrText>ADDIN CSL_CITATION { "citationItems" : [ { "id" : "ITEM-1", "itemData" : { "DOI" : "10.1056/NEJMoa1500896", "ISBN" : "0028-4793, 1533-4406", "ISSN" : "1533-4406", "PMID" : "25776532", "abstract" : "BACKGROUND Early, goal-directed therapy (EGDT) is recommended in international guidelines for the resuscitation of patients presenting with early septic shock. However, adoption has been limited, and uncertainty about its effectiveness remains. METHODS We conducted a pragmatic randomized trial with an integrated cost-effectiveness analysis in 56 hospitals in England. Patients were randomly assigned to receive either EGDT (a 6-hour resuscitation protocol) or usual care. The primary clinical outcome was all-cause mortality at 90 days. RESULTS We enrolled 1260 patients, with 630 assigned to EGDT and 630 to usual care. By 90 days, 184 of 623 patients (29.5%) in the EGDT group and 181 of 620 patients (29.2%) in the usual-care group had died (relative risk in the EGDT group, 1.01; 95% confidence interval [CI], 0.85 to 1.20; P=0.90), for an absolute risk reduction in the EGDT group of -0.3 percentage points (95% CI, -5.4 to 4.7). Increased treatment intensity in the EGDT group was indicated by increased use of intravenous fluids, vasoactive drugs, and red-cell transfusions and reflected by significantly worse organ-failure scores, more days receiving advanced cardiovascular support, and longer stays in the intensive care unit. There were no significant differences in any other secondary outcomes, including health-related quality of life, or in rates of serious adverse events. On average, EGDT increased costs, and the probability that it was cost-effective was below 20%. CONCLUSIONS In patients with septic shock who were identified early and received intravenous antibiotics and adequate fluid resuscitation, hemodynamic management according to a strict EGDT protocol did not lead to an improvement in outcome. (Funded by the United Kingdom National Institute for Health Research Health Technology Assessment Programme; ProMISe Current Controlled Trials number, ISRCTN36307479.).", "author" : [ { "dropping-particle" : "", "family" : "Mouncey", "given" : "Paul R", "non-dropping-particle" : "", "parse-names" : false, "suffix" : "" }, { "dropping-particle" : "", "family" : "Osborn", "given" : "Tiffany M", "non-dropping-particle" : "", "parse-names" : false, "suffix" : "" }, { "dropping-particle" : "", "family" : "Power", "given" : "G Sarah", "non-dropping-particle" : "", "parse-names" : false, "suffix" : "" }, { "dropping-particle" : "", "family" : "Harrison", "given" : "David a", "non-dropping-particle" : "", "parse-names" : false, "suffix" : "" }, { "dropping-particle" : "", "family" : "Sadique", "given" : "M Zia", "non-dropping-particle" : "", "parse-names" : false, "suffix" : "" }, { "dropping-particle" : "", "family" : "Grieve", "given" : "Richard D", "non-dropping-particle" : "", "parse-names" : false, "suffix" : "" }, { "dropping-particle" : "", "family" : "Jahan", "given" : "Rahi", "non-dropping-particle" : "", "parse-names" : false, "suffix" : "" }, { "dropping-particle" : "", "family" : "Harvey", "given" : "Sheila E", "non-dropping-particle" : "", "parse-names" : false, "suffix" : "" }, { "dropping-particle" : "", "family" : "Bell", "given" : "Derek", "non-dropping-particle" : "", "parse-names" : false, "suffix" : "" }, { "dropping-particle" : "", "family" : "Bion", "given" : "Julian F", "non-dropping-particle" : "", "parse-names" : false, "suffix" : "" }, { "dropping-particle" : "", "family" : "Coats", "given" : "Timothy J", "non-dropping-particle" : "", "parse-names" : false, "suffix" : "" }, { "dropping-particle" : "", "family" : "Singer", "given" : "Mervyn", "non-dropping-particle" : "", "parse-names" : false, "suffix" : "" }, { "dropping-particle" : "", "family" : "Young", "given" : "J Duncan", "non-dropping-particle" : "", "parse-names" : false, "suffix" : "" }, { "dropping-particle" : "", "family" : "Rowan", "given" : "Kathryn M", "non-dropping-particle" : "", "parse-names" : false, "suffix" : "" } ], "container-title" : "The New England journal of medicine", "id" : "ITEM-1", "issue" : "14", "issued" : { "date-parts" : [ [ "2015" ] ] }, "page" : "1301-11", "title" : "Trial of Early, Goal-Directed Resuscitation for Septic Shock for the ProMISe Trial Investigators*", "type" : "article-journal", "volume" : "372" }, "uris" : [ "http://www.mendeley.com/documents/?uuid=67b6275c-f45b-4b69-8c37-c869665ef464" ] } ], "mendeley" : { "formattedCitation" : "(1)", "plainTextFormattedCitation" : "(1)", "previouslyFormattedCitation" : "(1)" }, "properties" : { "noteIndex" : 0 }, "schema" : "https://github.com/citation-style-language/schema/raw/master/csl-citation.json" }</w:instrText>
      </w:r>
      <w:r w:rsidR="00C57DD9">
        <w:rPr>
          <w:rFonts w:cstheme="minorHAnsi"/>
        </w:rPr>
        <w:fldChar w:fldCharType="separate"/>
      </w:r>
      <w:r w:rsidR="00C57DD9" w:rsidRPr="00C57DD9">
        <w:rPr>
          <w:rFonts w:cstheme="minorHAnsi"/>
          <w:noProof/>
        </w:rPr>
        <w:t>(1)</w:t>
      </w:r>
      <w:r w:rsidR="00C57DD9">
        <w:rPr>
          <w:rFonts w:cstheme="minorHAnsi"/>
        </w:rPr>
        <w:fldChar w:fldCharType="end"/>
      </w:r>
      <w:r w:rsidR="008E55C1" w:rsidRPr="00FD44CA">
        <w:rPr>
          <w:rFonts w:cstheme="minorHAnsi"/>
        </w:rPr>
        <w:t xml:space="preserve">. </w:t>
      </w:r>
      <w:r w:rsidRPr="00FD44CA">
        <w:rPr>
          <w:rFonts w:cstheme="minorHAnsi"/>
        </w:rPr>
        <w:t xml:space="preserve">Sepsis also results in high </w:t>
      </w:r>
      <w:r w:rsidR="003C3B6F" w:rsidRPr="00FD44CA">
        <w:rPr>
          <w:rFonts w:cstheme="minorHAnsi"/>
        </w:rPr>
        <w:t xml:space="preserve">rates of readmission </w:t>
      </w:r>
      <w:r w:rsidR="00A30A97" w:rsidRPr="00FD44CA">
        <w:rPr>
          <w:rFonts w:cstheme="minorHAnsi"/>
        </w:rPr>
        <w:t xml:space="preserve">and </w:t>
      </w:r>
      <w:r w:rsidRPr="00FD44CA">
        <w:rPr>
          <w:rFonts w:cstheme="minorHAnsi"/>
        </w:rPr>
        <w:t xml:space="preserve">prolonged </w:t>
      </w:r>
      <w:r w:rsidR="003C3B6F" w:rsidRPr="00FD44CA">
        <w:rPr>
          <w:rFonts w:cstheme="minorHAnsi"/>
        </w:rPr>
        <w:t>hospital stay</w:t>
      </w:r>
      <w:r w:rsidR="00C57DD9">
        <w:rPr>
          <w:rFonts w:cstheme="minorHAnsi"/>
        </w:rPr>
        <w:t xml:space="preserve"> </w:t>
      </w:r>
      <w:r w:rsidR="00EF1C0E">
        <w:rPr>
          <w:rFonts w:cstheme="minorHAnsi"/>
        </w:rPr>
        <w:t xml:space="preserve">and is </w:t>
      </w:r>
      <w:r w:rsidR="00B80BE2">
        <w:rPr>
          <w:rFonts w:cstheme="minorHAnsi"/>
        </w:rPr>
        <w:t>estimated to cost up to £7.76 billion a year in the UK</w:t>
      </w:r>
      <w:r w:rsidR="00EF1C0E">
        <w:rPr>
          <w:rFonts w:cstheme="minorHAnsi"/>
        </w:rPr>
        <w:t xml:space="preserve"> in terms of healthcare costs (14)</w:t>
      </w:r>
      <w:r w:rsidR="00B80BE2">
        <w:rPr>
          <w:rFonts w:cstheme="minorHAnsi"/>
        </w:rPr>
        <w:t xml:space="preserve">. </w:t>
      </w:r>
      <w:r w:rsidR="00A30A97" w:rsidRPr="00FD44CA">
        <w:rPr>
          <w:rFonts w:cstheme="minorHAnsi"/>
        </w:rPr>
        <w:t>Our study</w:t>
      </w:r>
      <w:r w:rsidR="00FD44CA">
        <w:rPr>
          <w:rFonts w:cstheme="minorHAnsi"/>
        </w:rPr>
        <w:t xml:space="preserve"> </w:t>
      </w:r>
      <w:r w:rsidR="00A30A97" w:rsidRPr="00FD44CA">
        <w:rPr>
          <w:rFonts w:cstheme="minorHAnsi"/>
        </w:rPr>
        <w:t xml:space="preserve">suggests that </w:t>
      </w:r>
      <w:r w:rsidR="00EF1C0E">
        <w:rPr>
          <w:rFonts w:cstheme="minorHAnsi"/>
        </w:rPr>
        <w:t xml:space="preserve">the AQ sepsis program </w:t>
      </w:r>
      <w:r w:rsidR="00A30A97" w:rsidRPr="00FD44CA">
        <w:rPr>
          <w:rFonts w:cstheme="minorHAnsi"/>
        </w:rPr>
        <w:t>was associated with reduced length of stay and readmission. Although mortality did not appear to improve, improvements in duration of hospital admission and readmission are important outcomes with significant resource implications</w:t>
      </w:r>
      <w:r w:rsidR="006E20F1">
        <w:rPr>
          <w:rFonts w:cstheme="minorHAnsi"/>
        </w:rPr>
        <w:t>.</w:t>
      </w:r>
      <w:r w:rsidR="00EF1C0E">
        <w:rPr>
          <w:rFonts w:cstheme="minorHAnsi"/>
        </w:rPr>
        <w:t xml:space="preserve"> </w:t>
      </w:r>
      <w:r w:rsidR="006E20F1">
        <w:rPr>
          <w:rFonts w:cstheme="minorHAnsi"/>
        </w:rPr>
        <w:t xml:space="preserve">We are unable to make any </w:t>
      </w:r>
      <w:r w:rsidR="00862937">
        <w:rPr>
          <w:rFonts w:cstheme="minorHAnsi"/>
        </w:rPr>
        <w:t xml:space="preserve">strong </w:t>
      </w:r>
      <w:r w:rsidR="006E20F1">
        <w:rPr>
          <w:rFonts w:cstheme="minorHAnsi"/>
        </w:rPr>
        <w:t xml:space="preserve">conclusions about </w:t>
      </w:r>
      <w:r w:rsidR="00C33188">
        <w:rPr>
          <w:rFonts w:cstheme="minorHAnsi"/>
        </w:rPr>
        <w:t xml:space="preserve">whether the </w:t>
      </w:r>
      <w:r w:rsidR="006E20F1">
        <w:rPr>
          <w:rFonts w:cstheme="minorHAnsi"/>
        </w:rPr>
        <w:t xml:space="preserve">improvement in outcomes </w:t>
      </w:r>
      <w:r w:rsidR="00C33188">
        <w:rPr>
          <w:rFonts w:cstheme="minorHAnsi"/>
        </w:rPr>
        <w:t xml:space="preserve">were directly as a result of our program </w:t>
      </w:r>
      <w:r w:rsidR="006E20F1">
        <w:rPr>
          <w:rFonts w:cstheme="minorHAnsi"/>
        </w:rPr>
        <w:t xml:space="preserve">as we do not have similar data before the program started to do an interrupted time series analysis. </w:t>
      </w:r>
      <w:r w:rsidR="00862937">
        <w:rPr>
          <w:rFonts w:cstheme="minorHAnsi"/>
        </w:rPr>
        <w:t xml:space="preserve">We therefore acknowledge that despite being unlikely, temporal trends may be an alternative explanation for the improvements in outcomes. </w:t>
      </w:r>
      <w:r w:rsidR="005B66B4">
        <w:rPr>
          <w:rFonts w:cstheme="minorHAnsi"/>
        </w:rPr>
        <w:t xml:space="preserve">This notwithstanding </w:t>
      </w:r>
      <w:r w:rsidR="006E20F1">
        <w:rPr>
          <w:rFonts w:cstheme="minorHAnsi"/>
        </w:rPr>
        <w:t xml:space="preserve">our study is one of the first sepsis improvement programs to report length of stay and readmission rates as well as mortality data.  Readmission following an episode of sepsis is as important because some studies have reported up to 30% of patients with sepsis developing another episode within 90 days </w:t>
      </w:r>
      <w:r w:rsidR="006E20F1">
        <w:rPr>
          <w:rFonts w:cstheme="minorHAnsi"/>
        </w:rPr>
        <w:fldChar w:fldCharType="begin" w:fldLock="1"/>
      </w:r>
      <w:r w:rsidR="006E20F1">
        <w:rPr>
          <w:rFonts w:cstheme="minorHAnsi"/>
        </w:rPr>
        <w:instrText>ADDIN CSL_CITATION { "citationItems" : [ { "id" : "ITEM-1", "itemData" : { "DOI" : "10.1097/CCM.0000000000002626", "ISBN" : "1530-0293 (Electronic)\r0090-3493 (Linking)", "ISSN" : "15300293", "abstract" : "Sepsis hospitalizations are frequently followed by hospital readmissions, often for recurrent sepsis. However, it is unclear how often sepsis readmissions are for relapsed/recrudescent versus new infections. The aim of this study was to assess the extent to which 90-day readmissions for recurrent sepsis are due to infection of the same site and same pathogen as the initial episode.\nRetrospective cohort study.\nUniversity of Michigan Health System.\nAll hospitalizations (May 15, 2013 to May 14, 2015) with a principal International Classification of Diseases, Ninth revision, Clinical Modification diagnosis of septicemia (038.x), severe sepsis (995.92), or septic shock (785.52), as well as all subsequent hospitalizations and sepsis readmissions within 90 days. We determined organism and site of sepsis through manual chart abstraction.\nNone.\nWe identified 472 readmissions within 90 days of sepsis, of which 137 (29.1%) were for sepsis. In sepsis readmissions, the site and organisms were most commonly urinary (29.2%), gastrointestinal (20.4%), Gram negative (29.9%), Gram positive (16.8%), and culture negative (30.7%). Ninety-four readmissions (68.6%) were for infection at the same site as initial sepsis hospitalization. Nineteen percent of readmissions were confirmed to be same site and same organism. However, accounting for the uncertainty from culture-negative sepsis, as many as 53.2% of readmissions could plausibly due to infections with both the same organism and same site.\nOf the patients readmitted with sepsis within 90 days, two thirds had infection at the same site as their initial admission. Just 19% had infection confirmed to be from the same site and organism as the initial sepsis hospitalization. Half of readmissions were definitively for new infections, whereas an additional 34% were unclear since cultures were negative in one of the hospitalizations.", "author" : [ { "dropping-particle" : "", "family" : "Demerle", "given" : "Kimberley Marie", "non-dropping-particle" : "", "parse-names" : false, "suffix" : "" }, { "dropping-particle" : "", "family" : "Royer", "given" : "Stephanie C.", "non-dropping-particle" : "", "parse-names" : false, "suffix" : "" }, { "dropping-particle" : "", "family" : "Mikkelsen", "given" : "Mark E.", "non-dropping-particle" : "", "parse-names" : false, "suffix" : "" }, { "dropping-particle" : "", "family" : "Prescott", "given" : "Hallie C.", "non-dropping-particle" : "", "parse-names" : false, "suffix" : "" } ], "container-title" : "Critical Care Medicine", "id" : "ITEM-1", "issue" : "10", "issued" : { "date-parts" : [ [ "2017" ] ] }, "page" : "1702-1708", "title" : "Readmissions for recurrent sepsis: New or relapsed infection?", "type" : "article-journal", "volume" : "45" }, "uris" : [ "http://www.mendeley.com/documents/?uuid=50a00d6d-326e-4901-a9d4-4901e0ae6233" ] } ], "mendeley" : { "formattedCitation" : "(15)", "plainTextFormattedCitation" : "(15)", "previouslyFormattedCitation" : "(15)" }, "properties" : {  }, "schema" : "https://github.com/citation-style-language/schema/raw/master/csl-citation.json" }</w:instrText>
      </w:r>
      <w:r w:rsidR="006E20F1">
        <w:rPr>
          <w:rFonts w:cstheme="minorHAnsi"/>
        </w:rPr>
        <w:fldChar w:fldCharType="separate"/>
      </w:r>
      <w:r w:rsidR="006E20F1" w:rsidRPr="00090DDE">
        <w:rPr>
          <w:rFonts w:cstheme="minorHAnsi"/>
          <w:noProof/>
        </w:rPr>
        <w:t>(15)</w:t>
      </w:r>
      <w:r w:rsidR="006E20F1">
        <w:rPr>
          <w:rFonts w:cstheme="minorHAnsi"/>
        </w:rPr>
        <w:fldChar w:fldCharType="end"/>
      </w:r>
      <w:r w:rsidR="006E20F1">
        <w:rPr>
          <w:rFonts w:cstheme="minorHAnsi"/>
        </w:rPr>
        <w:t xml:space="preserve"> and it is associated with high healthcare utilisation and costs</w:t>
      </w:r>
      <w:r w:rsidR="00A30A97" w:rsidRPr="00FD44CA">
        <w:rPr>
          <w:rFonts w:cstheme="minorHAnsi"/>
        </w:rPr>
        <w:t xml:space="preserve">. </w:t>
      </w:r>
      <w:r w:rsidR="00B368B6">
        <w:rPr>
          <w:rFonts w:cstheme="minorHAnsi"/>
        </w:rPr>
        <w:t>F</w:t>
      </w:r>
      <w:r w:rsidR="00B80BE2">
        <w:rPr>
          <w:rFonts w:cstheme="minorHAnsi"/>
        </w:rPr>
        <w:t xml:space="preserve">urther cost-effectiveness evaluation of this program is </w:t>
      </w:r>
      <w:r w:rsidR="00B368B6">
        <w:rPr>
          <w:rFonts w:cstheme="minorHAnsi"/>
        </w:rPr>
        <w:t>needed</w:t>
      </w:r>
      <w:r w:rsidR="00B80BE2">
        <w:rPr>
          <w:rFonts w:cstheme="minorHAnsi"/>
        </w:rPr>
        <w:t xml:space="preserve">. </w:t>
      </w:r>
      <w:r w:rsidR="0053266B">
        <w:rPr>
          <w:rFonts w:cstheme="minorHAnsi"/>
        </w:rPr>
        <w:t xml:space="preserve">We </w:t>
      </w:r>
      <w:r w:rsidR="003840A9">
        <w:rPr>
          <w:rFonts w:cstheme="minorHAnsi"/>
        </w:rPr>
        <w:t>recognise</w:t>
      </w:r>
      <w:r w:rsidR="0053266B">
        <w:rPr>
          <w:rFonts w:cstheme="minorHAnsi"/>
        </w:rPr>
        <w:t xml:space="preserve"> that process measures and provider-centred outcomes such as clinical and nursing workload </w:t>
      </w:r>
      <w:r w:rsidR="006D2D75">
        <w:rPr>
          <w:rFonts w:cstheme="minorHAnsi"/>
        </w:rPr>
        <w:t xml:space="preserve">are also </w:t>
      </w:r>
      <w:r w:rsidR="0053266B">
        <w:rPr>
          <w:rFonts w:cstheme="minorHAnsi"/>
        </w:rPr>
        <w:t xml:space="preserve">useful outcomes to assess. However we were unable to compare these because we did not have </w:t>
      </w:r>
      <w:r w:rsidR="006D2D75">
        <w:rPr>
          <w:rFonts w:cstheme="minorHAnsi"/>
        </w:rPr>
        <w:t xml:space="preserve">such </w:t>
      </w:r>
      <w:r w:rsidR="0053266B">
        <w:rPr>
          <w:rFonts w:cstheme="minorHAnsi"/>
        </w:rPr>
        <w:t xml:space="preserve">data for all the hospitals before the collaborative. </w:t>
      </w:r>
      <w:r w:rsidR="00E06AFB">
        <w:rPr>
          <w:rFonts w:cstheme="minorHAnsi"/>
        </w:rPr>
        <w:t xml:space="preserve">We </w:t>
      </w:r>
      <w:r w:rsidR="006D2D75">
        <w:rPr>
          <w:rFonts w:cstheme="minorHAnsi"/>
        </w:rPr>
        <w:t xml:space="preserve">also </w:t>
      </w:r>
      <w:r w:rsidR="00E06AFB">
        <w:rPr>
          <w:rFonts w:cstheme="minorHAnsi"/>
        </w:rPr>
        <w:t xml:space="preserve">acknowledge that it would </w:t>
      </w:r>
      <w:r w:rsidR="006D2D75">
        <w:rPr>
          <w:rFonts w:cstheme="minorHAnsi"/>
        </w:rPr>
        <w:t>have been u</w:t>
      </w:r>
      <w:r w:rsidR="00E06AFB">
        <w:rPr>
          <w:rFonts w:cstheme="minorHAnsi"/>
        </w:rPr>
        <w:t xml:space="preserve">seful to explore whether there </w:t>
      </w:r>
      <w:r w:rsidR="006D2D75">
        <w:rPr>
          <w:rFonts w:cstheme="minorHAnsi"/>
        </w:rPr>
        <w:t>was</w:t>
      </w:r>
      <w:r w:rsidR="00E06AFB">
        <w:rPr>
          <w:rFonts w:cstheme="minorHAnsi"/>
        </w:rPr>
        <w:t xml:space="preserve"> a dose-response relationship </w:t>
      </w:r>
      <w:r w:rsidR="006D2D75">
        <w:rPr>
          <w:rFonts w:cstheme="minorHAnsi"/>
        </w:rPr>
        <w:t>with greater adoption of elements of the sepsis bundle resulting in better outcome</w:t>
      </w:r>
      <w:r w:rsidR="003840A9">
        <w:rPr>
          <w:rFonts w:cstheme="minorHAnsi"/>
        </w:rPr>
        <w:t xml:space="preserve">s. We intend </w:t>
      </w:r>
      <w:r w:rsidR="006D2D75">
        <w:rPr>
          <w:rFonts w:cstheme="minorHAnsi"/>
        </w:rPr>
        <w:t xml:space="preserve">to </w:t>
      </w:r>
      <w:r w:rsidR="002A621E">
        <w:rPr>
          <w:rFonts w:cstheme="minorHAnsi"/>
        </w:rPr>
        <w:t xml:space="preserve">assess this </w:t>
      </w:r>
      <w:r w:rsidR="006D2D75">
        <w:rPr>
          <w:rFonts w:cstheme="minorHAnsi"/>
        </w:rPr>
        <w:t xml:space="preserve">as a separate study. </w:t>
      </w:r>
    </w:p>
    <w:p w14:paraId="2F717583" w14:textId="77777777" w:rsidR="00B368B6" w:rsidRDefault="00B368B6" w:rsidP="00FD44CA">
      <w:pPr>
        <w:jc w:val="both"/>
        <w:rPr>
          <w:rFonts w:cstheme="minorHAnsi"/>
        </w:rPr>
      </w:pPr>
    </w:p>
    <w:p w14:paraId="055E27F0" w14:textId="77EEF21C" w:rsidR="003C3B6F" w:rsidRPr="00FD44CA" w:rsidRDefault="00A8686B" w:rsidP="00FD44CA">
      <w:pPr>
        <w:jc w:val="both"/>
        <w:rPr>
          <w:rFonts w:cstheme="minorHAnsi"/>
        </w:rPr>
      </w:pPr>
      <w:r w:rsidRPr="00FD44CA">
        <w:rPr>
          <w:rFonts w:cstheme="minorHAnsi"/>
        </w:rPr>
        <w:t xml:space="preserve">We found that </w:t>
      </w:r>
      <w:r w:rsidR="003417DF">
        <w:rPr>
          <w:rFonts w:cstheme="minorHAnsi"/>
        </w:rPr>
        <w:t xml:space="preserve">elevated </w:t>
      </w:r>
      <w:r w:rsidRPr="00FD44CA">
        <w:rPr>
          <w:rFonts w:cstheme="minorHAnsi"/>
        </w:rPr>
        <w:t>l</w:t>
      </w:r>
      <w:r w:rsidR="003C3B6F" w:rsidRPr="00FD44CA">
        <w:rPr>
          <w:rFonts w:cstheme="minorHAnsi"/>
        </w:rPr>
        <w:t>actate</w:t>
      </w:r>
      <w:r w:rsidR="003417DF">
        <w:rPr>
          <w:rFonts w:cstheme="minorHAnsi"/>
        </w:rPr>
        <w:t xml:space="preserve"> levels</w:t>
      </w:r>
      <w:r w:rsidR="003C3B6F" w:rsidRPr="00FD44CA">
        <w:rPr>
          <w:rFonts w:cstheme="minorHAnsi"/>
        </w:rPr>
        <w:t xml:space="preserve">, </w:t>
      </w:r>
      <w:r w:rsidR="003417DF">
        <w:rPr>
          <w:rFonts w:cstheme="minorHAnsi"/>
        </w:rPr>
        <w:t xml:space="preserve">increasing </w:t>
      </w:r>
      <w:r w:rsidR="003C3B6F" w:rsidRPr="00FD44CA">
        <w:rPr>
          <w:rFonts w:cstheme="minorHAnsi"/>
        </w:rPr>
        <w:t xml:space="preserve">age, hypoxia, hypotension, </w:t>
      </w:r>
      <w:proofErr w:type="spellStart"/>
      <w:r w:rsidRPr="00FD44CA">
        <w:rPr>
          <w:rFonts w:cstheme="minorHAnsi"/>
        </w:rPr>
        <w:t>Charlson</w:t>
      </w:r>
      <w:proofErr w:type="spellEnd"/>
      <w:r w:rsidRPr="00FD44CA">
        <w:rPr>
          <w:rFonts w:cstheme="minorHAnsi"/>
        </w:rPr>
        <w:t xml:space="preserve"> </w:t>
      </w:r>
      <w:proofErr w:type="spellStart"/>
      <w:r w:rsidRPr="00FD44CA">
        <w:rPr>
          <w:rFonts w:cstheme="minorHAnsi"/>
        </w:rPr>
        <w:t>Comorbidy</w:t>
      </w:r>
      <w:proofErr w:type="spellEnd"/>
      <w:r w:rsidRPr="00FD44CA">
        <w:rPr>
          <w:rFonts w:cstheme="minorHAnsi"/>
        </w:rPr>
        <w:t xml:space="preserve"> Index (</w:t>
      </w:r>
      <w:r w:rsidR="003C3B6F" w:rsidRPr="00FD44CA">
        <w:rPr>
          <w:rFonts w:cstheme="minorHAnsi"/>
        </w:rPr>
        <w:t>CCI</w:t>
      </w:r>
      <w:r w:rsidRPr="00FD44CA">
        <w:rPr>
          <w:rFonts w:cstheme="minorHAnsi"/>
        </w:rPr>
        <w:t>)</w:t>
      </w:r>
      <w:r w:rsidR="003C3B6F" w:rsidRPr="00FD44CA">
        <w:rPr>
          <w:rFonts w:cstheme="minorHAnsi"/>
        </w:rPr>
        <w:t xml:space="preserve"> predict worse outcomes </w:t>
      </w:r>
      <w:r w:rsidR="00A30A97" w:rsidRPr="00FD44CA">
        <w:rPr>
          <w:rFonts w:cstheme="minorHAnsi"/>
        </w:rPr>
        <w:t xml:space="preserve">such as </w:t>
      </w:r>
      <w:r w:rsidR="003C3B6F" w:rsidRPr="00FD44CA">
        <w:rPr>
          <w:rFonts w:cstheme="minorHAnsi"/>
        </w:rPr>
        <w:t>mortality and</w:t>
      </w:r>
      <w:r w:rsidR="00A30A97" w:rsidRPr="00FD44CA">
        <w:rPr>
          <w:rFonts w:cstheme="minorHAnsi"/>
        </w:rPr>
        <w:t xml:space="preserve"> prolonged hospital stay. </w:t>
      </w:r>
      <w:r w:rsidR="00E2475E" w:rsidRPr="00FD44CA">
        <w:rPr>
          <w:rFonts w:cstheme="minorHAnsi"/>
        </w:rPr>
        <w:t xml:space="preserve"> However th</w:t>
      </w:r>
      <w:r w:rsidR="00DD0FA3" w:rsidRPr="00FD44CA">
        <w:rPr>
          <w:rFonts w:cstheme="minorHAnsi"/>
        </w:rPr>
        <w:t>e</w:t>
      </w:r>
      <w:r w:rsidR="00A30A97" w:rsidRPr="00FD44CA">
        <w:rPr>
          <w:rFonts w:cstheme="minorHAnsi"/>
        </w:rPr>
        <w:t>se variables</w:t>
      </w:r>
      <w:r w:rsidR="00DD0FA3" w:rsidRPr="00FD44CA">
        <w:rPr>
          <w:rFonts w:cstheme="minorHAnsi"/>
        </w:rPr>
        <w:t xml:space="preserve"> </w:t>
      </w:r>
      <w:r w:rsidR="00125E4E">
        <w:rPr>
          <w:rFonts w:cstheme="minorHAnsi"/>
        </w:rPr>
        <w:t>did</w:t>
      </w:r>
      <w:r w:rsidR="00125E4E" w:rsidRPr="00FD44CA">
        <w:rPr>
          <w:rFonts w:cstheme="minorHAnsi"/>
        </w:rPr>
        <w:t xml:space="preserve"> </w:t>
      </w:r>
      <w:r w:rsidR="00DD0FA3" w:rsidRPr="00FD44CA">
        <w:rPr>
          <w:rFonts w:cstheme="minorHAnsi"/>
        </w:rPr>
        <w:t xml:space="preserve">not predict </w:t>
      </w:r>
      <w:r w:rsidR="003C3B6F" w:rsidRPr="00FD44CA">
        <w:rPr>
          <w:rFonts w:cstheme="minorHAnsi"/>
        </w:rPr>
        <w:t>readmission</w:t>
      </w:r>
      <w:r w:rsidR="00A30A97" w:rsidRPr="00FD44CA">
        <w:rPr>
          <w:rFonts w:cstheme="minorHAnsi"/>
        </w:rPr>
        <w:t xml:space="preserve"> rates</w:t>
      </w:r>
      <w:r w:rsidR="00756152" w:rsidRPr="00FD44CA">
        <w:rPr>
          <w:rFonts w:cstheme="minorHAnsi"/>
        </w:rPr>
        <w:t xml:space="preserve"> </w:t>
      </w:r>
      <w:r w:rsidR="00125E4E">
        <w:rPr>
          <w:rFonts w:cstheme="minorHAnsi"/>
        </w:rPr>
        <w:t xml:space="preserve">maybe </w:t>
      </w:r>
      <w:r w:rsidR="00FD44CA" w:rsidRPr="00FD44CA">
        <w:rPr>
          <w:rFonts w:cstheme="minorHAnsi"/>
        </w:rPr>
        <w:t>because risk</w:t>
      </w:r>
      <w:r w:rsidR="00A30A97" w:rsidRPr="00FD44CA">
        <w:rPr>
          <w:rFonts w:cstheme="minorHAnsi"/>
        </w:rPr>
        <w:t xml:space="preserve"> of readmission is </w:t>
      </w:r>
      <w:r w:rsidR="003C3B6F" w:rsidRPr="00FD44CA">
        <w:rPr>
          <w:rFonts w:cstheme="minorHAnsi"/>
        </w:rPr>
        <w:t>determined by social as well as medical factors</w:t>
      </w:r>
      <w:r w:rsidR="00011C7C">
        <w:rPr>
          <w:rFonts w:cstheme="minorHAnsi"/>
        </w:rPr>
        <w:fldChar w:fldCharType="begin" w:fldLock="1"/>
      </w:r>
      <w:r w:rsidR="00E44D59">
        <w:rPr>
          <w:rFonts w:cstheme="minorHAnsi"/>
        </w:rPr>
        <w:instrText>ADDIN CSL_CITATION { "citationItems" : [ { "id" : "ITEM-1", "itemData" : { "DOI" : "10.1111/1475-6773.12670", "ISSN" : "14756773", "PMID" : "28295260", "abstract" : "OBJECTIVE: To evaluate the prevalence of seven social factors using physician notes as compared to claims and structured electronic health records (EHRs) data and the resulting association with 30-day readmissions. STUDY SETTING: A multihospital academic health system in southeastern Massachusetts. STUDY DESIGN: An observational study of 49,319 patients with cardiovascular disease admitted from January 1, 2011, to December 31, 2013, using multivariable logistic regression to adjust for patient characteristics. DATA COLLECTION/EXTRACTION METHODS: All-payer claims, EHR data, and physician notes extracted from a centralized clinical registry. PRINCIPAL FINDINGS: All seven social characteristics were identified at the highest rates in physician notes. For example, we identified 14,872 patient admissions with poor social support in physician notes, increasing the prevalence from 0.4 percent using ICD-9 codes and structured EHR data to 16.0 percent. Compared to an 18.6 percent baseline readmission rate, risk-adjusted analysis showed higher readmission risk for patients with housing instability (readmission rate 24.5 percent; p &lt; .001), depression (20.6 percent; p &lt; .001), drug abuse (20.2 percent; p = .01), and poor social support (20.0 percent; p = .01). CONCLUSIONS: The seven social risk factors studied are substantially more prevalent than represented in administrative data. Automated methods for analyzing physician notes may enable better identification of patients with social needs.", "author" : [ { "dropping-particle" : "", "family" : "Navathe", "given" : "Amol S.", "non-dropping-particle" : "", "parse-names" : false, "suffix" : "" }, { "dropping-particle" : "", "family" : "Zhong", "given" : "Feiran", "non-dropping-particle" : "", "parse-names" : false, "suffix" : "" }, { "dropping-particle" : "", "family" : "Lei", "given" : "Victor J.", "non-dropping-particle" : "", "parse-names" : false, "suffix" : "" }, { "dropping-particle" : "", "family" : "Chang", "given" : "Frank Y.", "non-dropping-particle" : "", "parse-names" : false, "suffix" : "" }, { "dropping-particle" : "", "family" : "Sordo", "given" : "Margarita", "non-dropping-particle" : "", "parse-names" : false, "suffix" : "" }, { "dropping-particle" : "", "family" : "Topaz", "given" : "Maxim", "non-dropping-particle" : "", "parse-names" : false, "suffix" : "" }, { "dropping-particle" : "", "family" : "Navathe", "given" : "Shamkant B.", "non-dropping-particle" : "", "parse-names" : false, "suffix" : "" }, { "dropping-particle" : "", "family" : "Rocha", "given" : "Roberto A.", "non-dropping-particle" : "", "parse-names" : false, "suffix" : "" }, { "dropping-particle" : "", "family" : "Zhou", "given" : "Li", "non-dropping-particle" : "", "parse-names" : false, "suffix" : "" } ], "container-title" : "Health Services Research", "id" : "ITEM-1", "issued" : { "date-parts" : [ [ "2017" ] ] }, "title" : "Hospital Readmission and Social Risk Factors Identified from Physician Notes", "type" : "article-newspaper" }, "uris" : [ "http://www.mendeley.com/documents/?uuid=58d68af1-8562-42ca-a1a1-f979aba72191", "http://www.mendeley.com/documents/?uuid=9f679b81-c610-4af7-8f7c-03705e34954c" ] } ], "mendeley" : { "formattedCitation" : "(16)", "plainTextFormattedCitation" : "(16)", "previouslyFormattedCitation" : "(16)" }, "properties" : { "noteIndex" : 0 }, "schema" : "https://github.com/citation-style-language/schema/raw/master/csl-citation.json" }</w:instrText>
      </w:r>
      <w:r w:rsidR="00011C7C">
        <w:rPr>
          <w:rFonts w:cstheme="minorHAnsi"/>
        </w:rPr>
        <w:fldChar w:fldCharType="separate"/>
      </w:r>
      <w:r w:rsidR="00B25ADB" w:rsidRPr="00B25ADB">
        <w:rPr>
          <w:rFonts w:cstheme="minorHAnsi"/>
          <w:noProof/>
        </w:rPr>
        <w:t>(16)</w:t>
      </w:r>
      <w:r w:rsidR="00011C7C">
        <w:rPr>
          <w:rFonts w:cstheme="minorHAnsi"/>
        </w:rPr>
        <w:fldChar w:fldCharType="end"/>
      </w:r>
      <w:r w:rsidR="003C3B6F" w:rsidRPr="00FD44CA">
        <w:rPr>
          <w:rFonts w:cstheme="minorHAnsi"/>
        </w:rPr>
        <w:t>.</w:t>
      </w:r>
      <w:r w:rsidR="00125E4E" w:rsidRPr="00125E4E">
        <w:rPr>
          <w:rFonts w:cstheme="minorHAnsi"/>
        </w:rPr>
        <w:t xml:space="preserve"> </w:t>
      </w:r>
      <w:r w:rsidR="00AE173C">
        <w:rPr>
          <w:rFonts w:cstheme="minorHAnsi"/>
        </w:rPr>
        <w:t>Information on</w:t>
      </w:r>
      <w:r w:rsidR="00B368B6">
        <w:rPr>
          <w:rFonts w:cstheme="minorHAnsi"/>
        </w:rPr>
        <w:t xml:space="preserve"> </w:t>
      </w:r>
      <w:r w:rsidR="00125E4E">
        <w:rPr>
          <w:rFonts w:cstheme="minorHAnsi"/>
        </w:rPr>
        <w:t>other</w:t>
      </w:r>
      <w:r w:rsidR="00BE2555">
        <w:rPr>
          <w:rFonts w:cstheme="minorHAnsi"/>
        </w:rPr>
        <w:t xml:space="preserve"> recognised</w:t>
      </w:r>
      <w:r w:rsidR="00125E4E">
        <w:rPr>
          <w:rFonts w:cstheme="minorHAnsi"/>
        </w:rPr>
        <w:t xml:space="preserve"> prognostic </w:t>
      </w:r>
      <w:r w:rsidR="003417DF">
        <w:rPr>
          <w:rFonts w:cstheme="minorHAnsi"/>
        </w:rPr>
        <w:t>criteria such as Sequential Organ Failure Assessment Score (SOFA) were</w:t>
      </w:r>
      <w:r w:rsidR="00125E4E">
        <w:rPr>
          <w:rFonts w:cstheme="minorHAnsi"/>
        </w:rPr>
        <w:t xml:space="preserve"> not available</w:t>
      </w:r>
      <w:r w:rsidR="00BE2555">
        <w:rPr>
          <w:rFonts w:cstheme="minorHAnsi"/>
        </w:rPr>
        <w:fldChar w:fldCharType="begin" w:fldLock="1"/>
      </w:r>
      <w:r w:rsidR="00E44D59">
        <w:rPr>
          <w:rFonts w:cstheme="minorHAnsi"/>
        </w:rPr>
        <w:instrText>ADDIN CSL_CITATION { "citationItems" : [ { "id" : "ITEM-1", "itemData" : { "DOI" : "10.1001/jama.2016.0287", "ISBN" : "0098-7484", "ISSN" : "1538-3598",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 OBJECTIVE To evaluate and, as needed, update definitions for sepsis and septic shock. PROCESS 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 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 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rapidly i\u2026",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"id" : "ITEM-1", "issue" : "8", "issued" : { "date-parts" : [ [ "2016" ] ] }, "page" : "801-10", "title" : "The Third International Consensus Definitions for Sepsis and Septic Shock (Sepsis-3).", "type" : "article-journal", "volume" : "315" }, "uris" : [ "http://www.mendeley.com/documents/?uuid=bef82073-22d8-4ff0-8a8c-916496c1f81c" ] } ], "mendeley" : { "formattedCitation" : "(17)", "plainTextFormattedCitation" : "(17)", "previouslyFormattedCitation" : "(17)" }, "properties" : { "noteIndex" : 0 }, "schema" : "https://github.com/citation-style-language/schema/raw/master/csl-citation.json" }</w:instrText>
      </w:r>
      <w:r w:rsidR="00BE2555">
        <w:rPr>
          <w:rFonts w:cstheme="minorHAnsi"/>
        </w:rPr>
        <w:fldChar w:fldCharType="separate"/>
      </w:r>
      <w:r w:rsidR="00B25ADB" w:rsidRPr="00B25ADB">
        <w:rPr>
          <w:rFonts w:cstheme="minorHAnsi"/>
          <w:noProof/>
        </w:rPr>
        <w:t>(17)</w:t>
      </w:r>
      <w:r w:rsidR="00BE2555">
        <w:rPr>
          <w:rFonts w:cstheme="minorHAnsi"/>
        </w:rPr>
        <w:fldChar w:fldCharType="end"/>
      </w:r>
      <w:r w:rsidR="00125E4E">
        <w:rPr>
          <w:rFonts w:cstheme="minorHAnsi"/>
        </w:rPr>
        <w:t>.</w:t>
      </w:r>
      <w:r w:rsidR="007E5AAC">
        <w:rPr>
          <w:rFonts w:cstheme="minorHAnsi"/>
        </w:rPr>
        <w:t xml:space="preserve"> </w:t>
      </w:r>
      <w:r w:rsidR="00AE173C">
        <w:rPr>
          <w:rFonts w:cstheme="minorHAnsi"/>
        </w:rPr>
        <w:t xml:space="preserve">However the </w:t>
      </w:r>
      <w:r w:rsidR="007E5AAC">
        <w:rPr>
          <w:rFonts w:cstheme="minorHAnsi"/>
        </w:rPr>
        <w:t xml:space="preserve">quick SOFA score is currently being collected and its prognostic value should be assessed in future evaluation of the collaborative. </w:t>
      </w:r>
    </w:p>
    <w:p w14:paraId="082EC3C3" w14:textId="77777777" w:rsidR="00DD0FA3" w:rsidRPr="00FD44CA" w:rsidRDefault="00DD0FA3" w:rsidP="00FD44CA">
      <w:pPr>
        <w:jc w:val="both"/>
        <w:rPr>
          <w:rFonts w:cstheme="minorHAnsi"/>
        </w:rPr>
      </w:pPr>
    </w:p>
    <w:p w14:paraId="0518B900" w14:textId="46504F8A" w:rsidR="00E725B9" w:rsidRPr="00FD44CA" w:rsidRDefault="00BF2A2C" w:rsidP="00FD44CA">
      <w:pPr>
        <w:jc w:val="both"/>
        <w:rPr>
          <w:rFonts w:cstheme="minorHAnsi"/>
        </w:rPr>
      </w:pPr>
      <w:r w:rsidRPr="00FD44CA">
        <w:rPr>
          <w:rFonts w:cstheme="minorHAnsi"/>
        </w:rPr>
        <w:t xml:space="preserve">We </w:t>
      </w:r>
      <w:r w:rsidR="00AE173C">
        <w:rPr>
          <w:rFonts w:cstheme="minorHAnsi"/>
        </w:rPr>
        <w:t xml:space="preserve">also </w:t>
      </w:r>
      <w:r w:rsidRPr="00FD44CA">
        <w:rPr>
          <w:rFonts w:cstheme="minorHAnsi"/>
        </w:rPr>
        <w:t xml:space="preserve">found that </w:t>
      </w:r>
      <w:r w:rsidR="00DD0FA3" w:rsidRPr="00FD44CA">
        <w:rPr>
          <w:rFonts w:cstheme="minorHAnsi"/>
        </w:rPr>
        <w:t xml:space="preserve">some time dependent variables such as senior review and administration of supplemental oxygen </w:t>
      </w:r>
      <w:r w:rsidR="00AE7CE6">
        <w:rPr>
          <w:rFonts w:cstheme="minorHAnsi"/>
        </w:rPr>
        <w:t xml:space="preserve">or second litre of intravenous fluid with 2 hours </w:t>
      </w:r>
      <w:r w:rsidR="00DD0FA3" w:rsidRPr="00FD44CA">
        <w:rPr>
          <w:rFonts w:cstheme="minorHAnsi"/>
        </w:rPr>
        <w:t>showed an inverse association with mortality</w:t>
      </w:r>
      <w:proofErr w:type="gramStart"/>
      <w:r w:rsidR="00DD0FA3" w:rsidRPr="00FD44CA">
        <w:rPr>
          <w:rFonts w:cstheme="minorHAnsi"/>
        </w:rPr>
        <w:t>..</w:t>
      </w:r>
      <w:proofErr w:type="gramEnd"/>
      <w:r w:rsidR="00DD0FA3" w:rsidRPr="00FD44CA">
        <w:rPr>
          <w:rFonts w:cstheme="minorHAnsi"/>
        </w:rPr>
        <w:t xml:space="preserve"> </w:t>
      </w:r>
      <w:r w:rsidR="00E06AFB" w:rsidRPr="00D92737">
        <w:rPr>
          <w:rFonts w:cstheme="minorHAnsi"/>
        </w:rPr>
        <w:t xml:space="preserve">Further analysis </w:t>
      </w:r>
      <w:r w:rsidR="00C95036" w:rsidRPr="00086270">
        <w:rPr>
          <w:rFonts w:cstheme="minorHAnsi"/>
        </w:rPr>
        <w:t xml:space="preserve">to assess whether </w:t>
      </w:r>
      <w:r w:rsidR="00E06AFB" w:rsidRPr="00D92737">
        <w:rPr>
          <w:rFonts w:cstheme="minorHAnsi"/>
        </w:rPr>
        <w:t>patients who received these elements of the bundle had a higher median age</w:t>
      </w:r>
      <w:r w:rsidR="00C95036" w:rsidRPr="00086270">
        <w:rPr>
          <w:rFonts w:cstheme="minorHAnsi"/>
        </w:rPr>
        <w:t xml:space="preserve">, lower blood pressure, higher lactate or </w:t>
      </w:r>
      <w:proofErr w:type="spellStart"/>
      <w:r w:rsidR="00E06AFB" w:rsidRPr="00D92737">
        <w:rPr>
          <w:rFonts w:cstheme="minorHAnsi"/>
        </w:rPr>
        <w:t>Charlson</w:t>
      </w:r>
      <w:proofErr w:type="spellEnd"/>
      <w:r w:rsidR="00E06AFB" w:rsidRPr="00D92737">
        <w:rPr>
          <w:rFonts w:cstheme="minorHAnsi"/>
        </w:rPr>
        <w:t xml:space="preserve"> </w:t>
      </w:r>
      <w:proofErr w:type="spellStart"/>
      <w:r w:rsidR="00E06AFB" w:rsidRPr="00D92737">
        <w:rPr>
          <w:rFonts w:cstheme="minorHAnsi"/>
        </w:rPr>
        <w:t>Comordity</w:t>
      </w:r>
      <w:proofErr w:type="spellEnd"/>
      <w:r w:rsidR="00E06AFB" w:rsidRPr="00D92737">
        <w:rPr>
          <w:rFonts w:cstheme="minorHAnsi"/>
        </w:rPr>
        <w:t xml:space="preserve"> Index </w:t>
      </w:r>
      <w:r w:rsidR="00C95036" w:rsidRPr="00086270">
        <w:rPr>
          <w:rFonts w:cstheme="minorHAnsi"/>
        </w:rPr>
        <w:t xml:space="preserve">was not possible </w:t>
      </w:r>
      <w:r w:rsidR="00C95036" w:rsidRPr="00992D07">
        <w:rPr>
          <w:rFonts w:cstheme="minorHAnsi"/>
        </w:rPr>
        <w:t xml:space="preserve">because </w:t>
      </w:r>
      <w:r w:rsidR="005B66B4" w:rsidRPr="00992D07">
        <w:t>the</w:t>
      </w:r>
      <w:r w:rsidR="00C95036" w:rsidRPr="00992D07">
        <w:t xml:space="preserve"> variables were recorded as categorical </w:t>
      </w:r>
      <w:r w:rsidR="003840A9" w:rsidRPr="00992D07">
        <w:t>variables</w:t>
      </w:r>
      <w:r w:rsidR="00C95036" w:rsidRPr="00992D07">
        <w:t>. Althoug</w:t>
      </w:r>
      <w:bookmarkStart w:id="0" w:name="_GoBack"/>
      <w:bookmarkEnd w:id="0"/>
      <w:r w:rsidR="00C95036" w:rsidRPr="00992D07">
        <w:t xml:space="preserve">h this limited the analysis, we hypothesise that fluid </w:t>
      </w:r>
      <w:r w:rsidR="005B66B4" w:rsidRPr="00992D07">
        <w:t>resuscitation;</w:t>
      </w:r>
      <w:r w:rsidR="00C95036" w:rsidRPr="00992D07">
        <w:t xml:space="preserve"> </w:t>
      </w:r>
      <w:r w:rsidR="00C95036" w:rsidRPr="00992D07">
        <w:rPr>
          <w:rFonts w:cstheme="minorHAnsi"/>
        </w:rPr>
        <w:t xml:space="preserve">senior review and need for supplemental oxygen are </w:t>
      </w:r>
      <w:r w:rsidR="00C95036" w:rsidRPr="00FD44CA">
        <w:rPr>
          <w:rFonts w:cstheme="minorHAnsi"/>
        </w:rPr>
        <w:t>markers of severity of illness</w:t>
      </w:r>
      <w:r w:rsidR="00C95036">
        <w:rPr>
          <w:color w:val="1F497D"/>
        </w:rPr>
        <w:t>.</w:t>
      </w:r>
      <w:r w:rsidR="00C95036">
        <w:rPr>
          <w:rFonts w:cstheme="minorHAnsi"/>
        </w:rPr>
        <w:t xml:space="preserve"> In fact </w:t>
      </w:r>
      <w:r w:rsidR="003840A9">
        <w:rPr>
          <w:rFonts w:cstheme="minorHAnsi"/>
        </w:rPr>
        <w:t xml:space="preserve">the AQ sepsis </w:t>
      </w:r>
      <w:r w:rsidR="00C95036">
        <w:rPr>
          <w:rFonts w:cstheme="minorHAnsi"/>
        </w:rPr>
        <w:t xml:space="preserve">program recommended fluid resuscitation and senior review for hypotensive patients and patients with </w:t>
      </w:r>
      <w:proofErr w:type="spellStart"/>
      <w:r w:rsidR="00C95036">
        <w:rPr>
          <w:rFonts w:cstheme="minorHAnsi"/>
        </w:rPr>
        <w:t>hyperlactemia</w:t>
      </w:r>
      <w:proofErr w:type="spellEnd"/>
      <w:r w:rsidR="00C95036">
        <w:rPr>
          <w:rFonts w:cstheme="minorHAnsi"/>
        </w:rPr>
        <w:t xml:space="preserve"> because of the known association with severity of illness. </w:t>
      </w:r>
      <w:r w:rsidR="00E06AFB">
        <w:rPr>
          <w:rFonts w:cstheme="minorHAnsi"/>
        </w:rPr>
        <w:t xml:space="preserve"> We made a pragmatic decision to recommend starting a second litre of fluid within </w:t>
      </w:r>
      <w:r w:rsidR="003A4F35">
        <w:rPr>
          <w:rFonts w:cstheme="minorHAnsi"/>
        </w:rPr>
        <w:t>4</w:t>
      </w:r>
      <w:r w:rsidR="00E06AFB">
        <w:rPr>
          <w:rFonts w:cstheme="minorHAnsi"/>
        </w:rPr>
        <w:t xml:space="preserve"> hours </w:t>
      </w:r>
      <w:r w:rsidR="00F551A5">
        <w:rPr>
          <w:rFonts w:cstheme="minorHAnsi"/>
        </w:rPr>
        <w:t xml:space="preserve">for patients </w:t>
      </w:r>
      <w:r w:rsidR="00E06AFB">
        <w:rPr>
          <w:rFonts w:cstheme="minorHAnsi"/>
        </w:rPr>
        <w:t xml:space="preserve">who had hypotension or </w:t>
      </w:r>
      <w:proofErr w:type="spellStart"/>
      <w:r w:rsidR="00E06AFB">
        <w:rPr>
          <w:rFonts w:cstheme="minorHAnsi"/>
        </w:rPr>
        <w:t>hyperlactatemia</w:t>
      </w:r>
      <w:proofErr w:type="spellEnd"/>
      <w:r w:rsidR="00E06AFB">
        <w:rPr>
          <w:rFonts w:cstheme="minorHAnsi"/>
        </w:rPr>
        <w:t xml:space="preserve">. </w:t>
      </w:r>
      <w:r w:rsidR="002A621E">
        <w:rPr>
          <w:rFonts w:cstheme="minorHAnsi"/>
        </w:rPr>
        <w:t xml:space="preserve">This equated to approximately 30ml/kg/hour over 3 hours and was consistent with </w:t>
      </w:r>
      <w:r w:rsidR="00E06AFB">
        <w:rPr>
          <w:rFonts w:cstheme="minorHAnsi"/>
        </w:rPr>
        <w:t>surviving se</w:t>
      </w:r>
      <w:r w:rsidR="002A621E">
        <w:rPr>
          <w:rFonts w:cstheme="minorHAnsi"/>
        </w:rPr>
        <w:t xml:space="preserve">psis campaign guidelines for an average adult patient weighing 70 kg. We made </w:t>
      </w:r>
      <w:r w:rsidR="00E06AFB">
        <w:rPr>
          <w:rFonts w:cstheme="minorHAnsi"/>
        </w:rPr>
        <w:t xml:space="preserve">this decision in </w:t>
      </w:r>
      <w:r w:rsidR="00E06AFB">
        <w:rPr>
          <w:rFonts w:cstheme="minorHAnsi"/>
        </w:rPr>
        <w:lastRenderedPageBreak/>
        <w:t xml:space="preserve">order to ensure </w:t>
      </w:r>
      <w:r w:rsidR="002A621E">
        <w:rPr>
          <w:rFonts w:cstheme="minorHAnsi"/>
        </w:rPr>
        <w:t xml:space="preserve">our </w:t>
      </w:r>
      <w:r w:rsidR="00E06AFB">
        <w:rPr>
          <w:rFonts w:cstheme="minorHAnsi"/>
        </w:rPr>
        <w:t xml:space="preserve">fluid resuscitation bundle was easy to understand, implement and measure. </w:t>
      </w:r>
    </w:p>
    <w:p w14:paraId="207DD5EA" w14:textId="77777777" w:rsidR="00E725B9" w:rsidRPr="00FD44CA" w:rsidRDefault="00E725B9" w:rsidP="00FD44CA">
      <w:pPr>
        <w:jc w:val="both"/>
        <w:rPr>
          <w:rFonts w:cstheme="minorHAnsi"/>
        </w:rPr>
      </w:pPr>
    </w:p>
    <w:p w14:paraId="16843A09" w14:textId="1DCB6D6C" w:rsidR="00E725B9" w:rsidRPr="00FD44CA" w:rsidRDefault="00E725B9" w:rsidP="00FD44CA">
      <w:pPr>
        <w:jc w:val="both"/>
        <w:rPr>
          <w:rFonts w:cstheme="minorHAnsi"/>
        </w:rPr>
      </w:pPr>
      <w:r w:rsidRPr="00FD44CA">
        <w:rPr>
          <w:rFonts w:cstheme="minorHAnsi"/>
        </w:rPr>
        <w:t>Timely collection of blood culture</w:t>
      </w:r>
      <w:r w:rsidR="00A30A97" w:rsidRPr="00FD44CA">
        <w:rPr>
          <w:rFonts w:cstheme="minorHAnsi"/>
        </w:rPr>
        <w:t>, measurement of lactate</w:t>
      </w:r>
      <w:r w:rsidRPr="00FD44CA">
        <w:rPr>
          <w:rFonts w:cstheme="minorHAnsi"/>
        </w:rPr>
        <w:t xml:space="preserve"> and administration of antibiotics </w:t>
      </w:r>
      <w:r w:rsidR="00DD1677">
        <w:rPr>
          <w:rFonts w:cstheme="minorHAnsi"/>
        </w:rPr>
        <w:t>were</w:t>
      </w:r>
      <w:r w:rsidR="00DD1677" w:rsidRPr="00FD44CA">
        <w:rPr>
          <w:rFonts w:cstheme="minorHAnsi"/>
        </w:rPr>
        <w:t xml:space="preserve"> </w:t>
      </w:r>
      <w:r w:rsidRPr="00FD44CA">
        <w:rPr>
          <w:rFonts w:cstheme="minorHAnsi"/>
        </w:rPr>
        <w:t>associated with improved mortality</w:t>
      </w:r>
      <w:r w:rsidR="009F073B">
        <w:rPr>
          <w:rFonts w:cstheme="minorHAnsi"/>
        </w:rPr>
        <w:t xml:space="preserve">. </w:t>
      </w:r>
      <w:r w:rsidRPr="00FD44CA">
        <w:rPr>
          <w:rFonts w:cstheme="minorHAnsi"/>
        </w:rPr>
        <w:t xml:space="preserve">Although we are unable to make statements </w:t>
      </w:r>
      <w:r w:rsidR="00C57DD9">
        <w:rPr>
          <w:rFonts w:cstheme="minorHAnsi"/>
        </w:rPr>
        <w:t>about</w:t>
      </w:r>
      <w:r w:rsidR="00C57DD9" w:rsidRPr="00FD44CA">
        <w:rPr>
          <w:rFonts w:cstheme="minorHAnsi"/>
        </w:rPr>
        <w:t xml:space="preserve"> </w:t>
      </w:r>
      <w:r w:rsidRPr="00FD44CA">
        <w:rPr>
          <w:rFonts w:cstheme="minorHAnsi"/>
        </w:rPr>
        <w:t>causality</w:t>
      </w:r>
      <w:r w:rsidR="00A30A97" w:rsidRPr="00FD44CA">
        <w:rPr>
          <w:rFonts w:cstheme="minorHAnsi"/>
        </w:rPr>
        <w:t>,</w:t>
      </w:r>
      <w:r w:rsidR="00756152" w:rsidRPr="00FD44CA">
        <w:rPr>
          <w:rFonts w:cstheme="minorHAnsi"/>
        </w:rPr>
        <w:t xml:space="preserve"> </w:t>
      </w:r>
      <w:r w:rsidRPr="00FD44CA">
        <w:rPr>
          <w:rFonts w:cstheme="minorHAnsi"/>
        </w:rPr>
        <w:t xml:space="preserve">the findings are similar to findings from the International Surviving Sepsis </w:t>
      </w:r>
      <w:r w:rsidR="00165B6E">
        <w:rPr>
          <w:rFonts w:cstheme="minorHAnsi"/>
        </w:rPr>
        <w:t>Campaign</w:t>
      </w:r>
      <w:r w:rsidR="00165B6E" w:rsidRPr="00FD44CA">
        <w:rPr>
          <w:rFonts w:cstheme="minorHAnsi"/>
        </w:rPr>
        <w:t xml:space="preserve"> </w:t>
      </w:r>
      <w:r w:rsidR="00443C18">
        <w:rPr>
          <w:rFonts w:cstheme="minorHAnsi"/>
        </w:rPr>
        <w:t xml:space="preserve">and other observational studies </w:t>
      </w:r>
      <w:r w:rsidR="00E1740D">
        <w:rPr>
          <w:rFonts w:cstheme="minorHAnsi"/>
        </w:rPr>
        <w:fldChar w:fldCharType="begin" w:fldLock="1"/>
      </w:r>
      <w:r w:rsidR="00443C18">
        <w:rPr>
          <w:rFonts w:cstheme="minorHAnsi"/>
        </w:rPr>
        <w:instrText>ADDIN CSL_CITATION { "citationItems" : [ { "id" : "ITEM-1", "itemData" : { "DOI" : "10.1007/s00134-015-3906-y", "ISBN" : "1432-1238 (Electronic)\\r0342-4642 (Linking)", "ISSN" : "14321238", "PMID" : "26109396", "abstract" : "INTRODUCTION: Despite evidence demonstrating the value of performance initiatives, marked differences remain between hospitals in the delivery of care for patients with sepsis. The aims of this study were to improve our understanding of how compliance with the 3-h and 6-h Surviving Sepsis Campaign (SSC) bundles are used in different geographic areas, and how this relates to outcome. METHODS: This was a global, prospective, observational, quality improvement study of compliance with the SSC bundles in patients with either severe sepsis or septic shock. RESULTS: A total of 1794 patients from 62 countries were enrolled in the study with either severe sepsis or septic shock. Overall compliance with all the 3-h bundle metrics was 19 %. This was associated with lower hospital mortality than non-compliance (20 vs. 31 %, p &lt; 0.001). Overall compliance with all the 6-h bundle metrics was 36 %. This was associated with lower hospital mortality than non-compliance (22 vs. 32 %, p &lt; 0.001). After adjusting the crude mortality differences for ICU admission, sepsis status (severe sepsis or septic shock), location of diagnosis, APACHE II score and country, compliance remained independently associated with improvements in hospital mortality for both the 3-h bundle (OR = 0.64 (95 % CI 0.47-0.87), p = 0.004)) and 6-h bundle (OR = 0.71 (95 % CI 0.56-0.90), p = 0.005)). DISCUSSION: Compliance with all of the evidence-based bundle metrics was not high. Patients whose care included compliance with all of these metrics had a 40 % reduction in the odds of dying in hospital with the 3-h bundle and 36 % for the 6-h bundle.", "author" : [ { "dropping-particle" : "", "family" : "Rhodes", "given" : "Andrew", "non-dropping-particle" : "", "parse-names" : false, "suffix" : "" }, { "dropping-particle" : "", "family" : "Phillips", "given" : "Gary", "non-dropping-particle" : "", "parse-names" : false, "suffix" : "" }, { "dropping-particle" : "", "family" : "Beale", "given" : "Richard", "non-dropping-particle" : "", "parse-names" : false, "suffix" : "" }, { "dropping-particle" : "", "family" : "Cecconi", "given" : "Maurizio", "non-dropping-particle" : "", "parse-names" : false, "suffix" : "" }, { "dropping-particle" : "", "family" : "Chiche", "given" : "Jean Daniel", "non-dropping-particle" : "", "parse-names" : false, "suffix" : "" }, { "dropping-particle" : "", "family" : "Backer", "given" : "Daniel", "non-dropping-particle" : "De", "parse-names" : false, "suffix" : "" }, { "dropping-particle" : "", "family" : "Divatia", "given" : "Jigeeshu", "non-dropping-particle" : "", "parse-names" : false, "suffix" : "" }, { "dropping-particle" : "", "family" : "Du", "given" : "Bin", "non-dropping-particle" : "", "parse-names" : false, "suffix" : "" }, { "dropping-particle" : "", "family" : "Evans", "given" : "Laura", "non-dropping-particle" : "", "parse-names" : false, "suffix" : "" }, { "dropping-particle" : "", "family" : "Ferrer", "given" : "Ricard", "non-dropping-particle" : "", "parse-names" : false, "suffix" : "" }, { "dropping-particle" : "", "family" : "Girardis", "given" : "Massimo", "non-dropping-particle" : "", "parse-names" : false, "suffix" : "" }, { "dropping-particle" : "", "family" : "Koulenti", "given" : "Despoina", "non-dropping-particle" : "", "parse-names" : false, "suffix" : "" }, { "dropping-particle" : "", "family" : "Machado", "given" : "Flavia", "non-dropping-particle" : "", "parse-names" : false, "suffix" : "" }, { "dropping-particle" : "", "family" : "Simpson", "given" : "Steven Q.", "non-dropping-particle" : "", "parse-names" : false, "suffix" : "" }, { "dropping-particle" : "", "family" : "Tan", "given" : "Cheng Cheng", "non-dropping-particle" : "", "parse-names" : false, "suffix" : "" }, { "dropping-particle" : "", "family" : "Wittebole", "given" : "Xavier", "non-dropping-particle" : "", "parse-names" : false, "suffix" : "" }, { "dropping-particle" : "", "family" : "Levy", "given" : "Mitchell", "non-dropping-particle" : "", "parse-names" : false, "suffix" : "" } ], "container-title" : "Intensive Care Medicine", "id" : "ITEM-1", "issue" : "9", "issued" : { "date-parts" : [ [ "2015" ] ] }, "page" : "1620-1628", "title" : "The Surviving Sepsis Campaign bundles and outcome: results from the International Multicentre Prevalence Study on Sepsis (the IMPreSS study)", "type" : "article-journal", "volume" : "41" }, "uris" : [ "http://www.mendeley.com/documents/?uuid=0662dadd-e4a2-436b-b828-2839addac152" ] } ], "mendeley" : { "formattedCitation" : "(11)", "plainTextFormattedCitation" : "(11)", "previouslyFormattedCitation" : "(11)" }, "properties" : { "noteIndex" : 0 }, "schema" : "https://github.com/citation-style-language/schema/raw/master/csl-citation.json" }</w:instrText>
      </w:r>
      <w:r w:rsidR="00E1740D">
        <w:rPr>
          <w:rFonts w:cstheme="minorHAnsi"/>
        </w:rPr>
        <w:fldChar w:fldCharType="separate"/>
      </w:r>
      <w:r w:rsidR="00443C18" w:rsidRPr="00443C18">
        <w:rPr>
          <w:rFonts w:cstheme="minorHAnsi"/>
          <w:noProof/>
        </w:rPr>
        <w:t>(11)</w:t>
      </w:r>
      <w:r w:rsidR="00E1740D">
        <w:rPr>
          <w:rFonts w:cstheme="minorHAnsi"/>
        </w:rPr>
        <w:fldChar w:fldCharType="end"/>
      </w:r>
      <w:r w:rsidR="00443C18">
        <w:rPr>
          <w:rFonts w:cstheme="minorHAnsi"/>
        </w:rPr>
        <w:t xml:space="preserve"> </w:t>
      </w:r>
      <w:r w:rsidR="00443C18">
        <w:rPr>
          <w:rFonts w:cstheme="minorHAnsi"/>
        </w:rPr>
        <w:fldChar w:fldCharType="begin" w:fldLock="1"/>
      </w:r>
      <w:r w:rsidR="00443C18">
        <w:rPr>
          <w:rFonts w:cstheme="minorHAnsi"/>
        </w:rPr>
        <w:instrText>ADDIN CSL_CITATION { "citationItems" : [ { "id" : "ITEM-1", "itemData" : { "DOI" : "10.1136/emermed-2015-205645", "ISSN" : "1472-0205", "author" : [ { "dropping-particle" : "", "family" : "Groot", "given" : "Bas", "non-dropping-particle" : "De", "parse-names" : false, "suffix" : "" }, { "dropping-particle" : "", "family" : "Struyk", "given" : "Bastiaan", "non-dropping-particle" : "", "parse-names" : false, "suffix" : "" }, { "dropping-particle" : "", "family" : "Najafi", "given" : "Rashed", "non-dropping-particle" : "", "parse-names" : false, "suffix" : "" }, { "dropping-particle" : "", "family" : "Halma", "given" : "Nieke", "non-dropping-particle" : "", "parse-names" : false, "suffix" : "" }, { "dropping-particle" : "", "family" : "Pelser", "given" : "Loekie", "non-dropping-particle" : "", "parse-names" : false, "suffix" : "" }, { "dropping-particle" : "", "family" : "Vorst", "given" : "Denise", "non-dropping-particle" : "", "parse-names" : false, "suffix" : "" }, { "dropping-particle" : "", "family" : "Mertens", "given" : "Bart", "non-dropping-particle" : "", "parse-names" : false, "suffix" : "" }, { "dropping-particle" : "", "family" : "Ansems", "given" : "Annemieke", "non-dropping-particle" : "", "parse-names" : false, "suffix" : "" }, { "dropping-particle" : "", "family" : "Rijpsma", "given" : "Douwe", "non-dropping-particle" : "", "parse-names" : false, "suffix" : "" } ], "container-title" : "Emergency Medicine Journal", "id" : "ITEM-1", "issued" : { "date-parts" : [ [ "2017", "5", "17" ] ] }, "page" : "emermed-2015-205645", "title" : "Inclusion of emergency department patients in early stages of sepsis in a quality improvement programme has the potential to improve survival: a prospective dual-centre study", "type" : "article-journal" }, "uris" : [ "http://www.mendeley.com/documents/?uuid=e7b59c32-6de0-4355-8f20-8f5fbf65a420" ] } ], "mendeley" : { "formattedCitation" : "(18)", "plainTextFormattedCitation" : "(18)", "previouslyFormattedCitation" : "(18)" }, "properties" : { "noteIndex" : 0 }, "schema" : "https://github.com/citation-style-language/schema/raw/master/csl-citation.json" }</w:instrText>
      </w:r>
      <w:r w:rsidR="00443C18">
        <w:rPr>
          <w:rFonts w:cstheme="minorHAnsi"/>
        </w:rPr>
        <w:fldChar w:fldCharType="separate"/>
      </w:r>
      <w:r w:rsidR="00443C18" w:rsidRPr="00443C18">
        <w:rPr>
          <w:rFonts w:cstheme="minorHAnsi"/>
          <w:noProof/>
        </w:rPr>
        <w:t>(18)</w:t>
      </w:r>
      <w:r w:rsidR="00443C18">
        <w:rPr>
          <w:rFonts w:cstheme="minorHAnsi"/>
        </w:rPr>
        <w:fldChar w:fldCharType="end"/>
      </w:r>
      <w:r w:rsidR="00443C18">
        <w:rPr>
          <w:rFonts w:cstheme="minorHAnsi"/>
        </w:rPr>
        <w:fldChar w:fldCharType="begin" w:fldLock="1"/>
      </w:r>
      <w:r w:rsidR="008F374A">
        <w:rPr>
          <w:rFonts w:cstheme="minorHAnsi"/>
        </w:rPr>
        <w:instrText>ADDIN CSL_CITATION { "citationItems" : [ { "id" : "ITEM-1", "itemData" : { "DOI" : "10.1056/NEJMoa1703058", "ISSN" : "0028-4793", "PMID" : "28528569", "author" : [ { "dropping-particle" : "", "family" : "Seymour", "given" : "Christopher W.", "non-dropping-particle" : "", "parse-names" : false, "suffix" : "" }, { "dropping-particle" : "", "family" : "Gesten", "given" : "Foster", "non-dropping-particle" : "", "parse-names" : false, "suffix" : "" }, { "dropping-particle" : "", "family" : "Prescott", "given" : "Hallie C.", "non-dropping-particle" : "", "parse-names" : false, "suffix" : "" }, { "dropping-particle" : "", "family" : "Friedrich", "given" : "Marcus E.", "non-dropping-particle" : "", "parse-names" : false, "suffix" : "" }, { "dropping-particle" : "", "family" : "Iwashyna", "given" : "Theodore J.", "non-dropping-particle" : "", "parse-names" : false, "suffix" : "" }, { "dropping-particle" : "", "family" : "Phillips", "given" : "Gary S.", "non-dropping-particle" : "", "parse-names" : false, "suffix" : "" }, { "dropping-particle" : "", "family" : "Lemeshow", "given" : "Stanley", "non-dropping-particle" : "", "parse-names" : false, "suffix" : "" }, { "dropping-particle" : "", "family" : "Osborn", "given" : "Tiffany", "non-dropping-particle" : "", "parse-names" : false, "suffix" : "" }, { "dropping-particle" : "", "family" : "Terry", "given" : "Kathleen M.", "non-dropping-particle" : "", "parse-names" : false, "suffix" : "" }, { "dropping-particle" : "", "family" : "Levy", "given" : "Mitchell M.", "non-dropping-particle" : "", "parse-names" : false, "suffix" : "" } ], "container-title" : "New England Journal of Medicine", "id" : "ITEM-1", "issued" : { "date-parts" : [ [ "2017" ] ] }, "title" : "Time to Treatment and Mortality during Mandated Emergency Care for Sepsis", "type" : "article-journal" }, "uris" : [ "http://www.mendeley.com/documents/?uuid=8553de9a-6f4a-3385-8481-05e3c7178336" ] } ], "mendeley" : { "formattedCitation" : "(19)", "plainTextFormattedCitation" : "(19)", "previouslyFormattedCitation" : "(19)" }, "properties" : { "noteIndex" : 0 }, "schema" : "https://github.com/citation-style-language/schema/raw/master/csl-citation.json" }</w:instrText>
      </w:r>
      <w:r w:rsidR="00443C18">
        <w:rPr>
          <w:rFonts w:cstheme="minorHAnsi"/>
        </w:rPr>
        <w:fldChar w:fldCharType="separate"/>
      </w:r>
      <w:r w:rsidR="00443C18" w:rsidRPr="00443C18">
        <w:rPr>
          <w:rFonts w:cstheme="minorHAnsi"/>
          <w:noProof/>
        </w:rPr>
        <w:t>(19)</w:t>
      </w:r>
      <w:r w:rsidR="00443C18">
        <w:rPr>
          <w:rFonts w:cstheme="minorHAnsi"/>
        </w:rPr>
        <w:fldChar w:fldCharType="end"/>
      </w:r>
      <w:r w:rsidR="00E1740D">
        <w:rPr>
          <w:rFonts w:cstheme="minorHAnsi"/>
        </w:rPr>
        <w:t>.</w:t>
      </w:r>
      <w:r w:rsidR="0053266B">
        <w:rPr>
          <w:rFonts w:cstheme="minorHAnsi"/>
        </w:rPr>
        <w:t xml:space="preserve"> In addition, we did not have sufficient data </w:t>
      </w:r>
      <w:r w:rsidR="004F3CDC">
        <w:rPr>
          <w:rFonts w:cstheme="minorHAnsi"/>
        </w:rPr>
        <w:t xml:space="preserve">before the collaborative </w:t>
      </w:r>
      <w:r w:rsidR="003840A9">
        <w:rPr>
          <w:rFonts w:cstheme="minorHAnsi"/>
        </w:rPr>
        <w:t>t</w:t>
      </w:r>
      <w:r w:rsidR="0053266B">
        <w:rPr>
          <w:rFonts w:cstheme="minorHAnsi"/>
        </w:rPr>
        <w:t xml:space="preserve">o </w:t>
      </w:r>
      <w:r w:rsidR="004F3CDC">
        <w:rPr>
          <w:rFonts w:cstheme="minorHAnsi"/>
        </w:rPr>
        <w:t>assess whether t</w:t>
      </w:r>
      <w:r w:rsidR="0053266B">
        <w:rPr>
          <w:rFonts w:cstheme="minorHAnsi"/>
        </w:rPr>
        <w:t xml:space="preserve">here was a difference before and after. </w:t>
      </w:r>
    </w:p>
    <w:p w14:paraId="69B32C3B" w14:textId="77777777" w:rsidR="003C3B6F" w:rsidRPr="00FD44CA" w:rsidRDefault="003C3B6F" w:rsidP="00FD44CA">
      <w:pPr>
        <w:jc w:val="both"/>
        <w:rPr>
          <w:rFonts w:cstheme="minorHAnsi"/>
        </w:rPr>
      </w:pPr>
    </w:p>
    <w:p w14:paraId="19B4BFC8" w14:textId="0999ADE9" w:rsidR="00F8356F" w:rsidRPr="001B74B9" w:rsidRDefault="00DD0FA3" w:rsidP="00FD44CA">
      <w:pPr>
        <w:jc w:val="both"/>
        <w:rPr>
          <w:rFonts w:cstheme="minorHAnsi"/>
        </w:rPr>
      </w:pPr>
      <w:r w:rsidRPr="00FD44CA">
        <w:rPr>
          <w:rFonts w:cstheme="minorHAnsi"/>
        </w:rPr>
        <w:t>Our study has several l</w:t>
      </w:r>
      <w:r w:rsidR="00A108C9" w:rsidRPr="00FD44CA">
        <w:rPr>
          <w:rFonts w:cstheme="minorHAnsi"/>
        </w:rPr>
        <w:t>imitations</w:t>
      </w:r>
      <w:r w:rsidRPr="00FD44CA">
        <w:rPr>
          <w:rFonts w:cstheme="minorHAnsi"/>
        </w:rPr>
        <w:t>. First</w:t>
      </w:r>
      <w:r w:rsidR="00756152" w:rsidRPr="00FD44CA">
        <w:rPr>
          <w:rFonts w:cstheme="minorHAnsi"/>
        </w:rPr>
        <w:t>,</w:t>
      </w:r>
      <w:r w:rsidRPr="00FD44CA">
        <w:rPr>
          <w:rFonts w:cstheme="minorHAnsi"/>
        </w:rPr>
        <w:t xml:space="preserve"> the </w:t>
      </w:r>
      <w:r w:rsidR="00A108C9" w:rsidRPr="00FD44CA">
        <w:rPr>
          <w:rFonts w:cstheme="minorHAnsi"/>
        </w:rPr>
        <w:t>observational design</w:t>
      </w:r>
      <w:r w:rsidRPr="00FD44CA">
        <w:rPr>
          <w:rFonts w:cstheme="minorHAnsi"/>
        </w:rPr>
        <w:t xml:space="preserve"> </w:t>
      </w:r>
      <w:r w:rsidR="003C4F4A" w:rsidRPr="00FD44CA">
        <w:rPr>
          <w:rFonts w:cstheme="minorHAnsi"/>
        </w:rPr>
        <w:t xml:space="preserve">means that we can make statements about association rather than causation. </w:t>
      </w:r>
      <w:r w:rsidR="007E4AF9" w:rsidRPr="00FD44CA">
        <w:rPr>
          <w:rFonts w:cstheme="minorHAnsi"/>
        </w:rPr>
        <w:t xml:space="preserve"> </w:t>
      </w:r>
      <w:r w:rsidR="001C7C8A">
        <w:rPr>
          <w:rFonts w:cstheme="minorHAnsi"/>
        </w:rPr>
        <w:t xml:space="preserve">Whilst our study suggests that the AQ sepsis collaborative has led to improvements in sepsis outcomes in the northwest of England, we </w:t>
      </w:r>
      <w:r w:rsidR="007E4AF9" w:rsidRPr="00FD44CA">
        <w:rPr>
          <w:rFonts w:cstheme="minorHAnsi"/>
        </w:rPr>
        <w:t xml:space="preserve">cannot be certain </w:t>
      </w:r>
      <w:r w:rsidR="00756152" w:rsidRPr="00FD44CA">
        <w:rPr>
          <w:rFonts w:cstheme="minorHAnsi"/>
        </w:rPr>
        <w:t xml:space="preserve">that </w:t>
      </w:r>
      <w:r w:rsidR="007E4AF9" w:rsidRPr="00FD44CA">
        <w:rPr>
          <w:rFonts w:cstheme="minorHAnsi"/>
        </w:rPr>
        <w:t>the</w:t>
      </w:r>
      <w:r w:rsidR="00F8356F" w:rsidRPr="00FD44CA">
        <w:rPr>
          <w:rFonts w:cstheme="minorHAnsi"/>
        </w:rPr>
        <w:t xml:space="preserve"> </w:t>
      </w:r>
      <w:r w:rsidR="007E4AF9" w:rsidRPr="00FD44CA">
        <w:rPr>
          <w:rFonts w:cstheme="minorHAnsi"/>
        </w:rPr>
        <w:t xml:space="preserve">improvements </w:t>
      </w:r>
      <w:r w:rsidR="00F8356F" w:rsidRPr="00FD44CA">
        <w:rPr>
          <w:rFonts w:cstheme="minorHAnsi"/>
        </w:rPr>
        <w:t xml:space="preserve">are </w:t>
      </w:r>
      <w:r w:rsidR="001C7C8A">
        <w:rPr>
          <w:rFonts w:cstheme="minorHAnsi"/>
        </w:rPr>
        <w:t xml:space="preserve">purely as a result of </w:t>
      </w:r>
      <w:r w:rsidR="00F8356F" w:rsidRPr="00FD44CA">
        <w:rPr>
          <w:rFonts w:cstheme="minorHAnsi"/>
        </w:rPr>
        <w:t>the project</w:t>
      </w:r>
      <w:r w:rsidR="00AE7CE6">
        <w:rPr>
          <w:rFonts w:cstheme="minorHAnsi"/>
        </w:rPr>
        <w:t>.</w:t>
      </w:r>
      <w:r w:rsidR="009F073B">
        <w:rPr>
          <w:rFonts w:cstheme="minorHAnsi"/>
        </w:rPr>
        <w:t xml:space="preserve"> </w:t>
      </w:r>
      <w:r w:rsidR="00756152" w:rsidRPr="001B74B9">
        <w:rPr>
          <w:rFonts w:cstheme="minorHAnsi"/>
        </w:rPr>
        <w:t xml:space="preserve">Secondly, </w:t>
      </w:r>
      <w:r w:rsidR="004B1D33">
        <w:rPr>
          <w:rFonts w:cstheme="minorHAnsi"/>
        </w:rPr>
        <w:t xml:space="preserve">although </w:t>
      </w:r>
      <w:r w:rsidR="00756152" w:rsidRPr="001B74B9">
        <w:rPr>
          <w:rFonts w:cstheme="minorHAnsi"/>
        </w:rPr>
        <w:t xml:space="preserve">the </w:t>
      </w:r>
      <w:r w:rsidR="00E725B9" w:rsidRPr="001B74B9">
        <w:rPr>
          <w:rFonts w:cstheme="minorHAnsi"/>
        </w:rPr>
        <w:t>“</w:t>
      </w:r>
      <w:r w:rsidR="00F8356F" w:rsidRPr="001B74B9">
        <w:rPr>
          <w:rFonts w:cstheme="minorHAnsi"/>
        </w:rPr>
        <w:t xml:space="preserve">before </w:t>
      </w:r>
      <w:r w:rsidR="00E725B9" w:rsidRPr="001B74B9">
        <w:rPr>
          <w:rFonts w:cstheme="minorHAnsi"/>
        </w:rPr>
        <w:t xml:space="preserve">implementation” </w:t>
      </w:r>
      <w:r w:rsidR="00F8356F" w:rsidRPr="001B74B9">
        <w:rPr>
          <w:rFonts w:cstheme="minorHAnsi"/>
        </w:rPr>
        <w:t>period used in the analysis was not ideal</w:t>
      </w:r>
      <w:r w:rsidR="004B1D33">
        <w:rPr>
          <w:rFonts w:cstheme="minorHAnsi"/>
        </w:rPr>
        <w:t xml:space="preserve">, </w:t>
      </w:r>
      <w:r w:rsidR="00F8356F" w:rsidRPr="001B74B9">
        <w:rPr>
          <w:rFonts w:cstheme="minorHAnsi"/>
        </w:rPr>
        <w:t xml:space="preserve">this was the only practical means of comparing outcomes before </w:t>
      </w:r>
      <w:r w:rsidR="00AE7CE6">
        <w:rPr>
          <w:rFonts w:cstheme="minorHAnsi"/>
        </w:rPr>
        <w:t xml:space="preserve">and after the program.  </w:t>
      </w:r>
      <w:r w:rsidR="00B368B6">
        <w:rPr>
          <w:rFonts w:cstheme="minorHAnsi"/>
        </w:rPr>
        <w:t xml:space="preserve">We </w:t>
      </w:r>
      <w:r w:rsidR="009F073B">
        <w:rPr>
          <w:rFonts w:cstheme="minorHAnsi"/>
        </w:rPr>
        <w:t xml:space="preserve">acknowledge that the short duration does not allow us to investigate trends that might inform the simple before </w:t>
      </w:r>
      <w:r w:rsidR="00AE7CE6">
        <w:rPr>
          <w:rFonts w:cstheme="minorHAnsi"/>
        </w:rPr>
        <w:t xml:space="preserve">and </w:t>
      </w:r>
      <w:r w:rsidR="009F073B">
        <w:rPr>
          <w:rFonts w:cstheme="minorHAnsi"/>
        </w:rPr>
        <w:t>after comparison</w:t>
      </w:r>
      <w:r w:rsidR="00F8356F" w:rsidRPr="001B74B9">
        <w:rPr>
          <w:rFonts w:cstheme="minorHAnsi"/>
        </w:rPr>
        <w:t xml:space="preserve">. </w:t>
      </w:r>
      <w:r w:rsidR="00B368B6">
        <w:rPr>
          <w:rFonts w:cstheme="minorHAnsi"/>
        </w:rPr>
        <w:t xml:space="preserve">We also </w:t>
      </w:r>
      <w:r w:rsidR="00BE2555">
        <w:rPr>
          <w:rFonts w:cstheme="minorHAnsi"/>
        </w:rPr>
        <w:t xml:space="preserve">acknowledge that since the </w:t>
      </w:r>
      <w:r w:rsidR="001C7C8A">
        <w:rPr>
          <w:rFonts w:cstheme="minorHAnsi"/>
        </w:rPr>
        <w:t>“</w:t>
      </w:r>
      <w:r w:rsidR="00BE2555">
        <w:rPr>
          <w:rFonts w:cstheme="minorHAnsi"/>
        </w:rPr>
        <w:t>before</w:t>
      </w:r>
      <w:r w:rsidR="001C7C8A">
        <w:rPr>
          <w:rFonts w:cstheme="minorHAnsi"/>
        </w:rPr>
        <w:t>”</w:t>
      </w:r>
      <w:r w:rsidR="00BE2555">
        <w:rPr>
          <w:rFonts w:cstheme="minorHAnsi"/>
        </w:rPr>
        <w:t xml:space="preserve"> period was a </w:t>
      </w:r>
      <w:r w:rsidR="00B82066">
        <w:rPr>
          <w:rFonts w:cstheme="minorHAnsi"/>
        </w:rPr>
        <w:t xml:space="preserve">short </w:t>
      </w:r>
      <w:r w:rsidR="00BE2555">
        <w:rPr>
          <w:rFonts w:cstheme="minorHAnsi"/>
        </w:rPr>
        <w:t xml:space="preserve">preparatory period, there are limitations in using this as a pre-intervention period. </w:t>
      </w:r>
      <w:r w:rsidR="00B82066">
        <w:rPr>
          <w:rFonts w:cstheme="minorHAnsi"/>
        </w:rPr>
        <w:t xml:space="preserve">Ideally we would have wanted at least a year of data before the program to run an interrupted time series however this was not possible. We therefore cannot be certain that improvements were already occurring before the program. </w:t>
      </w:r>
      <w:r w:rsidR="00756152" w:rsidRPr="001B74B9">
        <w:rPr>
          <w:rFonts w:cstheme="minorHAnsi"/>
        </w:rPr>
        <w:t>Lastly, although we used coded data, r</w:t>
      </w:r>
      <w:r w:rsidR="00F8356F" w:rsidRPr="001B74B9">
        <w:rPr>
          <w:rFonts w:cstheme="minorHAnsi"/>
        </w:rPr>
        <w:t xml:space="preserve">eviewing the outcomes of patients with an ICD-10-code for sepsis is an accepted approach. The fact that patient case notes were reviewed makes it </w:t>
      </w:r>
      <w:r w:rsidR="00E725B9" w:rsidRPr="001B74B9">
        <w:rPr>
          <w:rFonts w:cstheme="minorHAnsi"/>
        </w:rPr>
        <w:t>likely</w:t>
      </w:r>
      <w:r w:rsidR="00F8356F" w:rsidRPr="001B74B9">
        <w:rPr>
          <w:rFonts w:cstheme="minorHAnsi"/>
        </w:rPr>
        <w:t xml:space="preserve"> that we </w:t>
      </w:r>
      <w:r w:rsidR="00BD39BC">
        <w:rPr>
          <w:rFonts w:cstheme="minorHAnsi"/>
        </w:rPr>
        <w:t xml:space="preserve">included and therefore </w:t>
      </w:r>
      <w:r w:rsidR="00F8356F" w:rsidRPr="001B74B9">
        <w:rPr>
          <w:rFonts w:cstheme="minorHAnsi"/>
        </w:rPr>
        <w:t xml:space="preserve">reviewed outcomes </w:t>
      </w:r>
      <w:r w:rsidR="00BD39BC">
        <w:rPr>
          <w:rFonts w:cstheme="minorHAnsi"/>
        </w:rPr>
        <w:t xml:space="preserve">of </w:t>
      </w:r>
      <w:r w:rsidR="00E725B9" w:rsidRPr="001B74B9">
        <w:rPr>
          <w:rFonts w:cstheme="minorHAnsi"/>
        </w:rPr>
        <w:t xml:space="preserve">patients with a </w:t>
      </w:r>
      <w:r w:rsidR="00BD3962">
        <w:rPr>
          <w:rFonts w:cstheme="minorHAnsi"/>
        </w:rPr>
        <w:t>true</w:t>
      </w:r>
      <w:r w:rsidR="00F8356F" w:rsidRPr="001B74B9">
        <w:rPr>
          <w:rFonts w:cstheme="minorHAnsi"/>
        </w:rPr>
        <w:t xml:space="preserve"> diagnosis </w:t>
      </w:r>
      <w:r w:rsidR="00E725B9" w:rsidRPr="001B74B9">
        <w:rPr>
          <w:rFonts w:cstheme="minorHAnsi"/>
        </w:rPr>
        <w:t>of sepsis.</w:t>
      </w:r>
      <w:r w:rsidR="00A108C9" w:rsidRPr="001B74B9">
        <w:rPr>
          <w:rFonts w:cstheme="minorHAnsi"/>
        </w:rPr>
        <w:t xml:space="preserve"> </w:t>
      </w:r>
      <w:r w:rsidR="0053266B">
        <w:rPr>
          <w:rFonts w:cstheme="minorHAnsi"/>
        </w:rPr>
        <w:t>We did not do a subgroup analysis comparing outcomes for patients with sepsis, severe sepsis and shock because patients were identified based on coding data</w:t>
      </w:r>
      <w:r w:rsidR="006D2D75">
        <w:rPr>
          <w:rFonts w:cstheme="minorHAnsi"/>
        </w:rPr>
        <w:t xml:space="preserve">. Coding data </w:t>
      </w:r>
      <w:r w:rsidR="004F3CDC">
        <w:rPr>
          <w:rFonts w:cstheme="minorHAnsi"/>
        </w:rPr>
        <w:t>can be</w:t>
      </w:r>
      <w:r w:rsidR="006D2D75">
        <w:rPr>
          <w:rFonts w:cstheme="minorHAnsi"/>
        </w:rPr>
        <w:t xml:space="preserve"> </w:t>
      </w:r>
      <w:r w:rsidR="0053266B">
        <w:rPr>
          <w:rFonts w:cstheme="minorHAnsi"/>
        </w:rPr>
        <w:t xml:space="preserve">unreliable in differentiating severity of </w:t>
      </w:r>
      <w:r w:rsidR="006D2D75">
        <w:rPr>
          <w:rFonts w:cstheme="minorHAnsi"/>
        </w:rPr>
        <w:t>sepsis</w:t>
      </w:r>
      <w:r w:rsidR="0053266B">
        <w:rPr>
          <w:rFonts w:cstheme="minorHAnsi"/>
        </w:rPr>
        <w:t xml:space="preserve">. For example, </w:t>
      </w:r>
      <w:r w:rsidR="00862937">
        <w:rPr>
          <w:rFonts w:cstheme="minorHAnsi"/>
        </w:rPr>
        <w:t xml:space="preserve"> we found that </w:t>
      </w:r>
      <w:r w:rsidR="0053266B">
        <w:rPr>
          <w:rFonts w:cstheme="minorHAnsi"/>
        </w:rPr>
        <w:t xml:space="preserve">some hospitals only a handful of patients </w:t>
      </w:r>
      <w:r w:rsidR="00862937">
        <w:rPr>
          <w:rFonts w:cstheme="minorHAnsi"/>
        </w:rPr>
        <w:t>with septic s</w:t>
      </w:r>
      <w:r w:rsidR="0053266B">
        <w:rPr>
          <w:rFonts w:cstheme="minorHAnsi"/>
        </w:rPr>
        <w:t>hock despite having busy intensive care unit</w:t>
      </w:r>
      <w:r w:rsidR="006D2D75">
        <w:rPr>
          <w:rFonts w:cstheme="minorHAnsi"/>
        </w:rPr>
        <w:t>s with severe sepsis and shock being one of the most common reasons for admission to critical care</w:t>
      </w:r>
      <w:r w:rsidR="0053266B">
        <w:rPr>
          <w:rFonts w:cstheme="minorHAnsi"/>
        </w:rPr>
        <w:t xml:space="preserve">. </w:t>
      </w:r>
    </w:p>
    <w:p w14:paraId="462E2828" w14:textId="77777777" w:rsidR="00F8356F" w:rsidRPr="001B74B9" w:rsidRDefault="00F8356F" w:rsidP="00FD44CA">
      <w:pPr>
        <w:jc w:val="both"/>
        <w:rPr>
          <w:rFonts w:cstheme="minorHAnsi"/>
        </w:rPr>
      </w:pPr>
    </w:p>
    <w:p w14:paraId="73C771D3" w14:textId="65FA7E70" w:rsidR="00A108C9" w:rsidRPr="001B74B9" w:rsidRDefault="00756152" w:rsidP="00FD44CA">
      <w:pPr>
        <w:jc w:val="both"/>
        <w:rPr>
          <w:rFonts w:cstheme="minorHAnsi"/>
        </w:rPr>
      </w:pPr>
      <w:r w:rsidRPr="001B74B9">
        <w:rPr>
          <w:rFonts w:cstheme="minorHAnsi"/>
        </w:rPr>
        <w:t xml:space="preserve">Despite these limitations, this study is </w:t>
      </w:r>
      <w:r w:rsidR="0045328D">
        <w:rPr>
          <w:rFonts w:cstheme="minorHAnsi"/>
        </w:rPr>
        <w:t xml:space="preserve">large, </w:t>
      </w:r>
      <w:r w:rsidR="00A108C9" w:rsidRPr="001B74B9">
        <w:rPr>
          <w:rFonts w:cstheme="minorHAnsi"/>
        </w:rPr>
        <w:t xml:space="preserve">comprehensive and representative of patients </w:t>
      </w:r>
      <w:r w:rsidR="008B1857">
        <w:rPr>
          <w:rFonts w:cstheme="minorHAnsi"/>
        </w:rPr>
        <w:t>admitted to hosp</w:t>
      </w:r>
      <w:r w:rsidR="00AE7CE6">
        <w:rPr>
          <w:rFonts w:cstheme="minorHAnsi"/>
        </w:rPr>
        <w:t>it</w:t>
      </w:r>
      <w:r w:rsidR="008B1857">
        <w:rPr>
          <w:rFonts w:cstheme="minorHAnsi"/>
        </w:rPr>
        <w:t xml:space="preserve">als </w:t>
      </w:r>
      <w:r w:rsidR="00B368B6">
        <w:rPr>
          <w:rFonts w:cstheme="minorHAnsi"/>
        </w:rPr>
        <w:t>in</w:t>
      </w:r>
      <w:r w:rsidR="00B368B6" w:rsidRPr="001B74B9">
        <w:rPr>
          <w:rFonts w:cstheme="minorHAnsi"/>
        </w:rPr>
        <w:t xml:space="preserve"> </w:t>
      </w:r>
      <w:r w:rsidR="00A108C9" w:rsidRPr="001B74B9">
        <w:rPr>
          <w:rFonts w:cstheme="minorHAnsi"/>
        </w:rPr>
        <w:t xml:space="preserve">the </w:t>
      </w:r>
      <w:r w:rsidR="00C57DD9">
        <w:rPr>
          <w:rFonts w:cstheme="minorHAnsi"/>
        </w:rPr>
        <w:t xml:space="preserve">northwest </w:t>
      </w:r>
      <w:r w:rsidR="00A108C9" w:rsidRPr="001B74B9">
        <w:rPr>
          <w:rFonts w:cstheme="minorHAnsi"/>
        </w:rPr>
        <w:t>region</w:t>
      </w:r>
      <w:r w:rsidRPr="001B74B9">
        <w:rPr>
          <w:rFonts w:cstheme="minorHAnsi"/>
        </w:rPr>
        <w:t xml:space="preserve"> </w:t>
      </w:r>
      <w:r w:rsidR="00C57DD9">
        <w:rPr>
          <w:rFonts w:cstheme="minorHAnsi"/>
        </w:rPr>
        <w:t xml:space="preserve">of England </w:t>
      </w:r>
      <w:r w:rsidRPr="001B74B9">
        <w:rPr>
          <w:rFonts w:cstheme="minorHAnsi"/>
        </w:rPr>
        <w:t>with sepsis</w:t>
      </w:r>
      <w:r w:rsidR="003C4F4A" w:rsidRPr="001B74B9">
        <w:rPr>
          <w:rFonts w:cstheme="minorHAnsi"/>
        </w:rPr>
        <w:t xml:space="preserve">. There was </w:t>
      </w:r>
      <w:r w:rsidR="00A108C9" w:rsidRPr="001B74B9">
        <w:rPr>
          <w:rFonts w:cstheme="minorHAnsi"/>
        </w:rPr>
        <w:t xml:space="preserve">no attempt to select for high or low risk </w:t>
      </w:r>
      <w:r w:rsidR="00E725B9" w:rsidRPr="001B74B9">
        <w:rPr>
          <w:rFonts w:cstheme="minorHAnsi"/>
        </w:rPr>
        <w:t>patients</w:t>
      </w:r>
      <w:r w:rsidR="00A108C9" w:rsidRPr="001B74B9">
        <w:rPr>
          <w:rFonts w:cstheme="minorHAnsi"/>
        </w:rPr>
        <w:t xml:space="preserve"> </w:t>
      </w:r>
      <w:r w:rsidR="00E725B9" w:rsidRPr="001B74B9">
        <w:rPr>
          <w:rFonts w:cstheme="minorHAnsi"/>
        </w:rPr>
        <w:t xml:space="preserve">and </w:t>
      </w:r>
      <w:r w:rsidR="00A108C9" w:rsidRPr="001B74B9">
        <w:rPr>
          <w:rFonts w:cstheme="minorHAnsi"/>
        </w:rPr>
        <w:t>as such</w:t>
      </w:r>
      <w:r w:rsidRPr="001B74B9">
        <w:rPr>
          <w:rFonts w:cstheme="minorHAnsi"/>
        </w:rPr>
        <w:t xml:space="preserve"> </w:t>
      </w:r>
      <w:r w:rsidR="00E725B9" w:rsidRPr="001B74B9">
        <w:rPr>
          <w:rFonts w:cstheme="minorHAnsi"/>
        </w:rPr>
        <w:t>our study includes t</w:t>
      </w:r>
      <w:r w:rsidR="00F8356F" w:rsidRPr="001B74B9">
        <w:rPr>
          <w:rFonts w:cstheme="minorHAnsi"/>
        </w:rPr>
        <w:t xml:space="preserve">he majority of patients admitted with sepsis rather than a </w:t>
      </w:r>
      <w:r w:rsidR="00EE69B0">
        <w:rPr>
          <w:rFonts w:cstheme="minorHAnsi"/>
        </w:rPr>
        <w:t xml:space="preserve">small </w:t>
      </w:r>
      <w:r w:rsidR="00F8356F" w:rsidRPr="001B74B9">
        <w:rPr>
          <w:rFonts w:cstheme="minorHAnsi"/>
        </w:rPr>
        <w:t xml:space="preserve">sample of patients. </w:t>
      </w:r>
    </w:p>
    <w:p w14:paraId="4566B00D" w14:textId="77777777" w:rsidR="00576AF9" w:rsidRPr="001B74B9" w:rsidRDefault="00576AF9" w:rsidP="00FD44CA">
      <w:pPr>
        <w:jc w:val="both"/>
        <w:rPr>
          <w:rFonts w:cstheme="minorHAnsi"/>
        </w:rPr>
      </w:pPr>
    </w:p>
    <w:p w14:paraId="64051A38" w14:textId="282B9418" w:rsidR="008B1857" w:rsidRPr="001B74B9" w:rsidRDefault="008B1857" w:rsidP="008B1857">
      <w:pPr>
        <w:jc w:val="both"/>
        <w:rPr>
          <w:rFonts w:cstheme="minorHAnsi"/>
          <w:b/>
        </w:rPr>
      </w:pPr>
      <w:r w:rsidRPr="001B74B9">
        <w:rPr>
          <w:rFonts w:cstheme="minorHAnsi"/>
        </w:rPr>
        <w:t xml:space="preserve">A new consensus definition for sepsis was published in February 2016. Use of SIRS criteria is no longer recommended and the </w:t>
      </w:r>
      <w:r>
        <w:rPr>
          <w:rFonts w:cstheme="minorHAnsi"/>
        </w:rPr>
        <w:t xml:space="preserve">international taskforce redefined sepsis as patients with infection who are significantly </w:t>
      </w:r>
      <w:r w:rsidRPr="001B74B9">
        <w:rPr>
          <w:rFonts w:cstheme="minorHAnsi"/>
        </w:rPr>
        <w:t>more likely to die or be admitted to intensive care as a result of infection</w:t>
      </w:r>
      <w:r>
        <w:rPr>
          <w:rFonts w:cstheme="minorHAnsi"/>
        </w:rPr>
        <w:t xml:space="preserve"> </w:t>
      </w:r>
      <w:r>
        <w:rPr>
          <w:rFonts w:cstheme="minorHAnsi"/>
        </w:rPr>
        <w:fldChar w:fldCharType="begin" w:fldLock="1"/>
      </w:r>
      <w:r w:rsidR="00E44D59">
        <w:rPr>
          <w:rFonts w:cstheme="minorHAnsi"/>
        </w:rPr>
        <w:instrText>ADDIN CSL_CITATION { "citationItems" : [ { "id" : "ITEM-1", "itemData" : { "DOI" : "10.1001/jama.2016.0287", "ISBN" : "0098-7484", "ISSN" : "1538-3598",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 OBJECTIVE To evaluate and, as needed, update definitions for sepsis and septic shock. PROCESS 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 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 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rapidly i\u2026",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"id" : "ITEM-1", "issue" : "8", "issued" : { "date-parts" : [ [ "2016" ] ] }, "page" : "801-10", "title" : "The Third International Consensus Definitions for Sepsis and Septic Shock (Sepsis-3).", "type" : "article-journal", "volume" : "315" }, "uris" : [ "http://www.mendeley.com/documents/?uuid=bef82073-22d8-4ff0-8a8c-916496c1f81c" ] } ], "mendeley" : { "formattedCitation" : "(17)", "plainTextFormattedCitation" : "(17)", "previouslyFormattedCitation" : "(17)" }, "properties" : { "noteIndex" : 0 }, "schema" : "https://github.com/citation-style-language/schema/raw/master/csl-citation.json" }</w:instrText>
      </w:r>
      <w:r>
        <w:rPr>
          <w:rFonts w:cstheme="minorHAnsi"/>
        </w:rPr>
        <w:fldChar w:fldCharType="separate"/>
      </w:r>
      <w:r w:rsidR="00B25ADB" w:rsidRPr="00B25ADB">
        <w:rPr>
          <w:rFonts w:cstheme="minorHAnsi"/>
          <w:noProof/>
        </w:rPr>
        <w:t>(17)</w:t>
      </w:r>
      <w:r>
        <w:rPr>
          <w:rFonts w:cstheme="minorHAnsi"/>
        </w:rPr>
        <w:fldChar w:fldCharType="end"/>
      </w:r>
      <w:r w:rsidRPr="001B74B9">
        <w:rPr>
          <w:rFonts w:cstheme="minorHAnsi"/>
        </w:rPr>
        <w:t xml:space="preserve">. </w:t>
      </w:r>
      <w:r>
        <w:rPr>
          <w:rFonts w:cstheme="minorHAnsi"/>
        </w:rPr>
        <w:t xml:space="preserve">The AQ </w:t>
      </w:r>
      <w:r w:rsidRPr="001B74B9">
        <w:rPr>
          <w:rFonts w:cstheme="minorHAnsi"/>
        </w:rPr>
        <w:t xml:space="preserve">collaborative is </w:t>
      </w:r>
      <w:r>
        <w:rPr>
          <w:rFonts w:cstheme="minorHAnsi"/>
        </w:rPr>
        <w:t xml:space="preserve">currently in the process of incorporating these changes in the definition of sepsis and is likely to </w:t>
      </w:r>
      <w:r w:rsidRPr="001B74B9">
        <w:rPr>
          <w:rFonts w:cstheme="minorHAnsi"/>
        </w:rPr>
        <w:t xml:space="preserve">increase the early warning score required for patients to be included in the project in order to reflect the new definition of sepsis. </w:t>
      </w:r>
      <w:r>
        <w:rPr>
          <w:rFonts w:cstheme="minorHAnsi"/>
        </w:rPr>
        <w:t xml:space="preserve">A recent study suggested that an aggregate NEWS score of </w:t>
      </w:r>
      <w:r w:rsidR="004B1D33">
        <w:rPr>
          <w:rStyle w:val="apple-converted-space"/>
          <w:rFonts w:ascii="Arial" w:hAnsi="Arial" w:cs="Arial"/>
          <w:color w:val="222222"/>
          <w:shd w:val="clear" w:color="auto" w:fill="FFFFFF"/>
        </w:rPr>
        <w:t> </w:t>
      </w:r>
      <w:r w:rsidR="004B1D33">
        <w:rPr>
          <w:rFonts w:ascii="Arial" w:hAnsi="Arial" w:cs="Arial"/>
          <w:color w:val="222222"/>
          <w:shd w:val="clear" w:color="auto" w:fill="FFFFFF"/>
        </w:rPr>
        <w:t>≥</w:t>
      </w:r>
      <w:r w:rsidR="004B1D33">
        <w:rPr>
          <w:rFonts w:cstheme="minorHAnsi"/>
        </w:rPr>
        <w:t xml:space="preserve"> </w:t>
      </w:r>
      <w:r>
        <w:rPr>
          <w:rFonts w:cstheme="minorHAnsi"/>
        </w:rPr>
        <w:t xml:space="preserve">5 may be more accurate at predicting mortality or admission to intensive care compared to SIRS </w:t>
      </w:r>
      <w:r w:rsidR="004B1D33">
        <w:rPr>
          <w:rFonts w:cstheme="minorHAnsi"/>
        </w:rPr>
        <w:t>criteria</w:t>
      </w:r>
      <w:r>
        <w:rPr>
          <w:rFonts w:cstheme="minorHAnsi"/>
        </w:rPr>
        <w:fldChar w:fldCharType="begin" w:fldLock="1"/>
      </w:r>
      <w:r w:rsidR="008F374A">
        <w:rPr>
          <w:rFonts w:cstheme="minorHAnsi"/>
        </w:rPr>
        <w:instrText>ADDIN CSL_CITATION { "citationItems" : [ { "id" : "ITEM-1", "itemData" : { "DOI" : "10.1164/rccm.201604-0854OC", "ISSN" : "1073-449X", "PMID" : "27649072", "abstract" : "RATIONALE The 2016 definitions of sepsis included the quick Sepsis-related Organ Failure Assessment (qSOFA) score to identify high-risk patients outside the intensive care unit (ICU). OBJECTIVE We sought to compare qSOFA to other commonly used early warning scores. METHODS All admitted patients first meeting criteria for suspicion of infection in the emergency department (ED) or hospital wards from November 2008 until January 2016 were included. The qSOFA, Systemic Inflammatory Response Syndrome (SIRS), Modified Early Warning Score (MEWS), and the National Early Warning Score (NEWS) were compared for predicting death and ICU transfer. MEASUREMENTS AND MAIN RESULTS Of the 30,677 included patients, 60% (n=18,523) first met the suspicion criteria in the ED. Discrimination for in-hospital mortality was highest for NEWS (AUC 0.77 [95% CI 0.76-0.79]), followed by MEWS (0.73 [0.71-0.74]), qSOFA (0.69 [0.67-0.70]), and SIRS (0.65 [0.63-0.66]) (p &lt;0.01 for all pairwise comparisons). Ninety-one percent of patients who died or were transferred to the ICU met \u22652 SIRS criteria during their non-ICU stay compared to 54% for \u22652 and 93% for \u22651 qSOFA criteria. The majority of these patients met \u22652 SIRS criteria 17 hours before the combined outcome compared to 5 hours for \u22652 and 17 hours for \u22651 qSOFA criteria. CONCLUSIONS Commonly used early warning scores are more accurate than the qSOFA score for predicting death and ICU transfer in non-ICU patients. These results suggest that the qSOFA score should not replace general early warning scores when risk-stratifying patients with suspected infection.", "author" : [ { "dropping-particle" : "", "family" : "Churpek", "given" : "Matthew M", "non-dropping-particle" : "", "parse-names" : false, "suffix" : "" }, { "dropping-particle" : "", "family" : "Snyder", "given" : "Ashley", "non-dropping-particle" : "", "parse-names" : false, "suffix" : "" }, { "dropping-particle" : "", "family" : "Han", "given" : "Xuan", "non-dropping-particle" : "", "parse-names" : false, "suffix" : "" }, { "dropping-particle" : "", "family" : "Sokol", "given" : "Sarah", "non-dropping-particle" : "", "parse-names" : false, "suffix" : "" }, { "dropping-particle" : "", "family" : "Pettit", "given" : "Natasha", "non-dropping-particle" : "", "parse-names" : false, "suffix" : "" }, { "dropping-particle" : "", "family" : "Howell", "given" : "Michael D", "non-dropping-particle" : "", "parse-names" : false, "suffix" : "" }, { "dropping-particle" : "", "family" : "Edelson", "given" : "Dana P", "non-dropping-particle" : "", "parse-names" : false, "suffix" : "" } ], "container-title" : "American journal of respiratory and critical care medicine", "id" : "ITEM-1", "issued" : { "date-parts" : [ [ "2016" ] ] }, "page" : "1-40", "title" : "qSOFA, SIRS, and Early Warning Scores for Detecting Clinical Deterioration in Infected Patients Outside the ICU.", "type" : "article-journal" }, "uris" : [ "http://www.mendeley.com/documents/?uuid=3d6c2cc7-8f47-4f3b-a5a7-28a469fdfd1a" ] } ], "mendeley" : { "formattedCitation" : "(20)", "plainTextFormattedCitation" : "(20)", "previouslyFormattedCitation" : "(20)" }, "properties" : { "noteIndex" : 0 }, "schema" : "https://github.com/citation-style-language/schema/raw/master/csl-citation.json" }</w:instrText>
      </w:r>
      <w:r>
        <w:rPr>
          <w:rFonts w:cstheme="minorHAnsi"/>
        </w:rPr>
        <w:fldChar w:fldCharType="separate"/>
      </w:r>
      <w:r w:rsidR="00443C18" w:rsidRPr="00443C18">
        <w:rPr>
          <w:rFonts w:cstheme="minorHAnsi"/>
          <w:noProof/>
        </w:rPr>
        <w:t>(20)</w:t>
      </w:r>
      <w:r>
        <w:rPr>
          <w:rFonts w:cstheme="minorHAnsi"/>
        </w:rPr>
        <w:fldChar w:fldCharType="end"/>
      </w:r>
      <w:r>
        <w:rPr>
          <w:rFonts w:cstheme="minorHAnsi"/>
        </w:rPr>
        <w:t xml:space="preserve">. </w:t>
      </w:r>
    </w:p>
    <w:p w14:paraId="32CBCB28" w14:textId="77777777" w:rsidR="008B1857" w:rsidRDefault="008B1857" w:rsidP="00FD44CA">
      <w:pPr>
        <w:jc w:val="both"/>
        <w:rPr>
          <w:rFonts w:cstheme="minorHAnsi"/>
        </w:rPr>
      </w:pPr>
    </w:p>
    <w:p w14:paraId="094A1467" w14:textId="6DE45947" w:rsidR="00443C18" w:rsidRPr="00FD44CA" w:rsidRDefault="007E4AF9" w:rsidP="00443C18">
      <w:pPr>
        <w:jc w:val="both"/>
        <w:rPr>
          <w:rFonts w:cstheme="minorHAnsi"/>
        </w:rPr>
      </w:pPr>
      <w:r w:rsidRPr="001B74B9">
        <w:rPr>
          <w:rFonts w:cstheme="minorHAnsi"/>
        </w:rPr>
        <w:lastRenderedPageBreak/>
        <w:t xml:space="preserve">Our study fits with published data from other sepsis collaborative programs suggesting </w:t>
      </w:r>
      <w:r w:rsidR="002202C9" w:rsidRPr="001B74B9">
        <w:rPr>
          <w:rFonts w:cstheme="minorHAnsi"/>
        </w:rPr>
        <w:t xml:space="preserve">that regional collaborative programs can improve </w:t>
      </w:r>
      <w:r w:rsidRPr="001B74B9">
        <w:rPr>
          <w:rFonts w:cstheme="minorHAnsi"/>
        </w:rPr>
        <w:t>outcomes</w:t>
      </w:r>
      <w:r w:rsidR="00C57DD9">
        <w:rPr>
          <w:rFonts w:cstheme="minorHAnsi"/>
        </w:rPr>
        <w:fldChar w:fldCharType="begin" w:fldLock="1"/>
      </w:r>
      <w:r w:rsidR="001C7C8A">
        <w:rPr>
          <w:rFonts w:cstheme="minorHAnsi"/>
        </w:rPr>
        <w:instrText>ADDIN CSL_CITATION { "citationItems" : [ { "id" : "ITEM-1", "itemData" : { "DOI" : "10.5694/mja15.00657", "ISBN" : "1326-5377 (Electronic)\\r0025-729X (Linking)", "ISSN" : "13265377", "PMID" : "26821106", "abstract" : "OBJECTIVE: To implement a statewide program for the early recognition and treatment of sepsis in New South Wales, Australia. SETTING: Ninety-seven emergency departments in NSW hospitals. INTERVENTION: A quality improvement program (SEPSIS KILLS) that promoted intervention within 60 minutes of recognition, including taking of blood cultures, measuring serum lactate levels, administration of intravenous antibiotics, and fluid resuscitation. MAIN OUTCOME MEASURES: Time to antibiotics and fluid resuscitation; mortality rates and length of stay. RESULTS: Data for 13 567 patients were entered into the database. The proportion of patients receiving intravenous antibiotics within 60 minutes of triage increased from 29.3% in 2009-2011 to 52.2% in 2013. The percentage for whom a second litre of fluid was started within 60 minutes rose from 10.6% to 27.5% (each P &lt; 0.001). The proportion of patients classed as Australasian Triage Scale (ATS) 1 increased from 2.3% in 2009-2011 to 4.2% in 2013, and the proportion classed as ATS 2 rose from 40.7% in 2009-2011 to 60.7% in 2013 (P &lt; 0.001). There was a linear decrease in mortality from 19.3% in 2009-2011 to 14.1% in 2013; there was also a significant decline in time in intensive care and total length of stay (each P &lt; 0.0001). The mortality rate for patients with severe sepsis (serum lactate &gt;/= 4 mmol/L or systolic blood pressure [SBP] &lt; 90 mmHg) was 19.7%. The mortality rates for patients with severe sepsis admitted to intensive care and for those admitted to a ward did not change significantly over time. The proportion of patients with uncomplicated sepsis (SBP &gt;/= 90 mmHg, serum lactate &lt; 4 mmol/L) transferred to a ward increased, and the mortality rate after transfer increased from 3.2% in 2009-2011 to 6.2% in 2013 (P &lt; 0.05). The survival benefit was greatest for patients with evidence of haemodynamic instability (SBP &lt; 90 mmHg) but normal lactate levels (P = 0.03). CONCLUSIONS: The SEPSIS KILLS program has improved the process of care for patients with sepsis in NSW hospitals. The program has focused attention on sepsis management in the wards.", "author" : [ { "dropping-particle" : "", "family" : "Burrell", "given" : "Anthony R.", "non-dropping-particle" : "", "parse-names" : false, "suffix" : "" }, { "dropping-particle" : "", "family" : "McLaws", "given" : "Mary Louise", "non-dropping-particle" : "", "parse-names" : false, "suffix" : "" }, { "dropping-particle" : "", "family" : "Fullick", "given" : "Mary", "non-dropping-particle" : "", "parse-names" : false, "suffix" : "" }, { "dropping-particle" : "", "family" : "Sullivan", "given" : "Rosemary B.", "non-dropping-particle" : "", "parse-names" : false, "suffix" : "" }, { "dropping-particle" : "", "family" : "Sindhusake", "given" : "Doungkamol", "non-dropping-particle" : "", "parse-names" : false, "suffix" : "" } ], "container-title" : "Medical Journal of Australia", "id" : "ITEM-1", "issue" : "2", "issued" : { "date-parts" : [ [ "2016" ] ] }, "page" : "1.e1-1.e7", "title" : "SEPSIS KILLS: Early intervention saves lives", "type" : "article-journal", "volume" : "204" }, "uris" : [ "http://www.mendeley.com/documents/?uuid=e1e58a15-f883-4404-bbad-4ec5b5949a46" ] } ], "mendeley" : { "formattedCitation" : "(10)", "plainTextFormattedCitation" : "(10)", "previouslyFormattedCitation" : "(10)" }, "properties" : { "noteIndex" : 0 }, "schema" : "https://github.com/citation-style-language/schema/raw/master/csl-citation.json" }</w:instrText>
      </w:r>
      <w:r w:rsidR="00C57DD9">
        <w:rPr>
          <w:rFonts w:cstheme="minorHAnsi"/>
        </w:rPr>
        <w:fldChar w:fldCharType="separate"/>
      </w:r>
      <w:r w:rsidR="001C7C8A" w:rsidRPr="001C7C8A">
        <w:rPr>
          <w:rFonts w:cstheme="minorHAnsi"/>
          <w:noProof/>
        </w:rPr>
        <w:t>(10)</w:t>
      </w:r>
      <w:r w:rsidR="00C57DD9">
        <w:rPr>
          <w:rFonts w:cstheme="minorHAnsi"/>
        </w:rPr>
        <w:fldChar w:fldCharType="end"/>
      </w:r>
      <w:r w:rsidR="00E1740D">
        <w:rPr>
          <w:rFonts w:cstheme="minorHAnsi"/>
        </w:rPr>
        <w:fldChar w:fldCharType="begin" w:fldLock="1"/>
      </w:r>
      <w:r w:rsidR="001C7C8A">
        <w:rPr>
          <w:rFonts w:cstheme="minorHAnsi"/>
        </w:rPr>
        <w:instrText>ADDIN CSL_CITATION { "citationItems" : [ { "id" : "ITEM-1", "itemData" : { "ISBN" : "1553-7250", "ISSN" : "15537250", "PMID" : "25977247", "abstract" : "Background: As part of a zero-tolerance approach to preventable deaths, North Shore-LIJ Health System (North Shore-LIJ) leadership prioritized a major patient safety initiative to reduce sepsis mortality in 2009 across 10 acute care hospitals (an 11th joined later). At baseline (2008), approximately 3,500 patients were discharged with a diagnosis of sepsis, which ranked as the top All Patient Refined Diagnosis-Related Group by number of deaths (N = 883). Initially, the focus was sepsis recognition and treatment in the emergency departments (EDs).\\r\\n\\r\\nMethods: North Shore-LIJ, the 14th largest health care system in the United States, cares for individuals at every stage of life at 19 acute care and specialty hospitals and more than 400 outpatient physician practice sites throughout New York City and the greater New York metropolitan area. The health system launched a strategic partnership with the Institute for Healthcare Improvement (IHI) in August 2011 to accelerate the pace of sepsis improvement. Throughout the course of the initiative, North Shore-LIJ collaborated with many local, state, national, and international organizations to test innovative ideas, share evidence-based best practices, and, more\\r\\nrecently, to raise public awareness.\\r\\n\\r\\nResults: North Shore-LIJ reduced overall sepsis mortality by approximately 50% in a six-year period (2008\u20132013; sustained\\r\\nthrough 2014) and increased compliance with sepsis resuscitation bundle elements in the EDs and inpatient units in the 11 acute care hospitals.\\r\\n\\r\\nConclusion: Improvements were achieved by engaging leadership; fostering interprofessional collaboration, collaborating\\r\\nwith other leading health care organizations; and developing meaningful, real-time metrics for all levels of staff.", "author" : [ { "dropping-particle" : "", "family" : "Doerfler", "given" : "Martin E.", "non-dropping-particle" : "", "parse-names" : false, "suffix" : "" }, { "dropping-particle" : "", "family" : "D'Angelo", "given" : "John", "non-dropping-particle" : "", "parse-names" : false, "suffix" : "" }, { "dropping-particle" : "", "family" : "Jacobsen", "given" : "Diane", "non-dropping-particle" : "", "parse-names" : false, "suffix" : "" }, { "dropping-particle" : "", "family" : "Jarrett", "given" : "Mark P.", "non-dropping-particle" : "", "parse-names" : false, "suffix" : "" }, { "dropping-particle" : "", "family" : "Kabcenell", "given" : "Andrea I.", "non-dropping-particle" : "", "parse-names" : false, "suffix" : "" }, { "dropping-particle" : "", "family" : "Masick", "given" : "Kevin D.", "non-dropping-particle" : "", "parse-names" : false, "suffix" : "" }, { "dropping-particle" : "", "family" : "Parmentier", "given" : "Darlene", "non-dropping-particle" : "", "parse-names" : false, "suffix" : "" }, { "dropping-particle" : "", "family" : "Nelson", "given" : "Karen L.", "non-dropping-particle" : "", "parse-names" : false, "suffix" : "" }, { "dropping-particle" : "", "family" : "Stier", "given" : "Lori", "non-dropping-particle" : "", "parse-names" : false, "suffix" : "" } ], "container-title" : "Joint Commission Journal on Quality and Patient Safety", "id" : "ITEM-1", "issue" : "5", "issued" : { "date-parts" : [ [ "2015" ] ] }, "page" : "205-211", "title" : "Methods for reducing sepsis mortality in emergency departments and inpatient units", "type" : "article-journal", "volume" : "41" }, "uris" : [ "http://www.mendeley.com/documents/?uuid=a3b014b2-910c-4b4a-9c2e-9443bb9e5832" ] } ], "mendeley" : { "formattedCitation" : "(9)", "plainTextFormattedCitation" : "(9)", "previouslyFormattedCitation" : "(9)" }, "properties" : { "noteIndex" : 0 }, "schema" : "https://github.com/citation-style-language/schema/raw/master/csl-citation.json" }</w:instrText>
      </w:r>
      <w:r w:rsidR="00E1740D">
        <w:rPr>
          <w:rFonts w:cstheme="minorHAnsi"/>
        </w:rPr>
        <w:fldChar w:fldCharType="separate"/>
      </w:r>
      <w:r w:rsidR="001C7C8A" w:rsidRPr="001C7C8A">
        <w:rPr>
          <w:rFonts w:cstheme="minorHAnsi"/>
          <w:noProof/>
        </w:rPr>
        <w:t>(9)</w:t>
      </w:r>
      <w:r w:rsidR="00E1740D">
        <w:rPr>
          <w:rFonts w:cstheme="minorHAnsi"/>
        </w:rPr>
        <w:fldChar w:fldCharType="end"/>
      </w:r>
      <w:r w:rsidR="00E1740D">
        <w:rPr>
          <w:rFonts w:cstheme="minorHAnsi"/>
        </w:rPr>
        <w:t>.</w:t>
      </w:r>
      <w:r w:rsidRPr="001B74B9">
        <w:rPr>
          <w:rFonts w:cstheme="minorHAnsi"/>
        </w:rPr>
        <w:t xml:space="preserve"> </w:t>
      </w:r>
      <w:r w:rsidR="00D27157">
        <w:rPr>
          <w:rFonts w:cstheme="minorHAnsi"/>
        </w:rPr>
        <w:t>However o</w:t>
      </w:r>
      <w:r w:rsidR="00526D65" w:rsidRPr="001B74B9">
        <w:rPr>
          <w:rFonts w:cstheme="minorHAnsi"/>
        </w:rPr>
        <w:t>ur study highlight</w:t>
      </w:r>
      <w:r w:rsidR="00E725B9" w:rsidRPr="001B74B9">
        <w:rPr>
          <w:rFonts w:cstheme="minorHAnsi"/>
        </w:rPr>
        <w:t>s</w:t>
      </w:r>
      <w:r w:rsidR="00526D65" w:rsidRPr="001B74B9">
        <w:rPr>
          <w:rFonts w:cstheme="minorHAnsi"/>
        </w:rPr>
        <w:t xml:space="preserve"> the importance of </w:t>
      </w:r>
      <w:r w:rsidR="00F87312">
        <w:rPr>
          <w:rFonts w:cstheme="minorHAnsi"/>
        </w:rPr>
        <w:t xml:space="preserve">also </w:t>
      </w:r>
      <w:r w:rsidR="00526D65" w:rsidRPr="001B74B9">
        <w:rPr>
          <w:rFonts w:cstheme="minorHAnsi"/>
        </w:rPr>
        <w:t xml:space="preserve">using outcomes such as prolonged hospital stay and readmissions to </w:t>
      </w:r>
      <w:r w:rsidR="001C7C8A">
        <w:rPr>
          <w:rFonts w:cstheme="minorHAnsi"/>
        </w:rPr>
        <w:t xml:space="preserve">also </w:t>
      </w:r>
      <w:r w:rsidR="00526D65" w:rsidRPr="001B74B9">
        <w:rPr>
          <w:rFonts w:cstheme="minorHAnsi"/>
        </w:rPr>
        <w:t xml:space="preserve">assess outcomes of sepsis improvement programs. </w:t>
      </w:r>
      <w:r w:rsidR="00443C18">
        <w:rPr>
          <w:rFonts w:cstheme="minorHAnsi"/>
        </w:rPr>
        <w:t xml:space="preserve">The fact that we did not find an effect on mortality is interesting </w:t>
      </w:r>
      <w:r w:rsidR="00D27157">
        <w:rPr>
          <w:rFonts w:cstheme="minorHAnsi"/>
        </w:rPr>
        <w:t xml:space="preserve">and </w:t>
      </w:r>
      <w:r w:rsidR="00443C18">
        <w:rPr>
          <w:rFonts w:cstheme="minorHAnsi"/>
        </w:rPr>
        <w:t>not consistent with other studie</w:t>
      </w:r>
      <w:r w:rsidR="008F374A">
        <w:rPr>
          <w:rFonts w:cstheme="minorHAnsi"/>
        </w:rPr>
        <w:t>s</w:t>
      </w:r>
      <w:r w:rsidR="008F374A">
        <w:rPr>
          <w:rFonts w:cstheme="minorHAnsi"/>
        </w:rPr>
        <w:fldChar w:fldCharType="begin" w:fldLock="1"/>
      </w:r>
      <w:r w:rsidR="008F374A">
        <w:rPr>
          <w:rFonts w:cstheme="minorHAnsi"/>
        </w:rPr>
        <w:instrText>ADDIN CSL_CITATION { "citationItems" : [ { "id" : "ITEM-1", "itemData" : { "DOI" : "10.5694/mja15.00657", "ISBN" : "1326-5377 (Electronic)\\r0025-729X (Linking)", "ISSN" : "13265377", "PMID" : "26821106", "abstract" : "OBJECTIVE: To implement a statewide program for the early recognition and treatment of sepsis in New South Wales, Australia. SETTING: Ninety-seven emergency departments in NSW hospitals. INTERVENTION: A quality improvement program (SEPSIS KILLS) that promoted intervention within 60 minutes of recognition, including taking of blood cultures, measuring serum lactate levels, administration of intravenous antibiotics, and fluid resuscitation. MAIN OUTCOME MEASURES: Time to antibiotics and fluid resuscitation; mortality rates and length of stay. RESULTS: Data for 13 567 patients were entered into the database. The proportion of patients receiving intravenous antibiotics within 60 minutes of triage increased from 29.3% in 2009-2011 to 52.2% in 2013. The percentage for whom a second litre of fluid was started within 60 minutes rose from 10.6% to 27.5% (each P &lt; 0.001). The proportion of patients classed as Australasian Triage Scale (ATS) 1 increased from 2.3% in 2009-2011 to 4.2% in 2013, and the proportion classed as ATS 2 rose from 40.7% in 2009-2011 to 60.7% in 2013 (P &lt; 0.001). There was a linear decrease in mortality from 19.3% in 2009-2011 to 14.1% in 2013; there was also a significant decline in time in intensive care and total length of stay (each P &lt; 0.0001). The mortality rate for patients with severe sepsis (serum lactate &gt;/= 4 mmol/L or systolic blood pressure [SBP] &lt; 90 mmHg) was 19.7%. The mortality rates for patients with severe sepsis admitted to intensive care and for those admitted to a ward did not change significantly over time. The proportion of patients with uncomplicated sepsis (SBP &gt;/= 90 mmHg, serum lactate &lt; 4 mmol/L) transferred to a ward increased, and the mortality rate after transfer increased from 3.2% in 2009-2011 to 6.2% in 2013 (P &lt; 0.05). The survival benefit was greatest for patients with evidence of haemodynamic instability (SBP &lt; 90 mmHg) but normal lactate levels (P = 0.03). CONCLUSIONS: The SEPSIS KILLS program has improved the process of care for patients with sepsis in NSW hospitals. The program has focused attention on sepsis management in the wards.", "author" : [ { "dropping-particle" : "", "family" : "Burrell", "given" : "Anthony R.", "non-dropping-particle" : "", "parse-names" : false, "suffix" : "" }, { "dropping-particle" : "", "family" : "McLaws", "given" : "Mary Louise", "non-dropping-particle" : "", "parse-names" : false, "suffix" : "" }, { "dropping-particle" : "", "family" : "Fullick", "given" : "Mary", "non-dropping-particle" : "", "parse-names" : false, "suffix" : "" }, { "dropping-particle" : "", "family" : "Sullivan", "given" : "Rosemary B.", "non-dropping-particle" : "", "parse-names" : false, "suffix" : "" }, { "dropping-particle" : "", "family" : "Sindhusake", "given" : "Doungkamol", "non-dropping-particle" : "", "parse-names" : false, "suffix" : "" } ], "container-title" : "Medical Journal of Australia", "id" : "ITEM-1", "issue" : "2", "issued" : { "date-parts" : [ [ "2016" ] ] }, "page" : "1.e1-1.e7", "title" : "SEPSIS KILLS: Early intervention saves lives", "type" : "article-journal", "volume" : "204" }, "uris" : [ "http://www.mendeley.com/documents/?uuid=e1e58a15-f883-4404-bbad-4ec5b5949a46" ] } ], "mendeley" : { "formattedCitation" : "(10)", "plainTextFormattedCitation" : "(10)", "previouslyFormattedCitation" : "(10)" }, "properties" : { "noteIndex" : 0 }, "schema" : "https://github.com/citation-style-language/schema/raw/master/csl-citation.json" }</w:instrText>
      </w:r>
      <w:r w:rsidR="008F374A">
        <w:rPr>
          <w:rFonts w:cstheme="minorHAnsi"/>
        </w:rPr>
        <w:fldChar w:fldCharType="separate"/>
      </w:r>
      <w:r w:rsidR="008F374A" w:rsidRPr="001C7C8A">
        <w:rPr>
          <w:rFonts w:cstheme="minorHAnsi"/>
          <w:noProof/>
        </w:rPr>
        <w:t>(10)</w:t>
      </w:r>
      <w:r w:rsidR="008F374A">
        <w:rPr>
          <w:rFonts w:cstheme="minorHAnsi"/>
        </w:rPr>
        <w:fldChar w:fldCharType="end"/>
      </w:r>
      <w:r w:rsidR="008F374A">
        <w:rPr>
          <w:rFonts w:cstheme="minorHAnsi"/>
        </w:rPr>
        <w:fldChar w:fldCharType="begin" w:fldLock="1"/>
      </w:r>
      <w:r w:rsidR="008F374A">
        <w:rPr>
          <w:rFonts w:cstheme="minorHAnsi"/>
        </w:rPr>
        <w:instrText>ADDIN CSL_CITATION { "citationItems" : [ { "id" : "ITEM-1", "itemData" : { "ISBN" : "1553-7250", "ISSN" : "15537250", "PMID" : "25977247", "abstract" : "Background: As part of a zero-tolerance approach to preventable deaths, North Shore-LIJ Health System (North Shore-LIJ) leadership prioritized a major patient safety initiative to reduce sepsis mortality in 2009 across 10 acute care hospitals (an 11th joined later). At baseline (2008), approximately 3,500 patients were discharged with a diagnosis of sepsis, which ranked as the top All Patient Refined Diagnosis-Related Group by number of deaths (N = 883). Initially, the focus was sepsis recognition and treatment in the emergency departments (EDs).\\r\\n\\r\\nMethods: North Shore-LIJ, the 14th largest health care system in the United States, cares for individuals at every stage of life at 19 acute care and specialty hospitals and more than 400 outpatient physician practice sites throughout New York City and the greater New York metropolitan area. The health system launched a strategic partnership with the Institute for Healthcare Improvement (IHI) in August 2011 to accelerate the pace of sepsis improvement. Throughout the course of the initiative, North Shore-LIJ collaborated with many local, state, national, and international organizations to test innovative ideas, share evidence-based best practices, and, more\\r\\nrecently, to raise public awareness.\\r\\n\\r\\nResults: North Shore-LIJ reduced overall sepsis mortality by approximately 50% in a six-year period (2008\u20132013; sustained\\r\\nthrough 2014) and increased compliance with sepsis resuscitation bundle elements in the EDs and inpatient units in the 11 acute care hospitals.\\r\\n\\r\\nConclusion: Improvements were achieved by engaging leadership; fostering interprofessional collaboration, collaborating\\r\\nwith other leading health care organizations; and developing meaningful, real-time metrics for all levels of staff.", "author" : [ { "dropping-particle" : "", "family" : "Doerfler", "given" : "Martin E.", "non-dropping-particle" : "", "parse-names" : false, "suffix" : "" }, { "dropping-particle" : "", "family" : "D'Angelo", "given" : "John", "non-dropping-particle" : "", "parse-names" : false, "suffix" : "" }, { "dropping-particle" : "", "family" : "Jacobsen", "given" : "Diane", "non-dropping-particle" : "", "parse-names" : false, "suffix" : "" }, { "dropping-particle" : "", "family" : "Jarrett", "given" : "Mark P.", "non-dropping-particle" : "", "parse-names" : false, "suffix" : "" }, { "dropping-particle" : "", "family" : "Kabcenell", "given" : "Andrea I.", "non-dropping-particle" : "", "parse-names" : false, "suffix" : "" }, { "dropping-particle" : "", "family" : "Masick", "given" : "Kevin D.", "non-dropping-particle" : "", "parse-names" : false, "suffix" : "" }, { "dropping-particle" : "", "family" : "Parmentier", "given" : "Darlene", "non-dropping-particle" : "", "parse-names" : false, "suffix" : "" }, { "dropping-particle" : "", "family" : "Nelson", "given" : "Karen L.", "non-dropping-particle" : "", "parse-names" : false, "suffix" : "" }, { "dropping-particle" : "", "family" : "Stier", "given" : "Lori", "non-dropping-particle" : "", "parse-names" : false, "suffix" : "" } ], "container-title" : "Joint Commission Journal on Quality and Patient Safety", "id" : "ITEM-1", "issue" : "5", "issued" : { "date-parts" : [ [ "2015" ] ] }, "page" : "205-211", "title" : "Methods for reducing sepsis mortality in emergency departments and inpatient units", "type" : "article-journal", "volume" : "41" }, "uris" : [ "http://www.mendeley.com/documents/?uuid=a3b014b2-910c-4b4a-9c2e-9443bb9e5832" ] } ], "mendeley" : { "formattedCitation" : "(9)", "plainTextFormattedCitation" : "(9)", "previouslyFormattedCitation" : "(9)" }, "properties" : { "noteIndex" : 0 }, "schema" : "https://github.com/citation-style-language/schema/raw/master/csl-citation.json" }</w:instrText>
      </w:r>
      <w:r w:rsidR="008F374A">
        <w:rPr>
          <w:rFonts w:cstheme="minorHAnsi"/>
        </w:rPr>
        <w:fldChar w:fldCharType="separate"/>
      </w:r>
      <w:r w:rsidR="008F374A" w:rsidRPr="001C7C8A">
        <w:rPr>
          <w:rFonts w:cstheme="minorHAnsi"/>
          <w:noProof/>
        </w:rPr>
        <w:t>(9)</w:t>
      </w:r>
      <w:r w:rsidR="008F374A">
        <w:rPr>
          <w:rFonts w:cstheme="minorHAnsi"/>
        </w:rPr>
        <w:fldChar w:fldCharType="end"/>
      </w:r>
      <w:r w:rsidR="00443C18">
        <w:rPr>
          <w:rFonts w:cstheme="minorHAnsi"/>
        </w:rPr>
        <w:t xml:space="preserve"> </w:t>
      </w:r>
      <w:r w:rsidR="008F374A">
        <w:rPr>
          <w:rFonts w:cstheme="minorHAnsi"/>
        </w:rPr>
        <w:fldChar w:fldCharType="begin" w:fldLock="1"/>
      </w:r>
      <w:r w:rsidR="008F374A">
        <w:rPr>
          <w:rFonts w:cstheme="minorHAnsi"/>
        </w:rPr>
        <w:instrText>ADDIN CSL_CITATION { "citationItems" : [ { "id" : "ITEM-1", "itemData" : { "DOI" : "10.1136/emermed-2015-205645", "ISSN" : "1472-0205", "author" : [ { "dropping-particle" : "", "family" : "Groot", "given" : "Bas", "non-dropping-particle" : "De", "parse-names" : false, "suffix" : "" }, { "dropping-particle" : "", "family" : "Struyk", "given" : "Bastiaan", "non-dropping-particle" : "", "parse-names" : false, "suffix" : "" }, { "dropping-particle" : "", "family" : "Najafi", "given" : "Rashed", "non-dropping-particle" : "", "parse-names" : false, "suffix" : "" }, { "dropping-particle" : "", "family" : "Halma", "given" : "Nieke", "non-dropping-particle" : "", "parse-names" : false, "suffix" : "" }, { "dropping-particle" : "", "family" : "Pelser", "given" : "Loekie", "non-dropping-particle" : "", "parse-names" : false, "suffix" : "" }, { "dropping-particle" : "", "family" : "Vorst", "given" : "Denise", "non-dropping-particle" : "", "parse-names" : false, "suffix" : "" }, { "dropping-particle" : "", "family" : "Mertens", "given" : "Bart", "non-dropping-particle" : "", "parse-names" : false, "suffix" : "" }, { "dropping-particle" : "", "family" : "Ansems", "given" : "Annemieke", "non-dropping-particle" : "", "parse-names" : false, "suffix" : "" }, { "dropping-particle" : "", "family" : "Rijpsma", "given" : "Douwe", "non-dropping-particle" : "", "parse-names" : false, "suffix" : "" } ], "container-title" : "Emergency Medicine Journal", "id" : "ITEM-1", "issued" : { "date-parts" : [ [ "2017", "5", "17" ] ] }, "page" : "emermed-2015-205645", "title" : "Inclusion of emergency department patients in early stages of sepsis in a quality improvement programme has the potential to improve survival: a prospective dual-centre study", "type" : "article-journal" }, "uris" : [ "http://www.mendeley.com/documents/?uuid=e7b59c32-6de0-4355-8f20-8f5fbf65a420" ] } ], "mendeley" : { "formattedCitation" : "(18)", "plainTextFormattedCitation" : "(18)" }, "properties" : { "noteIndex" : 0 }, "schema" : "https://github.com/citation-style-language/schema/raw/master/csl-citation.json" }</w:instrText>
      </w:r>
      <w:r w:rsidR="008F374A">
        <w:rPr>
          <w:rFonts w:cstheme="minorHAnsi"/>
        </w:rPr>
        <w:fldChar w:fldCharType="separate"/>
      </w:r>
      <w:r w:rsidR="008F374A" w:rsidRPr="008F374A">
        <w:rPr>
          <w:rFonts w:cstheme="minorHAnsi"/>
          <w:noProof/>
        </w:rPr>
        <w:t>(18)</w:t>
      </w:r>
      <w:r w:rsidR="008F374A">
        <w:rPr>
          <w:rFonts w:cstheme="minorHAnsi"/>
        </w:rPr>
        <w:fldChar w:fldCharType="end"/>
      </w:r>
      <w:r w:rsidR="00443C18">
        <w:rPr>
          <w:rFonts w:cstheme="minorHAnsi"/>
        </w:rPr>
        <w:t>. This may be due to the before and after design of our study and limit</w:t>
      </w:r>
      <w:r w:rsidR="008F374A">
        <w:rPr>
          <w:rFonts w:cstheme="minorHAnsi"/>
        </w:rPr>
        <w:t>ations already highlighted.</w:t>
      </w:r>
      <w:r w:rsidR="00533247">
        <w:rPr>
          <w:rFonts w:cstheme="minorHAnsi"/>
        </w:rPr>
        <w:t xml:space="preserve"> This may also be due to </w:t>
      </w:r>
      <w:r w:rsidR="00D27157">
        <w:rPr>
          <w:rFonts w:cstheme="minorHAnsi"/>
        </w:rPr>
        <w:t xml:space="preserve">variation in levels of adherence to the bundle across the participating </w:t>
      </w:r>
      <w:r w:rsidR="00533247">
        <w:rPr>
          <w:rFonts w:cstheme="minorHAnsi"/>
        </w:rPr>
        <w:t>hospitals.</w:t>
      </w:r>
      <w:r w:rsidR="00D27157">
        <w:rPr>
          <w:rFonts w:cstheme="minorHAnsi"/>
        </w:rPr>
        <w:t xml:space="preserve"> We are aware that some hospitals which are part of the collaborative have seen a reduction in sepsis mortality during the same period. </w:t>
      </w:r>
      <w:r w:rsidR="00533247">
        <w:rPr>
          <w:rFonts w:cstheme="minorHAnsi"/>
        </w:rPr>
        <w:t>Higher levels of compliance with the bundle across the region may be necessary to observe an impact on mortality. Our findings should not be interpreted as evidence to abandon sepsis improvement programs because they may not have an impact on mortality.</w:t>
      </w:r>
      <w:r w:rsidR="008F374A">
        <w:rPr>
          <w:rFonts w:cstheme="minorHAnsi"/>
        </w:rPr>
        <w:t xml:space="preserve"> </w:t>
      </w:r>
    </w:p>
    <w:p w14:paraId="0F7CBB11" w14:textId="19F2F204" w:rsidR="002202C9" w:rsidRPr="001B74B9" w:rsidRDefault="002202C9" w:rsidP="00FD44CA">
      <w:pPr>
        <w:jc w:val="both"/>
        <w:rPr>
          <w:rFonts w:cstheme="minorHAnsi"/>
        </w:rPr>
      </w:pPr>
    </w:p>
    <w:p w14:paraId="4A775CE1" w14:textId="3AD3CEFF" w:rsidR="008E55C1" w:rsidRPr="001B74B9" w:rsidRDefault="002202C9" w:rsidP="00FD44CA">
      <w:pPr>
        <w:jc w:val="both"/>
        <w:rPr>
          <w:rFonts w:cstheme="minorHAnsi"/>
        </w:rPr>
      </w:pPr>
      <w:r w:rsidRPr="001B74B9">
        <w:rPr>
          <w:rFonts w:cstheme="minorHAnsi"/>
        </w:rPr>
        <w:t xml:space="preserve">The use of a measure set for sepsis </w:t>
      </w:r>
      <w:r w:rsidR="001C7C8A">
        <w:rPr>
          <w:rFonts w:cstheme="minorHAnsi"/>
        </w:rPr>
        <w:t xml:space="preserve">within a collaborative </w:t>
      </w:r>
      <w:r w:rsidRPr="001B74B9">
        <w:rPr>
          <w:rFonts w:cstheme="minorHAnsi"/>
        </w:rPr>
        <w:t xml:space="preserve">in the </w:t>
      </w:r>
      <w:r w:rsidR="00C8394E">
        <w:rPr>
          <w:rFonts w:cstheme="minorHAnsi"/>
        </w:rPr>
        <w:t>northwest</w:t>
      </w:r>
      <w:r w:rsidR="00C8394E" w:rsidRPr="001B74B9">
        <w:rPr>
          <w:rFonts w:cstheme="minorHAnsi"/>
        </w:rPr>
        <w:t xml:space="preserve"> </w:t>
      </w:r>
      <w:r w:rsidRPr="001B74B9">
        <w:rPr>
          <w:rFonts w:cstheme="minorHAnsi"/>
        </w:rPr>
        <w:t>of England wa</w:t>
      </w:r>
      <w:r w:rsidR="00952BF2" w:rsidRPr="001B74B9">
        <w:rPr>
          <w:rFonts w:cstheme="minorHAnsi"/>
        </w:rPr>
        <w:t>s</w:t>
      </w:r>
      <w:r w:rsidRPr="001B74B9">
        <w:rPr>
          <w:rFonts w:cstheme="minorHAnsi"/>
        </w:rPr>
        <w:t xml:space="preserve"> associated with a reduction in length of stay and readmission for sepsis</w:t>
      </w:r>
      <w:r w:rsidR="003A5CC9" w:rsidRPr="001B74B9">
        <w:rPr>
          <w:rFonts w:cstheme="minorHAnsi"/>
        </w:rPr>
        <w:t>.</w:t>
      </w:r>
      <w:r w:rsidR="00B66415">
        <w:rPr>
          <w:rFonts w:cstheme="minorHAnsi"/>
        </w:rPr>
        <w:t xml:space="preserve"> Lower mortality was associated with timely investigations and administration of antibiotics and there </w:t>
      </w:r>
      <w:r w:rsidR="003E6E5F">
        <w:rPr>
          <w:rFonts w:cstheme="minorHAnsi"/>
        </w:rPr>
        <w:t xml:space="preserve">are </w:t>
      </w:r>
      <w:r w:rsidR="00B66415">
        <w:rPr>
          <w:rFonts w:cstheme="minorHAnsi"/>
        </w:rPr>
        <w:t>strong clinical reason</w:t>
      </w:r>
      <w:r w:rsidR="003E6E5F">
        <w:rPr>
          <w:rFonts w:cstheme="minorHAnsi"/>
        </w:rPr>
        <w:t>s</w:t>
      </w:r>
      <w:r w:rsidR="00B66415">
        <w:rPr>
          <w:rFonts w:cstheme="minorHAnsi"/>
        </w:rPr>
        <w:t xml:space="preserve"> to believe these associations </w:t>
      </w:r>
      <w:r w:rsidR="003E6E5F">
        <w:rPr>
          <w:rFonts w:cstheme="minorHAnsi"/>
        </w:rPr>
        <w:t xml:space="preserve">are </w:t>
      </w:r>
      <w:r w:rsidR="00B66415">
        <w:rPr>
          <w:rFonts w:cstheme="minorHAnsi"/>
        </w:rPr>
        <w:t xml:space="preserve">beneficial </w:t>
      </w:r>
      <w:r w:rsidR="003E6E5F">
        <w:rPr>
          <w:rFonts w:cstheme="minorHAnsi"/>
        </w:rPr>
        <w:t xml:space="preserve">for </w:t>
      </w:r>
      <w:r w:rsidR="00B66415">
        <w:rPr>
          <w:rFonts w:cstheme="minorHAnsi"/>
        </w:rPr>
        <w:t>patient</w:t>
      </w:r>
      <w:r w:rsidR="003E6E5F">
        <w:rPr>
          <w:rFonts w:cstheme="minorHAnsi"/>
        </w:rPr>
        <w:t>s</w:t>
      </w:r>
      <w:r w:rsidR="00B66415">
        <w:rPr>
          <w:rFonts w:cstheme="minorHAnsi"/>
        </w:rPr>
        <w:t>.</w:t>
      </w:r>
      <w:r w:rsidR="003A5CC9" w:rsidRPr="001B74B9">
        <w:rPr>
          <w:rFonts w:cstheme="minorHAnsi"/>
        </w:rPr>
        <w:t xml:space="preserve"> </w:t>
      </w:r>
      <w:r w:rsidR="00B80BE2">
        <w:rPr>
          <w:rFonts w:cstheme="minorHAnsi"/>
        </w:rPr>
        <w:t>We would recommend the use of</w:t>
      </w:r>
      <w:r w:rsidR="008E55C1" w:rsidRPr="001B74B9">
        <w:rPr>
          <w:rFonts w:cstheme="minorHAnsi"/>
        </w:rPr>
        <w:t xml:space="preserve"> a similar approach</w:t>
      </w:r>
      <w:r w:rsidR="00B66415">
        <w:rPr>
          <w:rFonts w:cstheme="minorHAnsi"/>
        </w:rPr>
        <w:t xml:space="preserve"> </w:t>
      </w:r>
      <w:r w:rsidR="00B80BE2">
        <w:rPr>
          <w:rFonts w:cstheme="minorHAnsi"/>
        </w:rPr>
        <w:t>in other settings</w:t>
      </w:r>
      <w:r w:rsidR="008E55C1" w:rsidRPr="001B74B9">
        <w:rPr>
          <w:rFonts w:cstheme="minorHAnsi"/>
        </w:rPr>
        <w:t xml:space="preserve">. </w:t>
      </w:r>
    </w:p>
    <w:p w14:paraId="5957CE9A" w14:textId="77777777" w:rsidR="004E1A8D" w:rsidRDefault="004E1A8D">
      <w:pPr>
        <w:rPr>
          <w:b/>
        </w:rPr>
      </w:pPr>
    </w:p>
    <w:p w14:paraId="2CFDB50C" w14:textId="30E23E72" w:rsidR="005D2EF9" w:rsidRDefault="004E1A8D" w:rsidP="004E1A8D">
      <w:pPr>
        <w:rPr>
          <w:b/>
        </w:rPr>
      </w:pPr>
      <w:r w:rsidRPr="004E1A8D">
        <w:rPr>
          <w:b/>
        </w:rPr>
        <w:t>REFERENC</w:t>
      </w:r>
      <w:r w:rsidR="005D2EF9">
        <w:rPr>
          <w:b/>
        </w:rPr>
        <w:t>ES</w:t>
      </w:r>
    </w:p>
    <w:p w14:paraId="29DA25A0" w14:textId="77777777" w:rsidR="005D2EF9" w:rsidRDefault="005D2EF9" w:rsidP="004E1A8D">
      <w:pPr>
        <w:rPr>
          <w:b/>
        </w:rPr>
      </w:pPr>
    </w:p>
    <w:p w14:paraId="77AFAD34" w14:textId="1B3D5AC8" w:rsidR="008F374A" w:rsidRPr="008F374A" w:rsidRDefault="005D2EF9" w:rsidP="008F374A">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008F374A" w:rsidRPr="008F374A">
        <w:rPr>
          <w:rFonts w:ascii="Calibri" w:hAnsi="Calibri" w:cs="Calibri"/>
          <w:noProof/>
        </w:rPr>
        <w:t xml:space="preserve">1. </w:t>
      </w:r>
      <w:r w:rsidR="008F374A" w:rsidRPr="008F374A">
        <w:rPr>
          <w:rFonts w:ascii="Calibri" w:hAnsi="Calibri" w:cs="Calibri"/>
          <w:noProof/>
        </w:rPr>
        <w:tab/>
        <w:t>Mouncey PR, Osborn TM, Power GS, Harrison D a, Sadique MZ, Grieve RD, et al. Trial of Early, Goal-Directed Resuscitation for Septic Shock for the ProMISe Trial Investigators*. N Engl J Med [Internet]. 2015;372(14):1301–11. Available from: http://www.ncbi.nlm.nih.gov/pubmed/25776532</w:t>
      </w:r>
    </w:p>
    <w:p w14:paraId="29948B5E"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2. </w:t>
      </w:r>
      <w:r w:rsidRPr="008F374A">
        <w:rPr>
          <w:rFonts w:ascii="Calibri" w:hAnsi="Calibri" w:cs="Calibri"/>
          <w:noProof/>
        </w:rPr>
        <w:tab/>
        <w:t xml:space="preserve">Daniels R, Nutbeam T, McNamara G, Galvin C. The sepsis six and the severe sepsis resuscitation bundle: a prospective observational cohort study. Emerg Med J. 2011;28(6):507–12. </w:t>
      </w:r>
    </w:p>
    <w:p w14:paraId="42B36925"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3. </w:t>
      </w:r>
      <w:r w:rsidRPr="008F374A">
        <w:rPr>
          <w:rFonts w:ascii="Calibri" w:hAnsi="Calibri" w:cs="Calibri"/>
          <w:noProof/>
        </w:rPr>
        <w:tab/>
        <w:t xml:space="preserve">Kumar G, Kumar N, Taneja A, Kaleekal T, Tarima S, McGinley E, et al. Nationwide trends of severe sepsis in the 21st century (2000-2007). Chest. 2011;140(5):1223–31. </w:t>
      </w:r>
    </w:p>
    <w:p w14:paraId="77D57BAB"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4. </w:t>
      </w:r>
      <w:r w:rsidRPr="008F374A">
        <w:rPr>
          <w:rFonts w:ascii="Calibri" w:hAnsi="Calibri" w:cs="Calibri"/>
          <w:noProof/>
        </w:rPr>
        <w:tab/>
        <w:t>Dombrovskiy VY, Martin AA, Sunderram J, Paz HL. Rapid increase in hospitalization and mortality rates for severe sepsis in the United States: a trend analysis from 1993 to 2003. Crit Care Med [Internet]. 2007;35(5):1244–50. Available from: http://www.ncbi.nlm.nih.gov/pubmed/17414736</w:t>
      </w:r>
    </w:p>
    <w:p w14:paraId="53F6370C"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5. </w:t>
      </w:r>
      <w:r w:rsidRPr="008F374A">
        <w:rPr>
          <w:rFonts w:ascii="Calibri" w:hAnsi="Calibri" w:cs="Calibri"/>
          <w:noProof/>
        </w:rPr>
        <w:tab/>
        <w:t>Bailey M, Bellomo R, Peter A, Cooper DJ, Higgins AM, Hold- A, et al. Goal-Directed Resuscitation for Patients with Early Septic Shock. N Engl J Med [Internet]. 2014;371(16):141001063014008. Available from: http://www.ncbi.nlm.nih.gov/pubmed/25272316%5Cnhttp://www.nejm.org/doi/abs/10.1056/NEJMoa1404380</w:t>
      </w:r>
    </w:p>
    <w:p w14:paraId="27AA9ECD"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6. </w:t>
      </w:r>
      <w:r w:rsidRPr="008F374A">
        <w:rPr>
          <w:rFonts w:ascii="Calibri" w:hAnsi="Calibri" w:cs="Calibri"/>
          <w:noProof/>
        </w:rPr>
        <w:tab/>
        <w:t>Investigators TP. A Randomized Trial of Protocol-Based Care for Early Septic Shock. Process trial. N Engl J Med [Internet]. 2014;370(18):1–11. Available from: http://www.ncbi.nlm.nih.gov/pubmed/24635773</w:t>
      </w:r>
    </w:p>
    <w:p w14:paraId="579AF756"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7. </w:t>
      </w:r>
      <w:r w:rsidRPr="008F374A">
        <w:rPr>
          <w:rFonts w:ascii="Calibri" w:hAnsi="Calibri" w:cs="Calibri"/>
          <w:noProof/>
        </w:rPr>
        <w:tab/>
        <w:t>NCEPOD. No Title [Internet]. Just say sepsis! [cited 2017 Apr 26]. Available from: http://www.ncepod.org.uk/2015report2/downloads/JustSaySepsis_FullReport.pdf</w:t>
      </w:r>
    </w:p>
    <w:p w14:paraId="6F0F886A"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8. </w:t>
      </w:r>
      <w:r w:rsidRPr="008F374A">
        <w:rPr>
          <w:rFonts w:ascii="Calibri" w:hAnsi="Calibri" w:cs="Calibri"/>
          <w:noProof/>
        </w:rPr>
        <w:tab/>
        <w:t>APPG. Sepsis and the NHS - Annual review by the All-Party Parliamentary Group on Sepsis [Internet]. [cited 2017 Apr 26]. Available from: https://www.nursingtimes.net/Journals/2015/10/27/o/m/o/APPG-Sepsis-Report-</w:t>
      </w:r>
      <w:r w:rsidRPr="008F374A">
        <w:rPr>
          <w:rFonts w:ascii="Calibri" w:hAnsi="Calibri" w:cs="Calibri"/>
          <w:noProof/>
        </w:rPr>
        <w:lastRenderedPageBreak/>
        <w:t>2015.pdf</w:t>
      </w:r>
    </w:p>
    <w:p w14:paraId="41F1331C"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9. </w:t>
      </w:r>
      <w:r w:rsidRPr="008F374A">
        <w:rPr>
          <w:rFonts w:ascii="Calibri" w:hAnsi="Calibri" w:cs="Calibri"/>
          <w:noProof/>
        </w:rPr>
        <w:tab/>
        <w:t xml:space="preserve">Doerfler ME, D’Angelo J, Jacobsen D, Jarrett MP, Kabcenell AI, Masick KD, et al. Methods for reducing sepsis mortality in emergency departments and inpatient units. Jt Comm J Qual Patient Saf. 2015;41(5):205–11. </w:t>
      </w:r>
    </w:p>
    <w:p w14:paraId="5D428286"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10. </w:t>
      </w:r>
      <w:r w:rsidRPr="008F374A">
        <w:rPr>
          <w:rFonts w:ascii="Calibri" w:hAnsi="Calibri" w:cs="Calibri"/>
          <w:noProof/>
        </w:rPr>
        <w:tab/>
        <w:t xml:space="preserve">Burrell AR, McLaws ML, Fullick M, Sullivan RB, Sindhusake D. SEPSIS KILLS: Early intervention saves lives. Med J Aust. 2016;204(2):1.e1-1.e7. </w:t>
      </w:r>
    </w:p>
    <w:p w14:paraId="5B964836"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11. </w:t>
      </w:r>
      <w:r w:rsidRPr="008F374A">
        <w:rPr>
          <w:rFonts w:ascii="Calibri" w:hAnsi="Calibri" w:cs="Calibri"/>
          <w:noProof/>
        </w:rPr>
        <w:tab/>
        <w:t xml:space="preserve">Rhodes A, Phillips G, Beale R, Cecconi M, Chiche JD, De Backer D, et al. The Surviving Sepsis Campaign bundles and outcome: results from the International Multicentre Prevalence Study on Sepsis (the IMPreSS study). Intensive Care Med. 2015;41(9):1620–8. </w:t>
      </w:r>
    </w:p>
    <w:p w14:paraId="2F5D3149"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12. </w:t>
      </w:r>
      <w:r w:rsidRPr="008F374A">
        <w:rPr>
          <w:rFonts w:ascii="Calibri" w:hAnsi="Calibri" w:cs="Calibri"/>
          <w:noProof/>
        </w:rPr>
        <w:tab/>
        <w:t>Sterling SA, Miller WR, Pryor J, Puskarich MA, Jones AE. The Impact of Timing of Antibiotics on Outcomes in Severe Sepsis and Septic Shock. Crit Care Med [Internet]. 2015;43(9):1907–15. Available from: http://content.wkhealth.com/linkback/openurl?sid=WKPTLP:landingpage&amp;an=00003246-201509000-00016</w:t>
      </w:r>
    </w:p>
    <w:p w14:paraId="2538860D"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13. </w:t>
      </w:r>
      <w:r w:rsidRPr="008F374A">
        <w:rPr>
          <w:rFonts w:ascii="Calibri" w:hAnsi="Calibri" w:cs="Calibri"/>
          <w:noProof/>
        </w:rPr>
        <w:tab/>
        <w:t>Dellinger R, Levy M, Rhodes A. Surviving Sepsis Campaign: international guidelines for management of severe sepsis and septic shock, 2012. Intensive care … [Internet]. 2013;41(2):580–637. Available from: http://www.vollman.com/pdf/ersepsis.pdf%5Cnhttp://www.ncbi.nlm.nih.gov/pubmed/23353941%5Cnhttp://link.springer.com/article/10.1007/s00134-012-2769-8</w:t>
      </w:r>
    </w:p>
    <w:p w14:paraId="047B73F9"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14. </w:t>
      </w:r>
      <w:r w:rsidRPr="008F374A">
        <w:rPr>
          <w:rFonts w:ascii="Calibri" w:hAnsi="Calibri" w:cs="Calibri"/>
          <w:noProof/>
        </w:rPr>
        <w:tab/>
        <w:t>Charlson Comorbidity Index [Internet]. [cited 2017 Apr 28]. Available from: http://content.digital.nhs.uk/media/16110/Indicator-Specification-Summary-Hospital-level-Mortality-Indicator-methodology-updated/pdf/SHMI_specification.pdf</w:t>
      </w:r>
    </w:p>
    <w:p w14:paraId="0F1CC35E"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15. </w:t>
      </w:r>
      <w:r w:rsidRPr="008F374A">
        <w:rPr>
          <w:rFonts w:ascii="Calibri" w:hAnsi="Calibri" w:cs="Calibri"/>
          <w:noProof/>
        </w:rPr>
        <w:tab/>
        <w:t>Trust TWWC. York University Report [Internet]. The cost of sepsis care in the UK. 2017 [cited 2017 Apr 26]. Available from: http://sepsistrust.org/the-cost-of-sepsis-care-in-the-uk-report-released-20th-february-2017/</w:t>
      </w:r>
    </w:p>
    <w:p w14:paraId="5D7FB18E"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16. </w:t>
      </w:r>
      <w:r w:rsidRPr="008F374A">
        <w:rPr>
          <w:rFonts w:ascii="Calibri" w:hAnsi="Calibri" w:cs="Calibri"/>
          <w:noProof/>
        </w:rPr>
        <w:tab/>
        <w:t xml:space="preserve">Navathe AS, Zhong F, Lei VJ, Chang FY, Sordo M, Topaz M, et al. Hospital Readmission and Social Risk Factors Identified from Physician Notes. Health Services Research. 2017; </w:t>
      </w:r>
    </w:p>
    <w:p w14:paraId="06CB8E93"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17. </w:t>
      </w:r>
      <w:r w:rsidRPr="008F374A">
        <w:rPr>
          <w:rFonts w:ascii="Calibri" w:hAnsi="Calibri" w:cs="Calibri"/>
          <w:noProof/>
        </w:rPr>
        <w:tab/>
        <w:t>Singer M, Deutschman CS, Seymour CW, Shankar-Hari M, Annane D, Bauer M, et al. The Third International Consensus Definitions for Sepsis and Septic Shock (Sepsis-3). Jama [Internet]. 2016;315(8):801–10. Available from: http://www.ncbi.nlm.nih.gov/pubmed/26903338</w:t>
      </w:r>
    </w:p>
    <w:p w14:paraId="4A2945CA"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18. </w:t>
      </w:r>
      <w:r w:rsidRPr="008F374A">
        <w:rPr>
          <w:rFonts w:ascii="Calibri" w:hAnsi="Calibri" w:cs="Calibri"/>
          <w:noProof/>
        </w:rPr>
        <w:tab/>
        <w:t>De Groot B, Struyk B, Najafi R, Halma N, Pelser L, Vorst D, et al. Inclusion of emergency department patients in early stages of sepsis in a quality improvement programme has the potential to improve survival: a prospective dual-centre study. Emerg Med J [Internet]. 2017 May 17;emermed-2015-205645. Available from: http://emj.bmj.com/lookup/doi/10.1136/emermed-2015-205645</w:t>
      </w:r>
    </w:p>
    <w:p w14:paraId="2C672C8D"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19. </w:t>
      </w:r>
      <w:r w:rsidRPr="008F374A">
        <w:rPr>
          <w:rFonts w:ascii="Calibri" w:hAnsi="Calibri" w:cs="Calibri"/>
          <w:noProof/>
        </w:rPr>
        <w:tab/>
        <w:t xml:space="preserve">Seymour CW, Gesten F, Prescott HC, Friedrich ME, Iwashyna TJ, Phillips GS, et al. Time to Treatment and Mortality during Mandated Emergency Care for Sepsis. N Engl J Med. 2017; </w:t>
      </w:r>
    </w:p>
    <w:p w14:paraId="0D24F2B8" w14:textId="77777777" w:rsidR="008F374A" w:rsidRPr="008F374A" w:rsidRDefault="008F374A" w:rsidP="008F374A">
      <w:pPr>
        <w:widowControl w:val="0"/>
        <w:autoSpaceDE w:val="0"/>
        <w:autoSpaceDN w:val="0"/>
        <w:adjustRightInd w:val="0"/>
        <w:ind w:left="640" w:hanging="640"/>
        <w:rPr>
          <w:rFonts w:ascii="Calibri" w:hAnsi="Calibri" w:cs="Calibri"/>
          <w:noProof/>
        </w:rPr>
      </w:pPr>
      <w:r w:rsidRPr="008F374A">
        <w:rPr>
          <w:rFonts w:ascii="Calibri" w:hAnsi="Calibri" w:cs="Calibri"/>
          <w:noProof/>
        </w:rPr>
        <w:t xml:space="preserve">20. </w:t>
      </w:r>
      <w:r w:rsidRPr="008F374A">
        <w:rPr>
          <w:rFonts w:ascii="Calibri" w:hAnsi="Calibri" w:cs="Calibri"/>
          <w:noProof/>
        </w:rPr>
        <w:tab/>
        <w:t>Churpek MM, Snyder A, Han X, Sokol S, Pettit N, Howell MD, et al. qSOFA, SIRS, and Early Warning Scores for Detecting Clinical Deterioration in Infected Patients Outside the ICU. Am J Respir Crit Care Med [Internet]. 2016;1–40. Available from: http://www.ncbi.nlm.nih.gov/pubmed/27649072</w:t>
      </w:r>
    </w:p>
    <w:p w14:paraId="0C7A0A81" w14:textId="4A20C863" w:rsidR="005D2EF9" w:rsidRDefault="005D2EF9" w:rsidP="008F374A">
      <w:pPr>
        <w:widowControl w:val="0"/>
        <w:autoSpaceDE w:val="0"/>
        <w:autoSpaceDN w:val="0"/>
        <w:adjustRightInd w:val="0"/>
        <w:ind w:left="640" w:hanging="640"/>
      </w:pPr>
      <w:r>
        <w:fldChar w:fldCharType="end"/>
      </w:r>
    </w:p>
    <w:sectPr w:rsidR="005D2EF9" w:rsidSect="004E1A8D">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DE9DC0" w15:done="0"/>
  <w15:commentEx w15:paraId="41097D42" w15:done="0"/>
  <w15:commentEx w15:paraId="0337DD9F" w15:done="0"/>
  <w15:commentEx w15:paraId="1AEC6B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EC6EC" w14:textId="77777777" w:rsidR="002A621E" w:rsidRDefault="002A621E" w:rsidP="007172EE">
      <w:r>
        <w:separator/>
      </w:r>
    </w:p>
  </w:endnote>
  <w:endnote w:type="continuationSeparator" w:id="0">
    <w:p w14:paraId="64F5D9F5" w14:textId="77777777" w:rsidR="002A621E" w:rsidRDefault="002A621E" w:rsidP="0071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2A955" w14:textId="77777777" w:rsidR="002A621E" w:rsidRDefault="002A621E" w:rsidP="007172EE">
      <w:r>
        <w:separator/>
      </w:r>
    </w:p>
  </w:footnote>
  <w:footnote w:type="continuationSeparator" w:id="0">
    <w:p w14:paraId="7839CA23" w14:textId="77777777" w:rsidR="002A621E" w:rsidRDefault="002A621E" w:rsidP="0071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B17"/>
    <w:multiLevelType w:val="hybridMultilevel"/>
    <w:tmpl w:val="6276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D0966"/>
    <w:multiLevelType w:val="hybridMultilevel"/>
    <w:tmpl w:val="6480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C7D42"/>
    <w:multiLevelType w:val="hybridMultilevel"/>
    <w:tmpl w:val="5D52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94C19"/>
    <w:multiLevelType w:val="hybridMultilevel"/>
    <w:tmpl w:val="C0F40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C6784F"/>
    <w:multiLevelType w:val="hybridMultilevel"/>
    <w:tmpl w:val="73E6B0E6"/>
    <w:lvl w:ilvl="0" w:tplc="F9D64DC8">
      <w:start w:val="1"/>
      <w:numFmt w:val="bullet"/>
      <w:lvlText w:val="•"/>
      <w:lvlJc w:val="left"/>
      <w:pPr>
        <w:tabs>
          <w:tab w:val="num" w:pos="720"/>
        </w:tabs>
        <w:ind w:left="720" w:hanging="360"/>
      </w:pPr>
      <w:rPr>
        <w:rFonts w:ascii="Arial" w:hAnsi="Arial" w:hint="default"/>
      </w:rPr>
    </w:lvl>
    <w:lvl w:ilvl="1" w:tplc="4AF27B32" w:tentative="1">
      <w:start w:val="1"/>
      <w:numFmt w:val="bullet"/>
      <w:lvlText w:val="•"/>
      <w:lvlJc w:val="left"/>
      <w:pPr>
        <w:tabs>
          <w:tab w:val="num" w:pos="1440"/>
        </w:tabs>
        <w:ind w:left="1440" w:hanging="360"/>
      </w:pPr>
      <w:rPr>
        <w:rFonts w:ascii="Arial" w:hAnsi="Arial" w:hint="default"/>
      </w:rPr>
    </w:lvl>
    <w:lvl w:ilvl="2" w:tplc="9EFCBB7A" w:tentative="1">
      <w:start w:val="1"/>
      <w:numFmt w:val="bullet"/>
      <w:lvlText w:val="•"/>
      <w:lvlJc w:val="left"/>
      <w:pPr>
        <w:tabs>
          <w:tab w:val="num" w:pos="2160"/>
        </w:tabs>
        <w:ind w:left="2160" w:hanging="360"/>
      </w:pPr>
      <w:rPr>
        <w:rFonts w:ascii="Arial" w:hAnsi="Arial" w:hint="default"/>
      </w:rPr>
    </w:lvl>
    <w:lvl w:ilvl="3" w:tplc="E3782DAA" w:tentative="1">
      <w:start w:val="1"/>
      <w:numFmt w:val="bullet"/>
      <w:lvlText w:val="•"/>
      <w:lvlJc w:val="left"/>
      <w:pPr>
        <w:tabs>
          <w:tab w:val="num" w:pos="2880"/>
        </w:tabs>
        <w:ind w:left="2880" w:hanging="360"/>
      </w:pPr>
      <w:rPr>
        <w:rFonts w:ascii="Arial" w:hAnsi="Arial" w:hint="default"/>
      </w:rPr>
    </w:lvl>
    <w:lvl w:ilvl="4" w:tplc="5BE4CA6C" w:tentative="1">
      <w:start w:val="1"/>
      <w:numFmt w:val="bullet"/>
      <w:lvlText w:val="•"/>
      <w:lvlJc w:val="left"/>
      <w:pPr>
        <w:tabs>
          <w:tab w:val="num" w:pos="3600"/>
        </w:tabs>
        <w:ind w:left="3600" w:hanging="360"/>
      </w:pPr>
      <w:rPr>
        <w:rFonts w:ascii="Arial" w:hAnsi="Arial" w:hint="default"/>
      </w:rPr>
    </w:lvl>
    <w:lvl w:ilvl="5" w:tplc="49AA896A" w:tentative="1">
      <w:start w:val="1"/>
      <w:numFmt w:val="bullet"/>
      <w:lvlText w:val="•"/>
      <w:lvlJc w:val="left"/>
      <w:pPr>
        <w:tabs>
          <w:tab w:val="num" w:pos="4320"/>
        </w:tabs>
        <w:ind w:left="4320" w:hanging="360"/>
      </w:pPr>
      <w:rPr>
        <w:rFonts w:ascii="Arial" w:hAnsi="Arial" w:hint="default"/>
      </w:rPr>
    </w:lvl>
    <w:lvl w:ilvl="6" w:tplc="498871DE" w:tentative="1">
      <w:start w:val="1"/>
      <w:numFmt w:val="bullet"/>
      <w:lvlText w:val="•"/>
      <w:lvlJc w:val="left"/>
      <w:pPr>
        <w:tabs>
          <w:tab w:val="num" w:pos="5040"/>
        </w:tabs>
        <w:ind w:left="5040" w:hanging="360"/>
      </w:pPr>
      <w:rPr>
        <w:rFonts w:ascii="Arial" w:hAnsi="Arial" w:hint="default"/>
      </w:rPr>
    </w:lvl>
    <w:lvl w:ilvl="7" w:tplc="EAF677C0" w:tentative="1">
      <w:start w:val="1"/>
      <w:numFmt w:val="bullet"/>
      <w:lvlText w:val="•"/>
      <w:lvlJc w:val="left"/>
      <w:pPr>
        <w:tabs>
          <w:tab w:val="num" w:pos="5760"/>
        </w:tabs>
        <w:ind w:left="5760" w:hanging="360"/>
      </w:pPr>
      <w:rPr>
        <w:rFonts w:ascii="Arial" w:hAnsi="Arial" w:hint="default"/>
      </w:rPr>
    </w:lvl>
    <w:lvl w:ilvl="8" w:tplc="95C6692C" w:tentative="1">
      <w:start w:val="1"/>
      <w:numFmt w:val="bullet"/>
      <w:lvlText w:val="•"/>
      <w:lvlJc w:val="left"/>
      <w:pPr>
        <w:tabs>
          <w:tab w:val="num" w:pos="6480"/>
        </w:tabs>
        <w:ind w:left="6480" w:hanging="360"/>
      </w:pPr>
      <w:rPr>
        <w:rFonts w:ascii="Arial" w:hAnsi="Arial" w:hint="default"/>
      </w:rPr>
    </w:lvl>
  </w:abstractNum>
  <w:abstractNum w:abstractNumId="5">
    <w:nsid w:val="6B671653"/>
    <w:multiLevelType w:val="multilevel"/>
    <w:tmpl w:val="A5183448"/>
    <w:lvl w:ilvl="0">
      <w:start w:val="1"/>
      <w:numFmt w:val="decimal"/>
      <w:pStyle w:val="Heading1"/>
      <w:lvlText w:val="%1"/>
      <w:lvlJc w:val="left"/>
      <w:pPr>
        <w:ind w:left="574" w:hanging="432"/>
      </w:pPr>
      <w:rPr>
        <w:b w: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F93187F"/>
    <w:multiLevelType w:val="hybridMultilevel"/>
    <w:tmpl w:val="7B96A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597C30"/>
    <w:multiLevelType w:val="hybridMultilevel"/>
    <w:tmpl w:val="7A78E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7"/>
  </w:num>
  <w:num w:numId="7">
    <w:abstractNumId w:val="2"/>
  </w:num>
  <w:num w:numId="8">
    <w:abstractNumId w:val="0"/>
  </w:num>
  <w:num w:numId="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txz9xf0w0rr7evat4vtftust0eref2raf0&quot;&gt;sepsis_primary_care&lt;record-ids&gt;&lt;item&gt;34&lt;/item&gt;&lt;/record-ids&gt;&lt;/item&gt;&lt;/Libraries&gt;"/>
  </w:docVars>
  <w:rsids>
    <w:rsidRoot w:val="00876F72"/>
    <w:rsid w:val="00011C7C"/>
    <w:rsid w:val="00023949"/>
    <w:rsid w:val="00026D6F"/>
    <w:rsid w:val="000272B9"/>
    <w:rsid w:val="00027800"/>
    <w:rsid w:val="00033217"/>
    <w:rsid w:val="00036603"/>
    <w:rsid w:val="00086270"/>
    <w:rsid w:val="000920DD"/>
    <w:rsid w:val="000A0C53"/>
    <w:rsid w:val="000A18B1"/>
    <w:rsid w:val="000B3FCB"/>
    <w:rsid w:val="000C27AD"/>
    <w:rsid w:val="000D08EA"/>
    <w:rsid w:val="000D14A2"/>
    <w:rsid w:val="001016D5"/>
    <w:rsid w:val="00101F53"/>
    <w:rsid w:val="001175F2"/>
    <w:rsid w:val="00123627"/>
    <w:rsid w:val="00125E4E"/>
    <w:rsid w:val="001321CF"/>
    <w:rsid w:val="00147327"/>
    <w:rsid w:val="00165B6E"/>
    <w:rsid w:val="00173995"/>
    <w:rsid w:val="0017691E"/>
    <w:rsid w:val="00181229"/>
    <w:rsid w:val="00181811"/>
    <w:rsid w:val="001820E1"/>
    <w:rsid w:val="00184975"/>
    <w:rsid w:val="00193E9E"/>
    <w:rsid w:val="001B2BE5"/>
    <w:rsid w:val="001B74B9"/>
    <w:rsid w:val="001C2849"/>
    <w:rsid w:val="001C7C8A"/>
    <w:rsid w:val="001D2953"/>
    <w:rsid w:val="001E1CE1"/>
    <w:rsid w:val="001E340E"/>
    <w:rsid w:val="001F1B25"/>
    <w:rsid w:val="001F3B81"/>
    <w:rsid w:val="00200E9D"/>
    <w:rsid w:val="00204FCB"/>
    <w:rsid w:val="00211F29"/>
    <w:rsid w:val="00214A80"/>
    <w:rsid w:val="002202C9"/>
    <w:rsid w:val="00222799"/>
    <w:rsid w:val="00235073"/>
    <w:rsid w:val="00237C84"/>
    <w:rsid w:val="00246BDF"/>
    <w:rsid w:val="002529A6"/>
    <w:rsid w:val="00267131"/>
    <w:rsid w:val="00270C09"/>
    <w:rsid w:val="00274D6E"/>
    <w:rsid w:val="00281768"/>
    <w:rsid w:val="00293A90"/>
    <w:rsid w:val="002A0EF6"/>
    <w:rsid w:val="002A2D8E"/>
    <w:rsid w:val="002A2EF8"/>
    <w:rsid w:val="002A621E"/>
    <w:rsid w:val="002B2A61"/>
    <w:rsid w:val="002C76DA"/>
    <w:rsid w:val="002D6867"/>
    <w:rsid w:val="00315B35"/>
    <w:rsid w:val="00321161"/>
    <w:rsid w:val="0032260B"/>
    <w:rsid w:val="00334220"/>
    <w:rsid w:val="003417DF"/>
    <w:rsid w:val="00341A8C"/>
    <w:rsid w:val="0034463C"/>
    <w:rsid w:val="0035145F"/>
    <w:rsid w:val="00353476"/>
    <w:rsid w:val="003631C9"/>
    <w:rsid w:val="00364665"/>
    <w:rsid w:val="003840A9"/>
    <w:rsid w:val="00385CDF"/>
    <w:rsid w:val="0039104D"/>
    <w:rsid w:val="00392451"/>
    <w:rsid w:val="00395EB3"/>
    <w:rsid w:val="00396F3C"/>
    <w:rsid w:val="003A08DD"/>
    <w:rsid w:val="003A3FA8"/>
    <w:rsid w:val="003A4F35"/>
    <w:rsid w:val="003A5CC9"/>
    <w:rsid w:val="003A75D8"/>
    <w:rsid w:val="003C1F90"/>
    <w:rsid w:val="003C3B6F"/>
    <w:rsid w:val="003C4F4A"/>
    <w:rsid w:val="003C55BD"/>
    <w:rsid w:val="003D3F0C"/>
    <w:rsid w:val="003D73ED"/>
    <w:rsid w:val="003E6E5F"/>
    <w:rsid w:val="00404594"/>
    <w:rsid w:val="00407FD1"/>
    <w:rsid w:val="004135EE"/>
    <w:rsid w:val="0041392B"/>
    <w:rsid w:val="00417017"/>
    <w:rsid w:val="00424C43"/>
    <w:rsid w:val="00441A37"/>
    <w:rsid w:val="00443C18"/>
    <w:rsid w:val="004453B8"/>
    <w:rsid w:val="0045328D"/>
    <w:rsid w:val="00453EA5"/>
    <w:rsid w:val="004542B0"/>
    <w:rsid w:val="004623BC"/>
    <w:rsid w:val="0046319A"/>
    <w:rsid w:val="004731B3"/>
    <w:rsid w:val="00491F74"/>
    <w:rsid w:val="00493E45"/>
    <w:rsid w:val="004950F2"/>
    <w:rsid w:val="004B1D33"/>
    <w:rsid w:val="004C2453"/>
    <w:rsid w:val="004E1A8D"/>
    <w:rsid w:val="004E4FCC"/>
    <w:rsid w:val="004F3CDC"/>
    <w:rsid w:val="004F50AF"/>
    <w:rsid w:val="00504081"/>
    <w:rsid w:val="00505941"/>
    <w:rsid w:val="00523DA4"/>
    <w:rsid w:val="005256FA"/>
    <w:rsid w:val="00526D65"/>
    <w:rsid w:val="0053266B"/>
    <w:rsid w:val="00533247"/>
    <w:rsid w:val="00542033"/>
    <w:rsid w:val="005462BC"/>
    <w:rsid w:val="00552E96"/>
    <w:rsid w:val="00563495"/>
    <w:rsid w:val="005728D4"/>
    <w:rsid w:val="00576AF9"/>
    <w:rsid w:val="00580F7D"/>
    <w:rsid w:val="00595BE0"/>
    <w:rsid w:val="005B3E29"/>
    <w:rsid w:val="005B66B4"/>
    <w:rsid w:val="005B70BA"/>
    <w:rsid w:val="005D2EF9"/>
    <w:rsid w:val="005E0125"/>
    <w:rsid w:val="005E5D0D"/>
    <w:rsid w:val="006038A8"/>
    <w:rsid w:val="00605D33"/>
    <w:rsid w:val="006174C1"/>
    <w:rsid w:val="006222E2"/>
    <w:rsid w:val="00627ADF"/>
    <w:rsid w:val="00632791"/>
    <w:rsid w:val="00635F47"/>
    <w:rsid w:val="00640B37"/>
    <w:rsid w:val="00646A91"/>
    <w:rsid w:val="00646E5C"/>
    <w:rsid w:val="00647FFC"/>
    <w:rsid w:val="00661B64"/>
    <w:rsid w:val="0067093A"/>
    <w:rsid w:val="006753C3"/>
    <w:rsid w:val="0068024C"/>
    <w:rsid w:val="00685B9F"/>
    <w:rsid w:val="006A2DBF"/>
    <w:rsid w:val="006A3D41"/>
    <w:rsid w:val="006C13D2"/>
    <w:rsid w:val="006D2D75"/>
    <w:rsid w:val="006D62CB"/>
    <w:rsid w:val="006E20F1"/>
    <w:rsid w:val="006E6234"/>
    <w:rsid w:val="006F1EC2"/>
    <w:rsid w:val="006F21E2"/>
    <w:rsid w:val="006F7E3C"/>
    <w:rsid w:val="0070600B"/>
    <w:rsid w:val="00710AF0"/>
    <w:rsid w:val="007172EE"/>
    <w:rsid w:val="00724700"/>
    <w:rsid w:val="00725652"/>
    <w:rsid w:val="007266D3"/>
    <w:rsid w:val="007414BB"/>
    <w:rsid w:val="00743733"/>
    <w:rsid w:val="00746301"/>
    <w:rsid w:val="007522D1"/>
    <w:rsid w:val="007537D1"/>
    <w:rsid w:val="00754AFA"/>
    <w:rsid w:val="00756152"/>
    <w:rsid w:val="00757B17"/>
    <w:rsid w:val="00757EEA"/>
    <w:rsid w:val="00761506"/>
    <w:rsid w:val="00781CEF"/>
    <w:rsid w:val="00795478"/>
    <w:rsid w:val="00796888"/>
    <w:rsid w:val="007B511F"/>
    <w:rsid w:val="007C7C37"/>
    <w:rsid w:val="007E1503"/>
    <w:rsid w:val="007E2CCE"/>
    <w:rsid w:val="007E32BA"/>
    <w:rsid w:val="007E4AF9"/>
    <w:rsid w:val="007E5AAC"/>
    <w:rsid w:val="007F56E9"/>
    <w:rsid w:val="007F6DCF"/>
    <w:rsid w:val="008029C2"/>
    <w:rsid w:val="008168B5"/>
    <w:rsid w:val="00817604"/>
    <w:rsid w:val="008203F2"/>
    <w:rsid w:val="00823578"/>
    <w:rsid w:val="00823837"/>
    <w:rsid w:val="0082402E"/>
    <w:rsid w:val="00830B73"/>
    <w:rsid w:val="00850717"/>
    <w:rsid w:val="00852379"/>
    <w:rsid w:val="00856909"/>
    <w:rsid w:val="0085776D"/>
    <w:rsid w:val="00857F17"/>
    <w:rsid w:val="00862937"/>
    <w:rsid w:val="00873C79"/>
    <w:rsid w:val="00875217"/>
    <w:rsid w:val="00876F72"/>
    <w:rsid w:val="00881A76"/>
    <w:rsid w:val="008B1857"/>
    <w:rsid w:val="008C0E60"/>
    <w:rsid w:val="008C2803"/>
    <w:rsid w:val="008C6804"/>
    <w:rsid w:val="008D13D2"/>
    <w:rsid w:val="008E22ED"/>
    <w:rsid w:val="008E55C1"/>
    <w:rsid w:val="008F374A"/>
    <w:rsid w:val="008F7935"/>
    <w:rsid w:val="00922CD1"/>
    <w:rsid w:val="0092659D"/>
    <w:rsid w:val="00952BF2"/>
    <w:rsid w:val="00952CBD"/>
    <w:rsid w:val="009533B5"/>
    <w:rsid w:val="00972E07"/>
    <w:rsid w:val="009801AF"/>
    <w:rsid w:val="00992D07"/>
    <w:rsid w:val="00996AFE"/>
    <w:rsid w:val="009A0836"/>
    <w:rsid w:val="009C1BA9"/>
    <w:rsid w:val="009C29AA"/>
    <w:rsid w:val="009C5EAF"/>
    <w:rsid w:val="009D1B3A"/>
    <w:rsid w:val="009D7112"/>
    <w:rsid w:val="009E1965"/>
    <w:rsid w:val="009E39B4"/>
    <w:rsid w:val="009E6CBF"/>
    <w:rsid w:val="009F073B"/>
    <w:rsid w:val="00A03335"/>
    <w:rsid w:val="00A0583F"/>
    <w:rsid w:val="00A108C9"/>
    <w:rsid w:val="00A122C7"/>
    <w:rsid w:val="00A30A97"/>
    <w:rsid w:val="00A40B75"/>
    <w:rsid w:val="00A45972"/>
    <w:rsid w:val="00A608B8"/>
    <w:rsid w:val="00A643DD"/>
    <w:rsid w:val="00A75A2D"/>
    <w:rsid w:val="00A860A3"/>
    <w:rsid w:val="00A8686B"/>
    <w:rsid w:val="00A91A0C"/>
    <w:rsid w:val="00AA0AFE"/>
    <w:rsid w:val="00AA3949"/>
    <w:rsid w:val="00AB219D"/>
    <w:rsid w:val="00AC6B36"/>
    <w:rsid w:val="00AE173C"/>
    <w:rsid w:val="00AE7CE6"/>
    <w:rsid w:val="00B15D0F"/>
    <w:rsid w:val="00B20484"/>
    <w:rsid w:val="00B22E3D"/>
    <w:rsid w:val="00B256D0"/>
    <w:rsid w:val="00B259AF"/>
    <w:rsid w:val="00B25ADB"/>
    <w:rsid w:val="00B32F23"/>
    <w:rsid w:val="00B368B6"/>
    <w:rsid w:val="00B36952"/>
    <w:rsid w:val="00B60756"/>
    <w:rsid w:val="00B66415"/>
    <w:rsid w:val="00B67088"/>
    <w:rsid w:val="00B80BE2"/>
    <w:rsid w:val="00B8176A"/>
    <w:rsid w:val="00B82066"/>
    <w:rsid w:val="00B86FEC"/>
    <w:rsid w:val="00B927A2"/>
    <w:rsid w:val="00B93334"/>
    <w:rsid w:val="00B94277"/>
    <w:rsid w:val="00BA13C4"/>
    <w:rsid w:val="00BB57AA"/>
    <w:rsid w:val="00BC316B"/>
    <w:rsid w:val="00BD3962"/>
    <w:rsid w:val="00BD39BC"/>
    <w:rsid w:val="00BE2555"/>
    <w:rsid w:val="00BF05F2"/>
    <w:rsid w:val="00BF2A2C"/>
    <w:rsid w:val="00BF71CA"/>
    <w:rsid w:val="00C070FA"/>
    <w:rsid w:val="00C0789E"/>
    <w:rsid w:val="00C33188"/>
    <w:rsid w:val="00C33844"/>
    <w:rsid w:val="00C46A33"/>
    <w:rsid w:val="00C5148C"/>
    <w:rsid w:val="00C54445"/>
    <w:rsid w:val="00C57D6C"/>
    <w:rsid w:val="00C57DD9"/>
    <w:rsid w:val="00C622EE"/>
    <w:rsid w:val="00C66EEC"/>
    <w:rsid w:val="00C70911"/>
    <w:rsid w:val="00C722C2"/>
    <w:rsid w:val="00C72684"/>
    <w:rsid w:val="00C76807"/>
    <w:rsid w:val="00C77B55"/>
    <w:rsid w:val="00C8394E"/>
    <w:rsid w:val="00C95036"/>
    <w:rsid w:val="00CA15D7"/>
    <w:rsid w:val="00CA2395"/>
    <w:rsid w:val="00CA755B"/>
    <w:rsid w:val="00CA7BDF"/>
    <w:rsid w:val="00CB39DB"/>
    <w:rsid w:val="00CE131E"/>
    <w:rsid w:val="00CF0E5C"/>
    <w:rsid w:val="00D0422C"/>
    <w:rsid w:val="00D06B5D"/>
    <w:rsid w:val="00D23070"/>
    <w:rsid w:val="00D27157"/>
    <w:rsid w:val="00D27ED6"/>
    <w:rsid w:val="00D73B7A"/>
    <w:rsid w:val="00D81D5F"/>
    <w:rsid w:val="00D82EC2"/>
    <w:rsid w:val="00D86312"/>
    <w:rsid w:val="00D92737"/>
    <w:rsid w:val="00DA6241"/>
    <w:rsid w:val="00DB553D"/>
    <w:rsid w:val="00DC426D"/>
    <w:rsid w:val="00DD0FA3"/>
    <w:rsid w:val="00DD1677"/>
    <w:rsid w:val="00DE15E6"/>
    <w:rsid w:val="00DE2DF3"/>
    <w:rsid w:val="00DF1051"/>
    <w:rsid w:val="00E0013F"/>
    <w:rsid w:val="00E06AFB"/>
    <w:rsid w:val="00E103FD"/>
    <w:rsid w:val="00E1740D"/>
    <w:rsid w:val="00E2475E"/>
    <w:rsid w:val="00E273DF"/>
    <w:rsid w:val="00E37821"/>
    <w:rsid w:val="00E37B59"/>
    <w:rsid w:val="00E44D59"/>
    <w:rsid w:val="00E46432"/>
    <w:rsid w:val="00E571F8"/>
    <w:rsid w:val="00E6107B"/>
    <w:rsid w:val="00E61354"/>
    <w:rsid w:val="00E6150F"/>
    <w:rsid w:val="00E7096B"/>
    <w:rsid w:val="00E725B9"/>
    <w:rsid w:val="00E73AF9"/>
    <w:rsid w:val="00E932BC"/>
    <w:rsid w:val="00EA41D5"/>
    <w:rsid w:val="00EA5666"/>
    <w:rsid w:val="00EA6D26"/>
    <w:rsid w:val="00EB0149"/>
    <w:rsid w:val="00EB2849"/>
    <w:rsid w:val="00EE5A07"/>
    <w:rsid w:val="00EE69B0"/>
    <w:rsid w:val="00EF1C0E"/>
    <w:rsid w:val="00EF367E"/>
    <w:rsid w:val="00F172D9"/>
    <w:rsid w:val="00F240A9"/>
    <w:rsid w:val="00F40542"/>
    <w:rsid w:val="00F433E0"/>
    <w:rsid w:val="00F46384"/>
    <w:rsid w:val="00F47DC1"/>
    <w:rsid w:val="00F5308B"/>
    <w:rsid w:val="00F551A5"/>
    <w:rsid w:val="00F60FC1"/>
    <w:rsid w:val="00F713EE"/>
    <w:rsid w:val="00F81145"/>
    <w:rsid w:val="00F8356F"/>
    <w:rsid w:val="00F87312"/>
    <w:rsid w:val="00F927BA"/>
    <w:rsid w:val="00F96B13"/>
    <w:rsid w:val="00FB1170"/>
    <w:rsid w:val="00FB4B9C"/>
    <w:rsid w:val="00FB4DB0"/>
    <w:rsid w:val="00FC0469"/>
    <w:rsid w:val="00FC60D9"/>
    <w:rsid w:val="00FD44CA"/>
    <w:rsid w:val="00FD5C23"/>
    <w:rsid w:val="00FF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C29AA"/>
    <w:pPr>
      <w:keepNext/>
      <w:keepLines/>
      <w:numPr>
        <w:numId w:val="2"/>
      </w:numPr>
      <w:spacing w:before="240" w:after="240"/>
      <w:ind w:left="432"/>
      <w:outlineLvl w:val="0"/>
    </w:pPr>
    <w:rPr>
      <w:rFonts w:ascii="Arial" w:eastAsiaTheme="majorEastAsia" w:hAnsi="Arial" w:cstheme="majorBidi"/>
      <w:b/>
      <w:sz w:val="22"/>
      <w:szCs w:val="28"/>
    </w:rPr>
  </w:style>
  <w:style w:type="paragraph" w:styleId="Heading2">
    <w:name w:val="heading 2"/>
    <w:basedOn w:val="Normal"/>
    <w:link w:val="Heading2Char"/>
    <w:uiPriority w:val="9"/>
    <w:unhideWhenUsed/>
    <w:qFormat/>
    <w:rsid w:val="009C29AA"/>
    <w:pPr>
      <w:keepNext/>
      <w:keepLines/>
      <w:numPr>
        <w:ilvl w:val="1"/>
        <w:numId w:val="2"/>
      </w:numPr>
      <w:spacing w:after="240"/>
      <w:outlineLvl w:val="1"/>
    </w:pPr>
    <w:rPr>
      <w:rFonts w:ascii="Arial" w:eastAsiaTheme="majorEastAsia" w:hAnsi="Arial" w:cstheme="majorBidi"/>
      <w:sz w:val="22"/>
      <w:szCs w:val="26"/>
    </w:rPr>
  </w:style>
  <w:style w:type="paragraph" w:styleId="Heading3">
    <w:name w:val="heading 3"/>
    <w:basedOn w:val="Normal"/>
    <w:next w:val="Normal"/>
    <w:link w:val="Heading3Char"/>
    <w:uiPriority w:val="9"/>
    <w:unhideWhenUsed/>
    <w:qFormat/>
    <w:rsid w:val="009C29AA"/>
    <w:pPr>
      <w:keepNext/>
      <w:keepLines/>
      <w:numPr>
        <w:ilvl w:val="2"/>
        <w:numId w:val="2"/>
      </w:numPr>
      <w:spacing w:before="200"/>
      <w:outlineLvl w:val="2"/>
    </w:pPr>
    <w:rPr>
      <w:rFonts w:ascii="Arial" w:eastAsiaTheme="majorEastAsia" w:hAnsi="Arial" w:cstheme="majorBidi"/>
      <w:b/>
      <w:sz w:val="20"/>
      <w:szCs w:val="26"/>
    </w:rPr>
  </w:style>
  <w:style w:type="paragraph" w:styleId="Heading4">
    <w:name w:val="heading 4"/>
    <w:basedOn w:val="Normal"/>
    <w:next w:val="Normal"/>
    <w:link w:val="Heading4Char"/>
    <w:uiPriority w:val="9"/>
    <w:semiHidden/>
    <w:unhideWhenUsed/>
    <w:qFormat/>
    <w:rsid w:val="009C29AA"/>
    <w:pPr>
      <w:keepNext/>
      <w:keepLines/>
      <w:numPr>
        <w:ilvl w:val="3"/>
        <w:numId w:val="2"/>
      </w:numPr>
      <w:spacing w:before="200"/>
      <w:outlineLvl w:val="3"/>
    </w:pPr>
    <w:rPr>
      <w:rFonts w:asciiTheme="majorHAnsi" w:eastAsiaTheme="majorEastAsia" w:hAnsiTheme="majorHAnsi" w:cstheme="majorBidi"/>
      <w:b/>
      <w:i/>
      <w:iCs/>
      <w:color w:val="5B9BD5" w:themeColor="accent1"/>
      <w:sz w:val="22"/>
      <w:szCs w:val="26"/>
    </w:rPr>
  </w:style>
  <w:style w:type="paragraph" w:styleId="Heading5">
    <w:name w:val="heading 5"/>
    <w:basedOn w:val="Normal"/>
    <w:next w:val="Normal"/>
    <w:link w:val="Heading5Char"/>
    <w:uiPriority w:val="9"/>
    <w:semiHidden/>
    <w:unhideWhenUsed/>
    <w:qFormat/>
    <w:rsid w:val="009C29AA"/>
    <w:pPr>
      <w:keepNext/>
      <w:keepLines/>
      <w:numPr>
        <w:ilvl w:val="4"/>
        <w:numId w:val="2"/>
      </w:numPr>
      <w:spacing w:before="200"/>
      <w:outlineLvl w:val="4"/>
    </w:pPr>
    <w:rPr>
      <w:rFonts w:asciiTheme="majorHAnsi" w:eastAsiaTheme="majorEastAsia" w:hAnsiTheme="majorHAnsi" w:cstheme="majorBidi"/>
      <w:bCs/>
      <w:color w:val="1F4D78" w:themeColor="accent1" w:themeShade="7F"/>
      <w:sz w:val="22"/>
      <w:szCs w:val="26"/>
    </w:rPr>
  </w:style>
  <w:style w:type="paragraph" w:styleId="Heading6">
    <w:name w:val="heading 6"/>
    <w:basedOn w:val="Normal"/>
    <w:next w:val="Normal"/>
    <w:link w:val="Heading6Char"/>
    <w:uiPriority w:val="9"/>
    <w:semiHidden/>
    <w:unhideWhenUsed/>
    <w:qFormat/>
    <w:rsid w:val="009C29AA"/>
    <w:pPr>
      <w:keepNext/>
      <w:keepLines/>
      <w:numPr>
        <w:ilvl w:val="5"/>
        <w:numId w:val="2"/>
      </w:numPr>
      <w:spacing w:before="200"/>
      <w:outlineLvl w:val="5"/>
    </w:pPr>
    <w:rPr>
      <w:rFonts w:asciiTheme="majorHAnsi" w:eastAsiaTheme="majorEastAsia" w:hAnsiTheme="majorHAnsi" w:cstheme="majorBidi"/>
      <w:bCs/>
      <w:i/>
      <w:iCs/>
      <w:color w:val="1F4D78" w:themeColor="accent1" w:themeShade="7F"/>
      <w:sz w:val="22"/>
      <w:szCs w:val="26"/>
    </w:rPr>
  </w:style>
  <w:style w:type="paragraph" w:styleId="Heading7">
    <w:name w:val="heading 7"/>
    <w:basedOn w:val="Normal"/>
    <w:next w:val="Normal"/>
    <w:link w:val="Heading7Char"/>
    <w:uiPriority w:val="9"/>
    <w:semiHidden/>
    <w:unhideWhenUsed/>
    <w:qFormat/>
    <w:rsid w:val="009C29AA"/>
    <w:pPr>
      <w:keepNext/>
      <w:keepLines/>
      <w:numPr>
        <w:ilvl w:val="6"/>
        <w:numId w:val="2"/>
      </w:numPr>
      <w:spacing w:before="200"/>
      <w:outlineLvl w:val="6"/>
    </w:pPr>
    <w:rPr>
      <w:rFonts w:asciiTheme="majorHAnsi" w:eastAsiaTheme="majorEastAsia" w:hAnsiTheme="majorHAnsi" w:cstheme="majorBidi"/>
      <w:bCs/>
      <w:i/>
      <w:iCs/>
      <w:color w:val="404040" w:themeColor="text1" w:themeTint="BF"/>
      <w:sz w:val="22"/>
      <w:szCs w:val="26"/>
    </w:rPr>
  </w:style>
  <w:style w:type="paragraph" w:styleId="Heading8">
    <w:name w:val="heading 8"/>
    <w:basedOn w:val="Normal"/>
    <w:next w:val="Normal"/>
    <w:link w:val="Heading8Char"/>
    <w:uiPriority w:val="9"/>
    <w:semiHidden/>
    <w:unhideWhenUsed/>
    <w:qFormat/>
    <w:rsid w:val="009C29AA"/>
    <w:pPr>
      <w:keepNext/>
      <w:keepLines/>
      <w:numPr>
        <w:ilvl w:val="7"/>
        <w:numId w:val="2"/>
      </w:numPr>
      <w:spacing w:before="20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9C29AA"/>
    <w:pPr>
      <w:keepNext/>
      <w:keepLines/>
      <w:numPr>
        <w:ilvl w:val="8"/>
        <w:numId w:val="2"/>
      </w:numPr>
      <w:spacing w:before="200"/>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19A"/>
    <w:pPr>
      <w:widowControl w:val="0"/>
      <w:autoSpaceDE w:val="0"/>
      <w:autoSpaceDN w:val="0"/>
      <w:adjustRightInd w:val="0"/>
      <w:spacing w:line="200" w:lineRule="atLeast"/>
    </w:pPr>
    <w:rPr>
      <w:rFonts w:ascii="Lucida Sans" w:eastAsia="SimSun" w:hAnsi="Lucida Sans" w:cs="Lucida Sans"/>
      <w:color w:val="FFFFFF"/>
      <w:kern w:val="1"/>
      <w:sz w:val="36"/>
      <w:szCs w:val="36"/>
    </w:rPr>
  </w:style>
  <w:style w:type="paragraph" w:styleId="BalloonText">
    <w:name w:val="Balloon Text"/>
    <w:basedOn w:val="Normal"/>
    <w:link w:val="BalloonTextChar"/>
    <w:uiPriority w:val="99"/>
    <w:semiHidden/>
    <w:unhideWhenUsed/>
    <w:rsid w:val="0034463C"/>
    <w:rPr>
      <w:rFonts w:ascii="Tahoma" w:hAnsi="Tahoma" w:cs="Tahoma"/>
      <w:sz w:val="16"/>
      <w:szCs w:val="16"/>
    </w:rPr>
  </w:style>
  <w:style w:type="character" w:customStyle="1" w:styleId="BalloonTextChar">
    <w:name w:val="Balloon Text Char"/>
    <w:basedOn w:val="DefaultParagraphFont"/>
    <w:link w:val="BalloonText"/>
    <w:uiPriority w:val="99"/>
    <w:semiHidden/>
    <w:rsid w:val="0034463C"/>
    <w:rPr>
      <w:rFonts w:ascii="Tahoma" w:hAnsi="Tahoma" w:cs="Tahoma"/>
      <w:sz w:val="16"/>
      <w:szCs w:val="16"/>
      <w:lang w:val="en-GB"/>
    </w:rPr>
  </w:style>
  <w:style w:type="character" w:styleId="CommentReference">
    <w:name w:val="annotation reference"/>
    <w:basedOn w:val="DefaultParagraphFont"/>
    <w:uiPriority w:val="99"/>
    <w:semiHidden/>
    <w:unhideWhenUsed/>
    <w:rsid w:val="0034463C"/>
    <w:rPr>
      <w:sz w:val="16"/>
      <w:szCs w:val="16"/>
    </w:rPr>
  </w:style>
  <w:style w:type="paragraph" w:styleId="CommentText">
    <w:name w:val="annotation text"/>
    <w:basedOn w:val="Normal"/>
    <w:link w:val="CommentTextChar"/>
    <w:uiPriority w:val="99"/>
    <w:semiHidden/>
    <w:unhideWhenUsed/>
    <w:rsid w:val="0034463C"/>
    <w:rPr>
      <w:sz w:val="20"/>
      <w:szCs w:val="20"/>
    </w:rPr>
  </w:style>
  <w:style w:type="character" w:customStyle="1" w:styleId="CommentTextChar">
    <w:name w:val="Comment Text Char"/>
    <w:basedOn w:val="DefaultParagraphFont"/>
    <w:link w:val="CommentText"/>
    <w:uiPriority w:val="99"/>
    <w:semiHidden/>
    <w:rsid w:val="0034463C"/>
    <w:rPr>
      <w:sz w:val="20"/>
      <w:szCs w:val="20"/>
      <w:lang w:val="en-GB"/>
    </w:rPr>
  </w:style>
  <w:style w:type="paragraph" w:styleId="CommentSubject">
    <w:name w:val="annotation subject"/>
    <w:basedOn w:val="CommentText"/>
    <w:next w:val="CommentText"/>
    <w:link w:val="CommentSubjectChar"/>
    <w:uiPriority w:val="99"/>
    <w:semiHidden/>
    <w:unhideWhenUsed/>
    <w:rsid w:val="0034463C"/>
    <w:rPr>
      <w:b/>
      <w:bCs/>
    </w:rPr>
  </w:style>
  <w:style w:type="character" w:customStyle="1" w:styleId="CommentSubjectChar">
    <w:name w:val="Comment Subject Char"/>
    <w:basedOn w:val="CommentTextChar"/>
    <w:link w:val="CommentSubject"/>
    <w:uiPriority w:val="99"/>
    <w:semiHidden/>
    <w:rsid w:val="0034463C"/>
    <w:rPr>
      <w:b/>
      <w:bCs/>
      <w:sz w:val="20"/>
      <w:szCs w:val="20"/>
      <w:lang w:val="en-GB"/>
    </w:rPr>
  </w:style>
  <w:style w:type="character" w:customStyle="1" w:styleId="Heading1Char">
    <w:name w:val="Heading 1 Char"/>
    <w:basedOn w:val="DefaultParagraphFont"/>
    <w:link w:val="Heading1"/>
    <w:uiPriority w:val="9"/>
    <w:rsid w:val="009C29AA"/>
    <w:rPr>
      <w:rFonts w:ascii="Arial" w:eastAsiaTheme="majorEastAsia" w:hAnsi="Arial" w:cstheme="majorBidi"/>
      <w:b/>
      <w:sz w:val="22"/>
      <w:szCs w:val="28"/>
      <w:lang w:val="en-GB"/>
    </w:rPr>
  </w:style>
  <w:style w:type="character" w:customStyle="1" w:styleId="Heading2Char">
    <w:name w:val="Heading 2 Char"/>
    <w:basedOn w:val="DefaultParagraphFont"/>
    <w:link w:val="Heading2"/>
    <w:uiPriority w:val="9"/>
    <w:semiHidden/>
    <w:rsid w:val="009C29AA"/>
    <w:rPr>
      <w:rFonts w:ascii="Arial" w:eastAsiaTheme="majorEastAsia" w:hAnsi="Arial" w:cstheme="majorBidi"/>
      <w:sz w:val="22"/>
      <w:szCs w:val="26"/>
      <w:lang w:val="en-GB"/>
    </w:rPr>
  </w:style>
  <w:style w:type="character" w:customStyle="1" w:styleId="Heading3Char">
    <w:name w:val="Heading 3 Char"/>
    <w:basedOn w:val="DefaultParagraphFont"/>
    <w:link w:val="Heading3"/>
    <w:uiPriority w:val="9"/>
    <w:semiHidden/>
    <w:rsid w:val="009C29AA"/>
    <w:rPr>
      <w:rFonts w:ascii="Arial" w:eastAsiaTheme="majorEastAsia" w:hAnsi="Arial" w:cstheme="majorBidi"/>
      <w:b/>
      <w:sz w:val="20"/>
      <w:szCs w:val="26"/>
      <w:lang w:val="en-GB"/>
    </w:rPr>
  </w:style>
  <w:style w:type="character" w:customStyle="1" w:styleId="Heading4Char">
    <w:name w:val="Heading 4 Char"/>
    <w:basedOn w:val="DefaultParagraphFont"/>
    <w:link w:val="Heading4"/>
    <w:uiPriority w:val="9"/>
    <w:semiHidden/>
    <w:rsid w:val="009C29AA"/>
    <w:rPr>
      <w:rFonts w:asciiTheme="majorHAnsi" w:eastAsiaTheme="majorEastAsia" w:hAnsiTheme="majorHAnsi" w:cstheme="majorBidi"/>
      <w:b/>
      <w:i/>
      <w:iCs/>
      <w:color w:val="5B9BD5" w:themeColor="accent1"/>
      <w:sz w:val="22"/>
      <w:szCs w:val="26"/>
      <w:lang w:val="en-GB"/>
    </w:rPr>
  </w:style>
  <w:style w:type="character" w:customStyle="1" w:styleId="Heading5Char">
    <w:name w:val="Heading 5 Char"/>
    <w:basedOn w:val="DefaultParagraphFont"/>
    <w:link w:val="Heading5"/>
    <w:uiPriority w:val="9"/>
    <w:semiHidden/>
    <w:rsid w:val="009C29AA"/>
    <w:rPr>
      <w:rFonts w:asciiTheme="majorHAnsi" w:eastAsiaTheme="majorEastAsia" w:hAnsiTheme="majorHAnsi" w:cstheme="majorBidi"/>
      <w:bCs/>
      <w:color w:val="1F4D78" w:themeColor="accent1" w:themeShade="7F"/>
      <w:sz w:val="22"/>
      <w:szCs w:val="26"/>
      <w:lang w:val="en-GB"/>
    </w:rPr>
  </w:style>
  <w:style w:type="character" w:customStyle="1" w:styleId="Heading6Char">
    <w:name w:val="Heading 6 Char"/>
    <w:basedOn w:val="DefaultParagraphFont"/>
    <w:link w:val="Heading6"/>
    <w:uiPriority w:val="9"/>
    <w:semiHidden/>
    <w:rsid w:val="009C29AA"/>
    <w:rPr>
      <w:rFonts w:asciiTheme="majorHAnsi" w:eastAsiaTheme="majorEastAsia" w:hAnsiTheme="majorHAnsi" w:cstheme="majorBidi"/>
      <w:bCs/>
      <w:i/>
      <w:iCs/>
      <w:color w:val="1F4D78" w:themeColor="accent1" w:themeShade="7F"/>
      <w:sz w:val="22"/>
      <w:szCs w:val="26"/>
      <w:lang w:val="en-GB"/>
    </w:rPr>
  </w:style>
  <w:style w:type="character" w:customStyle="1" w:styleId="Heading7Char">
    <w:name w:val="Heading 7 Char"/>
    <w:basedOn w:val="DefaultParagraphFont"/>
    <w:link w:val="Heading7"/>
    <w:uiPriority w:val="9"/>
    <w:semiHidden/>
    <w:rsid w:val="009C29AA"/>
    <w:rPr>
      <w:rFonts w:asciiTheme="majorHAnsi" w:eastAsiaTheme="majorEastAsia" w:hAnsiTheme="majorHAnsi" w:cstheme="majorBidi"/>
      <w:bCs/>
      <w:i/>
      <w:iCs/>
      <w:color w:val="404040" w:themeColor="text1" w:themeTint="BF"/>
      <w:sz w:val="22"/>
      <w:szCs w:val="26"/>
      <w:lang w:val="en-GB"/>
    </w:rPr>
  </w:style>
  <w:style w:type="character" w:customStyle="1" w:styleId="Heading8Char">
    <w:name w:val="Heading 8 Char"/>
    <w:basedOn w:val="DefaultParagraphFont"/>
    <w:link w:val="Heading8"/>
    <w:uiPriority w:val="9"/>
    <w:semiHidden/>
    <w:rsid w:val="009C29AA"/>
    <w:rPr>
      <w:rFonts w:asciiTheme="majorHAnsi" w:eastAsiaTheme="majorEastAsia" w:hAnsiTheme="majorHAnsi" w:cstheme="majorBidi"/>
      <w:bCs/>
      <w:color w:val="404040" w:themeColor="text1" w:themeTint="BF"/>
      <w:sz w:val="20"/>
      <w:szCs w:val="20"/>
      <w:lang w:val="en-GB"/>
    </w:rPr>
  </w:style>
  <w:style w:type="character" w:customStyle="1" w:styleId="Heading9Char">
    <w:name w:val="Heading 9 Char"/>
    <w:basedOn w:val="DefaultParagraphFont"/>
    <w:link w:val="Heading9"/>
    <w:uiPriority w:val="9"/>
    <w:semiHidden/>
    <w:rsid w:val="009C29AA"/>
    <w:rPr>
      <w:rFonts w:asciiTheme="majorHAnsi" w:eastAsiaTheme="majorEastAsia" w:hAnsiTheme="majorHAnsi" w:cstheme="majorBidi"/>
      <w:bCs/>
      <w:i/>
      <w:iCs/>
      <w:color w:val="404040" w:themeColor="text1" w:themeTint="BF"/>
      <w:sz w:val="20"/>
      <w:szCs w:val="20"/>
      <w:lang w:val="en-GB"/>
    </w:rPr>
  </w:style>
  <w:style w:type="paragraph" w:styleId="Caption">
    <w:name w:val="caption"/>
    <w:basedOn w:val="Normal"/>
    <w:next w:val="Normal"/>
    <w:uiPriority w:val="35"/>
    <w:unhideWhenUsed/>
    <w:qFormat/>
    <w:rsid w:val="009C29AA"/>
    <w:pPr>
      <w:keepNext/>
      <w:keepLines/>
      <w:spacing w:after="240"/>
      <w:ind w:left="426"/>
      <w:outlineLvl w:val="1"/>
    </w:pPr>
    <w:rPr>
      <w:rFonts w:ascii="Arial" w:eastAsiaTheme="majorEastAsia" w:hAnsi="Arial" w:cstheme="majorBidi"/>
      <w:b/>
      <w:color w:val="5B9BD5" w:themeColor="accent1"/>
      <w:sz w:val="18"/>
      <w:szCs w:val="18"/>
    </w:rPr>
  </w:style>
  <w:style w:type="character" w:customStyle="1" w:styleId="AQHeading2Char">
    <w:name w:val="AQ Heading 2 Char"/>
    <w:basedOn w:val="Heading2Char"/>
    <w:link w:val="AQHeading2"/>
    <w:locked/>
    <w:rsid w:val="009C29AA"/>
    <w:rPr>
      <w:rFonts w:ascii="Arial" w:eastAsiaTheme="majorEastAsia" w:hAnsi="Arial" w:cstheme="majorBidi"/>
      <w:sz w:val="22"/>
      <w:szCs w:val="26"/>
      <w:lang w:val="en-GB"/>
    </w:rPr>
  </w:style>
  <w:style w:type="paragraph" w:customStyle="1" w:styleId="AQHeading2">
    <w:name w:val="AQ Heading 2"/>
    <w:basedOn w:val="Heading2"/>
    <w:link w:val="AQHeading2Char"/>
    <w:qFormat/>
    <w:rsid w:val="009C29AA"/>
  </w:style>
  <w:style w:type="paragraph" w:styleId="Revision">
    <w:name w:val="Revision"/>
    <w:hidden/>
    <w:uiPriority w:val="99"/>
    <w:semiHidden/>
    <w:rsid w:val="00B36952"/>
    <w:rPr>
      <w:lang w:val="en-GB"/>
    </w:rPr>
  </w:style>
  <w:style w:type="character" w:customStyle="1" w:styleId="apple-converted-space">
    <w:name w:val="apple-converted-space"/>
    <w:basedOn w:val="DefaultParagraphFont"/>
    <w:rsid w:val="004B1D33"/>
  </w:style>
  <w:style w:type="paragraph" w:styleId="ListParagraph">
    <w:name w:val="List Paragraph"/>
    <w:basedOn w:val="Normal"/>
    <w:uiPriority w:val="34"/>
    <w:qFormat/>
    <w:rsid w:val="007C7C37"/>
    <w:pPr>
      <w:ind w:left="720"/>
      <w:contextualSpacing/>
    </w:pPr>
  </w:style>
  <w:style w:type="table" w:styleId="TableGrid">
    <w:name w:val="Table Grid"/>
    <w:basedOn w:val="TableNormal"/>
    <w:uiPriority w:val="39"/>
    <w:rsid w:val="004E1A8D"/>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722C2"/>
    <w:pPr>
      <w:jc w:val="center"/>
    </w:pPr>
    <w:rPr>
      <w:rFonts w:ascii="Calibri" w:hAnsi="Calibri"/>
      <w:lang w:val="en-US"/>
    </w:rPr>
  </w:style>
  <w:style w:type="paragraph" w:customStyle="1" w:styleId="EndNoteBibliography">
    <w:name w:val="EndNote Bibliography"/>
    <w:basedOn w:val="Normal"/>
    <w:rsid w:val="00C722C2"/>
    <w:rPr>
      <w:rFonts w:ascii="Calibri" w:hAnsi="Calibri"/>
      <w:lang w:val="en-US"/>
    </w:rPr>
  </w:style>
  <w:style w:type="paragraph" w:styleId="PlainText">
    <w:name w:val="Plain Text"/>
    <w:basedOn w:val="Normal"/>
    <w:link w:val="PlainTextChar"/>
    <w:uiPriority w:val="99"/>
    <w:unhideWhenUsed/>
    <w:rsid w:val="00F713EE"/>
    <w:rPr>
      <w:rFonts w:ascii="Calibri" w:hAnsi="Calibri"/>
      <w:sz w:val="22"/>
      <w:szCs w:val="21"/>
    </w:rPr>
  </w:style>
  <w:style w:type="character" w:customStyle="1" w:styleId="PlainTextChar">
    <w:name w:val="Plain Text Char"/>
    <w:basedOn w:val="DefaultParagraphFont"/>
    <w:link w:val="PlainText"/>
    <w:uiPriority w:val="99"/>
    <w:rsid w:val="00F713EE"/>
    <w:rPr>
      <w:rFonts w:ascii="Calibri" w:hAnsi="Calibri"/>
      <w:sz w:val="22"/>
      <w:szCs w:val="21"/>
      <w:lang w:val="en-GB"/>
    </w:rPr>
  </w:style>
  <w:style w:type="paragraph" w:customStyle="1" w:styleId="Response">
    <w:name w:val="Response"/>
    <w:basedOn w:val="PlainText"/>
    <w:link w:val="ResponseChar"/>
    <w:qFormat/>
    <w:rsid w:val="00A03335"/>
    <w:rPr>
      <w:color w:val="5B9BD5" w:themeColor="accent1"/>
    </w:rPr>
  </w:style>
  <w:style w:type="character" w:customStyle="1" w:styleId="ResponseChar">
    <w:name w:val="Response Char"/>
    <w:basedOn w:val="PlainTextChar"/>
    <w:link w:val="Response"/>
    <w:rsid w:val="00A03335"/>
    <w:rPr>
      <w:rFonts w:ascii="Calibri" w:hAnsi="Calibri"/>
      <w:color w:val="5B9BD5" w:themeColor="accent1"/>
      <w:sz w:val="22"/>
      <w:szCs w:val="21"/>
      <w:lang w:val="en-GB"/>
    </w:rPr>
  </w:style>
  <w:style w:type="paragraph" w:styleId="Header">
    <w:name w:val="header"/>
    <w:basedOn w:val="Normal"/>
    <w:link w:val="HeaderChar"/>
    <w:uiPriority w:val="99"/>
    <w:unhideWhenUsed/>
    <w:rsid w:val="007172EE"/>
    <w:pPr>
      <w:tabs>
        <w:tab w:val="center" w:pos="4513"/>
        <w:tab w:val="right" w:pos="9026"/>
      </w:tabs>
    </w:pPr>
  </w:style>
  <w:style w:type="character" w:customStyle="1" w:styleId="HeaderChar">
    <w:name w:val="Header Char"/>
    <w:basedOn w:val="DefaultParagraphFont"/>
    <w:link w:val="Header"/>
    <w:uiPriority w:val="99"/>
    <w:rsid w:val="007172EE"/>
    <w:rPr>
      <w:lang w:val="en-GB"/>
    </w:rPr>
  </w:style>
  <w:style w:type="paragraph" w:styleId="Footer">
    <w:name w:val="footer"/>
    <w:basedOn w:val="Normal"/>
    <w:link w:val="FooterChar"/>
    <w:uiPriority w:val="99"/>
    <w:unhideWhenUsed/>
    <w:rsid w:val="007172EE"/>
    <w:pPr>
      <w:tabs>
        <w:tab w:val="center" w:pos="4513"/>
        <w:tab w:val="right" w:pos="9026"/>
      </w:tabs>
    </w:pPr>
  </w:style>
  <w:style w:type="character" w:customStyle="1" w:styleId="FooterChar">
    <w:name w:val="Footer Char"/>
    <w:basedOn w:val="DefaultParagraphFont"/>
    <w:link w:val="Footer"/>
    <w:uiPriority w:val="99"/>
    <w:rsid w:val="007172E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C29AA"/>
    <w:pPr>
      <w:keepNext/>
      <w:keepLines/>
      <w:numPr>
        <w:numId w:val="2"/>
      </w:numPr>
      <w:spacing w:before="240" w:after="240"/>
      <w:ind w:left="432"/>
      <w:outlineLvl w:val="0"/>
    </w:pPr>
    <w:rPr>
      <w:rFonts w:ascii="Arial" w:eastAsiaTheme="majorEastAsia" w:hAnsi="Arial" w:cstheme="majorBidi"/>
      <w:b/>
      <w:sz w:val="22"/>
      <w:szCs w:val="28"/>
    </w:rPr>
  </w:style>
  <w:style w:type="paragraph" w:styleId="Heading2">
    <w:name w:val="heading 2"/>
    <w:basedOn w:val="Normal"/>
    <w:link w:val="Heading2Char"/>
    <w:uiPriority w:val="9"/>
    <w:unhideWhenUsed/>
    <w:qFormat/>
    <w:rsid w:val="009C29AA"/>
    <w:pPr>
      <w:keepNext/>
      <w:keepLines/>
      <w:numPr>
        <w:ilvl w:val="1"/>
        <w:numId w:val="2"/>
      </w:numPr>
      <w:spacing w:after="240"/>
      <w:outlineLvl w:val="1"/>
    </w:pPr>
    <w:rPr>
      <w:rFonts w:ascii="Arial" w:eastAsiaTheme="majorEastAsia" w:hAnsi="Arial" w:cstheme="majorBidi"/>
      <w:sz w:val="22"/>
      <w:szCs w:val="26"/>
    </w:rPr>
  </w:style>
  <w:style w:type="paragraph" w:styleId="Heading3">
    <w:name w:val="heading 3"/>
    <w:basedOn w:val="Normal"/>
    <w:next w:val="Normal"/>
    <w:link w:val="Heading3Char"/>
    <w:uiPriority w:val="9"/>
    <w:unhideWhenUsed/>
    <w:qFormat/>
    <w:rsid w:val="009C29AA"/>
    <w:pPr>
      <w:keepNext/>
      <w:keepLines/>
      <w:numPr>
        <w:ilvl w:val="2"/>
        <w:numId w:val="2"/>
      </w:numPr>
      <w:spacing w:before="200"/>
      <w:outlineLvl w:val="2"/>
    </w:pPr>
    <w:rPr>
      <w:rFonts w:ascii="Arial" w:eastAsiaTheme="majorEastAsia" w:hAnsi="Arial" w:cstheme="majorBidi"/>
      <w:b/>
      <w:sz w:val="20"/>
      <w:szCs w:val="26"/>
    </w:rPr>
  </w:style>
  <w:style w:type="paragraph" w:styleId="Heading4">
    <w:name w:val="heading 4"/>
    <w:basedOn w:val="Normal"/>
    <w:next w:val="Normal"/>
    <w:link w:val="Heading4Char"/>
    <w:uiPriority w:val="9"/>
    <w:semiHidden/>
    <w:unhideWhenUsed/>
    <w:qFormat/>
    <w:rsid w:val="009C29AA"/>
    <w:pPr>
      <w:keepNext/>
      <w:keepLines/>
      <w:numPr>
        <w:ilvl w:val="3"/>
        <w:numId w:val="2"/>
      </w:numPr>
      <w:spacing w:before="200"/>
      <w:outlineLvl w:val="3"/>
    </w:pPr>
    <w:rPr>
      <w:rFonts w:asciiTheme="majorHAnsi" w:eastAsiaTheme="majorEastAsia" w:hAnsiTheme="majorHAnsi" w:cstheme="majorBidi"/>
      <w:b/>
      <w:i/>
      <w:iCs/>
      <w:color w:val="5B9BD5" w:themeColor="accent1"/>
      <w:sz w:val="22"/>
      <w:szCs w:val="26"/>
    </w:rPr>
  </w:style>
  <w:style w:type="paragraph" w:styleId="Heading5">
    <w:name w:val="heading 5"/>
    <w:basedOn w:val="Normal"/>
    <w:next w:val="Normal"/>
    <w:link w:val="Heading5Char"/>
    <w:uiPriority w:val="9"/>
    <w:semiHidden/>
    <w:unhideWhenUsed/>
    <w:qFormat/>
    <w:rsid w:val="009C29AA"/>
    <w:pPr>
      <w:keepNext/>
      <w:keepLines/>
      <w:numPr>
        <w:ilvl w:val="4"/>
        <w:numId w:val="2"/>
      </w:numPr>
      <w:spacing w:before="200"/>
      <w:outlineLvl w:val="4"/>
    </w:pPr>
    <w:rPr>
      <w:rFonts w:asciiTheme="majorHAnsi" w:eastAsiaTheme="majorEastAsia" w:hAnsiTheme="majorHAnsi" w:cstheme="majorBidi"/>
      <w:bCs/>
      <w:color w:val="1F4D78" w:themeColor="accent1" w:themeShade="7F"/>
      <w:sz w:val="22"/>
      <w:szCs w:val="26"/>
    </w:rPr>
  </w:style>
  <w:style w:type="paragraph" w:styleId="Heading6">
    <w:name w:val="heading 6"/>
    <w:basedOn w:val="Normal"/>
    <w:next w:val="Normal"/>
    <w:link w:val="Heading6Char"/>
    <w:uiPriority w:val="9"/>
    <w:semiHidden/>
    <w:unhideWhenUsed/>
    <w:qFormat/>
    <w:rsid w:val="009C29AA"/>
    <w:pPr>
      <w:keepNext/>
      <w:keepLines/>
      <w:numPr>
        <w:ilvl w:val="5"/>
        <w:numId w:val="2"/>
      </w:numPr>
      <w:spacing w:before="200"/>
      <w:outlineLvl w:val="5"/>
    </w:pPr>
    <w:rPr>
      <w:rFonts w:asciiTheme="majorHAnsi" w:eastAsiaTheme="majorEastAsia" w:hAnsiTheme="majorHAnsi" w:cstheme="majorBidi"/>
      <w:bCs/>
      <w:i/>
      <w:iCs/>
      <w:color w:val="1F4D78" w:themeColor="accent1" w:themeShade="7F"/>
      <w:sz w:val="22"/>
      <w:szCs w:val="26"/>
    </w:rPr>
  </w:style>
  <w:style w:type="paragraph" w:styleId="Heading7">
    <w:name w:val="heading 7"/>
    <w:basedOn w:val="Normal"/>
    <w:next w:val="Normal"/>
    <w:link w:val="Heading7Char"/>
    <w:uiPriority w:val="9"/>
    <w:semiHidden/>
    <w:unhideWhenUsed/>
    <w:qFormat/>
    <w:rsid w:val="009C29AA"/>
    <w:pPr>
      <w:keepNext/>
      <w:keepLines/>
      <w:numPr>
        <w:ilvl w:val="6"/>
        <w:numId w:val="2"/>
      </w:numPr>
      <w:spacing w:before="200"/>
      <w:outlineLvl w:val="6"/>
    </w:pPr>
    <w:rPr>
      <w:rFonts w:asciiTheme="majorHAnsi" w:eastAsiaTheme="majorEastAsia" w:hAnsiTheme="majorHAnsi" w:cstheme="majorBidi"/>
      <w:bCs/>
      <w:i/>
      <w:iCs/>
      <w:color w:val="404040" w:themeColor="text1" w:themeTint="BF"/>
      <w:sz w:val="22"/>
      <w:szCs w:val="26"/>
    </w:rPr>
  </w:style>
  <w:style w:type="paragraph" w:styleId="Heading8">
    <w:name w:val="heading 8"/>
    <w:basedOn w:val="Normal"/>
    <w:next w:val="Normal"/>
    <w:link w:val="Heading8Char"/>
    <w:uiPriority w:val="9"/>
    <w:semiHidden/>
    <w:unhideWhenUsed/>
    <w:qFormat/>
    <w:rsid w:val="009C29AA"/>
    <w:pPr>
      <w:keepNext/>
      <w:keepLines/>
      <w:numPr>
        <w:ilvl w:val="7"/>
        <w:numId w:val="2"/>
      </w:numPr>
      <w:spacing w:before="20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9C29AA"/>
    <w:pPr>
      <w:keepNext/>
      <w:keepLines/>
      <w:numPr>
        <w:ilvl w:val="8"/>
        <w:numId w:val="2"/>
      </w:numPr>
      <w:spacing w:before="200"/>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19A"/>
    <w:pPr>
      <w:widowControl w:val="0"/>
      <w:autoSpaceDE w:val="0"/>
      <w:autoSpaceDN w:val="0"/>
      <w:adjustRightInd w:val="0"/>
      <w:spacing w:line="200" w:lineRule="atLeast"/>
    </w:pPr>
    <w:rPr>
      <w:rFonts w:ascii="Lucida Sans" w:eastAsia="SimSun" w:hAnsi="Lucida Sans" w:cs="Lucida Sans"/>
      <w:color w:val="FFFFFF"/>
      <w:kern w:val="1"/>
      <w:sz w:val="36"/>
      <w:szCs w:val="36"/>
    </w:rPr>
  </w:style>
  <w:style w:type="paragraph" w:styleId="BalloonText">
    <w:name w:val="Balloon Text"/>
    <w:basedOn w:val="Normal"/>
    <w:link w:val="BalloonTextChar"/>
    <w:uiPriority w:val="99"/>
    <w:semiHidden/>
    <w:unhideWhenUsed/>
    <w:rsid w:val="0034463C"/>
    <w:rPr>
      <w:rFonts w:ascii="Tahoma" w:hAnsi="Tahoma" w:cs="Tahoma"/>
      <w:sz w:val="16"/>
      <w:szCs w:val="16"/>
    </w:rPr>
  </w:style>
  <w:style w:type="character" w:customStyle="1" w:styleId="BalloonTextChar">
    <w:name w:val="Balloon Text Char"/>
    <w:basedOn w:val="DefaultParagraphFont"/>
    <w:link w:val="BalloonText"/>
    <w:uiPriority w:val="99"/>
    <w:semiHidden/>
    <w:rsid w:val="0034463C"/>
    <w:rPr>
      <w:rFonts w:ascii="Tahoma" w:hAnsi="Tahoma" w:cs="Tahoma"/>
      <w:sz w:val="16"/>
      <w:szCs w:val="16"/>
      <w:lang w:val="en-GB"/>
    </w:rPr>
  </w:style>
  <w:style w:type="character" w:styleId="CommentReference">
    <w:name w:val="annotation reference"/>
    <w:basedOn w:val="DefaultParagraphFont"/>
    <w:uiPriority w:val="99"/>
    <w:semiHidden/>
    <w:unhideWhenUsed/>
    <w:rsid w:val="0034463C"/>
    <w:rPr>
      <w:sz w:val="16"/>
      <w:szCs w:val="16"/>
    </w:rPr>
  </w:style>
  <w:style w:type="paragraph" w:styleId="CommentText">
    <w:name w:val="annotation text"/>
    <w:basedOn w:val="Normal"/>
    <w:link w:val="CommentTextChar"/>
    <w:uiPriority w:val="99"/>
    <w:semiHidden/>
    <w:unhideWhenUsed/>
    <w:rsid w:val="0034463C"/>
    <w:rPr>
      <w:sz w:val="20"/>
      <w:szCs w:val="20"/>
    </w:rPr>
  </w:style>
  <w:style w:type="character" w:customStyle="1" w:styleId="CommentTextChar">
    <w:name w:val="Comment Text Char"/>
    <w:basedOn w:val="DefaultParagraphFont"/>
    <w:link w:val="CommentText"/>
    <w:uiPriority w:val="99"/>
    <w:semiHidden/>
    <w:rsid w:val="0034463C"/>
    <w:rPr>
      <w:sz w:val="20"/>
      <w:szCs w:val="20"/>
      <w:lang w:val="en-GB"/>
    </w:rPr>
  </w:style>
  <w:style w:type="paragraph" w:styleId="CommentSubject">
    <w:name w:val="annotation subject"/>
    <w:basedOn w:val="CommentText"/>
    <w:next w:val="CommentText"/>
    <w:link w:val="CommentSubjectChar"/>
    <w:uiPriority w:val="99"/>
    <w:semiHidden/>
    <w:unhideWhenUsed/>
    <w:rsid w:val="0034463C"/>
    <w:rPr>
      <w:b/>
      <w:bCs/>
    </w:rPr>
  </w:style>
  <w:style w:type="character" w:customStyle="1" w:styleId="CommentSubjectChar">
    <w:name w:val="Comment Subject Char"/>
    <w:basedOn w:val="CommentTextChar"/>
    <w:link w:val="CommentSubject"/>
    <w:uiPriority w:val="99"/>
    <w:semiHidden/>
    <w:rsid w:val="0034463C"/>
    <w:rPr>
      <w:b/>
      <w:bCs/>
      <w:sz w:val="20"/>
      <w:szCs w:val="20"/>
      <w:lang w:val="en-GB"/>
    </w:rPr>
  </w:style>
  <w:style w:type="character" w:customStyle="1" w:styleId="Heading1Char">
    <w:name w:val="Heading 1 Char"/>
    <w:basedOn w:val="DefaultParagraphFont"/>
    <w:link w:val="Heading1"/>
    <w:uiPriority w:val="9"/>
    <w:rsid w:val="009C29AA"/>
    <w:rPr>
      <w:rFonts w:ascii="Arial" w:eastAsiaTheme="majorEastAsia" w:hAnsi="Arial" w:cstheme="majorBidi"/>
      <w:b/>
      <w:sz w:val="22"/>
      <w:szCs w:val="28"/>
      <w:lang w:val="en-GB"/>
    </w:rPr>
  </w:style>
  <w:style w:type="character" w:customStyle="1" w:styleId="Heading2Char">
    <w:name w:val="Heading 2 Char"/>
    <w:basedOn w:val="DefaultParagraphFont"/>
    <w:link w:val="Heading2"/>
    <w:uiPriority w:val="9"/>
    <w:semiHidden/>
    <w:rsid w:val="009C29AA"/>
    <w:rPr>
      <w:rFonts w:ascii="Arial" w:eastAsiaTheme="majorEastAsia" w:hAnsi="Arial" w:cstheme="majorBidi"/>
      <w:sz w:val="22"/>
      <w:szCs w:val="26"/>
      <w:lang w:val="en-GB"/>
    </w:rPr>
  </w:style>
  <w:style w:type="character" w:customStyle="1" w:styleId="Heading3Char">
    <w:name w:val="Heading 3 Char"/>
    <w:basedOn w:val="DefaultParagraphFont"/>
    <w:link w:val="Heading3"/>
    <w:uiPriority w:val="9"/>
    <w:semiHidden/>
    <w:rsid w:val="009C29AA"/>
    <w:rPr>
      <w:rFonts w:ascii="Arial" w:eastAsiaTheme="majorEastAsia" w:hAnsi="Arial" w:cstheme="majorBidi"/>
      <w:b/>
      <w:sz w:val="20"/>
      <w:szCs w:val="26"/>
      <w:lang w:val="en-GB"/>
    </w:rPr>
  </w:style>
  <w:style w:type="character" w:customStyle="1" w:styleId="Heading4Char">
    <w:name w:val="Heading 4 Char"/>
    <w:basedOn w:val="DefaultParagraphFont"/>
    <w:link w:val="Heading4"/>
    <w:uiPriority w:val="9"/>
    <w:semiHidden/>
    <w:rsid w:val="009C29AA"/>
    <w:rPr>
      <w:rFonts w:asciiTheme="majorHAnsi" w:eastAsiaTheme="majorEastAsia" w:hAnsiTheme="majorHAnsi" w:cstheme="majorBidi"/>
      <w:b/>
      <w:i/>
      <w:iCs/>
      <w:color w:val="5B9BD5" w:themeColor="accent1"/>
      <w:sz w:val="22"/>
      <w:szCs w:val="26"/>
      <w:lang w:val="en-GB"/>
    </w:rPr>
  </w:style>
  <w:style w:type="character" w:customStyle="1" w:styleId="Heading5Char">
    <w:name w:val="Heading 5 Char"/>
    <w:basedOn w:val="DefaultParagraphFont"/>
    <w:link w:val="Heading5"/>
    <w:uiPriority w:val="9"/>
    <w:semiHidden/>
    <w:rsid w:val="009C29AA"/>
    <w:rPr>
      <w:rFonts w:asciiTheme="majorHAnsi" w:eastAsiaTheme="majorEastAsia" w:hAnsiTheme="majorHAnsi" w:cstheme="majorBidi"/>
      <w:bCs/>
      <w:color w:val="1F4D78" w:themeColor="accent1" w:themeShade="7F"/>
      <w:sz w:val="22"/>
      <w:szCs w:val="26"/>
      <w:lang w:val="en-GB"/>
    </w:rPr>
  </w:style>
  <w:style w:type="character" w:customStyle="1" w:styleId="Heading6Char">
    <w:name w:val="Heading 6 Char"/>
    <w:basedOn w:val="DefaultParagraphFont"/>
    <w:link w:val="Heading6"/>
    <w:uiPriority w:val="9"/>
    <w:semiHidden/>
    <w:rsid w:val="009C29AA"/>
    <w:rPr>
      <w:rFonts w:asciiTheme="majorHAnsi" w:eastAsiaTheme="majorEastAsia" w:hAnsiTheme="majorHAnsi" w:cstheme="majorBidi"/>
      <w:bCs/>
      <w:i/>
      <w:iCs/>
      <w:color w:val="1F4D78" w:themeColor="accent1" w:themeShade="7F"/>
      <w:sz w:val="22"/>
      <w:szCs w:val="26"/>
      <w:lang w:val="en-GB"/>
    </w:rPr>
  </w:style>
  <w:style w:type="character" w:customStyle="1" w:styleId="Heading7Char">
    <w:name w:val="Heading 7 Char"/>
    <w:basedOn w:val="DefaultParagraphFont"/>
    <w:link w:val="Heading7"/>
    <w:uiPriority w:val="9"/>
    <w:semiHidden/>
    <w:rsid w:val="009C29AA"/>
    <w:rPr>
      <w:rFonts w:asciiTheme="majorHAnsi" w:eastAsiaTheme="majorEastAsia" w:hAnsiTheme="majorHAnsi" w:cstheme="majorBidi"/>
      <w:bCs/>
      <w:i/>
      <w:iCs/>
      <w:color w:val="404040" w:themeColor="text1" w:themeTint="BF"/>
      <w:sz w:val="22"/>
      <w:szCs w:val="26"/>
      <w:lang w:val="en-GB"/>
    </w:rPr>
  </w:style>
  <w:style w:type="character" w:customStyle="1" w:styleId="Heading8Char">
    <w:name w:val="Heading 8 Char"/>
    <w:basedOn w:val="DefaultParagraphFont"/>
    <w:link w:val="Heading8"/>
    <w:uiPriority w:val="9"/>
    <w:semiHidden/>
    <w:rsid w:val="009C29AA"/>
    <w:rPr>
      <w:rFonts w:asciiTheme="majorHAnsi" w:eastAsiaTheme="majorEastAsia" w:hAnsiTheme="majorHAnsi" w:cstheme="majorBidi"/>
      <w:bCs/>
      <w:color w:val="404040" w:themeColor="text1" w:themeTint="BF"/>
      <w:sz w:val="20"/>
      <w:szCs w:val="20"/>
      <w:lang w:val="en-GB"/>
    </w:rPr>
  </w:style>
  <w:style w:type="character" w:customStyle="1" w:styleId="Heading9Char">
    <w:name w:val="Heading 9 Char"/>
    <w:basedOn w:val="DefaultParagraphFont"/>
    <w:link w:val="Heading9"/>
    <w:uiPriority w:val="9"/>
    <w:semiHidden/>
    <w:rsid w:val="009C29AA"/>
    <w:rPr>
      <w:rFonts w:asciiTheme="majorHAnsi" w:eastAsiaTheme="majorEastAsia" w:hAnsiTheme="majorHAnsi" w:cstheme="majorBidi"/>
      <w:bCs/>
      <w:i/>
      <w:iCs/>
      <w:color w:val="404040" w:themeColor="text1" w:themeTint="BF"/>
      <w:sz w:val="20"/>
      <w:szCs w:val="20"/>
      <w:lang w:val="en-GB"/>
    </w:rPr>
  </w:style>
  <w:style w:type="paragraph" w:styleId="Caption">
    <w:name w:val="caption"/>
    <w:basedOn w:val="Normal"/>
    <w:next w:val="Normal"/>
    <w:uiPriority w:val="35"/>
    <w:unhideWhenUsed/>
    <w:qFormat/>
    <w:rsid w:val="009C29AA"/>
    <w:pPr>
      <w:keepNext/>
      <w:keepLines/>
      <w:spacing w:after="240"/>
      <w:ind w:left="426"/>
      <w:outlineLvl w:val="1"/>
    </w:pPr>
    <w:rPr>
      <w:rFonts w:ascii="Arial" w:eastAsiaTheme="majorEastAsia" w:hAnsi="Arial" w:cstheme="majorBidi"/>
      <w:b/>
      <w:color w:val="5B9BD5" w:themeColor="accent1"/>
      <w:sz w:val="18"/>
      <w:szCs w:val="18"/>
    </w:rPr>
  </w:style>
  <w:style w:type="character" w:customStyle="1" w:styleId="AQHeading2Char">
    <w:name w:val="AQ Heading 2 Char"/>
    <w:basedOn w:val="Heading2Char"/>
    <w:link w:val="AQHeading2"/>
    <w:locked/>
    <w:rsid w:val="009C29AA"/>
    <w:rPr>
      <w:rFonts w:ascii="Arial" w:eastAsiaTheme="majorEastAsia" w:hAnsi="Arial" w:cstheme="majorBidi"/>
      <w:sz w:val="22"/>
      <w:szCs w:val="26"/>
      <w:lang w:val="en-GB"/>
    </w:rPr>
  </w:style>
  <w:style w:type="paragraph" w:customStyle="1" w:styleId="AQHeading2">
    <w:name w:val="AQ Heading 2"/>
    <w:basedOn w:val="Heading2"/>
    <w:link w:val="AQHeading2Char"/>
    <w:qFormat/>
    <w:rsid w:val="009C29AA"/>
  </w:style>
  <w:style w:type="paragraph" w:styleId="Revision">
    <w:name w:val="Revision"/>
    <w:hidden/>
    <w:uiPriority w:val="99"/>
    <w:semiHidden/>
    <w:rsid w:val="00B36952"/>
    <w:rPr>
      <w:lang w:val="en-GB"/>
    </w:rPr>
  </w:style>
  <w:style w:type="character" w:customStyle="1" w:styleId="apple-converted-space">
    <w:name w:val="apple-converted-space"/>
    <w:basedOn w:val="DefaultParagraphFont"/>
    <w:rsid w:val="004B1D33"/>
  </w:style>
  <w:style w:type="paragraph" w:styleId="ListParagraph">
    <w:name w:val="List Paragraph"/>
    <w:basedOn w:val="Normal"/>
    <w:uiPriority w:val="34"/>
    <w:qFormat/>
    <w:rsid w:val="007C7C37"/>
    <w:pPr>
      <w:ind w:left="720"/>
      <w:contextualSpacing/>
    </w:pPr>
  </w:style>
  <w:style w:type="table" w:styleId="TableGrid">
    <w:name w:val="Table Grid"/>
    <w:basedOn w:val="TableNormal"/>
    <w:uiPriority w:val="39"/>
    <w:rsid w:val="004E1A8D"/>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C722C2"/>
    <w:pPr>
      <w:jc w:val="center"/>
    </w:pPr>
    <w:rPr>
      <w:rFonts w:ascii="Calibri" w:hAnsi="Calibri"/>
      <w:lang w:val="en-US"/>
    </w:rPr>
  </w:style>
  <w:style w:type="paragraph" w:customStyle="1" w:styleId="EndNoteBibliography">
    <w:name w:val="EndNote Bibliography"/>
    <w:basedOn w:val="Normal"/>
    <w:rsid w:val="00C722C2"/>
    <w:rPr>
      <w:rFonts w:ascii="Calibri" w:hAnsi="Calibri"/>
      <w:lang w:val="en-US"/>
    </w:rPr>
  </w:style>
  <w:style w:type="paragraph" w:styleId="PlainText">
    <w:name w:val="Plain Text"/>
    <w:basedOn w:val="Normal"/>
    <w:link w:val="PlainTextChar"/>
    <w:uiPriority w:val="99"/>
    <w:unhideWhenUsed/>
    <w:rsid w:val="00F713EE"/>
    <w:rPr>
      <w:rFonts w:ascii="Calibri" w:hAnsi="Calibri"/>
      <w:sz w:val="22"/>
      <w:szCs w:val="21"/>
    </w:rPr>
  </w:style>
  <w:style w:type="character" w:customStyle="1" w:styleId="PlainTextChar">
    <w:name w:val="Plain Text Char"/>
    <w:basedOn w:val="DefaultParagraphFont"/>
    <w:link w:val="PlainText"/>
    <w:uiPriority w:val="99"/>
    <w:rsid w:val="00F713EE"/>
    <w:rPr>
      <w:rFonts w:ascii="Calibri" w:hAnsi="Calibri"/>
      <w:sz w:val="22"/>
      <w:szCs w:val="21"/>
      <w:lang w:val="en-GB"/>
    </w:rPr>
  </w:style>
  <w:style w:type="paragraph" w:customStyle="1" w:styleId="Response">
    <w:name w:val="Response"/>
    <w:basedOn w:val="PlainText"/>
    <w:link w:val="ResponseChar"/>
    <w:qFormat/>
    <w:rsid w:val="00A03335"/>
    <w:rPr>
      <w:color w:val="5B9BD5" w:themeColor="accent1"/>
    </w:rPr>
  </w:style>
  <w:style w:type="character" w:customStyle="1" w:styleId="ResponseChar">
    <w:name w:val="Response Char"/>
    <w:basedOn w:val="PlainTextChar"/>
    <w:link w:val="Response"/>
    <w:rsid w:val="00A03335"/>
    <w:rPr>
      <w:rFonts w:ascii="Calibri" w:hAnsi="Calibri"/>
      <w:color w:val="5B9BD5" w:themeColor="accent1"/>
      <w:sz w:val="22"/>
      <w:szCs w:val="21"/>
      <w:lang w:val="en-GB"/>
    </w:rPr>
  </w:style>
  <w:style w:type="paragraph" w:styleId="Header">
    <w:name w:val="header"/>
    <w:basedOn w:val="Normal"/>
    <w:link w:val="HeaderChar"/>
    <w:uiPriority w:val="99"/>
    <w:unhideWhenUsed/>
    <w:rsid w:val="007172EE"/>
    <w:pPr>
      <w:tabs>
        <w:tab w:val="center" w:pos="4513"/>
        <w:tab w:val="right" w:pos="9026"/>
      </w:tabs>
    </w:pPr>
  </w:style>
  <w:style w:type="character" w:customStyle="1" w:styleId="HeaderChar">
    <w:name w:val="Header Char"/>
    <w:basedOn w:val="DefaultParagraphFont"/>
    <w:link w:val="Header"/>
    <w:uiPriority w:val="99"/>
    <w:rsid w:val="007172EE"/>
    <w:rPr>
      <w:lang w:val="en-GB"/>
    </w:rPr>
  </w:style>
  <w:style w:type="paragraph" w:styleId="Footer">
    <w:name w:val="footer"/>
    <w:basedOn w:val="Normal"/>
    <w:link w:val="FooterChar"/>
    <w:uiPriority w:val="99"/>
    <w:unhideWhenUsed/>
    <w:rsid w:val="007172EE"/>
    <w:pPr>
      <w:tabs>
        <w:tab w:val="center" w:pos="4513"/>
        <w:tab w:val="right" w:pos="9026"/>
      </w:tabs>
    </w:pPr>
  </w:style>
  <w:style w:type="character" w:customStyle="1" w:styleId="FooterChar">
    <w:name w:val="Footer Char"/>
    <w:basedOn w:val="DefaultParagraphFont"/>
    <w:link w:val="Footer"/>
    <w:uiPriority w:val="99"/>
    <w:rsid w:val="007172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5632">
      <w:bodyDiv w:val="1"/>
      <w:marLeft w:val="0"/>
      <w:marRight w:val="0"/>
      <w:marTop w:val="0"/>
      <w:marBottom w:val="0"/>
      <w:divBdr>
        <w:top w:val="none" w:sz="0" w:space="0" w:color="auto"/>
        <w:left w:val="none" w:sz="0" w:space="0" w:color="auto"/>
        <w:bottom w:val="none" w:sz="0" w:space="0" w:color="auto"/>
        <w:right w:val="none" w:sz="0" w:space="0" w:color="auto"/>
      </w:divBdr>
    </w:div>
    <w:div w:id="862399124">
      <w:bodyDiv w:val="1"/>
      <w:marLeft w:val="0"/>
      <w:marRight w:val="0"/>
      <w:marTop w:val="0"/>
      <w:marBottom w:val="0"/>
      <w:divBdr>
        <w:top w:val="none" w:sz="0" w:space="0" w:color="auto"/>
        <w:left w:val="none" w:sz="0" w:space="0" w:color="auto"/>
        <w:bottom w:val="none" w:sz="0" w:space="0" w:color="auto"/>
        <w:right w:val="none" w:sz="0" w:space="0" w:color="auto"/>
      </w:divBdr>
      <w:divsChild>
        <w:div w:id="1879581787">
          <w:marLeft w:val="360"/>
          <w:marRight w:val="0"/>
          <w:marTop w:val="200"/>
          <w:marBottom w:val="0"/>
          <w:divBdr>
            <w:top w:val="none" w:sz="0" w:space="0" w:color="auto"/>
            <w:left w:val="none" w:sz="0" w:space="0" w:color="auto"/>
            <w:bottom w:val="none" w:sz="0" w:space="0" w:color="auto"/>
            <w:right w:val="none" w:sz="0" w:space="0" w:color="auto"/>
          </w:divBdr>
        </w:div>
        <w:div w:id="795752515">
          <w:marLeft w:val="360"/>
          <w:marRight w:val="0"/>
          <w:marTop w:val="200"/>
          <w:marBottom w:val="0"/>
          <w:divBdr>
            <w:top w:val="none" w:sz="0" w:space="0" w:color="auto"/>
            <w:left w:val="none" w:sz="0" w:space="0" w:color="auto"/>
            <w:bottom w:val="none" w:sz="0" w:space="0" w:color="auto"/>
            <w:right w:val="none" w:sz="0" w:space="0" w:color="auto"/>
          </w:divBdr>
        </w:div>
        <w:div w:id="1461534162">
          <w:marLeft w:val="360"/>
          <w:marRight w:val="0"/>
          <w:marTop w:val="200"/>
          <w:marBottom w:val="0"/>
          <w:divBdr>
            <w:top w:val="none" w:sz="0" w:space="0" w:color="auto"/>
            <w:left w:val="none" w:sz="0" w:space="0" w:color="auto"/>
            <w:bottom w:val="none" w:sz="0" w:space="0" w:color="auto"/>
            <w:right w:val="none" w:sz="0" w:space="0" w:color="auto"/>
          </w:divBdr>
        </w:div>
      </w:divsChild>
    </w:div>
    <w:div w:id="1023748497">
      <w:bodyDiv w:val="1"/>
      <w:marLeft w:val="0"/>
      <w:marRight w:val="0"/>
      <w:marTop w:val="0"/>
      <w:marBottom w:val="0"/>
      <w:divBdr>
        <w:top w:val="none" w:sz="0" w:space="0" w:color="auto"/>
        <w:left w:val="none" w:sz="0" w:space="0" w:color="auto"/>
        <w:bottom w:val="none" w:sz="0" w:space="0" w:color="auto"/>
        <w:right w:val="none" w:sz="0" w:space="0" w:color="auto"/>
      </w:divBdr>
    </w:div>
    <w:div w:id="1256596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AA5A-2EC3-4F83-923F-599AF6D8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20501</Words>
  <Characters>116860</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Nsutebu Emmanuel (RQ6) RLBUHT</cp:lastModifiedBy>
  <cp:revision>4</cp:revision>
  <cp:lastPrinted>2018-06-12T15:44:00Z</cp:lastPrinted>
  <dcterms:created xsi:type="dcterms:W3CDTF">2018-06-15T21:16:00Z</dcterms:created>
  <dcterms:modified xsi:type="dcterms:W3CDTF">2018-06-15T21:23:00Z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a2d220d3-775a-3a24-bdfc-c0b903d8d499</vt:lpwstr>
  </property>
  <property fmtid="{D5CDD505-2E9C-101B-9397-08002B2CF9AE}" pid="24" name="Mendeley Citation Style_1">
    <vt:lpwstr>http://www.zotero.org/styles/vancouver</vt:lpwstr>
  </property>
</Properties>
</file>