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5AE65" w14:textId="2FDBCCC3" w:rsidR="00C1323A" w:rsidRDefault="00672A5E" w:rsidP="005B5DFF">
      <w:pPr>
        <w:pStyle w:val="Title"/>
      </w:pPr>
      <w:bookmarkStart w:id="0" w:name="_GoBack"/>
      <w:bookmarkEnd w:id="0"/>
      <w:r>
        <w:t xml:space="preserve">Neural </w:t>
      </w:r>
      <w:r w:rsidR="00AC23B2">
        <w:t>representations</w:t>
      </w:r>
      <w:r w:rsidR="00C1323A">
        <w:t xml:space="preserve"> of </w:t>
      </w:r>
      <w:bookmarkStart w:id="1" w:name="OLE_LINK5"/>
      <w:bookmarkStart w:id="2" w:name="OLE_LINK6"/>
      <w:bookmarkStart w:id="3" w:name="OLE_LINK7"/>
      <w:r w:rsidR="00C1323A">
        <w:t xml:space="preserve">aversive value encoding </w:t>
      </w:r>
      <w:r w:rsidR="0090124B">
        <w:t>in</w:t>
      </w:r>
      <w:r w:rsidR="007605EF">
        <w:t xml:space="preserve"> </w:t>
      </w:r>
      <w:r w:rsidR="00C1323A">
        <w:t>pain catastrophi</w:t>
      </w:r>
      <w:r w:rsidR="00940531">
        <w:t>z</w:t>
      </w:r>
      <w:bookmarkEnd w:id="1"/>
      <w:bookmarkEnd w:id="2"/>
      <w:bookmarkEnd w:id="3"/>
      <w:r w:rsidR="0090124B">
        <w:t>ers</w:t>
      </w:r>
    </w:p>
    <w:p w14:paraId="2CA9B62A" w14:textId="77777777" w:rsidR="00376DD4" w:rsidRPr="00376DD4" w:rsidRDefault="00376DD4" w:rsidP="00376DD4"/>
    <w:p w14:paraId="54D0A1A7" w14:textId="5E1F7E83" w:rsidR="004A71F9" w:rsidRDefault="004A71F9" w:rsidP="005B5DFF">
      <w:pPr>
        <w:spacing w:line="240" w:lineRule="auto"/>
        <w:rPr>
          <w:lang w:val="en-US"/>
        </w:rPr>
      </w:pPr>
      <w:r w:rsidRPr="007B331B">
        <w:rPr>
          <w:lang w:val="en-US"/>
        </w:rPr>
        <w:t>Christopher A</w:t>
      </w:r>
      <w:r>
        <w:rPr>
          <w:lang w:val="en-US"/>
        </w:rPr>
        <w:t>.</w:t>
      </w:r>
      <w:r w:rsidRPr="005C282F">
        <w:rPr>
          <w:lang w:val="en-US"/>
        </w:rPr>
        <w:t xml:space="preserve"> Brown </w:t>
      </w:r>
      <w:r>
        <w:rPr>
          <w:vertAlign w:val="superscript"/>
          <w:lang w:val="en-US"/>
        </w:rPr>
        <w:t>1</w:t>
      </w:r>
      <w:proofErr w:type="gramStart"/>
      <w:r>
        <w:rPr>
          <w:vertAlign w:val="superscript"/>
          <w:lang w:val="en-US"/>
        </w:rPr>
        <w:t>,4</w:t>
      </w:r>
      <w:proofErr w:type="gramEnd"/>
      <w:r>
        <w:rPr>
          <w:lang w:val="en-US"/>
        </w:rPr>
        <w:t xml:space="preserve">*, Abeer </w:t>
      </w:r>
      <w:r w:rsidR="00AC78C1">
        <w:rPr>
          <w:lang w:val="en-US"/>
        </w:rPr>
        <w:t xml:space="preserve">F. </w:t>
      </w:r>
      <w:r>
        <w:rPr>
          <w:lang w:val="en-US"/>
        </w:rPr>
        <w:t xml:space="preserve">Almarzouki </w:t>
      </w:r>
      <w:r>
        <w:rPr>
          <w:vertAlign w:val="superscript"/>
          <w:lang w:val="en-US"/>
        </w:rPr>
        <w:t>2</w:t>
      </w:r>
      <w:r>
        <w:rPr>
          <w:lang w:val="en-US"/>
        </w:rPr>
        <w:t>*, Richard J. Brown</w:t>
      </w:r>
      <w:r w:rsidR="006F44EA">
        <w:rPr>
          <w:lang w:val="en-US"/>
        </w:rPr>
        <w:t xml:space="preserve"> </w:t>
      </w:r>
      <w:r w:rsidR="006F44EA">
        <w:rPr>
          <w:vertAlign w:val="superscript"/>
          <w:lang w:val="en-US"/>
        </w:rPr>
        <w:t>3</w:t>
      </w:r>
      <w:r>
        <w:rPr>
          <w:lang w:val="en-US"/>
        </w:rPr>
        <w:t>, Anthony K. P. Jones</w:t>
      </w:r>
      <w:r w:rsidR="006F44EA">
        <w:rPr>
          <w:lang w:val="en-US"/>
        </w:rPr>
        <w:t xml:space="preserve"> </w:t>
      </w:r>
      <w:r w:rsidR="006F44EA">
        <w:rPr>
          <w:vertAlign w:val="superscript"/>
          <w:lang w:val="en-US"/>
        </w:rPr>
        <w:t>4</w:t>
      </w:r>
    </w:p>
    <w:p w14:paraId="45371B8B" w14:textId="2334B437" w:rsidR="004A71F9" w:rsidRPr="005B5DFF" w:rsidRDefault="004A71F9" w:rsidP="005B5DFF">
      <w:pPr>
        <w:spacing w:line="240" w:lineRule="auto"/>
      </w:pPr>
      <w:r w:rsidRPr="005B5DFF">
        <w:t>(</w:t>
      </w:r>
      <w:r w:rsidRPr="005B5DFF">
        <w:rPr>
          <w:lang w:val="en-US"/>
        </w:rPr>
        <w:t>* Joint first author)</w:t>
      </w:r>
    </w:p>
    <w:p w14:paraId="40E03001" w14:textId="5B96FCC3" w:rsidR="004A71F9" w:rsidRPr="005B5DFF" w:rsidRDefault="004A71F9" w:rsidP="005B5DFF">
      <w:pPr>
        <w:spacing w:line="240" w:lineRule="auto"/>
        <w:rPr>
          <w:lang w:val="en-US"/>
        </w:rPr>
      </w:pPr>
      <w:r w:rsidRPr="005B5DFF">
        <w:rPr>
          <w:vertAlign w:val="superscript"/>
          <w:lang w:val="en-US"/>
        </w:rPr>
        <w:t>1</w:t>
      </w:r>
      <w:r w:rsidRPr="005B5DFF">
        <w:rPr>
          <w:lang w:val="en-US"/>
        </w:rPr>
        <w:t xml:space="preserve"> </w:t>
      </w:r>
      <w:r w:rsidRPr="005B5DFF">
        <w:t>Department of Psychological Sciences, Faculty of Psychology, Health and Society, University of Liverpool, Liverpool</w:t>
      </w:r>
      <w:r w:rsidRPr="005B5DFF">
        <w:rPr>
          <w:lang w:val="en-US"/>
        </w:rPr>
        <w:t>, United Kingdom</w:t>
      </w:r>
      <w:r w:rsidRPr="005B5DFF">
        <w:t xml:space="preserve">. </w:t>
      </w:r>
    </w:p>
    <w:p w14:paraId="577FF6DC" w14:textId="15F088E6" w:rsidR="004A71F9" w:rsidRPr="005B5DFF" w:rsidRDefault="004A71F9" w:rsidP="005B5DFF">
      <w:pPr>
        <w:spacing w:line="240" w:lineRule="auto"/>
        <w:rPr>
          <w:lang w:val="en-US"/>
        </w:rPr>
      </w:pPr>
      <w:r w:rsidRPr="005B5DFF">
        <w:rPr>
          <w:vertAlign w:val="superscript"/>
          <w:lang w:val="en-US"/>
        </w:rPr>
        <w:t xml:space="preserve">2 </w:t>
      </w:r>
      <w:r w:rsidR="00AC78C1" w:rsidRPr="005B5DFF">
        <w:rPr>
          <w:lang w:val="en-US"/>
        </w:rPr>
        <w:t xml:space="preserve">Physiology Department, Faculty of Medicine, King </w:t>
      </w:r>
      <w:proofErr w:type="spellStart"/>
      <w:r w:rsidR="00AC78C1" w:rsidRPr="005B5DFF">
        <w:rPr>
          <w:lang w:val="en-US"/>
        </w:rPr>
        <w:t>Abdulaziz</w:t>
      </w:r>
      <w:proofErr w:type="spellEnd"/>
      <w:r w:rsidR="00AC78C1" w:rsidRPr="005B5DFF">
        <w:rPr>
          <w:lang w:val="en-US"/>
        </w:rPr>
        <w:t xml:space="preserve"> University, Jeddah, Saudi Arabia.</w:t>
      </w:r>
    </w:p>
    <w:p w14:paraId="632E37B4" w14:textId="55FB960C" w:rsidR="004A71F9" w:rsidRPr="005B5DFF" w:rsidRDefault="004A71F9" w:rsidP="005B5DFF">
      <w:pPr>
        <w:spacing w:line="240" w:lineRule="auto"/>
      </w:pPr>
      <w:r w:rsidRPr="005B5DFF">
        <w:rPr>
          <w:vertAlign w:val="superscript"/>
          <w:lang w:val="en-US"/>
        </w:rPr>
        <w:t xml:space="preserve">3 </w:t>
      </w:r>
      <w:r w:rsidR="00AC78C1" w:rsidRPr="005B5DFF">
        <w:rPr>
          <w:lang w:val="en-US"/>
        </w:rPr>
        <w:t>School of Psychological Sciences, University of Manchester, Manchester, United Kingdom</w:t>
      </w:r>
    </w:p>
    <w:p w14:paraId="7F1BCFCD" w14:textId="12151273" w:rsidR="004A71F9" w:rsidRDefault="004A71F9" w:rsidP="005B5DFF">
      <w:pPr>
        <w:spacing w:line="240" w:lineRule="auto"/>
      </w:pPr>
      <w:r w:rsidRPr="005B5DFF">
        <w:rPr>
          <w:vertAlign w:val="superscript"/>
          <w:lang w:val="en-US"/>
        </w:rPr>
        <w:t xml:space="preserve">4 </w:t>
      </w:r>
      <w:r w:rsidR="00AC78C1" w:rsidRPr="005B5DFF">
        <w:t>Human Pain Research Group, School of Biological Sciences, University of Manchester, Salford Royal NHS Foundation Trust, Salford, United Kingdom</w:t>
      </w:r>
    </w:p>
    <w:p w14:paraId="1262B4EC" w14:textId="77777777" w:rsidR="00642F94" w:rsidRPr="005B5DFF" w:rsidRDefault="00642F94" w:rsidP="005B5DFF">
      <w:pPr>
        <w:spacing w:line="240" w:lineRule="auto"/>
        <w:rPr>
          <w:b/>
          <w:lang w:val="en-US"/>
        </w:rPr>
      </w:pPr>
    </w:p>
    <w:p w14:paraId="45724B7E" w14:textId="77777777" w:rsidR="007512FC" w:rsidRPr="008D2B81" w:rsidRDefault="007512FC" w:rsidP="008D2B81">
      <w:pPr>
        <w:pStyle w:val="Subtitle"/>
      </w:pPr>
      <w:bookmarkStart w:id="4" w:name="OLE_LINK34"/>
      <w:r w:rsidRPr="00642F94">
        <w:t>Short title</w:t>
      </w:r>
    </w:p>
    <w:p w14:paraId="4CC6E8DB" w14:textId="77777777" w:rsidR="007512FC" w:rsidRDefault="007512FC" w:rsidP="007512FC">
      <w:pPr>
        <w:spacing w:line="480" w:lineRule="auto"/>
      </w:pPr>
      <w:r>
        <w:t>Aversive value encoding in pain catastrophizers</w:t>
      </w:r>
    </w:p>
    <w:p w14:paraId="05DFE95C" w14:textId="77777777" w:rsidR="007512FC" w:rsidRPr="008D2B81" w:rsidRDefault="007512FC" w:rsidP="008D2B81">
      <w:pPr>
        <w:pStyle w:val="Subtitle"/>
      </w:pPr>
      <w:r w:rsidRPr="008D2B81">
        <w:t>Keywords</w:t>
      </w:r>
    </w:p>
    <w:bookmarkEnd w:id="4"/>
    <w:p w14:paraId="7A08330E" w14:textId="77777777" w:rsidR="007512FC" w:rsidRDefault="007512FC" w:rsidP="007512FC">
      <w:pPr>
        <w:spacing w:line="480" w:lineRule="auto"/>
      </w:pPr>
      <w:r w:rsidRPr="005B5DFF">
        <w:t xml:space="preserve">Pain; Brain; EEG; Biomarker; Cognitive; Expectation; Catastrophize; Distress </w:t>
      </w:r>
    </w:p>
    <w:p w14:paraId="72E675ED" w14:textId="77777777" w:rsidR="007512FC" w:rsidRDefault="007512FC" w:rsidP="00604241">
      <w:pPr>
        <w:spacing w:line="480" w:lineRule="auto"/>
        <w:rPr>
          <w:rFonts w:asciiTheme="majorHAnsi" w:eastAsiaTheme="majorEastAsia" w:hAnsiTheme="majorHAnsi" w:cstheme="majorBidi"/>
          <w:b/>
          <w:bCs/>
          <w:caps/>
          <w:color w:val="002060"/>
          <w:spacing w:val="4"/>
          <w:sz w:val="28"/>
          <w:szCs w:val="28"/>
        </w:rPr>
      </w:pPr>
      <w:r>
        <w:br w:type="page"/>
      </w:r>
    </w:p>
    <w:p w14:paraId="355BA912" w14:textId="157CE193" w:rsidR="00C1323A" w:rsidRPr="005B5DFF" w:rsidRDefault="00C1323A" w:rsidP="008D2B81">
      <w:pPr>
        <w:pStyle w:val="Subtitle"/>
      </w:pPr>
      <w:r>
        <w:lastRenderedPageBreak/>
        <w:t>Abstract</w:t>
      </w:r>
    </w:p>
    <w:p w14:paraId="4A3B08BE" w14:textId="515C52CC" w:rsidR="00C1323A" w:rsidRPr="005B5DFF" w:rsidRDefault="00180C32" w:rsidP="007512FC">
      <w:pPr>
        <w:spacing w:line="480" w:lineRule="auto"/>
      </w:pPr>
      <w:bookmarkStart w:id="5" w:name="OLE_LINK150"/>
      <w:r w:rsidRPr="005B5DFF">
        <w:t>Chronic pain is exacerbated by maladaptive cognition</w:t>
      </w:r>
      <w:r w:rsidR="00C1323A" w:rsidRPr="005B5DFF">
        <w:t xml:space="preserve"> su</w:t>
      </w:r>
      <w:r w:rsidRPr="005B5DFF">
        <w:t xml:space="preserve">ch as pain </w:t>
      </w:r>
      <w:r w:rsidR="00940531" w:rsidRPr="005B5DFF">
        <w:t>catastrophiz</w:t>
      </w:r>
      <w:r w:rsidRPr="005B5DFF">
        <w:t xml:space="preserve">ing (PC). </w:t>
      </w:r>
      <w:r w:rsidR="00C1323A" w:rsidRPr="005B5DFF">
        <w:t xml:space="preserve">Biomarkers </w:t>
      </w:r>
      <w:r w:rsidR="00FB0817" w:rsidRPr="005B5DFF">
        <w:t>of</w:t>
      </w:r>
      <w:r w:rsidR="00C1323A" w:rsidRPr="005B5DFF">
        <w:t xml:space="preserve"> PC</w:t>
      </w:r>
      <w:r w:rsidR="00FB0817" w:rsidRPr="005B5DFF">
        <w:t xml:space="preserve"> mechanisms may aid precision medicine for chronic pain</w:t>
      </w:r>
      <w:r w:rsidR="00C1323A" w:rsidRPr="005B5DFF">
        <w:t>. Here, we investigate EEG biomarkers using mass univariate and multivariate (machine learning) approaches. We test theoretical notions that PC results from a combination of augmented aversive-value encoding (“magnification”) and persistent expectations of pain (“rumination”).</w:t>
      </w:r>
      <w:r w:rsidR="00940531" w:rsidRPr="005B5DFF">
        <w:t xml:space="preserve"> </w:t>
      </w:r>
      <w:r w:rsidR="001E7000" w:rsidRPr="005B5DFF">
        <w:t>H</w:t>
      </w:r>
      <w:r w:rsidR="00C1323A" w:rsidRPr="005B5DFF">
        <w:t xml:space="preserve">ealthy individuals </w:t>
      </w:r>
      <w:r w:rsidR="001E7000" w:rsidRPr="005B5DFF">
        <w:t>with high or low levels of PC underwent a</w:t>
      </w:r>
      <w:r w:rsidR="00C1323A" w:rsidRPr="005B5DFF">
        <w:t>n experimental pain model</w:t>
      </w:r>
      <w:r w:rsidR="001E7000" w:rsidRPr="005B5DFF">
        <w:t xml:space="preserve"> </w:t>
      </w:r>
      <w:r w:rsidR="00C1323A" w:rsidRPr="005B5DFF">
        <w:t>involv</w:t>
      </w:r>
      <w:r w:rsidR="001E7000" w:rsidRPr="005B5DFF">
        <w:t>ing</w:t>
      </w:r>
      <w:r w:rsidR="00C1323A" w:rsidRPr="005B5DFF">
        <w:t xml:space="preserve"> nociceptive laser stimuli preceded by cues </w:t>
      </w:r>
      <w:r w:rsidR="00A01613" w:rsidRPr="005B5DFF">
        <w:t xml:space="preserve">predicting </w:t>
      </w:r>
      <w:r w:rsidR="00C1323A" w:rsidRPr="005B5DFF">
        <w:t>forthcoming pain intensity. Anal</w:t>
      </w:r>
      <w:r w:rsidR="00AE45FB" w:rsidRPr="005B5DFF">
        <w:t xml:space="preserve">ysis of </w:t>
      </w:r>
      <w:r w:rsidR="001E7000" w:rsidRPr="005B5DFF">
        <w:t xml:space="preserve">EEG acquired during </w:t>
      </w:r>
      <w:r w:rsidR="00AE45FB" w:rsidRPr="005B5DFF">
        <w:t>the cue and laser</w:t>
      </w:r>
      <w:r w:rsidR="00C1323A" w:rsidRPr="005B5DFF">
        <w:t xml:space="preserve"> </w:t>
      </w:r>
      <w:r w:rsidR="001E7000" w:rsidRPr="005B5DFF">
        <w:t xml:space="preserve">stimulation provided </w:t>
      </w:r>
      <w:r w:rsidR="00C1323A" w:rsidRPr="005B5DFF">
        <w:t>event-related potentials (ERPs) identif</w:t>
      </w:r>
      <w:r w:rsidR="001E7000" w:rsidRPr="005B5DFF">
        <w:t>ying</w:t>
      </w:r>
      <w:r w:rsidR="00C1323A" w:rsidRPr="005B5DFF">
        <w:t xml:space="preserve"> spatially and temporally-extended neural representations associated with pain </w:t>
      </w:r>
      <w:r w:rsidR="00940531" w:rsidRPr="005B5DFF">
        <w:t>catastrophiz</w:t>
      </w:r>
      <w:r w:rsidR="00C1323A" w:rsidRPr="005B5DFF">
        <w:t>ing.</w:t>
      </w:r>
      <w:r w:rsidR="004A5BD0" w:rsidRPr="005B5DFF">
        <w:t xml:space="preserve"> </w:t>
      </w:r>
      <w:r w:rsidR="001E7000" w:rsidRPr="005B5DFF">
        <w:t>Specifically, d</w:t>
      </w:r>
      <w:r w:rsidR="00C1323A" w:rsidRPr="005B5DFF">
        <w:t>ifferential neural responses to cues predicting high vs. low intensity pain (i.e. aversive value encoding) were larger in the high PC group,</w:t>
      </w:r>
      <w:r w:rsidR="004C206F" w:rsidRPr="005B5DFF">
        <w:t xml:space="preserve"> largely</w:t>
      </w:r>
      <w:r w:rsidR="00C1323A" w:rsidRPr="005B5DFF">
        <w:t xml:space="preserve"> originating from </w:t>
      </w:r>
      <w:r w:rsidR="004C206F" w:rsidRPr="005B5DFF">
        <w:t xml:space="preserve">mid-cingulate and superior </w:t>
      </w:r>
      <w:r w:rsidR="00C1323A" w:rsidRPr="005B5DFF">
        <w:t xml:space="preserve">parietal cortex. Multivariate spatiotemporal </w:t>
      </w:r>
      <w:r w:rsidR="003A3ECB" w:rsidRPr="005B5DFF">
        <w:t xml:space="preserve">EEG </w:t>
      </w:r>
      <w:r w:rsidR="00C1323A" w:rsidRPr="005B5DFF">
        <w:t xml:space="preserve">patterns </w:t>
      </w:r>
      <w:r w:rsidR="003A3ECB" w:rsidRPr="005B5DFF">
        <w:t xml:space="preserve">evoked from </w:t>
      </w:r>
      <w:r w:rsidR="00C1323A" w:rsidRPr="005B5DFF">
        <w:t>cue</w:t>
      </w:r>
      <w:r w:rsidR="003A3ECB" w:rsidRPr="005B5DFF">
        <w:t>s</w:t>
      </w:r>
      <w:r w:rsidR="00C1323A" w:rsidRPr="005B5DFF">
        <w:t xml:space="preserve"> </w:t>
      </w:r>
      <w:r w:rsidR="003A3ECB" w:rsidRPr="005B5DFF">
        <w:t xml:space="preserve">with high aversive value </w:t>
      </w:r>
      <w:r w:rsidR="001E7000" w:rsidRPr="005B5DFF">
        <w:t xml:space="preserve">selectively and </w:t>
      </w:r>
      <w:r w:rsidR="003A3ECB" w:rsidRPr="005B5DFF">
        <w:t xml:space="preserve">significantly </w:t>
      </w:r>
      <w:r w:rsidR="00C1323A" w:rsidRPr="005B5DFF">
        <w:t xml:space="preserve">differentiated the high PC from low PC group </w:t>
      </w:r>
      <w:r w:rsidR="003A3ECB" w:rsidRPr="005B5DFF">
        <w:t>(</w:t>
      </w:r>
      <w:r w:rsidR="00AE45FB" w:rsidRPr="005B5DFF">
        <w:t>64</w:t>
      </w:r>
      <w:r w:rsidR="003A3ECB" w:rsidRPr="005B5DFF">
        <w:t>.6</w:t>
      </w:r>
      <w:r w:rsidR="00AE45FB" w:rsidRPr="005B5DFF">
        <w:t>% classification accuracy</w:t>
      </w:r>
      <w:r w:rsidR="003A3ECB" w:rsidRPr="005B5DFF">
        <w:t>)</w:t>
      </w:r>
      <w:r w:rsidR="00C1323A" w:rsidRPr="005B5DFF">
        <w:t xml:space="preserve">. </w:t>
      </w:r>
      <w:r w:rsidR="004C206F" w:rsidRPr="005B5DFF">
        <w:t xml:space="preserve">Regression analyses revealed that </w:t>
      </w:r>
      <w:r w:rsidR="00137C8C" w:rsidRPr="005B5DFF">
        <w:t>neural</w:t>
      </w:r>
      <w:r w:rsidR="00AE45FB" w:rsidRPr="005B5DFF">
        <w:t xml:space="preserve"> patterns classifying groups </w:t>
      </w:r>
      <w:r w:rsidR="004C206F" w:rsidRPr="005B5DFF">
        <w:t>could be partially predicted (</w:t>
      </w:r>
      <w:r w:rsidR="00137C8C" w:rsidRPr="005B5DFF">
        <w:t>R</w:t>
      </w:r>
      <w:r w:rsidR="00137C8C" w:rsidRPr="005B5DFF">
        <w:rPr>
          <w:vertAlign w:val="superscript"/>
        </w:rPr>
        <w:t>2</w:t>
      </w:r>
      <w:r w:rsidR="00137C8C" w:rsidRPr="005B5DFF">
        <w:t xml:space="preserve"> = </w:t>
      </w:r>
      <w:r w:rsidR="004C206F" w:rsidRPr="005B5DFF">
        <w:t>28%) from</w:t>
      </w:r>
      <w:r w:rsidR="00C1323A" w:rsidRPr="005B5DFF">
        <w:t xml:space="preserve"> those</w:t>
      </w:r>
      <w:r w:rsidR="00137C8C" w:rsidRPr="005B5DFF">
        <w:t xml:space="preserve"> neural patterns</w:t>
      </w:r>
      <w:r w:rsidR="00C1323A" w:rsidRPr="005B5DFF">
        <w:t xml:space="preserve"> classify</w:t>
      </w:r>
      <w:r w:rsidR="004C206F" w:rsidRPr="005B5DFF">
        <w:t>ing the aversive value</w:t>
      </w:r>
      <w:r w:rsidR="00AE45FB" w:rsidRPr="005B5DFF">
        <w:t xml:space="preserve"> of cues. </w:t>
      </w:r>
      <w:r w:rsidR="004A5BD0" w:rsidRPr="005B5DFF">
        <w:t xml:space="preserve">In contrast, behavioural and EEG analyses did not provide evidence that PC modifies </w:t>
      </w:r>
      <w:r w:rsidR="00A01613" w:rsidRPr="005B5DFF">
        <w:t>more persistent</w:t>
      </w:r>
      <w:r w:rsidR="004A5BD0" w:rsidRPr="005B5DFF">
        <w:t xml:space="preserve"> effects of prior e</w:t>
      </w:r>
      <w:r w:rsidR="00A01613" w:rsidRPr="005B5DFF">
        <w:t>xpectation on pain perception and nociceptive responses</w:t>
      </w:r>
      <w:r w:rsidR="00940531" w:rsidRPr="005B5DFF">
        <w:t xml:space="preserve">. </w:t>
      </w:r>
      <w:r w:rsidR="001E7000" w:rsidRPr="005B5DFF">
        <w:t xml:space="preserve">These findings support the hypothesis of magnification of aversive value encoding </w:t>
      </w:r>
      <w:r w:rsidR="00A01613" w:rsidRPr="005B5DFF">
        <w:t xml:space="preserve">but not persistent expression of expectation </w:t>
      </w:r>
      <w:r w:rsidR="001E7000" w:rsidRPr="005B5DFF">
        <w:t xml:space="preserve">in pain </w:t>
      </w:r>
      <w:r w:rsidR="00940531" w:rsidRPr="005B5DFF">
        <w:t>catastrophiz</w:t>
      </w:r>
      <w:r w:rsidR="001E7000" w:rsidRPr="005B5DFF">
        <w:t xml:space="preserve">ers. </w:t>
      </w:r>
      <w:r w:rsidR="004A5BD0" w:rsidRPr="005B5DFF">
        <w:t>M</w:t>
      </w:r>
      <w:r w:rsidR="00C1323A" w:rsidRPr="005B5DFF">
        <w:t xml:space="preserve">ultivariate patterns of aversive value encoding </w:t>
      </w:r>
      <w:r w:rsidR="004C206F" w:rsidRPr="005B5DFF">
        <w:t>provide promising</w:t>
      </w:r>
      <w:r w:rsidR="00C1323A" w:rsidRPr="005B5DFF">
        <w:t xml:space="preserve"> biomarkers of</w:t>
      </w:r>
      <w:r w:rsidR="00137C8C" w:rsidRPr="005B5DFF">
        <w:t xml:space="preserve"> maladaptive cognitive responses to</w:t>
      </w:r>
      <w:r w:rsidR="00C1323A" w:rsidRPr="005B5DFF">
        <w:t xml:space="preserve"> chronic pain</w:t>
      </w:r>
      <w:r w:rsidR="00047639">
        <w:t xml:space="preserve"> that have future potential for psychological treatment development and clinical stratification</w:t>
      </w:r>
      <w:r w:rsidR="00C1323A" w:rsidRPr="005B5DFF">
        <w:t>.</w:t>
      </w:r>
    </w:p>
    <w:bookmarkEnd w:id="5"/>
    <w:p w14:paraId="55CB3791" w14:textId="77777777" w:rsidR="00C1323A" w:rsidRDefault="00C1323A" w:rsidP="007512FC">
      <w:pPr>
        <w:spacing w:line="480" w:lineRule="auto"/>
        <w:rPr>
          <w:rFonts w:asciiTheme="majorHAnsi" w:eastAsiaTheme="majorEastAsia" w:hAnsiTheme="majorHAnsi" w:cstheme="majorBidi"/>
          <w:color w:val="2E74B5" w:themeColor="accent1" w:themeShade="BF"/>
          <w:sz w:val="32"/>
          <w:szCs w:val="32"/>
        </w:rPr>
      </w:pPr>
      <w:r>
        <w:br w:type="page"/>
      </w:r>
    </w:p>
    <w:p w14:paraId="701F87A5" w14:textId="77777777" w:rsidR="00C1323A" w:rsidRDefault="00C1323A" w:rsidP="007512FC">
      <w:pPr>
        <w:pStyle w:val="Heading1"/>
        <w:spacing w:line="480" w:lineRule="auto"/>
      </w:pPr>
      <w:r>
        <w:lastRenderedPageBreak/>
        <w:t>Introduction</w:t>
      </w:r>
    </w:p>
    <w:p w14:paraId="09547CD0" w14:textId="233AB161" w:rsidR="007A1091" w:rsidRDefault="00C1323A" w:rsidP="007512FC">
      <w:pPr>
        <w:spacing w:line="480" w:lineRule="auto"/>
      </w:pPr>
      <w:r>
        <w:t xml:space="preserve">Across a range of physical health conditions, </w:t>
      </w:r>
      <w:r w:rsidR="00137C8C">
        <w:t>cognitive factors</w:t>
      </w:r>
      <w:r>
        <w:t xml:space="preserve"> are known to impact on outcomes</w:t>
      </w:r>
      <w:r w:rsidR="002267D1">
        <w:t xml:space="preserve"> </w:t>
      </w:r>
      <w:r w:rsidR="002267D1">
        <w:fldChar w:fldCharType="begin" w:fldLock="1"/>
      </w:r>
      <w:r w:rsidR="00DA76DD">
        <w:instrText>ADDIN CSL_CITATION { "citationItems" : [ { "id" : "ITEM-1", "itemData" : { "DOI" : "10.1037/bul0000036", "ISBN" : "2010231244", "ISSN" : "00332909", "PMID" : "26689087", "abstract" : "Rumination about the past and worries about the future (perseverative cognition) are extremely common, although pervasive and distressing, dysfunctional cognitive processes. Perseverative cognition is not only implicated in psychological health, contributing to mood worsening and psychopathology but, due to its ability to elicit prolonged physiological activity, is also considered to play a role in somatic health. Although there is emerging evidence that such negative and persistent thoughts have consequences on the body, this association has not yet been quantified. The aim of this study was to meta-analyze available studies on the physiological concomitants of perseverative cognition in healthy subjects. Separate meta-analyses were performed on each examined physiological parameter. Sixty studies were eligible for the analyses. Associations emerged between perseverative cognition and higher systolic blood pressure (SBP) (g = .45) and diastolic blood pressure (DBP) (g = .51) in experimental studies, and higher heart rate (HR) (g = .28 and g = .20) and cortisol (g = .36 and g = .32), and lower heart rate variability (HRV) (g = .15 and g = .27) in experimental and correlational studies, respectively. Significant moderators were sex, ethnicity, type of induction used to elicit perseverative cognition, assessment of state versus trait perseverative cognition, focus on worry or rumination, duration of physiological assessment, and quality of the studies. With the exception of blood pressure, results were not influenced by publication bias. Results show that perseverative cognition affects cardiovascular, autonomic, and endocrine nervous system activity, suggesting a pathogenic pathway to long-term disease outcomes and clarifying the still unexplained relationship between chronic stress and health vulnerability. (PsycINFO Database Record", "author" : [ { "dropping-particle" : "", "family" : "Ottaviani", "given" : "Cristina", "non-dropping-particle" : "", "parse-names" : false, "suffix" : "" }, { "dropping-particle" : "", "family" : "Thayer", "given" : "Julian F.", "non-dropping-particle" : "", "parse-names" : false, "suffix" : "" }, { "dropping-particle" : "", "family" : "Verkuil", "given" : "Bart", "non-dropping-particle" : "", "parse-names" : false, "suffix" : "" }, { "dropping-particle" : "", "family" : "Lonigro", "given" : "Antonia", "non-dropping-particle" : "", "parse-names" : false, "suffix" : "" }, { "dropping-particle" : "", "family" : "Medea", "given" : "Barbara", "non-dropping-particle" : "", "parse-names" : false, "suffix" : "" }, { "dropping-particle" : "", "family" : "Couyoumdjian", "given" : "Alessandro", "non-dropping-particle" : "", "parse-names" : false, "suffix" : "" }, { "dropping-particle" : "", "family" : "Brosschot", "given" : "Jos F.", "non-dropping-particle" : "", "parse-names" : false, "suffix" : "" } ], "container-title" : "Psychological Bulletin", "id" : "ITEM-1", "issue" : "3", "issued" : { "date-parts" : [ [ "2016" ] ] }, "page" : "231-259", "title" : "Physiological concomitants of perseverative cognition: A systematic review and meta-analysis", "type" : "article-journal", "volume" : "142" }, "uris" : [ "http://www.mendeley.com/documents/?uuid=bcacd871-c48f-463e-a03c-a0d068ac3c13" ] }, { "id" : "ITEM-2", "itemData" : { "DOI" : "10.1016/j.jpsychores.2016.11.004", "ISSN" : "18791360", "PMID" : "27894469", "abstract" : "Objective Depression is common in people with long term conditions, and is associated with worse medical outcomes. Previous research shows perseverative negative thinking (e.g. worry, rumination) predicts subsequent depression and worse medical outcomes, suggesting interventions targeting perseverative negative thinking could improve depression and medical outcomes. Previous studies recruited healthy individuals, however. This review aimed to determine the temporal relationship and strength of prospective association of perseverative negative thinking with depression, anxiety and emotional distress in people with long term conditions. Method Four electronic databases were searched for studies including standardised measures of perseverative negative thinking and depression, anxiety or emotional distress, and which presented prospective associations. Findings were narratively synthesized. Results Thirty studies were identified in a range of long term conditions. Perseverative negative thinking and subsequent depression, anxiety or emotional distress were significantly correlated in the majority of studies (bivariate r = 0.23 to r = 0.73). 25 studies controlled for confounders, and in 15 perseverative negative thinking predicted subsequent depression, anxiety or emotional distress. Results varied according to condition and study quality. Six of 7 studies found bivariate associations between depression, anxiety or emotional distress and subsequent perseverative negative thinking, though 2 studies controlling for key covariates found no association. Few studies assessed the impact of perseverative negative thinking on medical outcomes. Conclusion Strongest evidence supported perseverative negative thinking predicting subsequent depression, anxiety and emotional distress in people with long term conditions. Further prospective research is warranted to clarify the association of perseverative negative thinking with subsequent poor medical outcomes.", "author" : [ { "dropping-particle" : "", "family" : "Trick", "given" : "Leanne", "non-dropping-particle" : "", "parse-names" : false, "suffix" : "" }, { "dropping-particle" : "", "family" : "Watkins", "given" : "Edward", "non-dropping-particle" : "", "parse-names" : false, "suffix" : "" }, { "dropping-particle" : "", "family" : "Windeatt", "given" : "Stacey", "non-dropping-particle" : "", "parse-names" : false, "suffix" : "" }, { "dropping-particle" : "", "family" : "Dickens", "given" : "Chris", "non-dropping-particle" : "", "parse-names" : false, "suffix" : "" } ], "container-title" : "Journal of Psychosomatic Research", "id" : "ITEM-2", "issued" : { "date-parts" : [ [ "2016" ] ] }, "page" : "89-101", "title" : "The association of perseverative negative thinking with depression, anxiety and emotional distress in people with long term conditions: A systematic review", "type" : "article-journal", "volume" : "91" }, "uris" : [ "http://www.mendeley.com/documents/?uuid=3ce26d15-47c3-433c-ae1f-359d0a1d52f8" ] }, { "id" : "ITEM-3", "itemData" : { "author" : [ { "dropping-particle" : "", "family" : "Edwards", "given" : "R R", "non-dropping-particle" : "", "parse-names" : false, "suffix" : "" }, { "dropping-particle" : "", "family" : "Calahan", "given" : "C", "non-dropping-particle" : "", "parse-names" : false, "suffix" : "" }, { "dropping-particle" : "", "family" : "Mensing", "given" : "G", "non-dropping-particle" : "", "parse-names" : false, "suffix" : "" }, { "dropping-particle" : "", "family" : "Smith", "given" : "M", "non-dropping-particle" : "", "parse-names" : false, "suffix" : "" }, { "dropping-particle" : "", "family" : "Haythornthwaite", "given" : "J A", "non-dropping-particle" : "", "parse-names" : false, "suffix" : "" } ], "container-title" : "Nature Reviews Rheumatology", "id" : "ITEM-3", "issue" : "4", "issued" : { "date-parts" : [ [ "2011" ] ] }, "note" : "Cited By (since 1996): 8&lt;m:linebreak&gt;&lt;/m:linebreak&gt;Export Date: 18 May 2012&lt;m:linebreak&gt;&lt;/m:linebreak&gt;Source: Scopus", "page" : "216-224", "title" : "Pain, catastrophizing, and depression in the rheumatic diseases", "type" : "article-journal", "volume" : "7" }, "uris" : [ "http://www.mendeley.com/documents/?uuid=258ef085-717f-45fc-b381-91cbcc2617de" ] } ], "mendeley" : { "formattedCitation" : "(Edwards et al., 2011; Ottaviani et al., 2016; Trick et al., 2016)", "plainTextFormattedCitation" : "(Edwards et al., 2011; Ottaviani et al., 2016; Trick et al., 2016)", "previouslyFormattedCitation" : "(Edwards et al., 2011; Ottaviani et al., 2016; Trick et al., 2016)" }, "properties" : {  }, "schema" : "https://github.com/citation-style-language/schema/raw/master/csl-citation.json" }</w:instrText>
      </w:r>
      <w:r w:rsidR="002267D1">
        <w:fldChar w:fldCharType="separate"/>
      </w:r>
      <w:r w:rsidR="005B5DFF" w:rsidRPr="005B5DFF">
        <w:rPr>
          <w:noProof/>
        </w:rPr>
        <w:t>(Edwards et al., 2011; Ottaviani et al., 2016; Trick et al., 2016)</w:t>
      </w:r>
      <w:r w:rsidR="002267D1">
        <w:fldChar w:fldCharType="end"/>
      </w:r>
      <w:r>
        <w:t xml:space="preserve">. </w:t>
      </w:r>
      <w:r w:rsidR="00247A3F">
        <w:t xml:space="preserve">While there has been substantial interest in identifying biomarkers that </w:t>
      </w:r>
      <w:r w:rsidR="00AA3C88">
        <w:t xml:space="preserve">increase </w:t>
      </w:r>
      <w:r w:rsidR="00185BA8">
        <w:t xml:space="preserve">the </w:t>
      </w:r>
      <w:r w:rsidR="00AA3C88">
        <w:t xml:space="preserve">precision </w:t>
      </w:r>
      <w:r w:rsidR="00185BA8">
        <w:t>of</w:t>
      </w:r>
      <w:r w:rsidR="00350B34">
        <w:t xml:space="preserve"> psychiatric </w:t>
      </w:r>
      <w:r w:rsidR="00350B34" w:rsidRPr="008210F5">
        <w:t xml:space="preserve">classification </w:t>
      </w:r>
      <w:r w:rsidR="00350B34">
        <w:t>a</w:t>
      </w:r>
      <w:r w:rsidR="00247A3F">
        <w:t>nd predict outcome</w:t>
      </w:r>
      <w:r w:rsidR="00AA3C88">
        <w:t>s in</w:t>
      </w:r>
      <w:r w:rsidR="00247A3F">
        <w:t xml:space="preserve"> mental health disorders </w:t>
      </w:r>
      <w:r w:rsidR="00247A3F">
        <w:fldChar w:fldCharType="begin" w:fldLock="1"/>
      </w:r>
      <w:r w:rsidR="00DA76DD">
        <w:instrText>ADDIN CSL_CITATION { "citationItems" : [ { "id" : "ITEM-1", "itemData" : { "DOI" : "10.1038/460202a", "ISBN" : "0028-0836", "ISSN" : "00280836", "PMID" : "19587761", "abstract" : "The use of biomarkers to predict human behaviour and psychiatric disorders raises social and ethical issues, which must be resolved by collaborative efforts.", "author" : [ { "dropping-particle" : "", "family" : "Singh", "given" : "Ilina", "non-dropping-particle" : "", "parse-names" : false, "suffix" : "" }, { "dropping-particle" : "", "family" : "Rose", "given" : "Nikolas", "non-dropping-particle" : "", "parse-names" : false, "suffix" : "" } ], "container-title" : "Nature", "id" : "ITEM-1", "issue" : "7252", "issued" : { "date-parts" : [ [ "2009" ] ] }, "page" : "202-207", "title" : "Biomarkers in psychiatry", "type" : "article", "volume" : "460" }, "uris" : [ "http://www.mendeley.com/documents/?uuid=5a7c9d42-8fb1-4394-987f-f007c39c14d5" ] } ], "mendeley" : { "formattedCitation" : "(Singh and Rose, 2009)", "plainTextFormattedCitation" : "(Singh and Rose, 2009)", "previouslyFormattedCitation" : "(Singh and Rose, 2009)" }, "properties" : {  }, "schema" : "https://github.com/citation-style-language/schema/raw/master/csl-citation.json" }</w:instrText>
      </w:r>
      <w:r w:rsidR="00247A3F">
        <w:fldChar w:fldCharType="separate"/>
      </w:r>
      <w:r w:rsidR="005B5DFF" w:rsidRPr="005B5DFF">
        <w:rPr>
          <w:noProof/>
        </w:rPr>
        <w:t>(Singh and Rose, 2009)</w:t>
      </w:r>
      <w:r w:rsidR="00247A3F">
        <w:fldChar w:fldCharType="end"/>
      </w:r>
      <w:r w:rsidR="00AA3C88">
        <w:t>,</w:t>
      </w:r>
      <w:r w:rsidR="00247A3F">
        <w:t xml:space="preserve"> </w:t>
      </w:r>
      <w:bookmarkStart w:id="6" w:name="OLE_LINK75"/>
      <w:bookmarkStart w:id="7" w:name="OLE_LINK76"/>
      <w:bookmarkStart w:id="8" w:name="OLE_LINK77"/>
      <w:r w:rsidR="00AA3C88">
        <w:t xml:space="preserve">more research is needed into </w:t>
      </w:r>
      <w:r w:rsidR="00247A3F">
        <w:t>biomarkers of cognitive risk factors for physical health conditions</w:t>
      </w:r>
      <w:bookmarkEnd w:id="6"/>
      <w:bookmarkEnd w:id="7"/>
      <w:bookmarkEnd w:id="8"/>
      <w:r w:rsidR="00AA3C88">
        <w:t xml:space="preserve">. </w:t>
      </w:r>
      <w:r w:rsidR="007A1091">
        <w:t>For example, chronic</w:t>
      </w:r>
      <w:r w:rsidR="003E22CC">
        <w:t xml:space="preserve"> pain</w:t>
      </w:r>
      <w:r w:rsidR="007A1091">
        <w:t xml:space="preserve"> is</w:t>
      </w:r>
      <w:r w:rsidR="00D52AD2">
        <w:t xml:space="preserve"> </w:t>
      </w:r>
      <w:r w:rsidR="00D52AD2" w:rsidRPr="00D52AD2">
        <w:t>high</w:t>
      </w:r>
      <w:r w:rsidR="007A1091">
        <w:t>ly</w:t>
      </w:r>
      <w:r w:rsidR="00F35687">
        <w:t xml:space="preserve"> prevalen</w:t>
      </w:r>
      <w:r w:rsidR="007A1091">
        <w:t>t</w:t>
      </w:r>
      <w:r w:rsidR="00D52AD2" w:rsidRPr="00D52AD2">
        <w:t xml:space="preserve"> in the population</w:t>
      </w:r>
      <w:r w:rsidR="00F35687">
        <w:t>,</w:t>
      </w:r>
      <w:r w:rsidR="0076676A">
        <w:t xml:space="preserve"> </w:t>
      </w:r>
      <w:r w:rsidR="00F35687">
        <w:t xml:space="preserve">estimated to be from </w:t>
      </w:r>
      <w:r w:rsidR="0076676A">
        <w:t>19% to 50% depending on survey methods</w:t>
      </w:r>
      <w:r w:rsidR="00F35687">
        <w:t xml:space="preserve"> and</w:t>
      </w:r>
      <w:r w:rsidR="0076676A">
        <w:t xml:space="preserve"> definitions of severity </w:t>
      </w:r>
      <w:r w:rsidR="0076676A">
        <w:fldChar w:fldCharType="begin" w:fldLock="1"/>
      </w:r>
      <w:r w:rsidR="00DA76DD">
        <w:instrText>ADDIN CSL_CITATION { "citationItems" : [ { "id" : "ITEM-1", "itemData" : { "DOI" : "10.1093/acprof:oso/9780199235766.001.0001", "ISBN" : "978-0-19-923576-6", "author" : [ { "dropping-particle" : "", "family" : "Croft", "given" : "P;", "non-dropping-particle" : "", "parse-names" : false, "suffix" : "" }, { "dropping-particle" : "", "family" : "Blyth", "given" : "F", "non-dropping-particle" : "", "parse-names" : false, "suffix" : "" }, { "dropping-particle" : "", "family" : "Windt", "given" : "D", "non-dropping-particle" : "van der", "parse-names" : false, "suffix" : "" } ], "container-title" : "Chronic Pain Epidemiology: from aetiology to public health", "editor" : [ { "dropping-particle" : "", "family" : "Croft", "given" : "P.", "non-dropping-particle" : "", "parse-names" : false, "suffix" : "" }, { "dropping-particle" : "", "family" : "Blyth", "given" : "F", "non-dropping-particle" : "", "parse-names" : false, "suffix" : "" }, { "dropping-particle" : "", "family" : "Windt", "given" : "D", "non-dropping-particle" : "van der", "parse-names" : false, "suffix" : "" } ], "id" : "ITEM-1", "issued" : { "date-parts" : [ [ "2010" ] ] }, "page" : "9-18", "publisher" : "Oxford University Press", "title" : "The global occurence of chronic pain: an introduction", "type" : "chapter" }, "uris" : [ "http://www.mendeley.com/documents/?uuid=e09cab21-094a-4f7c-9639-2b07da2dc6d5", "http://www.mendeley.com/documents/?uuid=e23c495c-25de-45e6-b94b-d339e50cefd6" ] } ], "mendeley" : { "formattedCitation" : "(Croft et al., 2010)", "plainTextFormattedCitation" : "(Croft et al., 2010)", "previouslyFormattedCitation" : "(Croft et al., 2010)" }, "properties" : {  }, "schema" : "https://github.com/citation-style-language/schema/raw/master/csl-citation.json" }</w:instrText>
      </w:r>
      <w:r w:rsidR="0076676A">
        <w:fldChar w:fldCharType="separate"/>
      </w:r>
      <w:r w:rsidR="0076676A" w:rsidRPr="00B47919">
        <w:rPr>
          <w:noProof/>
        </w:rPr>
        <w:t>(Croft et al., 2010)</w:t>
      </w:r>
      <w:r w:rsidR="0076676A">
        <w:fldChar w:fldCharType="end"/>
      </w:r>
      <w:r w:rsidR="003E22CC">
        <w:t xml:space="preserve">. However, </w:t>
      </w:r>
      <w:r w:rsidR="00D52AD2" w:rsidRPr="00D52AD2">
        <w:t>treatments</w:t>
      </w:r>
      <w:r w:rsidR="003E22CC">
        <w:t xml:space="preserve"> for chronic pain</w:t>
      </w:r>
      <w:r w:rsidR="00D52AD2" w:rsidRPr="00D52AD2">
        <w:t xml:space="preserve"> </w:t>
      </w:r>
      <w:r w:rsidR="003E22CC">
        <w:t>are</w:t>
      </w:r>
      <w:r w:rsidR="00D52AD2" w:rsidRPr="00D52AD2">
        <w:t xml:space="preserve"> poorly targeted to underlying mechanisms</w:t>
      </w:r>
      <w:r w:rsidR="007A1091">
        <w:t xml:space="preserve"> </w:t>
      </w:r>
      <w:r w:rsidR="007A1091">
        <w:fldChar w:fldCharType="begin" w:fldLock="1"/>
      </w:r>
      <w:r w:rsidR="00DA76DD">
        <w:instrText>ADDIN CSL_CITATION { "citationItems" : [ { "id" : "ITEM-1", "itemData" : { "DOI" : "10.1111/bph.13840", "ISSN" : "14765381", "PMID" : "28449262", "abstract" : "Chronic pain is a major global healthcare problem that is currently inadequately treated. In addition, the current use of opioids for treatment has reached far beyond the paucity of evidence for long-term benefits relative to risks. Benefit-risk models for opioid and non-opioid treatments would benefit from a rational, mechanism-based understanding of neuroplastic and neurochemical contributions to chronic pain. Here, we evaluate the findings and limitations of representative research investigating brain neuroplasticity and neurochemistry in chronic pain. In sum, the mechanisms of pain-related neuroplasticity in the brain remain poorly understood because neuroimaging studies have been largely descriptive. We argue that definition is needed of optimal (pain-resilient) and suboptimal (pain-vulnerable) functioning of the endogenous opioid system in order to identify neurochemical contributions to aberrant neuroplasticity in chronic pain. We outline the potential benefits of computational approaches that utilize evolutionary and statistical optimality principles, illustrating this approach with mechanistic hypotheses on opioid function. In particular, we discuss the role of predictive mechanisms in perceptual and associative plasticity and evidence for their modulation by endogenous opioids. Future research should attempt to utilize formal computational models to provide evidence for the clinical validity of this approach, thereby providing a rational basis for future treatment and, ideally, prevention.", "author" : [ { "dropping-particle" : "", "family" : "Jones", "given" : "Anthony Kenneth Peter", "non-dropping-particle" : "", "parse-names" : false, "suffix" : "" }, { "dropping-particle" : "", "family" : "Brown", "given" : "Christopher Andrew", "non-dropping-particle" : "", "parse-names" : false, "suffix" : "" } ], "container-title" : "British Journal of Pharmacology", "id" : "ITEM-1", "issued" : { "date-parts" : [ [ "2017" ] ] }, "title" : "Predictive mechanisms linking brain opioids to chronic pain vulnerability and resilience", "type" : "article-newspaper" }, "uris" : [ "http://www.mendeley.com/documents/?uuid=9cf80fb3-3c71-4833-af5d-07ba8e1715ad" ] } ], "mendeley" : { "formattedCitation" : "(Jones and Brown, 2017)", "plainTextFormattedCitation" : "(Jones and Brown, 2017)", "previouslyFormattedCitation" : "(Jones and Brown, 2017)" }, "properties" : {  }, "schema" : "https://github.com/citation-style-language/schema/raw/master/csl-citation.json" }</w:instrText>
      </w:r>
      <w:r w:rsidR="007A1091">
        <w:fldChar w:fldCharType="separate"/>
      </w:r>
      <w:r w:rsidR="007A1091" w:rsidRPr="00F35687">
        <w:rPr>
          <w:noProof/>
        </w:rPr>
        <w:t>(Jones and Brown, 2017)</w:t>
      </w:r>
      <w:r w:rsidR="007A1091">
        <w:fldChar w:fldCharType="end"/>
      </w:r>
      <w:r w:rsidR="003E22CC">
        <w:t>,</w:t>
      </w:r>
      <w:r w:rsidR="007A1091">
        <w:t xml:space="preserve"> partly due to a lack of viable biomarkers. Suggested biomarkers have ranged from salivary cortisol</w:t>
      </w:r>
      <w:r w:rsidR="002C67C4">
        <w:t xml:space="preserve"> </w:t>
      </w:r>
      <w:r w:rsidR="002C67C4">
        <w:fldChar w:fldCharType="begin" w:fldLock="1"/>
      </w:r>
      <w:r w:rsidR="00DA76DD">
        <w:instrText>ADDIN CSL_CITATION { "citationItems" : [ { "id" : "ITEM-1", "itemData" : { "DOI" : "10.1016/J.PSYNEUEN.2018.01.001", "ISSN" : "0306-4530", "abstract" : "Endometriosis is a chronic estrogen-dependent disease in which pelvic pain is the dominant symptom. The negative effects of endometriosis on the life of women with this disease can be a cause of stress. Stress levels can be measured in different ways, mostly reflecting acute stress responses. Hair cortisol measurements are a reflection of long-term systematic cortisol levels. In this study a first attempt is made to measure cortisol levels in hair of endometriosis patients in comparison with healthy controls. Moreover, it is explored whether chronic pain symptoms as well as different aspects of Health Related Quality of Life (HRQoL) are associated with hair cortisol levels in women with endometriosis. Results show that the mean hair cortisol level is significantly higher in women with endometriosis compared to healthy controls (p\u202f=\u202f0.018). There is a positive correlation between hair cortisol level and HRQoL in patients but not in controls (Rho 0.426). The level of hair cortisol does not correlate with the reported pain intensity in patients (Rho \u22120.082). These results are indicative of an altered HPA-axis function in endometriosis patients, possibly caused by higher chronic stress level in these patients. Moreover, a potential explanation for the positive correlation of cortisol with the HRQoL in these patients is that patients with a high HRQoL have an adequate stress response by increasing their cortisol levels as a response to physical and emotional stress induced by the endometriosis.", "author" : [ { "dropping-particle" : "", "family" : "Aken", "given" : "Mieke", "non-dropping-particle" : "van", "parse-names" : false, "suffix" : "" }, { "dropping-particle" : "", "family" : "Oosterman", "given" : "Joukje", "non-dropping-particle" : "", "parse-names" : false, "suffix" : "" }, { "dropping-particle" : "", "family" : "Rijn", "given" : "Tineke", "non-dropping-particle" : "van", "parse-names" : false, "suffix" : "" }, { "dropping-particle" : "", "family" : "Ferdek", "given" : "Magdalena", "non-dropping-particle" : "", "parse-names" : false, "suffix" : "" }, { "dropping-particle" : "", "family" : "Ruigt", "given" : "G\u00e9", "non-dropping-particle" : "", "parse-names" : false, "suffix" : "" }, { "dropping-particle" : "", "family" : "Kozicz", "given" : "Tamas", "non-dropping-particle" : "", "parse-names" : false, "suffix" : "" }, { "dropping-particle" : "", "family" : "Braat", "given" : "Didi", "non-dropping-particle" : "", "parse-names" : false, "suffix" : "" }, { "dropping-particle" : "", "family" : "Peeters", "given" : "Ard", "non-dropping-particle" : "", "parse-names" : false, "suffix" : "" }, { "dropping-particle" : "", "family" : "Nap", "given" : "Annemiek", "non-dropping-particle" : "", "parse-names" : false, "suffix" : "" } ], "container-title" : "Psychoneuroendocrinology", "id" : "ITEM-1", "issued" : { "date-parts" : [ [ "2018", "3", "1" ] ] }, "page" : "216-222", "publisher" : "Pergamon", "title" : "Hair cortisol and the relationship with chronic pain and quality of life in endometriosis patients", "type" : "article-journal", "volume" : "89" }, "uris" : [ "http://www.mendeley.com/documents/?uuid=4a43264f-bb26-35d2-8f85-eca37624b457", "http://www.mendeley.com/documents/?uuid=98c8d845-623e-467c-8921-7bff6630bd20" ] } ], "mendeley" : { "formattedCitation" : "(van Aken et al., 2018)", "plainTextFormattedCitation" : "(van Aken et al., 2018)", "previouslyFormattedCitation" : "(van Aken et al., 2018)" }, "properties" : {  }, "schema" : "https://github.com/citation-style-language/schema/raw/master/csl-citation.json" }</w:instrText>
      </w:r>
      <w:r w:rsidR="002C67C4">
        <w:fldChar w:fldCharType="separate"/>
      </w:r>
      <w:r w:rsidR="002C67C4" w:rsidRPr="002C67C4">
        <w:rPr>
          <w:noProof/>
        </w:rPr>
        <w:t>(van Aken et al., 2018)</w:t>
      </w:r>
      <w:r w:rsidR="002C67C4">
        <w:fldChar w:fldCharType="end"/>
      </w:r>
      <w:r w:rsidR="007A1091">
        <w:t xml:space="preserve"> to </w:t>
      </w:r>
      <w:r w:rsidR="00773D3E">
        <w:t>BOLD signals</w:t>
      </w:r>
      <w:r w:rsidR="002C67C4">
        <w:t xml:space="preserve"> </w:t>
      </w:r>
      <w:r w:rsidR="002C67C4">
        <w:fldChar w:fldCharType="begin" w:fldLock="1"/>
      </w:r>
      <w:r w:rsidR="00DA76DD">
        <w:instrText>ADDIN CSL_CITATION { "citationItems" : [ { "id" : "ITEM-1", "itemData" : { "DOI" : "10.1097/j.pain.0000000000000223", "ISSN" : "1872-6623", "PMID" : "25970320", "author" : [ { "dropping-particle" : "", "family" : "Woo", "given" : "Choong-Wan", "non-dropping-particle" : "", "parse-names" : false, "suffix" : "" }, { "dropping-particle" : "", "family" : "Wager", "given" : "Tor D", "non-dropping-particle" : "", "parse-names" : false, "suffix" : "" } ], "container-title" : "Pain", "id" : "ITEM-1", "issue" : "8", "issued" : { "date-parts" : [ [ "2015", "8" ] ] }, "page" : "1379-81", "publisher" : "NIH Public Access", "title" : "Neuroimaging-based biomarker discovery and validation.", "type" : "article-journal", "volume" : "156" }, "uris" : [ "http://www.mendeley.com/documents/?uuid=0d7f1c9b-3354-3af4-8e1a-9b1b5350f5f7", "http://www.mendeley.com/documents/?uuid=11106eb4-9e92-48ac-bd90-d5802557fdee" ] } ], "mendeley" : { "formattedCitation" : "(Woo and Wager, 2015)", "plainTextFormattedCitation" : "(Woo and Wager, 2015)", "previouslyFormattedCitation" : "(Woo and Wager, 2015)" }, "properties" : {  }, "schema" : "https://github.com/citation-style-language/schema/raw/master/csl-citation.json" }</w:instrText>
      </w:r>
      <w:r w:rsidR="002C67C4">
        <w:fldChar w:fldCharType="separate"/>
      </w:r>
      <w:r w:rsidR="002C67C4" w:rsidRPr="002C67C4">
        <w:rPr>
          <w:noProof/>
        </w:rPr>
        <w:t>(Woo and Wager, 2015)</w:t>
      </w:r>
      <w:r w:rsidR="002C67C4">
        <w:fldChar w:fldCharType="end"/>
      </w:r>
      <w:r w:rsidR="007A1091">
        <w:t xml:space="preserve">, but </w:t>
      </w:r>
      <w:r w:rsidR="002C67C4">
        <w:t>research has not specifically focussed on markers of</w:t>
      </w:r>
      <w:r w:rsidR="00F35687">
        <w:t xml:space="preserve"> cognitive</w:t>
      </w:r>
      <w:r w:rsidR="007A1091">
        <w:t xml:space="preserve"> risk</w:t>
      </w:r>
      <w:r w:rsidR="003E22CC">
        <w:t xml:space="preserve"> factors</w:t>
      </w:r>
      <w:r w:rsidR="007A1091">
        <w:t>.</w:t>
      </w:r>
    </w:p>
    <w:p w14:paraId="25A4A99D" w14:textId="21165C09" w:rsidR="00C1323A" w:rsidRDefault="00830BE6" w:rsidP="007512FC">
      <w:pPr>
        <w:spacing w:line="480" w:lineRule="auto"/>
      </w:pPr>
      <w:r>
        <w:t>A maladaptive cognitive trait that is widely studied in relation to chronic pain is p</w:t>
      </w:r>
      <w:r w:rsidR="00C1323A">
        <w:t xml:space="preserve">ain </w:t>
      </w:r>
      <w:r w:rsidR="00940531">
        <w:t>catastrophiz</w:t>
      </w:r>
      <w:r w:rsidR="00C1323A">
        <w:t>ing (PC)</w:t>
      </w:r>
      <w:r>
        <w:t>. PC</w:t>
      </w:r>
      <w:r w:rsidR="00C1323A">
        <w:t xml:space="preserve"> has been defined as “an exaggerated negative mental set brought to bear during actual or </w:t>
      </w:r>
      <w:r w:rsidR="00247A3F">
        <w:t xml:space="preserve">anticipated pain experience” </w:t>
      </w:r>
      <w:r w:rsidR="00247A3F">
        <w:fldChar w:fldCharType="begin" w:fldLock="1"/>
      </w:r>
      <w:r w:rsidR="00DA76DD">
        <w:instrText>ADDIN CSL_CITATION { "citationItems" : [ { "id" : "ITEM-1", "itemData" : { "author" : [ { "dropping-particle" : "", "family" : "Sullivan", "given" : "M J L", "non-dropping-particle" : "", "parse-names" : false, "suffix" : "" }, { "dropping-particle" : "", "family" : "Bishop", "given" : "S R", "non-dropping-particle" : "", "parse-names" : false, "suffix" : "" }, { "dropping-particle" : "", "family" : "Pivik", "given" : "J", "non-dropping-particle" : "", "parse-names" : false, "suffix" : "" } ], "container-title" : "Psychological Assessment", "id" : "ITEM-1", "issue" : "4", "issued" : { "date-parts" : [ [ "1995", "12" ] ] }, "page" : "524-532", "title" : "The Pain Catastrophizing Scale: Development and Validation", "type" : "article-journal", "volume" : "7 " }, "uris" : [ "http://www.mendeley.com/documents/?uuid=6fbc313a-fad6-4b28-bf98-074e3e14e21d" ] } ], "mendeley" : { "formattedCitation" : "(Sullivan et al., 1995)", "plainTextFormattedCitation" : "(Sullivan et al., 1995)", "previouslyFormattedCitation" : "(Sullivan et al., 1995)" }, "properties" : {  }, "schema" : "https://github.com/citation-style-language/schema/raw/master/csl-citation.json" }</w:instrText>
      </w:r>
      <w:r w:rsidR="00247A3F">
        <w:fldChar w:fldCharType="separate"/>
      </w:r>
      <w:r w:rsidR="005B5DFF" w:rsidRPr="005B5DFF">
        <w:rPr>
          <w:noProof/>
        </w:rPr>
        <w:t>(Sullivan et al., 1995)</w:t>
      </w:r>
      <w:r w:rsidR="00247A3F">
        <w:fldChar w:fldCharType="end"/>
      </w:r>
      <w:r w:rsidR="00247A3F">
        <w:t>.</w:t>
      </w:r>
      <w:r w:rsidR="00C1323A">
        <w:t xml:space="preserve"> PC predicts</w:t>
      </w:r>
      <w:r>
        <w:t xml:space="preserve"> the severity of chronic pain </w:t>
      </w:r>
      <w:r>
        <w:fldChar w:fldCharType="begin" w:fldLock="1"/>
      </w:r>
      <w:r w:rsidR="00DA76DD">
        <w:instrText>ADDIN CSL_CITATION { "citationItems" : [ { "id" : "ITEM-1", "itemData" : { "author" : [ { "dropping-particle" : "", "family" : "Edwards", "given" : "R R", "non-dropping-particle" : "", "parse-names" : false, "suffix" : "" }, { "dropping-particle" : "", "family" : "Calahan", "given" : "C", "non-dropping-particle" : "", "parse-names" : false, "suffix" : "" }, { "dropping-particle" : "", "family" : "Mensing", "given" : "G", "non-dropping-particle" : "", "parse-names" : false, "suffix" : "" }, { "dropping-particle" : "", "family" : "Smith", "given" : "M", "non-dropping-particle" : "", "parse-names" : false, "suffix" : "" }, { "dropping-particle" : "", "family" : "Haythornthwaite", "given" : "J A", "non-dropping-particle" : "", "parse-names" : false, "suffix" : "" } ], "container-title" : "Nature Reviews Rheumatology", "id" : "ITEM-1", "issue" : "4", "issued" : { "date-parts" : [ [ "2011" ] ] }, "note" : "Cited By (since 1996): 8&lt;m:linebreak&gt;&lt;/m:linebreak&gt;Export Date: 18 May 2012&lt;m:linebreak&gt;&lt;/m:linebreak&gt;Source: Scopus", "page" : "216-224", "title" : "Pain, catastrophizing, and depression in the rheumatic diseases", "type" : "article-journal", "volume" : "7" }, "uris" : [ "http://www.mendeley.com/documents/?uuid=258ef085-717f-45fc-b381-91cbcc2617de" ] } ], "mendeley" : { "formattedCitation" : "(Edwards et al., 2011)", "plainTextFormattedCitation" : "(Edwards et al., 2011)", "previouslyFormattedCitation" : "(Edwards et al., 2011)" }, "properties" : {  }, "schema" : "https://github.com/citation-style-language/schema/raw/master/csl-citation.json" }</w:instrText>
      </w:r>
      <w:r>
        <w:fldChar w:fldCharType="separate"/>
      </w:r>
      <w:r w:rsidR="005B5DFF" w:rsidRPr="005B5DFF">
        <w:rPr>
          <w:noProof/>
        </w:rPr>
        <w:t>(Edwards et al., 2011)</w:t>
      </w:r>
      <w:r>
        <w:fldChar w:fldCharType="end"/>
      </w:r>
      <w:r>
        <w:t xml:space="preserve"> and</w:t>
      </w:r>
      <w:r w:rsidR="00C1323A" w:rsidRPr="005F03FB">
        <w:t xml:space="preserve"> physical dysfunction above and beyond the ef</w:t>
      </w:r>
      <w:r w:rsidR="008210F5">
        <w:t xml:space="preserve">fects of concurrent depression </w:t>
      </w:r>
      <w:r w:rsidR="008210F5">
        <w:fldChar w:fldCharType="begin" w:fldLock="1"/>
      </w:r>
      <w:r w:rsidR="00DA76DD">
        <w:instrText>ADDIN CSL_CITATION { "citationItems" : [ { "id" : "ITEM-1", "itemData" : { "DOI" : "10.1016/j.genhosppsych.2010.12.008", "ISBN" : "1873-7714 (Electronic)\\r0163-8343 (Linking)", "ISSN" : "01638343", "PMID" : "21596208", "abstract" : "Objective: The objective of the study was to examine catastrophizing, depression and their interactive effects in predicting disability in patients with chronic pain. Method: A battery of questionnaires was mailed to primary care patients in a large integrated health care delivery system. The Patient Health Questionnaire was used to assess major depression, the Coping Strategies Questionnaire assessed catastrophizing and the Graded Chronic Pain Scale was used to assess pain intensity and two measures of disability, including self-report of pain interference and days missed from usual activities. Patient medical records were used to assess severe medical illness. Of the 5808 respondents, 2618 met criteria for chronic pain. Multiple regression analyses, covarying for age, gender, severe medical illness and pain intensity, estimated the main and interactive effects of catastrophic thinking and depression on two measures of pain-related disability. Results: Both catastrophic thinking and depression were statistically significant predictors of both measures of pain-related disability, with larger effect sizes observed for catastrophic thinking. Conclusions: Routine assessment of both catastrophic thinking and depression is important in the treatment of chronic pain patients, and modification of these factors may reduce disability and increase the ability of chronic pain patients to participate in daily life activity. ?? 2011 Elsevier Inc.", "author" : [ { "dropping-particle" : "", "family" : "Arnow", "given" : "Bruce A.", "non-dropping-particle" : "", "parse-names" : false, "suffix" : "" }, { "dropping-particle" : "", "family" : "Blasey", "given" : "Christine M.", "non-dropping-particle" : "", "parse-names" : false, "suffix" : "" }, { "dropping-particle" : "", "family" : "Constantino", "given" : "Michael J.", "non-dropping-particle" : "", "parse-names" : false, "suffix" : "" }, { "dropping-particle" : "", "family" : "Robinson", "given" : "Rebecca", "non-dropping-particle" : "", "parse-names" : false, "suffix" : "" }, { "dropping-particle" : "", "family" : "Hunkeler", "given" : "Enid", "non-dropping-particle" : "", "parse-names" : false, "suffix" : "" }, { "dropping-particle" : "", "family" : "Lee", "given" : "Janelle", "non-dropping-particle" : "", "parse-names" : false, "suffix" : "" }, { "dropping-particle" : "", "family" : "Fireman", "given" : "Bruce", "non-dropping-particle" : "", "parse-names" : false, "suffix" : "" }, { "dropping-particle" : "", "family" : "Khaylis", "given" : "Anna", "non-dropping-particle" : "", "parse-names" : false, "suffix" : "" }, { "dropping-particle" : "", "family" : "Feiner", "given" : "Lauren", "non-dropping-particle" : "", "parse-names" : false, "suffix" : "" }, { "dropping-particle" : "", "family" : "Hayward", "given" : "Chris", "non-dropping-particle" : "", "parse-names" : false, "suffix" : "" } ], "container-title" : "General Hospital Psychiatry", "id" : "ITEM-1", "issue" : "2", "issued" : { "date-parts" : [ [ "2011" ] ] }, "page" : "150-156", "title" : "Catastrophizing, depression and pain-related disability", "type" : "article-journal", "volume" : "33" }, "uris" : [ "http://www.mendeley.com/documents/?uuid=a754cc8e-77c9-4071-9e34-881c474ecce1" ] } ], "mendeley" : { "formattedCitation" : "(Arnow et al., 2011)", "plainTextFormattedCitation" : "(Arnow et al., 2011)", "previouslyFormattedCitation" : "(Arnow et al., 2011)" }, "properties" : {  }, "schema" : "https://github.com/citation-style-language/schema/raw/master/csl-citation.json" }</w:instrText>
      </w:r>
      <w:r w:rsidR="008210F5">
        <w:fldChar w:fldCharType="separate"/>
      </w:r>
      <w:r w:rsidR="005B5DFF" w:rsidRPr="005B5DFF">
        <w:rPr>
          <w:noProof/>
        </w:rPr>
        <w:t>(Arnow et al., 2011)</w:t>
      </w:r>
      <w:r w:rsidR="008210F5">
        <w:fldChar w:fldCharType="end"/>
      </w:r>
      <w:r w:rsidR="00C1323A" w:rsidRPr="005F03FB">
        <w:t xml:space="preserve">. </w:t>
      </w:r>
      <w:r w:rsidR="008210F5">
        <w:t>While the im</w:t>
      </w:r>
      <w:r w:rsidR="00350B34">
        <w:t>portance of PC in chronic pain</w:t>
      </w:r>
      <w:r w:rsidR="008210F5">
        <w:t xml:space="preserve"> is rarely disputed, its </w:t>
      </w:r>
      <w:r w:rsidR="00350B34">
        <w:t xml:space="preserve">sub-component </w:t>
      </w:r>
      <w:r w:rsidR="008210F5">
        <w:t>mechanism</w:t>
      </w:r>
      <w:r w:rsidR="00350B34">
        <w:t>s</w:t>
      </w:r>
      <w:r w:rsidR="008210F5">
        <w:t xml:space="preserve"> </w:t>
      </w:r>
      <w:r w:rsidR="00FB0817">
        <w:t>h</w:t>
      </w:r>
      <w:r w:rsidR="0094714F">
        <w:t>ave not so far been clearly defined</w:t>
      </w:r>
      <w:r w:rsidR="00350B34">
        <w:t>.</w:t>
      </w:r>
    </w:p>
    <w:p w14:paraId="2EC90537" w14:textId="405C3951" w:rsidR="00C1323A" w:rsidRDefault="00350B34" w:rsidP="007512FC">
      <w:pPr>
        <w:spacing w:line="480" w:lineRule="auto"/>
      </w:pPr>
      <w:r>
        <w:t>Sub-components of PC can be</w:t>
      </w:r>
      <w:r w:rsidR="00C1323A">
        <w:t xml:space="preserve"> </w:t>
      </w:r>
      <w:r>
        <w:t>described</w:t>
      </w:r>
      <w:r w:rsidR="00C1323A">
        <w:t xml:space="preserve"> in both psychologica</w:t>
      </w:r>
      <w:r w:rsidR="00033371">
        <w:t xml:space="preserve">l and neurobiological terms. </w:t>
      </w:r>
      <w:r w:rsidR="006D33AF">
        <w:t>The most common characterisation of PC has been in terms of</w:t>
      </w:r>
      <w:r w:rsidR="00C1323A">
        <w:t xml:space="preserve"> </w:t>
      </w:r>
      <w:r w:rsidR="00C1323A">
        <w:rPr>
          <w:shd w:val="clear" w:color="auto" w:fill="FCFCFC"/>
        </w:rPr>
        <w:t>t</w:t>
      </w:r>
      <w:r w:rsidR="00C1323A" w:rsidRPr="00C069DE">
        <w:rPr>
          <w:shd w:val="clear" w:color="auto" w:fill="FCFCFC"/>
        </w:rPr>
        <w:t>he</w:t>
      </w:r>
      <w:r w:rsidR="00033371">
        <w:rPr>
          <w:shd w:val="clear" w:color="auto" w:fill="FCFCFC"/>
        </w:rPr>
        <w:t xml:space="preserve"> three subscales of the</w:t>
      </w:r>
      <w:r w:rsidR="00C1323A" w:rsidRPr="00C069DE">
        <w:rPr>
          <w:shd w:val="clear" w:color="auto" w:fill="FCFCFC"/>
        </w:rPr>
        <w:t xml:space="preserve"> Pain Cata</w:t>
      </w:r>
      <w:r>
        <w:rPr>
          <w:shd w:val="clear" w:color="auto" w:fill="FCFCFC"/>
        </w:rPr>
        <w:t xml:space="preserve">strophizing Scale (PCS </w:t>
      </w:r>
      <w:r>
        <w:rPr>
          <w:shd w:val="clear" w:color="auto" w:fill="FCFCFC"/>
        </w:rPr>
        <w:fldChar w:fldCharType="begin" w:fldLock="1"/>
      </w:r>
      <w:r w:rsidR="00DA76DD">
        <w:rPr>
          <w:shd w:val="clear" w:color="auto" w:fill="FCFCFC"/>
        </w:rPr>
        <w:instrText>ADDIN CSL_CITATION { "citationItems" : [ { "id" : "ITEM-1", "itemData" : { "author" : [ { "dropping-particle" : "", "family" : "Sullivan", "given" : "M J L", "non-dropping-particle" : "", "parse-names" : false, "suffix" : "" }, { "dropping-particle" : "", "family" : "Bishop", "given" : "S R", "non-dropping-particle" : "", "parse-names" : false, "suffix" : "" }, { "dropping-particle" : "", "family" : "Pivik", "given" : "J", "non-dropping-particle" : "", "parse-names" : false, "suffix" : "" } ], "container-title" : "Psychological Assessment", "id" : "ITEM-1", "issue" : "4", "issued" : { "date-parts" : [ [ "1995", "12" ] ] }, "page" : "524-532", "title" : "The Pain Catastrophizing Scale: Development and Validation", "type" : "article-journal", "volume" : "7 " }, "uris" : [ "http://www.mendeley.com/documents/?uuid=6fbc313a-fad6-4b28-bf98-074e3e14e21d" ] } ], "mendeley" : { "formattedCitation" : "(Sullivan et al., 1995)", "plainTextFormattedCitation" : "(Sullivan et al., 1995)", "previouslyFormattedCitation" : "(Sullivan et al., 1995)" }, "properties" : {  }, "schema" : "https://github.com/citation-style-language/schema/raw/master/csl-citation.json" }</w:instrText>
      </w:r>
      <w:r>
        <w:rPr>
          <w:shd w:val="clear" w:color="auto" w:fill="FCFCFC"/>
        </w:rPr>
        <w:fldChar w:fldCharType="separate"/>
      </w:r>
      <w:r w:rsidR="005B5DFF" w:rsidRPr="005B5DFF">
        <w:rPr>
          <w:noProof/>
          <w:shd w:val="clear" w:color="auto" w:fill="FCFCFC"/>
        </w:rPr>
        <w:t>(Sullivan et al., 1995)</w:t>
      </w:r>
      <w:r>
        <w:rPr>
          <w:shd w:val="clear" w:color="auto" w:fill="FCFCFC"/>
        </w:rPr>
        <w:fldChar w:fldCharType="end"/>
      </w:r>
      <w:r>
        <w:rPr>
          <w:shd w:val="clear" w:color="auto" w:fill="FCFCFC"/>
        </w:rPr>
        <w:t>)</w:t>
      </w:r>
      <w:r w:rsidR="00033371">
        <w:rPr>
          <w:shd w:val="clear" w:color="auto" w:fill="FCFCFC"/>
        </w:rPr>
        <w:t xml:space="preserve"> </w:t>
      </w:r>
      <w:r w:rsidR="006D33AF">
        <w:rPr>
          <w:shd w:val="clear" w:color="auto" w:fill="FCFCFC"/>
        </w:rPr>
        <w:t xml:space="preserve">which recognises </w:t>
      </w:r>
      <w:r w:rsidR="00C1323A">
        <w:rPr>
          <w:shd w:val="clear" w:color="auto" w:fill="FCFCFC"/>
        </w:rPr>
        <w:t>augmentation</w:t>
      </w:r>
      <w:r w:rsidR="00C1323A" w:rsidRPr="00C069DE">
        <w:rPr>
          <w:shd w:val="clear" w:color="auto" w:fill="FCFCFC"/>
        </w:rPr>
        <w:t xml:space="preserve"> of the </w:t>
      </w:r>
      <w:r w:rsidR="00C1323A">
        <w:rPr>
          <w:shd w:val="clear" w:color="auto" w:fill="FCFCFC"/>
        </w:rPr>
        <w:t xml:space="preserve">aversive </w:t>
      </w:r>
      <w:r w:rsidR="00C1323A" w:rsidRPr="00C069DE">
        <w:rPr>
          <w:shd w:val="clear" w:color="auto" w:fill="FCFCFC"/>
        </w:rPr>
        <w:t>value</w:t>
      </w:r>
      <w:r w:rsidR="00C1323A">
        <w:rPr>
          <w:shd w:val="clear" w:color="auto" w:fill="FCFCFC"/>
        </w:rPr>
        <w:t xml:space="preserve"> of pain (“magniﬁcation”), </w:t>
      </w:r>
      <w:r w:rsidR="00C1323A" w:rsidRPr="00C069DE">
        <w:rPr>
          <w:shd w:val="clear" w:color="auto" w:fill="FCFCFC"/>
        </w:rPr>
        <w:t>perseverative thinking</w:t>
      </w:r>
      <w:r w:rsidR="00C1323A">
        <w:rPr>
          <w:shd w:val="clear" w:color="auto" w:fill="FCFCFC"/>
        </w:rPr>
        <w:t xml:space="preserve"> about pain (“rumination”) and </w:t>
      </w:r>
      <w:r w:rsidR="00C9271E">
        <w:rPr>
          <w:shd w:val="clear" w:color="auto" w:fill="FCFCFC"/>
        </w:rPr>
        <w:t>deficits in</w:t>
      </w:r>
      <w:r w:rsidR="00C1323A" w:rsidRPr="00C069DE">
        <w:rPr>
          <w:shd w:val="clear" w:color="auto" w:fill="FCFCFC"/>
        </w:rPr>
        <w:t xml:space="preserve"> </w:t>
      </w:r>
      <w:r w:rsidR="00C1323A">
        <w:rPr>
          <w:shd w:val="clear" w:color="auto" w:fill="FCFCFC"/>
        </w:rPr>
        <w:t>coping ability (“helplessness”</w:t>
      </w:r>
      <w:r w:rsidR="00C1323A" w:rsidRPr="00C069DE">
        <w:rPr>
          <w:shd w:val="clear" w:color="auto" w:fill="FCFCFC"/>
        </w:rPr>
        <w:t xml:space="preserve">). </w:t>
      </w:r>
      <w:r w:rsidR="006D33AF">
        <w:rPr>
          <w:shd w:val="clear" w:color="auto" w:fill="FCFCFC"/>
        </w:rPr>
        <w:t xml:space="preserve">Although </w:t>
      </w:r>
      <w:r w:rsidR="00BA4F13">
        <w:rPr>
          <w:shd w:val="clear" w:color="auto" w:fill="FCFCFC"/>
        </w:rPr>
        <w:t xml:space="preserve">historically </w:t>
      </w:r>
      <w:r w:rsidR="006D33AF">
        <w:rPr>
          <w:shd w:val="clear" w:color="auto" w:fill="FCFCFC"/>
        </w:rPr>
        <w:t xml:space="preserve">there are alternative conceptualisations of PC </w:t>
      </w:r>
      <w:r w:rsidR="00BA4F13">
        <w:rPr>
          <w:shd w:val="clear" w:color="auto" w:fill="FCFCFC"/>
        </w:rPr>
        <w:t xml:space="preserve">(reviewed in </w:t>
      </w:r>
      <w:r w:rsidR="00BA4F13">
        <w:rPr>
          <w:shd w:val="clear" w:color="auto" w:fill="FCFCFC"/>
        </w:rPr>
        <w:fldChar w:fldCharType="begin" w:fldLock="1"/>
      </w:r>
      <w:r w:rsidR="00DA76DD">
        <w:rPr>
          <w:shd w:val="clear" w:color="auto" w:fill="FCFCFC"/>
        </w:rPr>
        <w:instrText>ADDIN CSL_CITATION { "citationItems" : [ { "id" : "ITEM-1", "itemData" : { "DOI" : "10.1111/jabr.12086", "ISSN" : "10712089", "author" : [ { "dropping-particle" : "", "family" : "Neblett", "given" : "Randy", "non-dropping-particle" : "", "parse-names" : false, "suffix" : "" } ], "container-title" : "Journal of Applied Biobehavioral Research", "id" : "ITEM-1", "issue" : "1", "issued" : { "date-parts" : [ [ "2017", "3" ] ] }, "page" : "e12086", "publisher" : "Wiley/Blackwell (10.1111)", "title" : "Pain catastrophizing: An historical perspective", "type" : "article-journal", "volume" : "22" }, "uris" : [ "http://www.mendeley.com/documents/?uuid=dc0393ff-fb49-3518-98cc-00a1c704f4aa", "http://www.mendeley.com/documents/?uuid=579c4afc-7eb7-4c9c-9bff-2027d1fbb2b5" ] } ], "mendeley" : { "formattedCitation" : "(Neblett, 2017)", "plainTextFormattedCitation" : "(Neblett, 2017)", "previouslyFormattedCitation" : "(Neblett, 2017)" }, "properties" : {  }, "schema" : "https://github.com/citation-style-language/schema/raw/master/csl-citation.json" }</w:instrText>
      </w:r>
      <w:r w:rsidR="00BA4F13">
        <w:rPr>
          <w:shd w:val="clear" w:color="auto" w:fill="FCFCFC"/>
        </w:rPr>
        <w:fldChar w:fldCharType="separate"/>
      </w:r>
      <w:r w:rsidR="00BA4F13" w:rsidRPr="00BA4F13">
        <w:rPr>
          <w:noProof/>
          <w:shd w:val="clear" w:color="auto" w:fill="FCFCFC"/>
        </w:rPr>
        <w:t>(Neblett, 2017)</w:t>
      </w:r>
      <w:r w:rsidR="00BA4F13">
        <w:rPr>
          <w:shd w:val="clear" w:color="auto" w:fill="FCFCFC"/>
        </w:rPr>
        <w:fldChar w:fldCharType="end"/>
      </w:r>
      <w:r w:rsidR="00BA4F13">
        <w:rPr>
          <w:shd w:val="clear" w:color="auto" w:fill="FCFCFC"/>
        </w:rPr>
        <w:t>)</w:t>
      </w:r>
      <w:r w:rsidR="006D33AF">
        <w:rPr>
          <w:shd w:val="clear" w:color="auto" w:fill="FCFCFC"/>
        </w:rPr>
        <w:t xml:space="preserve">, in the present work we utilise the tripartite concept underlying the PCS. </w:t>
      </w:r>
      <w:r w:rsidR="00C9271E">
        <w:rPr>
          <w:shd w:val="clear" w:color="auto" w:fill="FCFCFC"/>
        </w:rPr>
        <w:t xml:space="preserve">However, </w:t>
      </w:r>
      <w:r w:rsidR="00C9271E">
        <w:rPr>
          <w:shd w:val="clear" w:color="auto" w:fill="FCFCFC"/>
        </w:rPr>
        <w:lastRenderedPageBreak/>
        <w:t>neurobiological research has</w:t>
      </w:r>
      <w:r w:rsidR="00137C8C">
        <w:rPr>
          <w:shd w:val="clear" w:color="auto" w:fill="FCFCFC"/>
        </w:rPr>
        <w:t xml:space="preserve"> tended to focus</w:t>
      </w:r>
      <w:r w:rsidR="00C9271E">
        <w:rPr>
          <w:shd w:val="clear" w:color="auto" w:fill="FCFCFC"/>
        </w:rPr>
        <w:t xml:space="preserve"> on</w:t>
      </w:r>
      <w:r>
        <w:t xml:space="preserve"> the neural correlates of PC as a unitary construct. </w:t>
      </w:r>
      <w:r w:rsidR="00C1323A">
        <w:t xml:space="preserve">EEG and fMRI studies in chronic pain patients have found </w:t>
      </w:r>
      <w:r w:rsidR="00C1323A" w:rsidRPr="00DC692B">
        <w:t>greater activation of the secondary somatosensory cortex to non-painful stimuli</w:t>
      </w:r>
      <w:r w:rsidR="00E86909">
        <w:t xml:space="preserve"> </w:t>
      </w:r>
      <w:r w:rsidR="00E86909">
        <w:fldChar w:fldCharType="begin" w:fldLock="1"/>
      </w:r>
      <w:r w:rsidR="00DA76DD">
        <w:instrText>ADDIN CSL_CITATION { "citationItems" : [ { "id" : "ITEM-1", "itemData" : { "DOI" : "10.1007/s00221-012-3027-6", "ISBN" : "1432-1106 (Electronic)\\r0014-4819 (Linking)", "ISSN" : "00144819", "PMID" : "22349560", "abstract" : "Pain catastrophizing has been associated with phantom limb pain, but so far the cortical processes and the brain regions involved in this relationship have not been investigated. It was therefore tested whether catastrophizing was related to (1) spontaneous pain, (2) somatosensory activity and (3) cortical responses in phantom limb pain patients. The cortical responses were investigated via electroencephalography (EEG) as it has a high temporal resolution which may be ideal for investigating especially the attentional and hypervigilance aspect of catastrophizing to standardized acute stimuli. Eighteen upper limb amputees completed the pain catastrophizing scale. Patients' spontaneous pain levels (worst and average pain, numerical rating scales) and thresholds to electrical stimulation (sensory detection and VRS2: intense but not painful) were determined. Non-painful electrical stimuli were applied to both the affected and non-affected arm, while high-resolution (128 channels) EEG signals were recorded. Catastrophizing accounted for significant amounts of the variance in relation to spontaneous pain, especially worst pain (64.1%), and it was significantly associated with thresholds. At the affected side, catastrophizing was significantly related to the power RMS of the N/P135 dipole located in the area around the secondary somatosensory cortex which has been shown to be associated with arousal and expectations. These findings corroborate the attentional model of pain catastrophizing by indicating that even non-painful stimuli are related to enhanced attention to and negative expectations of stimuli, and they suggest that memory processes may be central to understanding the link between catastrophizing and pain.", "author" : [ { "dropping-particle" : "", "family" : "Vase", "given" : "Lene", "non-dropping-particle" : "", "parse-names" : false, "suffix" : "" }, { "dropping-particle" : "", "family" : "Egsgaard", "given" : "Line Lindhardt", "non-dropping-particle" : "", "parse-names" : false, "suffix" : "" }, { "dropping-particle" : "", "family" : "Nikolajsen", "given" : "Lone", "non-dropping-particle" : "", "parse-names" : false, "suffix" : "" }, { "dropping-particle" : "", "family" : "Svensson", "given" : "Peter", "non-dropping-particle" : "", "parse-names" : false, "suffix" : "" }, { "dropping-particle" : "", "family" : "Jensen", "given" : "Troels Staehelin", "non-dropping-particle" : "", "parse-names" : false, "suffix" : "" }, { "dropping-particle" : "", "family" : "Arendt-Nielsen", "given" : "Lars", "non-dropping-particle" : "", "parse-names" : false, "suffix" : "" } ], "container-title" : "Experimental Brain Research", "id" : "ITEM-1", "issue" : "3", "issued" : { "date-parts" : [ [ "2012" ] ] }, "page" : "407-417", "title" : "Pain catastrophizing and cortical responses in amputees with varying levels of phantom limb pain: A high-density EEG brain-mapping study", "type" : "article-journal", "volume" : "218" }, "uris" : [ "http://www.mendeley.com/documents/?uuid=fd42ee93-0ec6-4176-ba41-436e952f1d54" ] } ], "mendeley" : { "formattedCitation" : "(Vase et al., 2012)", "plainTextFormattedCitation" : "(Vase et al., 2012)", "previouslyFormattedCitation" : "(Vase et al., 2012)" }, "properties" : {  }, "schema" : "https://github.com/citation-style-language/schema/raw/master/csl-citation.json" }</w:instrText>
      </w:r>
      <w:r w:rsidR="00E86909">
        <w:fldChar w:fldCharType="separate"/>
      </w:r>
      <w:r w:rsidR="005B5DFF" w:rsidRPr="005B5DFF">
        <w:rPr>
          <w:noProof/>
        </w:rPr>
        <w:t>(Vase et al., 2012)</w:t>
      </w:r>
      <w:r w:rsidR="00E86909">
        <w:fldChar w:fldCharType="end"/>
      </w:r>
      <w:r w:rsidR="00E86909">
        <w:t xml:space="preserve"> and </w:t>
      </w:r>
      <w:r w:rsidR="00C1323A" w:rsidRPr="00DC692B">
        <w:t>painful stimuli</w:t>
      </w:r>
      <w:r w:rsidR="00EF1207">
        <w:t xml:space="preserve"> </w:t>
      </w:r>
      <w:r w:rsidR="00EF1207">
        <w:fldChar w:fldCharType="begin" w:fldLock="1"/>
      </w:r>
      <w:r w:rsidR="00DA76DD">
        <w:instrText>ADDIN CSL_CITATION { "citationItems" : [ { "id" : "ITEM-1", "itemData" : { "PMID" : "14960499", "abstract" : "Pain catastrophizing, or characterizations of pain as awful, horrible and unbearable, is increasingly being recognized as an important factor in the experience of pain. The purpose of this investigation was to examine the association between catastrophizing, as measured by the Coping Strategies Questionnaire Catastrophizing Subscale, and brain responses to blunt pressure assessed by functional MRI among 29 subjects with fibromyalgia. Since catastrophizing has been suggested to augment pain perception through enhanced attention to painful stimuli, and heightened emotional responses to pain, we hypothesized that catastrophizing would be positively associated with activation in structures believed to be involved in these aspects of pain processing. As catastrophizing is also strongly associated with depression, the influence of depressive symptomatology was statistically removed. Residual scores of catastrophizing controlling for depressive symptomatology were significantly associated with increased activity in the ipsilateral claustrum (r = 0.51, P &lt; 0.05), cerebellum (r = 0.43, P &lt; 0.05), dorsolateral prefrontal cortex (r = 0.47, P &lt; 0.05), and parietal cortex (r = 0.41, P &lt; 0.05), and in the contralateral dorsal anterior cingulate gyrus (ACC; r = 0.43, P &lt; 0.05), dorsolateral prefrontal cortex (r = 0.41, P &lt; 0.05), medial frontal cortex (r = 0.40, P &lt; 0.05) and lentiform nuclei (r = 0.40, P &lt; 0.05). Analysis of subjects classified as high or low catastrophizers, based on a median split of residual catastrophizing scores, showed that both groups displayed significant increases in ipsilateral secondary somatosensory cortex (SII), although the magnitude of activation was twice as large among high catastrophizers. Both groups also had significant activations in contralateral insula, SII, primary somatosensory cortex (SI), inferior parietal lobule and thalamus. High catastrophizers displayed unique activation in the contralateral anterior ACC, and the contralateral and ipsilateral lentiform. Both groups also displayed significant ipsilateral activation in SI, anterior and posterior cerebellum, posterior cingulate gyrus, and superior and inferior frontal gyrus. These findings suggest that pain catastrophizing, independent of the influence of depression, is significantly associated with increased activity in brain areas related to anticipation of pain (medial frontal cortex, cerebellum), attention to pain (dorsal ACC, dorsolateral prefrontal cortex), emotional\u2026", "author" : [ { "dropping-particle" : "", "family" : "Gracely", "given" : "R H", "non-dropping-particle" : "", "parse-names" : false, "suffix" : "" }, { "dropping-particle" : "", "family" : "Geisser", "given" : "M E", "non-dropping-particle" : "", "parse-names" : false, "suffix" : "" }, { "dropping-particle" : "", "family" : "Giesecke", "given" : "T", "non-dropping-particle" : "", "parse-names" : false, "suffix" : "" }, { "dropping-particle" : "", "family" : "Grant", "given" : "M A", "non-dropping-particle" : "", "parse-names" : false, "suffix" : "" }, { "dropping-particle" : "", "family" : "Petzke", "given" : "F", "non-dropping-particle" : "", "parse-names" : false, "suffix" : "" }, { "dropping-particle" : "", "family" : "Williams", "given" : "D A", "non-dropping-particle" : "", "parse-names" : false, "suffix" : "" }, { "dropping-particle" : "", "family" : "Clauw", "given" : "D J", "non-dropping-particle" : "", "parse-names" : false, "suffix" : "" } ], "container-title" : "Brain", "id" : "ITEM-1", "issue" : "0006-8950", "issued" : { "date-parts" : [ [ "2004", "4" ] ] }, "language" : "eng PT - Journal Article SB - AIM SB - IM", "note" : "DA - 20040326", "page" : "835-843", "publisher-place" : "University of Michigan Health System, Department of Internal Medicine, Division of Rheumatology, Chronic Pain and Fatigue Research Center, 24 Frank Lloyd Wright Drive, PO Box 385, Ann Arbor, MI 48106, USA. dclauw@med.umich.edu", "title" : "Pain catastrophizing and neural responses to pain among persons with fibromyalgia", "type" : "article-journal", "volume" : "127" }, "uris" : [ "http://www.mendeley.com/documents/?uuid=d2aa9379-4869-4a2b-9ba0-e9cde669e9c9" ] } ], "mendeley" : { "formattedCitation" : "(Gracely et al., 2004)", "plainTextFormattedCitation" : "(Gracely et al., 2004)", "previouslyFormattedCitation" : "(Gracely et al., 2004)" }, "properties" : {  }, "schema" : "https://github.com/citation-style-language/schema/raw/master/csl-citation.json" }</w:instrText>
      </w:r>
      <w:r w:rsidR="00EF1207">
        <w:fldChar w:fldCharType="separate"/>
      </w:r>
      <w:r w:rsidR="005B5DFF" w:rsidRPr="005B5DFF">
        <w:rPr>
          <w:noProof/>
        </w:rPr>
        <w:t>(Gracely et al., 2004)</w:t>
      </w:r>
      <w:r w:rsidR="00EF1207">
        <w:fldChar w:fldCharType="end"/>
      </w:r>
      <w:r w:rsidR="00C1323A" w:rsidRPr="00DC692B">
        <w:t xml:space="preserve"> </w:t>
      </w:r>
      <w:r w:rsidR="00EF1207">
        <w:t xml:space="preserve">in pain </w:t>
      </w:r>
      <w:r w:rsidR="00940531">
        <w:t>catastrophiz</w:t>
      </w:r>
      <w:r w:rsidR="00C1323A" w:rsidRPr="00DC692B">
        <w:t xml:space="preserve">ers, as well as greater activation of anterior cingulate cortex in both healthy volunteers </w:t>
      </w:r>
      <w:r w:rsidR="00EF1207">
        <w:fldChar w:fldCharType="begin" w:fldLock="1"/>
      </w:r>
      <w:r w:rsidR="00DA76DD">
        <w:instrText>ADDIN CSL_CITATION { "citationItems" : [ { "id" : "ITEM-1", "itemData" : { "PMID" : "16427738", "abstract" : "The personal experience of pain is complex and depends on physiological and psychological factors. From this latter category, pain catastrophizing plays an important role in pain behavior and response. We aimed to determine the effect of pain catastrophizing on central nociceptive processing in healthy individuals. Functional MRI was performed during two pain intensity levels evoked by electrical median nerve stimulation in 22 healthy individuals. Pain catastrophizing scores were determined for all subjects. Pain catastrophizing was not related to activity in regions associated with sensory-discriminative aspects of pain, such as the primary or secondary somatosensory cortex. Instead, during mild pain, there was a relationship between catastrophizing and activity in cortical regions associated with affective, attention, and motor aspects of pain, including dorsolateral prefrontal, insula, rostral anterior cingulate, premotor, and parietal cortices. During more intense pain, prefrontal cortical regions implicated in the top-down modulation of pain were negatively correlated with catastrophizing. These findings can be viewed from the framework of an attention model of pain catastrophizing, whereby a cortical vigilance network is engaged during mild pain, but diminished prefrontal cortical modulation impedes disengaging from and suppressing pain during more intense pain. These findings may also implicate catastrophizing in the progression to or persistence of chronic pain", "author" : [ { "dropping-particle" : "", "family" : "Seminowicz", "given" : "D A", "non-dropping-particle" : "", "parse-names" : false, "suffix" : "" }, { "dropping-particle" : "", "family" : "Davis", "given" : "K D", "non-dropping-particle" : "", "parse-names" : false, "suffix" : "" } ], "container-title" : "Pain", "id" : "ITEM-1", "issue" : "0304-3959 (Print)", "issued" : { "date-parts" : [ [ "2006", "2" ] ] }, "language" : "eng PT - Journal Article PT - Research Support, Non-U.S. Gov't SB - IM", "note" : "DA - 20060206", "page" : "297-306", "publisher-place" : "Toronto Western Research Institute, University Health Network, Institute of Medical Science and Department of Surgery, University of Toronto, Toronto, Ontario, Canada", "title" : "Cortical responses to pain in healthy individuals depends on pain catastrophizing", "type" : "article-journal", "volume" : "120" }, "uris" : [ "http://www.mendeley.com/documents/?uuid=87b21698-085a-467b-80fc-f84c88da9342" ] } ], "mendeley" : { "formattedCitation" : "(Seminowicz and Davis, 2006)", "plainTextFormattedCitation" : "(Seminowicz and Davis, 2006)", "previouslyFormattedCitation" : "(Seminowicz and Davis, 2006)" }, "properties" : {  }, "schema" : "https://github.com/citation-style-language/schema/raw/master/csl-citation.json" }</w:instrText>
      </w:r>
      <w:r w:rsidR="00EF1207">
        <w:fldChar w:fldCharType="separate"/>
      </w:r>
      <w:r w:rsidR="005B5DFF" w:rsidRPr="005B5DFF">
        <w:rPr>
          <w:noProof/>
        </w:rPr>
        <w:t>(Seminowicz and Davis, 2006)</w:t>
      </w:r>
      <w:r w:rsidR="00EF1207">
        <w:fldChar w:fldCharType="end"/>
      </w:r>
      <w:r w:rsidR="00EF1207" w:rsidRPr="00DC692B">
        <w:t xml:space="preserve"> </w:t>
      </w:r>
      <w:r w:rsidR="00EF1207">
        <w:t xml:space="preserve">and fibromyalgia patients </w:t>
      </w:r>
      <w:r w:rsidR="00EF1207">
        <w:fldChar w:fldCharType="begin" w:fldLock="1"/>
      </w:r>
      <w:r w:rsidR="00DA76DD">
        <w:instrText>ADDIN CSL_CITATION { "citationItems" : [ { "id" : "ITEM-1", "itemData" : { "PMID" : "14960499", "abstract" : "Pain catastrophizing, or characterizations of pain as awful, horrible and unbearable, is increasingly being recognized as an important factor in the experience of pain. The purpose of this investigation was to examine the association between catastrophizing, as measured by the Coping Strategies Questionnaire Catastrophizing Subscale, and brain responses to blunt pressure assessed by functional MRI among 29 subjects with fibromyalgia. Since catastrophizing has been suggested to augment pain perception through enhanced attention to painful stimuli, and heightened emotional responses to pain, we hypothesized that catastrophizing would be positively associated with activation in structures believed to be involved in these aspects of pain processing. As catastrophizing is also strongly associated with depression, the influence of depressive symptomatology was statistically removed. Residual scores of catastrophizing controlling for depressive symptomatology were significantly associated with increased activity in the ipsilateral claustrum (r = 0.51, P &lt; 0.05), cerebellum (r = 0.43, P &lt; 0.05), dorsolateral prefrontal cortex (r = 0.47, P &lt; 0.05), and parietal cortex (r = 0.41, P &lt; 0.05), and in the contralateral dorsal anterior cingulate gyrus (ACC; r = 0.43, P &lt; 0.05), dorsolateral prefrontal cortex (r = 0.41, P &lt; 0.05), medial frontal cortex (r = 0.40, P &lt; 0.05) and lentiform nuclei (r = 0.40, P &lt; 0.05). Analysis of subjects classified as high or low catastrophizers, based on a median split of residual catastrophizing scores, showed that both groups displayed significant increases in ipsilateral secondary somatosensory cortex (SII), although the magnitude of activation was twice as large among high catastrophizers. Both groups also had significant activations in contralateral insula, SII, primary somatosensory cortex (SI), inferior parietal lobule and thalamus. High catastrophizers displayed unique activation in the contralateral anterior ACC, and the contralateral and ipsilateral lentiform. Both groups also displayed significant ipsilateral activation in SI, anterior and posterior cerebellum, posterior cingulate gyrus, and superior and inferior frontal gyrus. These findings suggest that pain catastrophizing, independent of the influence of depression, is significantly associated with increased activity in brain areas related to anticipation of pain (medial frontal cortex, cerebellum), attention to pain (dorsal ACC, dorsolateral prefrontal cortex), emotional\u2026", "author" : [ { "dropping-particle" : "", "family" : "Gracely", "given" : "R H", "non-dropping-particle" : "", "parse-names" : false, "suffix" : "" }, { "dropping-particle" : "", "family" : "Geisser", "given" : "M E", "non-dropping-particle" : "", "parse-names" : false, "suffix" : "" }, { "dropping-particle" : "", "family" : "Giesecke", "given" : "T", "non-dropping-particle" : "", "parse-names" : false, "suffix" : "" }, { "dropping-particle" : "", "family" : "Grant", "given" : "M A", "non-dropping-particle" : "", "parse-names" : false, "suffix" : "" }, { "dropping-particle" : "", "family" : "Petzke", "given" : "F", "non-dropping-particle" : "", "parse-names" : false, "suffix" : "" }, { "dropping-particle" : "", "family" : "Williams", "given" : "D A", "non-dropping-particle" : "", "parse-names" : false, "suffix" : "" }, { "dropping-particle" : "", "family" : "Clauw", "given" : "D J", "non-dropping-particle" : "", "parse-names" : false, "suffix" : "" } ], "container-title" : "Brain", "id" : "ITEM-1", "issue" : "0006-8950", "issued" : { "date-parts" : [ [ "2004", "4" ] ] }, "language" : "eng PT - Journal Article SB - AIM SB - IM", "note" : "DA - 20040326", "page" : "835-843", "publisher-place" : "University of Michigan Health System, Department of Internal Medicine, Division of Rheumatology, Chronic Pain and Fatigue Research Center, 24 Frank Lloyd Wright Drive, PO Box 385, Ann Arbor, MI 48106, USA. dclauw@med.umich.edu", "title" : "Pain catastrophizing and neural responses to pain among persons with fibromyalgia", "type" : "article-journal", "volume" : "127" }, "uris" : [ "http://www.mendeley.com/documents/?uuid=d2aa9379-4869-4a2b-9ba0-e9cde669e9c9" ] } ], "mendeley" : { "formattedCitation" : "(Gracely et al., 2004)", "plainTextFormattedCitation" : "(Gracely et al., 2004)", "previouslyFormattedCitation" : "(Gracely et al., 2004)" }, "properties" : {  }, "schema" : "https://github.com/citation-style-language/schema/raw/master/csl-citation.json" }</w:instrText>
      </w:r>
      <w:r w:rsidR="00EF1207">
        <w:fldChar w:fldCharType="separate"/>
      </w:r>
      <w:r w:rsidR="005B5DFF" w:rsidRPr="005B5DFF">
        <w:rPr>
          <w:noProof/>
        </w:rPr>
        <w:t>(Gracely et al., 2004)</w:t>
      </w:r>
      <w:r w:rsidR="00EF1207">
        <w:fldChar w:fldCharType="end"/>
      </w:r>
      <w:r w:rsidR="00EF1207">
        <w:t xml:space="preserve">. Further research provided more precise mechanistic insights by identifying </w:t>
      </w:r>
      <w:r w:rsidR="00C1323A" w:rsidRPr="00DC692B">
        <w:t xml:space="preserve">anticipatory </w:t>
      </w:r>
      <w:r w:rsidR="00EF1207" w:rsidRPr="00DC692B">
        <w:t xml:space="preserve">deficits in </w:t>
      </w:r>
      <w:r w:rsidR="00EF1207">
        <w:t xml:space="preserve">lateral </w:t>
      </w:r>
      <w:r w:rsidR="00EF1207" w:rsidRPr="00DC692B">
        <w:t>prefrontal cortex activi</w:t>
      </w:r>
      <w:r w:rsidR="00EF1207">
        <w:t xml:space="preserve">ty </w:t>
      </w:r>
      <w:r w:rsidR="00C1323A">
        <w:t xml:space="preserve">in chronic pain patients </w:t>
      </w:r>
      <w:r w:rsidR="00EF1207">
        <w:t xml:space="preserve">with greater levels of PC </w:t>
      </w:r>
      <w:r w:rsidR="00EF1207">
        <w:fldChar w:fldCharType="begin" w:fldLock="1"/>
      </w:r>
      <w:r w:rsidR="00DA76DD">
        <w:instrText>ADDIN CSL_CITATION { "citationItems" : [ { "id" : "ITEM-1", "itemData" : { "DOI" : "10.1111/ejn.12420", "author" : [ { "dropping-particle" : "", "family" : "Brown", "given" : "Christopher A", "non-dropping-particle" : "", "parse-names" : false, "suffix" : "" }, { "dropping-particle" : "", "family" : "El-Deredy", "given" : "Wael", "non-dropping-particle" : "", "parse-names" : false, "suffix" : "" }, { "dropping-particle" : "", "family" : "Jones", "given" : "Anthony K", "non-dropping-particle" : "", "parse-names" : false, "suffix" : "" } ], "container-title" : "European Journal of Neuroscience", "id" : "ITEM-1", "issue" : "4", "issued" : { "date-parts" : [ [ "2014" ] ] }, "page" : "663-672", "title" : "When the brain expects pain : common neural responses to pain anticipation are related to clinical pain and distress in fibromyalgia and osteoarthritis", "type" : "article-journal", "volume" : "39" }, "uris" : [ "http://www.mendeley.com/documents/?uuid=1368df73-3cee-49ac-a942-452a8abfc03b" ] }, { "id" : "ITEM-2", "itemData" : { "DOI" : "10.1016/j.jpain.2015.04.003", "ISSN" : "1528-8447", "PMID" : "25937162", "abstract" : "UNLABELLED: Although high levels of negative affect and cognitions have been associated with greater pain sensitivity in chronic pain conditions, the neural mechanisms mediating the hyperalgesic effect of psychological factors in patients with pain disorders are largely unknown. In this cross-sectional study, we hypothesized that 1) catastrophizing modulates brain responses to pain anticipation and 2) anticipatory brain activity mediates the hyperalgesic effect of different levels of catastrophizing in fibromyalgia (FM) patients. Using functional magnetic resonance imaging, we scanned the brains of 31 FM patients exposed to visual cues anticipating the onset of moderately intense deep-tissue pain stimuli. Our results indicated the existence of a negative association between catastrophizing and pain-anticipatory brain activity, including in the right lateral prefrontal cortex. A bootstrapped mediation analysis revealed that pain-anticipatory activity in the lateral prefrontal cortex mediates the association between catastrophizing and pain sensitivity. These findings highlight the role of the lateral prefrontal cortex in the pathophysiology of FM-related hyperalgesia and suggest that deficits in the recruitment of pain-inhibitory brain circuitry during pain-anticipatory periods may play an important contributory role in the association between various degrees of widespread hyperalgesia in FM and levels of catastrophizing, a well-validated measure of negative cognitions and psychological distress.\n\nPERSPECTIVE: This article highlights the presence of alterations in pain-anticipatory brain activity in FM. These findings provide the rationale for the development of psychological or neurofeedback-based techniques aimed at modifying patients' negative affect and cognitions toward pain.", "author" : [ { "dropping-particle" : "", "family" : "Loggia", "given" : "Marco L", "non-dropping-particle" : "", "parse-names" : false, "suffix" : "" }, { "dropping-particle" : "", "family" : "Berna", "given" : "Chantal", "non-dropping-particle" : "", "parse-names" : false, "suffix" : "" }, { "dropping-particle" : "", "family" : "Kim", "given" : "Jieun", "non-dropping-particle" : "", "parse-names" : false, "suffix" : "" }, { "dropping-particle" : "", "family" : "Cahalan", "given" : "Christine M", "non-dropping-particle" : "", "parse-names" : false, "suffix" : "" }, { "dropping-particle" : "", "family" : "Martel", "given" : "Marc-Olivier", "non-dropping-particle" : "", "parse-names" : false, "suffix" : "" }, { "dropping-particle" : "", "family" : "Gollub", "given" : "Randy L", "non-dropping-particle" : "", "parse-names" : false, "suffix" : "" }, { "dropping-particle" : "", "family" : "Wasan", "given" : "Ajay D", "non-dropping-particle" : "", "parse-names" : false, "suffix" : "" }, { "dropping-particle" : "", "family" : "Napadow", "given" : "Vitaly", "non-dropping-particle" : "", "parse-names" : false, "suffix" : "" }, { "dropping-particle" : "", "family" : "Edwards", "given" : "Robert R", "non-dropping-particle" : "", "parse-names" : false, "suffix" : "" } ], "container-title" : "The journal of pain : official journal of the American Pain Society", "id" : "ITEM-2", "issue" : "8", "issued" : { "date-parts" : [ [ "2015", "8" ] ] }, "page" : "692-9", "title" : "The Lateral Prefrontal Cortex Mediates the Hyperalgesic Effects of\u00a0Negative Cognitions in Chronic Pain Patients.", "type" : "article-journal", "volume" : "16" }, "uris" : [ "http://www.mendeley.com/documents/?uuid=9a37efa6-9eaf-438c-b53e-cdca4607116a" ] } ], "mendeley" : { "formattedCitation" : "(Brown et al., 2014; Loggia et al., 2015)", "plainTextFormattedCitation" : "(Brown et al., 2014; Loggia et al., 2015)", "previouslyFormattedCitation" : "(Brown et al., 2014; Loggia et al., 2015)" }, "properties" : {  }, "schema" : "https://github.com/citation-style-language/schema/raw/master/csl-citation.json" }</w:instrText>
      </w:r>
      <w:r w:rsidR="00EF1207">
        <w:fldChar w:fldCharType="separate"/>
      </w:r>
      <w:r w:rsidR="005B5DFF" w:rsidRPr="005B5DFF">
        <w:rPr>
          <w:noProof/>
        </w:rPr>
        <w:t>(Brown et al., 2014; Loggia et al., 2015)</w:t>
      </w:r>
      <w:r w:rsidR="00EF1207">
        <w:fldChar w:fldCharType="end"/>
      </w:r>
      <w:r w:rsidR="00EF1207">
        <w:t xml:space="preserve">, suggestive of a failure of the top-down inhibitory control provided by this brain region </w:t>
      </w:r>
      <w:r w:rsidR="00EF1207">
        <w:fldChar w:fldCharType="begin" w:fldLock="1"/>
      </w:r>
      <w:r w:rsidR="00DA76DD">
        <w:instrText>ADDIN CSL_CITATION { "citationItems" : [ { "id" : "ITEM-1", "itemData" : { "PMID" : "12690048", "abstract" : "Frontal lobe activity during pain is generally linked to attentional processing. We addressed the question of whether 'bottom-up' processing and 'top-down' modulation of nociceptive information dissociate anatomically within the frontal lobe by using PET scanning during painful thermal stimulation of normal and capsaicin-treated skin. We showed recently that pain following normally non-painful heat stimuli on chemically irritated skin (heat allodynia) uniquely engages extensive areas of the bilateral dorsolateral prefrontal (DLPFC), ventral/orbitofrontal (VOFC) and perigenual anterior cingulate (ACC) cortices. Here, we applied principal component analysis (PCA) and multiple regression analysis to study the covariance structure of the volumes of interest (VOI) activated specifically during heat allodynia in 14 male healthy subjects and evaluated the relationship of these VOI to ratings of pain intensity and affect. Results yielded a primary principal component (PC) that correlated positively with intensity and unpleasantness and accounted for activity in the medial thalamus, bilateral anterior insula, ventral striatum, perigenual ACC and bilateral VOFC. Activities in the right and left DLPFC loaded on separate PC and correlated negatively with perceived intensity and unpleasantness. The inter-regional correlation of midbrain and medial thalamic activity was significantly reduced during high left DLPFC activity, suggesting that its negative correlation with pain affect may result from dampening of the effective connectivity of the midbrain-medial thalamic pathway. In contrast, right DLPFC activity was associated with a weakened relationship of the anterior insula with both pain intensity and affect. We propose that the DLPFC exerts active control on pain perception by modulating corticosubcortical and corticocortical pathways", "author" : [ { "dropping-particle" : "", "family" : "Lorenz", "given" : "J", "non-dropping-particle" : "", "parse-names" : false, "suffix" : "" }, { "dropping-particle" : "", "family" : "Minoshima", "given" : "S", "non-dropping-particle" : "", "parse-names" : false, "suffix" : "" }, { "dropping-particle" : "", "family" : "Casey", "given" : "K L", "non-dropping-particle" : "", "parse-names" : false, "suffix" : "" } ], "container-title" : "Brain", "id" : "ITEM-1", "issue" : "0006-8950", "issued" : { "date-parts" : [ [ "2003", "5" ] ] }, "language" : "eng PT - Clinical Trial PT - Journal Article", "note" : "&lt;m:note&gt;        &lt;m:bold&gt;From Duplicate 1 ( &lt;/m:bold&gt;        &lt;m:bold&gt;          &lt;/m:bold&gt;&lt;m:bold&gt;&lt;m:italic&gt;Keeping pain out of mind: the role of the dorsolateral prefrontal cortex in pain modulation&lt;/m:italic&gt;&lt;/m:bold&gt;&lt;m:bold&gt;        &lt;/m:bold&gt;        &lt;m:bold&gt; - Lorenz, J; Minoshima, S; Casey, K L )&lt;m:linebreak/&gt;        &lt;/m:bold&gt;        &lt;m:linebreak/&gt;UI - 22575268&lt;m:linebreak/&gt;        &lt;m:linebreak/&gt;0 (Irritants)&lt;m:linebreak/&gt;        &lt;m:linebreak/&gt;404-86-4 (Capsaicin)&lt;m:linebreak/&gt;SB - AIM&lt;m:linebreak/&gt;SB - IM&lt;m:linebreak/&gt;        &lt;m:linebreak/&gt;        &lt;m:bold&gt;From Duplicate 3 ( &lt;/m:bold&gt;        &lt;m:bold&gt;          &lt;/m:bold&gt;&lt;m:bold&gt;&lt;m:italic&gt;Keeping pain out of mind: the role of the dorsolateral prefrontal cortex in pain modulation&lt;/m:italic&gt;&lt;/m:bold&gt;&lt;m:bold&gt;        &lt;/m:bold&gt;        &lt;m:bold&gt; - Lorenz, J; Minoshima, S; Casey, K L )&lt;m:linebreak/&gt;        &lt;/m:bold&gt;        &lt;m:linebreak/&gt;J&lt;m:linebreak/&gt;Part 5&lt;m:linebreak/&gt;MAY 2003&lt;m:linebreak/&gt;204&lt;m:linebreak/&gt;        &lt;m:linebreak/&gt;      &lt;/m:note&gt;", "page" : "1079-1091", "publisher-place" : "Department of Neurology, University of Michigan, Neurology Research Laboratories, Veterans Affairs Medical Center, Ann Arbor, MI, USA. lorenz@uke.uni-hamburg.de", "title" : "Keeping pain out of mind: the role of the dorsolateral prefrontal cortex in pain modulation", "type" : "article-journal", "volume" : "126" }, "uris" : [ "http://www.mendeley.com/documents/?uuid=3f57eaa0-0424-4cf6-9c26-3a5eb7c2aee5" ] } ], "mendeley" : { "formattedCitation" : "(Lorenz et al., 2003)", "plainTextFormattedCitation" : "(Lorenz et al., 2003)", "previouslyFormattedCitation" : "(Lorenz et al., 2003)" }, "properties" : {  }, "schema" : "https://github.com/citation-style-language/schema/raw/master/csl-citation.json" }</w:instrText>
      </w:r>
      <w:r w:rsidR="00EF1207">
        <w:fldChar w:fldCharType="separate"/>
      </w:r>
      <w:r w:rsidR="005B5DFF" w:rsidRPr="005B5DFF">
        <w:rPr>
          <w:noProof/>
        </w:rPr>
        <w:t>(Lorenz et al., 2003)</w:t>
      </w:r>
      <w:r w:rsidR="00EF1207">
        <w:fldChar w:fldCharType="end"/>
      </w:r>
      <w:r w:rsidR="00EF1207">
        <w:t xml:space="preserve">, which can be remedied through psychological intervention </w:t>
      </w:r>
      <w:r w:rsidR="00EF1207">
        <w:fldChar w:fldCharType="begin" w:fldLock="1"/>
      </w:r>
      <w:r w:rsidR="00DA76DD">
        <w:instrText>ADDIN CSL_CITATION { "citationItems" : [ { "id" : "ITEM-1", "itemData" : { "abstract" : "Mindfulness-based pain management programs (MBPMs) aim to improve mental and physical health in individuals with chronic pain. In this study, we investigated whether improvement in mental health might require (1) reduction in the sensory pain experience and brain correlates of that experience, and/or (2) improved perceptions of the controllability of pain and corresponding brain activity related to cognitive control and emotional regulation.", "author" : [ { "dropping-particle" : "", "family" : "Brown", "given" : "Christopher A.", "non-dropping-particle" : "", "parse-names" : false, "suffix" : "" }, { "dropping-particle" : "", "family" : "Jones", "given" : "Anthony K. P.", "non-dropping-particle" : "", "parse-names" : false, "suffix" : "" } ], "container-title" : "Clinical Journal of Pain", "id" : "ITEM-1", "issue" : "3", "issued" : { "date-parts" : [ [ "2013" ] ] }, "page" : "233-244", "title" : "Psychobiological correlates of improved mental health in patients with musculoskeletal pain after a mindfulness-based pain management program", "type" : "article-journal", "volume" : "29" }, "uris" : [ "http://www.mendeley.com/documents/?uuid=81777b44-22bb-41d5-876d-72e1d2d04b2b" ] } ], "mendeley" : { "formattedCitation" : "(Brown and Jones, 2013)", "plainTextFormattedCitation" : "(Brown and Jones, 2013)", "previouslyFormattedCitation" : "(Brown and Jones, 2013)" }, "properties" : {  }, "schema" : "https://github.com/citation-style-language/schema/raw/master/csl-citation.json" }</w:instrText>
      </w:r>
      <w:r w:rsidR="00EF1207">
        <w:fldChar w:fldCharType="separate"/>
      </w:r>
      <w:r w:rsidR="005B5DFF" w:rsidRPr="005B5DFF">
        <w:rPr>
          <w:noProof/>
        </w:rPr>
        <w:t>(Brown and Jones, 2013)</w:t>
      </w:r>
      <w:r w:rsidR="00EF1207">
        <w:fldChar w:fldCharType="end"/>
      </w:r>
      <w:r w:rsidR="00EF1207">
        <w:t>.</w:t>
      </w:r>
      <w:r w:rsidR="00C1323A" w:rsidRPr="00DC692B">
        <w:t xml:space="preserve"> </w:t>
      </w:r>
      <w:r w:rsidR="00EF1207">
        <w:t xml:space="preserve">This provides a basis for </w:t>
      </w:r>
      <w:r w:rsidR="00D444DE">
        <w:t>further investigation of</w:t>
      </w:r>
      <w:r w:rsidR="00C1323A" w:rsidRPr="00DC692B">
        <w:t xml:space="preserve"> clinically viable biomarkers</w:t>
      </w:r>
      <w:r w:rsidR="00EF1207">
        <w:t xml:space="preserve"> of PC</w:t>
      </w:r>
      <w:r w:rsidR="00C1323A" w:rsidRPr="00DC692B">
        <w:t>.</w:t>
      </w:r>
      <w:r w:rsidR="007F510D">
        <w:t xml:space="preserve"> </w:t>
      </w:r>
    </w:p>
    <w:p w14:paraId="26C05937" w14:textId="3DA38A71" w:rsidR="004726E4" w:rsidRDefault="00137C8C" w:rsidP="007512FC">
      <w:pPr>
        <w:spacing w:line="480" w:lineRule="auto"/>
        <w:rPr>
          <w:rFonts w:ascii="Georgia" w:hAnsi="Georgia"/>
          <w:color w:val="333333"/>
          <w:spacing w:val="2"/>
          <w:sz w:val="26"/>
          <w:szCs w:val="26"/>
          <w:shd w:val="clear" w:color="auto" w:fill="FCFCFC"/>
        </w:rPr>
      </w:pPr>
      <w:r>
        <w:t xml:space="preserve">One approach is to investigate PC in pain-free individuals, in order to avoid the potential confound of chronic pain symptoms. </w:t>
      </w:r>
      <w:r w:rsidR="00C1323A" w:rsidRPr="00DC692B">
        <w:t xml:space="preserve">In this study, we </w:t>
      </w:r>
      <w:r w:rsidR="00CE2A32">
        <w:t>acquired</w:t>
      </w:r>
      <w:r w:rsidR="00C1323A" w:rsidRPr="00DC692B">
        <w:t xml:space="preserve"> </w:t>
      </w:r>
      <w:r w:rsidR="00C1323A">
        <w:t xml:space="preserve">scalp </w:t>
      </w:r>
      <w:r w:rsidR="00C1323A" w:rsidRPr="00DC692B">
        <w:t>EEG</w:t>
      </w:r>
      <w:r w:rsidR="00C1323A">
        <w:t xml:space="preserve"> in </w:t>
      </w:r>
      <w:r w:rsidR="00D444DE">
        <w:t>pain-free</w:t>
      </w:r>
      <w:r w:rsidR="00C1323A">
        <w:t xml:space="preserve"> individuals with high and low levels of PC in order</w:t>
      </w:r>
      <w:r w:rsidR="00C1323A" w:rsidRPr="00DC692B">
        <w:t xml:space="preserve"> to characterise</w:t>
      </w:r>
      <w:r w:rsidR="00C1323A">
        <w:t xml:space="preserve"> </w:t>
      </w:r>
      <w:r w:rsidR="00D444DE">
        <w:t>PC</w:t>
      </w:r>
      <w:r w:rsidR="00C1323A">
        <w:t xml:space="preserve"> </w:t>
      </w:r>
      <w:r w:rsidR="00C1323A" w:rsidRPr="00DC692B">
        <w:t>in terms of</w:t>
      </w:r>
      <w:r w:rsidR="00C1323A">
        <w:t xml:space="preserve"> two hypothesised neural processes:</w:t>
      </w:r>
      <w:r w:rsidR="00C1323A" w:rsidRPr="00DC692B">
        <w:t xml:space="preserve"> aversive value enc</w:t>
      </w:r>
      <w:r w:rsidR="00CE2A32">
        <w:t xml:space="preserve">oding (“magnification”) and </w:t>
      </w:r>
      <w:r w:rsidR="00C1323A" w:rsidRPr="00DC692B">
        <w:t xml:space="preserve">perseverative expectation </w:t>
      </w:r>
      <w:r w:rsidR="009330D8">
        <w:t xml:space="preserve">effects </w:t>
      </w:r>
      <w:r w:rsidR="00C1323A" w:rsidRPr="00DC692B">
        <w:t>(“rumination”).</w:t>
      </w:r>
      <w:r w:rsidR="004726E4">
        <w:t xml:space="preserve"> </w:t>
      </w:r>
      <w:r w:rsidR="00A01613">
        <w:t>T</w:t>
      </w:r>
      <w:r w:rsidR="004726E4">
        <w:t xml:space="preserve">hese processes were operationalised with respect to the </w:t>
      </w:r>
      <w:r w:rsidR="00A01613">
        <w:rPr>
          <w:i/>
        </w:rPr>
        <w:t xml:space="preserve">transient </w:t>
      </w:r>
      <w:r w:rsidR="00A01613">
        <w:t>(magnification) a</w:t>
      </w:r>
      <w:r w:rsidR="004726E4">
        <w:t xml:space="preserve">nd </w:t>
      </w:r>
      <w:r w:rsidR="004726E4" w:rsidRPr="00DF15E0">
        <w:rPr>
          <w:i/>
        </w:rPr>
        <w:t xml:space="preserve">persistent </w:t>
      </w:r>
      <w:r w:rsidR="00A01613">
        <w:t>(rumination) e</w:t>
      </w:r>
      <w:r w:rsidR="004726E4">
        <w:t xml:space="preserve">ffects of expectancy cues on </w:t>
      </w:r>
      <w:r w:rsidR="00A01613">
        <w:t xml:space="preserve">the temporal dynamics of </w:t>
      </w:r>
      <w:r w:rsidR="004726E4">
        <w:t xml:space="preserve">neural responses as participants anticipated and experienced experimental (laser) pain stimuli. </w:t>
      </w:r>
      <w:r w:rsidR="009330D8">
        <w:t>This approach to perseverative expectation</w:t>
      </w:r>
      <w:r w:rsidR="004726E4">
        <w:t xml:space="preserve"> builds on </w:t>
      </w:r>
      <w:r w:rsidR="00A01613">
        <w:t xml:space="preserve">our previous </w:t>
      </w:r>
      <w:r w:rsidR="004726E4">
        <w:t>research showing that expectancy effects on nociception and pain persist even if initial expectancy cues are followed by contrary information indicating no threat of pain (</w:t>
      </w:r>
      <w:r w:rsidR="004726E4">
        <w:rPr>
          <w:noProof/>
        </w:rPr>
        <w:t xml:space="preserve">the so-called ‘prior expectancy effect’ </w:t>
      </w:r>
      <w:r w:rsidR="004726E4">
        <w:fldChar w:fldCharType="begin" w:fldLock="1"/>
      </w:r>
      <w:r w:rsidR="00DA76DD">
        <w:instrText>ADDIN CSL_CITATION { "citationItems" : [ { "id" : "ITEM-1", "itemData" : { "DOI" : "10.1371/journal.pone.0180006", "ISSN" : "19326203", "abstract" : "\u00a9 2017 Almarzouki et al. This is an open access article distributed under the terms of the Creative Commons Attribution License, which permits unrestricted use, distribution, and reproduction in any medium, provided the original author and source are credited. It is well known that the efficacy of treatment effects, including those of placebos, is heavily dependent on positive expectations regarding treatment outcomes. For example, positive expectations about pain treatments are essential for pain reduction. Such positive expectations not only depend on the properties of the treatment itself, but also on the context in which the treatment is presented. However, it is not clear how the preceding threat of pain will bias positive expectancy effects. One hypothesis is that threatening contexts trigger fearful and catastrophic thinking, reducing the pain-relieving effects of positive expectancy. In this study, we investigated the disruptive influence of threatening contexts on positive expectancy effects while 41 healthy volunteers experienced laser-induced heat pain. A threatening context was induced using pain-threatening cues that preceded the induction of positive expectancies via subsequent pain-safety cues. We also utilised electroencephalography (EEG) to investigate potential neural mechanisms underlying these effects. Lastly, we used the Fear of Pain Questionnaire to address whether the disruptive effect of negative contexts on cued pain relief was related to the degree of fear of pain. As predicted, participants responded less to pain-safety cues (i.e., experienced more pain) when these were preceded by pain-threatening cues. In this threatening context, an enhancement of the N2 component of the laser-evoked potential was detected, which was more pronounced in fearful individuals. This effect was localised to the midcingulate cortex, an area thought to integrate negative affect with pain experience to enable adaptive behaviour in aversive situations. These results suggest that threatening contexts disrupt the effect of pain relief cues via an aversive priming mechanism that enhances neural responses in the early stages of sensory processing.", "author" : [ { "dropping-particle" : "", "family" : "Almarzouki", "given" : "A.F.", "non-dropping-particle" : "", "parse-names" : false, "suffix" : "" }, { "dropping-particle" : "", "family" : "Brown", "given" : "C.A.", "non-dropping-particle" : "", "parse-names" : false, "suffix" : "" }, { "dropping-particle" : "", "family" : "Brown", "given" : "R.J.", "non-dropping-particle" : "", "parse-names" : false, "suffix" : "" }, { "dropping-particle" : "", "family" : "Leung", "given" : "M.H.K.", "non-dropping-particle" : "", "parse-names" : false, "suffix" : "" }, { "dropping-particle" : "", "family" : "Jones", "given" : "A.K.P.", "non-dropping-particle" : "", "parse-names" : false, "suffix" : "" } ], "container-title" : "PLoS ONE", "id" : "ITEM-1", "issue" : "6", "issued" : { "date-parts" : [ [ "2017" ] ] }, "title" : "Negative expectations interfere with the analgesic effect of safety cues on pain perception by priming the cortical representation of pain in the midcingulate cortex", "type" : "article-journal", "volume" : "12" }, "uris" : [ "http://www.mendeley.com/documents/?uuid=3345246e-b5fb-383e-b770-e3f861d27292" ] } ], "mendeley" : { "formattedCitation" : "(Almarzouki et al., 2017)", "plainTextFormattedCitation" : "(Almarzouki et al., 2017)", "previouslyFormattedCitation" : "(Almarzouki et al., 2017)" }, "properties" : {  }, "schema" : "https://github.com/citation-style-language/schema/raw/master/csl-citation.json" }</w:instrText>
      </w:r>
      <w:r w:rsidR="004726E4">
        <w:fldChar w:fldCharType="separate"/>
      </w:r>
      <w:r w:rsidR="005B5DFF" w:rsidRPr="005B5DFF">
        <w:rPr>
          <w:noProof/>
        </w:rPr>
        <w:t>(Almarzouki et al., 2017)</w:t>
      </w:r>
      <w:r w:rsidR="004726E4">
        <w:fldChar w:fldCharType="end"/>
      </w:r>
      <w:r w:rsidR="004726E4">
        <w:t>).</w:t>
      </w:r>
      <w:r w:rsidR="004726E4" w:rsidRPr="00E34C15">
        <w:t xml:space="preserve"> </w:t>
      </w:r>
      <w:r w:rsidR="00BE7E2B">
        <w:t>Here we tested the hypothesis of a more persistent expectancy effect (i.e. augmented nociceptive processing and reported pain) in pain catastrophizers. Secondly we tested an alternative hypothesis in which magnified cue processing occurs in pain catastrophizers more transiently without affecting subsequent pain processing.</w:t>
      </w:r>
    </w:p>
    <w:p w14:paraId="45335B8E" w14:textId="1F3436F9" w:rsidR="005B5DFF" w:rsidRDefault="00C1323A" w:rsidP="007512FC">
      <w:pPr>
        <w:spacing w:line="480" w:lineRule="auto"/>
      </w:pPr>
      <w:r>
        <w:lastRenderedPageBreak/>
        <w:t>Our analyses utilise</w:t>
      </w:r>
      <w:r w:rsidR="00DF0752">
        <w:t>d</w:t>
      </w:r>
      <w:r>
        <w:t xml:space="preserve"> standard mass univariate as well as multivariate analysis of event-related potentials (ERPs) in order to identify spatiotemporal patterns that classify high from low PC groups</w:t>
      </w:r>
      <w:r w:rsidR="00D444DE">
        <w:t>, as a step towards biomarker development</w:t>
      </w:r>
      <w:r>
        <w:t xml:space="preserve">. Specifically, we used Multivariate Pattern Analysis (MVPA), </w:t>
      </w:r>
      <w:r w:rsidR="00CE2A32">
        <w:t xml:space="preserve">which </w:t>
      </w:r>
      <w:r w:rsidR="00D444DE">
        <w:t>applies</w:t>
      </w:r>
      <w:r w:rsidR="00CE2A32">
        <w:t xml:space="preserve"> </w:t>
      </w:r>
      <w:hyperlink r:id="rId8" w:tooltip="Learn more about Machine learning" w:history="1">
        <w:r w:rsidR="004C206F">
          <w:t>machine-</w:t>
        </w:r>
        <w:r w:rsidRPr="006D20D5">
          <w:t>learning</w:t>
        </w:r>
      </w:hyperlink>
      <w:r w:rsidR="00CE2A32">
        <w:t> algorithms</w:t>
      </w:r>
      <w:r w:rsidRPr="006D20D5">
        <w:t xml:space="preserve"> </w:t>
      </w:r>
      <w:r w:rsidR="00CE2A32">
        <w:t xml:space="preserve">to neuroimaging data. In </w:t>
      </w:r>
      <w:r w:rsidRPr="006D20D5">
        <w:t>recent years</w:t>
      </w:r>
      <w:r w:rsidR="00CE2A32">
        <w:t xml:space="preserve">, MVPA has </w:t>
      </w:r>
      <w:r w:rsidRPr="006D20D5">
        <w:t xml:space="preserve">provided predictive measures of </w:t>
      </w:r>
      <w:r w:rsidR="00D444DE">
        <w:t>pain</w:t>
      </w:r>
      <w:r>
        <w:t xml:space="preserve"> at</w:t>
      </w:r>
      <w:r w:rsidR="00D444DE">
        <w:t xml:space="preserve"> the single individual level </w:t>
      </w:r>
      <w:r w:rsidR="00D444DE">
        <w:fldChar w:fldCharType="begin" w:fldLock="1"/>
      </w:r>
      <w:r w:rsidR="00DA76DD">
        <w:instrText>ADDIN CSL_CITATION { "citationItems" : [ { "id" : "ITEM-1", "itemData" : { "DOI" : "10.1056/NEJMoa1204471", "ISSN" : "0028-4793", "abstract" : "Background Persistent pain is measured by means of self-report, the sole reliance on which hampers diagnosis and treatment. Functional magnetic resonance imaging (fMRI) holds promise for identifying objective measures of pain, but brain measures that are sensitive and specific to physical pain have not yet been identified. Methods In four studies involving a total of 114 participants, we developed an fMRI-based measure that predicts pain intensity at the level of the individual person. In study 1, we used machine-learning analyses to identify a pattern of fMRI activity across brain regions \u2014 a neurologic signature \u2014 that was associated with heat-induced pain. The pattern included the thalamus, the posterior and anterior insulae, the secondary somatosensory cortex, the anterior cingulate cortex, the periaqueductal gray matter, and other regions. In study 2, we tested the sensitivity and specificity of the signature to pain versus warmth in a new sample. In study 3, we assessed specificity relative to socia...", "author" : [ { "dropping-particle" : "", "family" : "Wager", "given" : "Tor D.", "non-dropping-particle" : "", "parse-names" : false, "suffix" : "" }, { "dropping-particle" : "", "family" : "Atlas", "given" : "Lauren Y.", "non-dropping-particle" : "", "parse-names" : false, "suffix" : "" }, { "dropping-particle" : "", "family" : "Lindquist", "given" : "Martin A.", "non-dropping-particle" : "", "parse-names" : false, "suffix" : "" }, { "dropping-particle" : "", "family" : "Roy", "given" : "Mathieu", "non-dropping-particle" : "", "parse-names" : false, "suffix" : "" }, { "dropping-particle" : "", "family" : "Woo", "given" : "Choong-Wan", "non-dropping-particle" : "", "parse-names" : false, "suffix" : "" }, { "dropping-particle" : "", "family" : "Kross", "given" : "Ethan", "non-dropping-particle" : "", "parse-names" : false, "suffix" : "" } ], "container-title" : "New England Journal of Medicine", "id" : "ITEM-1", "issue" : "15", "issued" : { "date-parts" : [ [ "2013", "4", "11" ] ] }, "page" : "1388-1397", "publisher" : " Massachusetts Medical Society ", "title" : "An fMRI-Based Neurologic Signature of Physical Pain", "type" : "article-journal", "volume" : "368" }, "uris" : [ "http://www.mendeley.com/documents/?uuid=b5bbe9af-922b-3604-a775-7abb90ba2e4a" ] }, { "id" : "ITEM-2", "itemData" : { "DOI" : "10.1016/j.neuroimage.2012.08.035", "ISBN" : "1095-9572 (Electronic)\\r1053-8119 (Linking)", "ISSN" : "10538119", "PMID" : "22922369", "abstract" : "Pain is known to comprise sensory, cognitive, and affective aspects. Despite numerous previous fMRI studies, however, it remains open which spatial distribution of activity is sufficient to encode whether a stimulus is perceived as painful or not. In this study, we analyzed fMRI data from a perceptual decision-making task in which participants were exposed to near-threshold laser pulses. Using multivariate analyses on different spatial scales, we investigated the predictive capacity of fMRI data for decoding whether a stimulus had been perceived as painful. Our analysis yielded a rank order of brain regions: during pain anticipation, activity in the periaqueductal gray (PAG) and orbitofrontal cortex (OFC) afforded the most accurate trial-by-trial discrimination between painful and non-painful experiences; whereas during the actual stimulation, primary and secondary somatosensory cortex, anterior insula, dorsolateral and ventrolateral prefrontal cortex, and OFC were most discriminative. The most accurate prediction of pain perception from the stimulation period, however, was enabled by the combined activity in pain regions commonly referred to as the 'pain matrix'. Our results demonstrate that the neural representation of (near-threshold) pain is spatially distributed and can be best described at an intermediate spatial scale. In addition to its utility in establishing structure-function mappings, our approach affords trial-by-trial predictions and thus represents a step towards the goal of establishing an objective neuronal marker of pain perception. \u00a9 2012 Elsevier Inc.", "author" : [ { "dropping-particle" : "", "family" : "Brodersen", "given" : "Kay H.", "non-dropping-particle" : "", "parse-names" : false, "suffix" : "" }, { "dropping-particle" : "", "family" : "Wiech", "given" : "Katja", "non-dropping-particle" : "", "parse-names" : false, "suffix" : "" }, { "dropping-particle" : "", "family" : "Lomakina", "given" : "Ekaterina I.", "non-dropping-particle" : "", "parse-names" : false, "suffix" : "" }, { "dropping-particle" : "", "family" : "Lin", "given" : "Chia shu", "non-dropping-particle" : "", "parse-names" : false, "suffix" : "" }, { "dropping-particle" : "", "family" : "Buhmann", "given" : "Joachim M.", "non-dropping-particle" : "", "parse-names" : false, "suffix" : "" }, { "dropping-particle" : "", "family" : "Bingel", "given" : "Ulrike", "non-dropping-particle" : "", "parse-names" : false, "suffix" : "" }, { "dropping-particle" : "", "family" : "Ploner", "given" : "Markus", "non-dropping-particle" : "", "parse-names" : false, "suffix" : "" }, { "dropping-particle" : "", "family" : "Stephan", "given" : "Klaas Enno", "non-dropping-particle" : "", "parse-names" : false, "suffix" : "" }, { "dropping-particle" : "", "family" : "Tracey", "given" : "Irene", "non-dropping-particle" : "", "parse-names" : false, "suffix" : "" } ], "container-title" : "NeuroImage", "id" : "ITEM-2", "issue" : "3", "issued" : { "date-parts" : [ [ "2012" ] ] }, "page" : "1162-1170", "title" : "Decoding the perception of pain from fMRI using multivariate pattern analysis", "type" : "article-journal", "volume" : "63" }, "uris" : [ "http://www.mendeley.com/documents/?uuid=1bf01081-17f9-4118-9038-d67f9a97c601" ] } ], "mendeley" : { "formattedCitation" : "(Brodersen et al., 2012; Wager et al., 2013)", "plainTextFormattedCitation" : "(Brodersen et al., 2012; Wager et al., 2013)", "previouslyFormattedCitation" : "(Brodersen et al., 2012; Wager et al., 2013)" }, "properties" : {  }, "schema" : "https://github.com/citation-style-language/schema/raw/master/csl-citation.json" }</w:instrText>
      </w:r>
      <w:r w:rsidR="00D444DE">
        <w:fldChar w:fldCharType="separate"/>
      </w:r>
      <w:r w:rsidR="005B5DFF" w:rsidRPr="005B5DFF">
        <w:rPr>
          <w:noProof/>
        </w:rPr>
        <w:t>(Brodersen et al., 2012; Wager et al., 2013)</w:t>
      </w:r>
      <w:r w:rsidR="00D444DE">
        <w:fldChar w:fldCharType="end"/>
      </w:r>
      <w:r w:rsidR="00AA3C88">
        <w:t xml:space="preserve"> and </w:t>
      </w:r>
      <w:r>
        <w:t>has been applied to</w:t>
      </w:r>
      <w:r w:rsidRPr="006D20D5">
        <w:t xml:space="preserve"> ERPs to </w:t>
      </w:r>
      <w:r>
        <w:t>classify patie</w:t>
      </w:r>
      <w:r w:rsidR="00AA3C88">
        <w:t xml:space="preserve">nts with psychiatric disorders </w:t>
      </w:r>
      <w:r w:rsidR="00AA3C88">
        <w:fldChar w:fldCharType="begin" w:fldLock="1"/>
      </w:r>
      <w:r w:rsidR="00DA76DD">
        <w:instrText>ADDIN CSL_CITATION { "citationItems" : [ { "id" : "ITEM-1", "itemData" : { "DOI" : "10.1016/j.nicl.2017.04.027", "ISSN" : "22131582", "PMID" : "28560151", "abstract" : "Schizophrenia is a complex psychiatric disorder, typically diagnosed through symptomatic evidence collected through patient interview. We aim to develop an objective biologically-based computational tool which aids diagnosis and relies on accessible imaging technologies such as electroencephalography (EEG). To achieve this, we used machine learning techniques and a combination of paradigms designed to elicit prediction errors or Mismatch Negativity (MMN) responses. MMN, an EEG component elicited by unpredictable changes in sequences of auditory stimuli, has previously been shown to be reduced in people with schizophrenia and this is arguably one of the most reproducible neurophysiological markers of schizophrenia. EEG data were acquired from 21 patients with schizophrenia and 22 healthy controls whilst they listened to three auditory oddball paradigms comprising sequences of tones which deviated in 10% of trials from regularly occurring standard tones. Deviant tones shared the same properties as standard tones, except for one physical aspect: 1) duration - the deviant stimulus was twice the duration of the standard; 2) monaural gap - deviants had a silent interval omitted from the standard, or 3) inter-aural timing difference, which caused the deviant location to be perceived as 90\u00b0 away from the standards. We used multivariate pattern analysis, a machine learning technique implemented in the Pattern Recognition for Neuroimaging Toolbox (PRoNTo) to classify images generated through statistical parametric mapping (SPM) of spatiotemporal EEG data, i.e. event-related potentials measured on the two-dimensional surface of the scalp over time. Using support vector machine (SVM) and Gaussian processes classifiers (GPC), we were able classify individual patients and controls with balanced accuracies of up to 80.48% (p-values = 0.0326, FDR corrected) and an ROC analysis yielding an AUC of 0.87. Crucially, a GP regression revealed that MMN predicted global assessment of functioning (GAF) scores (correlation = 0.73, R2= 0.53, p = 0.0006).", "author" : [ { "dropping-particle" : "", "family" : "Taylor", "given" : "J. A.", "non-dropping-particle" : "", "parse-names" : false, "suffix" : "" }, { "dropping-particle" : "", "family" : "Matthews", "given" : "N.", "non-dropping-particle" : "", "parse-names" : false, "suffix" : "" }, { "dropping-particle" : "", "family" : "Michie", "given" : "P. T.", "non-dropping-particle" : "", "parse-names" : false, "suffix" : "" }, { "dropping-particle" : "", "family" : "Rosa", "given" : "M. J.", "non-dropping-particle" : "", "parse-names" : false, "suffix" : "" }, { "dropping-particle" : "", "family" : "Garrido", "given" : "M. I.", "non-dropping-particle" : "", "parse-names" : false, "suffix" : "" } ], "container-title" : "NeuroImage: Clinical", "id" : "ITEM-1", "issued" : { "date-parts" : [ [ "2017" ] ] }, "page" : "264-273", "title" : "Auditory prediction errors as individual biomarkers of schizophrenia", "type" : "article-journal", "volume" : "15" }, "uris" : [ "http://www.mendeley.com/documents/?uuid=757db854-536a-473f-803c-b96ca597cdd2" ] } ], "mendeley" : { "formattedCitation" : "(Taylor et al., 2017)", "plainTextFormattedCitation" : "(Taylor et al., 2017)", "previouslyFormattedCitation" : "(Taylor et al., 2017)" }, "properties" : {  }, "schema" : "https://github.com/citation-style-language/schema/raw/master/csl-citation.json" }</w:instrText>
      </w:r>
      <w:r w:rsidR="00AA3C88">
        <w:fldChar w:fldCharType="separate"/>
      </w:r>
      <w:r w:rsidR="005B5DFF" w:rsidRPr="005B5DFF">
        <w:rPr>
          <w:noProof/>
        </w:rPr>
        <w:t>(Taylor et al., 2017)</w:t>
      </w:r>
      <w:r w:rsidR="00AA3C88">
        <w:fldChar w:fldCharType="end"/>
      </w:r>
      <w:r>
        <w:t>; here, we provide the first attempt to apply this methodology to classifying PC.</w:t>
      </w:r>
    </w:p>
    <w:p w14:paraId="2C9FAF20" w14:textId="77777777" w:rsidR="005B5DFF" w:rsidRDefault="005B5DFF" w:rsidP="007512FC">
      <w:pPr>
        <w:spacing w:line="480" w:lineRule="auto"/>
      </w:pPr>
    </w:p>
    <w:p w14:paraId="050E1A92" w14:textId="77777777" w:rsidR="005B5DFF" w:rsidRDefault="005B5DFF" w:rsidP="007512FC">
      <w:pPr>
        <w:spacing w:line="480" w:lineRule="auto"/>
      </w:pPr>
    </w:p>
    <w:p w14:paraId="091E1282" w14:textId="5AF30337" w:rsidR="005B5DFF" w:rsidRDefault="005B5DFF" w:rsidP="007512FC">
      <w:pPr>
        <w:spacing w:line="480" w:lineRule="auto"/>
      </w:pPr>
      <w:r w:rsidRPr="006A24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1D7C" w:rsidRPr="00871D7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64DE510" wp14:editId="46A249B8">
            <wp:extent cx="5682615" cy="3181985"/>
            <wp:effectExtent l="0" t="0" r="0" b="0"/>
            <wp:docPr id="3" name="Picture 3" descr="C:\Users\Chris\Google Drive\1. Liverpool University\Publications\Cata anticipation 2017\Figures_Tables\Figures_v2\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Google Drive\1. Liverpool University\Publications\Cata anticipation 2017\Figures_Tables\Figures_v2\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2615" cy="3181985"/>
                    </a:xfrm>
                    <a:prstGeom prst="rect">
                      <a:avLst/>
                    </a:prstGeom>
                    <a:noFill/>
                    <a:ln>
                      <a:noFill/>
                    </a:ln>
                  </pic:spPr>
                </pic:pic>
              </a:graphicData>
            </a:graphic>
          </wp:inline>
        </w:drawing>
      </w:r>
    </w:p>
    <w:p w14:paraId="3F3D217D" w14:textId="77777777" w:rsidR="00F1286B" w:rsidRDefault="005B5DFF" w:rsidP="007512FC">
      <w:pPr>
        <w:spacing w:after="0" w:line="480" w:lineRule="auto"/>
        <w:rPr>
          <w:sz w:val="18"/>
          <w:szCs w:val="18"/>
        </w:rPr>
      </w:pPr>
      <w:r w:rsidRPr="006F788B">
        <w:rPr>
          <w:b/>
          <w:bCs/>
          <w:i/>
          <w:iCs/>
          <w:sz w:val="18"/>
          <w:szCs w:val="18"/>
        </w:rPr>
        <w:t>Figure 1.</w:t>
      </w:r>
      <w:r w:rsidRPr="006F788B">
        <w:rPr>
          <w:i/>
          <w:iCs/>
          <w:sz w:val="18"/>
          <w:szCs w:val="18"/>
        </w:rPr>
        <w:t xml:space="preserve"> Conditioning procedure, experimental conditions and contrasts for analysis.</w:t>
      </w:r>
      <w:r>
        <w:rPr>
          <w:sz w:val="18"/>
          <w:szCs w:val="18"/>
        </w:rPr>
        <w:t xml:space="preserve"> </w:t>
      </w:r>
    </w:p>
    <w:p w14:paraId="0F177B42" w14:textId="77777777" w:rsidR="00F1286B" w:rsidRDefault="005B5DFF" w:rsidP="007512FC">
      <w:pPr>
        <w:spacing w:after="0" w:line="480" w:lineRule="auto"/>
        <w:rPr>
          <w:sz w:val="18"/>
          <w:szCs w:val="18"/>
        </w:rPr>
      </w:pPr>
      <w:r w:rsidRPr="006F788B">
        <w:rPr>
          <w:sz w:val="18"/>
          <w:szCs w:val="18"/>
        </w:rPr>
        <w:t xml:space="preserve">A) A brief training procedure involved randomised trials of high and low intensity laser stimuli (pain and non-painful respectively), each of which was preceded by a visual cue that </w:t>
      </w:r>
      <w:r>
        <w:rPr>
          <w:sz w:val="18"/>
          <w:szCs w:val="18"/>
        </w:rPr>
        <w:t>reliably</w:t>
      </w:r>
      <w:r w:rsidRPr="006F788B">
        <w:rPr>
          <w:sz w:val="18"/>
          <w:szCs w:val="18"/>
        </w:rPr>
        <w:t xml:space="preserve"> predicted the laser intensity. </w:t>
      </w:r>
    </w:p>
    <w:p w14:paraId="42E16BF5" w14:textId="77777777" w:rsidR="00F1286B" w:rsidRDefault="005B5DFF" w:rsidP="007512FC">
      <w:pPr>
        <w:spacing w:after="0" w:line="480" w:lineRule="auto"/>
        <w:rPr>
          <w:sz w:val="18"/>
          <w:szCs w:val="18"/>
        </w:rPr>
      </w:pPr>
      <w:r w:rsidRPr="006F788B">
        <w:rPr>
          <w:sz w:val="18"/>
          <w:szCs w:val="18"/>
        </w:rPr>
        <w:t xml:space="preserve">B) The experiment consisted of randomised trials of conditions 1 to </w:t>
      </w:r>
      <w:r>
        <w:rPr>
          <w:sz w:val="18"/>
          <w:szCs w:val="18"/>
        </w:rPr>
        <w:t>4 plus reinforcement trials</w:t>
      </w:r>
      <w:r w:rsidRPr="006F788B">
        <w:rPr>
          <w:sz w:val="18"/>
          <w:szCs w:val="18"/>
        </w:rPr>
        <w:t xml:space="preserve">. The conditions differed according to the presentation of visual cues consisting of upward and downward-pointing arrows (shown here as triangles), and variably intense laser stimuli (represented as circles). In conditions </w:t>
      </w:r>
      <w:r>
        <w:rPr>
          <w:sz w:val="18"/>
          <w:szCs w:val="18"/>
        </w:rPr>
        <w:t>1</w:t>
      </w:r>
      <w:r w:rsidRPr="006F788B">
        <w:rPr>
          <w:sz w:val="18"/>
          <w:szCs w:val="18"/>
        </w:rPr>
        <w:t xml:space="preserve"> and </w:t>
      </w:r>
      <w:r>
        <w:rPr>
          <w:sz w:val="18"/>
          <w:szCs w:val="18"/>
        </w:rPr>
        <w:t>2</w:t>
      </w:r>
      <w:r w:rsidRPr="006F788B">
        <w:rPr>
          <w:sz w:val="18"/>
          <w:szCs w:val="18"/>
        </w:rPr>
        <w:t xml:space="preserve">, “low” cues were presented, which most of the time (two-thirds, condition 2) led to a low intensity laser stimulus, while the other one-third of trials (condition 3) led to a medium intensity laser stimulus that they had previously not been trained to expect (and were not informed might </w:t>
      </w:r>
      <w:r w:rsidRPr="006F788B">
        <w:rPr>
          <w:sz w:val="18"/>
          <w:szCs w:val="18"/>
        </w:rPr>
        <w:lastRenderedPageBreak/>
        <w:t xml:space="preserve">occur). Conditions </w:t>
      </w:r>
      <w:r>
        <w:rPr>
          <w:sz w:val="18"/>
          <w:szCs w:val="18"/>
        </w:rPr>
        <w:t>3</w:t>
      </w:r>
      <w:r w:rsidRPr="006F788B">
        <w:rPr>
          <w:sz w:val="18"/>
          <w:szCs w:val="18"/>
        </w:rPr>
        <w:t xml:space="preserve"> and </w:t>
      </w:r>
      <w:r>
        <w:rPr>
          <w:sz w:val="18"/>
          <w:szCs w:val="18"/>
        </w:rPr>
        <w:t>4</w:t>
      </w:r>
      <w:r w:rsidRPr="006F788B">
        <w:rPr>
          <w:sz w:val="18"/>
          <w:szCs w:val="18"/>
        </w:rPr>
        <w:t xml:space="preserve"> consisted of a “high” cue</w:t>
      </w:r>
      <w:r>
        <w:rPr>
          <w:sz w:val="18"/>
          <w:szCs w:val="18"/>
        </w:rPr>
        <w:t xml:space="preserve"> that </w:t>
      </w:r>
      <w:r w:rsidRPr="006F788B">
        <w:rPr>
          <w:sz w:val="18"/>
          <w:szCs w:val="18"/>
        </w:rPr>
        <w:t>was replaced after 2.5s by a “low” cue. Following this</w:t>
      </w:r>
      <w:r>
        <w:rPr>
          <w:sz w:val="18"/>
          <w:szCs w:val="18"/>
        </w:rPr>
        <w:t xml:space="preserve"> after another 2.5s</w:t>
      </w:r>
      <w:r w:rsidRPr="006F788B">
        <w:rPr>
          <w:sz w:val="18"/>
          <w:szCs w:val="18"/>
        </w:rPr>
        <w:t xml:space="preserve">, two-thirds of trials (condition </w:t>
      </w:r>
      <w:r>
        <w:rPr>
          <w:sz w:val="18"/>
          <w:szCs w:val="18"/>
        </w:rPr>
        <w:t>3</w:t>
      </w:r>
      <w:r w:rsidRPr="006F788B">
        <w:rPr>
          <w:sz w:val="18"/>
          <w:szCs w:val="18"/>
        </w:rPr>
        <w:t xml:space="preserve">) led to a low intensity laser stimulus, while the other one-third of trials (condition </w:t>
      </w:r>
      <w:r>
        <w:rPr>
          <w:sz w:val="18"/>
          <w:szCs w:val="18"/>
        </w:rPr>
        <w:t>4</w:t>
      </w:r>
      <w:r w:rsidRPr="006F788B">
        <w:rPr>
          <w:sz w:val="18"/>
          <w:szCs w:val="18"/>
        </w:rPr>
        <w:t xml:space="preserve">) led to a medium intensity laser stimulus, in a similar way to the contingency in conditions </w:t>
      </w:r>
      <w:r>
        <w:rPr>
          <w:sz w:val="18"/>
          <w:szCs w:val="18"/>
        </w:rPr>
        <w:t>1</w:t>
      </w:r>
      <w:r w:rsidRPr="006F788B">
        <w:rPr>
          <w:sz w:val="18"/>
          <w:szCs w:val="18"/>
        </w:rPr>
        <w:t xml:space="preserve"> and </w:t>
      </w:r>
      <w:r>
        <w:rPr>
          <w:sz w:val="18"/>
          <w:szCs w:val="18"/>
        </w:rPr>
        <w:t>2</w:t>
      </w:r>
      <w:r w:rsidRPr="006F788B">
        <w:rPr>
          <w:sz w:val="18"/>
          <w:szCs w:val="18"/>
        </w:rPr>
        <w:t xml:space="preserve"> (which are identical except for the lack of a prior “high” cue). Condition </w:t>
      </w:r>
      <w:r>
        <w:rPr>
          <w:sz w:val="18"/>
          <w:szCs w:val="18"/>
        </w:rPr>
        <w:t>5</w:t>
      </w:r>
      <w:r w:rsidRPr="006F788B">
        <w:rPr>
          <w:sz w:val="18"/>
          <w:szCs w:val="18"/>
        </w:rPr>
        <w:t xml:space="preserve"> acted as a reinforcement of their prior expectation from training, i.e. that upward arrows </w:t>
      </w:r>
      <w:r>
        <w:rPr>
          <w:sz w:val="18"/>
          <w:szCs w:val="18"/>
        </w:rPr>
        <w:t>lead to</w:t>
      </w:r>
      <w:r w:rsidRPr="006F788B">
        <w:rPr>
          <w:sz w:val="18"/>
          <w:szCs w:val="18"/>
        </w:rPr>
        <w:t xml:space="preserve"> high intensity pain. On every trial, after the laser stimulus participants were asked rate the pain intensity on a 0 – 10 numerical rating scale. </w:t>
      </w:r>
    </w:p>
    <w:p w14:paraId="3D7D5781" w14:textId="4F39805B" w:rsidR="005B5DFF" w:rsidRPr="006F788B" w:rsidRDefault="005B5DFF" w:rsidP="007512FC">
      <w:pPr>
        <w:spacing w:after="0" w:line="480" w:lineRule="auto"/>
        <w:rPr>
          <w:sz w:val="18"/>
          <w:szCs w:val="18"/>
        </w:rPr>
      </w:pPr>
      <w:r w:rsidRPr="006F788B">
        <w:rPr>
          <w:sz w:val="18"/>
          <w:szCs w:val="18"/>
        </w:rPr>
        <w:t xml:space="preserve">C) For EEG analysis, three contrasts were derived from comparisons of conditions </w:t>
      </w:r>
      <w:r>
        <w:rPr>
          <w:sz w:val="18"/>
          <w:szCs w:val="18"/>
        </w:rPr>
        <w:t>1</w:t>
      </w:r>
      <w:r w:rsidRPr="006F788B">
        <w:rPr>
          <w:sz w:val="18"/>
          <w:szCs w:val="18"/>
        </w:rPr>
        <w:t>-</w:t>
      </w:r>
      <w:r>
        <w:rPr>
          <w:sz w:val="18"/>
          <w:szCs w:val="18"/>
        </w:rPr>
        <w:t>4</w:t>
      </w:r>
      <w:r w:rsidRPr="006F788B">
        <w:rPr>
          <w:sz w:val="18"/>
          <w:szCs w:val="18"/>
        </w:rPr>
        <w:t xml:space="preserve">. </w:t>
      </w:r>
      <w:r w:rsidR="005537D2">
        <w:rPr>
          <w:sz w:val="18"/>
          <w:szCs w:val="18"/>
        </w:rPr>
        <w:t>Contrast 1</w:t>
      </w:r>
      <w:r w:rsidRPr="006F788B">
        <w:rPr>
          <w:sz w:val="18"/>
          <w:szCs w:val="18"/>
        </w:rPr>
        <w:t xml:space="preserve"> was the aversive valuation contrast on cue processing, namely EEG responses to the “high” cues (conditions </w:t>
      </w:r>
      <w:r>
        <w:rPr>
          <w:sz w:val="18"/>
          <w:szCs w:val="18"/>
        </w:rPr>
        <w:t>3</w:t>
      </w:r>
      <w:r w:rsidRPr="006F788B">
        <w:rPr>
          <w:sz w:val="18"/>
          <w:szCs w:val="18"/>
        </w:rPr>
        <w:t xml:space="preserve"> and </w:t>
      </w:r>
      <w:r>
        <w:rPr>
          <w:sz w:val="18"/>
          <w:szCs w:val="18"/>
        </w:rPr>
        <w:t>4</w:t>
      </w:r>
      <w:r w:rsidRPr="006F788B">
        <w:rPr>
          <w:sz w:val="18"/>
          <w:szCs w:val="18"/>
        </w:rPr>
        <w:t xml:space="preserve">) vs. the “low” cues (conditions </w:t>
      </w:r>
      <w:r>
        <w:rPr>
          <w:sz w:val="18"/>
          <w:szCs w:val="18"/>
        </w:rPr>
        <w:t>1</w:t>
      </w:r>
      <w:r w:rsidRPr="006F788B">
        <w:rPr>
          <w:sz w:val="18"/>
          <w:szCs w:val="18"/>
        </w:rPr>
        <w:t xml:space="preserve"> and </w:t>
      </w:r>
      <w:r>
        <w:rPr>
          <w:sz w:val="18"/>
          <w:szCs w:val="18"/>
        </w:rPr>
        <w:t>2</w:t>
      </w:r>
      <w:r w:rsidRPr="006F788B">
        <w:rPr>
          <w:sz w:val="18"/>
          <w:szCs w:val="18"/>
        </w:rPr>
        <w:t xml:space="preserve">). </w:t>
      </w:r>
      <w:r w:rsidR="005537D2">
        <w:rPr>
          <w:sz w:val="18"/>
          <w:szCs w:val="18"/>
        </w:rPr>
        <w:t>Contrast 2 was the</w:t>
      </w:r>
      <w:r w:rsidRPr="006F788B">
        <w:rPr>
          <w:sz w:val="18"/>
          <w:szCs w:val="18"/>
        </w:rPr>
        <w:t xml:space="preserve"> laser intensity contrast of medium intensity stimuli (conditions </w:t>
      </w:r>
      <w:r>
        <w:rPr>
          <w:sz w:val="18"/>
          <w:szCs w:val="18"/>
        </w:rPr>
        <w:t>2</w:t>
      </w:r>
      <w:r w:rsidRPr="006F788B">
        <w:rPr>
          <w:sz w:val="18"/>
          <w:szCs w:val="18"/>
        </w:rPr>
        <w:t xml:space="preserve"> and </w:t>
      </w:r>
      <w:r>
        <w:rPr>
          <w:sz w:val="18"/>
          <w:szCs w:val="18"/>
        </w:rPr>
        <w:t>4</w:t>
      </w:r>
      <w:r w:rsidRPr="006F788B">
        <w:rPr>
          <w:sz w:val="18"/>
          <w:szCs w:val="18"/>
        </w:rPr>
        <w:t xml:space="preserve">) vs. low intensity stimuli (conditions </w:t>
      </w:r>
      <w:r>
        <w:rPr>
          <w:sz w:val="18"/>
          <w:szCs w:val="18"/>
        </w:rPr>
        <w:t>1</w:t>
      </w:r>
      <w:r w:rsidRPr="006F788B">
        <w:rPr>
          <w:sz w:val="18"/>
          <w:szCs w:val="18"/>
        </w:rPr>
        <w:t xml:space="preserve"> and </w:t>
      </w:r>
      <w:r>
        <w:rPr>
          <w:sz w:val="18"/>
          <w:szCs w:val="18"/>
        </w:rPr>
        <w:t>3</w:t>
      </w:r>
      <w:r w:rsidRPr="006F788B">
        <w:rPr>
          <w:sz w:val="18"/>
          <w:szCs w:val="18"/>
        </w:rPr>
        <w:t xml:space="preserve">). </w:t>
      </w:r>
      <w:r w:rsidR="005537D2">
        <w:rPr>
          <w:sz w:val="18"/>
          <w:szCs w:val="18"/>
        </w:rPr>
        <w:t>Contrast 3 was</w:t>
      </w:r>
      <w:r w:rsidRPr="006F788B">
        <w:rPr>
          <w:sz w:val="18"/>
          <w:szCs w:val="18"/>
        </w:rPr>
        <w:t xml:space="preserve"> the prior pain expectancy contrast on laser stimulus processing, namely medium intensity laser stimulus processing from condition </w:t>
      </w:r>
      <w:r>
        <w:rPr>
          <w:sz w:val="18"/>
          <w:szCs w:val="18"/>
        </w:rPr>
        <w:t>4</w:t>
      </w:r>
      <w:r w:rsidRPr="006F788B">
        <w:rPr>
          <w:sz w:val="18"/>
          <w:szCs w:val="18"/>
        </w:rPr>
        <w:t xml:space="preserve"> vs. condition </w:t>
      </w:r>
      <w:r>
        <w:rPr>
          <w:sz w:val="18"/>
          <w:szCs w:val="18"/>
        </w:rPr>
        <w:t>2</w:t>
      </w:r>
      <w:r w:rsidRPr="006F788B">
        <w:rPr>
          <w:sz w:val="18"/>
          <w:szCs w:val="18"/>
        </w:rPr>
        <w:t>.</w:t>
      </w:r>
    </w:p>
    <w:p w14:paraId="5903C273" w14:textId="77777777" w:rsidR="007512FC" w:rsidRDefault="007512FC" w:rsidP="007512FC">
      <w:pPr>
        <w:pStyle w:val="Heading1"/>
        <w:spacing w:line="480" w:lineRule="auto"/>
      </w:pPr>
      <w:r>
        <w:t>Methods</w:t>
      </w:r>
    </w:p>
    <w:p w14:paraId="004799A9" w14:textId="77777777" w:rsidR="007512FC" w:rsidRPr="00EF56ED" w:rsidRDefault="007512FC" w:rsidP="007512FC">
      <w:pPr>
        <w:pStyle w:val="Heading2"/>
        <w:spacing w:line="480" w:lineRule="auto"/>
      </w:pPr>
      <w:r w:rsidRPr="00EF56ED">
        <w:t>Study design</w:t>
      </w:r>
      <w:r>
        <w:t xml:space="preserve"> </w:t>
      </w:r>
    </w:p>
    <w:p w14:paraId="55DEA0BD" w14:textId="77777777" w:rsidR="007512FC" w:rsidRDefault="007512FC" w:rsidP="007512FC">
      <w:pPr>
        <w:spacing w:line="480" w:lineRule="auto"/>
      </w:pPr>
      <w:r>
        <w:t>A single session 2×2x2 mixed design was used, with group (high, low catastrophizing) as the between-participants variable and two within-participants variables each with two levels: Expectancy (“prior high” and “low”) and laser heat intensity (“medium” and “low”); in addition to these conditions, additional trials were randomised into the procedure that served to reinforce pain expectancy responses to high cues by following these cues with high intensity laser stimuli (figure 1). The study consisted of a psychophysics test, a training procedure, and then the experiment proper, which took place over the course of two blocks of stimulation.</w:t>
      </w:r>
    </w:p>
    <w:p w14:paraId="58C96347" w14:textId="77777777" w:rsidR="007512FC" w:rsidRPr="0079148E" w:rsidRDefault="007512FC" w:rsidP="007512FC">
      <w:pPr>
        <w:pStyle w:val="Heading2"/>
        <w:spacing w:line="480" w:lineRule="auto"/>
      </w:pPr>
      <w:r>
        <w:t>Power calculation</w:t>
      </w:r>
    </w:p>
    <w:p w14:paraId="40F2833E" w14:textId="6BFDFDCB" w:rsidR="007512FC" w:rsidRPr="001074E2" w:rsidRDefault="007512FC" w:rsidP="007512FC">
      <w:pPr>
        <w:tabs>
          <w:tab w:val="left" w:pos="2906"/>
        </w:tabs>
        <w:spacing w:line="480" w:lineRule="auto"/>
      </w:pPr>
      <w:r>
        <w:t>A large effect size</w:t>
      </w:r>
      <w:r w:rsidR="00126EFD">
        <w:t xml:space="preserve"> (Cohen’s d &gt; 0.8)</w:t>
      </w:r>
      <w:r>
        <w:t xml:space="preserve"> was anticipated based on the recruitment strategy: study power was maximised by recruiting participants scoring in the upper and lower quartile of the Pain Catastrophizing Scale (PCS – see below), providing a large group separation on this measure (</w:t>
      </w:r>
      <w:r w:rsidR="00126EFD">
        <w:t xml:space="preserve">for illustration purposes, the </w:t>
      </w:r>
      <w:r w:rsidR="00126EFD" w:rsidRPr="00604241">
        <w:rPr>
          <w:i/>
        </w:rPr>
        <w:t>measured</w:t>
      </w:r>
      <w:r w:rsidR="00126EFD">
        <w:t xml:space="preserve"> (not </w:t>
      </w:r>
      <w:r w:rsidR="00126EFD" w:rsidRPr="00604241">
        <w:rPr>
          <w:i/>
        </w:rPr>
        <w:t>expected</w:t>
      </w:r>
      <w:r w:rsidR="00126EFD">
        <w:t xml:space="preserve">) </w:t>
      </w:r>
      <w:r>
        <w:t xml:space="preserve">Cohen’s d effect size </w:t>
      </w:r>
      <w:r w:rsidR="00126EFD">
        <w:t>was</w:t>
      </w:r>
      <w:r>
        <w:t xml:space="preserve"> 1.92 – see </w:t>
      </w:r>
      <w:r>
        <w:lastRenderedPageBreak/>
        <w:t>supplementary table 1) that was expected to translate to large effect sizes in the outcomes of interest (pain ratings and EEG responses).</w:t>
      </w:r>
      <w:r w:rsidR="00126EFD">
        <w:t xml:space="preserve"> </w:t>
      </w:r>
      <w:bookmarkStart w:id="9" w:name="OLE_LINK152"/>
      <w:bookmarkStart w:id="10" w:name="OLE_LINK153"/>
      <w:r w:rsidR="00DC1E7B">
        <w:t>The recruitment target of 52 participants was exceeded but due to exclusions (see Supplementary Methods) the final sample size was 34, providing power to detect effect sizes on group differences on the order of Cohen’s d = 1.0  with 80% power and an alpha of 0.05.</w:t>
      </w:r>
      <w:bookmarkEnd w:id="9"/>
      <w:bookmarkEnd w:id="10"/>
    </w:p>
    <w:p w14:paraId="32A1C34E" w14:textId="77777777" w:rsidR="007512FC" w:rsidRDefault="007512FC" w:rsidP="007512FC">
      <w:pPr>
        <w:pStyle w:val="Heading2"/>
        <w:spacing w:line="480" w:lineRule="auto"/>
      </w:pPr>
      <w:r>
        <w:t xml:space="preserve">Ethics and recruitment </w:t>
      </w:r>
    </w:p>
    <w:p w14:paraId="02CE62C1" w14:textId="77777777" w:rsidR="007512FC" w:rsidRDefault="007512FC" w:rsidP="007512FC">
      <w:pPr>
        <w:spacing w:line="480" w:lineRule="auto"/>
      </w:pPr>
      <w:r>
        <w:t xml:space="preserve">Ethical approval was obtained from North West Nine Research Ethics Committee in the United Kingdom. Volunteers were mainly recruited through The University of Manchester. Participants received an honorarium of £10 per hour, in addition to travel expenses. </w:t>
      </w:r>
    </w:p>
    <w:p w14:paraId="42AF2A4E" w14:textId="77777777" w:rsidR="007512FC" w:rsidRDefault="007512FC" w:rsidP="007512FC">
      <w:pPr>
        <w:pStyle w:val="Heading2"/>
        <w:spacing w:line="480" w:lineRule="auto"/>
      </w:pPr>
      <w:r>
        <w:t>Participants: Screening</w:t>
      </w:r>
    </w:p>
    <w:p w14:paraId="54F6C1E9" w14:textId="77777777" w:rsidR="007512FC" w:rsidRDefault="007512FC" w:rsidP="007512FC">
      <w:pPr>
        <w:spacing w:line="480" w:lineRule="auto"/>
      </w:pPr>
      <w:r>
        <w:t xml:space="preserve">All participants described themselves as above 18, right handed, free from pain, neurological illness, morbid psychiatric illness, peripheral vascular disease, ischemic heart disease, chronic skin disease (e.g. eczema, psoriasis) and hypertension not controlled by medication. </w:t>
      </w:r>
    </w:p>
    <w:p w14:paraId="1979F4BE" w14:textId="7BB2E2EA" w:rsidR="007512FC" w:rsidRDefault="007512FC" w:rsidP="007512FC">
      <w:pPr>
        <w:spacing w:line="480" w:lineRule="auto"/>
      </w:pPr>
      <w:r>
        <w:t xml:space="preserve">Volunteers were screened by scores on the self-report Pain Catastrophizing Scale (PCS) </w:t>
      </w:r>
      <w:r>
        <w:fldChar w:fldCharType="begin" w:fldLock="1"/>
      </w:r>
      <w:r w:rsidR="00DA76DD">
        <w:instrText>ADDIN CSL_CITATION { "citationItems" : [ { "id" : "ITEM-1", "itemData" : { "author" : [ { "dropping-particle" : "", "family" : "Sullivan", "given" : "M J L", "non-dropping-particle" : "", "parse-names" : false, "suffix" : "" }, { "dropping-particle" : "", "family" : "Bishop", "given" : "S R", "non-dropping-particle" : "", "parse-names" : false, "suffix" : "" }, { "dropping-particle" : "", "family" : "Pivik", "given" : "J", "non-dropping-particle" : "", "parse-names" : false, "suffix" : "" } ], "container-title" : "Psychological Assessment", "id" : "ITEM-1", "issue" : "4", "issued" : { "date-parts" : [ [ "1995", "12" ] ] }, "page" : "524-532", "title" : "The Pain Catastrophizing Scale: Development and Validation", "type" : "article-journal", "volume" : "7 " }, "uris" : [ "http://www.mendeley.com/documents/?uuid=6fbc313a-fad6-4b28-bf98-074e3e14e21d" ] } ], "mendeley" : { "formattedCitation" : "(Sullivan et al., 1995)", "plainTextFormattedCitation" : "(Sullivan et al., 1995)", "previouslyFormattedCitation" : "(Sullivan et al., 1995)" }, "properties" : {  }, "schema" : "https://github.com/citation-style-language/schema/raw/master/csl-citation.json" }</w:instrText>
      </w:r>
      <w:r>
        <w:fldChar w:fldCharType="separate"/>
      </w:r>
      <w:r w:rsidRPr="005B5DFF">
        <w:rPr>
          <w:noProof/>
        </w:rPr>
        <w:t>(Sullivan et al., 1995)</w:t>
      </w:r>
      <w:r>
        <w:fldChar w:fldCharType="end"/>
      </w:r>
      <w:r>
        <w:t xml:space="preserve">, which they completed prior to recruitment by email or through an online survey tool. The PCS is a 13-item questionnaire relating to thoughts and feelings about pain, with 5-point Likert-scale response categories ranging from zero (“not at all”) to five (“all the time”). The questionnaire consists of separate subscales for rumination, magnification, and helplessness, which can be calculated separately or combined to form a total score. </w:t>
      </w:r>
    </w:p>
    <w:p w14:paraId="76AEE27B" w14:textId="77777777" w:rsidR="007512FC" w:rsidRDefault="007512FC" w:rsidP="007512FC">
      <w:pPr>
        <w:pStyle w:val="Heading2"/>
        <w:spacing w:line="480" w:lineRule="auto"/>
      </w:pPr>
      <w:r>
        <w:t>Participants: Grouping</w:t>
      </w:r>
    </w:p>
    <w:p w14:paraId="2E337123" w14:textId="5F06CD24" w:rsidR="007512FC" w:rsidRDefault="007512FC" w:rsidP="007512FC">
      <w:pPr>
        <w:spacing w:line="480" w:lineRule="auto"/>
      </w:pPr>
      <w:r>
        <w:t xml:space="preserve">Participants with total PCS scores in the upper (hitherto referred to as the “high PC” group) and lower quartile (“low PC”) of the PCS were identified according to the score ranges in the scale manual </w:t>
      </w:r>
      <w:r>
        <w:fldChar w:fldCharType="begin" w:fldLock="1"/>
      </w:r>
      <w:r w:rsidR="00DA76DD">
        <w:instrText>ADDIN CSL_CITATION { "citationItems" : [ { "id" : "ITEM-1", "itemData" : { "author" : [ { "dropping-particle" : "", "family" : "Sullivan", "given" : "M J L", "non-dropping-particle" : "", "parse-names" : false, "suffix" : "" }, { "dropping-particle" : "", "family" : "Bishop", "given" : "S R", "non-dropping-particle" : "", "parse-names" : false, "suffix" : "" }, { "dropping-particle" : "", "family" : "Pivik", "given" : "J", "non-dropping-particle" : "", "parse-names" : false, "suffix" : "" } ], "container-title" : "Psychological Assessment", "id" : "ITEM-1", "issue" : "4", "issued" : { "date-parts" : [ [ "1995", "12" ] ] }, "page" : "524-532", "title" : "The Pain Catastrophizing Scale: Development and Validation", "type" : "article-journal", "volume" : "7 " }, "uris" : [ "http://www.mendeley.com/documents/?uuid=6fbc313a-fad6-4b28-bf98-074e3e14e21d" ] } ], "mendeley" : { "formattedCitation" : "(Sullivan et al., 1995)", "plainTextFormattedCitation" : "(Sullivan et al., 1995)", "previouslyFormattedCitation" : "(Sullivan et al., 1995)" }, "properties" : {  }, "schema" : "https://github.com/citation-style-language/schema/raw/master/csl-citation.json" }</w:instrText>
      </w:r>
      <w:r>
        <w:fldChar w:fldCharType="separate"/>
      </w:r>
      <w:r w:rsidRPr="005B5DFF">
        <w:rPr>
          <w:noProof/>
        </w:rPr>
        <w:t>(Sullivan et al., 1995)</w:t>
      </w:r>
      <w:r>
        <w:fldChar w:fldCharType="end"/>
      </w:r>
      <w:r>
        <w:t xml:space="preserve">. These participants were invited to participate in the study. Participants </w:t>
      </w:r>
      <w:r>
        <w:lastRenderedPageBreak/>
        <w:t xml:space="preserve">were asked to repeat the PCS upon attending the laboratory to ensure the answers given during screening were reliable. </w:t>
      </w:r>
    </w:p>
    <w:p w14:paraId="06880749" w14:textId="77777777" w:rsidR="007512FC" w:rsidRDefault="007512FC" w:rsidP="007512FC">
      <w:pPr>
        <w:pStyle w:val="Heading2"/>
        <w:spacing w:line="480" w:lineRule="auto"/>
      </w:pPr>
      <w:r>
        <w:t>Study procedures</w:t>
      </w:r>
    </w:p>
    <w:p w14:paraId="2B8C3E82" w14:textId="77777777" w:rsidR="007512FC" w:rsidRDefault="007512FC" w:rsidP="007512FC">
      <w:pPr>
        <w:pStyle w:val="Heading3"/>
        <w:spacing w:line="480" w:lineRule="auto"/>
      </w:pPr>
      <w:r>
        <w:t>Participant expectations prior to the experiment</w:t>
      </w:r>
    </w:p>
    <w:p w14:paraId="0E440B1D" w14:textId="30D6D3E9" w:rsidR="007D0053" w:rsidRDefault="007512FC" w:rsidP="00F401ED">
      <w:pPr>
        <w:spacing w:line="480" w:lineRule="auto"/>
      </w:pPr>
      <w:r>
        <w:t xml:space="preserve">While the PCS provided a general (trait) measure of expected distress from painful situations, it did not specify participants’ expected distress from the particular situation of this experiment. To check whether participants with high PCS scores were indeed anticipating the laser stimuli in this experiment to be more distressing that the low PCS group, following Brown et al. </w:t>
      </w:r>
      <w:r>
        <w:fldChar w:fldCharType="begin" w:fldLock="1"/>
      </w:r>
      <w:r w:rsidR="00DA76DD">
        <w:instrText>ADDIN CSL_CITATION { "citationItems" : [ { "id" : "ITEM-1", "itemData" : { "DOI" : "10.1016/j.pain.2008.04.028", "ISSN" : "1872-6623", "PMID" : "18584963", "abstract" : "Psychological factors play a major role in exacerbating chronic pain. Effective self-management of pain is often hindered by inaccurate beliefs about the nature of pain which lead to a high degree of emotional reactivity. Probabilistic models of perception state that greater confidence (certainty) in beliefs increases their influence on perception and behavior. In this study, we treat confidence as a metacognitive process dissociable from the content of belief. We hypothesized that confidence is associated with anticipatory activation of areas of the pain matrix involved with top-down modulation of pain. Healthy volunteers rated their beliefs about the emotional distress that experimental pain would cause, and separately rated their level of confidence in this belief. Confidence predicted the influence of anticipation cues on experienced pain. We measured brain activity during anticipation of pain using high-density EEG and used electromagnetic tomography to determine neural substrates of this effect. Confidence correlated with activity in right anterior insula, posterior midcingulate and inferior parietal cortices during the anticipation of pain. Activity in the right anterior insula predicted a greater influence of anticipation cues on pain perception, whereas activity in right inferior parietal cortex predicted a decreased influence of anticipatory cues. The results support probabilistic models of pain perception and suggest that confidence in beliefs is an important determinant of expectancy effects on pain perception.", "author" : [ { "dropping-particle" : "", "family" : "Brown", "given" : "Christopher A", "non-dropping-particle" : "", "parse-names" : false, "suffix" : "" }, { "dropping-particle" : "", "family" : "Seymour", "given" : "Ben", "non-dropping-particle" : "", "parse-names" : false, "suffix" : "" }, { "dropping-particle" : "", "family" : "El-Deredy", "given" : "Wael", "non-dropping-particle" : "", "parse-names" : false, "suffix" : "" }, { "dropping-particle" : "", "family" : "Jones", "given" : "Anthony K P", "non-dropping-particle" : "", "parse-names" : false, "suffix" : "" } ], "container-title" : "Pain", "id" : "ITEM-1", "issue" : "2", "issued" : { "date-parts" : [ [ "2008", "10", "15" ] ] }, "page" : "324-332", "title" : "Confidence in beliefs about pain predicts expectancy effects on pain perception and anticipatory processing in right anterior insula", "type" : "article-journal", "volume" : "139" }, "uris" : [ "http://www.mendeley.com/documents/?uuid=b39205eb-d28c-4e82-9a0a-ca27cdbd38a6" ] } ], "mendeley" : { "formattedCitation" : "(Brown et al., 2008b)", "plainTextFormattedCitation" : "(Brown et al., 2008b)", "previouslyFormattedCitation" : "(Brown et al., 2008b)" }, "properties" : {  }, "schema" : "https://github.com/citation-style-language/schema/raw/master/csl-citation.json" }</w:instrText>
      </w:r>
      <w:r>
        <w:fldChar w:fldCharType="separate"/>
      </w:r>
      <w:r w:rsidRPr="005B5DFF">
        <w:rPr>
          <w:noProof/>
        </w:rPr>
        <w:t>(Brown et al., 2008b)</w:t>
      </w:r>
      <w:r>
        <w:fldChar w:fldCharType="end"/>
      </w:r>
      <w:r>
        <w:t>, participants were asked to rate their expected distress using nine items from the profile of mood states (POMS) scale (</w:t>
      </w:r>
      <w:r w:rsidRPr="00DF15E0">
        <w:rPr>
          <w:i/>
        </w:rPr>
        <w:t xml:space="preserve">sad, angry, discouraged, hopeless, hostile, irritable, tense, anxious </w:t>
      </w:r>
      <w:r w:rsidRPr="00260AB0">
        <w:t>and</w:t>
      </w:r>
      <w:r w:rsidRPr="00DF15E0">
        <w:rPr>
          <w:i/>
        </w:rPr>
        <w:t xml:space="preserve"> worried</w:t>
      </w:r>
      <w:r>
        <w:t>)</w:t>
      </w:r>
      <w:r w:rsidR="003A3736">
        <w:t>. Specifically, they were asked to rate</w:t>
      </w:r>
      <w:r w:rsidR="003A3736" w:rsidRPr="00B65318">
        <w:t xml:space="preserve"> the extent to which they expected to experience each of these emotions while experiencing the</w:t>
      </w:r>
      <w:r w:rsidR="003A3736">
        <w:t xml:space="preserve"> laser</w:t>
      </w:r>
      <w:r w:rsidR="003A3736" w:rsidRPr="00B65318">
        <w:t xml:space="preserve"> heat pulses during the experiment</w:t>
      </w:r>
      <w:r w:rsidR="003A3736">
        <w:t>,</w:t>
      </w:r>
      <w:r>
        <w:t xml:space="preserve"> rat</w:t>
      </w:r>
      <w:r w:rsidR="003A3736">
        <w:t>ing each</w:t>
      </w:r>
      <w:r>
        <w:t xml:space="preserve"> on a 5-point Likert scale from 0 (‘‘not at all”) to 4 (‘‘very much”). The sum of these items was taken as a measure of anticipated emotional distress</w:t>
      </w:r>
      <w:r w:rsidR="00A36BA0">
        <w:t xml:space="preserve"> as done previously</w:t>
      </w:r>
      <w:r>
        <w:t xml:space="preserve"> </w:t>
      </w:r>
      <w:r>
        <w:fldChar w:fldCharType="begin" w:fldLock="1"/>
      </w:r>
      <w:r w:rsidR="00DA76DD">
        <w:instrText>ADDIN CSL_CITATION { "citationItems" : [ { "id" : "ITEM-1", "itemData" : { "DOI" : "10.1016/j.pain.2008.04.028", "ISSN" : "1872-6623", "PMID" : "18584963", "abstract" : "Psychological factors play a major role in exacerbating chronic pain. Effective self-management of pain is often hindered by inaccurate beliefs about the nature of pain which lead to a high degree of emotional reactivity. Probabilistic models of perception state that greater confidence (certainty) in beliefs increases their influence on perception and behavior. In this study, we treat confidence as a metacognitive process dissociable from the content of belief. We hypothesized that confidence is associated with anticipatory activation of areas of the pain matrix involved with top-down modulation of pain. Healthy volunteers rated their beliefs about the emotional distress that experimental pain would cause, and separately rated their level of confidence in this belief. Confidence predicted the influence of anticipation cues on experienced pain. We measured brain activity during anticipation of pain using high-density EEG and used electromagnetic tomography to determine neural substrates of this effect. Confidence correlated with activity in right anterior insula, posterior midcingulate and inferior parietal cortices during the anticipation of pain. Activity in the right anterior insula predicted a greater influence of anticipation cues on pain perception, whereas activity in right inferior parietal cortex predicted a decreased influence of anticipatory cues. The results support probabilistic models of pain perception and suggest that confidence in beliefs is an important determinant of expectancy effects on pain perception.", "author" : [ { "dropping-particle" : "", "family" : "Brown", "given" : "Christopher A", "non-dropping-particle" : "", "parse-names" : false, "suffix" : "" }, { "dropping-particle" : "", "family" : "Seymour", "given" : "Ben", "non-dropping-particle" : "", "parse-names" : false, "suffix" : "" }, { "dropping-particle" : "", "family" : "El-Deredy", "given" : "Wael", "non-dropping-particle" : "", "parse-names" : false, "suffix" : "" }, { "dropping-particle" : "", "family" : "Jones", "given" : "Anthony K P", "non-dropping-particle" : "", "parse-names" : false, "suffix" : "" } ], "container-title" : "Pain", "id" : "ITEM-1", "issue" : "2", "issued" : { "date-parts" : [ [ "2008", "10", "15" ] ] }, "page" : "324-332", "title" : "Confidence in beliefs about pain predicts expectancy effects on pain perception and anticipatory processing in right anterior insula", "type" : "article-journal", "volume" : "139" }, "uris" : [ "http://www.mendeley.com/documents/?uuid=b39205eb-d28c-4e82-9a0a-ca27cdbd38a6" ] }, { "id" : "ITEM-2", "itemData" : { "PMID" : "11240087", "abstract" : "The present research addressed the relation between catastrophizing, depression and response expectancies in anticipation of an experimental pain procedure. One hundred and twenty undergraduates (48 men, 72 women) participated in exchange for course credit. Prior to immersing one arm in a container of ice water, participants were asked to complete measures of catastrophizing and depression, and to estimate the degree of pain and emotional distress they expected to experience. After a 1-min immersion, participants rated their actual experience. Pain expectancies partially mediated the relation between catastrophizing and pain experience. Pain expectancies also mediated the relation between depression and pain experience. Catastrophizing, but not depression, was associated with a tendency to underestimate pain and emotional distress. The implications of these findings for the conceptual distinctiveness of catastrophizing and depression are discussed. Discussion also examines the potential implications of the present findings for pain management interventions", "author" : [ { "dropping-particle" : "", "family" : "Sullivan", "given" : "M J", "non-dropping-particle" : "", "parse-names" : false, "suffix" : "" }, { "dropping-particle" : "", "family" : "Rodgers", "given" : "W M", "non-dropping-particle" : "", "parse-names" : false, "suffix" : "" }, { "dropping-particle" : "", "family" : "Kirsch", "given" : "I", "non-dropping-particle" : "", "parse-names" : false, "suffix" : "" } ], "container-title" : "Pain", "id" : "ITEM-2", "issue" : "0304-3959", "issued" : { "date-parts" : [ [ "2001", "3" ] ] }, "language" : "eng PT - Journal Article SB - IM", "note" : "DA - 20010312", "page" : "147-154", "publisher-place" : "Department of Psychology, Dalhousie University, Nova Scotia B3H 4J1, Halifax, Canada. sully@is.dal.ca", "title" : "Catastrophizing, depression and expectancies for pain and emotional distress", "type" : "article-journal", "volume" : "91" }, "uris" : [ "http://www.mendeley.com/documents/?uuid=6a2ba127-1275-4709-8701-886664f46c79" ] } ], "mendeley" : { "formattedCitation" : "(Brown et al., 2008b; Sullivan et al., 2001)", "plainTextFormattedCitation" : "(Brown et al., 2008b; Sullivan et al., 2001)", "previouslyFormattedCitation" : "(Brown et al., 2008b; Sullivan et al., 2001)" }, "properties" : {  }, "schema" : "https://github.com/citation-style-language/schema/raw/master/csl-citation.json" }</w:instrText>
      </w:r>
      <w:r>
        <w:fldChar w:fldCharType="separate"/>
      </w:r>
      <w:r w:rsidR="00A36BA0" w:rsidRPr="00A36BA0">
        <w:rPr>
          <w:noProof/>
        </w:rPr>
        <w:t>(Brown et al., 2008b; Sullivan et al., 2001)</w:t>
      </w:r>
      <w:r>
        <w:fldChar w:fldCharType="end"/>
      </w:r>
      <w:r>
        <w:t>.</w:t>
      </w:r>
    </w:p>
    <w:p w14:paraId="681B54E6" w14:textId="679DD097" w:rsidR="007D0053" w:rsidRDefault="007D0053" w:rsidP="00604241">
      <w:pPr>
        <w:pStyle w:val="Heading3"/>
        <w:spacing w:line="480" w:lineRule="auto"/>
      </w:pPr>
      <w:r>
        <w:t>Extraneous participant variables</w:t>
      </w:r>
    </w:p>
    <w:p w14:paraId="3CF07730" w14:textId="35FA8661" w:rsidR="007D0053" w:rsidRPr="002A24F5" w:rsidRDefault="007D0053" w:rsidP="008057BB">
      <w:pPr>
        <w:spacing w:line="480" w:lineRule="auto"/>
      </w:pPr>
      <w:r>
        <w:t>In addition to questionnaire measurement of PC, participants complete</w:t>
      </w:r>
      <w:r w:rsidR="00E3329B">
        <w:t>d (prior to the experiment)</w:t>
      </w:r>
      <w:r>
        <w:t xml:space="preserve"> a number of other questionnaires to characterise them psychologically; these data were used to shed light on the specificity of the groups to the </w:t>
      </w:r>
      <w:r w:rsidR="00E3329B">
        <w:t>PC</w:t>
      </w:r>
      <w:r>
        <w:t xml:space="preserve"> construct. These additional instruments were: </w:t>
      </w:r>
      <w:r w:rsidRPr="00604241">
        <w:t>Depression (</w:t>
      </w:r>
      <w:bookmarkStart w:id="11" w:name="OLE_LINK14"/>
      <w:bookmarkStart w:id="12" w:name="OLE_LINK15"/>
      <w:bookmarkStart w:id="13" w:name="OLE_LINK16"/>
      <w:bookmarkStart w:id="14" w:name="OLE_LINK64"/>
      <w:bookmarkStart w:id="15" w:name="OLE_LINK65"/>
      <w:r w:rsidRPr="00604241">
        <w:t>P</w:t>
      </w:r>
      <w:r w:rsidR="002A24F5" w:rsidRPr="00604241">
        <w:t>atient</w:t>
      </w:r>
      <w:r w:rsidRPr="00604241">
        <w:t xml:space="preserve"> Health Questionnaire </w:t>
      </w:r>
      <w:bookmarkEnd w:id="11"/>
      <w:bookmarkEnd w:id="12"/>
      <w:bookmarkEnd w:id="13"/>
      <w:r w:rsidRPr="00604241">
        <w:t>9</w:t>
      </w:r>
      <w:bookmarkEnd w:id="14"/>
      <w:bookmarkEnd w:id="15"/>
      <w:r w:rsidRPr="00604241">
        <w:t>, PHQ-9)</w:t>
      </w:r>
      <w:r w:rsidR="002A24F5" w:rsidRPr="00604241">
        <w:t xml:space="preserve"> </w:t>
      </w:r>
      <w:r w:rsidR="002A24F5" w:rsidRPr="00604241">
        <w:fldChar w:fldCharType="begin" w:fldLock="1"/>
      </w:r>
      <w:r w:rsidR="00DA76DD">
        <w:instrText>ADDIN CSL_CITATION { "citationItems" : [ { "id" : "ITEM-1", "itemData" : { "DOI" : "10.1037/t06165-000", "ISSN" : "0884-8734", "PMID" : "11556941", "abstract" : "PHQ-9 is adapted from PRIME MD TODAY, developed by Drs Robert L. Spitzer, Janet B.W. Williams, Kurt Kroenke, and colleagues, with an educational grant from Pfizer Inc. For research information, contact Dr Spitzer at rls8@columbia.edu. Use of the PHQ-9 may only be made in accordance with the Terms of Use available at http://www.pfizer.com. Copyright \u00a91999 Pfizer Inc. All rights reserved. PRIME MD TODAY is a trademark of Pfizer Inc.", "author" : [ { "dropping-particle" : "", "family" : "Spitzer", "given" : "Robert L.", "non-dropping-particle" : "", "parse-names" : false, "suffix" : "" }, { "dropping-particle" : "", "family" : "Williams", "given" : "Janet B. W.", "non-dropping-particle" : "", "parse-names" : false, "suffix" : "" }, { "dropping-particle" : "", "family" : "Kroenke", "given" : "Kurt", "non-dropping-particle" : "", "parse-names" : false, "suffix" : "" } ], "container-title" : "Journal of General Internal Medicine", "id" : "ITEM-1", "issue" : "9", "issued" : { "date-parts" : [ [ "2001" ] ] }, "page" : "606-613", "title" : "Patient Health Questionnaire (PHQ-9)", "type" : "article-journal", "volume" : "16" }, "uris" : [ "http://www.mendeley.com/documents/?uuid=ee87b9e1-d04f-47f0-9c5b-a355a1fb0b4e", "http://www.mendeley.com/documents/?uuid=5d63309d-ed50-42eb-90a5-26a32c8370f5" ] } ], "mendeley" : { "formattedCitation" : "(Spitzer et al., 2001)", "plainTextFormattedCitation" : "(Spitzer et al., 2001)", "previouslyFormattedCitation" : "(Spitzer et al., 2001)" }, "properties" : {  }, "schema" : "https://github.com/citation-style-language/schema/raw/master/csl-citation.json" }</w:instrText>
      </w:r>
      <w:r w:rsidR="002A24F5" w:rsidRPr="00604241">
        <w:fldChar w:fldCharType="separate"/>
      </w:r>
      <w:r w:rsidR="002A24F5" w:rsidRPr="00604241">
        <w:rPr>
          <w:noProof/>
        </w:rPr>
        <w:t>(Spitzer et al., 2001)</w:t>
      </w:r>
      <w:r w:rsidR="002A24F5" w:rsidRPr="00604241">
        <w:fldChar w:fldCharType="end"/>
      </w:r>
      <w:r w:rsidRPr="00604241">
        <w:t>, somatic symptoms (</w:t>
      </w:r>
      <w:bookmarkStart w:id="16" w:name="OLE_LINK66"/>
      <w:bookmarkStart w:id="17" w:name="OLE_LINK67"/>
      <w:r w:rsidRPr="00604241">
        <w:t>P</w:t>
      </w:r>
      <w:r w:rsidR="002A24F5" w:rsidRPr="00604241">
        <w:t xml:space="preserve">atient </w:t>
      </w:r>
      <w:r w:rsidRPr="00604241">
        <w:t>Health Questionnaire 15</w:t>
      </w:r>
      <w:bookmarkEnd w:id="16"/>
      <w:bookmarkEnd w:id="17"/>
      <w:r w:rsidRPr="00604241">
        <w:t>, PHQ-15)</w:t>
      </w:r>
      <w:r w:rsidR="002A24F5" w:rsidRPr="00604241">
        <w:t xml:space="preserve"> </w:t>
      </w:r>
      <w:r w:rsidR="002A24F5" w:rsidRPr="00604241">
        <w:fldChar w:fldCharType="begin" w:fldLock="1"/>
      </w:r>
      <w:r w:rsidR="00DA76DD">
        <w:instrText>ADDIN CSL_CITATION { "citationItems" : [ { "id" : "ITEM-1", "itemData" : { "ISSN" : "0033-3174", "PMID" : "11914441", "abstract" : "OBJECTIVE Somatization is prevalent in primary care and is associated with substantial functional impairment and healthcare utilization. However, instruments for identifying and monitoring somatic symptoms are few in number and not widely used. Therefore, we examined the validity of a brief measure of the severity of somatic symptoms. METHODS The Patient Health Questionnaire (PHQ) is a self-administered version of the PRIME-MD diagnostic instrument for common mental disorders. The PHQ-15 comprises 15 somatic symptoms from the PHQ, each symptom scored from 0 (\"not bothered at all\") to 2 (\"bothered a lot\"). The PHQ-15 was administered to 6000 patients in eight general internal medicine and family practice clinics and seven obstetrics-gynecology clinics. Outcomes included functional status as assessed by the 20-item Short-Form General Health Survey (SF-20), self-reported sick days and clinic visits, and symptom-related difficulty. RESULTS As PHQ-15 somatic symptom severity increased, there was a substantial stepwise decrement in functional status on all six SF-20 subscales. Also, symptom-related difficulty, sick days, and healthcare utilization increased. PHQ-15 scores of 5, 10, 15, represented cutoff points for low, medium, and high somatic symptom severity, respectively. Somatic and depressive symptom severity had differential effects on outcomes. Results were similar in the primary care and obstetrics-gynecology samples. CONCLUSIONS The PHQ-15 is a brief, self-administered questionnaire that may be useful in screening for somatization and in monitoring somatic symptom severity in clinical practice and research.", "author" : [ { "dropping-particle" : "", "family" : "Kroenke", "given" : "Kurt", "non-dropping-particle" : "", "parse-names" : false, "suffix" : "" }, { "dropping-particle" : "", "family" : "Spitzer", "given" : "Robert L", "non-dropping-particle" : "", "parse-names" : false, "suffix" : "" }, { "dropping-particle" : "", "family" : "Williams", "given" : "Janet B W", "non-dropping-particle" : "", "parse-names" : false, "suffix" : "" } ], "container-title" : "Psychosomatic medicine", "id" : "ITEM-1", "issue" : "2", "issued" : { "date-parts" : [ [ "2002" ] ] }, "page" : "258-66", "title" : "The PHQ-15: validity of a new measure for evaluating the severity of somatic symptoms.", "type" : "article-journal", "volume" : "64" }, "uris" : [ "http://www.mendeley.com/documents/?uuid=e997bd6a-7622-3f59-a97f-416af8eb7a0a" ] } ], "mendeley" : { "formattedCitation" : "(Kroenke et al., 2002)", "plainTextFormattedCitation" : "(Kroenke et al., 2002)", "previouslyFormattedCitation" : "(Kroenke et al., 2002)" }, "properties" : {  }, "schema" : "https://github.com/citation-style-language/schema/raw/master/csl-citation.json" }</w:instrText>
      </w:r>
      <w:r w:rsidR="002A24F5" w:rsidRPr="00604241">
        <w:fldChar w:fldCharType="separate"/>
      </w:r>
      <w:r w:rsidR="002A24F5" w:rsidRPr="00604241">
        <w:rPr>
          <w:noProof/>
        </w:rPr>
        <w:t>(Kroenke et al., 2002)</w:t>
      </w:r>
      <w:r w:rsidR="002A24F5" w:rsidRPr="00604241">
        <w:fldChar w:fldCharType="end"/>
      </w:r>
      <w:r w:rsidRPr="00604241">
        <w:t>, State and Trait Anxiety (</w:t>
      </w:r>
      <w:bookmarkStart w:id="18" w:name="OLE_LINK26"/>
      <w:bookmarkStart w:id="19" w:name="OLE_LINK27"/>
      <w:r w:rsidRPr="00604241">
        <w:t>State Trait Anxiety Inventory</w:t>
      </w:r>
      <w:bookmarkEnd w:id="18"/>
      <w:bookmarkEnd w:id="19"/>
      <w:r w:rsidRPr="00604241">
        <w:t>, STAI)</w:t>
      </w:r>
      <w:r w:rsidR="002A24F5" w:rsidRPr="00604241">
        <w:t xml:space="preserve"> </w:t>
      </w:r>
      <w:r w:rsidR="002A24F5" w:rsidRPr="00604241">
        <w:fldChar w:fldCharType="begin" w:fldLock="1"/>
      </w:r>
      <w:r w:rsidR="00DA76DD">
        <w:instrText>ADDIN CSL_CITATION { "citationItems" : [ { "id" : "ITEM-1", "itemData" : { "DOI" : "10.1007/978-0-387-78665-0_6709", "ISBN" : "978-0-387-78664-3", "abstract" : "The State-Trait Anxiety Inventory contains separate self-report scales to measure two distinct anxiety concepts: state anxiety (A-State) and trait anxiety (A-Trait). The STAI A-Trait scale had 20 statements to ask how they generally feel, but The A-State scale had 20 statements to ask how they feel at a particular moment.", "author" : [ { "dropping-particle" : "", "family" : "Spielberger", "given" : "C. D.", "non-dropping-particle" : "", "parse-names" : false, "suffix" : "" }, { "dropping-particle" : "", "family" : "Gorsuch", "given" : "R. L.", "non-dropping-particle" : "", "parse-names" : false, "suffix" : "" }, { "dropping-particle" : "", "family" : "Lushene", "given" : "R.E.", "non-dropping-particle" : "", "parse-names" : false, "suffix" : "" } ], "container-title" : "Manual for the State-Trait Anxiety Inventory", "id" : "ITEM-1", "issued" : { "date-parts" : [ [ "2010" ] ] }, "page" : "4327-4327", "title" : "State-Trait Anxiety Inventory (STAI)", "type" : "webpage" }, "uris" : [ "http://www.mendeley.com/documents/?uuid=10210c56-3a88-49e4-b514-6f9571d6ca5f", "http://www.mendeley.com/documents/?uuid=8a072102-02ca-4ea6-83e6-0d3b32183c47" ] } ], "mendeley" : { "formattedCitation" : "(Spielberger et al., 2010)", "plainTextFormattedCitation" : "(Spielberger et al., 2010)", "previouslyFormattedCitation" : "(Spielberger et al., 2010)" }, "properties" : {  }, "schema" : "https://github.com/citation-style-language/schema/raw/master/csl-citation.json" }</w:instrText>
      </w:r>
      <w:r w:rsidR="002A24F5" w:rsidRPr="00604241">
        <w:fldChar w:fldCharType="separate"/>
      </w:r>
      <w:r w:rsidR="002A24F5" w:rsidRPr="00604241">
        <w:rPr>
          <w:noProof/>
        </w:rPr>
        <w:t>(Spielberger et al., 2010)</w:t>
      </w:r>
      <w:r w:rsidR="002A24F5" w:rsidRPr="00604241">
        <w:fldChar w:fldCharType="end"/>
      </w:r>
      <w:r w:rsidR="00805C41">
        <w:t xml:space="preserve"> which includes separate subscales for state and trait anxiety,</w:t>
      </w:r>
      <w:r w:rsidRPr="00604241">
        <w:t xml:space="preserve"> and the Fear of Pain Questionnaire (FPQ) with subscales for minor pain, severe pain and medical pain</w:t>
      </w:r>
      <w:r w:rsidR="002A24F5" w:rsidRPr="00604241">
        <w:t xml:space="preserve"> </w:t>
      </w:r>
      <w:r w:rsidR="002A24F5" w:rsidRPr="00604241">
        <w:fldChar w:fldCharType="begin" w:fldLock="1"/>
      </w:r>
      <w:r w:rsidR="00DA76DD">
        <w:instrText>ADDIN CSL_CITATION { "citationItems" : [ { "id" : "ITEM-1", "itemData" : { "DOI" : "10.1016/j.pain.2005.05.003", "ISBN" : "0304-3959 (Print)\\n0304-3959 (Linking)", "ISSN" : "03043959", "PMID" : "15979794", "abstract" : "The present study sought to examine psychometric properties of the Fear of Pain Questionnaire (FPQ), a measure of pain-related fear, in a sample of undergraduates. Confirmatory factor analysis confirmed the previously reported three-factor model of the FPQ (e.g. severe pain, minor pain, medical pain), but some items may be redundant. With respect to the reliability of the FPQ, both the FPQ and the subscales showed good internal consistency and test-retest stability was moderate to good. Convergent and predictive validity of the FPQ (and the subscales) were partly supported by moderate correlations with related constructs and with self-reported fear associated with three experimental pain tests. Discriminant validity of the FPQ (and the subscales) was partly supported by low correlations with unrelated self-report measures. Moreover, modest correlation coefficients were found between the FPQ and other pain-related measures. Finally, the minor pain subscale of the FPQ accounted for pain intensity scores on the ischemic pain test and the remaining subscales and the FPQ total scores accounted for pain tolerance on the electrical stimulation test and the thermal pain test. Results are discussed and directions for future research are provided. \u00a9 2005 International Association for the Study of Pain. Published by Elsevier B.V. All rights reserved.", "author" : [ { "dropping-particle" : "", "family" : "Roelofs", "given" : "Jeffrey", "non-dropping-particle" : "", "parse-names" : false, "suffix" : "" }, { "dropping-particle" : "", "family" : "Peters", "given" : "Madelon L.", "non-dropping-particle" : "", "parse-names" : false, "suffix" : "" }, { "dropping-particle" : "", "family" : "Deutz", "given" : "Judith", "non-dropping-particle" : "", "parse-names" : false, "suffix" : "" }, { "dropping-particle" : "", "family" : "Spijker", "given" : "Conny", "non-dropping-particle" : "", "parse-names" : false, "suffix" : "" }, { "dropping-particle" : "", "family" : "Vlaeyen", "given" : "Johan W S", "non-dropping-particle" : "", "parse-names" : false, "suffix" : "" } ], "container-title" : "Pain", "id" : "ITEM-1", "issue" : "3", "issued" : { "date-parts" : [ [ "2005" ] ] }, "page" : "339-346", "title" : "The Fear of Pain Questionnaire (FPQ): Further psychometric examination in a non-clinical sample", "type" : "article-journal", "volume" : "116" }, "uris" : [ "http://www.mendeley.com/documents/?uuid=1374b8ab-9f43-4926-a4a6-919b8f02260f", "http://www.mendeley.com/documents/?uuid=2d65f19b-4b1e-4194-baee-c3e595651578" ] } ], "mendeley" : { "formattedCitation" : "(Roelofs et al., 2005)", "plainTextFormattedCitation" : "(Roelofs et al., 2005)", "previouslyFormattedCitation" : "(Roelofs et al., 2005)" }, "properties" : {  }, "schema" : "https://github.com/citation-style-language/schema/raw/master/csl-citation.json" }</w:instrText>
      </w:r>
      <w:r w:rsidR="002A24F5" w:rsidRPr="00604241">
        <w:fldChar w:fldCharType="separate"/>
      </w:r>
      <w:r w:rsidR="002A24F5" w:rsidRPr="00604241">
        <w:rPr>
          <w:noProof/>
        </w:rPr>
        <w:t>(Roelofs et al., 2005)</w:t>
      </w:r>
      <w:r w:rsidR="002A24F5" w:rsidRPr="00604241">
        <w:fldChar w:fldCharType="end"/>
      </w:r>
      <w:r w:rsidRPr="00604241">
        <w:t>.</w:t>
      </w:r>
    </w:p>
    <w:p w14:paraId="3BC85575" w14:textId="77777777" w:rsidR="007512FC" w:rsidRDefault="007512FC" w:rsidP="00F401ED">
      <w:pPr>
        <w:pStyle w:val="Heading3"/>
        <w:spacing w:line="480" w:lineRule="auto"/>
      </w:pPr>
      <w:r>
        <w:lastRenderedPageBreak/>
        <w:t>Laser stimulation and psychophysics</w:t>
      </w:r>
    </w:p>
    <w:p w14:paraId="0F83388E" w14:textId="28AD1389" w:rsidR="007512FC" w:rsidRDefault="007512FC" w:rsidP="007512FC">
      <w:pPr>
        <w:spacing w:line="480" w:lineRule="auto"/>
      </w:pPr>
      <w:r w:rsidRPr="00377A09">
        <w:t xml:space="preserve">All participants received </w:t>
      </w:r>
      <w:r>
        <w:t>“high” (moderately painful), “medium” (pain threshold) and “low” (non-painful) intensity</w:t>
      </w:r>
      <w:r w:rsidRPr="00377A09">
        <w:t xml:space="preserve"> laser </w:t>
      </w:r>
      <w:r>
        <w:t>stimuli during the experiment. Laser stimuli were used due to their</w:t>
      </w:r>
      <w:r w:rsidRPr="004C7C80">
        <w:t xml:space="preserve"> </w:t>
      </w:r>
      <w:r>
        <w:t>high selectivity to A-</w:t>
      </w:r>
      <w:r w:rsidRPr="004C7C80">
        <w:t xml:space="preserve">delta and C nociceptive </w:t>
      </w:r>
      <w:proofErr w:type="spellStart"/>
      <w:r w:rsidRPr="004C7C80">
        <w:t>fibers</w:t>
      </w:r>
      <w:proofErr w:type="spellEnd"/>
      <w:r>
        <w:t xml:space="preserve"> </w:t>
      </w:r>
      <w:r>
        <w:fldChar w:fldCharType="begin" w:fldLock="1"/>
      </w:r>
      <w:r w:rsidR="00DA76DD">
        <w:instrText>ADDIN CSL_CITATION { "citationItems" : [ { "id" : "ITEM-1", "itemData" : { "PMID" : "1244317", "author" : [ { "dropping-particle" : "", "family" : "Meyer", "given" : "R A", "non-dropping-particle" : "", "parse-names" : false, "suffix" : "" }, { "dropping-particle" : "", "family" : "Walker", "given" : "R E", "non-dropping-particle" : "", "parse-names" : false, "suffix" : "" }, { "dropping-particle" : "", "family" : "Mountcastle Jr.", "given" : "V B", "non-dropping-particle" : "", "parse-names" : false, "suffix" : "" } ], "container-title" : "IEEE Trans.Biomed.Eng", "id" : "ITEM-1", "issue" : "0018-9294 (Print)", "issued" : { "date-parts" : [ [ "1976", "1" ] ] }, "language" : "eng PT - Journal Article SB - IM", "note" : "DA - 19760227", "page" : "54-60", "title" : "A laser stimulator for the study of cutaneous thermal and pain sensations", "type" : "article-journal", "volume" : "23" }, "uris" : [ "http://www.mendeley.com/documents/?uuid=fb1ae066-84fa-400b-b58d-284d4c5a5820" ] } ], "mendeley" : { "formattedCitation" : "(Meyer et al., 1976)", "plainTextFormattedCitation" : "(Meyer et al., 1976)", "previouslyFormattedCitation" : "(Meyer et al., 1976)" }, "properties" : {  }, "schema" : "https://github.com/citation-style-language/schema/raw/master/csl-citation.json" }</w:instrText>
      </w:r>
      <w:r>
        <w:fldChar w:fldCharType="separate"/>
      </w:r>
      <w:r w:rsidRPr="005B5DFF">
        <w:rPr>
          <w:noProof/>
        </w:rPr>
        <w:t>(Meyer et al., 1976)</w:t>
      </w:r>
      <w:r>
        <w:fldChar w:fldCharType="end"/>
      </w:r>
      <w:r>
        <w:t xml:space="preserve">, and </w:t>
      </w:r>
      <w:r w:rsidRPr="004C7C80">
        <w:t>were administered using a thulium las</w:t>
      </w:r>
      <w:r>
        <w:t>er with a beam diameter of 6 mm</w:t>
      </w:r>
      <w:r w:rsidRPr="004C7C80">
        <w:t xml:space="preserve"> and pulse dura</w:t>
      </w:r>
      <w:r>
        <w:t xml:space="preserve">tion of 100 milliseconds </w:t>
      </w:r>
      <w:r w:rsidRPr="004C7C80">
        <w:t>to the dorsal surface of the right forearm. The pulses</w:t>
      </w:r>
      <w:r>
        <w:t xml:space="preserve"> were systematically moved around the skin</w:t>
      </w:r>
      <w:r w:rsidRPr="004C7C80">
        <w:t xml:space="preserve"> surface to avoid skin sensitisation, damage, and habituation</w:t>
      </w:r>
      <w:r>
        <w:t xml:space="preserve">. </w:t>
      </w:r>
      <w:r w:rsidRPr="004C7C80">
        <w:t>Participants wore protective safety goggles throughout the study.</w:t>
      </w:r>
    </w:p>
    <w:p w14:paraId="381D6B44" w14:textId="77777777" w:rsidR="007512FC" w:rsidRDefault="007512FC" w:rsidP="007512FC">
      <w:pPr>
        <w:spacing w:line="480" w:lineRule="auto"/>
      </w:pPr>
      <w:r>
        <w:t xml:space="preserve">We sought to provoke roughly equivalent levels of painful and non-painful stimuli across individuals. Hence, laser intensities were individually calibrated using a psychophysics test prior to the experiment proper. In this test, participants rated the intensity of each stimulus on a 0 to 10 numerical </w:t>
      </w:r>
      <w:r w:rsidRPr="004C7C80">
        <w:t>pain</w:t>
      </w:r>
      <w:r>
        <w:t xml:space="preserve"> rating</w:t>
      </w:r>
      <w:r w:rsidRPr="004C7C80">
        <w:t xml:space="preserve"> scale</w:t>
      </w:r>
      <w:r>
        <w:t xml:space="preserve"> (NRS) in which level 4/10 was defined as pain threshold. Three additional points on the scale were defined as anchors to enable consistency across participants: </w:t>
      </w:r>
      <w:r w:rsidRPr="004C7C80">
        <w:t xml:space="preserve">level </w:t>
      </w:r>
      <w:r>
        <w:t>3/10</w:t>
      </w:r>
      <w:r w:rsidRPr="004C7C80">
        <w:t xml:space="preserve"> (low-intensity stimulus) was </w:t>
      </w:r>
      <w:r>
        <w:t>described to</w:t>
      </w:r>
      <w:r w:rsidRPr="004C7C80">
        <w:t xml:space="preserve"> the volunteer as hot, but not painful; level </w:t>
      </w:r>
      <w:r>
        <w:t>5/10</w:t>
      </w:r>
      <w:r w:rsidRPr="004C7C80">
        <w:t xml:space="preserve"> (medium-intensity stimu</w:t>
      </w:r>
      <w:r>
        <w:t>lus) was described as a low and</w:t>
      </w:r>
      <w:r w:rsidRPr="004C7C80">
        <w:t xml:space="preserve"> ignorable painful sensation; level </w:t>
      </w:r>
      <w:r>
        <w:t>7/10</w:t>
      </w:r>
      <w:r w:rsidRPr="004C7C80">
        <w:t xml:space="preserve"> (high-intensity stimulus) was </w:t>
      </w:r>
      <w:r>
        <w:t>described as moderately painful and not easy to ignore.</w:t>
      </w:r>
      <w:r w:rsidRPr="004C7C80">
        <w:t xml:space="preserve"> </w:t>
      </w:r>
      <w:r>
        <w:t>To find these levels for each participant, the intensity of the stimuli was gradually increased</w:t>
      </w:r>
      <w:r w:rsidRPr="004C7C80">
        <w:t xml:space="preserve"> starting from</w:t>
      </w:r>
      <w:r>
        <w:t xml:space="preserve"> an imperceptible level and progressing to the moderately painful level (7/10)</w:t>
      </w:r>
      <w:r w:rsidRPr="004C7C80">
        <w:t xml:space="preserve">, as decided by the participant. </w:t>
      </w:r>
      <w:r>
        <w:t xml:space="preserve">This was repeated three times. </w:t>
      </w:r>
      <w:r w:rsidRPr="004C7C80">
        <w:t>At the end of the test,</w:t>
      </w:r>
      <w:r>
        <w:t xml:space="preserve"> the</w:t>
      </w:r>
      <w:r w:rsidRPr="004C7C80">
        <w:t xml:space="preserve"> three levels were selected</w:t>
      </w:r>
      <w:r>
        <w:t xml:space="preserve"> based on averaged scores from the three runs.</w:t>
      </w:r>
    </w:p>
    <w:p w14:paraId="5BA8D4B6" w14:textId="77777777" w:rsidR="007512FC" w:rsidRPr="00EF56ED" w:rsidRDefault="007512FC" w:rsidP="007512FC">
      <w:pPr>
        <w:pStyle w:val="Heading3"/>
        <w:spacing w:line="480" w:lineRule="auto"/>
      </w:pPr>
      <w:r>
        <w:t>Training</w:t>
      </w:r>
      <w:r w:rsidRPr="00EF56ED">
        <w:t xml:space="preserve"> procedure </w:t>
      </w:r>
    </w:p>
    <w:p w14:paraId="76F52F1E" w14:textId="77777777" w:rsidR="007512FC" w:rsidRDefault="007512FC" w:rsidP="007512FC">
      <w:pPr>
        <w:spacing w:line="480" w:lineRule="auto"/>
      </w:pPr>
      <w:r>
        <w:t>Participants were trained to calibrate their expectations of pain intensity in relation to two types of visual cues that would be presented prior to laser stimulation during the experiment. A brief training</w:t>
      </w:r>
      <w:r w:rsidRPr="00524D38">
        <w:t xml:space="preserve"> procedure</w:t>
      </w:r>
      <w:r>
        <w:t xml:space="preserve"> (figure 1A) involved presentations of upward or downward arrows that predicted (after 2.5s) the occurrence of high and low intensity laser stimuli respectively. </w:t>
      </w:r>
      <w:r w:rsidRPr="00524D38">
        <w:t xml:space="preserve">There were 10 trials in </w:t>
      </w:r>
      <w:r>
        <w:t xml:space="preserve">total </w:t>
      </w:r>
      <w:r>
        <w:lastRenderedPageBreak/>
        <w:t>consisting of</w:t>
      </w:r>
      <w:r w:rsidRPr="00524D38">
        <w:t xml:space="preserve"> five</w:t>
      </w:r>
      <w:r>
        <w:t xml:space="preserve"> trials of each cue/laser pairing (randomised order).</w:t>
      </w:r>
      <w:r w:rsidRPr="00524D38">
        <w:t xml:space="preserve"> Participants were </w:t>
      </w:r>
      <w:r>
        <w:t xml:space="preserve">not made </w:t>
      </w:r>
      <w:r w:rsidRPr="00524D38">
        <w:t>aware that they would</w:t>
      </w:r>
      <w:r>
        <w:t xml:space="preserve"> also be presented with medium </w:t>
      </w:r>
      <w:r w:rsidRPr="00524D38">
        <w:t>intensity</w:t>
      </w:r>
      <w:r>
        <w:t xml:space="preserve"> laser</w:t>
      </w:r>
      <w:r w:rsidRPr="00524D38">
        <w:t xml:space="preserve"> stimul</w:t>
      </w:r>
      <w:r>
        <w:t xml:space="preserve">i during the subsequent experiment. </w:t>
      </w:r>
    </w:p>
    <w:p w14:paraId="371D8C68" w14:textId="77777777" w:rsidR="007512FC" w:rsidRDefault="007512FC" w:rsidP="007512FC">
      <w:pPr>
        <w:pStyle w:val="Heading3"/>
        <w:spacing w:line="480" w:lineRule="auto"/>
      </w:pPr>
      <w:r>
        <w:t>Main experiment</w:t>
      </w:r>
    </w:p>
    <w:p w14:paraId="03A04B06" w14:textId="77777777" w:rsidR="007512FC" w:rsidRDefault="007512FC" w:rsidP="007512FC">
      <w:pPr>
        <w:spacing w:line="480" w:lineRule="auto"/>
      </w:pPr>
      <w:r w:rsidRPr="00524D38">
        <w:t xml:space="preserve">Participants </w:t>
      </w:r>
      <w:r>
        <w:t xml:space="preserve">were </w:t>
      </w:r>
      <w:r w:rsidRPr="00524D38">
        <w:t>informed that, on each trial of the main experiment, the trial would start with an initial cue (a downward or upward arrow) that would inform them about the subsequent stimulus intensity. In addition, they were informed that</w:t>
      </w:r>
      <w:r>
        <w:t>, unlike during training,</w:t>
      </w:r>
      <w:r w:rsidRPr="00524D38">
        <w:t xml:space="preserve"> the arrows might change</w:t>
      </w:r>
      <w:r>
        <w:t xml:space="preserve"> before the laser stimulus was delivered</w:t>
      </w:r>
      <w:r w:rsidRPr="00524D38">
        <w:t xml:space="preserve"> and that, in this case, it </w:t>
      </w:r>
      <w:r>
        <w:t>was only the</w:t>
      </w:r>
      <w:r w:rsidRPr="00524D38">
        <w:t xml:space="preserve"> arrow </w:t>
      </w:r>
      <w:r>
        <w:t xml:space="preserve">directly preceding each laser stimulus </w:t>
      </w:r>
      <w:r w:rsidRPr="00524D38">
        <w:t xml:space="preserve">that </w:t>
      </w:r>
      <w:r>
        <w:t xml:space="preserve">was accurate in </w:t>
      </w:r>
      <w:r w:rsidRPr="00524D38">
        <w:t>predict</w:t>
      </w:r>
      <w:r>
        <w:t>ing</w:t>
      </w:r>
      <w:r w:rsidRPr="00524D38">
        <w:t xml:space="preserve"> </w:t>
      </w:r>
      <w:r>
        <w:t xml:space="preserve">its </w:t>
      </w:r>
      <w:r w:rsidRPr="00524D38">
        <w:t>intensit</w:t>
      </w:r>
      <w:r>
        <w:t xml:space="preserve">y. </w:t>
      </w:r>
    </w:p>
    <w:p w14:paraId="376AE578" w14:textId="25C7EB75" w:rsidR="007512FC" w:rsidRDefault="007512FC" w:rsidP="007512FC">
      <w:pPr>
        <w:spacing w:line="480" w:lineRule="auto"/>
      </w:pPr>
      <w:r>
        <w:t>There were four experimental conditions (figure 1</w:t>
      </w:r>
      <w:r w:rsidR="00366C1D">
        <w:t>B</w:t>
      </w:r>
      <w:r>
        <w:t>), which varied according to the expectations created by different cue stimuli and the consistency between those cues and the laser stimulus that followed. Regarding expectancy cue conditions, all experimental trials presented a low intensity cue</w:t>
      </w:r>
      <w:r w:rsidRPr="000624D0">
        <w:t xml:space="preserve"> </w:t>
      </w:r>
      <w:r>
        <w:t>(downward arrow) followed by a laser stimulus that the participant was asked to rate. In conditions 1 and 2 (“low” expectancy conditions), only a “low” cue was presented, followed by the laser stimulus 2.5s later. In conditions 3 and 4 (“prior high” expectancy conditions), the “low” cue was preceded by a “high” cue, which was delivered 2.5s earlier; the laser stimulus also occurred 2.5s after the “low” cues</w:t>
      </w:r>
      <w:r w:rsidRPr="00790890">
        <w:t xml:space="preserve"> </w:t>
      </w:r>
      <w:r>
        <w:t xml:space="preserve">on these trials. Each cue was presented for 2s. This design enabled us to compare </w:t>
      </w:r>
      <w:r w:rsidRPr="00DF6459">
        <w:t xml:space="preserve">EEG responses </w:t>
      </w:r>
      <w:r>
        <w:t>to the “high” cues (conditions 3 and 4</w:t>
      </w:r>
      <w:r w:rsidRPr="00DF6459">
        <w:t xml:space="preserve">) </w:t>
      </w:r>
      <w:r>
        <w:t>vs. the “low” cues (conditions 1 and 2) to identify the effect of aversive valuation of the cues (figure 1</w:t>
      </w:r>
      <w:r w:rsidR="00DC1E7B">
        <w:t>C</w:t>
      </w:r>
      <w:r>
        <w:t>).</w:t>
      </w:r>
      <w:r w:rsidRPr="00DF6459">
        <w:t xml:space="preserve"> </w:t>
      </w:r>
    </w:p>
    <w:p w14:paraId="1AF20097" w14:textId="77777777" w:rsidR="007512FC" w:rsidRDefault="007512FC" w:rsidP="007512FC">
      <w:pPr>
        <w:spacing w:line="480" w:lineRule="auto"/>
      </w:pPr>
      <w:r>
        <w:t>Regarding the orthogonal second within-participant factor in the design, namely laser stimulus intensity, in conditions 1 and 3 the intensity of the laser stimulus was consistent with the “low” cue on most (two thirds) of the trials; in the remaining third of trials (conditions 2 and 4) a medium intensity laser stimulus was delivered. This enabled the second major comparison which was with regarding to post-stimulus processing between</w:t>
      </w:r>
      <w:r w:rsidRPr="00DF6459">
        <w:t xml:space="preserve"> medium</w:t>
      </w:r>
      <w:r>
        <w:t xml:space="preserve"> intensity stimuli (conditions 2 and 4</w:t>
      </w:r>
      <w:r w:rsidRPr="00DF6459">
        <w:t>) vs. low</w:t>
      </w:r>
      <w:r>
        <w:t xml:space="preserve"> intensity stimuli (conditions 1 and 3</w:t>
      </w:r>
      <w:r w:rsidRPr="00DF6459">
        <w:t>)</w:t>
      </w:r>
      <w:r>
        <w:t xml:space="preserve"> to identify the effects of laser intensity (N.B. the numbers of </w:t>
      </w:r>
      <w:r>
        <w:lastRenderedPageBreak/>
        <w:t>trials each intensity were matched for analysis purposes - see analysis section)</w:t>
      </w:r>
      <w:r w:rsidRPr="00DF6459">
        <w:t xml:space="preserve">. The third </w:t>
      </w:r>
      <w:r>
        <w:t xml:space="preserve">comparison, also on post-stimulus </w:t>
      </w:r>
      <w:r w:rsidRPr="00DF6459">
        <w:t xml:space="preserve">processing, </w:t>
      </w:r>
      <w:r>
        <w:t>involved only</w:t>
      </w:r>
      <w:r w:rsidRPr="00DF6459">
        <w:t xml:space="preserve"> medium intensity </w:t>
      </w:r>
      <w:r>
        <w:t xml:space="preserve">stimuli from condition 4 vs. condition 2 to identify </w:t>
      </w:r>
      <w:r w:rsidRPr="00DF6459">
        <w:t>the prior pain expectancy</w:t>
      </w:r>
      <w:r>
        <w:t xml:space="preserve"> effect</w:t>
      </w:r>
      <w:r w:rsidRPr="00DF6459">
        <w:t>.</w:t>
      </w:r>
    </w:p>
    <w:p w14:paraId="510D6C15" w14:textId="77777777" w:rsidR="007512FC" w:rsidRPr="00283359" w:rsidRDefault="007512FC" w:rsidP="007512FC">
      <w:pPr>
        <w:spacing w:line="480" w:lineRule="auto"/>
        <w:rPr>
          <w:sz w:val="18"/>
          <w:szCs w:val="18"/>
        </w:rPr>
      </w:pPr>
      <w:r>
        <w:t>A fifth trial type was also used (but for the analysis, not regarded as an experimental condition of interest), in which only “high” cues were delivered followed by a high intensity laser stimulus 2.5s later. These trials were designed to ensure that the “high” cue was perceived as a meaningful predictor of a high intensity stimulus in conditions 3 and 4.  These trials were not included in the EEG analyses. The five trial types were delivered in random order, across two blocks of 140 trials each, with</w:t>
      </w:r>
      <w:r w:rsidRPr="005F24D1">
        <w:t xml:space="preserve"> </w:t>
      </w:r>
      <w:r>
        <w:t>each block containing the same proportion of stimuli from each condition. The two blocks differed according to the instructions given, with participants being asked to focus on the painfulness of the stimuli in block 1 and to identify the location of the stimulus in block 2. However, to test the hypotheses in the current analysis, this block difference was not of interest; to account for any variance in the results as a results of task or time effects over blocks, block was included as a (nuisance) factor in the statistical models.</w:t>
      </w:r>
    </w:p>
    <w:p w14:paraId="0AF8498F" w14:textId="77777777" w:rsidR="007512FC" w:rsidRDefault="007512FC" w:rsidP="007512FC">
      <w:pPr>
        <w:pStyle w:val="Heading3"/>
        <w:spacing w:line="480" w:lineRule="auto"/>
      </w:pPr>
      <w:r>
        <w:t>Behavioural measures</w:t>
      </w:r>
    </w:p>
    <w:p w14:paraId="722AA3F3" w14:textId="77777777" w:rsidR="007512FC" w:rsidRDefault="007512FC" w:rsidP="007512FC">
      <w:pPr>
        <w:spacing w:line="480" w:lineRule="auto"/>
      </w:pPr>
      <w:r w:rsidRPr="00524D38">
        <w:t xml:space="preserve">The primary </w:t>
      </w:r>
      <w:r>
        <w:t xml:space="preserve">behavioural </w:t>
      </w:r>
      <w:r w:rsidRPr="00524D38">
        <w:t>outcome was the volunteers’ self-reported pain ratings</w:t>
      </w:r>
      <w:r>
        <w:t xml:space="preserve"> (especially, for medium intensity stimuli) and their modulation by cues</w:t>
      </w:r>
      <w:r w:rsidRPr="00524D38">
        <w:t xml:space="preserve">. </w:t>
      </w:r>
      <w:r>
        <w:t>To record this, o</w:t>
      </w:r>
      <w:r w:rsidRPr="000624D0">
        <w:t xml:space="preserve">n every trial, after the laser stimulus participants were </w:t>
      </w:r>
      <w:r>
        <w:t xml:space="preserve">prompted to </w:t>
      </w:r>
      <w:r w:rsidRPr="000624D0">
        <w:t xml:space="preserve">rate the pain intensity on a 0 – 10 </w:t>
      </w:r>
      <w:r>
        <w:t>numerical rating scale (NRS) via appearance of the scale on the computer screen three seconds after the laser pulse. Volunteers reported their pain using a button pad.</w:t>
      </w:r>
    </w:p>
    <w:p w14:paraId="68E09989" w14:textId="77777777" w:rsidR="007512FC" w:rsidRPr="00524D38" w:rsidRDefault="007512FC" w:rsidP="007512FC">
      <w:pPr>
        <w:pStyle w:val="Heading3"/>
        <w:spacing w:line="480" w:lineRule="auto"/>
      </w:pPr>
      <w:r>
        <w:t>Post-experiment</w:t>
      </w:r>
      <w:r w:rsidRPr="00524D38">
        <w:t xml:space="preserve"> manipulation check </w:t>
      </w:r>
    </w:p>
    <w:p w14:paraId="0B6F0B24" w14:textId="77777777" w:rsidR="007512FC" w:rsidRDefault="007512FC" w:rsidP="007512FC">
      <w:pPr>
        <w:spacing w:line="480" w:lineRule="auto"/>
        <w:rPr>
          <w:i/>
          <w:iCs/>
        </w:rPr>
      </w:pPr>
      <w:r>
        <w:t>After completion of the experiment we checked</w:t>
      </w:r>
      <w:r w:rsidRPr="00524D38">
        <w:t xml:space="preserve"> </w:t>
      </w:r>
      <w:r>
        <w:t>that participants were engaging with the visual cues. T</w:t>
      </w:r>
      <w:r w:rsidRPr="00524D38">
        <w:t>hree questions</w:t>
      </w:r>
      <w:r>
        <w:t xml:space="preserve"> were asked</w:t>
      </w:r>
      <w:r w:rsidRPr="00524D38">
        <w:t>: (i</w:t>
      </w:r>
      <w:bookmarkStart w:id="20" w:name="OLE_LINK1"/>
      <w:bookmarkStart w:id="21" w:name="OLE_LINK2"/>
      <w:r w:rsidRPr="00524D38">
        <w:t xml:space="preserve">) </w:t>
      </w:r>
      <w:proofErr w:type="gramStart"/>
      <w:r w:rsidRPr="00524D38">
        <w:t>During</w:t>
      </w:r>
      <w:proofErr w:type="gramEnd"/>
      <w:r w:rsidRPr="00524D38">
        <w:t xml:space="preserve"> the task, how much did you focus on the direction of the arrows?</w:t>
      </w:r>
      <w:bookmarkEnd w:id="20"/>
      <w:bookmarkEnd w:id="21"/>
      <w:r w:rsidRPr="00524D38">
        <w:t xml:space="preserve"> (ii) </w:t>
      </w:r>
      <w:bookmarkStart w:id="22" w:name="OLE_LINK8"/>
      <w:bookmarkStart w:id="23" w:name="OLE_LINK9"/>
      <w:r w:rsidRPr="00524D38">
        <w:t>How accurately did the arrow cues predict the intensity of the pain that followed?</w:t>
      </w:r>
      <w:bookmarkEnd w:id="22"/>
      <w:bookmarkEnd w:id="23"/>
      <w:r w:rsidRPr="00524D38">
        <w:t xml:space="preserve"> (iii) </w:t>
      </w:r>
      <w:bookmarkStart w:id="24" w:name="OLE_LINK22"/>
      <w:bookmarkStart w:id="25" w:name="OLE_LINK25"/>
      <w:r w:rsidRPr="00524D38">
        <w:t>When rating the intensity of the pain, how much w</w:t>
      </w:r>
      <w:r>
        <w:t xml:space="preserve">as your rating based on the </w:t>
      </w:r>
      <w:r w:rsidRPr="00524D38">
        <w:t>direction of the preceding arrow cue?</w:t>
      </w:r>
      <w:bookmarkEnd w:id="24"/>
      <w:bookmarkEnd w:id="25"/>
      <w:r w:rsidRPr="00524D38">
        <w:t xml:space="preserve"> In each case, participants were asked to select an answer ranging from “not at all” t</w:t>
      </w:r>
      <w:r>
        <w:t xml:space="preserve">o “all the time”. Participants </w:t>
      </w:r>
      <w:r w:rsidRPr="00524D38">
        <w:t>who report</w:t>
      </w:r>
      <w:r>
        <w:t>ed ignoring the cues completely or most of the time</w:t>
      </w:r>
      <w:r w:rsidRPr="00524D38">
        <w:t xml:space="preserve"> were excluded from the analysis. </w:t>
      </w:r>
    </w:p>
    <w:p w14:paraId="3E0B2CE9" w14:textId="77777777" w:rsidR="007512FC" w:rsidRDefault="007512FC" w:rsidP="007512FC">
      <w:pPr>
        <w:pStyle w:val="Heading3"/>
        <w:spacing w:line="480" w:lineRule="auto"/>
      </w:pPr>
      <w:r>
        <w:t>EEG acquisition parameters</w:t>
      </w:r>
    </w:p>
    <w:p w14:paraId="4DC6AF66" w14:textId="77777777" w:rsidR="007512FC" w:rsidRDefault="007512FC" w:rsidP="007512FC">
      <w:pPr>
        <w:spacing w:line="480" w:lineRule="auto"/>
      </w:pPr>
      <w:r>
        <w:t>Electroencephalography (EEG) was acquired during the main experiment from 59 Ag/</w:t>
      </w:r>
      <w:proofErr w:type="spellStart"/>
      <w:r>
        <w:t>AgCl</w:t>
      </w:r>
      <w:proofErr w:type="spellEnd"/>
      <w:r>
        <w:t xml:space="preserve"> surface electrodes attached to an elastic cap placed in accordance with the extended international 10-20 system (</w:t>
      </w:r>
      <w:proofErr w:type="spellStart"/>
      <w:r>
        <w:t>BrainVision</w:t>
      </w:r>
      <w:proofErr w:type="spellEnd"/>
      <w:r>
        <w:t xml:space="preserve"> </w:t>
      </w:r>
      <w:proofErr w:type="spellStart"/>
      <w:r>
        <w:t>ActiCap</w:t>
      </w:r>
      <w:proofErr w:type="spellEnd"/>
      <w:r>
        <w:t xml:space="preserve"> combined with a </w:t>
      </w:r>
      <w:proofErr w:type="spellStart"/>
      <w:r>
        <w:t>Neuroscan</w:t>
      </w:r>
      <w:proofErr w:type="spellEnd"/>
      <w:r>
        <w:t xml:space="preserve"> head box and amplifier system). Band-pass filters were set at DC to 100Hz with a sampling rate of 500Hz. Electrodes were referenced to the ipsilateral (right) earlobe and later (during analysis) re-referenced to the common average. In addition to the 59 scalp channels, the horizontal and vertical electro-</w:t>
      </w:r>
      <w:proofErr w:type="spellStart"/>
      <w:r>
        <w:t>oculograms</w:t>
      </w:r>
      <w:proofErr w:type="spellEnd"/>
      <w:r>
        <w:t xml:space="preserve"> (EOG) were measured for detection of eye-movement and blink artefacts.</w:t>
      </w:r>
    </w:p>
    <w:p w14:paraId="74CAEB29" w14:textId="6819FC8F" w:rsidR="007512FC" w:rsidRDefault="007512FC" w:rsidP="00604241">
      <w:pPr>
        <w:pStyle w:val="Heading2"/>
      </w:pPr>
      <w:bookmarkStart w:id="26" w:name="OLE_LINK134"/>
      <w:bookmarkStart w:id="27" w:name="OLE_LINK135"/>
      <w:r>
        <w:t>EEG data p</w:t>
      </w:r>
      <w:r w:rsidRPr="00596B0B">
        <w:t>re-processing</w:t>
      </w:r>
      <w:r>
        <w:t xml:space="preserve"> </w:t>
      </w:r>
    </w:p>
    <w:p w14:paraId="27AC6FCB" w14:textId="71DE7BD8" w:rsidR="007512FC" w:rsidRDefault="007512FC" w:rsidP="007512FC">
      <w:pPr>
        <w:spacing w:line="480" w:lineRule="auto"/>
      </w:pPr>
      <w:r>
        <w:t xml:space="preserve">EEG data </w:t>
      </w:r>
      <w:r w:rsidRPr="00240444">
        <w:t>pre-processing</w:t>
      </w:r>
      <w:r>
        <w:t xml:space="preserve"> was performed using EEGLAB version 13.1.1 </w:t>
      </w:r>
      <w:r>
        <w:fldChar w:fldCharType="begin" w:fldLock="1"/>
      </w:r>
      <w:r w:rsidR="00DA76DD">
        <w:instrText>ADDIN CSL_CITATION { "citationItems" : [ { "id" : "ITEM-1", "itemData" : { "ISSN" : "0165-0270", "abstract" : "We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 "author" : [ { "dropping-particle" : "", "family" : "Delorme", "given" : "Arnaud", "non-dropping-particle" : "", "parse-names" : false, "suffix" : "" }, { "dropping-particle" : "", "family" : "Makeig", "given" : "Scott", "non-dropping-particle" : "", "parse-names" : false, "suffix" : "" } ], "container-title" : "Journal of neuroscience methods", "id" : "ITEM-1", "issue" : "1", "issued" : { "date-parts" : [ [ "2004", "3" ] ] }, "page" : "9-21", "title" : "EEGLAB: an open source toolbox for analysis of single-trial EEG dynamics including independent component analysis", "type" : "article-journal", "volume" : "134" }, "uris" : [ "http://www.mendeley.com/documents/?uuid=22079927-60e3-4095-be72-988cc388ab4f", "http://www.mendeley.com/documents/?uuid=ab2e33a5-d3c2-4d61-8434-7fb4086b0761" ] } ], "mendeley" : { "formattedCitation" : "(Delorme and Makeig, 2004)", "plainTextFormattedCitation" : "(Delorme and Makeig, 2004)", "previouslyFormattedCitation" : "(Delorme and Makeig, 2004)" }, "properties" : {  }, "schema" : "https://github.com/citation-style-language/schema/raw/master/csl-citation.json" }</w:instrText>
      </w:r>
      <w:r>
        <w:fldChar w:fldCharType="separate"/>
      </w:r>
      <w:r w:rsidRPr="005B5DFF">
        <w:rPr>
          <w:noProof/>
        </w:rPr>
        <w:t>(Delorme and Makeig, 2004)</w:t>
      </w:r>
      <w:r>
        <w:fldChar w:fldCharType="end"/>
      </w:r>
      <w:r w:rsidRPr="00240444">
        <w:t>.</w:t>
      </w:r>
      <w:r>
        <w:t xml:space="preserve"> Continuous</w:t>
      </w:r>
      <w:r w:rsidRPr="00710CBA">
        <w:t xml:space="preserve"> data were </w:t>
      </w:r>
      <w:r>
        <w:t xml:space="preserve">initially low pass filtered at 45Hz to exclude electrical noise. Data were then </w:t>
      </w:r>
      <w:r w:rsidRPr="00710CBA">
        <w:t>segmented into epochs</w:t>
      </w:r>
      <w:r>
        <w:t xml:space="preserve"> including from -5500</w:t>
      </w:r>
      <w:r w:rsidRPr="00710CBA">
        <w:t xml:space="preserve">ms preceding the </w:t>
      </w:r>
      <w:r>
        <w:t xml:space="preserve">laser </w:t>
      </w:r>
      <w:r w:rsidRPr="00710CBA">
        <w:t>stimulus</w:t>
      </w:r>
      <w:r>
        <w:t xml:space="preserve"> (including from -500ms pre-cue)</w:t>
      </w:r>
      <w:r w:rsidRPr="00710CBA">
        <w:t xml:space="preserve"> </w:t>
      </w:r>
      <w:r>
        <w:t>to 2000</w:t>
      </w:r>
      <w:r w:rsidRPr="00710CBA">
        <w:t xml:space="preserve">ms </w:t>
      </w:r>
      <w:r>
        <w:t>post-</w:t>
      </w:r>
      <w:r w:rsidRPr="00710CBA">
        <w:t>stimulus. Data containing excessive eye movement or muscular artefact were</w:t>
      </w:r>
      <w:r>
        <w:t xml:space="preserve"> </w:t>
      </w:r>
      <w:r w:rsidRPr="00710CBA">
        <w:t>rejected by a quasi-automated procedure: noisy channels and epochs were identified by calculating their normalised variance and then manually rejected or retained by visual confirmation. Independent component analysis (ICA)</w:t>
      </w:r>
      <w:r>
        <w:t xml:space="preserve"> based </w:t>
      </w:r>
      <w:r w:rsidRPr="005E3793">
        <w:t xml:space="preserve">on the </w:t>
      </w:r>
      <w:proofErr w:type="spellStart"/>
      <w:r w:rsidRPr="005E3793">
        <w:t>Infomax</w:t>
      </w:r>
      <w:proofErr w:type="spellEnd"/>
      <w:r w:rsidRPr="005E3793">
        <w:t xml:space="preserve"> ICA algorithm</w:t>
      </w:r>
      <w:r>
        <w:t xml:space="preserve"> </w:t>
      </w:r>
      <w:r>
        <w:fldChar w:fldCharType="begin" w:fldLock="1"/>
      </w:r>
      <w:r w:rsidR="00DA76DD">
        <w:instrText>ADDIN CSL_CITATION { "citationItems" : [ { "id" : "ITEM-1", "itemData" : { "ISSN" : "0899-7667", "abstract" : "We derive a new self-organizing learning algorithm that maximizes the information transferred in a network of nonlinear units. The algorithm does not assume any knowledge of the input distributions, and is defined here for the zero-noise limit. Under these conditions, information maximization has extra properties not found in the linear case (Linsker 1989). The nonlinearities in the transfer function are able to pick up higher-order moments of the input distributions and perform something akin to true redundancy reduction between units in the output representation. This enables the network to separate statistically independent components in the inputs: a higher-order generalization of principal components analysis. We apply the network to the source separation (or cocktail party) problem, successfully separating unknown mixtures of up to 10 speakers. We also show that a variant on the network architecture is able to perform blind deconvolution (cancellation of unknown echoes and reverberation in a speech signal). Finally, we derive dependencies of information transfer on time delays. We suggest that information maximization provides a unifying framework for problems in \"blind\" signal processing.", "author" : [ { "dropping-particle" : "", "family" : "Bell", "given" : "A J", "non-dropping-particle" : "", "parse-names" : false, "suffix" : "" }, { "dropping-particle" : "", "family" : "Sejnowski", "given" : "T J", "non-dropping-particle" : "", "parse-names" : false, "suffix" : "" } ], "container-title" : "Neural computation", "id" : "ITEM-1", "issue" : "6", "issued" : { "date-parts" : [ [ "1995", "11" ] ] }, "page" : "1129-59", "title" : "An information-maximization approach to blind separation and blind deconvolution", "type" : "article-journal", "volume" : "7" }, "uris" : [ "http://www.mendeley.com/documents/?uuid=c5a04361-ace7-45f8-9967-e167d1918d01", "http://www.mendeley.com/documents/?uuid=b501b79c-40c8-4073-b5f0-7bed5e88ba63" ] } ], "mendeley" : { "formattedCitation" : "(Bell and Sejnowski, 1995)", "plainTextFormattedCitation" : "(Bell and Sejnowski, 1995)", "previouslyFormattedCitation" : "(Bell and Sejnowski, 1995)" }, "properties" : {  }, "schema" : "https://github.com/citation-style-language/schema/raw/master/csl-citation.json" }</w:instrText>
      </w:r>
      <w:r>
        <w:fldChar w:fldCharType="separate"/>
      </w:r>
      <w:r w:rsidRPr="005B5DFF">
        <w:rPr>
          <w:noProof/>
        </w:rPr>
        <w:t>(Bell and Sejnowski, 1995)</w:t>
      </w:r>
      <w:r>
        <w:fldChar w:fldCharType="end"/>
      </w:r>
      <w:r w:rsidRPr="00710CBA">
        <w:t xml:space="preserve"> was run on the clean data excluding bad channels using</w:t>
      </w:r>
      <w:r>
        <w:t xml:space="preserve"> the</w:t>
      </w:r>
      <w:r w:rsidRPr="00710CBA">
        <w:t xml:space="preserve"> ‘</w:t>
      </w:r>
      <w:proofErr w:type="spellStart"/>
      <w:r w:rsidRPr="00710CBA">
        <w:t>runica</w:t>
      </w:r>
      <w:proofErr w:type="spellEnd"/>
      <w:r w:rsidRPr="00710CBA">
        <w:t xml:space="preserve">’ </w:t>
      </w:r>
      <w:r>
        <w:t>function in EEGLAB</w:t>
      </w:r>
      <w:r w:rsidRPr="00710CBA">
        <w:t>. ICA components were visually inspe</w:t>
      </w:r>
      <w:r>
        <w:t>cted and bad components rejected</w:t>
      </w:r>
      <w:r w:rsidRPr="00710CBA">
        <w:t>.</w:t>
      </w:r>
      <w:r w:rsidR="00116126">
        <w:t xml:space="preserve"> </w:t>
      </w:r>
      <w:bookmarkStart w:id="28" w:name="OLE_LINK89"/>
      <w:bookmarkStart w:id="29" w:name="OLE_LINK91"/>
      <w:r w:rsidR="00116126">
        <w:t>Such components were identified if matching the description of either (a) high (</w:t>
      </w:r>
      <w:proofErr w:type="spellStart"/>
      <w:r w:rsidR="00116126">
        <w:t>neuronally</w:t>
      </w:r>
      <w:proofErr w:type="spellEnd"/>
      <w:r w:rsidR="00116126">
        <w:t xml:space="preserve"> infeasible) amplitude signals with characteristic topographic (frontal) distributions matching that of blinks or horizontal eye movements, or (b) topographies characteristic of single electrode noise but that were not frequently occurring enough to be considered as bad </w:t>
      </w:r>
      <w:r w:rsidR="00116126" w:rsidRPr="00253648">
        <w:t>channels.</w:t>
      </w:r>
      <w:r w:rsidR="00116126" w:rsidRPr="006A1E1B">
        <w:t xml:space="preserve"> </w:t>
      </w:r>
      <w:bookmarkEnd w:id="28"/>
      <w:bookmarkEnd w:id="29"/>
      <w:r w:rsidR="00590496" w:rsidRPr="00604241">
        <w:t xml:space="preserve">The median number of components rejected was 8 (range 4 to 11), commonly consisting of 3-4 eye movement components and 5-6 channel noise components. </w:t>
      </w:r>
      <w:r w:rsidR="00116126" w:rsidRPr="00253648">
        <w:t>A</w:t>
      </w:r>
      <w:r w:rsidR="00116126" w:rsidRPr="006A1E1B">
        <w:t>f</w:t>
      </w:r>
      <w:r w:rsidR="00116126" w:rsidRPr="00C27595">
        <w:t>ter ICA</w:t>
      </w:r>
      <w:r w:rsidR="00116126" w:rsidRPr="00366C1D">
        <w:t xml:space="preserve"> correction, </w:t>
      </w:r>
      <w:r w:rsidR="00116126" w:rsidRPr="000F2828">
        <w:t>b</w:t>
      </w:r>
      <w:r w:rsidRPr="00576FCC">
        <w:t xml:space="preserve">ad channels </w:t>
      </w:r>
      <w:r w:rsidRPr="00710CBA">
        <w:t>previously identified by visual inspection were then replaced by spherical spline interpolation of neighbouring electrodes.  Data w</w:t>
      </w:r>
      <w:r>
        <w:t>ere</w:t>
      </w:r>
      <w:r w:rsidRPr="00710CBA">
        <w:t xml:space="preserve"> then re-referenced to the </w:t>
      </w:r>
      <w:r>
        <w:t>average of 59</w:t>
      </w:r>
      <w:r w:rsidRPr="00710CBA">
        <w:t xml:space="preserve"> channels</w:t>
      </w:r>
      <w:r>
        <w:t xml:space="preserve"> (excluding reference and ocular channels)</w:t>
      </w:r>
      <w:r w:rsidRPr="00710CBA">
        <w:t xml:space="preserve">. </w:t>
      </w:r>
      <w:r w:rsidRPr="00E00FD7">
        <w:t xml:space="preserve">ERPs </w:t>
      </w:r>
      <w:r>
        <w:t xml:space="preserve">were calculated for each subject and condition </w:t>
      </w:r>
      <w:r w:rsidRPr="00E00FD7">
        <w:t xml:space="preserve">by </w:t>
      </w:r>
      <w:r>
        <w:t>averaging epochs.</w:t>
      </w:r>
    </w:p>
    <w:p w14:paraId="1D4987CE" w14:textId="0E4F20B3" w:rsidR="007512FC" w:rsidRDefault="007512FC" w:rsidP="00604241">
      <w:pPr>
        <w:pStyle w:val="Heading2"/>
      </w:pPr>
      <w:r>
        <w:t>EEG statistical analysis</w:t>
      </w:r>
    </w:p>
    <w:p w14:paraId="28EBA122" w14:textId="0620BAA3" w:rsidR="007512FC" w:rsidRDefault="00A23E90" w:rsidP="007512FC">
      <w:pPr>
        <w:spacing w:line="480" w:lineRule="auto"/>
      </w:pPr>
      <w:r>
        <w:rPr>
          <w:color w:val="000000"/>
        </w:rPr>
        <w:t xml:space="preserve">Here we summarise our approach to the statistical analysis of the EEG data and refer to a more detailed description of the steps taken in the supplementary materials. </w:t>
      </w:r>
      <w:r w:rsidR="007512FC">
        <w:rPr>
          <w:color w:val="000000"/>
        </w:rPr>
        <w:t>Our analyses focussed on identifying within-subject effects and then characterising the groups in terms of these effects. The three within-subjects effects of interest were</w:t>
      </w:r>
      <w:r w:rsidR="00354F42">
        <w:rPr>
          <w:color w:val="000000"/>
        </w:rPr>
        <w:t xml:space="preserve"> as follows.</w:t>
      </w:r>
      <w:r w:rsidR="007512FC">
        <w:rPr>
          <w:color w:val="000000"/>
        </w:rPr>
        <w:t xml:space="preserve"> </w:t>
      </w:r>
      <w:bookmarkStart w:id="30" w:name="OLE_LINK146"/>
      <w:bookmarkStart w:id="31" w:name="OLE_LINK147"/>
      <w:bookmarkStart w:id="32" w:name="OLE_LINK148"/>
      <w:bookmarkStart w:id="33" w:name="OLE_LINK149"/>
      <w:r w:rsidR="00354F42">
        <w:rPr>
          <w:color w:val="000000"/>
        </w:rPr>
        <w:t xml:space="preserve">Contrast 1: </w:t>
      </w:r>
      <w:bookmarkEnd w:id="30"/>
      <w:bookmarkEnd w:id="31"/>
      <w:bookmarkEnd w:id="32"/>
      <w:bookmarkEnd w:id="33"/>
      <w:r w:rsidR="007512FC">
        <w:rPr>
          <w:color w:val="000000"/>
        </w:rPr>
        <w:t xml:space="preserve">the aversive cue valuation effect (High cue (conditions </w:t>
      </w:r>
      <w:r w:rsidR="0021231B">
        <w:rPr>
          <w:color w:val="000000"/>
        </w:rPr>
        <w:t>3</w:t>
      </w:r>
      <w:r w:rsidR="007512FC">
        <w:rPr>
          <w:color w:val="000000"/>
        </w:rPr>
        <w:t xml:space="preserve"> and </w:t>
      </w:r>
      <w:r w:rsidR="0021231B">
        <w:rPr>
          <w:color w:val="000000"/>
        </w:rPr>
        <w:t>4</w:t>
      </w:r>
      <w:r w:rsidR="007512FC">
        <w:rPr>
          <w:color w:val="000000"/>
        </w:rPr>
        <w:t xml:space="preserve">) &gt; Low cue (conditions </w:t>
      </w:r>
      <w:r w:rsidR="0021231B">
        <w:rPr>
          <w:color w:val="000000"/>
        </w:rPr>
        <w:t>1</w:t>
      </w:r>
      <w:r w:rsidR="007512FC">
        <w:rPr>
          <w:color w:val="000000"/>
        </w:rPr>
        <w:t xml:space="preserve"> and </w:t>
      </w:r>
      <w:r w:rsidR="0021231B">
        <w:rPr>
          <w:color w:val="000000"/>
        </w:rPr>
        <w:t>2</w:t>
      </w:r>
      <w:r w:rsidR="007512FC">
        <w:rPr>
          <w:color w:val="000000"/>
        </w:rPr>
        <w:t>))</w:t>
      </w:r>
      <w:r w:rsidR="00354F42">
        <w:rPr>
          <w:color w:val="000000"/>
        </w:rPr>
        <w:t xml:space="preserve">; Contrast 2: </w:t>
      </w:r>
      <w:r w:rsidR="007512FC">
        <w:rPr>
          <w:color w:val="000000"/>
        </w:rPr>
        <w:t>the main effect of laser stimulus intensity (Medium (condition</w:t>
      </w:r>
      <w:r w:rsidR="0021231B">
        <w:rPr>
          <w:color w:val="000000"/>
        </w:rPr>
        <w:t>s</w:t>
      </w:r>
      <w:r w:rsidR="007512FC">
        <w:rPr>
          <w:color w:val="000000"/>
        </w:rPr>
        <w:t xml:space="preserve"> 2</w:t>
      </w:r>
      <w:r w:rsidR="0021231B">
        <w:rPr>
          <w:color w:val="000000"/>
        </w:rPr>
        <w:t xml:space="preserve"> and 4</w:t>
      </w:r>
      <w:r w:rsidR="007512FC">
        <w:rPr>
          <w:color w:val="000000"/>
        </w:rPr>
        <w:t>) &gt; Low (condition</w:t>
      </w:r>
      <w:r w:rsidR="0021231B">
        <w:rPr>
          <w:color w:val="000000"/>
        </w:rPr>
        <w:t>s 1 and 3</w:t>
      </w:r>
      <w:r w:rsidR="007512FC">
        <w:rPr>
          <w:color w:val="000000"/>
        </w:rPr>
        <w:t>))</w:t>
      </w:r>
      <w:r w:rsidR="00354F42">
        <w:rPr>
          <w:color w:val="000000"/>
        </w:rPr>
        <w:t>;</w:t>
      </w:r>
      <w:r w:rsidR="007512FC">
        <w:rPr>
          <w:color w:val="000000"/>
        </w:rPr>
        <w:t xml:space="preserve"> </w:t>
      </w:r>
      <w:r w:rsidR="00354F42">
        <w:rPr>
          <w:color w:val="000000"/>
        </w:rPr>
        <w:t xml:space="preserve">Contrast 3: </w:t>
      </w:r>
      <w:r w:rsidR="007512FC">
        <w:rPr>
          <w:color w:val="000000"/>
        </w:rPr>
        <w:t>the prior expectancy effect on</w:t>
      </w:r>
      <w:r w:rsidR="007512FC" w:rsidRPr="00131323">
        <w:rPr>
          <w:color w:val="000000"/>
        </w:rPr>
        <w:t xml:space="preserve"> </w:t>
      </w:r>
      <w:r w:rsidR="007512FC">
        <w:rPr>
          <w:color w:val="000000"/>
        </w:rPr>
        <w:t>post-laser stimulus nociceptive processing of medium intensity stimuli only (Prior High expectation (condition 4) &gt; Low expectation (condition 2)).</w:t>
      </w:r>
      <w:r w:rsidR="007512FC">
        <w:t xml:space="preserve"> For each effect, and then in further comparing effects between groups, three EEG statistical analysis approaches were used: (1) mass </w:t>
      </w:r>
      <w:bookmarkStart w:id="34" w:name="OLE_LINK10"/>
      <w:bookmarkStart w:id="35" w:name="OLE_LINK11"/>
      <w:r w:rsidR="007512FC">
        <w:t xml:space="preserve">univariate analysis (MUA) of the sensor data, (2) MUA of source data, and (3) multivariate pattern analysis (MVPA) of sensor data. </w:t>
      </w:r>
      <w:bookmarkEnd w:id="34"/>
      <w:bookmarkEnd w:id="35"/>
    </w:p>
    <w:p w14:paraId="72917123" w14:textId="46A4BB92" w:rsidR="007512FC" w:rsidRDefault="007512FC">
      <w:pPr>
        <w:spacing w:line="480" w:lineRule="auto"/>
      </w:pPr>
      <w:r>
        <w:t>The univariate and multivariate analyses had different but complementary goals. MUA</w:t>
      </w:r>
      <w:r w:rsidRPr="00413DC7">
        <w:t xml:space="preserve"> is sensitive to </w:t>
      </w:r>
      <w:r>
        <w:t>mean</w:t>
      </w:r>
      <w:r w:rsidRPr="00413DC7">
        <w:t xml:space="preserve"> </w:t>
      </w:r>
      <w:r>
        <w:t xml:space="preserve">differences in neural activity within localised regions; hence it can be used to test for interactions in amplitude of evoked responses, in specific spatiotemporal regions, between groups and conditions from mixed designs. Hence we used MUA to analyse the localisation (in sensor and source space) of amplitude differences for the effects of interest. In contrast, </w:t>
      </w:r>
      <w:r w:rsidRPr="00413DC7">
        <w:t xml:space="preserve">MVPA </w:t>
      </w:r>
      <w:r>
        <w:t xml:space="preserve">ignores average univariate effects to focus on neural </w:t>
      </w:r>
      <w:r w:rsidRPr="00AA0A9B">
        <w:rPr>
          <w:i/>
        </w:rPr>
        <w:t>patterns</w:t>
      </w:r>
      <w:r>
        <w:t xml:space="preserve">. One advantage of applying MVPA to EEG (as opposed to fMRI) data is the ability to utilise high-resolution temporal information. </w:t>
      </w:r>
      <w:bookmarkStart w:id="36" w:name="OLE_LINK54"/>
      <w:bookmarkStart w:id="37" w:name="OLE_LINK55"/>
      <w:r>
        <w:t xml:space="preserve">MVPA </w:t>
      </w:r>
      <w:r w:rsidRPr="00413DC7">
        <w:t>is sensitive to di</w:t>
      </w:r>
      <w:r>
        <w:t xml:space="preserve">stributed coding of neural information </w:t>
      </w:r>
      <w:r>
        <w:fldChar w:fldCharType="begin" w:fldLock="1"/>
      </w:r>
      <w:r w:rsidR="00DA76DD">
        <w:instrText>ADDIN CSL_CITATION { "citationItems" : [ { "id" : "ITEM-1", "itemData" : { "DOI" : "10.1016/j.neuropsychologia.2011.11.007", "ISBN" : "0028-3932", "ISSN" : "00283932", "PMID" : "22100534", "abstract" : "Multivariate pattern analysis (MVPA) has recently received increasing attention in functional neuroimaging due to its ability to decode mental states from fMRI signals. However, questions remain regarding both the empirical and conceptual relationships between results from MVPA and standard univariate analyses. In the current study, whole-brain univariate and searchlight MVPAs of parametric manipulations of monetary gain and loss in a decision making task (Tom et al., 2007) were compared to identify the differences in the results across these methods and the implications for understanding the underlying mental processes. The MVPA and univariate results did identify some overlapping regions in whole brain analyses. However, an analysis of consistency revealed that in many regions the effect size estimates obtained from MVPA and univariate analysis were uncorrelated. Moreover, comparison of sensitivity showed a general trend towards greater sensitivity to task manipulations by MVPA compared to univariate analysis. These results demonstrate that MVPA methods may provide a different view of the functional organization of mental processing compared to univariate analysis, wherein MVPA is more sensitive to distributed coding of information whereas univariate analysis is more sensitive to global engagement in ongoing tasks. The results also highlight the need for better ways to integrate these methods. \u00a9 2011 Elsevier Ltd.", "author" : [ { "dropping-particle" : "", "family" : "Jimura", "given" : "Koji", "non-dropping-particle" : "", "parse-names" : false, "suffix" : "" }, { "dropping-particle" : "", "family" : "Poldrack", "given" : "Russell A.", "non-dropping-particle" : "", "parse-names" : false, "suffix" : "" } ], "container-title" : "Neuropsychologia", "id" : "ITEM-1", "issue" : "4", "issued" : { "date-parts" : [ [ "2012" ] ] }, "page" : "544-552", "title" : "Analyses of regional-average activation and multivoxel pattern information tell complementary stories", "type" : "article-journal", "volume" : "50" }, "uris" : [ "http://www.mendeley.com/documents/?uuid=d5798082-8770-43e6-b795-79a6028e1182" ] } ], "mendeley" : { "formattedCitation" : "(Jimura and Poldrack, 2012)", "plainTextFormattedCitation" : "(Jimura and Poldrack, 2012)", "previouslyFormattedCitation" : "(Jimura and Poldrack, 2012)" }, "properties" : {  }, "schema" : "https://github.com/citation-style-language/schema/raw/master/csl-citation.json" }</w:instrText>
      </w:r>
      <w:r>
        <w:fldChar w:fldCharType="separate"/>
      </w:r>
      <w:r w:rsidRPr="005B5DFF">
        <w:rPr>
          <w:noProof/>
        </w:rPr>
        <w:t>(Jimura and Poldrack, 2012)</w:t>
      </w:r>
      <w:r>
        <w:fldChar w:fldCharType="end"/>
      </w:r>
      <w:r>
        <w:t xml:space="preserve"> across space and time, providing spatiotemporal patterns that classify groups and conditions. </w:t>
      </w:r>
      <w:bookmarkEnd w:id="36"/>
      <w:bookmarkEnd w:id="37"/>
      <w:r>
        <w:t>We depart from commonly used methods that consider time points as independent</w:t>
      </w:r>
      <w:r w:rsidR="00C31639">
        <w:t xml:space="preserve"> of each other</w:t>
      </w:r>
      <w:r>
        <w:t xml:space="preserve"> (e.g. applying searchlight analysis over time </w:t>
      </w:r>
      <w:r>
        <w:fldChar w:fldCharType="begin" w:fldLock="1"/>
      </w:r>
      <w:r w:rsidR="00DA76DD">
        <w:instrText>ADDIN CSL_CITATION { "citationItems" : [ { "id" : "ITEM-1", "itemData" : { "DOI" : "10.1016/j.tics.2014.01.002", "ISBN" : "1364-6613", "ISSN" : "1879307X", "PMID" : "24593982", "abstract" : "Parsing a cognitive task into a sequence of operations is a central problem in cognitive neuroscience. We argue that a major advance is now possible owing to the application of pattern classifiers to time-resolved recordings of brain activity [electroencephalography (EEG), magnetoencephalography (MEG), or intracranial recordings]. By testing at which moment a specific mental content becomes decodable in brain activity, we can characterize the time course of cognitive codes. Most importantly, the manner in which the trained classifiers generalize across time, and from one experimental condition to another, sheds light on the temporal organization of information-processing stages. A repertoire of canonical dynamical patterns is observed across various experiments and brain regions. This method thus provides a novel way to understand how mental representations are manipulated and transformed. \u00a9 2014 Elsevier Ltd.", "author" : [ { "dropping-particle" : "", "family" : "King", "given" : "J. R.", "non-dropping-particle" : "", "parse-names" : false, "suffix" : "" }, { "dropping-particle" : "", "family" : "Dehaene", "given" : "S.", "non-dropping-particle" : "", "parse-names" : false, "suffix" : "" } ], "container-title" : "Trends in Cognitive Sciences", "id" : "ITEM-1", "issue" : "4", "issued" : { "date-parts" : [ [ "2014" ] ] }, "page" : "203-210", "title" : "Characterizing the dynamics of mental representations: The temporal generalization method", "type" : "article", "volume" : "18" }, "uris" : [ "http://www.mendeley.com/documents/?uuid=0f9882b4-2aa0-4a28-82a0-b4c16d4aa969" ] } ], "mendeley" : { "formattedCitation" : "(King and Dehaene, 2014)", "plainTextFormattedCitation" : "(King and Dehaene, 2014)", "previouslyFormattedCitation" : "(King and Dehaene, 2014)" }, "properties" : {  }, "schema" : "https://github.com/citation-style-language/schema/raw/master/csl-citation.json" }</w:instrText>
      </w:r>
      <w:r>
        <w:fldChar w:fldCharType="separate"/>
      </w:r>
      <w:r w:rsidRPr="005B5DFF">
        <w:rPr>
          <w:noProof/>
        </w:rPr>
        <w:t>(King and Dehaene, 2014)</w:t>
      </w:r>
      <w:r>
        <w:fldChar w:fldCharType="end"/>
      </w:r>
      <w:r>
        <w:t xml:space="preserve">) </w:t>
      </w:r>
      <w:r w:rsidR="003039CB">
        <w:t>by assuming that brain representations are coded across spatial and temporal dimensions in an integrated fashion</w:t>
      </w:r>
      <w:r>
        <w:t xml:space="preserve">. This spatiotemporal approach to MVPA has been successfully applied recently to the classification of patients with schizophrenia </w:t>
      </w:r>
      <w:r>
        <w:fldChar w:fldCharType="begin" w:fldLock="1"/>
      </w:r>
      <w:r w:rsidR="00DA76DD">
        <w:instrText>ADDIN CSL_CITATION { "citationItems" : [ { "id" : "ITEM-1", "itemData" : { "DOI" : "10.1016/j.nicl.2017.04.027", "ISSN" : "22131582", "PMID" : "28560151", "abstract" : "Schizophrenia is a complex psychiatric disorder, typically diagnosed through symptomatic evidence collected through patient interview. We aim to develop an objective biologically-based computational tool which aids diagnosis and relies on accessible imaging technologies such as electroencephalography (EEG). To achieve this, we used machine learning techniques and a combination of paradigms designed to elicit prediction errors or Mismatch Negativity (MMN) responses. MMN, an EEG component elicited by unpredictable changes in sequences of auditory stimuli, has previously been shown to be reduced in people with schizophrenia and this is arguably one of the most reproducible neurophysiological markers of schizophrenia. EEG data were acquired from 21 patients with schizophrenia and 22 healthy controls whilst they listened to three auditory oddball paradigms comprising sequences of tones which deviated in 10% of trials from regularly occurring standard tones. Deviant tones shared the same properties as standard tones, except for one physical aspect: 1) duration - the deviant stimulus was twice the duration of the standard; 2) monaural gap - deviants had a silent interval omitted from the standard, or 3) inter-aural timing difference, which caused the deviant location to be perceived as 90\u00b0 away from the standards. We used multivariate pattern analysis, a machine learning technique implemented in the Pattern Recognition for Neuroimaging Toolbox (PRoNTo) to classify images generated through statistical parametric mapping (SPM) of spatiotemporal EEG data, i.e. event-related potentials measured on the two-dimensional surface of the scalp over time. Using support vector machine (SVM) and Gaussian processes classifiers (GPC), we were able classify individual patients and controls with balanced accuracies of up to 80.48% (p-values = 0.0326, FDR corrected) and an ROC analysis yielding an AUC of 0.87. Crucially, a GP regression revealed that MMN predicted global assessment of functioning (GAF) scores (correlation = 0.73, R2= 0.53, p = 0.0006).", "author" : [ { "dropping-particle" : "", "family" : "Taylor", "given" : "J. A.", "non-dropping-particle" : "", "parse-names" : false, "suffix" : "" }, { "dropping-particle" : "", "family" : "Matthews", "given" : "N.", "non-dropping-particle" : "", "parse-names" : false, "suffix" : "" }, { "dropping-particle" : "", "family" : "Michie", "given" : "P. T.", "non-dropping-particle" : "", "parse-names" : false, "suffix" : "" }, { "dropping-particle" : "", "family" : "Rosa", "given" : "M. J.", "non-dropping-particle" : "", "parse-names" : false, "suffix" : "" }, { "dropping-particle" : "", "family" : "Garrido", "given" : "M. I.", "non-dropping-particle" : "", "parse-names" : false, "suffix" : "" } ], "container-title" : "NeuroImage: Clinical", "id" : "ITEM-1", "issued" : { "date-parts" : [ [ "2017" ] ] }, "page" : "264-273", "title" : "Auditory prediction errors as individual biomarkers of schizophrenia", "type" : "article-journal", "volume" : "15" }, "uris" : [ "http://www.mendeley.com/documents/?uuid=757db854-536a-473f-803c-b96ca597cdd2" ] } ], "mendeley" : { "formattedCitation" : "(Taylor et al., 2017)", "plainTextFormattedCitation" : "(Taylor et al., 2017)", "previouslyFormattedCitation" : "(Taylor et al., 2017)" }, "properties" : {  }, "schema" : "https://github.com/citation-style-language/schema/raw/master/csl-citation.json" }</w:instrText>
      </w:r>
      <w:r>
        <w:fldChar w:fldCharType="separate"/>
      </w:r>
      <w:r w:rsidRPr="005B5DFF">
        <w:rPr>
          <w:noProof/>
        </w:rPr>
        <w:t>(Taylor et al., 2017)</w:t>
      </w:r>
      <w:r>
        <w:fldChar w:fldCharType="end"/>
      </w:r>
      <w:r>
        <w:t xml:space="preserve"> and provides algorithmic and statistical efficiency. Furthermore, group-level MVPA was preferred here over subject-level MVPA for within-subjects contrasts, as it has been recently shown to provide more consistent and interpretable results across subjects </w:t>
      </w:r>
      <w:r>
        <w:fldChar w:fldCharType="begin" w:fldLock="1"/>
      </w:r>
      <w:r w:rsidR="00DA76DD">
        <w:instrText>ADDIN CSL_CITATION { "citationItems" : [ { "id" : "ITEM-1", "itemData" : { "DOI" : "10.1016/j.neuroimage.2016.11.019", "ISBN" : "1053-8119", "ISSN" : "10959572", "PMID" : "27851996", "abstract" : "Multivoxel pattern analysis (MVPA) has gained enormous popularity in the neuroimaging community over the past few years. At the group level, most MVPA studies adopt an \u201cinformation based\u201d approach in which the sign of the effect of individual subjects is discarded and a non-directional summary statistic is carried over to the second level. This is in contrast to a directional \u201cactivation based\u201d approach typical in univariate group level analysis, in which both signal magnitude and sign are taken into account. The transition from examining effects in one voxel at a time vs. several voxels (univariate vs. multivariate) has thus tacitly entailed a transition from directional to non-directional signal definition at the group level. While a directional group-level MVPA approach implies that individuals have similar multivariate spatial patterns of activity, in a non-directional approach each individual may have a distinct spatial pattern. Using an experimental dataset, we show that directional and non-directional group-level MVPA approaches uncover distinct brain regions with only partial overlap. We propose a method to quantify the degree of spatial similarity in activation patterns over subjects. Applied to an auditory task, we find higher values in auditory regions compared to control regions.", "author" : [ { "dropping-particle" : "", "family" : "Gilron", "given" : "Roee", "non-dropping-particle" : "", "parse-names" : false, "suffix" : "" }, { "dropping-particle" : "", "family" : "Rosenblatt", "given" : "Jonathan", "non-dropping-particle" : "", "parse-names" : false, "suffix" : "" }, { "dropping-particle" : "", "family" : "Koyejo", "given" : "Oluwasanmi", "non-dropping-particle" : "", "parse-names" : false, "suffix" : "" }, { "dropping-particle" : "", "family" : "Poldrack", "given" : "Russell A.", "non-dropping-particle" : "", "parse-names" : false, "suffix" : "" }, { "dropping-particle" : "", "family" : "Mukamel", "given" : "Roy", "non-dropping-particle" : "", "parse-names" : false, "suffix" : "" } ], "container-title" : "NeuroImage", "id" : "ITEM-1", "issued" : { "date-parts" : [ [ "2017" ] ] }, "page" : "113-120", "title" : "What's in a pattern? Examining the type of signal multivariate analysis uncovers at the group level", "type" : "article-journal", "volume" : "146" }, "uris" : [ "http://www.mendeley.com/documents/?uuid=45f6edfc-c1d1-4826-a6a5-8a8c99a3e5be" ] } ], "mendeley" : { "formattedCitation" : "(Gilron et al., 2017)", "plainTextFormattedCitation" : "(Gilron et al., 2017)", "previouslyFormattedCitation" : "(Gilron et al., 2017)" }, "properties" : {  }, "schema" : "https://github.com/citation-style-language/schema/raw/master/csl-citation.json" }</w:instrText>
      </w:r>
      <w:r>
        <w:fldChar w:fldCharType="separate"/>
      </w:r>
      <w:r w:rsidRPr="005B5DFF">
        <w:rPr>
          <w:noProof/>
        </w:rPr>
        <w:t>(Gilron et al., 2017)</w:t>
      </w:r>
      <w:r>
        <w:fldChar w:fldCharType="end"/>
      </w:r>
      <w:r>
        <w:t>.</w:t>
      </w:r>
    </w:p>
    <w:p w14:paraId="30365979" w14:textId="1613CE3B" w:rsidR="00DC1E7B" w:rsidRDefault="00DC1E7B" w:rsidP="00DC1E7B">
      <w:pPr>
        <w:spacing w:line="480" w:lineRule="auto"/>
      </w:pPr>
      <w:bookmarkStart w:id="38" w:name="OLE_LINK154"/>
      <w:bookmarkStart w:id="39" w:name="OLE_LINK155"/>
      <w:bookmarkEnd w:id="26"/>
      <w:bookmarkEnd w:id="27"/>
      <w:r>
        <w:t xml:space="preserve">The details of both the MUA and MVPA are in supplementary materials. Briefly, MUA sensor analyses were based on the sensor-by-time approach using the Statistical Parametric Mapping software (SPM12, </w:t>
      </w:r>
      <w:hyperlink r:id="rId10" w:history="1">
        <w:r w:rsidRPr="00E562A9">
          <w:t>www.fil.ion.ucl.ac.uk/spm</w:t>
        </w:r>
      </w:hyperlink>
      <w:r>
        <w:t>)</w:t>
      </w:r>
      <w:r w:rsidRPr="000077AD">
        <w:t xml:space="preserve"> </w:t>
      </w:r>
      <w:r>
        <w:fldChar w:fldCharType="begin" w:fldLock="1"/>
      </w:r>
      <w:r w:rsidR="00DA76DD">
        <w:instrText>ADDIN CSL_CITATION { "citationItems" : [ { "id" : "ITEM-1", "itemData" : { "PMID" : "18639641", "abstract" : "The aim of this paper is to describe a simple procedure for electromagnetic (EEG or MEG) source reconstruction, in the context of group studies. This entails a simple extension of existing source reconstruction techniques based upon the inversion of hierarchical models. The extension ensures that evoked or induced responses are reconstructed in the same subset of sources, over subjects. Effectively, the procedure aligns the deployment of reconstructed activity over subjects and increases, substantially, the detection of differences between evoked or induced responses at the group or between-subject level", "author" : [ { "dropping-particle" : "", "family" : "Litvak", "given" : "V", "non-dropping-particle" : "", "parse-names" : false, "suffix" : "" }, { "dropping-particle" : "", "family" : "Friston", "given" : "K", "non-dropping-particle" : "", "parse-names" : false, "suffix" : "" } ], "container-title" : "Neuroimage", "id" : "ITEM-1", "issue" : "1095-9572 (Electronic)", "issued" : { "date-parts" : [ [ "2008", "10", "1" ] ] }, "language" : "eng PT - Journal Article PT - Research Support, Non-U.S. Gov't SB - IM", "note" : "DA - 20080908", "page" : "1490-1498", "publisher-place" : "The Wellcome Trust Centre for Neuroimaging, University College London, UK. v.litvak@ion.ucl.ac.uk", "title" : "Electromagnetic source reconstruction for group studies", "type" : "article-journal", "volume" : "42" }, "uris" : [ "http://www.mendeley.com/documents/?uuid=bf06d3a6-b333-470d-a7e7-77627664acc6" ] } ], "mendeley" : { "formattedCitation" : "(Litvak and Friston, 2008)", "plainTextFormattedCitation" : "(Litvak and Friston, 2008)", "previouslyFormattedCitation" : "(Litvak and Friston, 2008)" }, "properties" : {  }, "schema" : "https://github.com/citation-style-language/schema/raw/master/csl-citation.json" }</w:instrText>
      </w:r>
      <w:r>
        <w:fldChar w:fldCharType="separate"/>
      </w:r>
      <w:r w:rsidRPr="005B5DFF">
        <w:rPr>
          <w:noProof/>
        </w:rPr>
        <w:t>(Litvak and Friston, 2008)</w:t>
      </w:r>
      <w:r>
        <w:fldChar w:fldCharType="end"/>
      </w:r>
      <w:r>
        <w:rPr>
          <w:color w:val="000000"/>
        </w:rPr>
        <w:t xml:space="preserve">. General Linear Models (GLMs) were estimated at the group level to produce three F-contrasts of interest: (1) the main within-subjects effect of interest (aversive valuation, pain intensity or prior expectancy effect), (2) the main effect of Group (between-subjects factor of interest), (2) the interaction of these between and within-subjects factors. Source analysis (in SPM12) then focussed on </w:t>
      </w:r>
      <w:r>
        <w:t>time windows that showed statistically significant effects in the sensor analysis. Sensor and source results are reported based on cluster-level significance</w:t>
      </w:r>
      <w:r w:rsidRPr="00415A55">
        <w:t>.</w:t>
      </w:r>
    </w:p>
    <w:p w14:paraId="30133FB7" w14:textId="7B5E73B1" w:rsidR="00DC1E7B" w:rsidRDefault="00DC1E7B" w:rsidP="00DC1E7B">
      <w:pPr>
        <w:spacing w:line="480" w:lineRule="auto"/>
      </w:pPr>
      <w:r>
        <w:t xml:space="preserve">MVPA analyses (see supplementary materials) involved learning classifiers (specifically, a </w:t>
      </w:r>
      <w:r w:rsidRPr="00D501D3">
        <w:t>Gaussian process classifier (GPC</w:t>
      </w:r>
      <w:r>
        <w:t xml:space="preserve">) </w:t>
      </w:r>
      <w:r>
        <w:fldChar w:fldCharType="begin" w:fldLock="1"/>
      </w:r>
      <w:r w:rsidR="00DA76DD">
        <w:instrText>ADDIN CSL_CITATION { "citationItems" : [ { "id" : "ITEM-1", "itemData" : { "DOI" : "10.1142/S0129065704001899", "ISBN" : "026218253X", "ISSN" : "0129-0657", "PMID" : "15112367", "abstract" : "Gaussian processes (GPs) are natural generalisations of multivariate Gaussian random variables to infinite (countably or continuous) index sets. GPs have been applied in a large number of fields to a diverse range of ends, and very many deep theoretical analyses of various properties are available. This paper gives an introduction to Gaussian processes on a fairly elementary level with special emphasis on characteristics relevant in machine learning. It draws explicit connections to branches such as spline smoothing models and support vector machines in which similar ideas have been investigated. Gaussian process models are routinely used to solve hard machine learning problems. They are attractive because of their flexible non-parametric nature and computational simplicity. Treated within a Bayesian framework, very powerful statistical methods can be implemented which offer valid estimates of uncertainties in our predictions and generic model selection procedures cast as nonlinear optimization problems. Their main drawback of heavy computational scaling has recently been alleviated by the introduction of generic sparse approximations.13,78,31 The mathematical literature on GPs is large and often uses deep concepts which are not required to fully understand most machine learning applications. In this tutorial paper, we aim to present characteristics of GPs relevant to machine learning and to show up precise connections to other \"kernel machines\" popular in the community. Our focus is on a simple presentation, but references to more detailed sources are provided.", "author" : [ { "dropping-particle" : "", "family" : "Rasmussen", "given" : "Carl E.", "non-dropping-particle" : "", "parse-names" : false, "suffix" : "" }, { "dropping-particle" : "", "family" : "Williams", "given" : "Christopher K. I.", "non-dropping-particle" : "", "parse-names" : false, "suffix" : "" } ], "container-title" : "International journal of neural systems", "id" : "ITEM-1", "issue" : "2", "issued" : { "date-parts" : [ [ "2004" ] ] }, "number-of-pages" : "69-106", "title" : "Gaussian processes for machine learning.", "type" : "book", "volume" : "14" }, "uris" : [ "http://www.mendeley.com/documents/?uuid=cc31d09e-b0d9-41c1-9c18-7e21b075d99a" ] } ], "mendeley" : { "formattedCitation" : "(Rasmussen and Williams, 2004)", "plainTextFormattedCitation" : "(Rasmussen and Williams, 2004)", "previouslyFormattedCitation" : "(Rasmussen and Williams, 2004)" }, "properties" : {  }, "schema" : "https://github.com/citation-style-language/schema/raw/master/csl-citation.json" }</w:instrText>
      </w:r>
      <w:r>
        <w:fldChar w:fldCharType="separate"/>
      </w:r>
      <w:r w:rsidRPr="005B5DFF">
        <w:rPr>
          <w:noProof/>
        </w:rPr>
        <w:t>(Rasmussen and Williams, 2004)</w:t>
      </w:r>
      <w:r>
        <w:fldChar w:fldCharType="end"/>
      </w:r>
      <w:r>
        <w:t>) on sensor images at the 2</w:t>
      </w:r>
      <w:r w:rsidRPr="00276E3D">
        <w:rPr>
          <w:vertAlign w:val="superscript"/>
        </w:rPr>
        <w:t>nd</w:t>
      </w:r>
      <w:r>
        <w:t xml:space="preserve"> (group) level using the </w:t>
      </w:r>
      <w:r w:rsidRPr="00F85CA2">
        <w:t>Pattern Recognition for Neuroimaging Toolbox</w:t>
      </w:r>
      <w:r>
        <w:t xml:space="preserve"> (</w:t>
      </w:r>
      <w:proofErr w:type="spellStart"/>
      <w:r>
        <w:t>PRoNTo</w:t>
      </w:r>
      <w:proofErr w:type="spellEnd"/>
      <w:r>
        <w:t xml:space="preserve">) </w:t>
      </w:r>
      <w:r>
        <w:fldChar w:fldCharType="begin" w:fldLock="1"/>
      </w:r>
      <w:r w:rsidR="00DA76DD">
        <w:instrText>ADDIN CSL_CITATION { "citationItems" : [ { "id" : "ITEM-1", "itemData" : { "DOI" : "10.1007/s12021-013-9178-1", "ISBN" : "1559-0089 (Electronic)\\r1539-2791 (Linking)", "ISSN" : "15392791", "PMID" : "23417655", "abstract" : "In the past years, mass univariate statistical analyses of neuroimaging data have been complemented by the use of multivariate pattern analyses, especially based on machine learning models. While these allow an increased sensitivity for the detection of spatially distributed effects compared to univariate techniques, they lack an established and accessible software framework. The goal of this work was to build a toolbox comprising all the necessary functionalities for multivariate analyses of neuroimaging data, based on machine learning models. The \"Pattern Recognition for Neuroimaging Toolbox\" (PRoNTo) is open-source, cross-platform, MATLAB-based and SPM compatible, therefore being suitable for both cognitive and clinical neuroscience research. In addition, it is designed to facilitate novel contributions from developers, aiming to improve the interaction between the neuroimaging and machine learning communities. Here, we introduce PRoNTo by presenting examples of possible research questions that can be addressed with the machine learning framework implemented in PRoNTo, and cannot be easily investigated with mass univariate statistical analysis.", "author" : [ { "dropping-particle" : "", "family" : "Schrouff", "given" : "J.", "non-dropping-particle" : "", "parse-names" : false, "suffix" : "" }, { "dropping-particle" : "", "family" : "Rosa", "given" : "M. J.", "non-dropping-particle" : "", "parse-names" : false, "suffix" : "" }, { "dropping-particle" : "", "family" : "Rondina", "given" : "J. M.", "non-dropping-particle" : "", "parse-names" : false, "suffix" : "" }, { "dropping-particle" : "", "family" : "Marquand", "given" : "A. F.", "non-dropping-particle" : "", "parse-names" : false, "suffix" : "" }, { "dropping-particle" : "", "family" : "Chu", "given" : "C.", "non-dropping-particle" : "", "parse-names" : false, "suffix" : "" }, { "dropping-particle" : "", "family" : "Ashburner", "given" : "J.", "non-dropping-particle" : "", "parse-names" : false, "suffix" : "" }, { "dropping-particle" : "", "family" : "Phillips", "given" : "C.", "non-dropping-particle" : "", "parse-names" : false, "suffix" : "" }, { "dropping-particle" : "", "family" : "Richiardi", "given" : "J.", "non-dropping-particle" : "", "parse-names" : false, "suffix" : "" }, { "dropping-particle" : "", "family" : "Mour\u00e3o-Miranda", "given" : "J.", "non-dropping-particle" : "", "parse-names" : false, "suffix" : "" } ], "container-title" : "Neuroinformatics", "id" : "ITEM-1", "issue" : "3", "issued" : { "date-parts" : [ [ "2013" ] ] }, "page" : "319-337", "title" : "PRoNTo: Pattern recognition for neuroimaging toolbox", "type" : "article-journal", "volume" : "11" }, "uris" : [ "http://www.mendeley.com/documents/?uuid=87d3b998-02da-4727-a4fc-a84e412fb5ce" ] } ], "mendeley" : { "formattedCitation" : "(Schrouff et al., 2013b)", "plainTextFormattedCitation" : "(Schrouff et al., 2013b)", "previouslyFormattedCitation" : "(Schrouff et al., 2013b)" }, "properties" : {  }, "schema" : "https://github.com/citation-style-language/schema/raw/master/csl-citation.json" }</w:instrText>
      </w:r>
      <w:r>
        <w:fldChar w:fldCharType="separate"/>
      </w:r>
      <w:r w:rsidRPr="005B5DFF">
        <w:rPr>
          <w:noProof/>
        </w:rPr>
        <w:t>(Schrouff et al., 2013b)</w:t>
      </w:r>
      <w:r>
        <w:fldChar w:fldCharType="end"/>
      </w:r>
      <w:r>
        <w:t xml:space="preserve">. This identifies patterns differentiating levels of both within-subject factors of interest (cue type and prior expectation) and between groups. Performance of models were tested using a leave-one-subject-out-per-group cross-validation scheme, while statistical significance of classification accuracy was assessed using permutation tests with 10,000 sets of randomised target labels. Further analyses were conducted on weight maps resulting from MVPA classification using the approach of </w:t>
      </w:r>
      <w:r w:rsidRPr="003E36B5">
        <w:rPr>
          <w:i/>
        </w:rPr>
        <w:t>a posteriori</w:t>
      </w:r>
      <w:r>
        <w:t xml:space="preserve"> weight summarization </w:t>
      </w:r>
      <w:r>
        <w:fldChar w:fldCharType="begin" w:fldLock="1"/>
      </w:r>
      <w:r w:rsidR="00DA76DD">
        <w:instrText>ADDIN CSL_CITATION { "citationItems" : [ { "id" : "ITEM-1", "itemData" : { "DOI" : "10.1109/PRNI.2013.40", "ISBN" : "9780769550619", "abstract" : "Recently, machine learning models have been applied to neuroimaging data, allowing to make predictions about a variable of interest based on the pattern of activation or anatomy over a set of voxels. These pattern recognition based methods present undeniable assets over classical (univariate) techniques, by providing predictions for unseen data, as well as the weights of each voxel in the model. However, the obtained weight map cannot be thresholded to perform regionally specific inference, leading to a difficult localization of the variable of interest. In this work, we provide local averages of the weights according to regions defined by anatomical or functional atlases (e.g. Brodmann atlas). These averages can then be ranked, thereby providing a sorted list of regions that can be (to a certain extent) compared with univariate results. Furthermore, we defined a \"ranking distance\", allowing for the quantitative comparison between localized patterns. These concepts are illustrated with two datasets.", "author" : [ { "dropping-particle" : "", "family" : "Schrouff", "given" : "J.", "non-dropping-particle" : "", "parse-names" : false, "suffix" : "" }, { "dropping-particle" : "", "family" : "Cremers", "given" : "J.", "non-dropping-particle" : "", "parse-names" : false, "suffix" : "" }, { "dropping-particle" : "", "family" : "Garraux", "given" : "G.", "non-dropping-particle" : "", "parse-names" : false, "suffix" : "" }, { "dropping-particle" : "", "family" : "Baldassarre", "given" : "L.", "non-dropping-particle" : "", "parse-names" : false, "suffix" : "" }, { "dropping-particle" : "", "family" : "Mourao-Miranda", "given" : "J.", "non-dropping-particle" : "", "parse-names" : false, "suffix" : "" }, { "dropping-particle" : "", "family" : "Phillips", "given" : "C.", "non-dropping-particle" : "", "parse-names" : false, "suffix" : "" } ], "container-title" : "Proceedings - 2013 3rd International Workshop on Pattern Recognition in Neuroimaging, PRNI 2013", "id" : "ITEM-1", "issued" : { "date-parts" : [ [ "2013" ] ] }, "page" : "124-127", "title" : "Localizing and comparing weight maps generated from linear kernel machine learning models", "type" : "paper-conference" }, "uris" : [ "http://www.mendeley.com/documents/?uuid=44571679-c460-4bf9-89b9-4606d676aef8" ] } ], "mendeley" : { "formattedCitation" : "(Schrouff et al., 2013a)", "plainTextFormattedCitation" : "(Schrouff et al., 2013a)", "previouslyFormattedCitation" : "(Schrouff et al., 2013a)" }, "properties" : {  }, "schema" : "https://github.com/citation-style-language/schema/raw/master/csl-citation.json" }</w:instrText>
      </w:r>
      <w:r>
        <w:fldChar w:fldCharType="separate"/>
      </w:r>
      <w:r w:rsidRPr="005B5DFF">
        <w:rPr>
          <w:noProof/>
        </w:rPr>
        <w:t>(Schrouff et al., 2013a)</w:t>
      </w:r>
      <w:r>
        <w:fldChar w:fldCharType="end"/>
      </w:r>
      <w:r>
        <w:t xml:space="preserve">. We also transformed the classifier weights back into activation patterns, providing an interpretable time-course, as done previously </w:t>
      </w:r>
      <w:r>
        <w:fldChar w:fldCharType="begin" w:fldLock="1"/>
      </w:r>
      <w:r w:rsidR="00DA76DD">
        <w:instrText>ADDIN CSL_CITATION { "citationItems" : [ { "id" : "ITEM-1", "itemData" : { "DOI" : "10.1016/j.neuroimage.2013.10.067", "ISBN" : "1053-8119", "ISSN" : "10959572", "PMID" : "24239590", "abstract" : "The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 \u00a9 2013 The Authors.", "author" : [ { "dropping-particle" : "", "family" : "Haufe", "given" : "Stefan", "non-dropping-particle" : "", "parse-names" : false, "suffix" : "" }, { "dropping-particle" : "", "family" : "Meinecke", "given" : "Frank", "non-dropping-particle" : "", "parse-names" : false, "suffix" : "" }, { "dropping-particle" : "", "family" : "G\u00f6rgen", "given" : "Kai", "non-dropping-particle" : "", "parse-names" : false, "suffix" : "" }, { "dropping-particle" : "", "family" : "D\u00e4hne", "given" : "Sven", "non-dropping-particle" : "", "parse-names" : false, "suffix" : "" }, { "dropping-particle" : "", "family" : "Haynes", "given" : "John Dylan", "non-dropping-particle" : "", "parse-names" : false, "suffix" : "" }, { "dropping-particle" : "", "family" : "Blankertz", "given" : "Benjamin", "non-dropping-particle" : "", "parse-names" : false, "suffix" : "" }, { "dropping-particle" : "", "family" : "Bie\u00dfmann", "given" : "Felix", "non-dropping-particle" : "", "parse-names" : false, "suffix" : "" } ], "container-title" : "NeuroImage", "id" : "ITEM-1", "issued" : { "date-parts" : [ [ "2014" ] ] }, "page" : "96-110", "title" : "On the interpretation of weight vectors of linear models in multivariate neuroimaging", "type" : "article-journal", "volume" : "87" }, "uris" : [ "http://www.mendeley.com/documents/?uuid=7918baed-bf6b-4534-92cf-9ea0045f2043" ] } ], "mendeley" : { "formattedCitation" : "(Haufe et al., 2014)", "plainTextFormattedCitation" : "(Haufe et al., 2014)", "previouslyFormattedCitation" : "(Haufe et al., 2014)" }, "properties" : {  }, "schema" : "https://github.com/citation-style-language/schema/raw/master/csl-citation.json" }</w:instrText>
      </w:r>
      <w:r>
        <w:fldChar w:fldCharType="separate"/>
      </w:r>
      <w:r w:rsidRPr="005B5DFF">
        <w:rPr>
          <w:noProof/>
        </w:rPr>
        <w:t>(Haufe et al., 2014)</w:t>
      </w:r>
      <w:r>
        <w:fldChar w:fldCharType="end"/>
      </w:r>
      <w:r>
        <w:t xml:space="preserve">. Lastly, we investigated the possibility of shared </w:t>
      </w:r>
      <w:r w:rsidRPr="00E9461F">
        <w:t>representations</w:t>
      </w:r>
      <w:r>
        <w:t xml:space="preserve"> contributing to both group and condition classifications (i.e. the representational similarity </w:t>
      </w:r>
      <w:r>
        <w:fldChar w:fldCharType="begin" w:fldLock="1"/>
      </w:r>
      <w:r w:rsidR="00DA76DD">
        <w:instrText>ADDIN CSL_CITATION { "citationItems" : [ { "id" : "ITEM-1", "itemData" : { "DOI" : "10.3389/neuro.06.004.2008", "ISBN" : "1662-5137 (Electronic) 1662-5137 (Linking)", "ISSN" : "16625137", "PMID" : "19104670", "abstract" : "A FUNDAMENTAL CHALLENGE FOR SYSTEMS NEUROSCIENCE IS TO QUANTITATIVELY RELATE ITS THREE MAJOR BRANCHES OF RESEARCH: brain-activity measurement, behavioral measurement, and computational modeling. Using measured brain-activity patterns to evaluate computational network models is complicated by the need to define the correspondency between the units of the model and the channels of the brain-activity data, e.g., single-cell recordings or voxels from functional magnetic resonance imaging (fMRI). Similar correspondency problems complicate relating activity patterns between different modalities of brain-activity measurement (e.g., fMRI and invasive or scalp electrophysiology), and between subjects and species. In order to bridge these divides, we suggest abstracting from the activity patterns themselves and computing representational dissimilarity matrices (RDMs), which characterize the information carried by a given representation in a brain or model. Building on a rich psychological and mathematical literature on similarity analysis, we propose a new experimental and data-analytical framework called representational similarity analysis (RSA), in which multi-channel measures of neural activity are quantitatively related to each other and to computational theory and behavior by comparing RDMs. We demonstrate RSA by relating representations of visual objects as measured with fMRI in early visual cortex and the fusiform face area to computational models spanning a wide range of complexities. The RDMs are simultaneously related via second-level application of multidimensional scaling and tested using randomization and bootstrap techniques. We discuss the broad potential of RSA, including novel approaches to experimental design, and argue that these ideas, which have deep roots in psychology and neuroscience, will allow the integrated quantitative analysis of data from all three branches, thus contributing to a more unified systems neuroscience.", "author" : [ { "dropping-particle" : "", "family" : "Kriegeskorte", "given" : "Nikolaus", "non-dropping-particle" : "", "parse-names" : false, "suffix" : "" } ], "container-title" : "Frontiers in Systems Neuroscience", "id" : "ITEM-1", "issued" : { "date-parts" : [ [ "2008" ] ] }, "title" : "Representational similarity analysis \u2013 connecting the branches of systems neuroscience", "type" : "article-journal" }, "uris" : [ "http://www.mendeley.com/documents/?uuid=6bfc07de-56fe-4ed6-bb3e-bbd08a0b17c5" ] } ], "mendeley" : { "formattedCitation" : "(Kriegeskorte, 2008)", "plainTextFormattedCitation" : "(Kriegeskorte, 2008)", "previouslyFormattedCitation" : "(Kriegeskorte, 2008)" }, "properties" : {  }, "schema" : "https://github.com/citation-style-language/schema/raw/master/csl-citation.json" }</w:instrText>
      </w:r>
      <w:r>
        <w:fldChar w:fldCharType="separate"/>
      </w:r>
      <w:r w:rsidRPr="005B5DFF">
        <w:rPr>
          <w:noProof/>
        </w:rPr>
        <w:t>(Kriegeskorte, 2008)</w:t>
      </w:r>
      <w:r>
        <w:fldChar w:fldCharType="end"/>
      </w:r>
      <w:r>
        <w:t>) via regression of weight matrices outputted from the different classifications, with robust statistics calculated via bootstrapping.</w:t>
      </w:r>
    </w:p>
    <w:bookmarkEnd w:id="38"/>
    <w:bookmarkEnd w:id="39"/>
    <w:p w14:paraId="70D9E5D2" w14:textId="5E4C3525" w:rsidR="00C1323A" w:rsidRPr="006D20D5" w:rsidRDefault="00C1323A" w:rsidP="007512FC">
      <w:pPr>
        <w:spacing w:line="480" w:lineRule="auto"/>
        <w:rPr>
          <w:rFonts w:ascii="Georgia" w:hAnsi="Georgia"/>
          <w:color w:val="333333"/>
          <w:spacing w:val="2"/>
          <w:sz w:val="26"/>
          <w:szCs w:val="26"/>
          <w:shd w:val="clear" w:color="auto" w:fill="FCFCFC"/>
        </w:rPr>
      </w:pPr>
      <w:r>
        <w:br w:type="page"/>
      </w:r>
    </w:p>
    <w:p w14:paraId="6F564A1A" w14:textId="0BA19194" w:rsidR="00C1323A" w:rsidRPr="00F1286B" w:rsidRDefault="00C1323A" w:rsidP="007512FC">
      <w:pPr>
        <w:pStyle w:val="Heading1"/>
        <w:spacing w:line="480" w:lineRule="auto"/>
      </w:pPr>
      <w:r>
        <w:t>Results</w:t>
      </w:r>
    </w:p>
    <w:p w14:paraId="5C65AEFF" w14:textId="612BF52D" w:rsidR="00C1323A" w:rsidRPr="00DF15E0" w:rsidRDefault="00C1323A" w:rsidP="007512FC">
      <w:pPr>
        <w:spacing w:line="480" w:lineRule="auto"/>
        <w:rPr>
          <w:u w:val="single"/>
        </w:rPr>
      </w:pPr>
      <w:r>
        <w:t xml:space="preserve">In this study we focus on </w:t>
      </w:r>
      <w:r w:rsidR="003A6C34">
        <w:t xml:space="preserve">addressing </w:t>
      </w:r>
      <w:r>
        <w:t xml:space="preserve">two key </w:t>
      </w:r>
      <w:r w:rsidR="00AD0A2E">
        <w:t>issues</w:t>
      </w:r>
      <w:r>
        <w:t>. Firstly, i</w:t>
      </w:r>
      <w:r w:rsidRPr="005B7B21">
        <w:t xml:space="preserve">s pain </w:t>
      </w:r>
      <w:r w:rsidR="00940531">
        <w:t>catastrophiz</w:t>
      </w:r>
      <w:r w:rsidRPr="005B7B21">
        <w:t>ing characterised by magnified aversive value encoding?</w:t>
      </w:r>
      <w:r>
        <w:t xml:space="preserve"> </w:t>
      </w:r>
      <w:r w:rsidR="00A0645F">
        <w:t xml:space="preserve">Secondly, </w:t>
      </w:r>
      <w:bookmarkStart w:id="40" w:name="OLE_LINK35"/>
      <w:bookmarkStart w:id="41" w:name="OLE_LINK41"/>
      <w:r w:rsidR="00A0645F">
        <w:t xml:space="preserve">do pain </w:t>
      </w:r>
      <w:r w:rsidR="00940531">
        <w:t>catastrophiz</w:t>
      </w:r>
      <w:r w:rsidR="00A0645F">
        <w:t>ers show</w:t>
      </w:r>
      <w:r w:rsidR="003A6C34">
        <w:t xml:space="preserve"> evidence of more persistent pain expectancy</w:t>
      </w:r>
      <w:r w:rsidR="00A0645F">
        <w:t xml:space="preserve"> (</w:t>
      </w:r>
      <w:r w:rsidR="00A0645F">
        <w:rPr>
          <w:noProof/>
        </w:rPr>
        <w:t>the ‘prior expectancy effect’</w:t>
      </w:r>
      <w:r w:rsidR="003A6C34">
        <w:t xml:space="preserve"> </w:t>
      </w:r>
      <w:r w:rsidR="00BC0A26">
        <w:fldChar w:fldCharType="begin" w:fldLock="1"/>
      </w:r>
      <w:r w:rsidR="00DA76DD">
        <w:instrText>ADDIN CSL_CITATION { "citationItems" : [ { "id" : "ITEM-1", "itemData" : { "DOI" : "10.1371/journal.pone.0180006", "ISSN" : "19326203", "abstract" : "\u00a9 2017 Almarzouki et al. This is an open access article distributed under the terms of the Creative Commons Attribution License, which permits unrestricted use, distribution, and reproduction in any medium, provided the original author and source are credited. It is well known that the efficacy of treatment effects, including those of placebos, is heavily dependent on positive expectations regarding treatment outcomes. For example, positive expectations about pain treatments are essential for pain reduction. Such positive expectations not only depend on the properties of the treatment itself, but also on the context in which the treatment is presented. However, it is not clear how the preceding threat of pain will bias positive expectancy effects. One hypothesis is that threatening contexts trigger fearful and catastrophic thinking, reducing the pain-relieving effects of positive expectancy. In this study, we investigated the disruptive influence of threatening contexts on positive expectancy effects while 41 healthy volunteers experienced laser-induced heat pain. A threatening context was induced using pain-threatening cues that preceded the induction of positive expectancies via subsequent pain-safety cues. We also utilised electroencephalography (EEG) to investigate potential neural mechanisms underlying these effects. Lastly, we used the Fear of Pain Questionnaire to address whether the disruptive effect of negative contexts on cued pain relief was related to the degree of fear of pain. As predicted, participants responded less to pain-safety cues (i.e., experienced more pain) when these were preceded by pain-threatening cues. In this threatening context, an enhancement of the N2 component of the laser-evoked potential was detected, which was more pronounced in fearful individuals. This effect was localised to the midcingulate cortex, an area thought to integrate negative affect with pain experience to enable adaptive behaviour in aversive situations. These results suggest that threatening contexts disrupt the effect of pain relief cues via an aversive priming mechanism that enhances neural responses in the early stages of sensory processing.", "author" : [ { "dropping-particle" : "", "family" : "Almarzouki", "given" : "A.F.", "non-dropping-particle" : "", "parse-names" : false, "suffix" : "" }, { "dropping-particle" : "", "family" : "Brown", "given" : "C.A.", "non-dropping-particle" : "", "parse-names" : false, "suffix" : "" }, { "dropping-particle" : "", "family" : "Brown", "given" : "R.J.", "non-dropping-particle" : "", "parse-names" : false, "suffix" : "" }, { "dropping-particle" : "", "family" : "Leung", "given" : "M.H.K.", "non-dropping-particle" : "", "parse-names" : false, "suffix" : "" }, { "dropping-particle" : "", "family" : "Jones", "given" : "A.K.P.", "non-dropping-particle" : "", "parse-names" : false, "suffix" : "" } ], "container-title" : "PLoS ONE", "id" : "ITEM-1", "issue" : "6", "issued" : { "date-parts" : [ [ "2017" ] ] }, "title" : "Negative expectations interfere with the analgesic effect of safety cues on pain perception by priming the cortical representation of pain in the midcingulate cortex", "type" : "article-journal", "volume" : "12" }, "uris" : [ "http://www.mendeley.com/documents/?uuid=3345246e-b5fb-383e-b770-e3f861d27292" ] } ], "mendeley" : { "formattedCitation" : "(Almarzouki et al., 2017)", "plainTextFormattedCitation" : "(Almarzouki et al., 2017)", "previouslyFormattedCitation" : "(Almarzouki et al., 2017)" }, "properties" : {  }, "schema" : "https://github.com/citation-style-language/schema/raw/master/csl-citation.json" }</w:instrText>
      </w:r>
      <w:r w:rsidR="00BC0A26">
        <w:fldChar w:fldCharType="separate"/>
      </w:r>
      <w:r w:rsidR="005B5DFF" w:rsidRPr="005B5DFF">
        <w:rPr>
          <w:noProof/>
        </w:rPr>
        <w:t>(Almarzouki et al., 2017)</w:t>
      </w:r>
      <w:r w:rsidR="00BC0A26">
        <w:fldChar w:fldCharType="end"/>
      </w:r>
      <w:r w:rsidR="00A0645F">
        <w:t>)</w:t>
      </w:r>
      <w:r w:rsidR="00E34C15">
        <w:t xml:space="preserve">, </w:t>
      </w:r>
      <w:r w:rsidR="00EC0F88">
        <w:t xml:space="preserve">which </w:t>
      </w:r>
      <w:r w:rsidR="00A0645F">
        <w:t>would follow</w:t>
      </w:r>
      <w:r w:rsidR="00EC0F88">
        <w:t xml:space="preserve"> if pain </w:t>
      </w:r>
      <w:r w:rsidR="00940531">
        <w:t>catastrophiz</w:t>
      </w:r>
      <w:r w:rsidR="00EC0F88">
        <w:t>ing is characterised by perseverative processing of pain cues (I.e., rumination)</w:t>
      </w:r>
      <w:r w:rsidR="00A0645F">
        <w:t>?</w:t>
      </w:r>
      <w:r w:rsidR="00EC0F88">
        <w:t xml:space="preserve"> </w:t>
      </w:r>
      <w:r w:rsidR="00A0645F">
        <w:t xml:space="preserve">In addition to analysing expectancy effects on pain behaviourally, </w:t>
      </w:r>
      <w:bookmarkEnd w:id="40"/>
      <w:bookmarkEnd w:id="41"/>
      <w:r>
        <w:t xml:space="preserve">EEG analyses </w:t>
      </w:r>
      <w:r w:rsidR="00B4179B">
        <w:t>detail</w:t>
      </w:r>
      <w:r>
        <w:t xml:space="preserve"> the spatiotemporal location and pattern of within-subject effects of cue valuation (visual evoked potential (VEP) responses to cues predicting high vs. low pain) and the effects of prior pain expectancy on the laser-evoked potential (LEP). We then proceed to compare these within-subject effects to group effects (high vs. low PC groups). </w:t>
      </w:r>
    </w:p>
    <w:p w14:paraId="43F747AD" w14:textId="77777777" w:rsidR="00C1323A" w:rsidRDefault="00C1323A" w:rsidP="007512FC">
      <w:pPr>
        <w:pStyle w:val="Heading2"/>
        <w:spacing w:line="480" w:lineRule="auto"/>
      </w:pPr>
      <w:r>
        <w:t>Participants</w:t>
      </w:r>
    </w:p>
    <w:p w14:paraId="008585ED" w14:textId="28BC074A" w:rsidR="00C1323A" w:rsidRDefault="00EF0BDE" w:rsidP="007512FC">
      <w:pPr>
        <w:spacing w:line="480" w:lineRule="auto"/>
      </w:pPr>
      <w:bookmarkStart w:id="42" w:name="OLE_LINK21"/>
      <w:r>
        <w:t>Analyses were conducted on</w:t>
      </w:r>
      <w:r w:rsidR="0065210B">
        <w:t xml:space="preserve"> </w:t>
      </w:r>
      <w:r w:rsidR="0065210B" w:rsidRPr="002B0997">
        <w:t>data</w:t>
      </w:r>
      <w:r w:rsidR="00CE533A" w:rsidRPr="00DF15E0">
        <w:t xml:space="preserve"> from </w:t>
      </w:r>
      <w:bookmarkStart w:id="43" w:name="OLE_LINK51"/>
      <w:bookmarkStart w:id="44" w:name="OLE_LINK52"/>
      <w:bookmarkStart w:id="45" w:name="OLE_LINK53"/>
      <w:r w:rsidR="00CE533A" w:rsidRPr="002B0997">
        <w:t xml:space="preserve">16 high pain </w:t>
      </w:r>
      <w:proofErr w:type="spellStart"/>
      <w:r w:rsidR="00CE533A" w:rsidRPr="002B0997">
        <w:t>catatrophisers</w:t>
      </w:r>
      <w:proofErr w:type="spellEnd"/>
      <w:r w:rsidR="00CE533A" w:rsidRPr="00B015B0">
        <w:t xml:space="preserve"> </w:t>
      </w:r>
      <w:bookmarkEnd w:id="43"/>
      <w:bookmarkEnd w:id="44"/>
      <w:bookmarkEnd w:id="45"/>
      <w:r w:rsidR="005F554F" w:rsidRPr="00B015B0">
        <w:t>(“high PC”)</w:t>
      </w:r>
      <w:r w:rsidR="00C1323A" w:rsidRPr="00B015B0">
        <w:t xml:space="preserve"> and </w:t>
      </w:r>
      <w:r w:rsidR="00CE533A" w:rsidRPr="00DF15E0">
        <w:t>18</w:t>
      </w:r>
      <w:r w:rsidR="00CE533A" w:rsidRPr="002B0997">
        <w:t xml:space="preserve"> low</w:t>
      </w:r>
      <w:r w:rsidR="00CE533A" w:rsidRPr="00B015B0">
        <w:t xml:space="preserve"> pain </w:t>
      </w:r>
      <w:proofErr w:type="spellStart"/>
      <w:r w:rsidR="00CE533A" w:rsidRPr="00B015B0">
        <w:t>catatrophisers</w:t>
      </w:r>
      <w:proofErr w:type="spellEnd"/>
      <w:r w:rsidR="00CE533A" w:rsidRPr="00B015B0">
        <w:t xml:space="preserve"> </w:t>
      </w:r>
      <w:r w:rsidR="005F554F" w:rsidRPr="00B015B0">
        <w:t xml:space="preserve">(“low PC”) </w:t>
      </w:r>
      <w:r w:rsidR="00CE533A" w:rsidRPr="007706EB">
        <w:t xml:space="preserve">(see supplementary results for </w:t>
      </w:r>
      <w:r w:rsidR="007706EB" w:rsidRPr="007706EB">
        <w:t>screening, recruitment and retention numbers</w:t>
      </w:r>
      <w:r w:rsidR="00CE533A" w:rsidRPr="007706EB">
        <w:t>)</w:t>
      </w:r>
      <w:r w:rsidR="00C1323A" w:rsidRPr="007706EB">
        <w:t xml:space="preserve">. </w:t>
      </w:r>
      <w:bookmarkStart w:id="46" w:name="OLE_LINK115"/>
      <w:bookmarkStart w:id="47" w:name="OLE_LINK116"/>
      <w:bookmarkStart w:id="48" w:name="OLE_LINK117"/>
      <w:bookmarkEnd w:id="42"/>
      <w:r w:rsidR="006A1E1B">
        <w:t>The high PC</w:t>
      </w:r>
      <w:r w:rsidR="00C27595">
        <w:t xml:space="preserve"> group</w:t>
      </w:r>
      <w:r w:rsidR="006A1E1B">
        <w:t xml:space="preserve"> had a </w:t>
      </w:r>
      <w:r w:rsidR="00C27595">
        <w:t xml:space="preserve">mean </w:t>
      </w:r>
      <w:bookmarkStart w:id="49" w:name="OLE_LINK109"/>
      <w:bookmarkStart w:id="50" w:name="OLE_LINK110"/>
      <w:bookmarkStart w:id="51" w:name="OLE_LINK111"/>
      <w:r w:rsidR="00C27595">
        <w:t>(</w:t>
      </w:r>
      <w:r w:rsidR="00C27595">
        <w:rPr>
          <w:rFonts w:cstheme="minorHAnsi"/>
        </w:rPr>
        <w:t>±</w:t>
      </w:r>
      <w:bookmarkEnd w:id="49"/>
      <w:bookmarkEnd w:id="50"/>
      <w:bookmarkEnd w:id="51"/>
      <w:r w:rsidR="00C27595">
        <w:t xml:space="preserve">SD) </w:t>
      </w:r>
      <w:r w:rsidR="006A1E1B">
        <w:t>total Pain Catastrophi</w:t>
      </w:r>
      <w:r w:rsidR="005D7A4B">
        <w:t>z</w:t>
      </w:r>
      <w:r w:rsidR="006A1E1B">
        <w:t xml:space="preserve">ing Scale (PCS) score </w:t>
      </w:r>
      <w:r w:rsidR="00C27595">
        <w:t xml:space="preserve">of </w:t>
      </w:r>
      <w:bookmarkStart w:id="52" w:name="OLE_LINK81"/>
      <w:r w:rsidR="00C27595">
        <w:t>33.</w:t>
      </w:r>
      <w:bookmarkStart w:id="53" w:name="OLE_LINK112"/>
      <w:bookmarkStart w:id="54" w:name="OLE_LINK113"/>
      <w:bookmarkStart w:id="55" w:name="OLE_LINK114"/>
      <w:r w:rsidR="00C27595">
        <w:t xml:space="preserve">6 </w:t>
      </w:r>
      <w:bookmarkEnd w:id="53"/>
      <w:bookmarkEnd w:id="54"/>
      <w:bookmarkEnd w:id="55"/>
      <w:r w:rsidR="00C27595">
        <w:t>(</w:t>
      </w:r>
      <w:r w:rsidR="00C27595">
        <w:rPr>
          <w:rFonts w:cstheme="minorHAnsi"/>
        </w:rPr>
        <w:t>±3.8</w:t>
      </w:r>
      <w:r w:rsidR="00C27595">
        <w:t>) compared to the low PC group with a mean score of</w:t>
      </w:r>
      <w:r w:rsidR="006A1E1B">
        <w:t xml:space="preserve"> </w:t>
      </w:r>
      <w:r w:rsidR="00C27595">
        <w:t>4.6 (</w:t>
      </w:r>
      <w:r w:rsidR="00C27595">
        <w:rPr>
          <w:rFonts w:cstheme="minorHAnsi"/>
        </w:rPr>
        <w:t>±3.1).</w:t>
      </w:r>
      <w:bookmarkEnd w:id="52"/>
      <w:r w:rsidR="00C27595">
        <w:rPr>
          <w:rFonts w:cstheme="minorHAnsi"/>
        </w:rPr>
        <w:t xml:space="preserve"> </w:t>
      </w:r>
      <w:bookmarkEnd w:id="46"/>
      <w:bookmarkEnd w:id="47"/>
      <w:bookmarkEnd w:id="48"/>
      <w:r w:rsidR="00BF2BF5">
        <w:t xml:space="preserve">There was no statistically significant age difference between the two groups and groups were exactly gender balanced: </w:t>
      </w:r>
      <w:r w:rsidR="00C1323A">
        <w:t xml:space="preserve">high PC group (8 </w:t>
      </w:r>
      <w:r w:rsidR="005732A8">
        <w:t xml:space="preserve">female, 8 male; </w:t>
      </w:r>
      <w:r w:rsidR="00B45896">
        <w:t xml:space="preserve">Age </w:t>
      </w:r>
      <w:r w:rsidR="005732A8">
        <w:t>M = 26.6</w:t>
      </w:r>
      <w:r w:rsidR="00C1323A">
        <w:t>, S</w:t>
      </w:r>
      <w:r w:rsidR="005732A8">
        <w:t>D = 10</w:t>
      </w:r>
      <w:r w:rsidR="00C1323A">
        <w:t>.</w:t>
      </w:r>
      <w:r w:rsidR="005732A8">
        <w:t>8</w:t>
      </w:r>
      <w:r w:rsidR="00C1323A">
        <w:t>)</w:t>
      </w:r>
      <w:r w:rsidR="00BF2BF5">
        <w:t xml:space="preserve">; </w:t>
      </w:r>
      <w:r w:rsidR="00C1323A">
        <w:t>low PC</w:t>
      </w:r>
      <w:r w:rsidR="005732A8">
        <w:t xml:space="preserve"> group (9 female, 9 male; </w:t>
      </w:r>
      <w:r w:rsidR="00B45896">
        <w:t xml:space="preserve">Age </w:t>
      </w:r>
      <w:r w:rsidR="005732A8">
        <w:t>M = 22.6, SD = 4.7</w:t>
      </w:r>
      <w:r w:rsidR="00C1323A">
        <w:t xml:space="preserve">). </w:t>
      </w:r>
      <w:r w:rsidR="00A36BA0">
        <w:t xml:space="preserve">All participants reported not being on any regular medications. </w:t>
      </w:r>
      <w:r w:rsidR="00C1323A">
        <w:t xml:space="preserve">The characteristics of each </w:t>
      </w:r>
      <w:r w:rsidR="00684514">
        <w:t>participant</w:t>
      </w:r>
      <w:r w:rsidR="00C1323A">
        <w:t xml:space="preserve"> </w:t>
      </w:r>
      <w:r w:rsidR="00227D59">
        <w:t>are</w:t>
      </w:r>
      <w:r w:rsidR="00C1323A">
        <w:t xml:space="preserve"> provided in more detail in </w:t>
      </w:r>
      <w:bookmarkStart w:id="56" w:name="OLE_LINK68"/>
      <w:bookmarkStart w:id="57" w:name="OLE_LINK69"/>
      <w:bookmarkStart w:id="58" w:name="OLE_LINK80"/>
      <w:r w:rsidR="00C1323A">
        <w:t xml:space="preserve">supplementary table </w:t>
      </w:r>
      <w:r w:rsidR="00684514" w:rsidRPr="00E209E1">
        <w:t>1</w:t>
      </w:r>
      <w:bookmarkEnd w:id="56"/>
      <w:bookmarkEnd w:id="57"/>
      <w:bookmarkEnd w:id="58"/>
      <w:r w:rsidR="00C1323A">
        <w:t>.</w:t>
      </w:r>
      <w:r w:rsidR="007E02C9">
        <w:t xml:space="preserve"> There were also group differences in some extraneous psychological variables (see supplementary table 2); of particular relevance is a significant difference in state anxiety; </w:t>
      </w:r>
      <w:r w:rsidR="009E49CC">
        <w:t>h</w:t>
      </w:r>
      <w:r w:rsidR="007E02C9">
        <w:t>igh PC group: 38.6 (</w:t>
      </w:r>
      <w:r w:rsidR="007E02C9">
        <w:rPr>
          <w:rFonts w:cstheme="minorHAnsi"/>
        </w:rPr>
        <w:t>±8.6</w:t>
      </w:r>
      <w:r w:rsidR="007E02C9">
        <w:t>), low PC group 29.7 (</w:t>
      </w:r>
      <w:r w:rsidR="007E02C9">
        <w:rPr>
          <w:rFonts w:cstheme="minorHAnsi"/>
        </w:rPr>
        <w:t>±8.8)</w:t>
      </w:r>
      <w:r w:rsidR="007E02C9">
        <w:t xml:space="preserve">, </w:t>
      </w:r>
      <w:r w:rsidR="007E02C9" w:rsidRPr="00E209E1">
        <w:rPr>
          <w:i/>
        </w:rPr>
        <w:t>p</w:t>
      </w:r>
      <w:r w:rsidR="007E02C9">
        <w:t xml:space="preserve"> &lt; .002 (uncorrected)</w:t>
      </w:r>
      <w:r w:rsidR="007E02C9" w:rsidRPr="00E209E1">
        <w:t xml:space="preserve">, Cohen’s </w:t>
      </w:r>
      <w:r w:rsidR="007E02C9" w:rsidRPr="00E209E1">
        <w:rPr>
          <w:i/>
        </w:rPr>
        <w:t>d</w:t>
      </w:r>
      <w:r w:rsidR="007E02C9">
        <w:t xml:space="preserve"> = 1.02. Group differences were also present with medium effect sizes, but were not statistically significant, for fear of medical pain and for trait anxiety.</w:t>
      </w:r>
      <w:r w:rsidR="00646D16">
        <w:t xml:space="preserve"> </w:t>
      </w:r>
    </w:p>
    <w:p w14:paraId="1D6F92EA" w14:textId="77777777" w:rsidR="00C1323A" w:rsidRDefault="00C1323A" w:rsidP="007512FC">
      <w:pPr>
        <w:pStyle w:val="Heading2"/>
        <w:spacing w:line="480" w:lineRule="auto"/>
      </w:pPr>
      <w:r>
        <w:t>Group characteristics: Behavioural results</w:t>
      </w:r>
    </w:p>
    <w:p w14:paraId="18F1F8FD" w14:textId="21508BCE" w:rsidR="00270C65" w:rsidRDefault="00C1323A" w:rsidP="007512FC">
      <w:pPr>
        <w:spacing w:line="480" w:lineRule="auto"/>
      </w:pPr>
      <w:r>
        <w:t>The behavioural analyses tested for group differences in dependent variables related to pain perception (</w:t>
      </w:r>
      <w:r w:rsidR="00270C65">
        <w:t xml:space="preserve">pain threshold and </w:t>
      </w:r>
      <w:r>
        <w:t xml:space="preserve">pain ratings). </w:t>
      </w:r>
      <w:r w:rsidR="00270C65">
        <w:t>To summarise, the high (vs. low) PC group were expecting to be more distressed by the laser pain stimuli and had a lower pain threshold, but they did not show evidence of a larger “prior pain expectancy” effect</w:t>
      </w:r>
      <w:r w:rsidR="00B015B0">
        <w:t xml:space="preserve"> (supplementary table</w:t>
      </w:r>
      <w:r w:rsidR="00D202BF">
        <w:t>s</w:t>
      </w:r>
      <w:r w:rsidR="00B015B0">
        <w:t xml:space="preserve"> </w:t>
      </w:r>
      <w:r w:rsidR="00D202BF">
        <w:t xml:space="preserve">1, </w:t>
      </w:r>
      <w:r w:rsidR="00D16567">
        <w:t>4</w:t>
      </w:r>
      <w:r w:rsidR="00D202BF">
        <w:t xml:space="preserve"> and </w:t>
      </w:r>
      <w:r w:rsidR="00D16567">
        <w:t>5</w:t>
      </w:r>
      <w:r w:rsidR="00B015B0">
        <w:t>)</w:t>
      </w:r>
      <w:r w:rsidR="00270C65">
        <w:t>.</w:t>
      </w:r>
    </w:p>
    <w:p w14:paraId="2B4A3D91" w14:textId="1FEEB642" w:rsidR="002B0997" w:rsidRDefault="00B015B0" w:rsidP="007512FC">
      <w:pPr>
        <w:spacing w:line="480" w:lineRule="auto"/>
      </w:pPr>
      <w:r>
        <w:t xml:space="preserve">More precisely, </w:t>
      </w:r>
      <w:bookmarkStart w:id="59" w:name="OLE_LINK118"/>
      <w:bookmarkStart w:id="60" w:name="OLE_LINK119"/>
      <w:bookmarkStart w:id="61" w:name="OLE_LINK120"/>
      <w:r w:rsidR="00270C65" w:rsidRPr="00E209E1">
        <w:t>the high PC group reported significantly greater expectations of emotional distress from the laser stimuli</w:t>
      </w:r>
      <w:r w:rsidR="00C27595">
        <w:t xml:space="preserve"> (M=9.7, SD=4.3) compared to the low PC group (M=4.4, SD=4.5; </w:t>
      </w:r>
      <w:r w:rsidR="00270C65" w:rsidRPr="00E209E1">
        <w:rPr>
          <w:i/>
        </w:rPr>
        <w:t>t</w:t>
      </w:r>
      <w:r w:rsidR="00270C65" w:rsidRPr="00E209E1">
        <w:t xml:space="preserve"> = 3.48, </w:t>
      </w:r>
      <w:bookmarkStart w:id="62" w:name="OLE_LINK83"/>
      <w:r w:rsidR="00270C65" w:rsidRPr="00E209E1">
        <w:rPr>
          <w:i/>
        </w:rPr>
        <w:t>p</w:t>
      </w:r>
      <w:r w:rsidR="00270C65" w:rsidRPr="00E209E1">
        <w:t xml:space="preserve"> &lt; .001, Cohen’s </w:t>
      </w:r>
      <w:r w:rsidR="00270C65" w:rsidRPr="00E209E1">
        <w:rPr>
          <w:i/>
        </w:rPr>
        <w:t>d</w:t>
      </w:r>
      <w:r w:rsidR="00270C65" w:rsidRPr="00E209E1">
        <w:t xml:space="preserve"> = 1.03</w:t>
      </w:r>
      <w:bookmarkEnd w:id="62"/>
      <w:r w:rsidR="00270C65" w:rsidRPr="00E209E1">
        <w:t>)</w:t>
      </w:r>
      <w:bookmarkEnd w:id="59"/>
      <w:bookmarkEnd w:id="60"/>
      <w:bookmarkEnd w:id="61"/>
      <w:r w:rsidR="00270C65">
        <w:t>,</w:t>
      </w:r>
      <w:r w:rsidR="00270C65" w:rsidRPr="00F35687">
        <w:t xml:space="preserve"> </w:t>
      </w:r>
      <w:r w:rsidR="001715F1" w:rsidRPr="00604241">
        <w:t>consistent with the view that catastrophic cognitions alter pain-related expectations</w:t>
      </w:r>
      <w:r w:rsidR="00270C65" w:rsidRPr="006A1E1B">
        <w:t xml:space="preserve">. </w:t>
      </w:r>
      <w:r w:rsidR="00270C65">
        <w:t xml:space="preserve">Furthermore, </w:t>
      </w:r>
      <w:bookmarkStart w:id="63" w:name="OLE_LINK121"/>
      <w:bookmarkStart w:id="64" w:name="OLE_LINK122"/>
      <w:r w:rsidR="00270C65">
        <w:t>t</w:t>
      </w:r>
      <w:r w:rsidR="009E54A7" w:rsidRPr="00E209E1">
        <w:t>he</w:t>
      </w:r>
      <w:r w:rsidR="00C1323A" w:rsidRPr="00E209E1">
        <w:t xml:space="preserve"> mean laser energy used to </w:t>
      </w:r>
      <w:r w:rsidR="002323B7">
        <w:t>reach</w:t>
      </w:r>
      <w:r w:rsidR="00C1323A" w:rsidRPr="00E209E1">
        <w:t xml:space="preserve"> pain threshold</w:t>
      </w:r>
      <w:r w:rsidR="009E54A7" w:rsidRPr="00E209E1">
        <w:t xml:space="preserve"> was lower in the high PC group</w:t>
      </w:r>
      <w:r w:rsidR="00C27595">
        <w:t xml:space="preserve"> (M=29.6, SD=7.2) compared to the low PC group (M=34.1, SD=5.7)</w:t>
      </w:r>
      <w:r w:rsidR="009E54A7" w:rsidRPr="00E209E1">
        <w:t xml:space="preserve"> </w:t>
      </w:r>
      <w:bookmarkEnd w:id="63"/>
      <w:bookmarkEnd w:id="64"/>
      <w:r w:rsidR="009E54A7" w:rsidRPr="00E209E1">
        <w:t>with a large effect size (</w:t>
      </w:r>
      <w:bookmarkStart w:id="65" w:name="OLE_LINK82"/>
      <w:r w:rsidR="009E54A7" w:rsidRPr="00E209E1">
        <w:t xml:space="preserve">Cohen’s </w:t>
      </w:r>
      <w:r w:rsidR="009E54A7" w:rsidRPr="00713E9B">
        <w:rPr>
          <w:i/>
        </w:rPr>
        <w:t>d</w:t>
      </w:r>
      <w:r w:rsidR="009E54A7" w:rsidRPr="00E209E1">
        <w:t xml:space="preserve"> = 0.67) but in an independent samples </w:t>
      </w:r>
      <w:r w:rsidR="009E54A7" w:rsidRPr="00713E9B">
        <w:rPr>
          <w:i/>
        </w:rPr>
        <w:t>t</w:t>
      </w:r>
      <w:r w:rsidR="009E54A7" w:rsidRPr="00E209E1">
        <w:t xml:space="preserve">-test the difference was only marginally significant at an uncorrected </w:t>
      </w:r>
      <w:r w:rsidR="009E54A7" w:rsidRPr="00713E9B">
        <w:rPr>
          <w:i/>
        </w:rPr>
        <w:t>p</w:t>
      </w:r>
      <w:r w:rsidR="009E54A7" w:rsidRPr="00E209E1">
        <w:t xml:space="preserve"> value of 0.051</w:t>
      </w:r>
      <w:r w:rsidR="00C1323A" w:rsidRPr="00E209E1">
        <w:t>.</w:t>
      </w:r>
      <w:bookmarkEnd w:id="65"/>
      <w:r w:rsidR="00C1323A" w:rsidRPr="00E209E1">
        <w:t xml:space="preserve"> Both groups were found to score roughly equally for all “manipulation check” variables, such that there was no evidence of a difference in the extent to which the two groups reported attending to anticipation cues, believing in the accuracy of the cues or being influenced by the cues. </w:t>
      </w:r>
    </w:p>
    <w:p w14:paraId="5C63EF3A" w14:textId="4FC8E0DD" w:rsidR="00C1323A" w:rsidRDefault="00C1323A" w:rsidP="007512FC">
      <w:pPr>
        <w:spacing w:line="480" w:lineRule="auto"/>
      </w:pPr>
      <w:r w:rsidRPr="00E209E1">
        <w:t xml:space="preserve">These results are consistent with an analysis of pain ratings in response to laser stimuli during the experiment and the effect of anticipation cues on these ratings. Specifically, pain ratings did not differ </w:t>
      </w:r>
      <w:r w:rsidR="00680D32">
        <w:t xml:space="preserve">overall </w:t>
      </w:r>
      <w:r w:rsidRPr="00E209E1">
        <w:t>between groups</w:t>
      </w:r>
      <w:r w:rsidR="002B0997">
        <w:t>, which is as expected given that the laser energy used for each participant was adjusted to their individual pain perception.</w:t>
      </w:r>
      <w:r w:rsidRPr="00E209E1">
        <w:t xml:space="preserve"> </w:t>
      </w:r>
      <w:r w:rsidR="00270C65">
        <w:t>Regarding prior expectancy effects on pain (i.e. main effect of presence vs. absence of the first “high” expectancy cue), a</w:t>
      </w:r>
      <w:r w:rsidRPr="00E209E1">
        <w:t xml:space="preserve">lthough there was a statistically </w:t>
      </w:r>
      <w:r w:rsidR="002B0997" w:rsidRPr="00E209E1">
        <w:t>significant</w:t>
      </w:r>
      <w:r w:rsidR="002B0997">
        <w:t xml:space="preserve"> within-participant </w:t>
      </w:r>
      <w:r w:rsidR="00270C65">
        <w:t xml:space="preserve">cue effect </w:t>
      </w:r>
      <w:r w:rsidR="00D81D32">
        <w:t>on pain rating</w:t>
      </w:r>
      <w:r w:rsidR="002B0997">
        <w:t xml:space="preserve">s </w:t>
      </w:r>
      <w:r w:rsidRPr="00E209E1">
        <w:t>(</w:t>
      </w:r>
      <w:proofErr w:type="gramStart"/>
      <w:r w:rsidRPr="00E209E1">
        <w:rPr>
          <w:i/>
        </w:rPr>
        <w:t>F</w:t>
      </w:r>
      <w:r w:rsidR="002B20BE" w:rsidRPr="00E209E1">
        <w:t>(</w:t>
      </w:r>
      <w:proofErr w:type="gramEnd"/>
      <w:r w:rsidR="002B20BE" w:rsidRPr="00E209E1">
        <w:t>1,32</w:t>
      </w:r>
      <w:r w:rsidR="00917698" w:rsidRPr="00E209E1">
        <w:t>) = 37.7</w:t>
      </w:r>
      <w:r w:rsidRPr="00E209E1">
        <w:t xml:space="preserve">, </w:t>
      </w:r>
      <w:r w:rsidRPr="00E209E1">
        <w:rPr>
          <w:i/>
        </w:rPr>
        <w:t>p</w:t>
      </w:r>
      <w:r w:rsidR="002B20BE" w:rsidRPr="00E209E1">
        <w:t xml:space="preserve"> &lt; .001</w:t>
      </w:r>
      <w:r w:rsidRPr="00E209E1">
        <w:t xml:space="preserve">, </w:t>
      </w:r>
      <w:bookmarkStart w:id="66" w:name="OLE_LINK38"/>
      <w:bookmarkStart w:id="67" w:name="OLE_LINK39"/>
      <w:bookmarkStart w:id="68" w:name="OLE_LINK40"/>
      <w:bookmarkStart w:id="69" w:name="OLE_LINK30"/>
      <w:bookmarkStart w:id="70" w:name="OLE_LINK31"/>
      <w:bookmarkStart w:id="71" w:name="OLE_LINK32"/>
      <w:r w:rsidRPr="00E209E1">
        <w:rPr>
          <w:rFonts w:cstheme="minorHAnsi"/>
          <w:i/>
        </w:rPr>
        <w:t>η</w:t>
      </w:r>
      <w:r w:rsidRPr="00E209E1">
        <w:rPr>
          <w:i/>
          <w:vertAlign w:val="subscript"/>
        </w:rPr>
        <w:t>p</w:t>
      </w:r>
      <w:r w:rsidRPr="00E209E1">
        <w:rPr>
          <w:i/>
          <w:vertAlign w:val="superscript"/>
        </w:rPr>
        <w:t>2</w:t>
      </w:r>
      <w:r w:rsidRPr="00E209E1">
        <w:t xml:space="preserve"> = </w:t>
      </w:r>
      <w:bookmarkEnd w:id="66"/>
      <w:bookmarkEnd w:id="67"/>
      <w:bookmarkEnd w:id="68"/>
      <w:r w:rsidR="00917698" w:rsidRPr="00E209E1">
        <w:t>0.54</w:t>
      </w:r>
      <w:bookmarkEnd w:id="69"/>
      <w:bookmarkEnd w:id="70"/>
      <w:bookmarkEnd w:id="71"/>
      <w:r w:rsidR="0056215C">
        <w:t>, s</w:t>
      </w:r>
      <w:r w:rsidRPr="00E209E1">
        <w:t xml:space="preserve">upplementary </w:t>
      </w:r>
      <w:r w:rsidR="00D202BF">
        <w:t xml:space="preserve">table </w:t>
      </w:r>
      <w:r w:rsidR="00D16567">
        <w:t>5</w:t>
      </w:r>
      <w:r w:rsidRPr="00E209E1">
        <w:t xml:space="preserve">), there was no interaction between group and </w:t>
      </w:r>
      <w:r w:rsidR="002B0997">
        <w:t xml:space="preserve">this </w:t>
      </w:r>
      <w:r w:rsidRPr="00E209E1">
        <w:t>cue</w:t>
      </w:r>
      <w:r w:rsidR="002B0997">
        <w:t xml:space="preserve"> effect</w:t>
      </w:r>
      <w:r w:rsidR="002B20BE" w:rsidRPr="00E209E1">
        <w:t xml:space="preserve"> (</w:t>
      </w:r>
      <w:r w:rsidR="00917698" w:rsidRPr="00E209E1">
        <w:t>p=0.938</w:t>
      </w:r>
      <w:r w:rsidR="002B20BE" w:rsidRPr="00E209E1">
        <w:t>)</w:t>
      </w:r>
      <w:r w:rsidR="002B0997">
        <w:t>, indicating that the prior pain expectancy effect does not differ between groups</w:t>
      </w:r>
      <w:r w:rsidRPr="00E209E1">
        <w:t xml:space="preserve">. Comparing the effect size of the </w:t>
      </w:r>
      <w:r w:rsidR="002B0997">
        <w:t xml:space="preserve">prior </w:t>
      </w:r>
      <w:r w:rsidRPr="00E209E1">
        <w:t xml:space="preserve">expectancy effect in each group separately, the effects are similar: </w:t>
      </w:r>
      <w:r w:rsidR="00D43D17" w:rsidRPr="00E209E1">
        <w:rPr>
          <w:rFonts w:cstheme="minorHAnsi"/>
          <w:i/>
        </w:rPr>
        <w:t>η</w:t>
      </w:r>
      <w:r w:rsidR="00D43D17" w:rsidRPr="00E209E1">
        <w:rPr>
          <w:i/>
          <w:vertAlign w:val="subscript"/>
        </w:rPr>
        <w:t>p</w:t>
      </w:r>
      <w:r w:rsidR="00D43D17" w:rsidRPr="00E209E1">
        <w:rPr>
          <w:i/>
          <w:vertAlign w:val="superscript"/>
        </w:rPr>
        <w:t>2</w:t>
      </w:r>
      <w:r w:rsidR="00D43D17" w:rsidRPr="00E209E1">
        <w:t xml:space="preserve"> = 0.49</w:t>
      </w:r>
      <w:r w:rsidRPr="00E209E1">
        <w:t xml:space="preserve"> in the high PC group and </w:t>
      </w:r>
      <w:r w:rsidR="00D43D17" w:rsidRPr="00E209E1">
        <w:rPr>
          <w:rFonts w:cstheme="minorHAnsi"/>
          <w:i/>
        </w:rPr>
        <w:t>η</w:t>
      </w:r>
      <w:r w:rsidR="00D43D17" w:rsidRPr="00E209E1">
        <w:rPr>
          <w:i/>
          <w:vertAlign w:val="subscript"/>
        </w:rPr>
        <w:t>p</w:t>
      </w:r>
      <w:r w:rsidR="00D43D17" w:rsidRPr="00E209E1">
        <w:rPr>
          <w:i/>
          <w:vertAlign w:val="superscript"/>
        </w:rPr>
        <w:t>2</w:t>
      </w:r>
      <w:r w:rsidR="00D43D17" w:rsidRPr="00E209E1">
        <w:t xml:space="preserve"> = 0.60</w:t>
      </w:r>
      <w:r w:rsidRPr="00E209E1">
        <w:t xml:space="preserve"> in the low PC group. </w:t>
      </w:r>
    </w:p>
    <w:p w14:paraId="06711ED5" w14:textId="190C6AB7" w:rsidR="000D3766" w:rsidRDefault="00C1323A" w:rsidP="007512FC">
      <w:pPr>
        <w:spacing w:line="480" w:lineRule="auto"/>
      </w:pPr>
      <w:r>
        <w:t>Further ANOVA results show that changes in laser intensity reliably modulated pain perception (</w:t>
      </w:r>
      <w:proofErr w:type="gramStart"/>
      <w:r w:rsidRPr="000554E8">
        <w:rPr>
          <w:i/>
        </w:rPr>
        <w:t>F</w:t>
      </w:r>
      <w:r w:rsidR="00917698">
        <w:t>(</w:t>
      </w:r>
      <w:proofErr w:type="gramEnd"/>
      <w:r w:rsidR="00917698">
        <w:t>1,32</w:t>
      </w:r>
      <w:r>
        <w:t xml:space="preserve">) = </w:t>
      </w:r>
      <w:r w:rsidR="00917698">
        <w:t>161.7</w:t>
      </w:r>
      <w:r>
        <w:t xml:space="preserve">, </w:t>
      </w:r>
      <w:r w:rsidRPr="000554E8">
        <w:rPr>
          <w:i/>
        </w:rPr>
        <w:t>p</w:t>
      </w:r>
      <w:r>
        <w:t xml:space="preserve"> </w:t>
      </w:r>
      <w:r w:rsidR="00917698">
        <w:t>&lt;.001</w:t>
      </w:r>
      <w:bookmarkStart w:id="72" w:name="OLE_LINK33"/>
      <w:bookmarkStart w:id="73" w:name="OLE_LINK36"/>
      <w:bookmarkStart w:id="74" w:name="OLE_LINK37"/>
      <w:r w:rsidR="00917698">
        <w:t>,</w:t>
      </w:r>
      <w:r w:rsidR="00917698" w:rsidRPr="00917698">
        <w:rPr>
          <w:rFonts w:cstheme="minorHAnsi"/>
          <w:i/>
        </w:rPr>
        <w:t xml:space="preserve"> </w:t>
      </w:r>
      <w:r w:rsidR="00917698">
        <w:rPr>
          <w:rFonts w:cstheme="minorHAnsi"/>
          <w:i/>
        </w:rPr>
        <w:t>η</w:t>
      </w:r>
      <w:r w:rsidR="00917698" w:rsidRPr="000C5D8F">
        <w:rPr>
          <w:i/>
          <w:vertAlign w:val="subscript"/>
        </w:rPr>
        <w:t>p</w:t>
      </w:r>
      <w:r w:rsidR="00917698">
        <w:rPr>
          <w:i/>
          <w:vertAlign w:val="superscript"/>
        </w:rPr>
        <w:t>2</w:t>
      </w:r>
      <w:r w:rsidR="00917698">
        <w:t xml:space="preserve"> = 0.83</w:t>
      </w:r>
      <w:bookmarkEnd w:id="72"/>
      <w:bookmarkEnd w:id="73"/>
      <w:bookmarkEnd w:id="74"/>
      <w:r>
        <w:t>). The</w:t>
      </w:r>
      <w:r w:rsidR="00D72868">
        <w:t>re was no</w:t>
      </w:r>
      <w:r>
        <w:t xml:space="preserve"> main effect of block on pain perception </w:t>
      </w:r>
      <w:r w:rsidR="00D56C21">
        <w:t>and block did not</w:t>
      </w:r>
      <w:r>
        <w:t xml:space="preserve"> interact with expectancy, but did interact with intensity (</w:t>
      </w:r>
      <w:proofErr w:type="gramStart"/>
      <w:r w:rsidRPr="000554E8">
        <w:rPr>
          <w:i/>
        </w:rPr>
        <w:t>F</w:t>
      </w:r>
      <w:r w:rsidR="00E209E1">
        <w:t>(</w:t>
      </w:r>
      <w:proofErr w:type="gramEnd"/>
      <w:r w:rsidR="00E209E1">
        <w:t>1,32</w:t>
      </w:r>
      <w:r>
        <w:t xml:space="preserve">) = </w:t>
      </w:r>
      <w:r w:rsidR="00917698">
        <w:t>8.69</w:t>
      </w:r>
      <w:r>
        <w:t xml:space="preserve">, </w:t>
      </w:r>
      <w:r w:rsidRPr="000554E8">
        <w:rPr>
          <w:i/>
        </w:rPr>
        <w:t>p</w:t>
      </w:r>
      <w:r w:rsidR="00917698">
        <w:t xml:space="preserve"> = .006,</w:t>
      </w:r>
      <w:r w:rsidR="00917698" w:rsidRPr="00917698">
        <w:rPr>
          <w:rFonts w:cstheme="minorHAnsi"/>
          <w:i/>
        </w:rPr>
        <w:t xml:space="preserve"> </w:t>
      </w:r>
      <w:r w:rsidR="00917698">
        <w:rPr>
          <w:rFonts w:cstheme="minorHAnsi"/>
          <w:i/>
        </w:rPr>
        <w:t>η</w:t>
      </w:r>
      <w:r w:rsidR="00917698" w:rsidRPr="000C5D8F">
        <w:rPr>
          <w:i/>
          <w:vertAlign w:val="subscript"/>
        </w:rPr>
        <w:t>p</w:t>
      </w:r>
      <w:r w:rsidR="00917698">
        <w:rPr>
          <w:i/>
          <w:vertAlign w:val="superscript"/>
        </w:rPr>
        <w:t>2</w:t>
      </w:r>
      <w:r w:rsidR="00917698">
        <w:t xml:space="preserve"> = 0.21</w:t>
      </w:r>
      <w:r>
        <w:t xml:space="preserve">), </w:t>
      </w:r>
      <w:r w:rsidR="005561E7">
        <w:t>with lower intensity ratings in block 2</w:t>
      </w:r>
      <w:r w:rsidR="00270C65">
        <w:t>, although this effect was not of interest to the analysis</w:t>
      </w:r>
      <w:r>
        <w:t xml:space="preserve">. Group did not interact with these within-subject factors. </w:t>
      </w:r>
    </w:p>
    <w:p w14:paraId="4D06CA40" w14:textId="2AA3F57A" w:rsidR="009E49CC" w:rsidRDefault="009E49CC" w:rsidP="007512FC">
      <w:pPr>
        <w:spacing w:line="480" w:lineRule="auto"/>
      </w:pPr>
      <w:r>
        <w:t>In addition to the hypothesis-driven analyses so far described, further exploratory cross-correlation statistics (Spearman’s rank, 2-tailed) across some relevant variables recorded are reported in supplementary table 3. These are reported across all participants (n=34, or 33 in cases of missing data), but not within groups as these would not be robust considering the small sample size. These did not reveal any relationships that were in addition to those already reflected in the t-test statistics comparing the PC groups, except for expected correlations between subscales of the same measurement, e.g. PCS subscales).</w:t>
      </w:r>
    </w:p>
    <w:p w14:paraId="4A1336A3" w14:textId="0C66AEEC" w:rsidR="00C1323A" w:rsidRDefault="00C1323A" w:rsidP="007512FC">
      <w:pPr>
        <w:pStyle w:val="Heading2"/>
        <w:spacing w:line="480" w:lineRule="auto"/>
      </w:pPr>
      <w:r>
        <w:t xml:space="preserve">Is pain </w:t>
      </w:r>
      <w:r w:rsidR="00940531">
        <w:t>catastrophiz</w:t>
      </w:r>
      <w:r>
        <w:t>ing characterised by magnified aversive value encoding?</w:t>
      </w:r>
    </w:p>
    <w:p w14:paraId="125D2771" w14:textId="494B2996" w:rsidR="00B015B0" w:rsidRDefault="00C1323A" w:rsidP="007512FC">
      <w:pPr>
        <w:spacing w:line="480" w:lineRule="auto"/>
      </w:pPr>
      <w:r>
        <w:t xml:space="preserve">To answer this question, we first investigated neural activity related to the encoding of aversive value from the visual cues using </w:t>
      </w:r>
      <w:r w:rsidR="00354F42">
        <w:t>C</w:t>
      </w:r>
      <w:r>
        <w:t>ontrast</w:t>
      </w:r>
      <w:r w:rsidR="00354F42">
        <w:t xml:space="preserve"> 1</w:t>
      </w:r>
      <w:r w:rsidR="00C15421">
        <w:t xml:space="preserve"> of High cue &gt; Low cue (</w:t>
      </w:r>
      <w:r w:rsidR="0056215C">
        <w:t>figure</w:t>
      </w:r>
      <w:r w:rsidR="00C15421">
        <w:t xml:space="preserve"> </w:t>
      </w:r>
      <w:r w:rsidR="00050312">
        <w:t>1C</w:t>
      </w:r>
      <w:r>
        <w:t>)</w:t>
      </w:r>
      <w:r w:rsidR="00FE57C6">
        <w:t>, independently of group</w:t>
      </w:r>
      <w:r w:rsidR="00B015B0">
        <w:t xml:space="preserve">. The results </w:t>
      </w:r>
      <w:r w:rsidR="00932BEB">
        <w:t xml:space="preserve">(figure 2) </w:t>
      </w:r>
      <w:r w:rsidR="00B015B0">
        <w:t>identified specific post-cue latencies and cortical sources that maximally differed between conditions (univariate analyses)</w:t>
      </w:r>
      <w:r w:rsidR="009D1977">
        <w:t>, in addition to</w:t>
      </w:r>
      <w:r w:rsidR="00B015B0">
        <w:t xml:space="preserve"> </w:t>
      </w:r>
      <w:r w:rsidR="009D1977">
        <w:t>spatiotemporal ERP patterns</w:t>
      </w:r>
      <w:r w:rsidR="00B015B0">
        <w:t xml:space="preserve"> predict</w:t>
      </w:r>
      <w:r w:rsidR="003574E5">
        <w:t>ing</w:t>
      </w:r>
      <w:r w:rsidR="00B015B0">
        <w:t xml:space="preserve"> the cue type (MVPA analyses).</w:t>
      </w:r>
      <w:r w:rsidR="004F44A1">
        <w:t xml:space="preserve"> </w:t>
      </w:r>
      <w:bookmarkStart w:id="75" w:name="OLE_LINK62"/>
      <w:bookmarkStart w:id="76" w:name="OLE_LINK63"/>
      <w:bookmarkStart w:id="77" w:name="OLE_LINK56"/>
      <w:bookmarkStart w:id="78" w:name="OLE_LINK57"/>
      <w:bookmarkStart w:id="79" w:name="OLE_LINK58"/>
      <w:bookmarkStart w:id="80" w:name="OLE_LINK59"/>
      <w:r w:rsidR="003574E5">
        <w:t xml:space="preserve">MVPA </w:t>
      </w:r>
      <w:r w:rsidR="003574E5" w:rsidRPr="00413DC7">
        <w:t>is</w:t>
      </w:r>
      <w:r w:rsidR="003574E5">
        <w:t xml:space="preserve"> particularly</w:t>
      </w:r>
      <w:r w:rsidR="003574E5" w:rsidRPr="00413DC7">
        <w:t xml:space="preserve"> sensitive to di</w:t>
      </w:r>
      <w:r w:rsidR="003574E5">
        <w:t>stributed coding across space and time and is therefore useful for identifying spatiotemporal patterns classifying conditions</w:t>
      </w:r>
      <w:bookmarkEnd w:id="75"/>
      <w:bookmarkEnd w:id="76"/>
      <w:r w:rsidR="003574E5">
        <w:t xml:space="preserve">. </w:t>
      </w:r>
      <w:bookmarkEnd w:id="77"/>
      <w:bookmarkEnd w:id="78"/>
      <w:bookmarkEnd w:id="79"/>
      <w:bookmarkEnd w:id="80"/>
      <w:r w:rsidR="009D1977">
        <w:t>We then proceeded to investigate group differences</w:t>
      </w:r>
      <w:r w:rsidR="00932BEB">
        <w:t xml:space="preserve"> (figure 3)</w:t>
      </w:r>
      <w:r w:rsidR="009D1977">
        <w:t xml:space="preserve"> to address whether these differences were related to within-subject aversive valuation effects. In summary of the results, within-subject aversive valuation</w:t>
      </w:r>
      <w:r w:rsidR="004F44A1">
        <w:t xml:space="preserve"> effects were partially distinct</w:t>
      </w:r>
      <w:r w:rsidR="009D1977">
        <w:t xml:space="preserve">, but </w:t>
      </w:r>
      <w:r w:rsidR="004F44A1">
        <w:t xml:space="preserve">also partially </w:t>
      </w:r>
      <w:r w:rsidR="009D1977">
        <w:t>overlapping in space and time with group effects; furthermore, multivariate spatiotemporal patterns classifying cue conditions were able to predict group differences to a moderate degree</w:t>
      </w:r>
      <w:r w:rsidR="00932BEB">
        <w:t xml:space="preserve"> (figure 4)</w:t>
      </w:r>
      <w:r w:rsidR="009D1977">
        <w:t>.</w:t>
      </w:r>
    </w:p>
    <w:p w14:paraId="5E23FAC8" w14:textId="625DC9F7" w:rsidR="00C1323A" w:rsidRDefault="00932BEB" w:rsidP="007512FC">
      <w:pPr>
        <w:spacing w:line="480" w:lineRule="auto"/>
      </w:pPr>
      <w:r>
        <w:t>In particular, u</w:t>
      </w:r>
      <w:r w:rsidR="00C1323A">
        <w:t>nivariate EEG sensor analysis</w:t>
      </w:r>
      <w:r>
        <w:t xml:space="preserve"> on the within-subjects aversive valuation effect</w:t>
      </w:r>
      <w:r w:rsidR="0056215C">
        <w:t xml:space="preserve"> (f</w:t>
      </w:r>
      <w:r w:rsidR="00050312">
        <w:t>igure 2A)</w:t>
      </w:r>
      <w:r w:rsidR="00C1323A" w:rsidRPr="007275BE">
        <w:t xml:space="preserve"> </w:t>
      </w:r>
      <w:r w:rsidR="004449D8">
        <w:t>identified</w:t>
      </w:r>
      <w:r w:rsidR="00C1323A">
        <w:t xml:space="preserve"> </w:t>
      </w:r>
      <w:r w:rsidR="00C15421">
        <w:t xml:space="preserve">spatiotemporal </w:t>
      </w:r>
      <w:r w:rsidR="004449D8">
        <w:t xml:space="preserve">statistical </w:t>
      </w:r>
      <w:r w:rsidR="00C15421">
        <w:t>cluster</w:t>
      </w:r>
      <w:r w:rsidR="004449D8">
        <w:t>s</w:t>
      </w:r>
      <w:r w:rsidR="00C15421">
        <w:t xml:space="preserve"> </w:t>
      </w:r>
      <w:r w:rsidR="004449D8">
        <w:t xml:space="preserve">arising from </w:t>
      </w:r>
      <w:r w:rsidR="00C15421">
        <w:t>increased po</w:t>
      </w:r>
      <w:r w:rsidR="004449D8">
        <w:t>sitive and negative polarities co-occurring at similar latencies</w:t>
      </w:r>
      <w:r w:rsidR="00D946C8">
        <w:t xml:space="preserve"> (</w:t>
      </w:r>
      <w:r w:rsidR="00B60B23">
        <w:t xml:space="preserve">N.B. </w:t>
      </w:r>
      <w:bookmarkStart w:id="81" w:name="OLE_LINK137"/>
      <w:bookmarkStart w:id="82" w:name="OLE_LINK138"/>
      <w:r w:rsidR="00B60B23">
        <w:t>greater neural activity / processing resources are indicated by absolute activity and not whether it is positive or negative</w:t>
      </w:r>
      <w:r w:rsidR="00D55505">
        <w:t>; these polarities merely indicate opposite ends of an underlying source dipole</w:t>
      </w:r>
      <w:bookmarkEnd w:id="81"/>
      <w:bookmarkEnd w:id="82"/>
      <w:r w:rsidR="00D946C8">
        <w:t>)</w:t>
      </w:r>
      <w:r w:rsidR="004449D8">
        <w:t>. This occurred in two distinct latency ranges: an early latency range from 116ms to 152ms and a late latency range from 362ms to 1312ms post-cue</w:t>
      </w:r>
      <w:r w:rsidR="0056215C">
        <w:t xml:space="preserve"> (supplementary </w:t>
      </w:r>
      <w:r w:rsidR="00D202BF">
        <w:t xml:space="preserve">table </w:t>
      </w:r>
      <w:r w:rsidR="00D16567">
        <w:t>6</w:t>
      </w:r>
      <w:r w:rsidR="00050312">
        <w:t>)</w:t>
      </w:r>
      <w:r w:rsidR="00C1323A">
        <w:t>. Source analysis over the</w:t>
      </w:r>
      <w:r w:rsidR="004449D8">
        <w:t>se</w:t>
      </w:r>
      <w:r w:rsidR="00C1323A">
        <w:t xml:space="preserve"> time range</w:t>
      </w:r>
      <w:r w:rsidR="004449D8">
        <w:t>s</w:t>
      </w:r>
      <w:r w:rsidR="00C1323A">
        <w:t xml:space="preserve"> revealed</w:t>
      </w:r>
      <w:r w:rsidR="004449D8">
        <w:t xml:space="preserve"> early latency</w:t>
      </w:r>
      <w:r w:rsidR="00C1323A">
        <w:t xml:space="preserve"> source</w:t>
      </w:r>
      <w:r w:rsidR="004449D8">
        <w:t>s in inferior temporal lobes, consistent with activation of the ventral visual pathway, while late latency sources localised to a broader range of regions including occipital, parietal, frontal, temporal and cingulate cortices (s</w:t>
      </w:r>
      <w:r w:rsidR="0056215C">
        <w:t>ummarised in f</w:t>
      </w:r>
      <w:r w:rsidR="004449D8">
        <w:t>igure 2</w:t>
      </w:r>
      <w:r w:rsidR="005B1D69">
        <w:t>B</w:t>
      </w:r>
      <w:r w:rsidR="0056215C">
        <w:t xml:space="preserve"> and detailed in supplementary </w:t>
      </w:r>
      <w:r w:rsidR="00D202BF">
        <w:t xml:space="preserve">table </w:t>
      </w:r>
      <w:r w:rsidR="00D16567">
        <w:t>7</w:t>
      </w:r>
      <w:r w:rsidR="004449D8">
        <w:t>).</w:t>
      </w:r>
      <w:r w:rsidR="00C1323A">
        <w:t xml:space="preserve"> </w:t>
      </w:r>
    </w:p>
    <w:p w14:paraId="76DF4CA6" w14:textId="76370076" w:rsidR="006F788B" w:rsidRDefault="00C57FE1" w:rsidP="007512FC">
      <w:pPr>
        <w:spacing w:line="480" w:lineRule="auto"/>
      </w:pPr>
      <w:r w:rsidRPr="00C57F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57FE1">
        <w:rPr>
          <w:noProof/>
        </w:rPr>
        <w:drawing>
          <wp:inline distT="0" distB="0" distL="0" distR="0" wp14:anchorId="23D9DA61" wp14:editId="24824116">
            <wp:extent cx="6119799" cy="3692769"/>
            <wp:effectExtent l="0" t="0" r="0" b="3175"/>
            <wp:docPr id="7" name="Picture 7" descr="C:\Users\Chris\Google Drive\1. Liverpool University\Publications\Cata anticipation 2017\Figures_Tables\Figures_v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Google Drive\1. Liverpool University\Publications\Cata anticipation 2017\Figures_Tables\Figures_v2\Slid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099" cy="3694157"/>
                    </a:xfrm>
                    <a:prstGeom prst="rect">
                      <a:avLst/>
                    </a:prstGeom>
                    <a:noFill/>
                    <a:ln>
                      <a:noFill/>
                    </a:ln>
                  </pic:spPr>
                </pic:pic>
              </a:graphicData>
            </a:graphic>
          </wp:inline>
        </w:drawing>
      </w:r>
    </w:p>
    <w:p w14:paraId="750143CE" w14:textId="60A8F7AC" w:rsidR="006F788B" w:rsidRPr="006F788B" w:rsidRDefault="006F788B" w:rsidP="007512FC">
      <w:pPr>
        <w:spacing w:after="0" w:line="480" w:lineRule="auto"/>
        <w:rPr>
          <w:sz w:val="18"/>
          <w:szCs w:val="18"/>
        </w:rPr>
      </w:pPr>
      <w:r w:rsidRPr="006F788B">
        <w:rPr>
          <w:b/>
          <w:bCs/>
          <w:sz w:val="18"/>
          <w:szCs w:val="18"/>
        </w:rPr>
        <w:t>Figure 2: Aversive value encoding during cue processing</w:t>
      </w:r>
      <w:r w:rsidR="00932BEB">
        <w:rPr>
          <w:b/>
          <w:bCs/>
          <w:sz w:val="18"/>
          <w:szCs w:val="18"/>
        </w:rPr>
        <w:t xml:space="preserve"> </w:t>
      </w:r>
      <w:r w:rsidR="00C57FE1">
        <w:rPr>
          <w:b/>
          <w:bCs/>
          <w:sz w:val="18"/>
          <w:szCs w:val="18"/>
        </w:rPr>
        <w:t>(</w:t>
      </w:r>
      <w:r w:rsidR="00354F42">
        <w:rPr>
          <w:b/>
          <w:bCs/>
          <w:sz w:val="18"/>
          <w:szCs w:val="18"/>
        </w:rPr>
        <w:t>C</w:t>
      </w:r>
      <w:r w:rsidR="000F2828">
        <w:rPr>
          <w:b/>
          <w:bCs/>
          <w:sz w:val="18"/>
          <w:szCs w:val="18"/>
        </w:rPr>
        <w:t>ontrast 1</w:t>
      </w:r>
      <w:r w:rsidR="00F63BFA">
        <w:rPr>
          <w:b/>
          <w:bCs/>
          <w:sz w:val="18"/>
          <w:szCs w:val="18"/>
        </w:rPr>
        <w:t>, N=34</w:t>
      </w:r>
      <w:r w:rsidR="00932BEB">
        <w:rPr>
          <w:b/>
          <w:bCs/>
          <w:sz w:val="18"/>
          <w:szCs w:val="18"/>
        </w:rPr>
        <w:t>)</w:t>
      </w:r>
      <w:r w:rsidRPr="006F788B">
        <w:rPr>
          <w:b/>
          <w:bCs/>
          <w:sz w:val="18"/>
          <w:szCs w:val="18"/>
        </w:rPr>
        <w:t>.</w:t>
      </w:r>
      <w:r w:rsidR="00932BEB">
        <w:rPr>
          <w:b/>
          <w:bCs/>
          <w:sz w:val="18"/>
          <w:szCs w:val="18"/>
        </w:rPr>
        <w:t xml:space="preserve"> </w:t>
      </w:r>
    </w:p>
    <w:p w14:paraId="4C931C6A" w14:textId="0B9EC99E" w:rsidR="000742DF" w:rsidRPr="00576FCC" w:rsidRDefault="00943383" w:rsidP="00253648">
      <w:pPr>
        <w:numPr>
          <w:ilvl w:val="0"/>
          <w:numId w:val="27"/>
        </w:numPr>
        <w:spacing w:after="0" w:line="480" w:lineRule="auto"/>
        <w:rPr>
          <w:sz w:val="18"/>
          <w:szCs w:val="18"/>
        </w:rPr>
      </w:pPr>
      <w:r w:rsidRPr="006F788B">
        <w:rPr>
          <w:sz w:val="18"/>
          <w:szCs w:val="18"/>
        </w:rPr>
        <w:t xml:space="preserve">Univariate sensor analysis found four statistical </w:t>
      </w:r>
      <w:r w:rsidR="00122CB7">
        <w:rPr>
          <w:sz w:val="18"/>
          <w:szCs w:val="18"/>
        </w:rPr>
        <w:t xml:space="preserve">spatiotemporal </w:t>
      </w:r>
      <w:r w:rsidRPr="006F788B">
        <w:rPr>
          <w:sz w:val="18"/>
          <w:szCs w:val="18"/>
        </w:rPr>
        <w:t>clusters</w:t>
      </w:r>
      <w:r w:rsidR="00932BEB">
        <w:rPr>
          <w:sz w:val="18"/>
          <w:szCs w:val="18"/>
        </w:rPr>
        <w:t xml:space="preserve"> that differed in the contrast of High&gt;Low cue</w:t>
      </w:r>
      <w:r w:rsidRPr="006F788B">
        <w:rPr>
          <w:sz w:val="18"/>
          <w:szCs w:val="18"/>
        </w:rPr>
        <w:t xml:space="preserve">. Clusters ss1 and ss2 are positive and negative polarities of the same ERP components during the early latency time window at 116ms to 152ms. Clusters ss3 and ss4 are positive and negative components during the late latency period of 362ms to 1312ms. Left: </w:t>
      </w:r>
      <w:bookmarkStart w:id="83" w:name="OLE_LINK132"/>
      <w:bookmarkStart w:id="84" w:name="OLE_LINK133"/>
      <w:r w:rsidRPr="006F788B">
        <w:rPr>
          <w:sz w:val="18"/>
          <w:szCs w:val="18"/>
        </w:rPr>
        <w:t xml:space="preserve">SPM glass brain </w:t>
      </w:r>
      <w:r w:rsidR="00576FCC">
        <w:rPr>
          <w:sz w:val="18"/>
          <w:szCs w:val="18"/>
        </w:rPr>
        <w:t xml:space="preserve">statistical </w:t>
      </w:r>
      <w:r w:rsidRPr="006F788B">
        <w:rPr>
          <w:sz w:val="18"/>
          <w:szCs w:val="18"/>
        </w:rPr>
        <w:t>maps</w:t>
      </w:r>
      <w:r w:rsidR="00576FCC">
        <w:rPr>
          <w:sz w:val="18"/>
          <w:szCs w:val="18"/>
        </w:rPr>
        <w:t xml:space="preserve">; these are the Maximum Intensity Projections (MIPs) for each cluster across all time points, </w:t>
      </w:r>
      <w:proofErr w:type="spellStart"/>
      <w:r w:rsidR="00576FCC">
        <w:rPr>
          <w:sz w:val="18"/>
          <w:szCs w:val="18"/>
        </w:rPr>
        <w:t>thresholded</w:t>
      </w:r>
      <w:proofErr w:type="spellEnd"/>
      <w:r w:rsidR="00576FCC">
        <w:rPr>
          <w:sz w:val="18"/>
          <w:szCs w:val="18"/>
        </w:rPr>
        <w:t xml:space="preserve"> to include only statistically-significant voxels</w:t>
      </w:r>
      <w:r w:rsidRPr="006F788B">
        <w:rPr>
          <w:sz w:val="18"/>
          <w:szCs w:val="18"/>
        </w:rPr>
        <w:t>;</w:t>
      </w:r>
      <w:r w:rsidR="00576FCC">
        <w:rPr>
          <w:sz w:val="18"/>
          <w:szCs w:val="18"/>
        </w:rPr>
        <w:t xml:space="preserve"> the view is the same as for EEG topographic maps, i.e.</w:t>
      </w:r>
      <w:r w:rsidRPr="006F788B">
        <w:rPr>
          <w:sz w:val="18"/>
          <w:szCs w:val="18"/>
        </w:rPr>
        <w:t xml:space="preserve"> top is anterior scalp. </w:t>
      </w:r>
      <w:bookmarkEnd w:id="83"/>
      <w:bookmarkEnd w:id="84"/>
      <w:r w:rsidRPr="006F788B">
        <w:rPr>
          <w:sz w:val="18"/>
          <w:szCs w:val="18"/>
        </w:rPr>
        <w:t xml:space="preserve">Middle: grand average waveforms and 95% CIs; </w:t>
      </w:r>
      <w:bookmarkStart w:id="85" w:name="OLE_LINK78"/>
      <w:bookmarkStart w:id="86" w:name="OLE_LINK79"/>
      <w:r w:rsidR="006A728F">
        <w:rPr>
          <w:sz w:val="18"/>
          <w:szCs w:val="18"/>
        </w:rPr>
        <w:t>waveforms were generated by</w:t>
      </w:r>
      <w:r w:rsidR="005C717C">
        <w:rPr>
          <w:sz w:val="18"/>
          <w:szCs w:val="18"/>
        </w:rPr>
        <w:t xml:space="preserve"> </w:t>
      </w:r>
      <w:r w:rsidR="005C717C" w:rsidRPr="005C717C">
        <w:rPr>
          <w:sz w:val="18"/>
          <w:szCs w:val="18"/>
        </w:rPr>
        <w:t>multiply</w:t>
      </w:r>
      <w:r w:rsidR="005C717C">
        <w:rPr>
          <w:sz w:val="18"/>
          <w:szCs w:val="18"/>
        </w:rPr>
        <w:t>ing</w:t>
      </w:r>
      <w:r w:rsidR="005C717C" w:rsidRPr="005C717C">
        <w:rPr>
          <w:sz w:val="18"/>
          <w:szCs w:val="18"/>
        </w:rPr>
        <w:t xml:space="preserve"> </w:t>
      </w:r>
      <w:r w:rsidR="005C717C">
        <w:rPr>
          <w:sz w:val="18"/>
          <w:szCs w:val="18"/>
        </w:rPr>
        <w:t>the</w:t>
      </w:r>
      <w:r w:rsidR="005C717C" w:rsidRPr="005C717C">
        <w:rPr>
          <w:sz w:val="18"/>
          <w:szCs w:val="18"/>
        </w:rPr>
        <w:t xml:space="preserve"> </w:t>
      </w:r>
      <w:r w:rsidR="004B2AB0">
        <w:rPr>
          <w:sz w:val="18"/>
          <w:szCs w:val="18"/>
        </w:rPr>
        <w:t>(</w:t>
      </w:r>
      <w:proofErr w:type="spellStart"/>
      <w:r w:rsidR="004B2AB0">
        <w:rPr>
          <w:sz w:val="18"/>
          <w:szCs w:val="18"/>
        </w:rPr>
        <w:t>thresholded</w:t>
      </w:r>
      <w:proofErr w:type="spellEnd"/>
      <w:r w:rsidR="004B2AB0">
        <w:rPr>
          <w:sz w:val="18"/>
          <w:szCs w:val="18"/>
        </w:rPr>
        <w:t xml:space="preserve">) </w:t>
      </w:r>
      <w:r w:rsidR="005C717C">
        <w:rPr>
          <w:sz w:val="18"/>
          <w:szCs w:val="18"/>
        </w:rPr>
        <w:t xml:space="preserve">SPM </w:t>
      </w:r>
      <w:r w:rsidR="005C717C" w:rsidRPr="005C717C">
        <w:rPr>
          <w:sz w:val="18"/>
          <w:szCs w:val="18"/>
        </w:rPr>
        <w:t>cluster</w:t>
      </w:r>
      <w:r w:rsidR="005C717C">
        <w:rPr>
          <w:sz w:val="18"/>
          <w:szCs w:val="18"/>
        </w:rPr>
        <w:t xml:space="preserve">’s </w:t>
      </w:r>
      <w:r w:rsidR="005C717C" w:rsidRPr="005C717C">
        <w:rPr>
          <w:sz w:val="18"/>
          <w:szCs w:val="18"/>
        </w:rPr>
        <w:t>MIP</w:t>
      </w:r>
      <w:r w:rsidR="005C717C">
        <w:rPr>
          <w:sz w:val="18"/>
          <w:szCs w:val="18"/>
        </w:rPr>
        <w:t xml:space="preserve"> with the raw topographic image</w:t>
      </w:r>
      <w:r w:rsidR="00C1790B" w:rsidRPr="00C1790B">
        <w:t xml:space="preserve"> </w:t>
      </w:r>
      <w:r w:rsidR="00C1790B" w:rsidRPr="00C1790B">
        <w:rPr>
          <w:sz w:val="18"/>
          <w:szCs w:val="18"/>
        </w:rPr>
        <w:t>for each subject and condition</w:t>
      </w:r>
      <w:r w:rsidR="004B2AB0">
        <w:rPr>
          <w:sz w:val="18"/>
          <w:szCs w:val="18"/>
        </w:rPr>
        <w:t>,</w:t>
      </w:r>
      <w:r w:rsidR="005C717C">
        <w:rPr>
          <w:sz w:val="18"/>
          <w:szCs w:val="18"/>
        </w:rPr>
        <w:t xml:space="preserve"> </w:t>
      </w:r>
      <w:bookmarkEnd w:id="85"/>
      <w:bookmarkEnd w:id="86"/>
      <w:r w:rsidR="004B2AB0" w:rsidRPr="004B2AB0">
        <w:rPr>
          <w:sz w:val="18"/>
          <w:szCs w:val="18"/>
        </w:rPr>
        <w:t xml:space="preserve">averaging over the remaining voxels </w:t>
      </w:r>
      <w:r w:rsidR="004B2AB0" w:rsidRPr="00640D0F">
        <w:rPr>
          <w:sz w:val="18"/>
          <w:szCs w:val="18"/>
        </w:rPr>
        <w:t>for each time point separately</w:t>
      </w:r>
      <w:r w:rsidR="006A728F" w:rsidRPr="00253648">
        <w:rPr>
          <w:sz w:val="18"/>
          <w:szCs w:val="18"/>
        </w:rPr>
        <w:t>;</w:t>
      </w:r>
      <w:r w:rsidR="006A728F" w:rsidRPr="006A1E1B">
        <w:rPr>
          <w:sz w:val="18"/>
          <w:szCs w:val="18"/>
        </w:rPr>
        <w:t xml:space="preserve"> </w:t>
      </w:r>
      <w:r w:rsidRPr="006A1E1B">
        <w:rPr>
          <w:sz w:val="18"/>
          <w:szCs w:val="18"/>
        </w:rPr>
        <w:t xml:space="preserve">grey indicates cluster extent, black vertical line indicates latency with largest </w:t>
      </w:r>
      <w:r w:rsidRPr="00576FCC">
        <w:rPr>
          <w:i/>
          <w:sz w:val="18"/>
          <w:szCs w:val="18"/>
        </w:rPr>
        <w:t>F</w:t>
      </w:r>
      <w:r w:rsidRPr="00576FCC">
        <w:rPr>
          <w:sz w:val="18"/>
          <w:szCs w:val="18"/>
        </w:rPr>
        <w:t xml:space="preserve"> statistic, dashed vertical line is cue onset. Right: grand average topographies for each condition.</w:t>
      </w:r>
    </w:p>
    <w:p w14:paraId="42B5DB9C" w14:textId="2A5450F9" w:rsidR="000742DF" w:rsidRPr="006F788B" w:rsidRDefault="00932BEB" w:rsidP="007512FC">
      <w:pPr>
        <w:numPr>
          <w:ilvl w:val="0"/>
          <w:numId w:val="27"/>
        </w:numPr>
        <w:spacing w:after="0" w:line="480" w:lineRule="auto"/>
        <w:rPr>
          <w:sz w:val="18"/>
          <w:szCs w:val="18"/>
        </w:rPr>
      </w:pPr>
      <w:r>
        <w:rPr>
          <w:sz w:val="18"/>
          <w:szCs w:val="18"/>
        </w:rPr>
        <w:t xml:space="preserve">Statistical analysis of the High&gt;Low cue contrast in source-space </w:t>
      </w:r>
      <w:r w:rsidR="00943383" w:rsidRPr="006F788B">
        <w:rPr>
          <w:sz w:val="18"/>
          <w:szCs w:val="18"/>
        </w:rPr>
        <w:t xml:space="preserve">found </w:t>
      </w:r>
      <w:r>
        <w:rPr>
          <w:sz w:val="18"/>
          <w:szCs w:val="18"/>
        </w:rPr>
        <w:t xml:space="preserve">greater </w:t>
      </w:r>
      <w:r w:rsidR="00943383" w:rsidRPr="006F788B">
        <w:rPr>
          <w:sz w:val="18"/>
          <w:szCs w:val="18"/>
        </w:rPr>
        <w:t>early activation of the ventral visual pathway (top: inferior temporal lobe) and late activation of visual, somatosensory and multimodal brain regions represented here in separate colours (for simplification, similar bilateral regions are coloured the same).</w:t>
      </w:r>
    </w:p>
    <w:p w14:paraId="55B6C5FD" w14:textId="7FE3F3A5" w:rsidR="000742DF" w:rsidRPr="006F788B" w:rsidRDefault="00943383" w:rsidP="007512FC">
      <w:pPr>
        <w:numPr>
          <w:ilvl w:val="0"/>
          <w:numId w:val="27"/>
        </w:numPr>
        <w:spacing w:after="0" w:line="480" w:lineRule="auto"/>
        <w:rPr>
          <w:sz w:val="18"/>
          <w:szCs w:val="18"/>
        </w:rPr>
      </w:pPr>
      <w:r w:rsidRPr="006F788B">
        <w:rPr>
          <w:sz w:val="18"/>
          <w:szCs w:val="18"/>
        </w:rPr>
        <w:t>Multivariate pattern analysis (MVPA) weights (top) and their projections (bottom)</w:t>
      </w:r>
      <w:r w:rsidR="00122CB7">
        <w:rPr>
          <w:sz w:val="18"/>
          <w:szCs w:val="18"/>
        </w:rPr>
        <w:t>. Maximal separation occurs between the two cue conditions at 485ms, at which time the topographic map (bottom) shows a posterior scalp distribution of activity that separates the two cues. In both time-course scatter plot, e</w:t>
      </w:r>
      <w:r w:rsidRPr="006F788B">
        <w:rPr>
          <w:sz w:val="18"/>
          <w:szCs w:val="18"/>
        </w:rPr>
        <w:t>ach point is a summarised weight</w:t>
      </w:r>
      <w:r w:rsidR="00122CB7">
        <w:rPr>
          <w:sz w:val="18"/>
          <w:szCs w:val="18"/>
        </w:rPr>
        <w:t xml:space="preserve"> or </w:t>
      </w:r>
      <w:r w:rsidRPr="006F788B">
        <w:rPr>
          <w:sz w:val="18"/>
          <w:szCs w:val="18"/>
        </w:rPr>
        <w:t>projection</w:t>
      </w:r>
      <w:r w:rsidR="00122CB7">
        <w:rPr>
          <w:sz w:val="18"/>
          <w:szCs w:val="18"/>
        </w:rPr>
        <w:t xml:space="preserve"> value (namely, </w:t>
      </w:r>
      <w:r w:rsidRPr="006F788B">
        <w:rPr>
          <w:sz w:val="18"/>
          <w:szCs w:val="18"/>
        </w:rPr>
        <w:t>the mean absolute value over the scalp and within a 10ms window</w:t>
      </w:r>
      <w:r w:rsidR="00122CB7">
        <w:rPr>
          <w:sz w:val="18"/>
          <w:szCs w:val="18"/>
        </w:rPr>
        <w:t>)</w:t>
      </w:r>
      <w:r w:rsidRPr="006F788B">
        <w:rPr>
          <w:sz w:val="18"/>
          <w:szCs w:val="18"/>
        </w:rPr>
        <w:t xml:space="preserve">. Y axis values are normalised to the % contribution, i.e. each </w:t>
      </w:r>
      <w:r w:rsidR="00122CB7">
        <w:rPr>
          <w:sz w:val="18"/>
          <w:szCs w:val="18"/>
        </w:rPr>
        <w:t>data point is</w:t>
      </w:r>
      <w:r w:rsidRPr="006F788B">
        <w:rPr>
          <w:sz w:val="18"/>
          <w:szCs w:val="18"/>
        </w:rPr>
        <w:t xml:space="preserve"> a percentage of the sum of all </w:t>
      </w:r>
      <w:r w:rsidR="00122CB7">
        <w:rPr>
          <w:sz w:val="18"/>
          <w:szCs w:val="18"/>
        </w:rPr>
        <w:t>data points</w:t>
      </w:r>
      <w:r w:rsidRPr="006F788B">
        <w:rPr>
          <w:sz w:val="18"/>
          <w:szCs w:val="18"/>
        </w:rPr>
        <w:t xml:space="preserve"> </w:t>
      </w:r>
      <w:r w:rsidR="00122CB7">
        <w:rPr>
          <w:sz w:val="18"/>
          <w:szCs w:val="18"/>
        </w:rPr>
        <w:t>over time</w:t>
      </w:r>
      <w:r w:rsidRPr="006F788B">
        <w:rPr>
          <w:sz w:val="18"/>
          <w:szCs w:val="18"/>
        </w:rPr>
        <w:t xml:space="preserve">. </w:t>
      </w:r>
    </w:p>
    <w:p w14:paraId="5FD65E57" w14:textId="67D1E684" w:rsidR="000742DF" w:rsidRPr="006F788B" w:rsidRDefault="00943383" w:rsidP="007512FC">
      <w:pPr>
        <w:numPr>
          <w:ilvl w:val="0"/>
          <w:numId w:val="27"/>
        </w:numPr>
        <w:spacing w:after="0" w:line="480" w:lineRule="auto"/>
        <w:rPr>
          <w:sz w:val="18"/>
          <w:szCs w:val="18"/>
        </w:rPr>
      </w:pPr>
      <w:r w:rsidRPr="006F788B">
        <w:rPr>
          <w:sz w:val="18"/>
          <w:szCs w:val="18"/>
        </w:rPr>
        <w:t>Receiver Operating Characteristic (ROC) and MVPA statistics.</w:t>
      </w:r>
      <w:r w:rsidR="00122CB7">
        <w:rPr>
          <w:sz w:val="18"/>
          <w:szCs w:val="18"/>
        </w:rPr>
        <w:t xml:space="preserve"> The</w:t>
      </w:r>
      <w:r w:rsidRPr="006F788B">
        <w:rPr>
          <w:sz w:val="18"/>
          <w:szCs w:val="18"/>
        </w:rPr>
        <w:t xml:space="preserve"> ROC illustrate</w:t>
      </w:r>
      <w:r w:rsidR="00122CB7">
        <w:rPr>
          <w:sz w:val="18"/>
          <w:szCs w:val="18"/>
        </w:rPr>
        <w:t>s</w:t>
      </w:r>
      <w:r w:rsidRPr="006F788B">
        <w:rPr>
          <w:sz w:val="18"/>
          <w:szCs w:val="18"/>
        </w:rPr>
        <w:t xml:space="preserve"> the model sensitivity and specificity by plotting the true positive rate (sensitivity) as a function of false positive rate (1 - model specificity). The area under the curve (AUC) measures how well the model </w:t>
      </w:r>
      <w:r w:rsidR="009B750B">
        <w:rPr>
          <w:sz w:val="18"/>
          <w:szCs w:val="18"/>
        </w:rPr>
        <w:t>classifies the</w:t>
      </w:r>
      <w:r w:rsidRPr="006F788B">
        <w:rPr>
          <w:sz w:val="18"/>
          <w:szCs w:val="18"/>
        </w:rPr>
        <w:t xml:space="preserve"> c</w:t>
      </w:r>
      <w:r w:rsidR="009B750B">
        <w:rPr>
          <w:sz w:val="18"/>
          <w:szCs w:val="18"/>
        </w:rPr>
        <w:t>ue conditions (greater area means better classification).</w:t>
      </w:r>
    </w:p>
    <w:p w14:paraId="772CA3A0" w14:textId="77777777" w:rsidR="006F788B" w:rsidRDefault="006F788B" w:rsidP="007512FC">
      <w:pPr>
        <w:spacing w:line="480" w:lineRule="auto"/>
      </w:pPr>
    </w:p>
    <w:p w14:paraId="2558C1B8" w14:textId="2AFE9ED7" w:rsidR="00C1323A" w:rsidRDefault="00FD609C" w:rsidP="007512FC">
      <w:pPr>
        <w:spacing w:line="480" w:lineRule="auto"/>
      </w:pPr>
      <w:r>
        <w:t>Continuing our analysis of the within-subject aversive valuation effect, w</w:t>
      </w:r>
      <w:r w:rsidR="00C1323A">
        <w:t>e</w:t>
      </w:r>
      <w:r w:rsidR="00EC0BAA">
        <w:t xml:space="preserve"> </w:t>
      </w:r>
      <w:r w:rsidR="00C1323A">
        <w:t>used MVPA to train a classifier on t</w:t>
      </w:r>
      <w:r w:rsidR="00161A47">
        <w:t xml:space="preserve">he High vs. Low cue conditions, which </w:t>
      </w:r>
      <w:r w:rsidR="00C1323A">
        <w:t xml:space="preserve">provided a </w:t>
      </w:r>
      <w:r w:rsidR="00161A47">
        <w:t>69.12</w:t>
      </w:r>
      <w:r w:rsidR="00C1323A">
        <w:t>%</w:t>
      </w:r>
      <w:r w:rsidR="00161A47">
        <w:t xml:space="preserve"> balanced</w:t>
      </w:r>
      <w:r w:rsidR="00C1323A">
        <w:t xml:space="preserve"> accuracy in classifying the two conditio</w:t>
      </w:r>
      <w:r w:rsidR="00161A47">
        <w:t>ns (p = 0.001</w:t>
      </w:r>
      <w:r w:rsidR="00C1323A">
        <w:t xml:space="preserve">). We investigated </w:t>
      </w:r>
      <w:r w:rsidR="005B1D69">
        <w:t>the latencies of</w:t>
      </w:r>
      <w:r w:rsidR="00C1323A">
        <w:t xml:space="preserve"> neural activity contr</w:t>
      </w:r>
      <w:r w:rsidR="005B1D69">
        <w:t>ibuting to this classification, fir</w:t>
      </w:r>
      <w:r w:rsidR="00930870">
        <w:t xml:space="preserve">stly with regard to raw </w:t>
      </w:r>
      <w:bookmarkStart w:id="87" w:name="OLE_LINK60"/>
      <w:bookmarkStart w:id="88" w:name="OLE_LINK61"/>
      <w:r w:rsidR="003574E5">
        <w:t xml:space="preserve">MVPA </w:t>
      </w:r>
      <w:r w:rsidR="00930870">
        <w:t>weights</w:t>
      </w:r>
      <w:r w:rsidR="001C2510">
        <w:t xml:space="preserve"> (</w:t>
      </w:r>
      <w:r w:rsidR="0056215C">
        <w:t>figure</w:t>
      </w:r>
      <w:r w:rsidR="001C2510">
        <w:t xml:space="preserve"> 2C)</w:t>
      </w:r>
      <w:r w:rsidR="003574E5">
        <w:t>, which provide information about spatiotemporal regions contributing the most to classification</w:t>
      </w:r>
      <w:bookmarkEnd w:id="87"/>
      <w:bookmarkEnd w:id="88"/>
      <w:r w:rsidR="00930870">
        <w:t>. In this analysis, t</w:t>
      </w:r>
      <w:r w:rsidR="00930D32">
        <w:t xml:space="preserve">here were moderately strong </w:t>
      </w:r>
      <w:r w:rsidR="00930870">
        <w:t xml:space="preserve">weight </w:t>
      </w:r>
      <w:r w:rsidR="00930D32">
        <w:t>contributions (</w:t>
      </w:r>
      <w:r w:rsidR="00050312">
        <w:t>&gt;</w:t>
      </w:r>
      <w:r w:rsidR="00930D32">
        <w:t xml:space="preserve"> 1 </w:t>
      </w:r>
      <w:r w:rsidR="00050312">
        <w:t>SD from the mean</w:t>
      </w:r>
      <w:r w:rsidR="00930D32">
        <w:t>) acr</w:t>
      </w:r>
      <w:r w:rsidR="00930870">
        <w:t>oss the full time range, with the strongest weight contribution at 455ms post-cue</w:t>
      </w:r>
      <w:r w:rsidR="00050312">
        <w:t xml:space="preserve"> (&gt; 2 SDs from the mean)</w:t>
      </w:r>
      <w:r w:rsidR="00930870">
        <w:t xml:space="preserve">. </w:t>
      </w:r>
      <w:r w:rsidR="001C2510">
        <w:t xml:space="preserve">However, because larger raw weights do not directly imply more class-specific information than lower weights, we </w:t>
      </w:r>
      <w:r w:rsidR="000B40D5">
        <w:t xml:space="preserve">transformed the classifier weights back into activation patterns </w:t>
      </w:r>
      <w:r w:rsidR="000B40D5">
        <w:fldChar w:fldCharType="begin" w:fldLock="1"/>
      </w:r>
      <w:r w:rsidR="00DA76DD">
        <w:instrText>ADDIN CSL_CITATION { "citationItems" : [ { "id" : "ITEM-1", "itemData" : { "DOI" : "10.1016/j.neuroimage.2013.10.067", "ISBN" : "1053-8119", "ISSN" : "10959572", "PMID" : "24239590", "abstract" : "The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 \u00a9 2013 The Authors.", "author" : [ { "dropping-particle" : "", "family" : "Haufe", "given" : "Stefan", "non-dropping-particle" : "", "parse-names" : false, "suffix" : "" }, { "dropping-particle" : "", "family" : "Meinecke", "given" : "Frank", "non-dropping-particle" : "", "parse-names" : false, "suffix" : "" }, { "dropping-particle" : "", "family" : "G\u00f6rgen", "given" : "Kai", "non-dropping-particle" : "", "parse-names" : false, "suffix" : "" }, { "dropping-particle" : "", "family" : "D\u00e4hne", "given" : "Sven", "non-dropping-particle" : "", "parse-names" : false, "suffix" : "" }, { "dropping-particle" : "", "family" : "Haynes", "given" : "John Dylan", "non-dropping-particle" : "", "parse-names" : false, "suffix" : "" }, { "dropping-particle" : "", "family" : "Blankertz", "given" : "Benjamin", "non-dropping-particle" : "", "parse-names" : false, "suffix" : "" }, { "dropping-particle" : "", "family" : "Bie\u00dfmann", "given" : "Felix", "non-dropping-particle" : "", "parse-names" : false, "suffix" : "" } ], "container-title" : "NeuroImage", "id" : "ITEM-1", "issued" : { "date-parts" : [ [ "2014" ] ] }, "page" : "96-110", "title" : "On the interpretation of weight vectors of linear models in multivariate neuroimaging", "type" : "article-journal", "volume" : "87" }, "uris" : [ "http://www.mendeley.com/documents/?uuid=7918baed-bf6b-4534-92cf-9ea0045f2043" ] } ], "mendeley" : { "formattedCitation" : "(Haufe et al., 2014)", "plainTextFormattedCitation" : "(Haufe et al., 2014)", "previouslyFormattedCitation" : "(Haufe et al., 2014)" }, "properties" : {  }, "schema" : "https://github.com/citation-style-language/schema/raw/master/csl-citation.json" }</w:instrText>
      </w:r>
      <w:r w:rsidR="000B40D5">
        <w:fldChar w:fldCharType="separate"/>
      </w:r>
      <w:r w:rsidR="005B5DFF" w:rsidRPr="005B5DFF">
        <w:rPr>
          <w:noProof/>
        </w:rPr>
        <w:t>(Haufe et al., 2014)</w:t>
      </w:r>
      <w:r w:rsidR="000B40D5">
        <w:fldChar w:fldCharType="end"/>
      </w:r>
      <w:r w:rsidR="001C2510">
        <w:t>, providing an interpretable time-course (</w:t>
      </w:r>
      <w:r w:rsidR="0056215C">
        <w:t>figure</w:t>
      </w:r>
      <w:r w:rsidR="001C2510">
        <w:t xml:space="preserve"> 2C</w:t>
      </w:r>
      <w:r w:rsidR="00050312">
        <w:t>, bottom</w:t>
      </w:r>
      <w:r w:rsidR="001C2510">
        <w:t>)</w:t>
      </w:r>
      <w:r w:rsidR="00930870">
        <w:t>.</w:t>
      </w:r>
      <w:r w:rsidR="00CD0B06">
        <w:t xml:space="preserve"> </w:t>
      </w:r>
      <w:r w:rsidR="00DF705A">
        <w:t xml:space="preserve">This shows </w:t>
      </w:r>
      <w:r w:rsidR="00CD0B06">
        <w:t>latencies</w:t>
      </w:r>
      <w:r w:rsidR="00DF705A">
        <w:t xml:space="preserve"> </w:t>
      </w:r>
      <w:r w:rsidR="00CD0B06">
        <w:t>with</w:t>
      </w:r>
      <w:r w:rsidR="00DF705A">
        <w:t xml:space="preserve"> the largest condition differences described by the classification</w:t>
      </w:r>
      <w:r w:rsidR="00546922">
        <w:t>, and produced a time-cours</w:t>
      </w:r>
      <w:r w:rsidR="00CD0B06">
        <w:t xml:space="preserve">e distinct from the original ERP with a </w:t>
      </w:r>
      <w:r w:rsidR="00546922">
        <w:t xml:space="preserve">steady increase up to a </w:t>
      </w:r>
      <w:r w:rsidR="00CD0B06">
        <w:t>maximum at 485ms. The t</w:t>
      </w:r>
      <w:r w:rsidR="00C1323A" w:rsidRPr="00CD0B06">
        <w:t xml:space="preserve">opographic projections of the weights across the scalp at 485ms </w:t>
      </w:r>
      <w:r w:rsidR="00C07F16">
        <w:t xml:space="preserve">(figure 2C) </w:t>
      </w:r>
      <w:r w:rsidR="00C1323A" w:rsidRPr="00CD0B06">
        <w:t xml:space="preserve">showed a mid-posterior positivity and frontal negativity, </w:t>
      </w:r>
      <w:r w:rsidR="00CD0B06">
        <w:t>reminiscent of (but not identical to) the ERP</w:t>
      </w:r>
      <w:r w:rsidR="00C1323A" w:rsidRPr="00CD0B06">
        <w:t xml:space="preserve"> topography </w:t>
      </w:r>
      <w:r w:rsidR="00CD0B06">
        <w:t>at this latency (</w:t>
      </w:r>
      <w:r w:rsidR="0056215C">
        <w:t>figure</w:t>
      </w:r>
      <w:r w:rsidR="00CD0B06">
        <w:t xml:space="preserve"> 2A</w:t>
      </w:r>
      <w:r w:rsidR="00C1323A" w:rsidRPr="00CD0B06">
        <w:t xml:space="preserve">). </w:t>
      </w:r>
    </w:p>
    <w:p w14:paraId="590C7B5F" w14:textId="56906E36" w:rsidR="00C1323A" w:rsidRDefault="00C1323A" w:rsidP="007512FC">
      <w:pPr>
        <w:spacing w:line="480" w:lineRule="auto"/>
      </w:pPr>
      <w:r>
        <w:t xml:space="preserve">Having characterised the within-subject aversive valuation effect, we now turn our attention to group effects on neural activity in </w:t>
      </w:r>
      <w:r w:rsidR="00B0523F">
        <w:t xml:space="preserve">the 1500ms following </w:t>
      </w:r>
      <w:r>
        <w:t>the</w:t>
      </w:r>
      <w:r w:rsidR="00B0523F">
        <w:t xml:space="preserve"> initial</w:t>
      </w:r>
      <w:r>
        <w:t xml:space="preserve"> cue</w:t>
      </w:r>
      <w:r w:rsidR="00FD609C">
        <w:t xml:space="preserve"> </w:t>
      </w:r>
      <w:r w:rsidR="00546922">
        <w:t>(</w:t>
      </w:r>
      <w:r w:rsidR="0056215C">
        <w:t>figure</w:t>
      </w:r>
      <w:r w:rsidR="00546922">
        <w:t xml:space="preserve"> 3)</w:t>
      </w:r>
      <w:r>
        <w:t xml:space="preserve">. Univariate sensor analysis results show a main effect of group (high PC &gt; low PC, across both cue conditions) at a mid-to-late latency range; two spatiotemporal sensor clusters were identified with the </w:t>
      </w:r>
      <w:r w:rsidR="00546922">
        <w:t>range of 242ms to 604ms,</w:t>
      </w:r>
      <w:r>
        <w:t xml:space="preserve"> with greater activity in the high PC gr</w:t>
      </w:r>
      <w:r w:rsidR="00546922">
        <w:t>oup (</w:t>
      </w:r>
      <w:r w:rsidR="0056215C">
        <w:t>figure</w:t>
      </w:r>
      <w:r w:rsidR="00546922">
        <w:t xml:space="preserve"> 3A). Topographic maps</w:t>
      </w:r>
      <w:r>
        <w:t xml:space="preserve"> show that these two clusters correspond to concurrently occurring positive and negative polarities. Source analysis on this time range</w:t>
      </w:r>
      <w:r w:rsidR="00E40B97">
        <w:t xml:space="preserve"> (</w:t>
      </w:r>
      <w:r w:rsidR="0056215C">
        <w:t>figure</w:t>
      </w:r>
      <w:r w:rsidR="00E40B97">
        <w:t xml:space="preserve"> 3B)</w:t>
      </w:r>
      <w:r>
        <w:t xml:space="preserve"> locates the activity to </w:t>
      </w:r>
      <w:r w:rsidR="00546922">
        <w:t xml:space="preserve">superior and inferior </w:t>
      </w:r>
      <w:r>
        <w:t>parietal lobe</w:t>
      </w:r>
      <w:r w:rsidR="00546922">
        <w:t xml:space="preserve"> and occipital lobe</w:t>
      </w:r>
      <w:r>
        <w:t xml:space="preserve"> bilaterally</w:t>
      </w:r>
      <w:r w:rsidR="00546922">
        <w:t>, in addition to mid-cingulate cortex</w:t>
      </w:r>
      <w:r>
        <w:t xml:space="preserve">. </w:t>
      </w:r>
      <w:r w:rsidR="00093BE9">
        <w:t>T</w:t>
      </w:r>
      <w:r>
        <w:t>he group effects therefore overlap b</w:t>
      </w:r>
      <w:r w:rsidR="00546922">
        <w:t>oth temporally (in the range 362ms to 5</w:t>
      </w:r>
      <w:r>
        <w:t>0</w:t>
      </w:r>
      <w:r w:rsidR="00546922">
        <w:t>2</w:t>
      </w:r>
      <w:r>
        <w:t>ms) and spatially (in the parietal lobes)</w:t>
      </w:r>
      <w:r w:rsidR="001D5EC1">
        <w:t xml:space="preserve"> with the aversive valuation effect (high vs. low cues)</w:t>
      </w:r>
    </w:p>
    <w:p w14:paraId="3D5D6876" w14:textId="7DE0F072" w:rsidR="00306439" w:rsidRDefault="00C57FE1" w:rsidP="007512FC">
      <w:pPr>
        <w:spacing w:line="480" w:lineRule="auto"/>
      </w:pPr>
      <w:r w:rsidRPr="00C57F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57FE1">
        <w:rPr>
          <w:noProof/>
        </w:rPr>
        <w:drawing>
          <wp:inline distT="0" distB="0" distL="0" distR="0" wp14:anchorId="07AC9FBC" wp14:editId="6DF12DB1">
            <wp:extent cx="5731510" cy="4184025"/>
            <wp:effectExtent l="0" t="0" r="2540" b="6985"/>
            <wp:docPr id="8" name="Picture 8" descr="C:\Users\Chris\Google Drive\1. Liverpool University\Publications\Cata anticipation 2017\Figures_Tables\Figures_v2\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Google Drive\1. Liverpool University\Publications\Cata anticipation 2017\Figures_Tables\Figures_v2\Slid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84025"/>
                    </a:xfrm>
                    <a:prstGeom prst="rect">
                      <a:avLst/>
                    </a:prstGeom>
                    <a:noFill/>
                    <a:ln>
                      <a:noFill/>
                    </a:ln>
                  </pic:spPr>
                </pic:pic>
              </a:graphicData>
            </a:graphic>
          </wp:inline>
        </w:drawing>
      </w:r>
    </w:p>
    <w:p w14:paraId="50595FA7" w14:textId="0143F498" w:rsidR="00306439" w:rsidRPr="00306439" w:rsidRDefault="00306439" w:rsidP="007512FC">
      <w:pPr>
        <w:spacing w:after="0" w:line="480" w:lineRule="auto"/>
        <w:rPr>
          <w:sz w:val="18"/>
          <w:szCs w:val="18"/>
        </w:rPr>
      </w:pPr>
      <w:r w:rsidRPr="00306439">
        <w:rPr>
          <w:b/>
          <w:bCs/>
          <w:sz w:val="18"/>
          <w:szCs w:val="18"/>
        </w:rPr>
        <w:t xml:space="preserve">Figure 3: Group </w:t>
      </w:r>
      <w:r w:rsidR="00C57FE1">
        <w:rPr>
          <w:b/>
          <w:bCs/>
          <w:sz w:val="18"/>
          <w:szCs w:val="18"/>
        </w:rPr>
        <w:t>differences in</w:t>
      </w:r>
      <w:r w:rsidRPr="00306439">
        <w:rPr>
          <w:b/>
          <w:bCs/>
          <w:sz w:val="18"/>
          <w:szCs w:val="18"/>
        </w:rPr>
        <w:t xml:space="preserve"> cue processing</w:t>
      </w:r>
      <w:r w:rsidR="00F63BFA">
        <w:rPr>
          <w:b/>
          <w:bCs/>
          <w:sz w:val="18"/>
          <w:szCs w:val="18"/>
        </w:rPr>
        <w:t xml:space="preserve"> (</w:t>
      </w:r>
      <w:r w:rsidR="00F63BFA" w:rsidRPr="00F63BFA">
        <w:rPr>
          <w:b/>
          <w:bCs/>
          <w:sz w:val="18"/>
          <w:szCs w:val="18"/>
        </w:rPr>
        <w:t>low PC</w:t>
      </w:r>
      <w:r w:rsidR="00F63BFA">
        <w:rPr>
          <w:b/>
          <w:bCs/>
          <w:sz w:val="18"/>
          <w:szCs w:val="18"/>
        </w:rPr>
        <w:t>:</w:t>
      </w:r>
      <w:r w:rsidR="00F63BFA" w:rsidRPr="00F63BFA">
        <w:rPr>
          <w:b/>
          <w:bCs/>
          <w:sz w:val="18"/>
          <w:szCs w:val="18"/>
        </w:rPr>
        <w:t xml:space="preserve"> </w:t>
      </w:r>
      <w:r w:rsidR="00F63BFA">
        <w:rPr>
          <w:b/>
          <w:bCs/>
          <w:sz w:val="18"/>
          <w:szCs w:val="18"/>
        </w:rPr>
        <w:t>N=</w:t>
      </w:r>
      <w:r w:rsidR="00F63BFA" w:rsidRPr="00F63BFA">
        <w:rPr>
          <w:b/>
          <w:bCs/>
          <w:sz w:val="18"/>
          <w:szCs w:val="18"/>
        </w:rPr>
        <w:t>18, high PC</w:t>
      </w:r>
      <w:r w:rsidR="00F63BFA">
        <w:rPr>
          <w:b/>
          <w:bCs/>
          <w:sz w:val="18"/>
          <w:szCs w:val="18"/>
        </w:rPr>
        <w:t>:</w:t>
      </w:r>
      <w:r w:rsidR="00F63BFA" w:rsidRPr="00F63BFA">
        <w:rPr>
          <w:b/>
          <w:bCs/>
          <w:sz w:val="18"/>
          <w:szCs w:val="18"/>
        </w:rPr>
        <w:t xml:space="preserve"> </w:t>
      </w:r>
      <w:r w:rsidR="00F63BFA">
        <w:rPr>
          <w:b/>
          <w:bCs/>
          <w:sz w:val="18"/>
          <w:szCs w:val="18"/>
        </w:rPr>
        <w:t>N=</w:t>
      </w:r>
      <w:r w:rsidR="00F63BFA" w:rsidRPr="00F63BFA">
        <w:rPr>
          <w:b/>
          <w:bCs/>
          <w:sz w:val="18"/>
          <w:szCs w:val="18"/>
        </w:rPr>
        <w:t>16</w:t>
      </w:r>
      <w:r w:rsidR="00F63BFA">
        <w:rPr>
          <w:b/>
          <w:bCs/>
          <w:sz w:val="18"/>
          <w:szCs w:val="18"/>
        </w:rPr>
        <w:t>)</w:t>
      </w:r>
      <w:r w:rsidRPr="00306439">
        <w:rPr>
          <w:b/>
          <w:bCs/>
          <w:sz w:val="18"/>
          <w:szCs w:val="18"/>
        </w:rPr>
        <w:t>.</w:t>
      </w:r>
    </w:p>
    <w:p w14:paraId="0FB75C51" w14:textId="4D283009" w:rsidR="000742DF" w:rsidRPr="00306439" w:rsidRDefault="00943383" w:rsidP="007512FC">
      <w:pPr>
        <w:numPr>
          <w:ilvl w:val="0"/>
          <w:numId w:val="28"/>
        </w:numPr>
        <w:spacing w:after="0" w:line="480" w:lineRule="auto"/>
        <w:rPr>
          <w:sz w:val="18"/>
          <w:szCs w:val="18"/>
        </w:rPr>
      </w:pPr>
      <w:r w:rsidRPr="00306439">
        <w:rPr>
          <w:sz w:val="18"/>
          <w:szCs w:val="18"/>
        </w:rPr>
        <w:t xml:space="preserve">Univariate sensor analysis found </w:t>
      </w:r>
      <w:r w:rsidR="00D946C8">
        <w:rPr>
          <w:sz w:val="18"/>
          <w:szCs w:val="18"/>
        </w:rPr>
        <w:t>two</w:t>
      </w:r>
      <w:r w:rsidR="00D946C8" w:rsidRPr="00306439">
        <w:rPr>
          <w:sz w:val="18"/>
          <w:szCs w:val="18"/>
        </w:rPr>
        <w:t xml:space="preserve"> </w:t>
      </w:r>
      <w:r w:rsidRPr="00306439">
        <w:rPr>
          <w:sz w:val="18"/>
          <w:szCs w:val="18"/>
        </w:rPr>
        <w:t xml:space="preserve">statistical clusters in the main effect of group. Clusters ss5 and ss6 are positive and negative polarities of the same ERP components during the time window of 242ms to 604ms. </w:t>
      </w:r>
    </w:p>
    <w:p w14:paraId="085D5051" w14:textId="6CA6530E" w:rsidR="000742DF" w:rsidRPr="00306439" w:rsidRDefault="00943383" w:rsidP="007512FC">
      <w:pPr>
        <w:numPr>
          <w:ilvl w:val="0"/>
          <w:numId w:val="28"/>
        </w:numPr>
        <w:spacing w:after="0" w:line="480" w:lineRule="auto"/>
        <w:rPr>
          <w:sz w:val="18"/>
          <w:szCs w:val="18"/>
        </w:rPr>
      </w:pPr>
      <w:r w:rsidRPr="00306439">
        <w:rPr>
          <w:sz w:val="18"/>
          <w:szCs w:val="18"/>
        </w:rPr>
        <w:t xml:space="preserve">Source analysis found greater activation of occipital, parietal and cingulate cortex during cue processing in the </w:t>
      </w:r>
      <w:r w:rsidR="00FD609C">
        <w:rPr>
          <w:sz w:val="18"/>
          <w:szCs w:val="18"/>
        </w:rPr>
        <w:t xml:space="preserve">contrast of </w:t>
      </w:r>
      <w:r w:rsidRPr="00306439">
        <w:rPr>
          <w:sz w:val="18"/>
          <w:szCs w:val="18"/>
        </w:rPr>
        <w:t xml:space="preserve">High PC </w:t>
      </w:r>
      <w:r w:rsidR="00FD609C">
        <w:rPr>
          <w:sz w:val="18"/>
          <w:szCs w:val="18"/>
        </w:rPr>
        <w:t xml:space="preserve">&gt; Low PC </w:t>
      </w:r>
      <w:r w:rsidRPr="00306439">
        <w:rPr>
          <w:sz w:val="18"/>
          <w:szCs w:val="18"/>
        </w:rPr>
        <w:t>group.</w:t>
      </w:r>
    </w:p>
    <w:p w14:paraId="7EDEF270" w14:textId="3738FDB1" w:rsidR="000742DF" w:rsidRPr="00306439" w:rsidRDefault="00943383" w:rsidP="007512FC">
      <w:pPr>
        <w:numPr>
          <w:ilvl w:val="0"/>
          <w:numId w:val="28"/>
        </w:numPr>
        <w:spacing w:after="0" w:line="480" w:lineRule="auto"/>
        <w:rPr>
          <w:sz w:val="18"/>
          <w:szCs w:val="18"/>
        </w:rPr>
      </w:pPr>
      <w:r w:rsidRPr="00306439">
        <w:rPr>
          <w:sz w:val="18"/>
          <w:szCs w:val="18"/>
        </w:rPr>
        <w:t>Multivariate pattern analysis (MVPA) weights (top) and their projections (bottom) summarised within 10ms windows</w:t>
      </w:r>
      <w:r w:rsidR="00FD609C">
        <w:rPr>
          <w:sz w:val="18"/>
          <w:szCs w:val="18"/>
        </w:rPr>
        <w:t xml:space="preserve"> showing that neural activity maximally classifying the groups (at 495ms) occurs with a posterior scalp distribution.</w:t>
      </w:r>
    </w:p>
    <w:p w14:paraId="4A07A9AC" w14:textId="749BCD07" w:rsidR="000742DF" w:rsidRPr="00306439" w:rsidRDefault="00943383" w:rsidP="007512FC">
      <w:pPr>
        <w:numPr>
          <w:ilvl w:val="0"/>
          <w:numId w:val="28"/>
        </w:numPr>
        <w:spacing w:after="0" w:line="480" w:lineRule="auto"/>
        <w:rPr>
          <w:sz w:val="18"/>
          <w:szCs w:val="18"/>
        </w:rPr>
      </w:pPr>
      <w:r w:rsidRPr="00306439">
        <w:rPr>
          <w:sz w:val="18"/>
          <w:szCs w:val="18"/>
        </w:rPr>
        <w:t>Receiver Operating Characteristic (ROC) and MVPA statistics</w:t>
      </w:r>
      <w:r w:rsidR="00FD609C">
        <w:rPr>
          <w:sz w:val="18"/>
          <w:szCs w:val="18"/>
        </w:rPr>
        <w:t xml:space="preserve"> </w:t>
      </w:r>
      <w:r w:rsidRPr="00306439">
        <w:rPr>
          <w:sz w:val="18"/>
          <w:szCs w:val="18"/>
        </w:rPr>
        <w:t xml:space="preserve">for classification </w:t>
      </w:r>
      <w:r w:rsidR="00FD609C">
        <w:rPr>
          <w:sz w:val="18"/>
          <w:szCs w:val="18"/>
        </w:rPr>
        <w:t>of group membership using</w:t>
      </w:r>
      <w:r w:rsidRPr="00306439">
        <w:rPr>
          <w:sz w:val="18"/>
          <w:szCs w:val="18"/>
        </w:rPr>
        <w:t xml:space="preserve"> </w:t>
      </w:r>
      <w:r w:rsidR="00FD609C">
        <w:rPr>
          <w:sz w:val="18"/>
          <w:szCs w:val="18"/>
        </w:rPr>
        <w:t xml:space="preserve">the </w:t>
      </w:r>
      <w:r w:rsidRPr="00306439">
        <w:rPr>
          <w:sz w:val="18"/>
          <w:szCs w:val="18"/>
        </w:rPr>
        <w:t xml:space="preserve">high cue </w:t>
      </w:r>
      <w:r w:rsidR="00FD609C">
        <w:rPr>
          <w:sz w:val="18"/>
          <w:szCs w:val="18"/>
        </w:rPr>
        <w:t>condition only</w:t>
      </w:r>
      <w:r w:rsidRPr="00306439">
        <w:rPr>
          <w:sz w:val="18"/>
          <w:szCs w:val="18"/>
        </w:rPr>
        <w:t>. AUC: Area under the ROC curve.</w:t>
      </w:r>
    </w:p>
    <w:p w14:paraId="23051669" w14:textId="08EA4DE7" w:rsidR="000742DF" w:rsidRPr="00306439" w:rsidRDefault="0087535C" w:rsidP="007512FC">
      <w:pPr>
        <w:numPr>
          <w:ilvl w:val="0"/>
          <w:numId w:val="28"/>
        </w:numPr>
        <w:spacing w:after="0" w:line="480" w:lineRule="auto"/>
        <w:rPr>
          <w:sz w:val="18"/>
          <w:szCs w:val="18"/>
        </w:rPr>
      </w:pPr>
      <w:r>
        <w:rPr>
          <w:sz w:val="18"/>
          <w:szCs w:val="18"/>
        </w:rPr>
        <w:t>U</w:t>
      </w:r>
      <w:r w:rsidR="00943383" w:rsidRPr="00306439">
        <w:rPr>
          <w:sz w:val="18"/>
          <w:szCs w:val="18"/>
        </w:rPr>
        <w:t>nivariate sensor analysis</w:t>
      </w:r>
      <w:r>
        <w:rPr>
          <w:sz w:val="18"/>
          <w:szCs w:val="18"/>
        </w:rPr>
        <w:t xml:space="preserve"> of the interaction between group and cue type</w:t>
      </w:r>
      <w:r w:rsidR="00943383" w:rsidRPr="00306439">
        <w:rPr>
          <w:sz w:val="18"/>
          <w:szCs w:val="18"/>
        </w:rPr>
        <w:t xml:space="preserve"> found a statistical cluster during the time window of 1334ms to 1440ms, resulting from a group difference in processing High cues but not Low cues.</w:t>
      </w:r>
    </w:p>
    <w:p w14:paraId="15397557" w14:textId="71629312" w:rsidR="000742DF" w:rsidRPr="00306439" w:rsidRDefault="00943383" w:rsidP="007512FC">
      <w:pPr>
        <w:numPr>
          <w:ilvl w:val="0"/>
          <w:numId w:val="28"/>
        </w:numPr>
        <w:spacing w:after="0" w:line="480" w:lineRule="auto"/>
        <w:rPr>
          <w:sz w:val="18"/>
          <w:szCs w:val="18"/>
        </w:rPr>
      </w:pPr>
      <w:r w:rsidRPr="00306439">
        <w:rPr>
          <w:sz w:val="18"/>
          <w:szCs w:val="18"/>
        </w:rPr>
        <w:t xml:space="preserve">Source analysis found interaction effects in superior frontal-parietal cortex and cingulate cortex resulting from greater processing of High </w:t>
      </w:r>
      <w:r w:rsidR="0087535C">
        <w:rPr>
          <w:sz w:val="18"/>
          <w:szCs w:val="18"/>
        </w:rPr>
        <w:t xml:space="preserve">(vs. Low) </w:t>
      </w:r>
      <w:r w:rsidRPr="00306439">
        <w:rPr>
          <w:sz w:val="18"/>
          <w:szCs w:val="18"/>
        </w:rPr>
        <w:t xml:space="preserve">cues in the </w:t>
      </w:r>
      <w:proofErr w:type="gramStart"/>
      <w:r w:rsidRPr="00306439">
        <w:rPr>
          <w:sz w:val="18"/>
          <w:szCs w:val="18"/>
        </w:rPr>
        <w:t>High</w:t>
      </w:r>
      <w:proofErr w:type="gramEnd"/>
      <w:r w:rsidRPr="00306439">
        <w:rPr>
          <w:sz w:val="18"/>
          <w:szCs w:val="18"/>
        </w:rPr>
        <w:t xml:space="preserve"> </w:t>
      </w:r>
      <w:r w:rsidR="0087535C">
        <w:rPr>
          <w:sz w:val="18"/>
          <w:szCs w:val="18"/>
        </w:rPr>
        <w:t xml:space="preserve">(vs. Low) </w:t>
      </w:r>
      <w:r w:rsidRPr="00306439">
        <w:rPr>
          <w:sz w:val="18"/>
          <w:szCs w:val="18"/>
        </w:rPr>
        <w:t>PC group.</w:t>
      </w:r>
    </w:p>
    <w:p w14:paraId="5857511D" w14:textId="4834E0B5" w:rsidR="00306439" w:rsidRPr="00306439" w:rsidRDefault="00306439" w:rsidP="007512FC">
      <w:pPr>
        <w:spacing w:after="0" w:line="480" w:lineRule="auto"/>
        <w:rPr>
          <w:sz w:val="18"/>
          <w:szCs w:val="18"/>
        </w:rPr>
      </w:pPr>
      <w:r w:rsidRPr="00306439">
        <w:rPr>
          <w:sz w:val="18"/>
          <w:szCs w:val="18"/>
        </w:rPr>
        <w:t xml:space="preserve">See </w:t>
      </w:r>
      <w:r w:rsidR="0056215C">
        <w:rPr>
          <w:sz w:val="18"/>
          <w:szCs w:val="18"/>
        </w:rPr>
        <w:t>figure</w:t>
      </w:r>
      <w:r w:rsidRPr="00306439">
        <w:rPr>
          <w:sz w:val="18"/>
          <w:szCs w:val="18"/>
        </w:rPr>
        <w:t xml:space="preserve"> 2 legend for further details of the plots.</w:t>
      </w:r>
    </w:p>
    <w:p w14:paraId="06119287" w14:textId="77777777" w:rsidR="00306439" w:rsidRDefault="00306439" w:rsidP="007512FC">
      <w:pPr>
        <w:spacing w:line="480" w:lineRule="auto"/>
      </w:pPr>
    </w:p>
    <w:p w14:paraId="605AD928" w14:textId="6971F37F" w:rsidR="00C1323A" w:rsidRDefault="00C1323A" w:rsidP="007512FC">
      <w:pPr>
        <w:spacing w:line="480" w:lineRule="auto"/>
      </w:pPr>
      <w:r>
        <w:t xml:space="preserve">Interaction </w:t>
      </w:r>
      <w:r w:rsidRPr="00F612E1">
        <w:rPr>
          <w:i/>
        </w:rPr>
        <w:t>F</w:t>
      </w:r>
      <w:r>
        <w:t xml:space="preserve"> contrasts from the general linear model revealed </w:t>
      </w:r>
      <w:r w:rsidR="00E40B97">
        <w:t>a spatiotemporal cluster in the ultra-late latency range</w:t>
      </w:r>
      <w:r>
        <w:t xml:space="preserve"> from </w:t>
      </w:r>
      <w:r w:rsidR="00E40B97">
        <w:t>1334ms</w:t>
      </w:r>
      <w:r>
        <w:t xml:space="preserve"> to </w:t>
      </w:r>
      <w:r w:rsidR="00E40B97">
        <w:t>1440ms</w:t>
      </w:r>
      <w:r>
        <w:t xml:space="preserve">, characterised by greater </w:t>
      </w:r>
      <w:r w:rsidR="00E40B97">
        <w:t>group differences (</w:t>
      </w:r>
      <w:r>
        <w:t>high PC</w:t>
      </w:r>
      <w:r w:rsidR="00E40B97">
        <w:t xml:space="preserve"> &gt; low PC</w:t>
      </w:r>
      <w:r>
        <w:t xml:space="preserve"> group</w:t>
      </w:r>
      <w:r w:rsidR="00E40B97">
        <w:t xml:space="preserve">) in the high cue compared to the low cue </w:t>
      </w:r>
      <w:r w:rsidR="00050312">
        <w:t>conditions</w:t>
      </w:r>
      <w:r w:rsidR="00250AFD">
        <w:t xml:space="preserve"> (</w:t>
      </w:r>
      <w:r w:rsidR="0056215C">
        <w:t>figure</w:t>
      </w:r>
      <w:r w:rsidR="00E40B97">
        <w:t xml:space="preserve"> 3E</w:t>
      </w:r>
      <w:r w:rsidR="00250AFD">
        <w:t>)</w:t>
      </w:r>
      <w:r w:rsidR="00E40B97">
        <w:t>. This</w:t>
      </w:r>
      <w:r>
        <w:t xml:space="preserve"> </w:t>
      </w:r>
      <w:r w:rsidR="00E40B97">
        <w:t>latency window</w:t>
      </w:r>
      <w:r>
        <w:t xml:space="preserve"> </w:t>
      </w:r>
      <w:r w:rsidR="00E40B97">
        <w:t>is considerably</w:t>
      </w:r>
      <w:r>
        <w:t xml:space="preserve"> later than that </w:t>
      </w:r>
      <w:r w:rsidR="0087535C">
        <w:t xml:space="preserve">found in the analysis of </w:t>
      </w:r>
      <w:r w:rsidR="00250AFD">
        <w:t>the</w:t>
      </w:r>
      <w:r w:rsidR="00E40B97">
        <w:t xml:space="preserve"> </w:t>
      </w:r>
      <w:r w:rsidR="00050312">
        <w:t>main effect</w:t>
      </w:r>
      <w:r w:rsidR="0087535C">
        <w:t xml:space="preserve"> of</w:t>
      </w:r>
      <w:r w:rsidR="0087535C" w:rsidRPr="0087535C">
        <w:t xml:space="preserve"> </w:t>
      </w:r>
      <w:r w:rsidR="0087535C">
        <w:t xml:space="preserve">group. Visually, as depicted in figure 3E, the interaction appears to arise from </w:t>
      </w:r>
      <w:r>
        <w:t>a</w:t>
      </w:r>
      <w:r w:rsidR="0087535C">
        <w:t xml:space="preserve"> </w:t>
      </w:r>
      <w:r>
        <w:t xml:space="preserve">group </w:t>
      </w:r>
      <w:r w:rsidR="0087535C">
        <w:t>difference</w:t>
      </w:r>
      <w:r>
        <w:t xml:space="preserve"> </w:t>
      </w:r>
      <w:r w:rsidR="0087535C">
        <w:t>after low cues</w:t>
      </w:r>
      <w:r>
        <w:t xml:space="preserve"> </w:t>
      </w:r>
      <w:r w:rsidR="0087535C">
        <w:t>at</w:t>
      </w:r>
      <w:r w:rsidR="00E40B97">
        <w:t xml:space="preserve"> mid-</w:t>
      </w:r>
      <w:r w:rsidR="0087535C">
        <w:t>latencies (roughly, 300-400ms)</w:t>
      </w:r>
      <w:r>
        <w:t xml:space="preserve">, but </w:t>
      </w:r>
      <w:r w:rsidR="0087535C">
        <w:t>no</w:t>
      </w:r>
      <w:r>
        <w:t xml:space="preserve"> group effect thereafter; </w:t>
      </w:r>
      <w:r w:rsidR="0087535C">
        <w:t>whereas, after high cues</w:t>
      </w:r>
      <w:r>
        <w:t xml:space="preserve">, </w:t>
      </w:r>
      <w:r w:rsidR="0087535C">
        <w:t xml:space="preserve">a similar </w:t>
      </w:r>
      <w:r>
        <w:t xml:space="preserve">group effect </w:t>
      </w:r>
      <w:r w:rsidR="0087535C">
        <w:t xml:space="preserve">at mid-latencies </w:t>
      </w:r>
      <w:r>
        <w:t>persist</w:t>
      </w:r>
      <w:r w:rsidR="0087535C">
        <w:t>s</w:t>
      </w:r>
      <w:r>
        <w:t xml:space="preserve"> </w:t>
      </w:r>
      <w:r w:rsidR="0087535C">
        <w:t>into</w:t>
      </w:r>
      <w:r>
        <w:t xml:space="preserve"> the</w:t>
      </w:r>
      <w:r w:rsidR="00E40B97">
        <w:t xml:space="preserve"> ultra-late </w:t>
      </w:r>
      <w:r w:rsidR="0087535C">
        <w:t>time window</w:t>
      </w:r>
      <w:r w:rsidR="00E40B97">
        <w:t>. (I</w:t>
      </w:r>
      <w:r>
        <w:t xml:space="preserve">n the next section, we investigate whether this </w:t>
      </w:r>
      <w:r w:rsidR="00E40B97">
        <w:t>suggests more persistent expectancy processes that might carry</w:t>
      </w:r>
      <w:r>
        <w:t xml:space="preserve"> over to </w:t>
      </w:r>
      <w:r w:rsidR="00E40B97">
        <w:t>affect</w:t>
      </w:r>
      <w:r>
        <w:t xml:space="preserve"> nociceptive processing</w:t>
      </w:r>
      <w:r w:rsidR="00E40B97">
        <w:t>)</w:t>
      </w:r>
      <w:r>
        <w:t>.</w:t>
      </w:r>
      <w:r w:rsidR="00E40B97">
        <w:t xml:space="preserve"> </w:t>
      </w:r>
      <w:r>
        <w:t xml:space="preserve">We identified sources of these interaction effects as </w:t>
      </w:r>
      <w:r w:rsidR="00E40B97">
        <w:t xml:space="preserve">originating from superior parietal lobes, </w:t>
      </w:r>
      <w:proofErr w:type="spellStart"/>
      <w:r w:rsidR="00E40B97">
        <w:t>precuneus</w:t>
      </w:r>
      <w:proofErr w:type="spellEnd"/>
      <w:r w:rsidR="00E40B97">
        <w:t>, superior frontal lobes (supplementary motor a</w:t>
      </w:r>
      <w:r w:rsidR="00050312">
        <w:t>rea) and mid-cingulate cortex (</w:t>
      </w:r>
      <w:r w:rsidR="0056215C">
        <w:t>figure</w:t>
      </w:r>
      <w:r w:rsidR="00E40B97">
        <w:t xml:space="preserve"> 3F).</w:t>
      </w:r>
    </w:p>
    <w:p w14:paraId="5F8DCD6F" w14:textId="19C7B984" w:rsidR="00017915" w:rsidRDefault="00C1323A" w:rsidP="007512FC">
      <w:pPr>
        <w:spacing w:line="480" w:lineRule="auto"/>
        <w:rPr>
          <w:color w:val="000000" w:themeColor="text1"/>
        </w:rPr>
      </w:pPr>
      <w:r>
        <w:t xml:space="preserve">MVPA </w:t>
      </w:r>
      <w:r w:rsidR="000D6606">
        <w:t xml:space="preserve">results show general agreement with the above univariate results when assessing which spatiotemporal characteristics of the EEG data </w:t>
      </w:r>
      <w:r>
        <w:t>classify</w:t>
      </w:r>
      <w:r w:rsidR="000D6606">
        <w:t xml:space="preserve"> the two</w:t>
      </w:r>
      <w:r>
        <w:t xml:space="preserve"> groups</w:t>
      </w:r>
      <w:r w:rsidR="000D6606">
        <w:t xml:space="preserve"> (figure 3</w:t>
      </w:r>
      <w:r w:rsidR="004B49AB">
        <w:t>C</w:t>
      </w:r>
      <w:r w:rsidR="000D6606">
        <w:t>). Additionally, as a multivariate method, MVPA takes into account d</w:t>
      </w:r>
      <w:r w:rsidR="004F44A1">
        <w:t>ependencies over time and space, and</w:t>
      </w:r>
      <w:r w:rsidR="000D6606">
        <w:t xml:space="preserve"> provides spatiotemporal patterns classifying the two group</w:t>
      </w:r>
      <w:r w:rsidR="004F44A1">
        <w:t>s</w:t>
      </w:r>
      <w:r w:rsidR="000D6606">
        <w:t xml:space="preserve"> that we later compare to the patterns classifying the two cue conditions. Firstly, t</w:t>
      </w:r>
      <w:r w:rsidR="000D1521">
        <w:t xml:space="preserve">wo </w:t>
      </w:r>
      <w:r>
        <w:t>MVPA analyses</w:t>
      </w:r>
      <w:r w:rsidR="000D1521">
        <w:t xml:space="preserve"> were </w:t>
      </w:r>
      <w:r w:rsidR="000D6606">
        <w:t xml:space="preserve">conducted </w:t>
      </w:r>
      <w:r w:rsidR="000D1521">
        <w:t xml:space="preserve">to </w:t>
      </w:r>
      <w:r w:rsidR="000D6606">
        <w:t>find out if</w:t>
      </w:r>
      <w:r w:rsidR="000D1521">
        <w:t xml:space="preserve"> </w:t>
      </w:r>
      <w:r w:rsidR="000D6606">
        <w:t xml:space="preserve">successful group classification </w:t>
      </w:r>
      <w:r w:rsidR="000D1521">
        <w:t>depend</w:t>
      </w:r>
      <w:r w:rsidR="000D6606">
        <w:t>s on</w:t>
      </w:r>
      <w:r w:rsidR="000D1521">
        <w:t xml:space="preserve"> </w:t>
      </w:r>
      <w:r w:rsidR="00847D7B">
        <w:t>what EEG data is used</w:t>
      </w:r>
      <w:r w:rsidR="000D1521">
        <w:t xml:space="preserve"> </w:t>
      </w:r>
      <w:r w:rsidR="00847D7B">
        <w:t xml:space="preserve">– here </w:t>
      </w:r>
      <w:r w:rsidR="004F44A1">
        <w:t>we look at results using data f</w:t>
      </w:r>
      <w:r w:rsidR="00847D7B">
        <w:t>r</w:t>
      </w:r>
      <w:r w:rsidR="004F44A1">
        <w:t>o</w:t>
      </w:r>
      <w:r w:rsidR="00847D7B">
        <w:t>m high and low cue conditions separately</w:t>
      </w:r>
      <w:r w:rsidR="000D1521">
        <w:t>. Interestingly, g</w:t>
      </w:r>
      <w:r w:rsidRPr="00411B4A">
        <w:t xml:space="preserve">roup </w:t>
      </w:r>
      <w:r>
        <w:t>was</w:t>
      </w:r>
      <w:r w:rsidRPr="00411B4A">
        <w:t xml:space="preserve"> decoded </w:t>
      </w:r>
      <w:r w:rsidR="000D1521">
        <w:t xml:space="preserve">from </w:t>
      </w:r>
      <w:r w:rsidR="00847D7B">
        <w:t>h</w:t>
      </w:r>
      <w:r w:rsidR="000D1521">
        <w:t xml:space="preserve">igh cue </w:t>
      </w:r>
      <w:r w:rsidRPr="00A55868">
        <w:t>conditions (64.</w:t>
      </w:r>
      <w:r w:rsidR="00A55868" w:rsidRPr="00A55868">
        <w:t>58</w:t>
      </w:r>
      <w:r w:rsidRPr="00A55868">
        <w:t>%</w:t>
      </w:r>
      <w:r w:rsidR="00F612E1">
        <w:t xml:space="preserve"> </w:t>
      </w:r>
      <w:r w:rsidR="00F612E1" w:rsidRPr="00A55868">
        <w:t>balanced accuracy</w:t>
      </w:r>
      <w:r w:rsidRPr="00A55868">
        <w:t>, p=0.00</w:t>
      </w:r>
      <w:r w:rsidR="00A55868" w:rsidRPr="00A55868">
        <w:t>10</w:t>
      </w:r>
      <w:r w:rsidR="000D1521" w:rsidRPr="00A55868">
        <w:t xml:space="preserve">, </w:t>
      </w:r>
      <w:r w:rsidR="0056215C">
        <w:t>figure</w:t>
      </w:r>
      <w:r w:rsidR="000D1521" w:rsidRPr="00A55868">
        <w:t xml:space="preserve"> 3D</w:t>
      </w:r>
      <w:r w:rsidRPr="00A55868">
        <w:t xml:space="preserve">) but not from </w:t>
      </w:r>
      <w:r w:rsidR="00847D7B">
        <w:t>l</w:t>
      </w:r>
      <w:r w:rsidR="000D1521" w:rsidRPr="00A55868">
        <w:t>ow cue conditions</w:t>
      </w:r>
      <w:r w:rsidRPr="00A55868">
        <w:t xml:space="preserve"> (</w:t>
      </w:r>
      <w:r w:rsidR="00A55868" w:rsidRPr="00A55868">
        <w:t>37.85</w:t>
      </w:r>
      <w:r w:rsidRPr="00A55868">
        <w:t>%</w:t>
      </w:r>
      <w:r w:rsidR="00A55868" w:rsidRPr="00A55868">
        <w:t xml:space="preserve"> </w:t>
      </w:r>
      <w:bookmarkStart w:id="89" w:name="OLE_LINK17"/>
      <w:r w:rsidR="00A55868" w:rsidRPr="00A55868">
        <w:t>balanced accuracy</w:t>
      </w:r>
      <w:bookmarkEnd w:id="89"/>
      <w:r w:rsidR="00A55868" w:rsidRPr="00A55868">
        <w:t>, p=.9964</w:t>
      </w:r>
      <w:r w:rsidR="00847D7B">
        <w:t>, not shown as a figure</w:t>
      </w:r>
      <w:r w:rsidRPr="00A55868">
        <w:t>).</w:t>
      </w:r>
      <w:r w:rsidR="00941D02">
        <w:t xml:space="preserve"> </w:t>
      </w:r>
      <w:r w:rsidR="00930D32">
        <w:t>For the successful classification</w:t>
      </w:r>
      <w:r w:rsidR="00941D02">
        <w:t xml:space="preserve"> using </w:t>
      </w:r>
      <w:r w:rsidR="00017915">
        <w:t>h</w:t>
      </w:r>
      <w:r w:rsidR="00941D02">
        <w:t>igh cue conditions</w:t>
      </w:r>
      <w:r w:rsidR="00930D32">
        <w:t xml:space="preserve">, </w:t>
      </w:r>
      <w:r w:rsidR="00941D02">
        <w:t>relatively early latencies (185ms to 245ms post-cue) contributed strongly</w:t>
      </w:r>
      <w:r w:rsidR="00930D32">
        <w:t xml:space="preserve"> to the weights (greater than 2 standard deviations from the mean weight contribution) with</w:t>
      </w:r>
      <w:r w:rsidR="00941D02">
        <w:t xml:space="preserve"> the greatest weight (&gt;3SD) at 235ms post cue (</w:t>
      </w:r>
      <w:r w:rsidR="0056215C">
        <w:t>figure</w:t>
      </w:r>
      <w:r w:rsidR="00941D02">
        <w:t xml:space="preserve"> 3C, top). However, as previously discussed, such weights might not be physiologically meaningful</w:t>
      </w:r>
      <w:r w:rsidR="004F44A1">
        <w:t>; for example they may reflect suppression of noise to improve the classification</w:t>
      </w:r>
      <w:r w:rsidR="00941D02">
        <w:t>.</w:t>
      </w:r>
      <w:r w:rsidR="00941D02">
        <w:rPr>
          <w:color w:val="000000" w:themeColor="text1"/>
        </w:rPr>
        <w:t xml:space="preserve"> Hence, we analysed </w:t>
      </w:r>
      <w:r w:rsidRPr="00677B65">
        <w:rPr>
          <w:color w:val="000000" w:themeColor="text1"/>
        </w:rPr>
        <w:t>the time-course of weight projection</w:t>
      </w:r>
      <w:r w:rsidR="00941D02">
        <w:rPr>
          <w:color w:val="000000" w:themeColor="text1"/>
        </w:rPr>
        <w:t>s</w:t>
      </w:r>
      <w:r w:rsidRPr="00677B65">
        <w:rPr>
          <w:color w:val="000000" w:themeColor="text1"/>
        </w:rPr>
        <w:t xml:space="preserve"> contributing to this classifica</w:t>
      </w:r>
      <w:r w:rsidR="00941D02">
        <w:rPr>
          <w:color w:val="000000" w:themeColor="text1"/>
        </w:rPr>
        <w:t>tion (</w:t>
      </w:r>
      <w:r w:rsidR="0056215C">
        <w:rPr>
          <w:color w:val="000000" w:themeColor="text1"/>
        </w:rPr>
        <w:t>figure</w:t>
      </w:r>
      <w:r w:rsidR="00941D02">
        <w:rPr>
          <w:color w:val="000000" w:themeColor="text1"/>
        </w:rPr>
        <w:t xml:space="preserve"> 3C, bottom</w:t>
      </w:r>
      <w:r w:rsidRPr="00677B65">
        <w:rPr>
          <w:color w:val="000000" w:themeColor="text1"/>
        </w:rPr>
        <w:t xml:space="preserve">) </w:t>
      </w:r>
      <w:r w:rsidR="00941D02">
        <w:rPr>
          <w:color w:val="000000" w:themeColor="text1"/>
        </w:rPr>
        <w:t xml:space="preserve">which showed a very </w:t>
      </w:r>
      <w:r w:rsidRPr="00677B65">
        <w:rPr>
          <w:color w:val="000000" w:themeColor="text1"/>
        </w:rPr>
        <w:t xml:space="preserve">similar </w:t>
      </w:r>
      <w:r w:rsidR="00941D02">
        <w:rPr>
          <w:color w:val="000000" w:themeColor="text1"/>
        </w:rPr>
        <w:t xml:space="preserve">temporal profile to the weight projections </w:t>
      </w:r>
      <w:r w:rsidRPr="00677B65">
        <w:rPr>
          <w:color w:val="000000" w:themeColor="text1"/>
        </w:rPr>
        <w:t xml:space="preserve">contributing to classification of </w:t>
      </w:r>
      <w:r w:rsidR="00941D02">
        <w:rPr>
          <w:color w:val="000000" w:themeColor="text1"/>
        </w:rPr>
        <w:t xml:space="preserve">the cue </w:t>
      </w:r>
      <w:r w:rsidRPr="00677B65">
        <w:rPr>
          <w:color w:val="000000" w:themeColor="text1"/>
        </w:rPr>
        <w:t>conditions (</w:t>
      </w:r>
      <w:r w:rsidR="0056215C">
        <w:rPr>
          <w:color w:val="000000" w:themeColor="text1"/>
        </w:rPr>
        <w:t>figure</w:t>
      </w:r>
      <w:r w:rsidR="00941D02">
        <w:rPr>
          <w:color w:val="000000" w:themeColor="text1"/>
        </w:rPr>
        <w:t xml:space="preserve"> 2C)</w:t>
      </w:r>
      <w:r w:rsidRPr="00677B65">
        <w:rPr>
          <w:color w:val="000000" w:themeColor="text1"/>
        </w:rPr>
        <w:t>, with</w:t>
      </w:r>
      <w:r>
        <w:rPr>
          <w:color w:val="000000" w:themeColor="text1"/>
        </w:rPr>
        <w:t xml:space="preserve"> the largest response at </w:t>
      </w:r>
      <w:r w:rsidR="00A55868">
        <w:rPr>
          <w:color w:val="000000" w:themeColor="text1"/>
        </w:rPr>
        <w:t>49</w:t>
      </w:r>
      <w:r w:rsidR="00A55868" w:rsidRPr="00A55868">
        <w:rPr>
          <w:color w:val="000000" w:themeColor="text1"/>
        </w:rPr>
        <w:t>5</w:t>
      </w:r>
      <w:r w:rsidRPr="00A55868">
        <w:rPr>
          <w:color w:val="000000" w:themeColor="text1"/>
        </w:rPr>
        <w:t>ms</w:t>
      </w:r>
      <w:r w:rsidR="00941D02" w:rsidRPr="00A55868">
        <w:rPr>
          <w:color w:val="000000" w:themeColor="text1"/>
        </w:rPr>
        <w:t xml:space="preserve">. </w:t>
      </w:r>
      <w:r w:rsidR="00017915" w:rsidRPr="00A55868">
        <w:t xml:space="preserve">The topography of the group weight projection at </w:t>
      </w:r>
      <w:r w:rsidR="00017915">
        <w:t>49</w:t>
      </w:r>
      <w:r w:rsidR="00017915" w:rsidRPr="00A55868">
        <w:t>5ms also showed a</w:t>
      </w:r>
      <w:r w:rsidR="00017915">
        <w:t xml:space="preserve"> similar distribution to that classifying the cue conditions</w:t>
      </w:r>
      <w:r w:rsidR="00017915" w:rsidRPr="00C67618">
        <w:t>.</w:t>
      </w:r>
    </w:p>
    <w:p w14:paraId="62557017" w14:textId="378A7115" w:rsidR="00C1323A" w:rsidRDefault="00C519BB" w:rsidP="007512FC">
      <w:pPr>
        <w:spacing w:line="480" w:lineRule="auto"/>
      </w:pPr>
      <w:r>
        <w:t>The above observations of a close spatiotemporal relationship between weight projections classifying groups</w:t>
      </w:r>
      <w:r w:rsidR="00F612E1">
        <w:t xml:space="preserve"> on the one hand,</w:t>
      </w:r>
      <w:r>
        <w:t xml:space="preserve"> and those classifying aversive value </w:t>
      </w:r>
      <w:r w:rsidR="00F612E1">
        <w:t xml:space="preserve">on the other, </w:t>
      </w:r>
      <w:r>
        <w:t xml:space="preserve">points to the possibility that </w:t>
      </w:r>
      <w:r w:rsidR="00C1323A" w:rsidRPr="00604241">
        <w:rPr>
          <w:i/>
        </w:rPr>
        <w:t xml:space="preserve">neural representations that successfully decode groups can be partially explained by representations of </w:t>
      </w:r>
      <w:r w:rsidRPr="00604241">
        <w:rPr>
          <w:i/>
        </w:rPr>
        <w:t>aversive value</w:t>
      </w:r>
      <w:r w:rsidR="00C1323A">
        <w:t xml:space="preserve">. </w:t>
      </w:r>
      <w:r w:rsidR="004E5CFA">
        <w:t>Indeed, further regression analyses support this view. T</w:t>
      </w:r>
      <w:r>
        <w:t>hree</w:t>
      </w:r>
      <w:r w:rsidR="00C1323A">
        <w:t xml:space="preserve"> regression analyses were conducted on MVPA </w:t>
      </w:r>
      <w:r>
        <w:t xml:space="preserve">raw </w:t>
      </w:r>
      <w:r w:rsidR="00C1323A">
        <w:t>weight matrices</w:t>
      </w:r>
      <w:bookmarkStart w:id="90" w:name="OLE_LINK28"/>
      <w:bookmarkStart w:id="91" w:name="OLE_LINK29"/>
      <w:bookmarkStart w:id="92" w:name="OLE_LINK20"/>
      <w:r>
        <w:t xml:space="preserve"> (</w:t>
      </w:r>
      <w:r w:rsidR="0056215C">
        <w:t>figure</w:t>
      </w:r>
      <w:r>
        <w:t xml:space="preserve"> 4)</w:t>
      </w:r>
      <w:r w:rsidR="00C1323A">
        <w:t xml:space="preserve">. Firstly, we found that variance in the weight </w:t>
      </w:r>
      <w:r w:rsidR="00934A6C">
        <w:t>matrix that successfully decoded the</w:t>
      </w:r>
      <w:r w:rsidR="00C1323A">
        <w:t xml:space="preserve"> group</w:t>
      </w:r>
      <w:r w:rsidR="00934A6C">
        <w:t>s</w:t>
      </w:r>
      <w:r w:rsidR="00C1323A">
        <w:t xml:space="preserve"> was not explained by variance in the weight matrix </w:t>
      </w:r>
      <w:r w:rsidR="00C1323A" w:rsidRPr="00392146">
        <w:t xml:space="preserve">decoding </w:t>
      </w:r>
      <w:r w:rsidR="00934A6C" w:rsidRPr="00392146">
        <w:t xml:space="preserve">the cue </w:t>
      </w:r>
      <w:r w:rsidR="00C1323A" w:rsidRPr="00392146">
        <w:t>condition</w:t>
      </w:r>
      <w:r w:rsidR="00934A6C" w:rsidRPr="00392146">
        <w:t>s</w:t>
      </w:r>
      <w:r w:rsidR="00C1323A" w:rsidRPr="00392146">
        <w:t xml:space="preserve"> when both groups’ EEG data was used in the </w:t>
      </w:r>
      <w:r w:rsidR="00712CDD" w:rsidRPr="00392146">
        <w:t>cue-</w:t>
      </w:r>
      <w:r w:rsidR="00C1323A" w:rsidRPr="00392146">
        <w:t xml:space="preserve">condition classification analysis </w:t>
      </w:r>
      <w:bookmarkStart w:id="93" w:name="OLE_LINK44"/>
      <w:bookmarkStart w:id="94" w:name="OLE_LINK45"/>
      <w:bookmarkStart w:id="95" w:name="OLE_LINK46"/>
      <w:r w:rsidR="00392146" w:rsidRPr="00392146">
        <w:t>(R</w:t>
      </w:r>
      <w:r w:rsidR="00392146" w:rsidRPr="00392146">
        <w:rPr>
          <w:vertAlign w:val="superscript"/>
        </w:rPr>
        <w:t>2</w:t>
      </w:r>
      <w:r w:rsidR="00392146" w:rsidRPr="00392146">
        <w:t xml:space="preserve"> = 0.0056</w:t>
      </w:r>
      <w:r w:rsidR="00C1323A" w:rsidRPr="00392146">
        <w:t>, p=</w:t>
      </w:r>
      <w:r w:rsidR="00392146" w:rsidRPr="00392146">
        <w:t>0.612</w:t>
      </w:r>
      <w:r w:rsidR="00C1323A" w:rsidRPr="00392146">
        <w:t xml:space="preserve">). </w:t>
      </w:r>
      <w:bookmarkEnd w:id="93"/>
      <w:bookmarkEnd w:id="94"/>
      <w:bookmarkEnd w:id="95"/>
      <w:r w:rsidR="00C1323A" w:rsidRPr="00392146">
        <w:t xml:space="preserve">However, </w:t>
      </w:r>
      <w:r w:rsidR="00712CDD" w:rsidRPr="00392146">
        <w:t>as an alternative predictor variable, when we instead utilised the weight matrix from</w:t>
      </w:r>
      <w:r w:rsidR="00C1323A" w:rsidRPr="00392146">
        <w:t xml:space="preserve"> classifying </w:t>
      </w:r>
      <w:r w:rsidR="00712CDD" w:rsidRPr="00392146">
        <w:t>cue-conditions using only</w:t>
      </w:r>
      <w:r w:rsidR="00C1323A" w:rsidRPr="00392146">
        <w:t xml:space="preserve"> the high PC group</w:t>
      </w:r>
      <w:r w:rsidR="00712CDD" w:rsidRPr="00392146">
        <w:t>’s data</w:t>
      </w:r>
      <w:r w:rsidR="00C1323A" w:rsidRPr="00392146">
        <w:t>, there was significant prediction of the variance in t</w:t>
      </w:r>
      <w:r w:rsidR="00712CDD" w:rsidRPr="00392146">
        <w:t>he group classification weights (</w:t>
      </w:r>
      <w:r w:rsidR="00392146" w:rsidRPr="00392146">
        <w:t>R</w:t>
      </w:r>
      <w:r w:rsidR="00392146" w:rsidRPr="00392146">
        <w:rPr>
          <w:vertAlign w:val="superscript"/>
        </w:rPr>
        <w:t>2</w:t>
      </w:r>
      <w:r w:rsidR="00392146" w:rsidRPr="00392146">
        <w:t xml:space="preserve"> = 0.2785, p=0.005</w:t>
      </w:r>
      <w:r w:rsidR="00712CDD" w:rsidRPr="00392146">
        <w:t>). In the third regression, the cue-classification weights from the low PC group did not predict the group classification weights</w:t>
      </w:r>
      <w:r w:rsidR="00041684" w:rsidRPr="00392146">
        <w:t xml:space="preserve"> (</w:t>
      </w:r>
      <w:r w:rsidR="00392146" w:rsidRPr="00392146">
        <w:t>R</w:t>
      </w:r>
      <w:r w:rsidR="00392146" w:rsidRPr="00392146">
        <w:rPr>
          <w:vertAlign w:val="superscript"/>
        </w:rPr>
        <w:t>2</w:t>
      </w:r>
      <w:r w:rsidR="00392146" w:rsidRPr="00392146">
        <w:t xml:space="preserve"> = 0.0004, p=0.9). </w:t>
      </w:r>
      <w:r w:rsidR="00C1323A" w:rsidRPr="00392146">
        <w:t xml:space="preserve">Hence, aversive value encoding </w:t>
      </w:r>
      <w:r w:rsidR="00712CDD" w:rsidRPr="00392146">
        <w:t>as expressed specifically in</w:t>
      </w:r>
      <w:r w:rsidR="00C1323A" w:rsidRPr="00392146">
        <w:t xml:space="preserve"> the high PC group</w:t>
      </w:r>
      <w:r w:rsidR="00712CDD" w:rsidRPr="00392146">
        <w:t>, but not in the low PC group,</w:t>
      </w:r>
      <w:r w:rsidR="00C1323A" w:rsidRPr="00392146">
        <w:t xml:space="preserve"> partially explains the pattern that decodes group membership.</w:t>
      </w:r>
      <w:bookmarkEnd w:id="90"/>
      <w:bookmarkEnd w:id="91"/>
      <w:bookmarkEnd w:id="92"/>
    </w:p>
    <w:p w14:paraId="4C856ECB" w14:textId="601B1281" w:rsidR="00306439" w:rsidRDefault="0038442D" w:rsidP="007512FC">
      <w:pPr>
        <w:spacing w:line="480" w:lineRule="auto"/>
      </w:pPr>
      <w:r w:rsidRPr="003844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442D">
        <w:rPr>
          <w:noProof/>
        </w:rPr>
        <w:drawing>
          <wp:inline distT="0" distB="0" distL="0" distR="0" wp14:anchorId="61A12E7C" wp14:editId="7CDE735A">
            <wp:extent cx="5295675" cy="2162908"/>
            <wp:effectExtent l="0" t="0" r="635" b="8890"/>
            <wp:docPr id="9" name="Picture 9" descr="C:\Users\Chris\Google Drive\1. Liverpool University\Publications\Cata anticipation 2017\Figures_Tables\Figures_v2\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Google Drive\1. Liverpool University\Publications\Cata anticipation 2017\Figures_Tables\Figures_v2\Slid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7621" cy="2163703"/>
                    </a:xfrm>
                    <a:prstGeom prst="rect">
                      <a:avLst/>
                    </a:prstGeom>
                    <a:noFill/>
                    <a:ln>
                      <a:noFill/>
                    </a:ln>
                  </pic:spPr>
                </pic:pic>
              </a:graphicData>
            </a:graphic>
          </wp:inline>
        </w:drawing>
      </w:r>
    </w:p>
    <w:p w14:paraId="294FF5F1" w14:textId="5E95EF48" w:rsidR="00306439" w:rsidRPr="00306439" w:rsidRDefault="00306439" w:rsidP="007512FC">
      <w:pPr>
        <w:spacing w:line="480" w:lineRule="auto"/>
        <w:rPr>
          <w:sz w:val="18"/>
          <w:szCs w:val="18"/>
        </w:rPr>
      </w:pPr>
      <w:r w:rsidRPr="00306439">
        <w:rPr>
          <w:b/>
          <w:bCs/>
          <w:sz w:val="18"/>
          <w:szCs w:val="18"/>
        </w:rPr>
        <w:t xml:space="preserve">Figure 4: Predicting group classifier weights from cue classifier weights. </w:t>
      </w:r>
      <w:r w:rsidRPr="00306439">
        <w:rPr>
          <w:sz w:val="18"/>
          <w:szCs w:val="18"/>
        </w:rPr>
        <w:t>Group classifier weights (y axis) are plotted against cue valuation weights (x axis). Cue classifier weights (x axis) are compared from three classification models: when classifying cues from both groups’ data (left) or fro</w:t>
      </w:r>
      <w:r w:rsidR="00392146">
        <w:rPr>
          <w:sz w:val="18"/>
          <w:szCs w:val="18"/>
        </w:rPr>
        <w:t>m each group separately (middle and</w:t>
      </w:r>
      <w:r w:rsidRPr="00306439">
        <w:rPr>
          <w:sz w:val="18"/>
          <w:szCs w:val="18"/>
        </w:rPr>
        <w:t xml:space="preserve"> right).</w:t>
      </w:r>
    </w:p>
    <w:p w14:paraId="0E249C3F" w14:textId="77777777" w:rsidR="00306439" w:rsidRDefault="00306439" w:rsidP="007512FC">
      <w:pPr>
        <w:spacing w:line="480" w:lineRule="auto"/>
      </w:pPr>
    </w:p>
    <w:p w14:paraId="02BA04E4" w14:textId="24F96821" w:rsidR="00C1323A" w:rsidRDefault="00C1323A" w:rsidP="007512FC">
      <w:pPr>
        <w:pStyle w:val="Heading2"/>
        <w:spacing w:line="480" w:lineRule="auto"/>
      </w:pPr>
      <w:r>
        <w:t xml:space="preserve">Is pain </w:t>
      </w:r>
      <w:r w:rsidR="00940531">
        <w:t>catastrophiz</w:t>
      </w:r>
      <w:r>
        <w:t>ing characterised by prior pain expectancy effects on nociception?</w:t>
      </w:r>
    </w:p>
    <w:p w14:paraId="5F3FAEF8" w14:textId="77777777" w:rsidR="003750B9" w:rsidRDefault="00C1323A" w:rsidP="007512FC">
      <w:pPr>
        <w:spacing w:line="480" w:lineRule="auto"/>
      </w:pPr>
      <w:r>
        <w:t xml:space="preserve">We addressed this second question using the same methodology as in the previous section, except analyses were conducted on the post-stimulus Laser-Evoked Potential (LEP). </w:t>
      </w:r>
      <w:r w:rsidR="003750B9">
        <w:t xml:space="preserve">However, as explicated in the following paragraphs, these analyses did not yield group differences. </w:t>
      </w:r>
    </w:p>
    <w:p w14:paraId="355A4CD6" w14:textId="29283B22" w:rsidR="00C1323A" w:rsidRDefault="00520F14" w:rsidP="007512FC">
      <w:pPr>
        <w:spacing w:line="480" w:lineRule="auto"/>
      </w:pPr>
      <w:r>
        <w:t>As a preliminary step, we conducted univariate and multivariate analysis on the LEP to identify spatiotemporal representations of pain intensity</w:t>
      </w:r>
      <w:r w:rsidR="00354F42">
        <w:t xml:space="preserve"> (Contrast 2, figure 1C)</w:t>
      </w:r>
      <w:r>
        <w:t xml:space="preserve">; this acted as validation of the analysis methods for the study as a whole, </w:t>
      </w:r>
      <w:r w:rsidR="00FC1F6F">
        <w:t>by enabling comparison of the</w:t>
      </w:r>
      <w:r>
        <w:t xml:space="preserve"> latencies and sources of LEP components </w:t>
      </w:r>
      <w:r w:rsidR="00FC1F6F">
        <w:t>in this study to those found in previous research</w:t>
      </w:r>
      <w:r>
        <w:t xml:space="preserve">. </w:t>
      </w:r>
      <w:r w:rsidR="00B36188">
        <w:t xml:space="preserve">These findings are in </w:t>
      </w:r>
      <w:r w:rsidR="00354F42">
        <w:t>s</w:t>
      </w:r>
      <w:r w:rsidR="00B36188">
        <w:t xml:space="preserve">upplementary </w:t>
      </w:r>
      <w:r w:rsidR="00354F42">
        <w:t>r</w:t>
      </w:r>
      <w:r w:rsidR="00B36188">
        <w:t>esults and figure 5 A-D and are not referred to further here. I</w:t>
      </w:r>
      <w:r>
        <w:t>n this current section</w:t>
      </w:r>
      <w:r w:rsidR="00277124">
        <w:t>,</w:t>
      </w:r>
      <w:r w:rsidR="00C1323A">
        <w:t xml:space="preserve"> we</w:t>
      </w:r>
      <w:r w:rsidR="00B36188">
        <w:t xml:space="preserve"> instead</w:t>
      </w:r>
      <w:r>
        <w:t xml:space="preserve"> focus on the investigation of</w:t>
      </w:r>
      <w:r w:rsidR="00C1323A">
        <w:t xml:space="preserve"> the effects of prior pain expectation </w:t>
      </w:r>
      <w:r w:rsidR="002D6C0C">
        <w:t>on LEP</w:t>
      </w:r>
      <w:r w:rsidR="00277124">
        <w:t xml:space="preserve"> responses to medium intensity stimuli (</w:t>
      </w:r>
      <w:r w:rsidR="00354F42">
        <w:t>C</w:t>
      </w:r>
      <w:r w:rsidR="00F612E1">
        <w:t>ontrast</w:t>
      </w:r>
      <w:r w:rsidR="00354F42">
        <w:t xml:space="preserve"> 3</w:t>
      </w:r>
      <w:r w:rsidR="00F612E1">
        <w:t xml:space="preserve"> shown in </w:t>
      </w:r>
      <w:r w:rsidR="0056215C">
        <w:t>figure</w:t>
      </w:r>
      <w:r w:rsidR="00277124">
        <w:t xml:space="preserve"> 1</w:t>
      </w:r>
      <w:r w:rsidR="00354F42">
        <w:t>C</w:t>
      </w:r>
      <w:r w:rsidR="00277124">
        <w:t>)</w:t>
      </w:r>
      <w:r w:rsidR="00C1323A">
        <w:t xml:space="preserve"> and </w:t>
      </w:r>
      <w:r w:rsidR="00277124">
        <w:t>whether this effect wa</w:t>
      </w:r>
      <w:r w:rsidR="00C1323A">
        <w:t>s augmented in the high PC group.</w:t>
      </w:r>
    </w:p>
    <w:p w14:paraId="4E23A702" w14:textId="02D7C688" w:rsidR="00773551" w:rsidRDefault="00AA7794" w:rsidP="007512FC">
      <w:pPr>
        <w:spacing w:line="480" w:lineRule="auto"/>
      </w:pPr>
      <w:r w:rsidRPr="00AA77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6442" w:rsidRPr="004B6442">
        <w:rPr>
          <w:noProof/>
        </w:rPr>
        <w:drawing>
          <wp:inline distT="0" distB="0" distL="0" distR="0" wp14:anchorId="56280447" wp14:editId="434963AF">
            <wp:extent cx="5731510" cy="4964762"/>
            <wp:effectExtent l="0" t="0" r="2540" b="7620"/>
            <wp:docPr id="4" name="Picture 4" descr="C:\Users\Chris\Google Drive\1. Liverpool University\Publications\Cata anticipation 2017\Figures_Tables\Figures_v2\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Google Drive\1. Liverpool University\Publications\Cata anticipation 2017\Figures_Tables\Figures_v2\FIG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964762"/>
                    </a:xfrm>
                    <a:prstGeom prst="rect">
                      <a:avLst/>
                    </a:prstGeom>
                    <a:noFill/>
                    <a:ln>
                      <a:noFill/>
                    </a:ln>
                  </pic:spPr>
                </pic:pic>
              </a:graphicData>
            </a:graphic>
          </wp:inline>
        </w:drawing>
      </w:r>
    </w:p>
    <w:p w14:paraId="640383E5" w14:textId="4174BE93" w:rsidR="00773551" w:rsidRPr="00773551" w:rsidRDefault="00773551" w:rsidP="007512FC">
      <w:pPr>
        <w:spacing w:after="0" w:line="480" w:lineRule="auto"/>
        <w:rPr>
          <w:sz w:val="18"/>
          <w:szCs w:val="18"/>
        </w:rPr>
      </w:pPr>
      <w:r w:rsidRPr="00773551">
        <w:rPr>
          <w:b/>
          <w:bCs/>
          <w:sz w:val="18"/>
          <w:szCs w:val="18"/>
        </w:rPr>
        <w:t>Figure 5: Effects of laser intensity</w:t>
      </w:r>
      <w:r w:rsidR="000F2828">
        <w:rPr>
          <w:b/>
          <w:bCs/>
          <w:sz w:val="18"/>
          <w:szCs w:val="18"/>
        </w:rPr>
        <w:t xml:space="preserve"> (contrast 2</w:t>
      </w:r>
      <w:r w:rsidR="00F63BFA">
        <w:rPr>
          <w:b/>
          <w:bCs/>
          <w:sz w:val="18"/>
          <w:szCs w:val="18"/>
        </w:rPr>
        <w:t>, N=34</w:t>
      </w:r>
      <w:r w:rsidR="000F2828">
        <w:rPr>
          <w:b/>
          <w:bCs/>
          <w:sz w:val="18"/>
          <w:szCs w:val="18"/>
        </w:rPr>
        <w:t>)</w:t>
      </w:r>
      <w:r w:rsidRPr="00773551">
        <w:rPr>
          <w:b/>
          <w:bCs/>
          <w:sz w:val="18"/>
          <w:szCs w:val="18"/>
        </w:rPr>
        <w:t xml:space="preserve"> and </w:t>
      </w:r>
      <w:r w:rsidR="00DC3D61">
        <w:rPr>
          <w:b/>
          <w:bCs/>
          <w:sz w:val="18"/>
          <w:szCs w:val="18"/>
        </w:rPr>
        <w:t xml:space="preserve">prior </w:t>
      </w:r>
      <w:r w:rsidRPr="00773551">
        <w:rPr>
          <w:b/>
          <w:bCs/>
          <w:sz w:val="18"/>
          <w:szCs w:val="18"/>
        </w:rPr>
        <w:t xml:space="preserve">expectation </w:t>
      </w:r>
      <w:r w:rsidR="000F2828">
        <w:rPr>
          <w:b/>
          <w:bCs/>
          <w:sz w:val="18"/>
          <w:szCs w:val="18"/>
        </w:rPr>
        <w:t>(</w:t>
      </w:r>
      <w:r w:rsidR="00354F42">
        <w:rPr>
          <w:b/>
          <w:bCs/>
          <w:sz w:val="18"/>
          <w:szCs w:val="18"/>
        </w:rPr>
        <w:t>C</w:t>
      </w:r>
      <w:r w:rsidR="000F2828">
        <w:rPr>
          <w:b/>
          <w:bCs/>
          <w:sz w:val="18"/>
          <w:szCs w:val="18"/>
        </w:rPr>
        <w:t>ontrast 3</w:t>
      </w:r>
      <w:r w:rsidR="00F63BFA">
        <w:rPr>
          <w:b/>
          <w:bCs/>
          <w:sz w:val="18"/>
          <w:szCs w:val="18"/>
        </w:rPr>
        <w:t>, N=34</w:t>
      </w:r>
      <w:r w:rsidR="000F2828">
        <w:rPr>
          <w:b/>
          <w:bCs/>
          <w:sz w:val="18"/>
          <w:szCs w:val="18"/>
        </w:rPr>
        <w:t xml:space="preserve">) </w:t>
      </w:r>
      <w:r w:rsidRPr="00773551">
        <w:rPr>
          <w:b/>
          <w:bCs/>
          <w:sz w:val="18"/>
          <w:szCs w:val="18"/>
        </w:rPr>
        <w:t>on nociceptive processing.</w:t>
      </w:r>
    </w:p>
    <w:p w14:paraId="75E7E10C" w14:textId="4195F222" w:rsidR="000742DF" w:rsidRPr="00773551" w:rsidRDefault="00943383" w:rsidP="007512FC">
      <w:pPr>
        <w:numPr>
          <w:ilvl w:val="0"/>
          <w:numId w:val="29"/>
        </w:numPr>
        <w:spacing w:after="0" w:line="480" w:lineRule="auto"/>
        <w:rPr>
          <w:sz w:val="18"/>
          <w:szCs w:val="18"/>
        </w:rPr>
      </w:pPr>
      <w:r w:rsidRPr="00773551">
        <w:rPr>
          <w:sz w:val="18"/>
          <w:szCs w:val="18"/>
        </w:rPr>
        <w:t>Univariate sensor analysis found three statistical clusters from increasing laser intensity</w:t>
      </w:r>
      <w:r w:rsidR="00FC1F6F">
        <w:rPr>
          <w:sz w:val="18"/>
          <w:szCs w:val="18"/>
        </w:rPr>
        <w:t xml:space="preserve"> (medium&gt;low)</w:t>
      </w:r>
      <w:r w:rsidRPr="00773551">
        <w:rPr>
          <w:sz w:val="18"/>
          <w:szCs w:val="18"/>
        </w:rPr>
        <w:t>, corresp</w:t>
      </w:r>
      <w:r w:rsidR="00F612E1">
        <w:rPr>
          <w:sz w:val="18"/>
          <w:szCs w:val="18"/>
        </w:rPr>
        <w:t>onding to components N2 (ss8, 3</w:t>
      </w:r>
      <w:r w:rsidRPr="00773551">
        <w:rPr>
          <w:sz w:val="18"/>
          <w:szCs w:val="18"/>
        </w:rPr>
        <w:t xml:space="preserve">08ms to 310ms) and P2/P3 (ss9, 388ms to 726ms; ss10, 382ms to 670ms). </w:t>
      </w:r>
    </w:p>
    <w:p w14:paraId="5BB18909" w14:textId="77777777" w:rsidR="000742DF" w:rsidRPr="00773551" w:rsidRDefault="00943383" w:rsidP="007512FC">
      <w:pPr>
        <w:numPr>
          <w:ilvl w:val="0"/>
          <w:numId w:val="29"/>
        </w:numPr>
        <w:spacing w:after="0" w:line="480" w:lineRule="auto"/>
        <w:rPr>
          <w:sz w:val="18"/>
          <w:szCs w:val="18"/>
        </w:rPr>
      </w:pPr>
      <w:r w:rsidRPr="00773551">
        <w:rPr>
          <w:sz w:val="18"/>
          <w:szCs w:val="18"/>
        </w:rPr>
        <w:t>Source analysis found widespread cortical modulation in response to increases in pain intensity.</w:t>
      </w:r>
    </w:p>
    <w:p w14:paraId="44E30BE4" w14:textId="50E6E0CE" w:rsidR="000742DF" w:rsidRPr="00773551" w:rsidRDefault="00943383" w:rsidP="007512FC">
      <w:pPr>
        <w:numPr>
          <w:ilvl w:val="0"/>
          <w:numId w:val="29"/>
        </w:numPr>
        <w:spacing w:after="0" w:line="480" w:lineRule="auto"/>
        <w:rPr>
          <w:sz w:val="18"/>
          <w:szCs w:val="18"/>
        </w:rPr>
      </w:pPr>
      <w:r w:rsidRPr="00773551">
        <w:rPr>
          <w:sz w:val="18"/>
          <w:szCs w:val="18"/>
        </w:rPr>
        <w:t xml:space="preserve">Multivariate pattern analysis (MVPA) weights (top) and their projections (bottom) found </w:t>
      </w:r>
      <w:r w:rsidR="00DC3D61">
        <w:rPr>
          <w:sz w:val="18"/>
          <w:szCs w:val="18"/>
        </w:rPr>
        <w:t>that intensity was classified with the greatest contribution from neural activity</w:t>
      </w:r>
      <w:r w:rsidRPr="00773551">
        <w:rPr>
          <w:sz w:val="18"/>
          <w:szCs w:val="18"/>
        </w:rPr>
        <w:t xml:space="preserve"> </w:t>
      </w:r>
      <w:r w:rsidR="00DC3D61">
        <w:rPr>
          <w:sz w:val="18"/>
          <w:szCs w:val="18"/>
        </w:rPr>
        <w:t>during</w:t>
      </w:r>
      <w:r w:rsidRPr="00773551">
        <w:rPr>
          <w:sz w:val="18"/>
          <w:szCs w:val="18"/>
        </w:rPr>
        <w:t xml:space="preserve"> early latencies (N2 time window) and </w:t>
      </w:r>
      <w:r w:rsidR="00DC3D61">
        <w:rPr>
          <w:sz w:val="18"/>
          <w:szCs w:val="18"/>
        </w:rPr>
        <w:t xml:space="preserve">a </w:t>
      </w:r>
      <w:proofErr w:type="spellStart"/>
      <w:r w:rsidR="00DC3D61" w:rsidRPr="00773551">
        <w:rPr>
          <w:sz w:val="18"/>
          <w:szCs w:val="18"/>
        </w:rPr>
        <w:t>fronto</w:t>
      </w:r>
      <w:proofErr w:type="spellEnd"/>
      <w:r w:rsidR="00DC3D61" w:rsidRPr="00773551">
        <w:rPr>
          <w:sz w:val="18"/>
          <w:szCs w:val="18"/>
        </w:rPr>
        <w:t xml:space="preserve">-central </w:t>
      </w:r>
      <w:r w:rsidRPr="00773551">
        <w:rPr>
          <w:sz w:val="18"/>
          <w:szCs w:val="18"/>
        </w:rPr>
        <w:t xml:space="preserve">scalp </w:t>
      </w:r>
      <w:r w:rsidR="00DC3D61">
        <w:rPr>
          <w:sz w:val="18"/>
          <w:szCs w:val="18"/>
        </w:rPr>
        <w:t>distribution</w:t>
      </w:r>
      <w:r w:rsidRPr="00773551">
        <w:rPr>
          <w:sz w:val="18"/>
          <w:szCs w:val="18"/>
        </w:rPr>
        <w:t>.</w:t>
      </w:r>
    </w:p>
    <w:p w14:paraId="554BF9B3" w14:textId="77777777" w:rsidR="000742DF" w:rsidRPr="00773551" w:rsidRDefault="00943383" w:rsidP="007512FC">
      <w:pPr>
        <w:numPr>
          <w:ilvl w:val="0"/>
          <w:numId w:val="29"/>
        </w:numPr>
        <w:spacing w:after="0" w:line="480" w:lineRule="auto"/>
        <w:rPr>
          <w:sz w:val="18"/>
          <w:szCs w:val="18"/>
        </w:rPr>
      </w:pPr>
      <w:r w:rsidRPr="00773551">
        <w:rPr>
          <w:sz w:val="18"/>
          <w:szCs w:val="18"/>
        </w:rPr>
        <w:t>Receiver Operating Characteristic (ROC) and MVPA statistics. AUC: Area under the ROC curve.</w:t>
      </w:r>
    </w:p>
    <w:p w14:paraId="5EB739FE" w14:textId="14FEA6AF" w:rsidR="000742DF" w:rsidRPr="00773551" w:rsidRDefault="00943383" w:rsidP="007512FC">
      <w:pPr>
        <w:numPr>
          <w:ilvl w:val="0"/>
          <w:numId w:val="29"/>
        </w:numPr>
        <w:spacing w:after="0" w:line="480" w:lineRule="auto"/>
        <w:rPr>
          <w:sz w:val="18"/>
          <w:szCs w:val="18"/>
        </w:rPr>
      </w:pPr>
      <w:r w:rsidRPr="00773551">
        <w:rPr>
          <w:sz w:val="18"/>
          <w:szCs w:val="18"/>
        </w:rPr>
        <w:t xml:space="preserve">Univariate sensor analysis found </w:t>
      </w:r>
      <w:r w:rsidR="00F612E1">
        <w:rPr>
          <w:sz w:val="18"/>
          <w:szCs w:val="18"/>
        </w:rPr>
        <w:t xml:space="preserve">a single cluster from the prior </w:t>
      </w:r>
      <w:r w:rsidR="00DC3D61">
        <w:rPr>
          <w:sz w:val="18"/>
          <w:szCs w:val="18"/>
        </w:rPr>
        <w:t xml:space="preserve">pain </w:t>
      </w:r>
      <w:r w:rsidR="00F612E1">
        <w:rPr>
          <w:sz w:val="18"/>
          <w:szCs w:val="18"/>
        </w:rPr>
        <w:t>expectancy effect</w:t>
      </w:r>
      <w:r w:rsidRPr="00773551">
        <w:rPr>
          <w:sz w:val="18"/>
          <w:szCs w:val="18"/>
        </w:rPr>
        <w:t>, corresp</w:t>
      </w:r>
      <w:r w:rsidR="00F612E1">
        <w:rPr>
          <w:sz w:val="18"/>
          <w:szCs w:val="18"/>
        </w:rPr>
        <w:t>onding to component P2 (ss11, 416ms to 478ms</w:t>
      </w:r>
      <w:r w:rsidRPr="00773551">
        <w:rPr>
          <w:sz w:val="18"/>
          <w:szCs w:val="18"/>
        </w:rPr>
        <w:t xml:space="preserve">). </w:t>
      </w:r>
    </w:p>
    <w:p w14:paraId="3638A9AE" w14:textId="12ECB4C5" w:rsidR="000742DF" w:rsidRPr="00773551" w:rsidRDefault="00943383" w:rsidP="007512FC">
      <w:pPr>
        <w:numPr>
          <w:ilvl w:val="0"/>
          <w:numId w:val="29"/>
        </w:numPr>
        <w:spacing w:after="0" w:line="480" w:lineRule="auto"/>
        <w:rPr>
          <w:sz w:val="18"/>
          <w:szCs w:val="18"/>
        </w:rPr>
      </w:pPr>
      <w:r w:rsidRPr="00773551">
        <w:rPr>
          <w:sz w:val="18"/>
          <w:szCs w:val="18"/>
        </w:rPr>
        <w:t xml:space="preserve">Source analysis found </w:t>
      </w:r>
      <w:r w:rsidR="00F612E1">
        <w:rPr>
          <w:sz w:val="18"/>
          <w:szCs w:val="18"/>
        </w:rPr>
        <w:t>that prior pain expectancy increases post-laser stimulus activation of the inferior parietal lobes</w:t>
      </w:r>
      <w:r w:rsidRPr="00773551">
        <w:rPr>
          <w:sz w:val="18"/>
          <w:szCs w:val="18"/>
        </w:rPr>
        <w:t>.</w:t>
      </w:r>
    </w:p>
    <w:p w14:paraId="36D23AF9" w14:textId="2650A3E7" w:rsidR="000742DF" w:rsidRPr="00773551" w:rsidRDefault="00943383" w:rsidP="007512FC">
      <w:pPr>
        <w:numPr>
          <w:ilvl w:val="0"/>
          <w:numId w:val="29"/>
        </w:numPr>
        <w:spacing w:after="0" w:line="480" w:lineRule="auto"/>
        <w:rPr>
          <w:sz w:val="18"/>
          <w:szCs w:val="18"/>
        </w:rPr>
      </w:pPr>
      <w:r w:rsidRPr="00773551">
        <w:rPr>
          <w:sz w:val="18"/>
          <w:szCs w:val="18"/>
        </w:rPr>
        <w:t xml:space="preserve">Multivariate pattern analysis (MVPA) weights (top) and their projections (bottom) found </w:t>
      </w:r>
      <w:r w:rsidR="00F612E1">
        <w:rPr>
          <w:sz w:val="18"/>
          <w:szCs w:val="18"/>
        </w:rPr>
        <w:t>that</w:t>
      </w:r>
      <w:r w:rsidRPr="00773551">
        <w:rPr>
          <w:sz w:val="18"/>
          <w:szCs w:val="18"/>
        </w:rPr>
        <w:t xml:space="preserve"> classification</w:t>
      </w:r>
      <w:r w:rsidR="00F612E1">
        <w:rPr>
          <w:sz w:val="18"/>
          <w:szCs w:val="18"/>
        </w:rPr>
        <w:t xml:space="preserve"> of the expectancy conditions involve</w:t>
      </w:r>
      <w:r w:rsidR="00DC3D61">
        <w:rPr>
          <w:sz w:val="18"/>
          <w:szCs w:val="18"/>
        </w:rPr>
        <w:t>d</w:t>
      </w:r>
      <w:r w:rsidR="00F612E1">
        <w:rPr>
          <w:sz w:val="18"/>
          <w:szCs w:val="18"/>
        </w:rPr>
        <w:t xml:space="preserve"> neural activity patterns at both</w:t>
      </w:r>
      <w:r w:rsidRPr="00773551">
        <w:rPr>
          <w:sz w:val="18"/>
          <w:szCs w:val="18"/>
        </w:rPr>
        <w:t xml:space="preserve"> early latencies (N2 time window) and </w:t>
      </w:r>
      <w:r w:rsidR="00F612E1">
        <w:rPr>
          <w:sz w:val="18"/>
          <w:szCs w:val="18"/>
        </w:rPr>
        <w:t>late latencies (P2/P3)</w:t>
      </w:r>
      <w:r w:rsidRPr="00773551">
        <w:rPr>
          <w:sz w:val="18"/>
          <w:szCs w:val="18"/>
        </w:rPr>
        <w:t>.</w:t>
      </w:r>
    </w:p>
    <w:p w14:paraId="3A2D363A" w14:textId="77777777" w:rsidR="000742DF" w:rsidRPr="00773551" w:rsidRDefault="00943383" w:rsidP="007512FC">
      <w:pPr>
        <w:numPr>
          <w:ilvl w:val="0"/>
          <w:numId w:val="29"/>
        </w:numPr>
        <w:spacing w:after="0" w:line="480" w:lineRule="auto"/>
        <w:rPr>
          <w:sz w:val="18"/>
          <w:szCs w:val="18"/>
        </w:rPr>
      </w:pPr>
      <w:r w:rsidRPr="00773551">
        <w:rPr>
          <w:sz w:val="18"/>
          <w:szCs w:val="18"/>
        </w:rPr>
        <w:t>Receiver Operating Characteristic (ROC) and MVPA statistics. AUC: Area under the ROC curve.</w:t>
      </w:r>
    </w:p>
    <w:p w14:paraId="73862BC1" w14:textId="0F5197A0" w:rsidR="00773551" w:rsidRPr="00773551" w:rsidRDefault="00773551" w:rsidP="007512FC">
      <w:pPr>
        <w:spacing w:after="0" w:line="480" w:lineRule="auto"/>
        <w:rPr>
          <w:sz w:val="18"/>
          <w:szCs w:val="18"/>
        </w:rPr>
      </w:pPr>
      <w:r w:rsidRPr="00773551">
        <w:rPr>
          <w:sz w:val="18"/>
          <w:szCs w:val="18"/>
        </w:rPr>
        <w:t xml:space="preserve">See </w:t>
      </w:r>
      <w:r w:rsidR="0056215C">
        <w:rPr>
          <w:sz w:val="18"/>
          <w:szCs w:val="18"/>
        </w:rPr>
        <w:t>figure</w:t>
      </w:r>
      <w:r w:rsidRPr="00773551">
        <w:rPr>
          <w:sz w:val="18"/>
          <w:szCs w:val="18"/>
        </w:rPr>
        <w:t xml:space="preserve"> 2 legend for further details of the plots.</w:t>
      </w:r>
    </w:p>
    <w:p w14:paraId="5C306527" w14:textId="77777777" w:rsidR="00773551" w:rsidRDefault="00773551" w:rsidP="007512FC">
      <w:pPr>
        <w:spacing w:line="480" w:lineRule="auto"/>
      </w:pPr>
    </w:p>
    <w:p w14:paraId="64427573" w14:textId="7EACA23E" w:rsidR="00C1323A" w:rsidRDefault="00C1323A" w:rsidP="007512FC">
      <w:pPr>
        <w:spacing w:line="480" w:lineRule="auto"/>
      </w:pPr>
      <w:bookmarkStart w:id="96" w:name="OLE_LINK47"/>
      <w:bookmarkStart w:id="97" w:name="OLE_LINK48"/>
      <w:bookmarkStart w:id="98" w:name="OLE_LINK49"/>
      <w:r>
        <w:t xml:space="preserve">Univariate sensor analyses found neural activity related to </w:t>
      </w:r>
      <w:r w:rsidR="002F3444">
        <w:t>the presentation</w:t>
      </w:r>
      <w:r w:rsidR="002F3444">
        <w:rPr>
          <w:i/>
        </w:rPr>
        <w:t xml:space="preserve"> </w:t>
      </w:r>
      <w:r w:rsidR="002F3444">
        <w:t xml:space="preserve">of a </w:t>
      </w:r>
      <w:r>
        <w:t xml:space="preserve">prior </w:t>
      </w:r>
      <w:r w:rsidR="002F3444">
        <w:t xml:space="preserve">high </w:t>
      </w:r>
      <w:r>
        <w:t xml:space="preserve">pain </w:t>
      </w:r>
      <w:r w:rsidR="002F3444">
        <w:t>cue</w:t>
      </w:r>
      <w:r>
        <w:t xml:space="preserve"> </w:t>
      </w:r>
      <w:r w:rsidR="00DA3AF1">
        <w:t>to be</w:t>
      </w:r>
      <w:r>
        <w:t xml:space="preserve"> maximal at </w:t>
      </w:r>
      <w:r w:rsidR="00DA3AF1">
        <w:t xml:space="preserve">a latency of </w:t>
      </w:r>
      <w:r>
        <w:t>434ms post-stimulus (cluster range:</w:t>
      </w:r>
      <w:r w:rsidR="00DA3AF1">
        <w:t xml:space="preserve"> 416 to 478</w:t>
      </w:r>
      <w:r>
        <w:t>ms), consistent with the com</w:t>
      </w:r>
      <w:r w:rsidR="00DA3AF1">
        <w:t>monly observed P2 peak (</w:t>
      </w:r>
      <w:r w:rsidR="0056215C">
        <w:t>figure</w:t>
      </w:r>
      <w:r w:rsidR="00F91737">
        <w:t xml:space="preserve"> 5</w:t>
      </w:r>
      <w:r w:rsidR="00DA3AF1">
        <w:t>E</w:t>
      </w:r>
      <w:r>
        <w:t xml:space="preserve">). At this latency, the P2 was maximal at electrode </w:t>
      </w:r>
      <w:proofErr w:type="spellStart"/>
      <w:r>
        <w:t>FCz</w:t>
      </w:r>
      <w:proofErr w:type="spellEnd"/>
      <w:r>
        <w:t xml:space="preserve">. Source analysis revealed a contribution of </w:t>
      </w:r>
      <w:r w:rsidR="00DA3AF1">
        <w:t>bilateral inferior parietal cortex to this effect (</w:t>
      </w:r>
      <w:r w:rsidR="0056215C">
        <w:t>figure</w:t>
      </w:r>
      <w:r w:rsidR="00F91737">
        <w:t xml:space="preserve"> 5</w:t>
      </w:r>
      <w:r w:rsidR="00DA3AF1">
        <w:t>F</w:t>
      </w:r>
      <w:r>
        <w:t xml:space="preserve">). Classification of the two conditions using MVPA </w:t>
      </w:r>
      <w:r w:rsidRPr="00780F79">
        <w:t>provided 73.53% classification accuracy</w:t>
      </w:r>
      <w:bookmarkStart w:id="99" w:name="OLE_LINK3"/>
      <w:bookmarkStart w:id="100" w:name="OLE_LINK4"/>
      <w:r w:rsidRPr="00780F79">
        <w:t xml:space="preserve"> (</w:t>
      </w:r>
      <w:r w:rsidR="00780F79" w:rsidRPr="00780F79">
        <w:t>p = 0.001</w:t>
      </w:r>
      <w:r w:rsidRPr="00780F79">
        <w:t>)</w:t>
      </w:r>
      <w:bookmarkEnd w:id="99"/>
      <w:bookmarkEnd w:id="100"/>
      <w:r w:rsidRPr="00780F79">
        <w:t xml:space="preserve">. </w:t>
      </w:r>
      <w:r w:rsidR="00DA3AF1" w:rsidRPr="00780F79">
        <w:t>T</w:t>
      </w:r>
      <w:r w:rsidRPr="00780F79">
        <w:t>he</w:t>
      </w:r>
      <w:r w:rsidRPr="00DA3AF1">
        <w:t xml:space="preserve"> </w:t>
      </w:r>
      <w:r w:rsidR="00DA3AF1" w:rsidRPr="00DA3AF1">
        <w:t>latencies</w:t>
      </w:r>
      <w:r w:rsidRPr="00DA3AF1">
        <w:t xml:space="preserve"> most greatly contributing to the weights (&gt; 2 standard deviations from the mean) were </w:t>
      </w:r>
      <w:r w:rsidR="00DA3AF1" w:rsidRPr="00DA3AF1">
        <w:t xml:space="preserve">far broader </w:t>
      </w:r>
      <w:r w:rsidR="00F91737">
        <w:t xml:space="preserve">than </w:t>
      </w:r>
      <w:r w:rsidR="00DA3AF1" w:rsidRPr="00DA3AF1">
        <w:t>that of the P2 peak, covering the full latency range of the window analysed</w:t>
      </w:r>
      <w:r w:rsidRPr="00DA3AF1">
        <w:t xml:space="preserve">. </w:t>
      </w:r>
      <w:r w:rsidR="00DA3AF1" w:rsidRPr="00DA3AF1">
        <w:t>However, weight projections (</w:t>
      </w:r>
      <w:r w:rsidR="0056215C">
        <w:t>figure</w:t>
      </w:r>
      <w:r w:rsidR="00F91737">
        <w:t xml:space="preserve"> 5</w:t>
      </w:r>
      <w:r w:rsidR="00DA3AF1" w:rsidRPr="00DA3AF1">
        <w:t>G, bottom) identified more defined temporal regions at the latency of the N2 peak (maximal at 315ms) and at a later latency between the P2 and P3 peaks (</w:t>
      </w:r>
      <w:r w:rsidR="000C5330">
        <w:t xml:space="preserve">605ms to </w:t>
      </w:r>
      <w:r w:rsidR="00DA3AF1">
        <w:t>7</w:t>
      </w:r>
      <w:r w:rsidR="000C5330">
        <w:t>15</w:t>
      </w:r>
      <w:r w:rsidR="00DA3AF1" w:rsidRPr="00DA3AF1">
        <w:t>ms). Topographic projections at 315ms were consistent with the commonly observed N2 peak of the LEP. The discrepancy between these latencies a</w:t>
      </w:r>
      <w:r w:rsidR="00F91737">
        <w:t>n</w:t>
      </w:r>
      <w:r w:rsidR="00DA3AF1" w:rsidRPr="00DA3AF1">
        <w:t>d those identified from the univariate results (i.e. P2 peak)</w:t>
      </w:r>
      <w:r w:rsidRPr="00DA3AF1">
        <w:t xml:space="preserve"> highlights that univariate and multivariate analyses are sensitive to different signals: absolute mean activity within spatiotemporally restricted areas vs. relative patterns of activity over distributed regions respectively. </w:t>
      </w:r>
    </w:p>
    <w:p w14:paraId="64A0A719" w14:textId="5D04A4EC" w:rsidR="00C1323A" w:rsidRDefault="00C1323A" w:rsidP="007512FC">
      <w:pPr>
        <w:spacing w:line="480" w:lineRule="auto"/>
      </w:pPr>
      <w:r>
        <w:t>Despite significant univariate and multivariate EEG sensor differences between conditions, there was no evidence of a main effect of group or interaction between group and condition using mass univariate statistics. Likewise, MVPA was not able to obtain a statistically significant classification of the groups</w:t>
      </w:r>
      <w:r w:rsidR="00137DCD">
        <w:t>,</w:t>
      </w:r>
      <w:r>
        <w:t xml:space="preserve"> either for </w:t>
      </w:r>
      <w:r w:rsidRPr="00DB4D9D">
        <w:t xml:space="preserve">spatiotemporal sensor data </w:t>
      </w:r>
      <w:r w:rsidR="00137DCD">
        <w:t>from the prior pain expect</w:t>
      </w:r>
      <w:r w:rsidR="00137DCD" w:rsidRPr="00262A10">
        <w:t>ation condition</w:t>
      </w:r>
      <w:r w:rsidRPr="00262A10">
        <w:t xml:space="preserve"> (</w:t>
      </w:r>
      <w:r w:rsidR="00262A10" w:rsidRPr="00262A10">
        <w:t>50%, p=0.9</w:t>
      </w:r>
      <w:r w:rsidRPr="00262A10">
        <w:t xml:space="preserve">), nor </w:t>
      </w:r>
      <w:r w:rsidR="00137DCD" w:rsidRPr="00262A10">
        <w:t>using data from the low expectation condition</w:t>
      </w:r>
      <w:r w:rsidRPr="00262A10">
        <w:t xml:space="preserve"> (</w:t>
      </w:r>
      <w:r w:rsidR="00262A10" w:rsidRPr="00262A10">
        <w:t>47.06%, p=0.9</w:t>
      </w:r>
      <w:r w:rsidRPr="00262A10">
        <w:t>).</w:t>
      </w:r>
      <w:r>
        <w:t xml:space="preserve">  </w:t>
      </w:r>
    </w:p>
    <w:bookmarkEnd w:id="96"/>
    <w:bookmarkEnd w:id="97"/>
    <w:bookmarkEnd w:id="98"/>
    <w:p w14:paraId="263E3C17" w14:textId="4465758A" w:rsidR="00C1323A" w:rsidRPr="00521CEA" w:rsidRDefault="00C1323A" w:rsidP="007512FC">
      <w:pPr>
        <w:spacing w:line="480" w:lineRule="auto"/>
      </w:pPr>
      <w:r>
        <w:br w:type="page"/>
      </w:r>
    </w:p>
    <w:p w14:paraId="7E67844D" w14:textId="77777777" w:rsidR="00C1323A" w:rsidRPr="00FC3222" w:rsidRDefault="00C1323A" w:rsidP="007512FC">
      <w:pPr>
        <w:pStyle w:val="Heading1"/>
        <w:spacing w:line="480" w:lineRule="auto"/>
      </w:pPr>
      <w:r>
        <w:t>Discussion</w:t>
      </w:r>
    </w:p>
    <w:p w14:paraId="1782C9B4" w14:textId="7C225B2A" w:rsidR="00BC462B" w:rsidRDefault="00C1323A" w:rsidP="007512FC">
      <w:pPr>
        <w:spacing w:line="480" w:lineRule="auto"/>
      </w:pPr>
      <w:r>
        <w:t xml:space="preserve">In this paper we sought to address the general problem of a lack of viable biomarkers of </w:t>
      </w:r>
      <w:r w:rsidR="00CE7D1D">
        <w:t xml:space="preserve">the </w:t>
      </w:r>
      <w:r w:rsidR="00893643">
        <w:t>neuro</w:t>
      </w:r>
      <w:r>
        <w:t xml:space="preserve">cognitive mechanisms influencing physical health outcomes. </w:t>
      </w:r>
      <w:r w:rsidR="00BC462B">
        <w:t>W</w:t>
      </w:r>
      <w:r>
        <w:t xml:space="preserve">e specifically </w:t>
      </w:r>
      <w:r w:rsidR="0012234C">
        <w:t xml:space="preserve">sought to identify </w:t>
      </w:r>
      <w:r>
        <w:t xml:space="preserve">neural representations of pain </w:t>
      </w:r>
      <w:r w:rsidR="00940531">
        <w:t>catastrophiz</w:t>
      </w:r>
      <w:r>
        <w:t xml:space="preserve">ing (PC) in healthy individuals using an experimental pain model. We found evidence in favour of a “magnification” hypothesis, namely augmented </w:t>
      </w:r>
      <w:r w:rsidR="00192896">
        <w:t xml:space="preserve">neural </w:t>
      </w:r>
      <w:r>
        <w:t>processing of cues predicting aversive (vs. non-aversive) outcomes, suggestive of magnified aversive valuation processes</w:t>
      </w:r>
      <w:r w:rsidR="00FB6A23">
        <w:t xml:space="preserve">, which persisted for </w:t>
      </w:r>
      <w:r w:rsidR="00205009">
        <w:t>up to</w:t>
      </w:r>
      <w:r w:rsidR="00FB6A23">
        <w:t xml:space="preserve"> 1.5s after the </w:t>
      </w:r>
      <w:r w:rsidR="00A71515">
        <w:t xml:space="preserve">aversive </w:t>
      </w:r>
      <w:r w:rsidR="00FB6A23">
        <w:t>cue</w:t>
      </w:r>
      <w:r>
        <w:t>. MVPA provided moderately successful classification of high (relati</w:t>
      </w:r>
      <w:r w:rsidR="00192896">
        <w:t xml:space="preserve">ve to low) </w:t>
      </w:r>
      <w:r w:rsidR="00A71515">
        <w:t>PC</w:t>
      </w:r>
      <w:r w:rsidR="00FB6A23">
        <w:t xml:space="preserve"> when applied specifically to processing of high aversive value cues</w:t>
      </w:r>
      <w:r w:rsidR="00BC462B">
        <w:t>, but not to the processing of low aversive cues, suggesting that neural representations of highly aversive cues best characterise pain catastrophizers</w:t>
      </w:r>
      <w:r w:rsidR="00192896">
        <w:t xml:space="preserve">. </w:t>
      </w:r>
      <w:r w:rsidR="00BC462B">
        <w:t>Indeed, this was further suggested by analyses showing that MVPA patterns from group classification</w:t>
      </w:r>
      <w:r w:rsidR="00192896">
        <w:t xml:space="preserve"> </w:t>
      </w:r>
      <w:r>
        <w:t xml:space="preserve">were </w:t>
      </w:r>
      <w:r w:rsidR="00521AA1">
        <w:t>partially predicted by</w:t>
      </w:r>
      <w:r>
        <w:t xml:space="preserve"> </w:t>
      </w:r>
      <w:r w:rsidR="00192896">
        <w:t xml:space="preserve">those </w:t>
      </w:r>
      <w:r w:rsidR="00BC462B">
        <w:t xml:space="preserve">patterns </w:t>
      </w:r>
      <w:r w:rsidR="00192896">
        <w:t>classifying aversive value</w:t>
      </w:r>
      <w:r w:rsidR="00BC462B">
        <w:t xml:space="preserve"> </w:t>
      </w:r>
      <w:r>
        <w:t xml:space="preserve">in high </w:t>
      </w:r>
      <w:r w:rsidR="00192896">
        <w:t xml:space="preserve">pain </w:t>
      </w:r>
      <w:r w:rsidR="00940531">
        <w:t>catastrophiz</w:t>
      </w:r>
      <w:r>
        <w:t>ers</w:t>
      </w:r>
      <w:r w:rsidR="00BC462B">
        <w:t xml:space="preserve"> specifically</w:t>
      </w:r>
      <w:r w:rsidR="00A71515">
        <w:t>, suggesting an overlap in neural representations of aversive valuation and PC</w:t>
      </w:r>
      <w:r>
        <w:t>.</w:t>
      </w:r>
      <w:r w:rsidR="00A71515">
        <w:t xml:space="preserve"> This provides evidence supporting aversive valuation processes in the brain as potential biomarkers of </w:t>
      </w:r>
      <w:r w:rsidR="0012234C">
        <w:t>cognitive/emotional processes related to</w:t>
      </w:r>
      <w:r w:rsidR="00A71515">
        <w:t xml:space="preserve"> PC.</w:t>
      </w:r>
      <w:r>
        <w:t xml:space="preserve"> </w:t>
      </w:r>
    </w:p>
    <w:p w14:paraId="3D150E9D" w14:textId="33BEB2D9" w:rsidR="00C1323A" w:rsidRPr="00DF15E0" w:rsidRDefault="00BC462B" w:rsidP="007512FC">
      <w:pPr>
        <w:spacing w:line="480" w:lineRule="auto"/>
        <w:rPr>
          <w:rFonts w:ascii="Georgia" w:hAnsi="Georgia"/>
          <w:color w:val="333333"/>
          <w:spacing w:val="2"/>
          <w:sz w:val="26"/>
          <w:szCs w:val="26"/>
          <w:shd w:val="clear" w:color="auto" w:fill="FCFCFC"/>
        </w:rPr>
      </w:pPr>
      <w:r>
        <w:t>On the other hand, we did not find evidence that expectancy effects on nociception and pain were more persistent in the high vs. low PC group after initially negative expectations were updated by contrary information indicating no threat of pain</w:t>
      </w:r>
      <w:r w:rsidR="00ED1BE6">
        <w:t>. We previously found that pain perception in healthy individuals undergoing a similar procedure were still influenced by expectations from the initial highly aversive cue, despite the presentation of a second cue to update expectation (t</w:t>
      </w:r>
      <w:r>
        <w:rPr>
          <w:noProof/>
        </w:rPr>
        <w:t xml:space="preserve">he so-called ‘prior expectancy effect’ </w:t>
      </w:r>
      <w:r>
        <w:fldChar w:fldCharType="begin" w:fldLock="1"/>
      </w:r>
      <w:r w:rsidR="00DA76DD">
        <w:instrText>ADDIN CSL_CITATION { "citationItems" : [ { "id" : "ITEM-1", "itemData" : { "DOI" : "10.1371/journal.pone.0180006", "ISSN" : "19326203", "abstract" : "\u00a9 2017 Almarzouki et al. This is an open access article distributed under the terms of the Creative Commons Attribution License, which permits unrestricted use, distribution, and reproduction in any medium, provided the original author and source are credited. It is well known that the efficacy of treatment effects, including those of placebos, is heavily dependent on positive expectations regarding treatment outcomes. For example, positive expectations about pain treatments are essential for pain reduction. Such positive expectations not only depend on the properties of the treatment itself, but also on the context in which the treatment is presented. However, it is not clear how the preceding threat of pain will bias positive expectancy effects. One hypothesis is that threatening contexts trigger fearful and catastrophic thinking, reducing the pain-relieving effects of positive expectancy. In this study, we investigated the disruptive influence of threatening contexts on positive expectancy effects while 41 healthy volunteers experienced laser-induced heat pain. A threatening context was induced using pain-threatening cues that preceded the induction of positive expectancies via subsequent pain-safety cues. We also utilised electroencephalography (EEG) to investigate potential neural mechanisms underlying these effects. Lastly, we used the Fear of Pain Questionnaire to address whether the disruptive effect of negative contexts on cued pain relief was related to the degree of fear of pain. As predicted, participants responded less to pain-safety cues (i.e., experienced more pain) when these were preceded by pain-threatening cues. In this threatening context, an enhancement of the N2 component of the laser-evoked potential was detected, which was more pronounced in fearful individuals. This effect was localised to the midcingulate cortex, an area thought to integrate negative affect with pain experience to enable adaptive behaviour in aversive situations. These results suggest that threatening contexts disrupt the effect of pain relief cues via an aversive priming mechanism that enhances neural responses in the early stages of sensory processing.", "author" : [ { "dropping-particle" : "", "family" : "Almarzouki", "given" : "A.F.", "non-dropping-particle" : "", "parse-names" : false, "suffix" : "" }, { "dropping-particle" : "", "family" : "Brown", "given" : "C.A.", "non-dropping-particle" : "", "parse-names" : false, "suffix" : "" }, { "dropping-particle" : "", "family" : "Brown", "given" : "R.J.", "non-dropping-particle" : "", "parse-names" : false, "suffix" : "" }, { "dropping-particle" : "", "family" : "Leung", "given" : "M.H.K.", "non-dropping-particle" : "", "parse-names" : false, "suffix" : "" }, { "dropping-particle" : "", "family" : "Jones", "given" : "A.K.P.", "non-dropping-particle" : "", "parse-names" : false, "suffix" : "" } ], "container-title" : "PLoS ONE", "id" : "ITEM-1", "issue" : "6", "issued" : { "date-parts" : [ [ "2017" ] ] }, "title" : "Negative expectations interfere with the analgesic effect of safety cues on pain perception by priming the cortical representation of pain in the midcingulate cortex", "type" : "article-journal", "volume" : "12" }, "uris" : [ "http://www.mendeley.com/documents/?uuid=3345246e-b5fb-383e-b770-e3f861d27292" ] } ], "mendeley" : { "formattedCitation" : "(Almarzouki et al., 2017)", "plainTextFormattedCitation" : "(Almarzouki et al., 2017)", "previouslyFormattedCitation" : "(Almarzouki et al., 2017)" }, "properties" : {  }, "schema" : "https://github.com/citation-style-language/schema/raw/master/csl-citation.json" }</w:instrText>
      </w:r>
      <w:r>
        <w:fldChar w:fldCharType="separate"/>
      </w:r>
      <w:r w:rsidR="005B5DFF" w:rsidRPr="005B5DFF">
        <w:rPr>
          <w:noProof/>
        </w:rPr>
        <w:t>(Almarzouki et al., 2017)</w:t>
      </w:r>
      <w:r>
        <w:fldChar w:fldCharType="end"/>
      </w:r>
      <w:r>
        <w:t>).</w:t>
      </w:r>
      <w:r w:rsidRPr="00E34C15">
        <w:t xml:space="preserve"> </w:t>
      </w:r>
      <w:r w:rsidR="00ED1BE6">
        <w:t>However, in this study,</w:t>
      </w:r>
      <w:r>
        <w:t xml:space="preserve"> </w:t>
      </w:r>
      <w:r w:rsidR="00ED1BE6">
        <w:t>a</w:t>
      </w:r>
      <w:r w:rsidR="00FB6A23">
        <w:t>lthough neural activity</w:t>
      </w:r>
      <w:r w:rsidR="00ED1BE6">
        <w:t xml:space="preserve"> directly after</w:t>
      </w:r>
      <w:r w:rsidR="00FB6A23">
        <w:t xml:space="preserve"> aversive cues </w:t>
      </w:r>
      <w:r w:rsidR="00ED1BE6">
        <w:t xml:space="preserve">(prior to the second update cues) </w:t>
      </w:r>
      <w:r w:rsidR="00FB6A23">
        <w:t>appeared to be more persistent over the 1.5s analysed</w:t>
      </w:r>
      <w:r w:rsidR="00ED1BE6">
        <w:t xml:space="preserve"> </w:t>
      </w:r>
      <w:r w:rsidR="00A71515">
        <w:t xml:space="preserve">in </w:t>
      </w:r>
      <w:r>
        <w:t xml:space="preserve">the </w:t>
      </w:r>
      <w:r w:rsidR="00A71515">
        <w:t>high vs</w:t>
      </w:r>
      <w:r>
        <w:t>.</w:t>
      </w:r>
      <w:r w:rsidR="00A71515">
        <w:t xml:space="preserve"> low </w:t>
      </w:r>
      <w:r>
        <w:t>PC group</w:t>
      </w:r>
      <w:r w:rsidR="00FB6A23">
        <w:t>,</w:t>
      </w:r>
      <w:r w:rsidR="00C1323A">
        <w:t xml:space="preserve"> </w:t>
      </w:r>
      <w:r w:rsidR="00ED1BE6">
        <w:t xml:space="preserve">pointing to greater pain expectancy, </w:t>
      </w:r>
      <w:r w:rsidR="00C1323A">
        <w:t xml:space="preserve">none of the analyses (behavioural, univariate EEG or multivariate EEG) </w:t>
      </w:r>
      <w:r w:rsidR="00FB6A23">
        <w:t>provided evidence that</w:t>
      </w:r>
      <w:r w:rsidR="00C1323A">
        <w:t xml:space="preserve"> </w:t>
      </w:r>
      <w:r w:rsidR="00ED1BE6">
        <w:t>prior</w:t>
      </w:r>
      <w:r>
        <w:t xml:space="preserve"> </w:t>
      </w:r>
      <w:r w:rsidR="00C1323A">
        <w:t xml:space="preserve">pain expectancy </w:t>
      </w:r>
      <w:bookmarkStart w:id="101" w:name="OLE_LINK23"/>
      <w:bookmarkStart w:id="102" w:name="OLE_LINK24"/>
      <w:r w:rsidR="000C2582">
        <w:t xml:space="preserve">had a greater </w:t>
      </w:r>
      <w:r w:rsidR="00205009">
        <w:t>influence</w:t>
      </w:r>
      <w:r w:rsidR="000C2582">
        <w:t xml:space="preserve"> on</w:t>
      </w:r>
      <w:r w:rsidR="004B5B9A">
        <w:t xml:space="preserve"> </w:t>
      </w:r>
      <w:r w:rsidR="00FB6A23">
        <w:t xml:space="preserve">pain and nociception in </w:t>
      </w:r>
      <w:r>
        <w:t xml:space="preserve">the </w:t>
      </w:r>
      <w:r w:rsidR="00A71515">
        <w:t xml:space="preserve">high </w:t>
      </w:r>
      <w:r>
        <w:t>PC group</w:t>
      </w:r>
      <w:r w:rsidR="00ED1BE6">
        <w:t>.</w:t>
      </w:r>
      <w:bookmarkEnd w:id="101"/>
      <w:bookmarkEnd w:id="102"/>
      <w:r>
        <w:t xml:space="preserve"> </w:t>
      </w:r>
      <w:r w:rsidR="00A71515">
        <w:t>Overall, t</w:t>
      </w:r>
      <w:r w:rsidR="000E4897">
        <w:t>hese findings</w:t>
      </w:r>
      <w:r w:rsidR="00521AA1">
        <w:t xml:space="preserve"> </w:t>
      </w:r>
      <w:r w:rsidR="00ED1BE6">
        <w:t>suggest that a</w:t>
      </w:r>
      <w:r w:rsidR="00283359">
        <w:t>nticipatory processes may</w:t>
      </w:r>
      <w:r w:rsidR="00A71515">
        <w:t xml:space="preserve"> be the most fruitful area for future investigation of biomarkers of PC mechanisms. </w:t>
      </w:r>
      <w:r w:rsidR="0043016E">
        <w:t>In what follows, we discuss the nature of the biomarkers identified in this study and make comprehensive suggestions for future research.</w:t>
      </w:r>
    </w:p>
    <w:p w14:paraId="5B252517" w14:textId="77777777" w:rsidR="00D256D9" w:rsidRDefault="00602D62" w:rsidP="007512FC">
      <w:pPr>
        <w:spacing w:line="480" w:lineRule="auto"/>
        <w:rPr>
          <w:color w:val="000000" w:themeColor="text1"/>
        </w:rPr>
      </w:pPr>
      <w:r>
        <w:t xml:space="preserve">By combining univariate and multivariate analysis approaches to the EEG data, we were able to both identify biomarkers (spatiotemporal patterns) classifying PC groups as well as gain insight into the timing and spatial localisation in the brain of these </w:t>
      </w:r>
      <w:r w:rsidRPr="00C31639">
        <w:rPr>
          <w:color w:val="000000" w:themeColor="text1"/>
        </w:rPr>
        <w:t xml:space="preserve">biomarkers. </w:t>
      </w:r>
      <w:r w:rsidR="00D256D9" w:rsidRPr="00C31639">
        <w:rPr>
          <w:color w:val="000000" w:themeColor="text1"/>
        </w:rPr>
        <w:t xml:space="preserve">Identification of the latencies of cue-evoked responses that best differentiate high and low catastrophizers has two main benefits. Firstly, it provides links to previous research that has discovered specific task or other context-dependent modulation of neural activity at these latencies. This enables interpretation (although initially speculative) of the possible cognitive and neural mechanisms underlying group differences. Secondly, this facilitates the design of more nuanced experimental designs/tasks and EEG recording parameters that might better pinpoint the mechanisms of interest. </w:t>
      </w:r>
    </w:p>
    <w:p w14:paraId="78058FC9" w14:textId="4B235DB6" w:rsidR="00602D62" w:rsidRDefault="00D256D9" w:rsidP="007512FC">
      <w:pPr>
        <w:spacing w:line="480" w:lineRule="auto"/>
      </w:pPr>
      <w:r>
        <w:rPr>
          <w:color w:val="000000" w:themeColor="text1"/>
        </w:rPr>
        <w:t>Specifically, we found that t</w:t>
      </w:r>
      <w:r w:rsidR="00602D62" w:rsidRPr="00C31639">
        <w:rPr>
          <w:color w:val="000000" w:themeColor="text1"/>
        </w:rPr>
        <w:t xml:space="preserve">he topographies </w:t>
      </w:r>
      <w:r w:rsidR="00602D62">
        <w:t>and timing of neural representations associated with PC (i.e. derived from transformed weight matrices from the MVPA analyses) are consistent with the commonly observed P3b (“endogenous” P3) and late-positivity waves of the visual-evoked potential, peaking in mid-posterior scalp regions at around 450-500ms post-cue. This positivity is</w:t>
      </w:r>
      <w:r w:rsidR="00602D62" w:rsidRPr="00C810A3">
        <w:t xml:space="preserve"> </w:t>
      </w:r>
      <w:r w:rsidR="00602D62">
        <w:t xml:space="preserve">commonly evoked by task-relevant stimuli and represents activity in multimodal networks thought to be involved with maintaining and updating representations of the task </w:t>
      </w:r>
      <w:r w:rsidR="00602D62">
        <w:fldChar w:fldCharType="begin" w:fldLock="1"/>
      </w:r>
      <w:r w:rsidR="00DA76DD">
        <w:instrText>ADDIN CSL_CITATION { "citationItems" : [ { "id" : "ITEM-1", "itemData" : { "abstract" : "The empirical and theoretical development of the P300 event-related brain potential (ERP) is reviewed by considering factors that contribute to its amplitude, latency, and general characteristics. The neuropsychological origins of the P3a and P3b subcomponents are detailed, and how target/ standard discrimination difficulty modulates scalp topography is discussed. The neural loci of P3a and P3b generation are outlined, and a cognitive model is proffered: P3a originates from stimulusdriven frontal attention mechanisms during task processing, whereas P3b originates from temporalparietal activity associated with attention and appears related to subsequent memory processing. Neurotransmitter actions associating P3a to frontal/dopaminergic and P3b to parietal/norepinephrine pathways are highlighted. Neuroinhibition is suggested as an overarching theoretical mechanism for P300, which is elicited when stimulus detection engages memory operations", "author" : [ { "dropping-particle" : "", "family" : "Polich", "given" : "John", "non-dropping-particle" : "", "parse-names" : false, "suffix" : "" } ], "container-title" : "Clinical Neurophysiology", "id" : "ITEM-1", "issue" : "10", "issued" : { "date-parts" : [ [ "2009" ] ] }, "page" : "2128-2148", "title" : "Updating P300: An Integrative Theory of P3a and P3b", "type" : "article-journal", "volume" : "118" }, "uris" : [ "http://www.mendeley.com/documents/?uuid=1b1b6bdc-23cb-4ef3-865f-4afb97a8a52e" ] } ], "mendeley" : { "formattedCitation" : "(Polich, 2009)", "plainTextFormattedCitation" : "(Polich, 2009)", "previouslyFormattedCitation" : "(Polich, 2009)" }, "properties" : {  }, "schema" : "https://github.com/citation-style-language/schema/raw/master/csl-citation.json" }</w:instrText>
      </w:r>
      <w:r w:rsidR="00602D62">
        <w:fldChar w:fldCharType="separate"/>
      </w:r>
      <w:r w:rsidR="005B5DFF" w:rsidRPr="005B5DFF">
        <w:rPr>
          <w:noProof/>
        </w:rPr>
        <w:t>(Polich, 2009)</w:t>
      </w:r>
      <w:r w:rsidR="00602D62">
        <w:fldChar w:fldCharType="end"/>
      </w:r>
      <w:r w:rsidR="00602D62">
        <w:t xml:space="preserve">. </w:t>
      </w:r>
      <w:r w:rsidR="00122F9C">
        <w:t>Our</w:t>
      </w:r>
      <w:r w:rsidR="00602D62">
        <w:t xml:space="preserve"> source analysis found both aversive valuation and PC effects at this latency to originate from superior parietal and cingulate cortex. </w:t>
      </w:r>
      <w:r w:rsidR="004E6B79">
        <w:t>These regions may reflect one or a number of augmented cognitive processes in individuals with high PC. For example, a current</w:t>
      </w:r>
      <w:r w:rsidR="004E6B79" w:rsidRPr="00066C1D">
        <w:t xml:space="preserve"> neurobiological model of attention posits a dorsal </w:t>
      </w:r>
      <w:proofErr w:type="spellStart"/>
      <w:r w:rsidR="004E6B79" w:rsidRPr="00066C1D">
        <w:t>frontoparietal</w:t>
      </w:r>
      <w:proofErr w:type="spellEnd"/>
      <w:r w:rsidR="004E6B79" w:rsidRPr="00066C1D">
        <w:t xml:space="preserve"> network (</w:t>
      </w:r>
      <w:r w:rsidR="004E6B79">
        <w:t>including</w:t>
      </w:r>
      <w:r w:rsidR="004E6B79" w:rsidRPr="00066C1D">
        <w:t xml:space="preserve"> superior parietal lobule</w:t>
      </w:r>
      <w:r w:rsidR="004E6B79">
        <w:t xml:space="preserve"> and dorsolateral prefrontal cortex (DLPFC))</w:t>
      </w:r>
      <w:r w:rsidR="004E6B79" w:rsidRPr="00066C1D">
        <w:t xml:space="preserve"> </w:t>
      </w:r>
      <w:r w:rsidR="004E6B79">
        <w:t>as mediating</w:t>
      </w:r>
      <w:r w:rsidR="004E6B79" w:rsidRPr="00066C1D">
        <w:t xml:space="preserve"> to</w:t>
      </w:r>
      <w:r w:rsidR="004E6B79">
        <w:t>p-down attention</w:t>
      </w:r>
      <w:r w:rsidR="004E6B79" w:rsidRPr="00066C1D">
        <w:t xml:space="preserve"> </w:t>
      </w:r>
      <w:r w:rsidR="004E6B79" w:rsidRPr="00066C1D">
        <w:fldChar w:fldCharType="begin" w:fldLock="1"/>
      </w:r>
      <w:r w:rsidR="006F1990">
        <w:instrText>ADDIN CSL_CITATION { "citationItems" : [ { "id" : "ITEM-1", "itemData" : { "DOI" : "10.1162/089892902317362029", "ISSN" : "0898-929X", "PMID" : "11970810", "abstract" : "We investigated neural correlates of human visual orienting using event-related functional magnetic resonance imaging (fMRI). When subjects voluntarily directed attention to a peripheral location, we recorded robust and sustained signals uniquely from the intraparietal sulcus (IPs) and superior frontal cortex (near the frontal eye field, FEF). In the ventral IPs and FEF only, the blood oxygen level dependent signal was modulated by the direction of attention. The IPs and FEF also maintained the most sustained level of activation during a 7-sec delay, when subjects maintained attention at the peripheral cued location (working memory). Therefore, the IPs and FEF form a dorsal network that controls the endogenous allocation and maintenance of visuospatial attention. A separate right hemisphere network was activated by the detection of targets at unattended locations. Activation was largely independent of the target's location (visual field). This network included among other regions the right temporo-parietal junction and the inferior frontal gyrus. We propose that this cortical network is important for reorienting to sensory events.", "author" : [ { "dropping-particle" : "", "family" : "Corbetta", "given" : "Maurizio", "non-dropping-particle" : "", "parse-names" : false, "suffix" : "" }, { "dropping-particle" : "", "family" : "Kincade", "given" : "J Michelle", "non-dropping-particle" : "", "parse-names" : false, "suffix" : "" }, { "dropping-particle" : "", "family" : "Shulman", "given" : "Gordon L", "non-dropping-particle" : "", "parse-names" : false, "suffix" : "" } ], "container-title" : "Journal of cognitive neuroscience", "id" : "ITEM-1", "issue" : "3", "issued" : { "date-parts" : [ [ "2002", "4", "1" ] ] }, "page" : "508-23", "title" : "Neural systems for visual orienting and their relationships to spatial working memory.", "type" : "article-journal", "volume" : "14" }, "uris" : [ "http://www.mendeley.com/documents/?uuid=a707e06d-6099-445f-85a0-c1b7b1026662" ] }, { "id" : "ITEM-2", "itemData" : { "DOI" : "10.1016/j.neuron.2008.04.017", "ISSN" : "1097-4199", "PMID" : "18466742", "abstract" : "Survival can depend on the ability to change a current course of action to respond to potentially advantageous or threatening stimuli. This \"reorienting\" response involves the coordinated action of a right hemisphere dominant ventral frontoparietal network that interrupts and resets ongoing activity and a dorsal frontoparietal network specialized for selecting and linking stimuli and responses. At rest, each network is distinct and internally correlated, but when attention is focused, the ventral network is suppressed to prevent reorienting to distracting events. These different patterns of recruitment may reflect inputs to the ventral attention network from the locus coeruleus/norepinephrine system. While originally conceptualized as a system for redirecting attention from one object to another, recent evidence suggests a more general role in switching between networks, which may explain recent evidence of its involvement in functions such as social cognition.", "author" : [ { "dropping-particle" : "", "family" : "Corbetta", "given" : "Maurizio", "non-dropping-particle" : "", "parse-names" : false, "suffix" : "" }, { "dropping-particle" : "", "family" : "Patel", "given" : "Gaurav", "non-dropping-particle" : "", "parse-names" : false, "suffix" : "" }, { "dropping-particle" : "", "family" : "Shulman", "given" : "Gordon L", "non-dropping-particle" : "", "parse-names" : false, "suffix" : "" } ], "container-title" : "Neuron", "id" : "ITEM-2", "issue" : "3", "issued" : { "date-parts" : [ [ "2008", "5", "8" ] ] }, "page" : "306-24", "title" : "The reorienting system of the human brain: from environment to theory of mind.", "type" : "article-journal", "volume" : "58" }, "uris" : [ "http://www.mendeley.com/documents/?uuid=aec0f302-781f-4242-8f77-98150d2e11f9" ] } ], "mendeley" : { "formattedCitation" : "(Corbetta et al., 2008, 2002)", "plainTextFormattedCitation" : "(Corbetta et al., 2008, 2002)", "previouslyFormattedCitation" : "(Corbetta et al., 2002, 2008)" }, "properties" : {  }, "schema" : "https://github.com/citation-style-language/schema/raw/master/csl-citation.json" }</w:instrText>
      </w:r>
      <w:r w:rsidR="004E6B79" w:rsidRPr="00066C1D">
        <w:fldChar w:fldCharType="separate"/>
      </w:r>
      <w:r w:rsidR="006F1990" w:rsidRPr="006F1990">
        <w:rPr>
          <w:noProof/>
        </w:rPr>
        <w:t>(Corbetta et al., 2008, 2002)</w:t>
      </w:r>
      <w:r w:rsidR="004E6B79" w:rsidRPr="00066C1D">
        <w:fldChar w:fldCharType="end"/>
      </w:r>
      <w:r w:rsidR="004E6B79">
        <w:t>, a network that</w:t>
      </w:r>
      <w:r w:rsidR="004E6B79" w:rsidRPr="004E6B79">
        <w:t xml:space="preserve"> </w:t>
      </w:r>
      <w:r w:rsidR="004E6B79" w:rsidRPr="00066C1D">
        <w:t xml:space="preserve">can be recruited via </w:t>
      </w:r>
      <w:r w:rsidR="00474F7B">
        <w:t>midcingulate cortex</w:t>
      </w:r>
      <w:r w:rsidR="004E6B79">
        <w:t xml:space="preserve"> when</w:t>
      </w:r>
      <w:r w:rsidR="004E6B79" w:rsidRPr="00066C1D">
        <w:t xml:space="preserve"> signalling the need for</w:t>
      </w:r>
      <w:r w:rsidR="004E6B79">
        <w:t xml:space="preserve"> greater</w:t>
      </w:r>
      <w:r w:rsidR="004E6B79" w:rsidRPr="00066C1D">
        <w:t xml:space="preserve"> cognitive control </w:t>
      </w:r>
      <w:r w:rsidR="004E6B79" w:rsidRPr="00066C1D">
        <w:fldChar w:fldCharType="begin" w:fldLock="1"/>
      </w:r>
      <w:r w:rsidR="00DA76DD">
        <w:instrText>ADDIN CSL_CITATION { "citationItems" : [ { "id" : "ITEM-1", "itemData" : { "PMID" : "15518930", "abstract" : "Convergent evidence highlights the differential contributions of various regions of the prefrontal cortex in the service of cognitive control, but little is understood about how the brain determines and communicates the need to recruit cognitive control, and how such signals instigate the implementation of appropriate performance adjustments. Here we review recent progress from cognitive neuroscience in examining some of the main constituent processes of cognitive control as involved in dynamic decision making: goal-directed action selection, response activation and inhibition, performance monitoring, and reward-based learning. Medial frontal cortex is found to be involved in performance monitoring: evaluating outcome vis-a-vis expectancy, and detecting performance errors or conflicting response tendencies. Lateral and orbitofrontal divisions of prefrontal cortex are involved in subsequently implementing appropriate adjustments", "author" : [ { "dropping-particle" : "", "family" : "Ridderinkhof", "given" : "K R", "non-dropping-particle" : "", "parse-names" : false, "suffix" : "" }, { "dropping-particle" : "", "family" : "Wildenberg", "given" : "W P", "non-dropping-particle" : "van den", "parse-names" : false, "suffix" : "" }, { "dropping-particle" : "", "family" : "Segalowitz", "given" : "S J", "non-dropping-particle" : "", "parse-names" : false, "suffix" : "" }, { "dropping-particle" : "", "family" : "Carter", "given" : "C S", "non-dropping-particle" : "", "parse-names" : false, "suffix" : "" } ], "container-title" : "Brain Cogn", "id" : "ITEM-1", "issue" : "0278-2626", "issued" : { "date-parts" : [ [ "2004", "11" ] ] }, "language" : "eng PT - Journal Article PT - Review PT - Review, Tutorial SB - IM", "note" : "DA - 20041102", "page" : "129-140", "publisher-place" : "Department of Psychology, University of Amsterdam, The Netherlands. k.r.ridderinkhof@uva.nl", "title" : "Neurocognitive mechanisms of cognitive control: the role of prefrontal cortex in action selection, response inhibition, performance monitoring, and reward-based learning", "type" : "article-journal", "volume" : "56" }, "uris" : [ "http://www.mendeley.com/documents/?uuid=9b56ddc3-3e84-4f9e-85be-7f119d36ad09" ] } ], "mendeley" : { "formattedCitation" : "(Ridderinkhof et al., 2004)", "plainTextFormattedCitation" : "(Ridderinkhof et al., 2004)", "previouslyFormattedCitation" : "(Ridderinkhof et al., 2004)" }, "properties" : {  }, "schema" : "https://github.com/citation-style-language/schema/raw/master/csl-citation.json" }</w:instrText>
      </w:r>
      <w:r w:rsidR="004E6B79" w:rsidRPr="00066C1D">
        <w:fldChar w:fldCharType="separate"/>
      </w:r>
      <w:r w:rsidR="005B5DFF" w:rsidRPr="005B5DFF">
        <w:rPr>
          <w:noProof/>
        </w:rPr>
        <w:t>(Ridderinkhof et al., 2004)</w:t>
      </w:r>
      <w:r w:rsidR="004E6B79" w:rsidRPr="00066C1D">
        <w:fldChar w:fldCharType="end"/>
      </w:r>
      <w:r w:rsidR="004E6B79">
        <w:t>. This is interesting in light of the observation that it is a distinct</w:t>
      </w:r>
      <w:r w:rsidR="004E6B79" w:rsidRPr="00066C1D">
        <w:t xml:space="preserve"> </w:t>
      </w:r>
      <w:r w:rsidR="004E6B79" w:rsidRPr="00DF15E0">
        <w:rPr>
          <w:i/>
        </w:rPr>
        <w:t xml:space="preserve">ventral </w:t>
      </w:r>
      <w:proofErr w:type="spellStart"/>
      <w:r w:rsidR="004E6B79" w:rsidRPr="00066C1D">
        <w:t>frontoparietal</w:t>
      </w:r>
      <w:proofErr w:type="spellEnd"/>
      <w:r w:rsidR="004E6B79" w:rsidRPr="00066C1D">
        <w:t xml:space="preserve"> network </w:t>
      </w:r>
      <w:r w:rsidR="004E6B79">
        <w:t xml:space="preserve">that </w:t>
      </w:r>
      <w:r w:rsidR="004E6B79" w:rsidRPr="00066C1D">
        <w:t xml:space="preserve">primarily responds to salient stimuli such as pain </w:t>
      </w:r>
      <w:r w:rsidR="004E6B79" w:rsidRPr="00066C1D">
        <w:fldChar w:fldCharType="begin" w:fldLock="1"/>
      </w:r>
      <w:r w:rsidR="00DA76DD">
        <w:instrText>ADDIN CSL_CITATION { "citationItems" : [ { "id" : "ITEM-1", "itemData" : { "ISSN" : "1053-8119", "PMID" : "14642466", "abstract" : "Pain is a unique class of sensory experience from the perspective of salience. Nonpainful somatosensory stimuli usually require behavioral relevance or voluntary attention to maintain salience. In contrast, painful stimuli tend to have sustained salience even without explicit behavioral relevance or voluntary attention. We have previously identified a frontal-parietal-cingulate network of regions responding transiently to nonpainful sensory events. This network is sensitive to the task relevance and novelty of sensory events and likely represents the salience of events in the sensory environment. Since pain can remain salient for a prolonged period, we hypothesized that this network should show transient responses to the onset or offset of a nonpainful stimulus, but sustained responses throughout the duration of a painful stimulus. To test this hypothesis, we used functional MRI to examine the response of these regions to sustained (60-s) periods of painful and nonpainful transcutaneous electrical nerve stimulation. As predicted, the temporoparietal, inferior frontal, and anterior cingulate cortex showed only transient responses to the onset or offset of nonpainful stimulation, but a sustained response throughout the duration of painful stimulation. These regions therefore show tonic responses to stimuli with tonic salience, supporting a general role for these areas in representing stimulus salience. The thalamus and putamen also responded tonically throughout painful but not nonpainful stimulation. Previous studies have implicated the basal ganglia in supporting voluntary sustained attention. Our findings suggest that the basal ganglia may play a more general role in supporting sustained salience, whether through voluntary or involuntary mechanisms.", "author" : [ { "dropping-particle" : "", "family" : "Downar", "given" : "Jonathan", "non-dropping-particle" : "", "parse-names" : false, "suffix" : "" }, { "dropping-particle" : "", "family" : "Mikulis", "given" : "David J", "non-dropping-particle" : "", "parse-names" : false, "suffix" : "" }, { "dropping-particle" : "", "family" : "Davis", "given" : "Karen D", "non-dropping-particle" : "", "parse-names" : false, "suffix" : "" } ], "container-title" : "NeuroImage", "id" : "ITEM-1", "issue" : "3", "issued" : { "date-parts" : [ [ "2003", "11" ] ] }, "page" : "1540-51", "title" : "Neural correlates of the prolonged salience of painful stimulation.", "type" : "article-journal", "volume" : "20" }, "uris" : [ "http://www.mendeley.com/documents/?uuid=7d5b2e96-9539-4932-b2a7-f9e8ec0701cf" ] } ], "mendeley" : { "formattedCitation" : "(Downar et al., 2003)", "plainTextFormattedCitation" : "(Downar et al., 2003)", "previouslyFormattedCitation" : "(Downar et al., 2003)" }, "properties" : {  }, "schema" : "https://github.com/citation-style-language/schema/raw/master/csl-citation.json" }</w:instrText>
      </w:r>
      <w:r w:rsidR="004E6B79" w:rsidRPr="00066C1D">
        <w:fldChar w:fldCharType="separate"/>
      </w:r>
      <w:r w:rsidR="005B5DFF" w:rsidRPr="005B5DFF">
        <w:rPr>
          <w:noProof/>
        </w:rPr>
        <w:t>(Downar et al., 2003)</w:t>
      </w:r>
      <w:r w:rsidR="004E6B79" w:rsidRPr="00066C1D">
        <w:fldChar w:fldCharType="end"/>
      </w:r>
      <w:r w:rsidR="004E6B79" w:rsidRPr="00066C1D">
        <w:t xml:space="preserve"> or its anticipation </w:t>
      </w:r>
      <w:r w:rsidR="004E6B79" w:rsidRPr="00066C1D">
        <w:fldChar w:fldCharType="begin" w:fldLock="1"/>
      </w:r>
      <w:r w:rsidR="00DA76DD">
        <w:instrText>ADDIN CSL_CITATION { "citationItems" : [ { "id" : "ITEM-1", "itemData" : { "DOI" : "10.1523/JNEUROSCI.2087-10.2010", "ISSN" : "1529-2401", "PMID" : "21123578", "abstract" : "The decision as to whether a sensation is perceived as painful does not only depend on sensory input but also on the significance of the stimulus. Here, we show that the degree to which an impending stimulus is interpreted as threatening biases perceptual decisions about pain and that this bias toward pain manifests before stimulus encounter. Using functional magnetic resonance imaging we investigated the neural mechanisms underlying the influence of an experimental manipulation of threat on the perception of laser stimuli as painful. In a near-threshold pain detection paradigm, physically identical stimuli were applied under the participants' assumption that the stimulation is entirely safe (low threat) or potentially harmful (high threat). As hypothesized, significantly more stimuli were rated as painful in the high threat condition. This context-dependent classification of a stimulus as painful was predicted by the prestimulus signal level in the anterior insula, suggesting that this structure integrates information about the significance of a stimulus into the decision about pain. The anticipation of pain increased the prestimulus functional connectivity between the anterior insula and the midcingulate cortex (MCC), a region that was significantly more active during stimulation the more a participant was biased to rate the stimulation as painful under high threat. These findings provide evidence that the anterior insula and MCC as a \"salience network\" integrate information about the significance of an impending stimulation into perceptual decision-making in the context of pain.", "author" : [ { "dropping-particle" : "", "family" : "Wiech", "given" : "Katja", "non-dropping-particle" : "", "parse-names" : false, "suffix" : "" }, { "dropping-particle" : "", "family" : "Lin", "given" : "Chia-shu", "non-dropping-particle" : "", "parse-names" : false, "suffix" : "" }, { "dropping-particle" : "", "family" : "Brodersen", "given" : "Kay H", "non-dropping-particle" : "", "parse-names" : false, "suffix" : "" }, { "dropping-particle" : "", "family" : "Bingel", "given" : "Ulrike", "non-dropping-particle" : "", "parse-names" : false, "suffix" : "" }, { "dropping-particle" : "", "family" : "Ploner", "given" : "Markus", "non-dropping-particle" : "", "parse-names" : false, "suffix" : "" }, { "dropping-particle" : "", "family" : "Tracey", "given" : "Irene", "non-dropping-particle" : "", "parse-names" : false, "suffix" : "" } ], "container-title" : "The Journal of neuroscience : the official journal of the Society for Neuroscience", "id" : "ITEM-1", "issue" : "48", "issued" : { "date-parts" : [ [ "2010", "12", "1" ] ] }, "page" : "16324-31", "title" : "Anterior insula integrates information about salience into perceptual decisions about pain.", "type" : "article-journal", "volume" : "30" }, "uris" : [ "http://www.mendeley.com/documents/?uuid=e2a829c7-1888-4d08-a667-97705615c289" ] } ], "mendeley" : { "formattedCitation" : "(Wiech et al., 2010)", "plainTextFormattedCitation" : "(Wiech et al., 2010)", "previouslyFormattedCitation" : "(Wiech et al., 2010)" }, "properties" : {  }, "schema" : "https://github.com/citation-style-language/schema/raw/master/csl-citation.json" }</w:instrText>
      </w:r>
      <w:r w:rsidR="004E6B79" w:rsidRPr="00066C1D">
        <w:fldChar w:fldCharType="separate"/>
      </w:r>
      <w:r w:rsidR="005B5DFF" w:rsidRPr="005B5DFF">
        <w:rPr>
          <w:noProof/>
        </w:rPr>
        <w:t>(Wiech et al., 2010)</w:t>
      </w:r>
      <w:r w:rsidR="004E6B79" w:rsidRPr="00066C1D">
        <w:fldChar w:fldCharType="end"/>
      </w:r>
      <w:r w:rsidR="004E6B79" w:rsidRPr="00066C1D">
        <w:t xml:space="preserve">. </w:t>
      </w:r>
      <w:r w:rsidR="004E6B79">
        <w:t xml:space="preserve">Greater </w:t>
      </w:r>
      <w:r w:rsidR="004E6B79" w:rsidRPr="00066C1D">
        <w:t xml:space="preserve">dorsal </w:t>
      </w:r>
      <w:proofErr w:type="spellStart"/>
      <w:r w:rsidR="004E6B79" w:rsidRPr="00066C1D">
        <w:t>frontoparietal</w:t>
      </w:r>
      <w:proofErr w:type="spellEnd"/>
      <w:r w:rsidR="004E6B79" w:rsidRPr="00066C1D">
        <w:t xml:space="preserve"> </w:t>
      </w:r>
      <w:r w:rsidR="004E6B79">
        <w:t>responses in individuals with high PC therefore may</w:t>
      </w:r>
      <w:r w:rsidR="00474F7B">
        <w:t xml:space="preserve"> therefore not necessarily indicate magnification of the salience of aversive stimuli, but rather a gain on the recruitment of subsequent</w:t>
      </w:r>
      <w:r w:rsidR="004E6B79" w:rsidRPr="00066C1D">
        <w:t xml:space="preserve"> cognitive control </w:t>
      </w:r>
      <w:r w:rsidR="00122F9C">
        <w:t xml:space="preserve">mechanisms. </w:t>
      </w:r>
      <w:r w:rsidR="00602D62">
        <w:t xml:space="preserve">However, our analyses </w:t>
      </w:r>
      <w:r w:rsidR="00474F7B">
        <w:t>are not able to delineate how or whether these precise mechanisms contribute</w:t>
      </w:r>
      <w:r w:rsidR="00602D62">
        <w:t xml:space="preserve"> to PC. </w:t>
      </w:r>
      <w:r w:rsidR="00474F7B">
        <w:t>I</w:t>
      </w:r>
      <w:r w:rsidR="00602D62">
        <w:t xml:space="preserve">mportant questions for the future are whether this source activity reflects </w:t>
      </w:r>
      <w:r w:rsidR="00602D62" w:rsidRPr="00AA55A3">
        <w:t>greater excitatory or inhibito</w:t>
      </w:r>
      <w:r w:rsidR="00602D62">
        <w:t>ry activity in cortical neurons and whether increases in activity reflect changes in bottom-up or top-down streams of information processing</w:t>
      </w:r>
      <w:r w:rsidR="00602D62" w:rsidRPr="00AA55A3">
        <w:t>.</w:t>
      </w:r>
    </w:p>
    <w:p w14:paraId="0C376AE6" w14:textId="3CC0F7C9" w:rsidR="003B5229" w:rsidRDefault="005E32B7" w:rsidP="0012234C">
      <w:pPr>
        <w:spacing w:line="480" w:lineRule="auto"/>
        <w:rPr>
          <w:color w:val="0070C0"/>
        </w:rPr>
      </w:pPr>
      <w:r>
        <w:t>T</w:t>
      </w:r>
      <w:r w:rsidR="00602D62">
        <w:t>he</w:t>
      </w:r>
      <w:r w:rsidR="008973CC">
        <w:t xml:space="preserve"> results highlight the utility of EEG for identifying temporally-defined neural patterns </w:t>
      </w:r>
      <w:r w:rsidR="00C1323A">
        <w:t xml:space="preserve">that </w:t>
      </w:r>
      <w:r w:rsidR="001413C4">
        <w:t>could be the focus of further biomarker studies</w:t>
      </w:r>
      <w:r w:rsidR="008A7723">
        <w:t xml:space="preserve">. </w:t>
      </w:r>
      <w:r w:rsidR="0012234C">
        <w:t>However, d</w:t>
      </w:r>
      <w:r w:rsidR="00602D62">
        <w:t>espite the use of cross-validation to provide greater predictive validity to the results</w:t>
      </w:r>
      <w:r w:rsidR="003B5229">
        <w:t xml:space="preserve">, there are clear limits on our ability to generalise the results of this study. Most importantly, </w:t>
      </w:r>
      <w:r w:rsidR="00602D62">
        <w:t>the biomarkers were identified in</w:t>
      </w:r>
      <w:r w:rsidR="00757220">
        <w:t xml:space="preserve"> (relatively young)</w:t>
      </w:r>
      <w:r w:rsidR="00602D62">
        <w:t xml:space="preserve"> healthy volunteers and so may not generalise to chronic pain patients. </w:t>
      </w:r>
      <w:bookmarkStart w:id="103" w:name="OLE_LINK156"/>
      <w:bookmarkStart w:id="104" w:name="OLE_LINK157"/>
      <w:r w:rsidR="0012234C" w:rsidRPr="00E03BEB">
        <w:t xml:space="preserve">Furthermore, participants may not even be typical of the healthy population: respondents to the initial screening procedure were self-selected, with unknown factors underlying this; furthermore, approximately one third of screened participants were excluded from further participation due to being neither high nor low pain catastrophizers. </w:t>
      </w:r>
      <w:r w:rsidR="0012234C">
        <w:t xml:space="preserve">There are also limitations on our ability to claim that differences in neural markers of cue/anticipation processing between groups are specific to the PC construct, as we were not able to </w:t>
      </w:r>
      <w:r w:rsidR="0012234C" w:rsidRPr="00DD0522">
        <w:t xml:space="preserve">measure and control for all extraneous variables. Of those we did measure, it would not be </w:t>
      </w:r>
      <w:r w:rsidR="0012234C" w:rsidRPr="00F401ED">
        <w:t>possible to distinguish states of PC in this study</w:t>
      </w:r>
      <w:r w:rsidR="0012234C" w:rsidRPr="00BA4F13">
        <w:t xml:space="preserve"> </w:t>
      </w:r>
      <w:r w:rsidR="0012234C" w:rsidRPr="00E06753">
        <w:t xml:space="preserve">from states of anxiety (for which we also observed a group difference), given that the </w:t>
      </w:r>
      <w:r w:rsidR="0012234C" w:rsidRPr="00E03BEB">
        <w:t xml:space="preserve">painful context of the </w:t>
      </w:r>
      <w:r w:rsidR="0012234C" w:rsidRPr="00F401ED">
        <w:t>experiment would be expected to induce anxiety in the high P</w:t>
      </w:r>
      <w:r w:rsidR="0012234C" w:rsidRPr="00BA4F13">
        <w:t>C group</w:t>
      </w:r>
      <w:r w:rsidR="0012234C" w:rsidRPr="00E06753">
        <w:t xml:space="preserve">. </w:t>
      </w:r>
      <w:r w:rsidR="0012234C">
        <w:t>Furthermore, this type of</w:t>
      </w:r>
      <w:r w:rsidR="0012234C" w:rsidRPr="00F401ED">
        <w:t xml:space="preserve"> study</w:t>
      </w:r>
      <w:r w:rsidR="0012234C" w:rsidRPr="00E03BEB">
        <w:t xml:space="preserve"> is not able to draw</w:t>
      </w:r>
      <w:r w:rsidR="0012234C" w:rsidRPr="00F401ED">
        <w:t xml:space="preserve"> causal inference</w:t>
      </w:r>
      <w:r w:rsidR="0012234C" w:rsidRPr="00E03BEB">
        <w:t xml:space="preserve">s </w:t>
      </w:r>
      <w:r w:rsidR="0012234C" w:rsidRPr="00F401ED">
        <w:t>between PC, consequent states such as anxiety, and the EEG outcomes</w:t>
      </w:r>
      <w:r w:rsidR="0012234C">
        <w:t xml:space="preserve">; </w:t>
      </w:r>
      <w:r w:rsidR="0012234C" w:rsidRPr="00E03BEB">
        <w:t>hence</w:t>
      </w:r>
      <w:r w:rsidR="0012234C">
        <w:t>,</w:t>
      </w:r>
      <w:r w:rsidR="0012234C" w:rsidRPr="00E03BEB">
        <w:t xml:space="preserve"> </w:t>
      </w:r>
      <w:r w:rsidR="0012234C">
        <w:t xml:space="preserve">we </w:t>
      </w:r>
      <w:r w:rsidR="0012234C" w:rsidRPr="00E03BEB">
        <w:t xml:space="preserve">suggest that we have not identified specific markers of PC as such, but rather </w:t>
      </w:r>
      <w:r w:rsidR="0012234C" w:rsidRPr="00BA4F13">
        <w:t>biom</w:t>
      </w:r>
      <w:r w:rsidR="0012234C" w:rsidRPr="00E06753">
        <w:t>arkers of cognitive/emotional states related to PC.</w:t>
      </w:r>
      <w:bookmarkEnd w:id="103"/>
      <w:bookmarkEnd w:id="104"/>
    </w:p>
    <w:p w14:paraId="05EF864A" w14:textId="7BE61F4B" w:rsidR="0031374B" w:rsidRDefault="00602D62" w:rsidP="00C55647">
      <w:pPr>
        <w:spacing w:line="480" w:lineRule="auto"/>
      </w:pPr>
      <w:r>
        <w:t>We therefore view the results of the current study as providing an initial indication of neural targets, the robustness of which can be tested later as predictors of PC in chronic pain patients under a variety of co</w:t>
      </w:r>
      <w:r w:rsidR="00690139">
        <w:t xml:space="preserve">ntexts. These contexts might include </w:t>
      </w:r>
      <w:r w:rsidR="00B76A35">
        <w:t>alternative</w:t>
      </w:r>
      <w:r w:rsidR="00DA65C9">
        <w:t xml:space="preserve"> </w:t>
      </w:r>
      <w:r w:rsidR="000454B2">
        <w:t xml:space="preserve">experimental </w:t>
      </w:r>
      <w:r w:rsidR="00DA65C9">
        <w:t>designs</w:t>
      </w:r>
      <w:r w:rsidR="008A7723">
        <w:t xml:space="preserve"> </w:t>
      </w:r>
      <w:r w:rsidR="00690139">
        <w:t xml:space="preserve">that </w:t>
      </w:r>
      <w:r w:rsidR="008A7723">
        <w:t>improve classification accuracy</w:t>
      </w:r>
      <w:r w:rsidR="00C1323A">
        <w:t xml:space="preserve">. Our design utilised very brief nociceptive stimulation of </w:t>
      </w:r>
      <w:bookmarkStart w:id="105" w:name="OLE_LINK18"/>
      <w:bookmarkStart w:id="106" w:name="OLE_LINK19"/>
      <w:r w:rsidR="00361FDE">
        <w:t>10</w:t>
      </w:r>
      <w:r w:rsidR="00C1323A">
        <w:t>0ms</w:t>
      </w:r>
      <w:bookmarkEnd w:id="105"/>
      <w:bookmarkEnd w:id="106"/>
      <w:r w:rsidR="00C1323A">
        <w:t xml:space="preserve">, which previous work has </w:t>
      </w:r>
      <w:r w:rsidR="000454B2">
        <w:t xml:space="preserve">shown provides </w:t>
      </w:r>
      <w:r w:rsidR="00C1323A">
        <w:t>insights into the neural c</w:t>
      </w:r>
      <w:r w:rsidR="000454B2">
        <w:t xml:space="preserve">orrelates of pain perception </w:t>
      </w:r>
      <w:r w:rsidR="000454B2">
        <w:fldChar w:fldCharType="begin" w:fldLock="1"/>
      </w:r>
      <w:r w:rsidR="00DA76DD">
        <w:instrText>ADDIN CSL_CITATION { "citationItems" : [ { "id" : "ITEM-1", "itemData" : { "DOI" : "10.1523/JNEUROSCI.0014-09.2009", "ISSN" : "1529-2401", "PMID" : "19535602", "abstract" : "Nociception begins when Adelta- and C-nociceptors are activated. However, the processing of nociceptive input by the cortex is required before pain can be consciously experienced from nociception. To characterize the cortical activity related to the emergence of this experience, we recorded, in humans, laser-evoked potentials elicited by physically identical nociceptive stimuli that were either perceived or unperceived. Infrared laser pulses, which selectively activate skin nociceptors, were delivered to the hand dorsum either as a pair of rapidly succeeding and spatially displaced stimuli (two-thirds of trials) or as a single stimulus (one-third of trials). After each trial, subjects reported whether one or two distinct painful pinprick sensations, associated with Adelta-nociceptor activation, had been perceived. The psychophysical feedback after each pair of stimuli was used to adjust the interstimulus interval (ISI) of the subsequent pair: when a single percept was reported, ISI was increased by 40 ms; when two distinct percepts were reported, ISI was decreased by 40 ms. This adaptive algorithm ensured that the probability of perceiving the second stimulus of the pair tended toward 0.5. We found that the magnitude of the early-latency N1 wave was similar between perceived and unperceived stimuli, whereas the magnitudes of the later N2 and P2 waves were reduced when stimuli were unperceived. These findings suggest that the N1 wave represents an early stage of sensory processing related to the ascending nociceptive input, whereas the N2 and P2 waves represent a later stage of processing related, directly or indirectly, to the perceptual outcome of this nociceptive input.", "author" : [ { "dropping-particle" : "", "family" : "Lee", "given" : "Michael C", "non-dropping-particle" : "", "parse-names" : false, "suffix" : "" }, { "dropping-particle" : "", "family" : "Mouraux", "given" : "Andr\u00e9", "non-dropping-particle" : "", "parse-names" : false, "suffix" : "" }, { "dropping-particle" : "", "family" : "Iannetti", "given" : "Gian Domenico", "non-dropping-particle" : "", "parse-names" : false, "suffix" : "" } ], "container-title" : "The Journal of neuroscience : the official journal of the Society for Neuroscience", "id" : "ITEM-1", "issue" : "24", "issued" : { "date-parts" : [ [ "2009", "6", "17" ] ] }, "page" : "7909-16", "title" : "Characterizing the cortical activity through which pain emerges from nociception.", "type" : "article-journal", "volume" : "29" }, "uris" : [ "http://www.mendeley.com/documents/?uuid=113cb0a0-5eed-4da1-9f76-6dbfb4cc70d1" ] } ], "mendeley" : { "formattedCitation" : "(Lee et al., 2009)", "plainTextFormattedCitation" : "(Lee et al., 2009)", "previouslyFormattedCitation" : "(Lee et al., 2009)" }, "properties" : {  }, "schema" : "https://github.com/citation-style-language/schema/raw/master/csl-citation.json" }</w:instrText>
      </w:r>
      <w:r w:rsidR="000454B2">
        <w:fldChar w:fldCharType="separate"/>
      </w:r>
      <w:r w:rsidR="005B5DFF" w:rsidRPr="005B5DFF">
        <w:rPr>
          <w:noProof/>
        </w:rPr>
        <w:t>(Lee et al., 2009)</w:t>
      </w:r>
      <w:r w:rsidR="000454B2">
        <w:fldChar w:fldCharType="end"/>
      </w:r>
      <w:r w:rsidR="000454B2">
        <w:t xml:space="preserve"> and it’s modulation by expectation </w:t>
      </w:r>
      <w:r w:rsidR="000454B2">
        <w:fldChar w:fldCharType="begin" w:fldLock="1"/>
      </w:r>
      <w:r w:rsidR="00DA76DD">
        <w:instrText>ADDIN CSL_CITATION { "citationItems" : [ { "id" : "ITEM-1", "itemData" : { "DOI" : "10.1016/j.pain.2008.04.028", "ISSN" : "1872-6623", "PMID" : "18584963", "abstract" : "Psychological factors play a major role in exacerbating chronic pain. Effective self-management of pain is often hindered by inaccurate beliefs about the nature of pain which lead to a high degree of emotional reactivity. Probabilistic models of perception state that greater confidence (certainty) in beliefs increases their influence on perception and behavior. In this study, we treat confidence as a metacognitive process dissociable from the content of belief. We hypothesized that confidence is associated with anticipatory activation of areas of the pain matrix involved with top-down modulation of pain. Healthy volunteers rated their beliefs about the emotional distress that experimental pain would cause, and separately rated their level of confidence in this belief. Confidence predicted the influence of anticipation cues on experienced pain. We measured brain activity during anticipation of pain using high-density EEG and used electromagnetic tomography to determine neural substrates of this effect. Confidence correlated with activity in right anterior insula, posterior midcingulate and inferior parietal cortices during the anticipation of pain. Activity in the right anterior insula predicted a greater influence of anticipation cues on pain perception, whereas activity in right inferior parietal cortex predicted a decreased influence of anticipatory cues. The results support probabilistic models of pain perception and suggest that confidence in beliefs is an important determinant of expectancy effects on pain perception.", "author" : [ { "dropping-particle" : "", "family" : "Brown", "given" : "Christopher A", "non-dropping-particle" : "", "parse-names" : false, "suffix" : "" }, { "dropping-particle" : "", "family" : "Seymour", "given" : "Ben", "non-dropping-particle" : "", "parse-names" : false, "suffix" : "" }, { "dropping-particle" : "", "family" : "El-Deredy", "given" : "Wael", "non-dropping-particle" : "", "parse-names" : false, "suffix" : "" }, { "dropping-particle" : "", "family" : "Jones", "given" : "Anthony K P", "non-dropping-particle" : "", "parse-names" : false, "suffix" : "" } ], "container-title" : "Pain", "id" : "ITEM-1", "issue" : "2", "issued" : { "date-parts" : [ [ "2008", "10", "15" ] ] }, "page" : "324-332", "title" : "Confidence in beliefs about pain predicts expectancy effects on pain perception and anticipatory processing in right anterior insula", "type" : "article-journal", "volume" : "139" }, "uris" : [ "http://www.mendeley.com/documents/?uuid=b39205eb-d28c-4e82-9a0a-ca27cdbd38a6" ] } ], "mendeley" : { "formattedCitation" : "(Brown et al., 2008b)", "plainTextFormattedCitation" : "(Brown et al., 2008b)", "previouslyFormattedCitation" : "(Brown et al., 2008b)" }, "properties" : {  }, "schema" : "https://github.com/citation-style-language/schema/raw/master/csl-citation.json" }</w:instrText>
      </w:r>
      <w:r w:rsidR="000454B2">
        <w:fldChar w:fldCharType="separate"/>
      </w:r>
      <w:r w:rsidR="005B5DFF" w:rsidRPr="005B5DFF">
        <w:rPr>
          <w:noProof/>
        </w:rPr>
        <w:t>(Brown et al., 2008b)</w:t>
      </w:r>
      <w:r w:rsidR="000454B2">
        <w:fldChar w:fldCharType="end"/>
      </w:r>
      <w:r w:rsidR="000454B2">
        <w:t>.</w:t>
      </w:r>
      <w:r w:rsidR="00C1323A">
        <w:t xml:space="preserve"> </w:t>
      </w:r>
      <w:r w:rsidR="00B76A35">
        <w:t>T</w:t>
      </w:r>
      <w:r w:rsidR="00C1323A">
        <w:t xml:space="preserve">he brevity of the laser stimuli served two of our purposes well, which were to provide a relatively easy to tolerate stimulus that would be suitable for use in individuals who </w:t>
      </w:r>
      <w:r w:rsidR="00940531">
        <w:t>catastrophiz</w:t>
      </w:r>
      <w:r w:rsidR="00C1323A">
        <w:t>e about pain, allowing multiple trials of stimulation requ</w:t>
      </w:r>
      <w:r w:rsidR="00B76A35">
        <w:t xml:space="preserve">ired to generate robust ERPs </w:t>
      </w:r>
      <w:r w:rsidR="00B76A35">
        <w:fldChar w:fldCharType="begin" w:fldLock="1"/>
      </w:r>
      <w:r w:rsidR="00DA76DD">
        <w:instrText>ADDIN CSL_CITATION { "citationItems" : [ { "id" : "ITEM-1", "itemData" : { "DOI" : "10.1371/journal.pcbi.0020012", "ISBN" : "0262083337", "ISSN" : "00222836", "PMID" : "7783201", "abstract" : "2 Ten Simple Rules for Designing ERP Experiments Steven J. Luck Peaks and Components The term ERP component refers to one of the most important but most nebulous con- cepts in ERP research. An ERP waveform unambiguously consists of a series of peaks and ...", "author" : [ { "dropping-particle" : "", "family" : "Luck", "given" : "Steven J.", "non-dropping-particle" : "", "parse-names" : false, "suffix" : "" } ], "container-title" : "Event-related potentials: A methods handbook", "id" : "ITEM-1", "issued" : { "date-parts" : [ [ "2005" ] ] }, "page" : "408", "title" : "Ten Simple Rules for Designing ERP Experiments", "type" : "article-journal" }, "uris" : [ "http://www.mendeley.com/documents/?uuid=5bf04266-a269-4742-b9e4-9b3d04a37871" ] } ], "mendeley" : { "formattedCitation" : "(Luck, 2005)", "plainTextFormattedCitation" : "(Luck, 2005)", "previouslyFormattedCitation" : "(Luck, 2005)" }, "properties" : {  }, "schema" : "https://github.com/citation-style-language/schema/raw/master/csl-citation.json" }</w:instrText>
      </w:r>
      <w:r w:rsidR="00B76A35">
        <w:fldChar w:fldCharType="separate"/>
      </w:r>
      <w:r w:rsidR="005B5DFF" w:rsidRPr="005B5DFF">
        <w:rPr>
          <w:noProof/>
        </w:rPr>
        <w:t>(Luck, 2005)</w:t>
      </w:r>
      <w:r w:rsidR="00B76A35">
        <w:fldChar w:fldCharType="end"/>
      </w:r>
      <w:r w:rsidR="00B76A35">
        <w:t>.</w:t>
      </w:r>
      <w:r w:rsidR="00C1323A">
        <w:t xml:space="preserve"> </w:t>
      </w:r>
      <w:r w:rsidR="00B76A35">
        <w:t>However, d</w:t>
      </w:r>
      <w:r w:rsidR="00C1323A">
        <w:t xml:space="preserve">espite these practical advantages, the use of brief nociceptive stimuli </w:t>
      </w:r>
      <w:r w:rsidR="00C1323A" w:rsidRPr="004D6284">
        <w:t xml:space="preserve">might not be </w:t>
      </w:r>
      <w:r w:rsidR="00B76A35">
        <w:t>an</w:t>
      </w:r>
      <w:r w:rsidR="00C1323A" w:rsidRPr="004D6284">
        <w:t xml:space="preserve"> </w:t>
      </w:r>
      <w:r w:rsidR="00B76A35">
        <w:t>optimal</w:t>
      </w:r>
      <w:r w:rsidR="00C1323A">
        <w:t xml:space="preserve"> method </w:t>
      </w:r>
      <w:r w:rsidR="00B76A35">
        <w:t>for</w:t>
      </w:r>
      <w:r w:rsidR="00C1323A">
        <w:t xml:space="preserve"> inducing catastrophic cognitions</w:t>
      </w:r>
      <w:r w:rsidR="00C1323A" w:rsidRPr="004D6284">
        <w:t xml:space="preserve">. </w:t>
      </w:r>
      <w:r w:rsidR="008A7723">
        <w:t>Support for our approach includes the moderate success we had in classifying high vs low PC groups using the neural pattern data and the fact that high PC participants rated themselves as expecting to be much more distressed by the laser stimuli than the low PC participants. However, f</w:t>
      </w:r>
      <w:r w:rsidR="00361FDE" w:rsidRPr="004D6284">
        <w:t xml:space="preserve">uture work could investigate whether </w:t>
      </w:r>
      <w:r w:rsidR="00361FDE">
        <w:t xml:space="preserve">pain </w:t>
      </w:r>
      <w:r w:rsidR="00940531">
        <w:t>catastrophiz</w:t>
      </w:r>
      <w:r w:rsidR="00361FDE" w:rsidRPr="004D6284">
        <w:t xml:space="preserve">ing </w:t>
      </w:r>
      <w:r w:rsidR="00361FDE">
        <w:t>is better classified by</w:t>
      </w:r>
      <w:r w:rsidR="00361FDE" w:rsidRPr="004D6284">
        <w:t xml:space="preserve"> </w:t>
      </w:r>
      <w:r w:rsidR="00361FDE">
        <w:t xml:space="preserve">neural representations during more enduring and unpleasant </w:t>
      </w:r>
      <w:r w:rsidR="00361FDE" w:rsidRPr="004D6284">
        <w:t>tonic pain stimuli</w:t>
      </w:r>
      <w:r w:rsidR="00690139">
        <w:t xml:space="preserve"> that provide a more realistic model of chronic pain</w:t>
      </w:r>
      <w:r w:rsidR="00361FDE" w:rsidRPr="004D6284">
        <w:t>.</w:t>
      </w:r>
      <w:r w:rsidR="00361FDE">
        <w:t xml:space="preserve"> </w:t>
      </w:r>
      <w:bookmarkStart w:id="107" w:name="OLE_LINK70"/>
      <w:bookmarkStart w:id="108" w:name="OLE_LINK71"/>
      <w:r w:rsidR="008E7DCA" w:rsidRPr="00604241">
        <w:t>Future work could also investigate whether simpler expectation paradigms (i.e. those with single cues rather than changing cue</w:t>
      </w:r>
      <w:r w:rsidR="008E7DCA">
        <w:t>s</w:t>
      </w:r>
      <w:r w:rsidR="008E7DCA" w:rsidRPr="00604241">
        <w:t>) produce expectancy effects on nociception and pain that better differentiate high and low pain catastrophizers.</w:t>
      </w:r>
      <w:bookmarkEnd w:id="107"/>
      <w:bookmarkEnd w:id="108"/>
      <w:r w:rsidR="00902857">
        <w:t xml:space="preserve"> </w:t>
      </w:r>
      <w:r w:rsidR="000B48C6">
        <w:t>This would help address one confound of our experimental design</w:t>
      </w:r>
      <w:r w:rsidR="00674A90">
        <w:t xml:space="preserve">: the additional cues in conditions 3 and 4 compared to conditions 1 and 2 (see figure 1), mean that </w:t>
      </w:r>
      <w:r w:rsidR="000B48C6">
        <w:t>the</w:t>
      </w:r>
      <w:r w:rsidR="000B48C6" w:rsidRPr="000B48C6">
        <w:t xml:space="preserve"> “prior expectancy effect” contrast </w:t>
      </w:r>
      <w:r w:rsidR="000B48C6">
        <w:t>(contrast 3; results in figure 5E-H)</w:t>
      </w:r>
      <w:r w:rsidR="00674A90">
        <w:t xml:space="preserve"> may be contaminated </w:t>
      </w:r>
      <w:r w:rsidR="00BB4A02">
        <w:t xml:space="preserve">by </w:t>
      </w:r>
      <w:r w:rsidR="00674A90">
        <w:t xml:space="preserve">differences in perceived uncertainty or </w:t>
      </w:r>
      <w:r w:rsidR="000B48C6" w:rsidRPr="000B48C6">
        <w:t>surprise</w:t>
      </w:r>
      <w:r w:rsidR="00674A90">
        <w:t>.</w:t>
      </w:r>
      <w:r w:rsidR="000B48C6" w:rsidRPr="000B48C6">
        <w:t xml:space="preserve"> </w:t>
      </w:r>
      <w:r w:rsidR="00674A90">
        <w:t>T</w:t>
      </w:r>
      <w:r w:rsidR="000B48C6" w:rsidRPr="000B48C6">
        <w:t xml:space="preserve">he </w:t>
      </w:r>
      <w:r w:rsidR="00674A90">
        <w:t xml:space="preserve">current </w:t>
      </w:r>
      <w:r w:rsidR="000B48C6" w:rsidRPr="000B48C6">
        <w:t xml:space="preserve">design does not facilitate </w:t>
      </w:r>
      <w:r w:rsidR="00674A90">
        <w:t>differentiation of these uncertainty/surprise elements from the expectancy contrast</w:t>
      </w:r>
      <w:r w:rsidR="00C55647">
        <w:t>, because of its focus on</w:t>
      </w:r>
      <w:r w:rsidR="00C55647" w:rsidRPr="00C55647">
        <w:t xml:space="preserve"> the </w:t>
      </w:r>
      <w:r w:rsidR="00C55647" w:rsidRPr="00B3657D">
        <w:rPr>
          <w:i/>
        </w:rPr>
        <w:t xml:space="preserve">outcomes </w:t>
      </w:r>
      <w:r w:rsidR="00C55647" w:rsidRPr="00C55647">
        <w:t xml:space="preserve">of </w:t>
      </w:r>
      <w:r w:rsidR="00C55647">
        <w:t>aversive</w:t>
      </w:r>
      <w:r w:rsidR="00C55647" w:rsidRPr="00C55647">
        <w:t xml:space="preserve"> learning </w:t>
      </w:r>
      <w:r w:rsidR="00C55647">
        <w:t xml:space="preserve">rather than on the trial-by-trial </w:t>
      </w:r>
      <w:r w:rsidR="00C55647" w:rsidRPr="00C55647">
        <w:t xml:space="preserve">learning </w:t>
      </w:r>
      <w:r w:rsidR="00C55647" w:rsidRPr="00C55647">
        <w:rPr>
          <w:i/>
        </w:rPr>
        <w:t>process</w:t>
      </w:r>
      <w:r w:rsidR="00C55647">
        <w:t xml:space="preserve"> itself</w:t>
      </w:r>
      <w:r w:rsidR="00C55647" w:rsidRPr="00C55647">
        <w:t>.</w:t>
      </w:r>
      <w:r w:rsidR="000B48C6" w:rsidRPr="000B48C6">
        <w:t xml:space="preserve"> </w:t>
      </w:r>
      <w:r w:rsidR="00674A90">
        <w:t>On the other hand, certain types of</w:t>
      </w:r>
      <w:r w:rsidR="00F401ED">
        <w:t xml:space="preserve"> more complex designs in combination with model-based inference of trial-by-trial</w:t>
      </w:r>
      <w:r w:rsidR="00F401ED" w:rsidRPr="00F401ED">
        <w:t xml:space="preserve"> hidden</w:t>
      </w:r>
      <w:r w:rsidR="00F401ED">
        <w:t xml:space="preserve"> states (e.g.</w:t>
      </w:r>
      <w:r w:rsidR="00F401ED" w:rsidRPr="00F401ED">
        <w:t xml:space="preserve"> learning processes </w:t>
      </w:r>
      <w:r w:rsidR="00F401ED">
        <w:t xml:space="preserve">such as prediction errors and aversive value updating), which have previously been used to identify neural correlates of these hidden states </w:t>
      </w:r>
      <w:r w:rsidR="00F401ED">
        <w:fldChar w:fldCharType="begin" w:fldLock="1"/>
      </w:r>
      <w:r w:rsidR="00DA76DD">
        <w:instrText>ADDIN CSL_CITATION { "citationItems" : [ { "id" : "ITEM-1", "itemData" : { "DOI" : "10.1038/nature02636.1.", "PMID" : "15190354", "abstract" : "The ability to use environmental stimuli to predict impending harm is critical for survival. Such predictions should be available as early as they are reliable. In pavlovian conditioning, chains of successively earlier predictors are studied in terms of higher-order relationships, and have inspired computational theories such as temporal difference learning. However, there is at present no adequate neurobiological account of how this learning occurs. Here, in a functional magnetic resonance imaging (fMRI) study of higher-order aversive conditioning, we describe a key computational strategy that humans use to learn predictions about pain. We show that neural activity in the ventral striatum and the anterior insula displays a marked correspondence to the signals for sequential learning predicted by temporal difference models. This result reveals a flexible aversive learning process ideally suited to the changing and uncertain nature of real-world environments. Taken with existing data on reward learning, our results suggest a critical role for the ventral striatum in integrating complex appetitive and aversive predictions to coordinate behaviour", "author" : [ { "dropping-particle" : "", "family" : "Seymour", "given" : "Ben", "non-dropping-particle" : "", "parse-names" : false, "suffix" : "" }, { "dropping-particle" : "", "family" : "Doherty", "given" : "John P O", "non-dropping-particle" : "", "parse-names" : false, "suffix" : "" }, { "dropping-particle" : "", "family" : "Dayan", "given" : "Peter", "non-dropping-particle" : "", "parse-names" : false, "suffix" : "" }, { "dropping-particle" : "", "family" : "Koltzenburg", "given" : "Martin", "non-dropping-particle" : "", "parse-names" : false, "suffix" : "" }, { "dropping-particle" : "", "family" : "Jones", "given" : "Anthony K", "non-dropping-particle" : "", "parse-names" : false, "suffix" : "" }, { "dropping-particle" : "", "family" : "Dolan", "given" : "Raymond J", "non-dropping-particle" : "", "parse-names" : false, "suffix" : "" }, { "dropping-particle" : "", "family" : "Friston", "given" : "Karl J", "non-dropping-particle" : "", "parse-names" : false, "suffix" : "" }, { "dropping-particle" : "", "family" : "Frackowiak", "given" : "Richard S", "non-dropping-particle" : "", "parse-names" : false, "suffix" : "" }, { "dropping-particle" : "", "family" : "O'Doherty", "given" : "J P", "non-dropping-particle" : "", "parse-names" : false, "suffix" : "" } ], "container-title" : "Nature", "id" : "ITEM-1", "issue" : "1476-4687", "issued" : { "date-parts" : [ [ "2004", "6", "10" ] ] }, "language" : "eng PT - Journal Article SB - IM", "note" : "&lt;m:note&gt;        &lt;m:bold&gt;From Duplicate 1 ( &lt;/m:bold&gt;        &lt;m:bold&gt;          &lt;/m:bold&gt;&lt;m:bold&gt;&lt;m:italic&gt;Temporal difference models describe higher-order learning in humans&lt;/m:italic&gt;&lt;/m:bold&gt;&lt;m:bold&gt;        &lt;/m:bold&gt;        &lt;m:bold&gt; - Seymour, B; O'Doherty, J P; Dayan, P; Koltzenburg, M; Jones, A K; Dolan, R J; Friston, K J; Frackowiak, R S )&lt;m:linebreak/&gt;        &lt;/m:bold&gt;        &lt;m:linebreak/&gt;DA - 20040610&lt;m:linebreak/&gt;        &lt;m:linebreak/&gt;      &lt;/m:note&gt;", "page" : "664-667", "publisher-place" : "Wellcome Department of Imaging Neuroscience, 12 Queen Square, London WC1N 3BG, UK. bseymour@fil.ion.ucl.ac.uk", "title" : "Temporal difference models describe higher-order learning in humans", "type" : "article-journal", "volume" : "429" }, "uris" : [ "http://www.mendeley.com/documents/?uuid=f9bb1b5f-28db-41db-96e9-e36db938173a" ] } ], "mendeley" : { "formattedCitation" : "(Seymour et al., 2004)", "plainTextFormattedCitation" : "(Seymour et al., 2004)", "previouslyFormattedCitation" : "(Seymour et al., 2004)" }, "properties" : {  }, "schema" : "https://github.com/citation-style-language/schema/raw/master/csl-citation.json" }</w:instrText>
      </w:r>
      <w:r w:rsidR="00F401ED">
        <w:fldChar w:fldCharType="separate"/>
      </w:r>
      <w:r w:rsidR="00F401ED" w:rsidRPr="00F401ED">
        <w:rPr>
          <w:noProof/>
        </w:rPr>
        <w:t>(Seymour et al., 2004)</w:t>
      </w:r>
      <w:r w:rsidR="00F401ED">
        <w:fldChar w:fldCharType="end"/>
      </w:r>
      <w:r w:rsidR="00F401ED">
        <w:t>, may help to</w:t>
      </w:r>
      <w:r w:rsidR="00674A90">
        <w:t xml:space="preserve"> identify neural correlates of </w:t>
      </w:r>
      <w:r w:rsidR="00C55647">
        <w:t xml:space="preserve">the learning processes themselves, namely trial-to-trial updating of </w:t>
      </w:r>
      <w:r w:rsidR="00674A90">
        <w:t>expecta</w:t>
      </w:r>
      <w:r w:rsidR="00C55647">
        <w:t>tion</w:t>
      </w:r>
      <w:r w:rsidR="00674A90">
        <w:t xml:space="preserve"> </w:t>
      </w:r>
      <w:r w:rsidR="00BB4A02">
        <w:t>as distinct from</w:t>
      </w:r>
      <w:r w:rsidR="00674A90">
        <w:t xml:space="preserve"> uncertainty </w:t>
      </w:r>
      <w:r w:rsidR="00BB4A02">
        <w:t>and</w:t>
      </w:r>
      <w:r w:rsidR="00674A90">
        <w:t xml:space="preserve"> surprise</w:t>
      </w:r>
      <w:r w:rsidR="00BB4A02">
        <w:t xml:space="preserve"> components</w:t>
      </w:r>
      <w:r w:rsidR="00674A90">
        <w:t xml:space="preserve">. Such designs may also enable </w:t>
      </w:r>
      <w:r w:rsidR="00F401ED">
        <w:t>identif</w:t>
      </w:r>
      <w:r w:rsidR="00674A90">
        <w:t>ication of</w:t>
      </w:r>
      <w:r w:rsidR="00F401ED">
        <w:t xml:space="preserve"> </w:t>
      </w:r>
      <w:r w:rsidR="00F401ED" w:rsidRPr="00F401ED">
        <w:t>anticipatory responses</w:t>
      </w:r>
      <w:r w:rsidR="00F401ED">
        <w:t xml:space="preserve"> that are more specific to PC and to differentiate these from processes more specific to related cognitive/emotional states such as pain-related fear or generalised anxiety</w:t>
      </w:r>
      <w:r w:rsidR="00F401ED" w:rsidRPr="00F401ED">
        <w:t>.</w:t>
      </w:r>
    </w:p>
    <w:p w14:paraId="17B40C2E" w14:textId="2F24665E" w:rsidR="00C1323A" w:rsidRDefault="00307127" w:rsidP="007512FC">
      <w:pPr>
        <w:spacing w:line="480" w:lineRule="auto"/>
      </w:pPr>
      <w:r>
        <w:t xml:space="preserve">There are a number of </w:t>
      </w:r>
      <w:r w:rsidR="003C4D07">
        <w:t xml:space="preserve">further </w:t>
      </w:r>
      <w:r w:rsidR="00690139">
        <w:t xml:space="preserve">potential </w:t>
      </w:r>
      <w:r>
        <w:t xml:space="preserve">options for </w:t>
      </w:r>
      <w:r w:rsidR="00B37EBB">
        <w:t xml:space="preserve">improving the identification of </w:t>
      </w:r>
      <w:r>
        <w:t xml:space="preserve">biomarkers of perseverative cognitions. </w:t>
      </w:r>
      <w:r w:rsidR="00B37EBB">
        <w:t xml:space="preserve">Firstly, term “rumination” </w:t>
      </w:r>
      <w:r w:rsidR="00B37EBB">
        <w:fldChar w:fldCharType="begin" w:fldLock="1"/>
      </w:r>
      <w:r w:rsidR="00DA76DD">
        <w:instrText>ADDIN CSL_CITATION { "citationItems" : [ { "id" : "ITEM-1", "itemData" : { "DOI" : "10.1037/bul0000036", "ISBN" : "2010231244", "ISSN" : "00332909", "PMID" : "26689087", "abstract" : "Rumination about the past and worries about the future (perseverative cognition) are extremely common, although pervasive and distressing, dysfunctional cognitive processes. Perseverative cognition is not only implicated in psychological health, contributing to mood worsening and psychopathology but, due to its ability to elicit prolonged physiological activity, is also considered to play a role in somatic health. Although there is emerging evidence that such negative and persistent thoughts have consequences on the body, this association has not yet been quantified. The aim of this study was to meta-analyze available studies on the physiological concomitants of perseverative cognition in healthy subjects. Separate meta-analyses were performed on each examined physiological parameter. Sixty studies were eligible for the analyses. Associations emerged between perseverative cognition and higher systolic blood pressure (SBP) (g = .45) and diastolic blood pressure (DBP) (g = .51) in experimental studies, and higher heart rate (HR) (g = .28 and g = .20) and cortisol (g = .36 and g = .32), and lower heart rate variability (HRV) (g = .15 and g = .27) in experimental and correlational studies, respectively. Significant moderators were sex, ethnicity, type of induction used to elicit perseverative cognition, assessment of state versus trait perseverative cognition, focus on worry or rumination, duration of physiological assessment, and quality of the studies. With the exception of blood pressure, results were not influenced by publication bias. Results show that perseverative cognition affects cardiovascular, autonomic, and endocrine nervous system activity, suggesting a pathogenic pathway to long-term disease outcomes and clarifying the still unexplained relationship between chronic stress and health vulnerability. (PsycINFO Database Record", "author" : [ { "dropping-particle" : "", "family" : "Ottaviani", "given" : "Cristina", "non-dropping-particle" : "", "parse-names" : false, "suffix" : "" }, { "dropping-particle" : "", "family" : "Thayer", "given" : "Julian F.", "non-dropping-particle" : "", "parse-names" : false, "suffix" : "" }, { "dropping-particle" : "", "family" : "Verkuil", "given" : "Bart", "non-dropping-particle" : "", "parse-names" : false, "suffix" : "" }, { "dropping-particle" : "", "family" : "Lonigro", "given" : "Antonia", "non-dropping-particle" : "", "parse-names" : false, "suffix" : "" }, { "dropping-particle" : "", "family" : "Medea", "given" : "Barbara", "non-dropping-particle" : "", "parse-names" : false, "suffix" : "" }, { "dropping-particle" : "", "family" : "Couyoumdjian", "given" : "Alessandro", "non-dropping-particle" : "", "parse-names" : false, "suffix" : "" }, { "dropping-particle" : "", "family" : "Brosschot", "given" : "Jos F.", "non-dropping-particle" : "", "parse-names" : false, "suffix" : "" } ], "container-title" : "Psychological Bulletin", "id" : "ITEM-1", "issue" : "3", "issued" : { "date-parts" : [ [ "2016" ] ] }, "page" : "231-259", "title" : "Physiological concomitants of perseverative cognition: A systematic review and meta-analysis", "type" : "article-journal", "volume" : "142" }, "uris" : [ "http://www.mendeley.com/documents/?uuid=bcacd871-c48f-463e-a03c-a0d068ac3c13" ] } ], "mendeley" : { "formattedCitation" : "(Ottaviani et al., 2016)", "plainTextFormattedCitation" : "(Ottaviani et al., 2016)", "previouslyFormattedCitation" : "(Ottaviani et al., 2016)" }, "properties" : {  }, "schema" : "https://github.com/citation-style-language/schema/raw/master/csl-citation.json" }</w:instrText>
      </w:r>
      <w:r w:rsidR="00B37EBB">
        <w:fldChar w:fldCharType="separate"/>
      </w:r>
      <w:r w:rsidR="005B5DFF" w:rsidRPr="005B5DFF">
        <w:rPr>
          <w:noProof/>
        </w:rPr>
        <w:t>(Ottaviani et al., 2016)</w:t>
      </w:r>
      <w:r w:rsidR="00B37EBB">
        <w:fldChar w:fldCharType="end"/>
      </w:r>
      <w:r w:rsidR="00B37EBB">
        <w:t xml:space="preserve"> commonly refers to persistent, perseverative cognitions over longer timescales that we assessed here. Further research could aim to assess such persistent cognitions as well more naturalistically measure the dynamics of changes in pain expectancy (for example, during the course of a </w:t>
      </w:r>
      <w:r w:rsidR="00690139">
        <w:t>fluctuating</w:t>
      </w:r>
      <w:r w:rsidR="00B37EBB">
        <w:t xml:space="preserve"> tonic pain stimulus that mimics chronic pain symptoms). Secondly, regarding optimal neurophysiological measurements, neural representations of enduring cognitions m</w:t>
      </w:r>
      <w:r w:rsidR="00B37EBB" w:rsidRPr="00C60295">
        <w:t xml:space="preserve">ay </w:t>
      </w:r>
      <w:r w:rsidR="00B37EBB">
        <w:t xml:space="preserve">be better assessed by analysis of </w:t>
      </w:r>
      <w:r w:rsidR="00B37EBB" w:rsidRPr="00C60295">
        <w:t>baseline</w:t>
      </w:r>
      <w:r w:rsidR="00B37EBB">
        <w:t xml:space="preserve"> or resting-state</w:t>
      </w:r>
      <w:r w:rsidR="00B37EBB" w:rsidRPr="00C60295">
        <w:t xml:space="preserve"> </w:t>
      </w:r>
      <w:r w:rsidR="00B37EBB">
        <w:t>neural activity rather than using ERPs. Thirdly, a</w:t>
      </w:r>
      <w:r w:rsidR="00361FDE">
        <w:t xml:space="preserve"> challenge for future studies is how to measure or influence rumination orthogonally to related cognitions such as magnification. </w:t>
      </w:r>
      <w:r w:rsidR="00A27F28">
        <w:t>The results of any such investigation will be highly dependent on how these variables are operationalised. Cross-sectional or longitudinal designs using q</w:t>
      </w:r>
      <w:r>
        <w:t>uestionnaire measures</w:t>
      </w:r>
      <w:r w:rsidR="00C1323A">
        <w:t xml:space="preserve"> </w:t>
      </w:r>
      <w:r w:rsidR="00A27F28">
        <w:t xml:space="preserve">of </w:t>
      </w:r>
      <w:r>
        <w:t xml:space="preserve">trait </w:t>
      </w:r>
      <w:r w:rsidR="00C1323A">
        <w:t xml:space="preserve">rumination </w:t>
      </w:r>
      <w:r w:rsidR="00A27F28">
        <w:t xml:space="preserve">would require very large sample sizes to disentangle within or between-subject variance in rumination from that of related cognitive factors. For example, in our study, rumination was measured via one subscale of the </w:t>
      </w:r>
      <w:r w:rsidR="00361FDE">
        <w:t>PCS questionnaire, but the small sample size prohibited</w:t>
      </w:r>
      <w:r>
        <w:t xml:space="preserve"> </w:t>
      </w:r>
      <w:r w:rsidR="00A27F28">
        <w:t>identifying variance</w:t>
      </w:r>
      <w:r w:rsidR="00C1323A">
        <w:t xml:space="preserve"> </w:t>
      </w:r>
      <w:r w:rsidR="00361FDE">
        <w:t>specific to</w:t>
      </w:r>
      <w:r w:rsidR="00C1323A">
        <w:t xml:space="preserve"> </w:t>
      </w:r>
      <w:r w:rsidR="00A27F28">
        <w:t>rumination and magnification</w:t>
      </w:r>
      <w:r w:rsidR="00C1323A">
        <w:t xml:space="preserve">. </w:t>
      </w:r>
      <w:r w:rsidR="00A27F28">
        <w:t xml:space="preserve">Alternatively, </w:t>
      </w:r>
      <w:r w:rsidR="00C1323A">
        <w:t>cogni</w:t>
      </w:r>
      <w:r>
        <w:t>tive-behavioural interventions</w:t>
      </w:r>
      <w:r w:rsidR="00A27F28">
        <w:t xml:space="preserve"> could be</w:t>
      </w:r>
      <w:r>
        <w:t xml:space="preserve"> targeted to rumination</w:t>
      </w:r>
      <w:r w:rsidR="00A27F28">
        <w:t xml:space="preserve">, but such efforts are </w:t>
      </w:r>
      <w:r w:rsidR="00C1323A">
        <w:t xml:space="preserve">likely to </w:t>
      </w:r>
      <w:r>
        <w:t xml:space="preserve">produce knock-on </w:t>
      </w:r>
      <w:r w:rsidR="00C1323A">
        <w:t>effects</w:t>
      </w:r>
      <w:r w:rsidR="00A27F28">
        <w:t xml:space="preserve"> to other cognitive variables</w:t>
      </w:r>
      <w:r w:rsidR="00C1323A">
        <w:t xml:space="preserve">. </w:t>
      </w:r>
    </w:p>
    <w:p w14:paraId="4AFB3437" w14:textId="1C54CFF5" w:rsidR="001422C1" w:rsidRDefault="00D574BF" w:rsidP="007512FC">
      <w:pPr>
        <w:spacing w:line="480" w:lineRule="auto"/>
      </w:pPr>
      <w:r>
        <w:t xml:space="preserve">Independently of issues of </w:t>
      </w:r>
      <w:r w:rsidR="00602D62">
        <w:t xml:space="preserve">generalisation and </w:t>
      </w:r>
      <w:r>
        <w:t>optimal experimental design, t</w:t>
      </w:r>
      <w:r w:rsidR="00167E1D">
        <w:t xml:space="preserve">he </w:t>
      </w:r>
      <w:r w:rsidR="00C1323A">
        <w:t xml:space="preserve">MVPA analyses </w:t>
      </w:r>
      <w:r w:rsidR="001422C1">
        <w:t xml:space="preserve">presented here </w:t>
      </w:r>
      <w:r>
        <w:t>rely on certain assumptions and simplifications</w:t>
      </w:r>
      <w:r w:rsidR="00C1323A">
        <w:t xml:space="preserve">. Firstly, </w:t>
      </w:r>
      <w:r>
        <w:t>the study design leant itself to the use of</w:t>
      </w:r>
      <w:r w:rsidR="00C1323A">
        <w:t xml:space="preserve"> </w:t>
      </w:r>
      <w:r>
        <w:t>binary classification; however, this approach</w:t>
      </w:r>
      <w:r w:rsidR="00C1323A">
        <w:t xml:space="preserve"> assumes that PC is a unitary construct and that individuals in the high PC group differ from those in the low PC group according to homogeneous </w:t>
      </w:r>
      <w:r>
        <w:t>cognitive factors and corres</w:t>
      </w:r>
      <w:r w:rsidR="00361FDE">
        <w:t xml:space="preserve">ponding neural representations; </w:t>
      </w:r>
      <w:r w:rsidR="00C1323A">
        <w:t xml:space="preserve">this is </w:t>
      </w:r>
      <w:r>
        <w:t xml:space="preserve">likely to be </w:t>
      </w:r>
      <w:r w:rsidR="00C1323A">
        <w:t xml:space="preserve">an over-simplification. Secondly, </w:t>
      </w:r>
      <w:r w:rsidR="00167E1D">
        <w:t xml:space="preserve">our analysis involved comparisons of weight matrices, but </w:t>
      </w:r>
      <w:r w:rsidR="00C1323A">
        <w:t>the interpretation of the</w:t>
      </w:r>
      <w:r w:rsidR="00167E1D">
        <w:t>se</w:t>
      </w:r>
      <w:r w:rsidR="00C1323A">
        <w:t xml:space="preserve"> value</w:t>
      </w:r>
      <w:r w:rsidR="00383EAD">
        <w:t>s is complex,</w:t>
      </w:r>
      <w:r w:rsidR="00C1323A">
        <w:t xml:space="preserve"> </w:t>
      </w:r>
      <w:r w:rsidR="00167E1D">
        <w:t xml:space="preserve">as </w:t>
      </w:r>
      <w:r>
        <w:t>weight values</w:t>
      </w:r>
      <w:r w:rsidR="00383EAD">
        <w:t xml:space="preserve"> </w:t>
      </w:r>
      <w:r>
        <w:t>can vary</w:t>
      </w:r>
      <w:r w:rsidR="00383EAD">
        <w:t xml:space="preserve"> </w:t>
      </w:r>
      <w:r>
        <w:t>either in relation to</w:t>
      </w:r>
      <w:r w:rsidR="00383EAD">
        <w:t xml:space="preserve"> the signal of interest or </w:t>
      </w:r>
      <w:r>
        <w:t>in relation to their function in suppressing</w:t>
      </w:r>
      <w:r w:rsidR="00383EAD">
        <w:t xml:space="preserve"> </w:t>
      </w:r>
      <w:r>
        <w:t xml:space="preserve">noise to improve prediction </w:t>
      </w:r>
      <w:r>
        <w:fldChar w:fldCharType="begin" w:fldLock="1"/>
      </w:r>
      <w:r w:rsidR="00DA76DD">
        <w:instrText>ADDIN CSL_CITATION { "citationItems" : [ { "id" : "ITEM-1", "itemData" : { "DOI" : "10.1016/j.neuroimage.2013.10.067", "ISBN" : "1053-8119", "ISSN" : "10959572", "PMID" : "24239590", "abstract" : "The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 \u00a9 2013 The Authors.", "author" : [ { "dropping-particle" : "", "family" : "Haufe", "given" : "Stefan", "non-dropping-particle" : "", "parse-names" : false, "suffix" : "" }, { "dropping-particle" : "", "family" : "Meinecke", "given" : "Frank", "non-dropping-particle" : "", "parse-names" : false, "suffix" : "" }, { "dropping-particle" : "", "family" : "G\u00f6rgen", "given" : "Kai", "non-dropping-particle" : "", "parse-names" : false, "suffix" : "" }, { "dropping-particle" : "", "family" : "D\u00e4hne", "given" : "Sven", "non-dropping-particle" : "", "parse-names" : false, "suffix" : "" }, { "dropping-particle" : "", "family" : "Haynes", "given" : "John Dylan", "non-dropping-particle" : "", "parse-names" : false, "suffix" : "" }, { "dropping-particle" : "", "family" : "Blankertz", "given" : "Benjamin", "non-dropping-particle" : "", "parse-names" : false, "suffix" : "" }, { "dropping-particle" : "", "family" : "Bie\u00dfmann", "given" : "Felix", "non-dropping-particle" : "", "parse-names" : false, "suffix" : "" } ], "container-title" : "NeuroImage", "id" : "ITEM-1", "issued" : { "date-parts" : [ [ "2014" ] ] }, "page" : "96-110", "title" : "On the interpretation of weight vectors of linear models in multivariate neuroimaging", "type" : "article-journal", "volume" : "87" }, "uris" : [ "http://www.mendeley.com/documents/?uuid=7918baed-bf6b-4534-92cf-9ea0045f2043" ] } ], "mendeley" : { "formattedCitation" : "(Haufe et al., 2014)", "plainTextFormattedCitation" : "(Haufe et al., 2014)", "previouslyFormattedCitation" : "(Haufe et al., 2014)" }, "properties" : {  }, "schema" : "https://github.com/citation-style-language/schema/raw/master/csl-citation.json" }</w:instrText>
      </w:r>
      <w:r>
        <w:fldChar w:fldCharType="separate"/>
      </w:r>
      <w:r w:rsidR="005B5DFF" w:rsidRPr="005B5DFF">
        <w:rPr>
          <w:noProof/>
        </w:rPr>
        <w:t>(Haufe et al., 2014)</w:t>
      </w:r>
      <w:r>
        <w:fldChar w:fldCharType="end"/>
      </w:r>
      <w:r w:rsidR="00167E1D">
        <w:t>. H</w:t>
      </w:r>
      <w:r w:rsidR="00383EAD">
        <w:t xml:space="preserve">ence raw weights </w:t>
      </w:r>
      <w:r w:rsidR="00AA74D3">
        <w:t xml:space="preserve">do not </w:t>
      </w:r>
      <w:r w:rsidR="00383EAD">
        <w:t xml:space="preserve">have a </w:t>
      </w:r>
      <w:r w:rsidR="00361FDE">
        <w:t>simple</w:t>
      </w:r>
      <w:r w:rsidR="00383EAD">
        <w:t xml:space="preserve"> neurophysi</w:t>
      </w:r>
      <w:r w:rsidR="009D60A6">
        <w:t xml:space="preserve">ological interpretation. </w:t>
      </w:r>
      <w:r w:rsidR="00CD0DA9">
        <w:t>We therefore complimented raw weight information</w:t>
      </w:r>
      <w:r w:rsidR="00383EAD">
        <w:t xml:space="preserve"> </w:t>
      </w:r>
      <w:r w:rsidR="00CD0DA9">
        <w:t>with a transformation of</w:t>
      </w:r>
      <w:r w:rsidR="00383EAD">
        <w:t xml:space="preserve"> </w:t>
      </w:r>
      <w:r w:rsidR="00DF705A">
        <w:t>these</w:t>
      </w:r>
      <w:r w:rsidR="00383EAD">
        <w:t xml:space="preserve"> weights</w:t>
      </w:r>
      <w:r w:rsidR="00DF705A">
        <w:t xml:space="preserve"> as </w:t>
      </w:r>
      <w:r w:rsidR="00CD0DA9">
        <w:t xml:space="preserve">previously described </w:t>
      </w:r>
      <w:r w:rsidR="00CD0DA9">
        <w:fldChar w:fldCharType="begin" w:fldLock="1"/>
      </w:r>
      <w:r w:rsidR="00DA76DD">
        <w:instrText>ADDIN CSL_CITATION { "citationItems" : [ { "id" : "ITEM-1", "itemData" : { "DOI" : "10.1016/j.neuroimage.2013.10.067", "ISBN" : "1053-8119", "ISSN" : "10959572", "PMID" : "24239590", "abstract" : "The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 \u00a9 2013 The Authors.", "author" : [ { "dropping-particle" : "", "family" : "Haufe", "given" : "Stefan", "non-dropping-particle" : "", "parse-names" : false, "suffix" : "" }, { "dropping-particle" : "", "family" : "Meinecke", "given" : "Frank", "non-dropping-particle" : "", "parse-names" : false, "suffix" : "" }, { "dropping-particle" : "", "family" : "G\u00f6rgen", "given" : "Kai", "non-dropping-particle" : "", "parse-names" : false, "suffix" : "" }, { "dropping-particle" : "", "family" : "D\u00e4hne", "given" : "Sven", "non-dropping-particle" : "", "parse-names" : false, "suffix" : "" }, { "dropping-particle" : "", "family" : "Haynes", "given" : "John Dylan", "non-dropping-particle" : "", "parse-names" : false, "suffix" : "" }, { "dropping-particle" : "", "family" : "Blankertz", "given" : "Benjamin", "non-dropping-particle" : "", "parse-names" : false, "suffix" : "" }, { "dropping-particle" : "", "family" : "Bie\u00dfmann", "given" : "Felix", "non-dropping-particle" : "", "parse-names" : false, "suffix" : "" } ], "container-title" : "NeuroImage", "id" : "ITEM-1", "issued" : { "date-parts" : [ [ "2014" ] ] }, "page" : "96-110", "title" : "On the interpretation of weight vectors of linear models in multivariate neuroimaging", "type" : "article-journal", "volume" : "87" }, "uris" : [ "http://www.mendeley.com/documents/?uuid=7918baed-bf6b-4534-92cf-9ea0045f2043" ] }, { "id" : "ITEM-2", "itemData" : { "DOI" : "10.1016/j.neuroimage.2016.02.019", "ISBN" : "1053-8119", "ISSN" : "10959572", "PMID" : "26899210", "abstract" : "Perceptual similarity is a cognitive judgment that represents the end-stage of a complex cascade of hierarchical processing throughout visual cortex. Previous studies have shown a correspondence between the similarity of coarse-scale fMRI activation patterns and the perceived similarity of visual stimuli, suggesting that visual objects that appear similar also share similar underlying patterns of neural activation. Here we explore the temporal relationship between the human brain's time-varying representation of visual patterns and behavioral judgments of perceptual similarity. The visual stimuli were abstract patterns constructed from identical perceptual units (oriented Gabor patches) so that each pattern had a unique global form or perceptual 'Gestalt'. The visual stimuli were decodable from evoked neural activation patterns measured with magnetoencephalography (MEG), however, stimuli differed in the similarity of their neural representation as estimated by differences in decodability. Early after stimulus onset (from 50 ms), a model based on retinotopic organization predicted the representational similarity of the visual stimuli. Following the peak correlation between the retinotopic model and neural data at 80 ms, the neural representations quickly evolved so that retinotopy no longer provided a sufficient account of the brain's time-varying representation of the stimuli. Overall the strongest predictor of the brain's representation was a model based on human judgments of perceptual similarity, which reached the limits of the maximum correlation with the neural data defined by the 'noise ceiling'. Our results show that large-scale brain activation patterns contain a neural signature for the perceptual Gestalt of composite visual features, and demonstrate a strong correspondence between perception and complex patterns of brain activity.", "author" : [ { "dropping-particle" : "", "family" : "Wardle", "given" : "Susan G.", "non-dropping-particle" : "", "parse-names" : false, "suffix" : "" }, { "dropping-particle" : "", "family" : "Kriegeskorte", "given" : "Nikolaus", "non-dropping-particle" : "", "parse-names" : false, "suffix" : "" }, { "dropping-particle" : "", "family" : "Grootswagers", "given" : "Tijl", "non-dropping-particle" : "", "parse-names" : false, "suffix" : "" }, { "dropping-particle" : "", "family" : "Khaligh-Razavi", "given" : "Seyed Mahdi", "non-dropping-particle" : "", "parse-names" : false, "suffix" : "" }, { "dropping-particle" : "", "family" : "Carlson", "given" : "Thomas A.", "non-dropping-particle" : "", "parse-names" : false, "suffix" : "" } ], "container-title" : "NeuroImage", "id" : "ITEM-2", "issued" : { "date-parts" : [ [ "2016" ] ] }, "page" : "59-70", "title" : "Perceptual similarity of visual patterns predicts dynamic neural activation patterns measured with MEG", "type" : "article-journal", "volume" : "132" }, "uris" : [ "http://www.mendeley.com/documents/?uuid=5955e567-9ab5-4d4f-b6dd-8ce99cb4004d" ] } ], "mendeley" : { "formattedCitation" : "(Haufe et al., 2014; Wardle et al., 2016)", "plainTextFormattedCitation" : "(Haufe et al., 2014; Wardle et al., 2016)", "previouslyFormattedCitation" : "(Haufe et al., 2014; Wardle et al., 2016)" }, "properties" : {  }, "schema" : "https://github.com/citation-style-language/schema/raw/master/csl-citation.json" }</w:instrText>
      </w:r>
      <w:r w:rsidR="00CD0DA9">
        <w:fldChar w:fldCharType="separate"/>
      </w:r>
      <w:r w:rsidR="005B5DFF" w:rsidRPr="005B5DFF">
        <w:rPr>
          <w:noProof/>
        </w:rPr>
        <w:t>(Haufe et al., 2014; Wardle et al., 2016)</w:t>
      </w:r>
      <w:r w:rsidR="00CD0DA9">
        <w:fldChar w:fldCharType="end"/>
      </w:r>
      <w:r w:rsidR="00CD0DA9">
        <w:t xml:space="preserve"> </w:t>
      </w:r>
      <w:r w:rsidR="009D60A6">
        <w:t>in order to enable</w:t>
      </w:r>
      <w:r w:rsidR="00CD0DA9">
        <w:t xml:space="preserve"> </w:t>
      </w:r>
      <w:r w:rsidR="005B27F9">
        <w:t xml:space="preserve">interpretation of </w:t>
      </w:r>
      <w:r w:rsidR="00CD0DA9">
        <w:t>which physiological events contribute to the classification</w:t>
      </w:r>
      <w:r w:rsidR="00C1323A">
        <w:t xml:space="preserve">. </w:t>
      </w:r>
      <w:r w:rsidR="00C0363D">
        <w:t>However</w:t>
      </w:r>
      <w:r w:rsidR="00CD0DA9">
        <w:t>,</w:t>
      </w:r>
      <w:r w:rsidR="00C0363D">
        <w:t xml:space="preserve"> other methods</w:t>
      </w:r>
      <w:r w:rsidR="00CD0DA9">
        <w:t xml:space="preserve"> also exist</w:t>
      </w:r>
      <w:r w:rsidR="00C0363D">
        <w:t xml:space="preserve"> for spatial and temporal localisation of neural signals contributing to multivariate classification (e.g. searchlight mapping</w:t>
      </w:r>
      <w:r w:rsidR="005B27F9">
        <w:t xml:space="preserve"> </w:t>
      </w:r>
      <w:r w:rsidR="005B27F9">
        <w:fldChar w:fldCharType="begin" w:fldLock="1"/>
      </w:r>
      <w:r w:rsidR="00DA76DD">
        <w:instrText>ADDIN CSL_CITATION { "citationItems" : [ { "id" : "ITEM-1", "itemData" : { "DOI" : "10.1016/j.neuroimage.2013.03.041", "ISBN" : "2122633255", "ISSN" : "10538119", "PMID" : "23558106", "abstract" : "Multivariate pattern analysis (MVPA) is an increasingly popular approach for characterizing the information present in neural activity as measured by fMRI. For neuroimaging researchers, the searchlight technique serves as the most intuitively appealing means of implementing MVPA with fMRI data. However, searchlight approaches carry with them a number of special concerns and limitations that can lead to serious interpretation errors in practice, such as misidentifying a cluster as informative, or failing to detect truly informative voxels. Here we describe how such distorted results can occur, using both schematic illustrations and examples from actual fMRI datasets. We recommend that confirmatory and sensitivity tests, such as the ones prescribed here, should be considered a necessary stage of searchlight analysis interpretation, and that their adoption will allow the full potential of searchlight analysis to be realized.", "author" : [ { "dropping-particle" : "", "family" : "Etzel", "given" : "Joset A.", "non-dropping-particle" : "", "parse-names" : false, "suffix" : "" }, { "dropping-particle" : "", "family" : "Zacks", "given" : "Jeffrey M.", "non-dropping-particle" : "", "parse-names" : false, "suffix" : "" }, { "dropping-particle" : "", "family" : "Braver", "given" : "Todd S.", "non-dropping-particle" : "", "parse-names" : false, "suffix" : "" } ], "container-title" : "NeuroImage", "id" : "ITEM-1", "issued" : { "date-parts" : [ [ "2013" ] ] }, "page" : "261-269", "title" : "Searchlight analysis: Promise, pitfalls, and potential", "type" : "article", "volume" : "78" }, "uris" : [ "http://www.mendeley.com/documents/?uuid=5181a3aa-7c90-4bd6-ba3e-a649581d3e40" ] } ], "mendeley" : { "formattedCitation" : "(Etzel et al., 2013)", "plainTextFormattedCitation" : "(Etzel et al., 2013)", "previouslyFormattedCitation" : "(Etzel et al., 2013)" }, "properties" : {  }, "schema" : "https://github.com/citation-style-language/schema/raw/master/csl-citation.json" }</w:instrText>
      </w:r>
      <w:r w:rsidR="005B27F9">
        <w:fldChar w:fldCharType="separate"/>
      </w:r>
      <w:r w:rsidR="005B5DFF" w:rsidRPr="005B5DFF">
        <w:rPr>
          <w:noProof/>
        </w:rPr>
        <w:t>(Etzel et al., 2013)</w:t>
      </w:r>
      <w:r w:rsidR="005B27F9">
        <w:fldChar w:fldCharType="end"/>
      </w:r>
      <w:r w:rsidR="00C0363D">
        <w:t>, sparse algorithms</w:t>
      </w:r>
      <w:r w:rsidR="005B27F9">
        <w:t xml:space="preserve"> </w:t>
      </w:r>
      <w:r w:rsidR="005B27F9">
        <w:fldChar w:fldCharType="begin" w:fldLock="1"/>
      </w:r>
      <w:r w:rsidR="00DA76DD">
        <w:instrText>ADDIN CSL_CITATION { "citationItems" : [ { "id" : "ITEM-1", "itemData" : { "DOI" : "10.1007/s10898-013-0134-2", "ISSN" : "15732916", "abstract" : "Feature selection plays an important role in the successful application of machine learning techniques to large real-world datasets. Avoiding model overfitting, especially when the number of features far exceeds the number of observations, requires selecting informative features and/or eliminating irrelevant ones. Searching for an optimal subset of features can be computationally expensive. Functional magnetic resonance imaging (fMRI) produces datasets with such characteristics creating challenges for applying machine learning techniques to classify cognitive states based on fMRI data. In this study, we present an embedded feature selection framework that integrates sparse optimization for regularization (or sparse regularization) and classification. This optimization approach attempts to maximize training accuracy while simultaneously enforcing sparsity by penalizing the objective function for the coefficients of the features. This process allows many coefficients to become zero, which effectively eliminates their corresponding features from the classification model. To demonstrate the utility of the approach, we apply our framework to three different real-world fMRI datasets. The results show that regularized classifiers yield better classification accuracy, especially when the number of initial features is large. The results further show that sparse regularization is key to achieving scientifically-relevant generalizability and functional localization of classifier features. The approach is thus highly suited for analysis of fMRI data.", "author" : [ { "dropping-particle" : "", "family" : "Kampa", "given" : "K.", "non-dropping-particle" : "", "parse-names" : false, "suffix" : "" }, { "dropping-particle" : "", "family" : "Mehta", "given" : "S.", "non-dropping-particle" : "", "parse-names" : false, "suffix" : "" }, { "dropping-particle" : "", "family" : "Chou", "given" : "C. A.", "non-dropping-particle" : "", "parse-names" : false, "suffix" : "" }, { "dropping-particle" : "", "family" : "Chaovalitwongse", "given" : "W. A.", "non-dropping-particle" : "", "parse-names" : false, "suffix" : "" }, { "dropping-particle" : "", "family" : "Grabowski", "given" : "T. J.", "non-dropping-particle" : "", "parse-names" : false, "suffix" : "" } ], "container-title" : "Journal of Global Optimization", "id" : "ITEM-1", "issue" : "2-3", "issued" : { "date-parts" : [ [ "2014" ] ] }, "page" : "439-457", "title" : "Sparse optimization in feature selection: Application in neuroimaging", "type" : "article-journal", "volume" : "59" }, "uris" : [ "http://www.mendeley.com/documents/?uuid=526c3cb5-6d66-4abe-9d4b-dc4b82e32208" ] } ], "mendeley" : { "formattedCitation" : "(Kampa et al., 2014)", "plainTextFormattedCitation" : "(Kampa et al., 2014)", "previouslyFormattedCitation" : "(Kampa et al., 2014)" }, "properties" : {  }, "schema" : "https://github.com/citation-style-language/schema/raw/master/csl-citation.json" }</w:instrText>
      </w:r>
      <w:r w:rsidR="005B27F9">
        <w:fldChar w:fldCharType="separate"/>
      </w:r>
      <w:r w:rsidR="005B5DFF" w:rsidRPr="005B5DFF">
        <w:rPr>
          <w:noProof/>
        </w:rPr>
        <w:t>(Kampa et al., 2014)</w:t>
      </w:r>
      <w:r w:rsidR="005B27F9">
        <w:fldChar w:fldCharType="end"/>
      </w:r>
      <w:r w:rsidR="00C0363D">
        <w:t>, multiple kernel learning methods</w:t>
      </w:r>
      <w:r w:rsidR="005B27F9">
        <w:t xml:space="preserve"> </w:t>
      </w:r>
      <w:r w:rsidR="005B27F9">
        <w:fldChar w:fldCharType="begin" w:fldLock="1"/>
      </w:r>
      <w:r w:rsidR="00DA76DD">
        <w:instrText>ADDIN CSL_CITATION { "citationItems" : [ { "id" : "ITEM-1", "itemData" : { "DOI" : "10.1007/s12021-017-9347-8", "ISSN" : "1539-2791", "author" : [ { "dropping-particle" : "", "family" : "Schrouff", "given" : "Jessica", "non-dropping-particle" : "", "parse-names" : false, "suffix" : "" }, { "dropping-particle" : "", "family" : "Monteiro", "given" : "J. M.", "non-dropping-particle" : "", "parse-names" : false, "suffix" : "" }, { "dropping-particle" : "", "family" : "Portugal", "given" : "L.", "non-dropping-particle" : "", "parse-names" : false, "suffix" : "" }, { "dropping-particle" : "", "family" : "Rosa", "given" : "M. J.", "non-dropping-particle" : "", "parse-names" : false, "suffix" : "" }, { "dropping-particle" : "", "family" : "Phillips", "given" : "C.", "non-dropping-particle" : "", "parse-names" : false, "suffix" : "" }, { "dropping-particle" : "", "family" : "Mour\u00e3o-Miranda", "given" : "J.", "non-dropping-particle" : "", "parse-names" : false, "suffix" : "" } ], "container-title" : "Neuroinformatics", "id" : "ITEM-1", "issued" : { "date-parts" : [ [ "2018", "1", "3" ] ] }, "page" : "1-27", "publisher" : "Springer US", "title" : "Embedding Anatomical or Functional Knowledge in Whole-Brain Multiple Kernel Learning Models", "type" : "article-journal" }, "uris" : [ "http://www.mendeley.com/documents/?uuid=cb2d7861-1034-39bd-8551-bcd0be771267" ] } ], "mendeley" : { "formattedCitation" : "(Schrouff et al., 2018)", "plainTextFormattedCitation" : "(Schrouff et al., 2018)", "previouslyFormattedCitation" : "(Schrouff et al., 2018)" }, "properties" : {  }, "schema" : "https://github.com/citation-style-language/schema/raw/master/csl-citation.json" }</w:instrText>
      </w:r>
      <w:r w:rsidR="005B27F9">
        <w:fldChar w:fldCharType="separate"/>
      </w:r>
      <w:r w:rsidR="005B5DFF" w:rsidRPr="005B5DFF">
        <w:rPr>
          <w:noProof/>
        </w:rPr>
        <w:t>(Schrouff et al., 2018)</w:t>
      </w:r>
      <w:r w:rsidR="005B27F9">
        <w:fldChar w:fldCharType="end"/>
      </w:r>
      <w:r w:rsidR="00C0363D">
        <w:t>, etc.)</w:t>
      </w:r>
      <w:r w:rsidR="00437A05">
        <w:t xml:space="preserve"> and these methods merit exploration to assess consistency with our findings.</w:t>
      </w:r>
      <w:r w:rsidR="00C0363D">
        <w:t xml:space="preserve"> </w:t>
      </w:r>
      <w:r w:rsidR="00902857">
        <w:t xml:space="preserve">Lastly, </w:t>
      </w:r>
      <w:bookmarkStart w:id="109" w:name="OLE_LINK139"/>
      <w:bookmarkStart w:id="110" w:name="OLE_LINK140"/>
      <w:r w:rsidR="00902857">
        <w:t>MVPA (like univariate analysis) benefits from the larger statistical power afforded by large sample sizes; the relative small sample size in this study was a limitation meaning that we had the power to detect only large effects.</w:t>
      </w:r>
      <w:bookmarkEnd w:id="109"/>
      <w:bookmarkEnd w:id="110"/>
    </w:p>
    <w:p w14:paraId="562A959B" w14:textId="77777777" w:rsidR="00DF3C8B" w:rsidRDefault="00DF3C8B" w:rsidP="00DF3C8B">
      <w:pPr>
        <w:pStyle w:val="Heading1"/>
        <w:spacing w:line="480" w:lineRule="auto"/>
      </w:pPr>
      <w:r>
        <w:t>Conclusion</w:t>
      </w:r>
    </w:p>
    <w:p w14:paraId="3ABA3DEA" w14:textId="63894ADE" w:rsidR="00DF3C8B" w:rsidRDefault="00DF3C8B" w:rsidP="00DF3C8B">
      <w:pPr>
        <w:spacing w:line="480" w:lineRule="auto"/>
      </w:pPr>
      <w:r>
        <w:t xml:space="preserve">The results of this study are consistent with the hypothesis that pain catastrophizing is characterised by magnification of aversive value encoding in cingulate and parietal cortices, possibly reflecting the initiation of cognitive control mechanisms. </w:t>
      </w:r>
      <w:bookmarkStart w:id="111" w:name="OLE_LINK72"/>
      <w:bookmarkStart w:id="112" w:name="OLE_LINK73"/>
      <w:bookmarkStart w:id="113" w:name="OLE_LINK74"/>
      <w:r>
        <w:t xml:space="preserve">Our results provide an initial indication of neural targets that can be further tested as </w:t>
      </w:r>
      <w:r w:rsidR="00BB392A" w:rsidRPr="00C31639">
        <w:rPr>
          <w:color w:val="000000" w:themeColor="text1"/>
        </w:rPr>
        <w:t>predictors of</w:t>
      </w:r>
      <w:r w:rsidRPr="00C31639">
        <w:rPr>
          <w:color w:val="000000" w:themeColor="text1"/>
        </w:rPr>
        <w:t xml:space="preserve"> chronic pain and disability</w:t>
      </w:r>
      <w:bookmarkEnd w:id="111"/>
      <w:bookmarkEnd w:id="112"/>
      <w:bookmarkEnd w:id="113"/>
      <w:r w:rsidR="005E5853" w:rsidRPr="00C31639">
        <w:rPr>
          <w:color w:val="000000" w:themeColor="text1"/>
        </w:rPr>
        <w:t xml:space="preserve">. Specifically, the results point to the importance of measuring anticipatory neural processes, as in our study these best differentiated high and low catastrophizing groups. This indicates that nociceptive responses may not provide sufficient information regarding mechanisms of interest to pain catastrophizing. </w:t>
      </w:r>
      <w:r w:rsidR="003750B9">
        <w:t>W</w:t>
      </w:r>
      <w:r>
        <w:t xml:space="preserve">e have highlighted the utility of EEG for identifying temporally-defined neural patterns that have potential as biomarkers of maladaptive cognition and we have pointed to the need for further research identifying optimal methodologies for biomarker development. </w:t>
      </w:r>
    </w:p>
    <w:p w14:paraId="366DE730" w14:textId="77777777" w:rsidR="00DF3C8B" w:rsidRDefault="00DF3C8B" w:rsidP="00DF3C8B">
      <w:pPr>
        <w:pStyle w:val="Heading1"/>
        <w:spacing w:line="480" w:lineRule="auto"/>
      </w:pPr>
      <w:r>
        <w:t>Acknowledgements</w:t>
      </w:r>
    </w:p>
    <w:p w14:paraId="314ADF33" w14:textId="77777777" w:rsidR="00DF3C8B" w:rsidRPr="00F13A1B" w:rsidRDefault="00DF3C8B" w:rsidP="00DF3C8B">
      <w:pPr>
        <w:spacing w:line="480" w:lineRule="auto"/>
      </w:pPr>
      <w:r>
        <w:t xml:space="preserve">The authors declare no conflicts of interest. This research was funded by a </w:t>
      </w:r>
      <w:bookmarkStart w:id="114" w:name="OLE_LINK84"/>
      <w:r>
        <w:t>PhD scholarship awarded to Abeer F. Almarzouki from the Government of Saudi Arabia.</w:t>
      </w:r>
      <w:bookmarkEnd w:id="114"/>
    </w:p>
    <w:p w14:paraId="5AE9583B" w14:textId="76B26F8A" w:rsidR="00690139" w:rsidRDefault="00690139" w:rsidP="007512FC">
      <w:pPr>
        <w:spacing w:line="480" w:lineRule="auto"/>
      </w:pPr>
    </w:p>
    <w:p w14:paraId="56C3EF4B" w14:textId="77777777" w:rsidR="00DF3C8B" w:rsidRDefault="00DF3C8B">
      <w:pPr>
        <w:rPr>
          <w:rFonts w:asciiTheme="majorHAnsi" w:eastAsiaTheme="majorEastAsia" w:hAnsiTheme="majorHAnsi" w:cstheme="majorBidi"/>
          <w:b/>
          <w:bCs/>
          <w:caps/>
          <w:color w:val="002060"/>
          <w:spacing w:val="4"/>
          <w:sz w:val="28"/>
          <w:szCs w:val="28"/>
        </w:rPr>
      </w:pPr>
      <w:r>
        <w:br w:type="page"/>
      </w:r>
    </w:p>
    <w:p w14:paraId="2023EEAB" w14:textId="20617B4D" w:rsidR="003C6B00" w:rsidRDefault="003C6B00" w:rsidP="003C6B00">
      <w:pPr>
        <w:pStyle w:val="Heading1"/>
        <w:spacing w:line="480" w:lineRule="auto"/>
      </w:pPr>
      <w:r>
        <w:t>Supplementary Methods</w:t>
      </w:r>
    </w:p>
    <w:p w14:paraId="0CB2AA15" w14:textId="77777777" w:rsidR="00A3509D" w:rsidRPr="00951ECF" w:rsidRDefault="00A3509D" w:rsidP="00A3509D">
      <w:pPr>
        <w:pStyle w:val="Heading2"/>
        <w:spacing w:line="480" w:lineRule="auto"/>
      </w:pPr>
      <w:r w:rsidRPr="00951ECF">
        <w:t>Latency windows used for EEG analysis</w:t>
      </w:r>
    </w:p>
    <w:p w14:paraId="3D339111" w14:textId="400498C2" w:rsidR="00A3509D" w:rsidRPr="00A62C45" w:rsidRDefault="00A3509D" w:rsidP="00A3509D">
      <w:pPr>
        <w:spacing w:line="480" w:lineRule="auto"/>
      </w:pPr>
      <w:r>
        <w:t>For both univariate and multivariate analyses of EEG data, analysis of cue processing was restricted to the first 1500ms following the first cue rather than utilising the whole window up until the laser stimulus. This served two purposes: (1) for MVPA, reducing the feature space as far as possible to minimise over-fitting, (2) removing ERP signals at around the time of 2000ms after each cue, at which time the offset of the visual cues occurred, which generated small additional visual-evoked responses that were not of interest in the analysis. The first</w:t>
      </w:r>
      <w:r w:rsidRPr="000111FD">
        <w:t xml:space="preserve"> 1500ms</w:t>
      </w:r>
      <w:r>
        <w:t xml:space="preserve"> post-cue</w:t>
      </w:r>
      <w:r w:rsidRPr="000111FD">
        <w:t xml:space="preserve"> </w:t>
      </w:r>
      <w:r>
        <w:t xml:space="preserve">is likely sufficient to include both conventional visual evoked responses to the cues and subsequent anticipatory responses prior to the laser stimuli, which can be assumed to change as a matter of degree rather than kind from that point on. This is suggested by our previous work showing mid-range anticipatory responses having the same character as that of late-range (immediately pre-laser) responses </w:t>
      </w:r>
      <w:r>
        <w:fldChar w:fldCharType="begin" w:fldLock="1"/>
      </w:r>
      <w:r w:rsidR="00DA76DD">
        <w:instrText>ADDIN CSL_CITATION { "citationItems" : [ { "id" : "ITEM-1", "itemData" : { "DOI" : "10.1016/j.pain.2007.05.022", "ISSN" : "1872-6623", "PMID" : "17614199", "abstract" : "Expectations about the magnitude of impending pain exert a substantial effect on subsequent perception. However, the neural mechanisms that underlie the predictive processes that modulate pain are poorly understood. In a combined behavioral and high-density electrophysiological study we measured anticipatory neural responses to heat stimuli to determine how predictions of pain intensity, and certainty about those predictions, modulate brain activity and subjective pain ratings. Prior to receiving randomized laser heat stimuli at different intensities (low, medium or high) subjects (n=15) viewed cues that either accurately informed them of forthcoming intensity (certain expectation) or not (uncertain expectation). Pain ratings were biased towards prior expectations of either high or low intensity. Anticipatory neural responses increased with expectations of painful vs. non-painful heat intensity, suggesting the presence of neural responses that represent predicted heat stimulus intensity. These anticipatory responses also correlated with the amplitude of the Laser-Evoked Potential (LEP) response to painful stimuli when the intensity was predictable. Source analysis (LORETA) revealed that uncertainty about expected heat intensity involves an anticipatory cortical network commonly associated with attention (left dorsolateral prefrontal, posterior cingulate and bilateral inferior parietal cortices). Relative certainty, however, involves cortical areas previously associated with semantic and prospective memory (left inferior frontal and inferior temporal cortex, and right anterior prefrontal cortex). This suggests that biasing of pain reports and LEPs by expectation involves temporally precise activity in specific cortical networks.", "author" : [ { "dropping-particle" : "", "family" : "Brown", "given" : "Christopher A", "non-dropping-particle" : "", "parse-names" : false, "suffix" : "" }, { "dropping-particle" : "", "family" : "Seymour", "given" : "Ben", "non-dropping-particle" : "", "parse-names" : false, "suffix" : "" }, { "dropping-particle" : "", "family" : "Boyle", "given" : "Yvonne", "non-dropping-particle" : "", "parse-names" : false, "suffix" : "" }, { "dropping-particle" : "", "family" : "El-Deredy", "given" : "Wael", "non-dropping-particle" : "", "parse-names" : false, "suffix" : "" }, { "dropping-particle" : "", "family" : "Jones", "given" : "Anthony K P", "non-dropping-particle" : "", "parse-names" : false, "suffix" : "" } ], "container-title" : "Pain", "id" : "ITEM-1", "issue" : "3", "issued" : { "date-parts" : [ [ "2008", "5" ] ] }, "page" : "240-250", "title" : "Modulation of pain perception by expectation and uncertainty: behavioral characteristics and anticipatory neural correlates", "type" : "article-journal", "volume" : "135" }, "uris" : [ "http://www.mendeley.com/documents/?uuid=6d1aa02a-39ab-4d4c-9ef8-6fc4bfe1f06c" ] } ], "mendeley" : { "formattedCitation" : "(Brown et al., 2008a)", "plainTextFormattedCitation" : "(Brown et al., 2008a)", "previouslyFormattedCitation" : "(Brown et al., 2008a)" }, "properties" : {  }, "schema" : "https://github.com/citation-style-language/schema/raw/master/csl-citation.json" }</w:instrText>
      </w:r>
      <w:r>
        <w:fldChar w:fldCharType="separate"/>
      </w:r>
      <w:r w:rsidRPr="005B5DFF">
        <w:rPr>
          <w:noProof/>
        </w:rPr>
        <w:t>(Brown et al., 2008a)</w:t>
      </w:r>
      <w:r>
        <w:fldChar w:fldCharType="end"/>
      </w:r>
      <w:r>
        <w:t>.</w:t>
      </w:r>
    </w:p>
    <w:p w14:paraId="69FE0B34" w14:textId="77777777" w:rsidR="0020571F" w:rsidRDefault="0020571F" w:rsidP="00604241">
      <w:pPr>
        <w:pStyle w:val="Heading2"/>
      </w:pPr>
      <w:r>
        <w:t>EEG sensor data: Mass univariate analysis (MUA)</w:t>
      </w:r>
    </w:p>
    <w:p w14:paraId="63EE21A7" w14:textId="01AFE6D9" w:rsidR="00A3509D" w:rsidRDefault="0020571F" w:rsidP="0020571F">
      <w:pPr>
        <w:spacing w:line="480" w:lineRule="auto"/>
        <w:rPr>
          <w:color w:val="000000"/>
        </w:rPr>
      </w:pPr>
      <w:r>
        <w:t xml:space="preserve">Sensor analyses were conducted by converting sensor-by-time EEG data to three-dimensional images using the Statistical Parametric Mapping software (SPM12, </w:t>
      </w:r>
      <w:hyperlink r:id="rId15" w:history="1">
        <w:r w:rsidRPr="00E562A9">
          <w:t>www.fil.ion.ucl.ac.uk/spm</w:t>
        </w:r>
      </w:hyperlink>
      <w:r>
        <w:t>)</w:t>
      </w:r>
      <w:r w:rsidRPr="000077AD">
        <w:t xml:space="preserve"> </w:t>
      </w:r>
      <w:r>
        <w:fldChar w:fldCharType="begin" w:fldLock="1"/>
      </w:r>
      <w:r w:rsidR="00DA76DD">
        <w:instrText>ADDIN CSL_CITATION { "citationItems" : [ { "id" : "ITEM-1", "itemData" : { "PMID" : "18639641", "abstract" : "The aim of this paper is to describe a simple procedure for electromagnetic (EEG or MEG) source reconstruction, in the context of group studies. This entails a simple extension of existing source reconstruction techniques based upon the inversion of hierarchical models. The extension ensures that evoked or induced responses are reconstructed in the same subset of sources, over subjects. Effectively, the procedure aligns the deployment of reconstructed activity over subjects and increases, substantially, the detection of differences between evoked or induced responses at the group or between-subject level", "author" : [ { "dropping-particle" : "", "family" : "Litvak", "given" : "V", "non-dropping-particle" : "", "parse-names" : false, "suffix" : "" }, { "dropping-particle" : "", "family" : "Friston", "given" : "K", "non-dropping-particle" : "", "parse-names" : false, "suffix" : "" } ], "container-title" : "Neuroimage", "id" : "ITEM-1", "issue" : "1095-9572 (Electronic)", "issued" : { "date-parts" : [ [ "2008", "10", "1" ] ] }, "language" : "eng PT - Journal Article PT - Research Support, Non-U.S. Gov't SB - IM", "note" : "DA - 20080908", "page" : "1490-1498", "publisher-place" : "The Wellcome Trust Centre for Neuroimaging, University College London, UK. v.litvak@ion.ucl.ac.uk", "title" : "Electromagnetic source reconstruction for group studies", "type" : "article-journal", "volume" : "42" }, "uris" : [ "http://www.mendeley.com/documents/?uuid=bf06d3a6-b333-470d-a7e7-77627664acc6" ] } ], "mendeley" : { "formattedCitation" : "(Litvak and Friston, 2008)", "plainTextFormattedCitation" : "(Litvak and Friston, 2008)", "previouslyFormattedCitation" : "(Litvak and Friston, 2008)" }, "properties" : {  }, "schema" : "https://github.com/citation-style-language/schema/raw/master/csl-citation.json" }</w:instrText>
      </w:r>
      <w:r>
        <w:fldChar w:fldCharType="separate"/>
      </w:r>
      <w:r w:rsidRPr="005B5DFF">
        <w:rPr>
          <w:noProof/>
        </w:rPr>
        <w:t>(Litvak and Friston, 2008)</w:t>
      </w:r>
      <w:r>
        <w:fldChar w:fldCharType="end"/>
      </w:r>
      <w:r>
        <w:t xml:space="preserve">, and subjecting these to mass univariate analysis (in SPM12) with correction for multiple comparisons using random field theory. This is </w:t>
      </w:r>
      <w:r w:rsidRPr="00415A55">
        <w:rPr>
          <w:color w:val="000000"/>
        </w:rPr>
        <w:t>the standard approach</w:t>
      </w:r>
      <w:r>
        <w:rPr>
          <w:color w:val="000000"/>
        </w:rPr>
        <w:t xml:space="preserve"> to EEG analysis</w:t>
      </w:r>
      <w:r w:rsidRPr="00415A55">
        <w:rPr>
          <w:color w:val="000000"/>
        </w:rPr>
        <w:t xml:space="preserve"> implemented in S</w:t>
      </w:r>
      <w:r>
        <w:rPr>
          <w:color w:val="000000"/>
        </w:rPr>
        <w:t xml:space="preserve">PM12 </w:t>
      </w:r>
      <w:r>
        <w:rPr>
          <w:color w:val="000000"/>
        </w:rPr>
        <w:fldChar w:fldCharType="begin" w:fldLock="1"/>
      </w:r>
      <w:r w:rsidR="00DA76DD">
        <w:rPr>
          <w:color w:val="000000"/>
        </w:rPr>
        <w:instrText>ADDIN CSL_CITATION { "citationItems" : [ { "id" : "ITEM-1", "itemData" : { "DOI" : "10.1155/2011/852961", "ISSN" : "1687-5273", "PMID" : "21437221", "abstract" : "SPM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"852961", "publisher" : "Hindawi Publishing Corporation", "title" : "EEG and MEG data analysis in SPM8.", "type" : "article-journal", "volume" : "2011" }, "uris" : [ "http://www.mendeley.com/documents/?uuid=e8d5e461-8d5a-32e0-b514-9b38a97e5d44" ] } ], "mendeley" : { "formattedCitation" : "(Litvak et al., 2011)", "plainTextFormattedCitation" : "(Litvak et al., 2011)", "previouslyFormattedCitation" : "(Litvak et al., 2011)" }, "properties" : {  }, "schema" : "https://github.com/citation-style-language/schema/raw/master/csl-citation.json" }</w:instrText>
      </w:r>
      <w:r>
        <w:rPr>
          <w:color w:val="000000"/>
        </w:rPr>
        <w:fldChar w:fldCharType="separate"/>
      </w:r>
      <w:r w:rsidRPr="005B5DFF">
        <w:rPr>
          <w:noProof/>
          <w:color w:val="000000"/>
        </w:rPr>
        <w:t>(Litvak et al., 2011)</w:t>
      </w:r>
      <w:r>
        <w:rPr>
          <w:color w:val="000000"/>
        </w:rPr>
        <w:fldChar w:fldCharType="end"/>
      </w:r>
      <w:r>
        <w:rPr>
          <w:color w:val="000000"/>
        </w:rPr>
        <w:t xml:space="preserve">. </w:t>
      </w:r>
      <w:r w:rsidR="00A3509D" w:rsidRPr="003B6D1C">
        <w:t xml:space="preserve">This analysis deals with the multiple comparisons problem (in this case, statistical inference over many </w:t>
      </w:r>
      <w:proofErr w:type="spellStart"/>
      <w:r w:rsidR="00A3509D" w:rsidRPr="003B6D1C">
        <w:t>peri</w:t>
      </w:r>
      <w:proofErr w:type="spellEnd"/>
      <w:r w:rsidR="00A3509D" w:rsidRPr="003B6D1C">
        <w:t>-stimulus time points and many electrodes) in a way that does not require narrowing down the search space by making assumptions as to the precise timing or topographic location of physiologically important events. More precisely, random field theory (RFT) is used to make inferences over</w:t>
      </w:r>
      <w:r w:rsidR="00A3509D">
        <w:t xml:space="preserve"> space and time while adjusting </w:t>
      </w:r>
      <w:r w:rsidR="00A3509D" w:rsidRPr="00713E9B">
        <w:rPr>
          <w:i/>
        </w:rPr>
        <w:t>p</w:t>
      </w:r>
      <w:r w:rsidR="00A3509D">
        <w:t>-</w:t>
      </w:r>
      <w:r w:rsidR="00A3509D" w:rsidRPr="003B6D1C">
        <w:t>values in a way that takes into account the non-independence of neighbouring sensors and time-points</w:t>
      </w:r>
      <w:r w:rsidR="00A3509D">
        <w:t xml:space="preserve"> </w:t>
      </w:r>
      <w:r w:rsidR="00A3509D">
        <w:fldChar w:fldCharType="begin" w:fldLock="1"/>
      </w:r>
      <w:r w:rsidR="00DA76DD">
        <w:instrText>ADDIN CSL_CITATION { "citationItems" : [ { "id" : "ITEM-1", "itemData" : { "DOI" : "10.1155/2011/852961", "ISSN" : "1687-5273", "PMID" : "21437221", "abstract" : "SPM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"852961", "publisher" : "Hindawi Publishing Corporation", "title" : "EEG and MEG data analysis in SPM8.", "type" : "article-journal", "volume" : "2011" }, "uris" : [ "http://www.mendeley.com/documents/?uuid=e8d5e461-8d5a-32e0-b514-9b38a97e5d44" ] } ], "mendeley" : { "formattedCitation" : "(Litvak et al., 2011)", "plainTextFormattedCitation" : "(Litvak et al., 2011)", "previouslyFormattedCitation" : "(Litvak et al., 2011)" }, "properties" : {  }, "schema" : "https://github.com/citation-style-language/schema/raw/master/csl-citation.json" }</w:instrText>
      </w:r>
      <w:r w:rsidR="00A3509D">
        <w:fldChar w:fldCharType="separate"/>
      </w:r>
      <w:r w:rsidR="00A3509D" w:rsidRPr="005B5DFF">
        <w:rPr>
          <w:noProof/>
        </w:rPr>
        <w:t>(Litvak et al., 2011)</w:t>
      </w:r>
      <w:r w:rsidR="00A3509D">
        <w:fldChar w:fldCharType="end"/>
      </w:r>
      <w:r w:rsidR="00A3509D" w:rsidRPr="003B6D1C">
        <w:t>. Applying to smooth data, the RFT adjustment is more sensitive than a Bonferroni correction. Hence, after data conversion from EEGLAB to SPM format, for each participant, experiment and digit, SPM EEG sensor data were transformed to 3-D Scalp [x, y] × Time [z] images</w:t>
      </w:r>
      <w:r w:rsidR="00A3509D">
        <w:t xml:space="preserve"> </w:t>
      </w:r>
      <w:r w:rsidR="00A3509D" w:rsidRPr="003B6D1C">
        <w:t xml:space="preserve">and smoothed in the spatial dimension to 12mm full-width half-maximum (FWHM). </w:t>
      </w:r>
      <w:r w:rsidR="00A3509D" w:rsidRPr="008E6F84">
        <w:t xml:space="preserve"> </w:t>
      </w:r>
    </w:p>
    <w:p w14:paraId="1943325F" w14:textId="3AAB6008" w:rsidR="00E01C81" w:rsidRDefault="0020571F" w:rsidP="0020571F">
      <w:pPr>
        <w:spacing w:line="480" w:lineRule="auto"/>
        <w:rPr>
          <w:color w:val="000000"/>
        </w:rPr>
      </w:pPr>
      <w:r>
        <w:rPr>
          <w:color w:val="000000"/>
        </w:rPr>
        <w:t>General Linear Models (GLMs) were estimated at the group level consisting of the between-subject factors Subject and Group (High PC, Low PC), the within-subject effect of interest (either aversive valuation effect, pain intensity effect or prior expectancy effect in different models) and a further within-subject factor of Block. The Block variable was a nuisance variable included to account for data variability related to the different tasks in blocks 1 and 2.</w:t>
      </w:r>
      <w:r w:rsidRPr="00CB0445">
        <w:rPr>
          <w:color w:val="000000"/>
        </w:rPr>
        <w:t xml:space="preserve"> </w:t>
      </w:r>
      <w:r>
        <w:rPr>
          <w:color w:val="000000"/>
        </w:rPr>
        <w:t xml:space="preserve">More specifically, the GLM model of the cue valuation effect (High cue &gt; Low cue) included EEG data from the time window of 0ms to 1500ms after High cues (conditions 3 and 4) and contrasted to the same time window after Low cues (conditions 1 and 2; see figure 1). The pain intensity and prior expectancy effects on nociceptive processing were both </w:t>
      </w:r>
      <w:r w:rsidRPr="00E03BEB">
        <w:t>modelled using the time window of 0ms to 1500ms post-laser stimulus. In both cases, EEG sensor images were first baseline corrected to the 500ms preceding the window-of-interest (relatively long 500ms baselines were used so that resulting ERP estimates were less susceptible to transient baseline noise). For each GLM</w:t>
      </w:r>
      <w:r>
        <w:rPr>
          <w:color w:val="000000"/>
        </w:rPr>
        <w:t xml:space="preserve">, three F-contrasts were relevant: (1) the main within-subjects effect of interest (aversive valuation, pain intensity or prior expectancy effect), (2) the main effect of Group (between-subjects factor of interest), (2) the interaction of these between and within-subjects factors. </w:t>
      </w:r>
    </w:p>
    <w:p w14:paraId="3BBBB553" w14:textId="6A7FA19B" w:rsidR="0020571F" w:rsidRDefault="0020571F" w:rsidP="0020571F">
      <w:pPr>
        <w:spacing w:line="480" w:lineRule="auto"/>
        <w:rPr>
          <w:color w:val="000000"/>
        </w:rPr>
      </w:pPr>
      <w:r>
        <w:rPr>
          <w:color w:val="000000"/>
        </w:rPr>
        <w:t>For any statistical models in which there was an imbalance in the number of trials between conditions in the design (for example, in contrast 2 between medium and low intensity laser stimuli), trials were randomly sampled (once only per subject/condition) from the condition with the larger number of trials to match the number in the conditions with the smaller number. This balancing was also critically important for subsequent MVPA analyses to ensure validity of the results.</w:t>
      </w:r>
    </w:p>
    <w:p w14:paraId="3D679665" w14:textId="464B8518" w:rsidR="00F24018" w:rsidRPr="00F24018" w:rsidRDefault="00F24018" w:rsidP="00F24018">
      <w:pPr>
        <w:spacing w:line="480" w:lineRule="auto"/>
        <w:rPr>
          <w:color w:val="000000"/>
        </w:rPr>
      </w:pPr>
      <w:r>
        <w:rPr>
          <w:color w:val="000000"/>
        </w:rPr>
        <w:t>A final consideration is as to whether to control for extraneous variables such as trait anxiety (which may confound the results owing to overlap with the construct of PC) in the statistical analyses. This was not done for the following reasons.</w:t>
      </w:r>
      <w:r w:rsidRPr="00F24018">
        <w:rPr>
          <w:color w:val="000000"/>
        </w:rPr>
        <w:t xml:space="preserve"> </w:t>
      </w:r>
      <w:r>
        <w:rPr>
          <w:color w:val="000000"/>
        </w:rPr>
        <w:t xml:space="preserve">Firstly, </w:t>
      </w:r>
      <w:r w:rsidRPr="00F24018">
        <w:rPr>
          <w:color w:val="000000"/>
        </w:rPr>
        <w:t>regression with multiple predictors requires larger sample sizes than regression with single predictors, which the study was not designed to ac</w:t>
      </w:r>
      <w:r>
        <w:rPr>
          <w:color w:val="000000"/>
        </w:rPr>
        <w:t>commodate; r</w:t>
      </w:r>
      <w:r w:rsidRPr="00F24018">
        <w:rPr>
          <w:color w:val="000000"/>
        </w:rPr>
        <w:t>esults would</w:t>
      </w:r>
      <w:r>
        <w:rPr>
          <w:color w:val="000000"/>
        </w:rPr>
        <w:t xml:space="preserve"> therefore</w:t>
      </w:r>
      <w:r w:rsidRPr="00F24018">
        <w:rPr>
          <w:color w:val="000000"/>
        </w:rPr>
        <w:t xml:space="preserve"> be at gr</w:t>
      </w:r>
      <w:r>
        <w:rPr>
          <w:color w:val="000000"/>
        </w:rPr>
        <w:t>eater risk type II error rates. Secondly, t</w:t>
      </w:r>
      <w:r w:rsidRPr="00F24018">
        <w:rPr>
          <w:color w:val="000000"/>
        </w:rPr>
        <w:t>he use of multiple regression to establish incremental validity is associated with extremel</w:t>
      </w:r>
      <w:r>
        <w:rPr>
          <w:color w:val="000000"/>
        </w:rPr>
        <w:t xml:space="preserve">y high type I error rates (see </w:t>
      </w:r>
      <w:r w:rsidR="00DA76DD">
        <w:rPr>
          <w:color w:val="000000"/>
        </w:rPr>
        <w:fldChar w:fldCharType="begin" w:fldLock="1"/>
      </w:r>
      <w:r w:rsidR="00DA76DD">
        <w:rPr>
          <w:color w:val="000000"/>
        </w:rPr>
        <w:instrText>ADDIN CSL_CITATION { "citationItems" : [ { "id" : "ITEM-1", "itemData" : { "DOI" : "10.1371/journal.pone.0152719", "ISSN" : "1932-6203", "abstract" : "Social scientists often seek to demonstrate that a construct has incremental validity over and above other related constructs. However, these claims are typically supported by measurement-level models that fail to consider the effects of measurement (un)reliability. We use intuitive examples, Monte Carlo simulations, and a novel analytical framework to demonstrate that common strategies for establishing incremental construct validity using multiple regression analysis exhibit extremely high Type I error rates under parameter regimes common in many psychological domains. Counterintuitively, we find that error rates are highest\u2014in some cases approaching 100%\u2014when sample sizes are large and reliability is moderate. Our findings suggest that a potentially large proportion of incremental validity claims made in the literature are spurious. We present a web application (http://jakewestfall.org/ivy/) that readers can use to explore the statistical properties of these and other incremental validity arguments. We conclude by reviewing SEM-based statistical approaches that appropriately control the Type I error rate when attempting to establish incremental validity.", "author" : [ { "dropping-particle" : "", "family" : "Westfall", "given" : "Jacob", "non-dropping-particle" : "", "parse-names" : false, "suffix" : "" }, { "dropping-particle" : "", "family" : "Yarkoni", "given" : "Tal", "non-dropping-particle" : "", "parse-names" : false, "suffix" : "" } ], "container-title" : "PLOS ONE", "editor" : [ { "dropping-particle" : "", "family" : "Tran", "given" : "Ulrich S", "non-dropping-particle" : "", "parse-names" : false, "suffix" : "" } ], "id" : "ITEM-1", "issue" : "3", "issued" : { "date-parts" : [ [ "2016", "3", "31" ] ] }, "page" : "e0152719", "publisher" : "Public Library of Science", "title" : "Statistically Controlling for Confounding Constructs Is Harder than You Think", "type" : "article-journal", "volume" : "11" }, "uris" : [ "http://www.mendeley.com/documents/?uuid=c5bb9538-35b7-3851-bd73-406d42a9c619" ] } ], "mendeley" : { "formattedCitation" : "(Westfall and Yarkoni, 2016)", "manualFormatting" : "Westfall and Yarkoni, 2016", "plainTextFormattedCitation" : "(Westfall and Yarkoni, 2016)", "previouslyFormattedCitation" : "(Westfall and Yarkoni, 2016)" }, "properties" : {  }, "schema" : "https://github.com/citation-style-language/schema/raw/master/csl-citation.json" }</w:instrText>
      </w:r>
      <w:r w:rsidR="00DA76DD">
        <w:rPr>
          <w:color w:val="000000"/>
        </w:rPr>
        <w:fldChar w:fldCharType="separate"/>
      </w:r>
      <w:r w:rsidR="00DA76DD" w:rsidRPr="00DA76DD">
        <w:rPr>
          <w:noProof/>
          <w:color w:val="000000"/>
        </w:rPr>
        <w:t>Westfall and Yarkoni, 2016</w:t>
      </w:r>
      <w:r w:rsidR="00DA76DD">
        <w:rPr>
          <w:color w:val="000000"/>
        </w:rPr>
        <w:fldChar w:fldCharType="end"/>
      </w:r>
      <w:r>
        <w:rPr>
          <w:color w:val="000000"/>
        </w:rPr>
        <w:t xml:space="preserve"> </w:t>
      </w:r>
      <w:r w:rsidRPr="00F24018">
        <w:rPr>
          <w:color w:val="000000"/>
        </w:rPr>
        <w:t xml:space="preserve">for a detailed discussion). This means that conclusions in the literature that one construct contributes incrementally to an outcome, or that two constructs are theoretically distinct, are often unwarranted, although this depends on the reliability of the measurement. In particular, addressing questions of incremental validity is especially problematic when the nuisance covariate (e.g. trait anxiety scores on the STAI) is a noisy proxy for the underlying latent variable (e.g. trait anxiety), which is commonly a problem for self-report measures such as questionnaires. </w:t>
      </w:r>
    </w:p>
    <w:p w14:paraId="2B280E71" w14:textId="77777777" w:rsidR="0020571F" w:rsidRPr="00415A55" w:rsidRDefault="0020571F" w:rsidP="00604241">
      <w:pPr>
        <w:pStyle w:val="Heading2"/>
      </w:pPr>
      <w:r>
        <w:t>EEG s</w:t>
      </w:r>
      <w:r w:rsidRPr="00415A55">
        <w:t>ource</w:t>
      </w:r>
      <w:r>
        <w:t xml:space="preserve"> a</w:t>
      </w:r>
      <w:r w:rsidRPr="00415A55">
        <w:t>nalysis</w:t>
      </w:r>
    </w:p>
    <w:p w14:paraId="3ABEBDFF" w14:textId="6E2CECDC" w:rsidR="0020571F" w:rsidRDefault="0020571F" w:rsidP="0020571F">
      <w:pPr>
        <w:spacing w:line="480" w:lineRule="auto"/>
      </w:pPr>
      <w:r>
        <w:t>Further analysis aimed to identify sources of the ERPs during those time windows that showed statistically significant effects in the sensor analysis. Canonical s</w:t>
      </w:r>
      <w:r w:rsidRPr="00415A55">
        <w:t xml:space="preserve">ensor locations were </w:t>
      </w:r>
      <w:proofErr w:type="spellStart"/>
      <w:r w:rsidRPr="00415A55">
        <w:t>coregistered</w:t>
      </w:r>
      <w:proofErr w:type="spellEnd"/>
      <w:r w:rsidRPr="00415A55">
        <w:t xml:space="preserve"> with the canonical head model in SPM</w:t>
      </w:r>
      <w:r>
        <w:t>12</w:t>
      </w:r>
      <w:r w:rsidRPr="00415A55">
        <w:t xml:space="preserve">. </w:t>
      </w:r>
      <w:r>
        <w:t>L</w:t>
      </w:r>
      <w:r w:rsidRPr="00415A55">
        <w:t xml:space="preserve">ead field computation </w:t>
      </w:r>
      <w:r>
        <w:t>used a</w:t>
      </w:r>
      <w:r w:rsidRPr="00415A55">
        <w:t xml:space="preserve"> boundary element model</w:t>
      </w:r>
      <w:r>
        <w:t xml:space="preserve"> </w:t>
      </w:r>
      <w:r>
        <w:fldChar w:fldCharType="begin" w:fldLock="1"/>
      </w:r>
      <w:r w:rsidR="00DA76DD">
        <w:instrText>ADDIN CSL_CITATION { "citationItems" : [ { "id" : "ITEM-1", "itemData" : { "DOI" : "10.1155/2011/852961", "ISSN" : "1687-5273", "PMID" : "21437221", "abstract" : "SPM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"852961", "publisher" : "Hindawi Publishing Corporation", "title" : "EEG and MEG data analysis in SPM8.", "type" : "article-journal", "volume" : "2011" }, "uris" : [ "http://www.mendeley.com/documents/?uuid=e8d5e461-8d5a-32e0-b514-9b38a97e5d44" ] } ], "mendeley" : { "formattedCitation" : "(Litvak et al., 2011)", "plainTextFormattedCitation" : "(Litvak et al., 2011)", "previouslyFormattedCitation" : "(Litvak et al., 2011)" }, "properties" : {  }, "schema" : "https://github.com/citation-style-language/schema/raw/master/csl-citation.json" }</w:instrText>
      </w:r>
      <w:r>
        <w:fldChar w:fldCharType="separate"/>
      </w:r>
      <w:r w:rsidRPr="005B5DFF">
        <w:rPr>
          <w:noProof/>
        </w:rPr>
        <w:t>(Litvak et al., 2011)</w:t>
      </w:r>
      <w:r>
        <w:fldChar w:fldCharType="end"/>
      </w:r>
      <w:r w:rsidRPr="00415A55">
        <w:t xml:space="preserve">. </w:t>
      </w:r>
      <w:r>
        <w:t xml:space="preserve">The </w:t>
      </w:r>
      <w:r w:rsidRPr="00415A55">
        <w:t xml:space="preserve">Bayesian source reconstruction method </w:t>
      </w:r>
      <w:r>
        <w:t>in SPM12 was used</w:t>
      </w:r>
      <w:r w:rsidRPr="00415A55">
        <w:t xml:space="preserve"> with </w:t>
      </w:r>
      <w:r>
        <w:t xml:space="preserve">Multiple Spare Priors </w:t>
      </w:r>
      <w:r>
        <w:fldChar w:fldCharType="begin" w:fldLock="1"/>
      </w:r>
      <w:r w:rsidR="00DA76DD">
        <w:instrText>ADDIN CSL_CITATION { "citationItems" : [ { "id" : "ITEM-1", "itemData" : { "author" : [ { "dropping-particle" : "", "family" : "Friston", "given" : "K", "non-dropping-particle" : "", "parse-names" : false, "suffix" : "" }, { "dropping-particle" : "", "family" : "Harrison", "given" : "L", "non-dropping-particle" : "", "parse-names" : false, "suffix" : "" }, { "dropping-particle" : "", "family" : "Daunizeau", "given" : "J", "non-dropping-particle" : "", "parse-names" : false, "suffix" : "" }, { "dropping-particle" : "", "family" : "Kiebel", "given" : "S", "non-dropping-particle" : "", "parse-names" : false, "suffix" : "" }, { "dropping-particle" : "", "family" : "Phillips", "given" : "C", "non-dropping-particle" : "", "parse-names" : false, "suffix" : "" }, { "dropping-particle" : "", "family" : "Trujillo-Barreto", "given" : "N", "non-dropping-particle" : "", "parse-names" : false, "suffix" : "" }, { "dropping-particle" : "", "family" : "Henson", "given" : "R", "non-dropping-particle" : "", "parse-names" : false, "suffix" : "" }, { "dropping-particle" : "", "family" : "Flandin", "given" : "G", "non-dropping-particle" : "", "parse-names" : false, "suffix" : "" }, { "dropping-particle" : "", "family" : "Mattout", "given" : "J", "non-dropping-particle" : "", "parse-names" : false, "suffix" : "" } ], "container-title" : "Neuroimage", "id" : "ITEM-1", "issue" : "3", "issued" : { "date-parts" : [ [ "2008" ] ] }, "note" : "Cited By (since 1996): 29&lt;m:linebreak&gt;&lt;/m:linebreak&gt;Export Date: 9 August 2010&lt;m:linebreak&gt;&lt;/m:linebreak&gt;Source: Scopus", "page" : "1104-1120", "title" : "Multiple sparse priors for the M/EEG inverse problem", "type" : "article-journal", "volume" : "39" }, "uris" : [ "http://www.mendeley.com/documents/?uuid=48a057a2-5f49-4fa5-bffc-409f60c7b998" ] } ], "mendeley" : { "formattedCitation" : "(Friston et al., 2008)", "plainTextFormattedCitation" : "(Friston et al., 2008)", "previouslyFormattedCitation" : "(Friston et al., 2008)" }, "properties" : {  }, "schema" : "https://github.com/citation-style-language/schema/raw/master/csl-citation.json" }</w:instrText>
      </w:r>
      <w:r>
        <w:fldChar w:fldCharType="separate"/>
      </w:r>
      <w:r w:rsidRPr="005B5DFF">
        <w:rPr>
          <w:noProof/>
        </w:rPr>
        <w:t>(Friston et al., 2008)</w:t>
      </w:r>
      <w:r>
        <w:fldChar w:fldCharType="end"/>
      </w:r>
      <w:r w:rsidRPr="00415A55">
        <w:t xml:space="preserve"> to </w:t>
      </w:r>
      <w:r>
        <w:t>estimate</w:t>
      </w:r>
      <w:r w:rsidRPr="00415A55">
        <w:t xml:space="preserve"> source</w:t>
      </w:r>
      <w:r>
        <w:t>s</w:t>
      </w:r>
      <w:r w:rsidRPr="00415A55">
        <w:t xml:space="preserve"> </w:t>
      </w:r>
      <w:r>
        <w:t>across the temporal window-of-interest (the same windows as described above for sensor analysis</w:t>
      </w:r>
      <w:r w:rsidRPr="00415A55">
        <w:t xml:space="preserve">). </w:t>
      </w:r>
      <w:r>
        <w:t>Subsequently, s</w:t>
      </w:r>
      <w:r w:rsidRPr="00415A55">
        <w:t xml:space="preserve">ource activity was averaged </w:t>
      </w:r>
      <w:r>
        <w:t xml:space="preserve">in a series of smaller time clusters corresponding to the statistically significant effects from the sensor analyses. Using </w:t>
      </w:r>
      <w:r w:rsidRPr="009258B6">
        <w:rPr>
          <w:i/>
        </w:rPr>
        <w:t>F</w:t>
      </w:r>
      <w:r w:rsidRPr="00415A55">
        <w:t xml:space="preserve"> contrasts</w:t>
      </w:r>
      <w:r>
        <w:t>,</w:t>
      </w:r>
      <w:r w:rsidRPr="00415A55">
        <w:t xml:space="preserve"> </w:t>
      </w:r>
      <w:r>
        <w:t xml:space="preserve">significant </w:t>
      </w:r>
      <w:r w:rsidRPr="00415A55">
        <w:t xml:space="preserve">differences </w:t>
      </w:r>
      <w:r>
        <w:t xml:space="preserve">were identified </w:t>
      </w:r>
      <w:r w:rsidRPr="00415A55">
        <w:t>in source spac</w:t>
      </w:r>
      <w:r>
        <w:t xml:space="preserve">e and reported </w:t>
      </w:r>
      <w:r w:rsidRPr="00415A55">
        <w:t>significant</w:t>
      </w:r>
      <w:r>
        <w:t xml:space="preserve"> at a cluster-level significance of</w:t>
      </w:r>
      <w:r w:rsidRPr="00415A55">
        <w:t xml:space="preserve"> </w:t>
      </w:r>
      <w:r w:rsidRPr="00067195">
        <w:rPr>
          <w:i/>
        </w:rPr>
        <w:t>p</w:t>
      </w:r>
      <w:r w:rsidRPr="00415A55">
        <w:t xml:space="preserve"> </w:t>
      </w:r>
      <w:r>
        <w:t xml:space="preserve">(FWE) </w:t>
      </w:r>
      <w:r w:rsidRPr="00415A55">
        <w:t xml:space="preserve">&lt; </w:t>
      </w:r>
      <w:r>
        <w:t xml:space="preserve">0.05 when considering statistical maps </w:t>
      </w:r>
      <w:proofErr w:type="spellStart"/>
      <w:r>
        <w:t>thresholded</w:t>
      </w:r>
      <w:proofErr w:type="spellEnd"/>
      <w:r>
        <w:t xml:space="preserve"> at </w:t>
      </w:r>
      <w:r w:rsidRPr="00067195">
        <w:rPr>
          <w:i/>
        </w:rPr>
        <w:t>p</w:t>
      </w:r>
      <w:r>
        <w:t xml:space="preserve"> &lt; 0.001</w:t>
      </w:r>
      <w:r w:rsidRPr="00415A55">
        <w:t>.</w:t>
      </w:r>
    </w:p>
    <w:p w14:paraId="428BBB46" w14:textId="77777777" w:rsidR="0020571F" w:rsidRDefault="0020571F" w:rsidP="00604241">
      <w:pPr>
        <w:pStyle w:val="Heading2"/>
      </w:pPr>
      <w:r>
        <w:t>EEG sensor data: multivariate pattern a</w:t>
      </w:r>
      <w:r w:rsidRPr="00415A55">
        <w:t>nalysis</w:t>
      </w:r>
      <w:r>
        <w:t xml:space="preserve"> (MVPA)</w:t>
      </w:r>
    </w:p>
    <w:p w14:paraId="059C4BE4" w14:textId="13C0402B" w:rsidR="0020571F" w:rsidRDefault="0020571F" w:rsidP="0020571F">
      <w:pPr>
        <w:spacing w:line="480" w:lineRule="auto"/>
      </w:pPr>
      <w:r>
        <w:t>MVPA involved learning classifiers on sensor images at the 2</w:t>
      </w:r>
      <w:r w:rsidRPr="00276E3D">
        <w:rPr>
          <w:vertAlign w:val="superscript"/>
        </w:rPr>
        <w:t>nd</w:t>
      </w:r>
      <w:r>
        <w:t xml:space="preserve"> (group) level using the </w:t>
      </w:r>
      <w:r w:rsidRPr="00F85CA2">
        <w:t>Pattern Recognition for Neuroimaging Toolbox</w:t>
      </w:r>
      <w:r>
        <w:t xml:space="preserve"> (</w:t>
      </w:r>
      <w:proofErr w:type="spellStart"/>
      <w:r>
        <w:t>PRoNTo</w:t>
      </w:r>
      <w:proofErr w:type="spellEnd"/>
      <w:r>
        <w:t xml:space="preserve">) </w:t>
      </w:r>
      <w:r>
        <w:fldChar w:fldCharType="begin" w:fldLock="1"/>
      </w:r>
      <w:r w:rsidR="00DA76DD">
        <w:instrText>ADDIN CSL_CITATION { "citationItems" : [ { "id" : "ITEM-1", "itemData" : { "DOI" : "10.1007/s12021-013-9178-1", "ISBN" : "1559-0089 (Electronic)\\r1539-2791 (Linking)", "ISSN" : "15392791", "PMID" : "23417655", "abstract" : "In the past years, mass univariate statistical analyses of neuroimaging data have been complemented by the use of multivariate pattern analyses, especially based on machine learning models. While these allow an increased sensitivity for the detection of spatially distributed effects compared to univariate techniques, they lack an established and accessible software framework. The goal of this work was to build a toolbox comprising all the necessary functionalities for multivariate analyses of neuroimaging data, based on machine learning models. The \"Pattern Recognition for Neuroimaging Toolbox\" (PRoNTo) is open-source, cross-platform, MATLAB-based and SPM compatible, therefore being suitable for both cognitive and clinical neuroscience research. In addition, it is designed to facilitate novel contributions from developers, aiming to improve the interaction between the neuroimaging and machine learning communities. Here, we introduce PRoNTo by presenting examples of possible research questions that can be addressed with the machine learning framework implemented in PRoNTo, and cannot be easily investigated with mass univariate statistical analysis.", "author" : [ { "dropping-particle" : "", "family" : "Schrouff", "given" : "J.", "non-dropping-particle" : "", "parse-names" : false, "suffix" : "" }, { "dropping-particle" : "", "family" : "Rosa", "given" : "M. J.", "non-dropping-particle" : "", "parse-names" : false, "suffix" : "" }, { "dropping-particle" : "", "family" : "Rondina", "given" : "J. M.", "non-dropping-particle" : "", "parse-names" : false, "suffix" : "" }, { "dropping-particle" : "", "family" : "Marquand", "given" : "A. F.", "non-dropping-particle" : "", "parse-names" : false, "suffix" : "" }, { "dropping-particle" : "", "family" : "Chu", "given" : "C.", "non-dropping-particle" : "", "parse-names" : false, "suffix" : "" }, { "dropping-particle" : "", "family" : "Ashburner", "given" : "J.", "non-dropping-particle" : "", "parse-names" : false, "suffix" : "" }, { "dropping-particle" : "", "family" : "Phillips", "given" : "C.", "non-dropping-particle" : "", "parse-names" : false, "suffix" : "" }, { "dropping-particle" : "", "family" : "Richiardi", "given" : "J.", "non-dropping-particle" : "", "parse-names" : false, "suffix" : "" }, { "dropping-particle" : "", "family" : "Mour\u00e3o-Miranda", "given" : "J.", "non-dropping-particle" : "", "parse-names" : false, "suffix" : "" } ], "container-title" : "Neuroinformatics", "id" : "ITEM-1", "issue" : "3", "issued" : { "date-parts" : [ [ "2013" ] ] }, "page" : "319-337", "title" : "PRoNTo: Pattern recognition for neuroimaging toolbox", "type" : "article-journal", "volume" : "11" }, "uris" : [ "http://www.mendeley.com/documents/?uuid=87d3b998-02da-4727-a4fc-a84e412fb5ce" ] } ], "mendeley" : { "formattedCitation" : "(Schrouff et al., 2013b)", "plainTextFormattedCitation" : "(Schrouff et al., 2013b)", "previouslyFormattedCitation" : "(Schrouff et al., 2013b)" }, "properties" : {  }, "schema" : "https://github.com/citation-style-language/schema/raw/master/csl-citation.json" }</w:instrText>
      </w:r>
      <w:r>
        <w:fldChar w:fldCharType="separate"/>
      </w:r>
      <w:r w:rsidRPr="005B5DFF">
        <w:rPr>
          <w:noProof/>
        </w:rPr>
        <w:t>(Schrouff et al., 2013b)</w:t>
      </w:r>
      <w:r>
        <w:fldChar w:fldCharType="end"/>
      </w:r>
      <w:r>
        <w:t xml:space="preserve">. Classifiers are trained to identify patterns differentiating between the two levels of each within-subject factor of interest (cue type and prior expectation) and between groups at each time window of interest. The feature spaces used were the same </w:t>
      </w:r>
      <w:r w:rsidRPr="00BF5362">
        <w:t xml:space="preserve">three-dimensional spatiotemporal </w:t>
      </w:r>
      <w:r>
        <w:t xml:space="preserve">sensor </w:t>
      </w:r>
      <w:r w:rsidRPr="00BF5362">
        <w:t xml:space="preserve">images </w:t>
      </w:r>
      <w:r>
        <w:t>as used for MUA; when combined over subjects and conditions, these formed</w:t>
      </w:r>
      <w:r w:rsidRPr="00BF5362">
        <w:t xml:space="preserve"> the feature vector for </w:t>
      </w:r>
      <w:r>
        <w:t>the Group or Condition targets that were fed</w:t>
      </w:r>
      <w:r w:rsidRPr="00BF5362">
        <w:t xml:space="preserve"> into the classifier. </w:t>
      </w:r>
    </w:p>
    <w:p w14:paraId="58182D0A" w14:textId="58081F8B" w:rsidR="0020571F" w:rsidRDefault="0020571F" w:rsidP="0020571F">
      <w:pPr>
        <w:spacing w:line="480" w:lineRule="auto"/>
      </w:pPr>
      <w:r>
        <w:t xml:space="preserve">Regarding the classification algorithm and normalisation procedures, we used recommendations from a recent study of ERP biomarkers in Schizophrenia </w:t>
      </w:r>
      <w:r>
        <w:fldChar w:fldCharType="begin" w:fldLock="1"/>
      </w:r>
      <w:r w:rsidR="00DA76DD">
        <w:instrText>ADDIN CSL_CITATION { "citationItems" : [ { "id" : "ITEM-1", "itemData" : { "DOI" : "10.1016/j.nicl.2017.04.027", "ISSN" : "22131582", "PMID" : "28560151", "abstract" : "Schizophrenia is a complex psychiatric disorder, typically diagnosed through symptomatic evidence collected through patient interview. We aim to develop an objective biologically-based computational tool which aids diagnosis and relies on accessible imaging technologies such as electroencephalography (EEG). To achieve this, we used machine learning techniques and a combination of paradigms designed to elicit prediction errors or Mismatch Negativity (MMN) responses. MMN, an EEG component elicited by unpredictable changes in sequences of auditory stimuli, has previously been shown to be reduced in people with schizophrenia and this is arguably one of the most reproducible neurophysiological markers of schizophrenia. EEG data were acquired from 21 patients with schizophrenia and 22 healthy controls whilst they listened to three auditory oddball paradigms comprising sequences of tones which deviated in 10% of trials from regularly occurring standard tones. Deviant tones shared the same properties as standard tones, except for one physical aspect: 1) duration - the deviant stimulus was twice the duration of the standard; 2) monaural gap - deviants had a silent interval omitted from the standard, or 3) inter-aural timing difference, which caused the deviant location to be perceived as 90\u00b0 away from the standards. We used multivariate pattern analysis, a machine learning technique implemented in the Pattern Recognition for Neuroimaging Toolbox (PRoNTo) to classify images generated through statistical parametric mapping (SPM) of spatiotemporal EEG data, i.e. event-related potentials measured on the two-dimensional surface of the scalp over time. Using support vector machine (SVM) and Gaussian processes classifiers (GPC), we were able classify individual patients and controls with balanced accuracies of up to 80.48% (p-values = 0.0326, FDR corrected) and an ROC analysis yielding an AUC of 0.87. Crucially, a GP regression revealed that MMN predicted global assessment of functioning (GAF) scores (correlation = 0.73, R2= 0.53, p = 0.0006).", "author" : [ { "dropping-particle" : "", "family" : "Taylor", "given" : "J. A.", "non-dropping-particle" : "", "parse-names" : false, "suffix" : "" }, { "dropping-particle" : "", "family" : "Matthews", "given" : "N.", "non-dropping-particle" : "", "parse-names" : false, "suffix" : "" }, { "dropping-particle" : "", "family" : "Michie", "given" : "P. T.", "non-dropping-particle" : "", "parse-names" : false, "suffix" : "" }, { "dropping-particle" : "", "family" : "Rosa", "given" : "M. J.", "non-dropping-particle" : "", "parse-names" : false, "suffix" : "" }, { "dropping-particle" : "", "family" : "Garrido", "given" : "M. I.", "non-dropping-particle" : "", "parse-names" : false, "suffix" : "" } ], "container-title" : "NeuroImage: Clinical", "id" : "ITEM-1", "issued" : { "date-parts" : [ [ "2017" ] ] }, "page" : "264-273", "title" : "Auditory prediction errors as individual biomarkers of schizophrenia", "type" : "article-journal", "volume" : "15" }, "uris" : [ "http://www.mendeley.com/documents/?uuid=757db854-536a-473f-803c-b96ca597cdd2" ] } ], "mendeley" : { "formattedCitation" : "(Taylor et al., 2017)", "plainTextFormattedCitation" : "(Taylor et al., 2017)", "previouslyFormattedCitation" : "(Taylor et al., 2017)" }, "properties" : {  }, "schema" : "https://github.com/citation-style-language/schema/raw/master/csl-citation.json" }</w:instrText>
      </w:r>
      <w:r>
        <w:fldChar w:fldCharType="separate"/>
      </w:r>
      <w:r w:rsidRPr="005B5DFF">
        <w:rPr>
          <w:noProof/>
        </w:rPr>
        <w:t>(Taylor et al., 2017)</w:t>
      </w:r>
      <w:r>
        <w:fldChar w:fldCharType="end"/>
      </w:r>
      <w:r>
        <w:rPr>
          <w:rStyle w:val="CommentReference"/>
        </w:rPr>
        <w:t xml:space="preserve">. </w:t>
      </w:r>
      <w:r>
        <w:t xml:space="preserve">We used a </w:t>
      </w:r>
      <w:r w:rsidRPr="00D501D3">
        <w:t>Gaussian process classifier (GPC</w:t>
      </w:r>
      <w:r>
        <w:t xml:space="preserve">) </w:t>
      </w:r>
      <w:r>
        <w:fldChar w:fldCharType="begin" w:fldLock="1"/>
      </w:r>
      <w:r w:rsidR="00DA76DD">
        <w:instrText>ADDIN CSL_CITATION { "citationItems" : [ { "id" : "ITEM-1", "itemData" : { "DOI" : "10.1142/S0129065704001899", "ISBN" : "026218253X", "ISSN" : "0129-0657", "PMID" : "15112367", "abstract" : "Gaussian processes (GPs) are natural generalisations of multivariate Gaussian random variables to infinite (countably or continuous) index sets. GPs have been applied in a large number of fields to a diverse range of ends, and very many deep theoretical analyses of various properties are available. This paper gives an introduction to Gaussian processes on a fairly elementary level with special emphasis on characteristics relevant in machine learning. It draws explicit connections to branches such as spline smoothing models and support vector machines in which similar ideas have been investigated. Gaussian process models are routinely used to solve hard machine learning problems. They are attractive because of their flexible non-parametric nature and computational simplicity. Treated within a Bayesian framework, very powerful statistical methods can be implemented which offer valid estimates of uncertainties in our predictions and generic model selection procedures cast as nonlinear optimization problems. Their main drawback of heavy computational scaling has recently been alleviated by the introduction of generic sparse approximations.13,78,31 The mathematical literature on GPs is large and often uses deep concepts which are not required to fully understand most machine learning applications. In this tutorial paper, we aim to present characteristics of GPs relevant to machine learning and to show up precise connections to other \"kernel machines\" popular in the community. Our focus is on a simple presentation, but references to more detailed sources are provided.", "author" : [ { "dropping-particle" : "", "family" : "Rasmussen", "given" : "Carl E.", "non-dropping-particle" : "", "parse-names" : false, "suffix" : "" }, { "dropping-particle" : "", "family" : "Williams", "given" : "Christopher K. I.", "non-dropping-particle" : "", "parse-names" : false, "suffix" : "" } ], "container-title" : "International journal of neural systems", "id" : "ITEM-1", "issue" : "2", "issued" : { "date-parts" : [ [ "2004" ] ] }, "number-of-pages" : "69-106", "title" : "Gaussian processes for machine learning.", "type" : "book", "volume" : "14" }, "uris" : [ "http://www.mendeley.com/documents/?uuid=cc31d09e-b0d9-41c1-9c18-7e21b075d99a" ] } ], "mendeley" : { "formattedCitation" : "(Rasmussen and Williams, 2004)", "plainTextFormattedCitation" : "(Rasmussen and Williams, 2004)", "previouslyFormattedCitation" : "(Rasmussen and Williams, 2004)" }, "properties" : {  }, "schema" : "https://github.com/citation-style-language/schema/raw/master/csl-citation.json" }</w:instrText>
      </w:r>
      <w:r>
        <w:fldChar w:fldCharType="separate"/>
      </w:r>
      <w:r w:rsidRPr="005B5DFF">
        <w:rPr>
          <w:noProof/>
        </w:rPr>
        <w:t>(Rasmussen and Williams, 2004)</w:t>
      </w:r>
      <w:r>
        <w:fldChar w:fldCharType="end"/>
      </w:r>
      <w:r>
        <w:t>. GPC uses Bayesian modelling to estimate the likelihood that a test sample belongs to a particular class, by using the covariance structure of the data to make predictions and assign a class label. Performance of the classifier is assessed against the true target assignments. To avoid the problem of over-fitting and to improve generalisation of the results, parameter estimation is regularised and the performance of models were tested using a leave-one-subject-out-per-group cross-validation scheme, in which the classifiers were trained on data from all subjects bar one from each group, and tested on the excluded subjects. Across a number of ‘folds’, subjects were iteratively assigned for testing the model until all had been used once. During cross-validation, mean-</w:t>
      </w:r>
      <w:proofErr w:type="spellStart"/>
      <w:r>
        <w:t>centering</w:t>
      </w:r>
      <w:proofErr w:type="spellEnd"/>
      <w:r>
        <w:t xml:space="preserve"> was applied. Statistical significance of classification accuracy was assessed using permutation tests, involving retraining each model 10,000 times with randomised target labels.</w:t>
      </w:r>
    </w:p>
    <w:p w14:paraId="3284AFDA" w14:textId="77777777" w:rsidR="0020571F" w:rsidRDefault="0020571F" w:rsidP="00604241">
      <w:pPr>
        <w:pStyle w:val="Heading2"/>
      </w:pPr>
      <w:r>
        <w:t>MVPA weight matrix analyses</w:t>
      </w:r>
    </w:p>
    <w:p w14:paraId="275B0228" w14:textId="0459CB69" w:rsidR="0020571F" w:rsidRDefault="0020571F" w:rsidP="0020571F">
      <w:pPr>
        <w:spacing w:line="480" w:lineRule="auto"/>
      </w:pPr>
      <w:r>
        <w:t xml:space="preserve">Analysis was conducted on the spatiotemporal weight matrices outputted from MVPA. Firstly, we identified temporal windows that contributed the most to the classification for each model, providing a supplement to univariate analysis of the temporal localisation of each effect. Because it is not meaningful to threshold the obtained weight map,  we used </w:t>
      </w:r>
      <w:r w:rsidRPr="003E36B5">
        <w:rPr>
          <w:i/>
        </w:rPr>
        <w:t>a posteriori</w:t>
      </w:r>
      <w:r>
        <w:t xml:space="preserve"> weight summarization </w:t>
      </w:r>
      <w:r>
        <w:fldChar w:fldCharType="begin" w:fldLock="1"/>
      </w:r>
      <w:r w:rsidR="00DA76DD">
        <w:instrText>ADDIN CSL_CITATION { "citationItems" : [ { "id" : "ITEM-1", "itemData" : { "DOI" : "10.1109/PRNI.2013.40", "ISBN" : "9780769550619", "abstract" : "Recently, machine learning models have been applied to neuroimaging data, allowing to make predictions about a variable of interest based on the pattern of activation or anatomy over a set of voxels. These pattern recognition based methods present undeniable assets over classical (univariate) techniques, by providing predictions for unseen data, as well as the weights of each voxel in the model. However, the obtained weight map cannot be thresholded to perform regionally specific inference, leading to a difficult localization of the variable of interest. In this work, we provide local averages of the weights according to regions defined by anatomical or functional atlases (e.g. Brodmann atlas). These averages can then be ranked, thereby providing a sorted list of regions that can be (to a certain extent) compared with univariate results. Furthermore, we defined a \"ranking distance\", allowing for the quantitative comparison between localized patterns. These concepts are illustrated with two datasets.", "author" : [ { "dropping-particle" : "", "family" : "Schrouff", "given" : "J.", "non-dropping-particle" : "", "parse-names" : false, "suffix" : "" }, { "dropping-particle" : "", "family" : "Cremers", "given" : "J.", "non-dropping-particle" : "", "parse-names" : false, "suffix" : "" }, { "dropping-particle" : "", "family" : "Garraux", "given" : "G.", "non-dropping-particle" : "", "parse-names" : false, "suffix" : "" }, { "dropping-particle" : "", "family" : "Baldassarre", "given" : "L.", "non-dropping-particle" : "", "parse-names" : false, "suffix" : "" }, { "dropping-particle" : "", "family" : "Mourao-Miranda", "given" : "J.", "non-dropping-particle" : "", "parse-names" : false, "suffix" : "" }, { "dropping-particle" : "", "family" : "Phillips", "given" : "C.", "non-dropping-particle" : "", "parse-names" : false, "suffix" : "" } ], "container-title" : "Proceedings - 2013 3rd International Workshop on Pattern Recognition in Neuroimaging, PRNI 2013", "id" : "ITEM-1", "issued" : { "date-parts" : [ [ "2013" ] ] }, "page" : "124-127", "title" : "Localizing and comparing weight maps generated from linear kernel machine learning models", "type" : "paper-conference" }, "uris" : [ "http://www.mendeley.com/documents/?uuid=44571679-c460-4bf9-89b9-4606d676aef8" ] } ], "mendeley" : { "formattedCitation" : "(Schrouff et al., 2013a)", "plainTextFormattedCitation" : "(Schrouff et al., 2013a)", "previouslyFormattedCitation" : "(Schrouff et al., 2013a)" }, "properties" : {  }, "schema" : "https://github.com/citation-style-language/schema/raw/master/csl-citation.json" }</w:instrText>
      </w:r>
      <w:r>
        <w:fldChar w:fldCharType="separate"/>
      </w:r>
      <w:r w:rsidRPr="005B5DFF">
        <w:rPr>
          <w:noProof/>
        </w:rPr>
        <w:t>(Schrouff et al., 2013a)</w:t>
      </w:r>
      <w:r>
        <w:fldChar w:fldCharType="end"/>
      </w:r>
      <w:r>
        <w:t xml:space="preserve"> in which local averages of the weights are obtained. In our case, local averages were calculated over the two spatial dimensions of the image (i.e. the scalp map) within consecutive non-overlapping 10ms time windows.</w:t>
      </w:r>
      <w:r w:rsidRPr="003E36B5">
        <w:t xml:space="preserve"> </w:t>
      </w:r>
      <w:r>
        <w:t xml:space="preserve">Furthermore, because larger raw weights do not directly imply more class-specific information than lower weights, we used a solution introduced by </w:t>
      </w:r>
      <w:proofErr w:type="spellStart"/>
      <w:r>
        <w:t>Haufe</w:t>
      </w:r>
      <w:proofErr w:type="spellEnd"/>
      <w:r>
        <w:t xml:space="preserve"> et al. </w:t>
      </w:r>
      <w:r>
        <w:fldChar w:fldCharType="begin" w:fldLock="1"/>
      </w:r>
      <w:r w:rsidR="00DA76DD">
        <w:instrText>ADDIN CSL_CITATION { "citationItems" : [ { "id" : "ITEM-1", "itemData" : { "DOI" : "10.1016/j.neuroimage.2013.10.067", "ISBN" : "1053-8119", "ISSN" : "10959572", "PMID" : "24239590", "abstract" : "The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 \u00a9 2013 The Authors.", "author" : [ { "dropping-particle" : "", "family" : "Haufe", "given" : "Stefan", "non-dropping-particle" : "", "parse-names" : false, "suffix" : "" }, { "dropping-particle" : "", "family" : "Meinecke", "given" : "Frank", "non-dropping-particle" : "", "parse-names" : false, "suffix" : "" }, { "dropping-particle" : "", "family" : "G\u00f6rgen", "given" : "Kai", "non-dropping-particle" : "", "parse-names" : false, "suffix" : "" }, { "dropping-particle" : "", "family" : "D\u00e4hne", "given" : "Sven", "non-dropping-particle" : "", "parse-names" : false, "suffix" : "" }, { "dropping-particle" : "", "family" : "Haynes", "given" : "John Dylan", "non-dropping-particle" : "", "parse-names" : false, "suffix" : "" }, { "dropping-particle" : "", "family" : "Blankertz", "given" : "Benjamin", "non-dropping-particle" : "", "parse-names" : false, "suffix" : "" }, { "dropping-particle" : "", "family" : "Bie\u00dfmann", "given" : "Felix", "non-dropping-particle" : "", "parse-names" : false, "suffix" : "" } ], "container-title" : "NeuroImage", "id" : "ITEM-1", "issued" : { "date-parts" : [ [ "2014" ] ] }, "page" : "96-110", "title" : "On the interpretation of weight vectors of linear models in multivariate neuroimaging", "type" : "article-journal", "volume" : "87" }, "uris" : [ "http://www.mendeley.com/documents/?uuid=7918baed-bf6b-4534-92cf-9ea0045f2043" ] } ], "mendeley" : { "formattedCitation" : "(Haufe et al., 2014)", "plainTextFormattedCitation" : "(Haufe et al., 2014)", "previouslyFormattedCitation" : "(Haufe et al., 2014)" }, "properties" : {  }, "schema" : "https://github.com/citation-style-language/schema/raw/master/csl-citation.json" }</w:instrText>
      </w:r>
      <w:r>
        <w:fldChar w:fldCharType="separate"/>
      </w:r>
      <w:r w:rsidRPr="005B5DFF">
        <w:rPr>
          <w:noProof/>
        </w:rPr>
        <w:t>(Haufe et al., 2014)</w:t>
      </w:r>
      <w:r>
        <w:fldChar w:fldCharType="end"/>
      </w:r>
      <w:r>
        <w:t xml:space="preserve"> (previously applied to MEG decoding by Wardle et al. </w:t>
      </w:r>
      <w:r>
        <w:fldChar w:fldCharType="begin" w:fldLock="1"/>
      </w:r>
      <w:r w:rsidR="00DA76DD">
        <w:instrText>ADDIN CSL_CITATION { "citationItems" : [ { "id" : "ITEM-1", "itemData" : { "DOI" : "10.1016/j.neuroimage.2016.02.019", "ISBN" : "1053-8119", "ISSN" : "10959572", "PMID" : "26899210", "abstract" : "Perceptual similarity is a cognitive judgment that represents the end-stage of a complex cascade of hierarchical processing throughout visual cortex. Previous studies have shown a correspondence between the similarity of coarse-scale fMRI activation patterns and the perceived similarity of visual stimuli, suggesting that visual objects that appear similar also share similar underlying patterns of neural activation. Here we explore the temporal relationship between the human brain's time-varying representation of visual patterns and behavioral judgments of perceptual similarity. The visual stimuli were abstract patterns constructed from identical perceptual units (oriented Gabor patches) so that each pattern had a unique global form or perceptual 'Gestalt'. The visual stimuli were decodable from evoked neural activation patterns measured with magnetoencephalography (MEG), however, stimuli differed in the similarity of their neural representation as estimated by differences in decodability. Early after stimulus onset (from 50 ms), a model based on retinotopic organization predicted the representational similarity of the visual stimuli. Following the peak correlation between the retinotopic model and neural data at 80 ms, the neural representations quickly evolved so that retinotopy no longer provided a sufficient account of the brain's time-varying representation of the stimuli. Overall the strongest predictor of the brain's representation was a model based on human judgments of perceptual similarity, which reached the limits of the maximum correlation with the neural data defined by the 'noise ceiling'. Our results show that large-scale brain activation patterns contain a neural signature for the perceptual Gestalt of composite visual features, and demonstrate a strong correspondence between perception and complex patterns of brain activity.", "author" : [ { "dropping-particle" : "", "family" : "Wardle", "given" : "Susan G.", "non-dropping-particle" : "", "parse-names" : false, "suffix" : "" }, { "dropping-particle" : "", "family" : "Kriegeskorte", "given" : "Nikolaus", "non-dropping-particle" : "", "parse-names" : false, "suffix" : "" }, { "dropping-particle" : "", "family" : "Grootswagers", "given" : "Tijl", "non-dropping-particle" : "", "parse-names" : false, "suffix" : "" }, { "dropping-particle" : "", "family" : "Khaligh-Razavi", "given" : "Seyed Mahdi", "non-dropping-particle" : "", "parse-names" : false, "suffix" : "" }, { "dropping-particle" : "", "family" : "Carlson", "given" : "Thomas A.", "non-dropping-particle" : "", "parse-names" : false, "suffix" : "" } ], "container-title" : "NeuroImage", "id" : "ITEM-1", "issued" : { "date-parts" : [ [ "2016" ] ] }, "page" : "59-70", "title" : "Perceptual similarity of visual patterns predicts dynamic neural activation patterns measured with MEG", "type" : "article-journal", "volume" : "132" }, "uris" : [ "http://www.mendeley.com/documents/?uuid=5955e567-9ab5-4d4f-b6dd-8ce99cb4004d" ] } ], "mendeley" : { "formattedCitation" : "(Wardle et al., 2016)", "plainTextFormattedCitation" : "(Wardle et al., 2016)", "previouslyFormattedCitation" : "(Wardle et al., 2016)" }, "properties" : {  }, "schema" : "https://github.com/citation-style-language/schema/raw/master/csl-citation.json" }</w:instrText>
      </w:r>
      <w:r>
        <w:fldChar w:fldCharType="separate"/>
      </w:r>
      <w:r w:rsidRPr="005B5DFF">
        <w:rPr>
          <w:noProof/>
        </w:rPr>
        <w:t>(Wardle et al., 2016)</w:t>
      </w:r>
      <w:r>
        <w:fldChar w:fldCharType="end"/>
      </w:r>
      <w:r>
        <w:t>) which involves transforming the classifier weights back into activation patterns, providing an interpretable time-course. This involves multiplication of the weight matrices with the covariance in the EEG data used to derive those weights.</w:t>
      </w:r>
    </w:p>
    <w:p w14:paraId="338FA7A0" w14:textId="3B5EA587" w:rsidR="003C6B00" w:rsidRPr="000077AD" w:rsidRDefault="0020571F" w:rsidP="00604241">
      <w:pPr>
        <w:spacing w:line="480" w:lineRule="auto"/>
      </w:pPr>
      <w:r>
        <w:t xml:space="preserve">We also sought to identify the existence of shared </w:t>
      </w:r>
      <w:r w:rsidRPr="00E9461F">
        <w:t>representations</w:t>
      </w:r>
      <w:r>
        <w:t xml:space="preserve"> contributing to both group and condition classifications. We quantified the degree of representational similarity </w:t>
      </w:r>
      <w:r>
        <w:fldChar w:fldCharType="begin" w:fldLock="1"/>
      </w:r>
      <w:r w:rsidR="00DA76DD">
        <w:instrText>ADDIN CSL_CITATION { "citationItems" : [ { "id" : "ITEM-1", "itemData" : { "DOI" : "10.3389/neuro.06.004.2008", "ISBN" : "1662-5137 (Electronic) 1662-5137 (Linking)", "ISSN" : "16625137", "PMID" : "19104670", "abstract" : "A FUNDAMENTAL CHALLENGE FOR SYSTEMS NEUROSCIENCE IS TO QUANTITATIVELY RELATE ITS THREE MAJOR BRANCHES OF RESEARCH: brain-activity measurement, behavioral measurement, and computational modeling. Using measured brain-activity patterns to evaluate computational network models is complicated by the need to define the correspondency between the units of the model and the channels of the brain-activity data, e.g., single-cell recordings or voxels from functional magnetic resonance imaging (fMRI). Similar correspondency problems complicate relating activity patterns between different modalities of brain-activity measurement (e.g., fMRI and invasive or scalp electrophysiology), and between subjects and species. In order to bridge these divides, we suggest abstracting from the activity patterns themselves and computing representational dissimilarity matrices (RDMs), which characterize the information carried by a given representation in a brain or model. Building on a rich psychological and mathematical literature on similarity analysis, we propose a new experimental and data-analytical framework called representational similarity analysis (RSA), in which multi-channel measures of neural activity are quantitatively related to each other and to computational theory and behavior by comparing RDMs. We demonstrate RSA by relating representations of visual objects as measured with fMRI in early visual cortex and the fusiform face area to computational models spanning a wide range of complexities. The RDMs are simultaneously related via second-level application of multidimensional scaling and tested using randomization and bootstrap techniques. We discuss the broad potential of RSA, including novel approaches to experimental design, and argue that these ideas, which have deep roots in psychology and neuroscience, will allow the integrated quantitative analysis of data from all three branches, thus contributing to a more unified systems neuroscience.", "author" : [ { "dropping-particle" : "", "family" : "Kriegeskorte", "given" : "Nikolaus", "non-dropping-particle" : "", "parse-names" : false, "suffix" : "" } ], "container-title" : "Frontiers in Systems Neuroscience", "id" : "ITEM-1", "issued" : { "date-parts" : [ [ "2008" ] ] }, "title" : "Representational similarity analysis \u2013 connecting the branches of systems neuroscience", "type" : "article-journal" }, "uris" : [ "http://www.mendeley.com/documents/?uuid=6bfc07de-56fe-4ed6-bb3e-bbd08a0b17c5" ] } ], "mendeley" : { "formattedCitation" : "(Kriegeskorte, 2008)", "plainTextFormattedCitation" : "(Kriegeskorte, 2008)", "previouslyFormattedCitation" : "(Kriegeskorte, 2008)" }, "properties" : {  }, "schema" : "https://github.com/citation-style-language/schema/raw/master/csl-citation.json" }</w:instrText>
      </w:r>
      <w:r>
        <w:fldChar w:fldCharType="separate"/>
      </w:r>
      <w:r w:rsidRPr="005B5DFF">
        <w:rPr>
          <w:noProof/>
        </w:rPr>
        <w:t>(Kriegeskorte, 2008)</w:t>
      </w:r>
      <w:r>
        <w:fldChar w:fldCharType="end"/>
      </w:r>
      <w:r>
        <w:t xml:space="preserve"> by regressing vectorised spatiotemporal raw weight matrices from the classification of groups (pain catastrophizing effect) on those classifying the cue types (aversive valuation effect). </w:t>
      </w:r>
      <w:r w:rsidRPr="00E9461F">
        <w:rPr>
          <w:i/>
        </w:rPr>
        <w:t>P</w:t>
      </w:r>
      <w:r w:rsidRPr="00E9461F">
        <w:t xml:space="preserve">-values were calculated </w:t>
      </w:r>
      <w:r>
        <w:t>from</w:t>
      </w:r>
      <w:r w:rsidRPr="00E9461F">
        <w:t xml:space="preserve"> bootstrap tests </w:t>
      </w:r>
      <w:r>
        <w:t>in which regressions were run for</w:t>
      </w:r>
      <w:r w:rsidRPr="00E9461F">
        <w:t xml:space="preserve"> </w:t>
      </w:r>
      <w:r>
        <w:t>1000</w:t>
      </w:r>
      <w:r w:rsidRPr="00E9461F">
        <w:t xml:space="preserve"> </w:t>
      </w:r>
      <w:r>
        <w:t>permuted classifications</w:t>
      </w:r>
      <w:r w:rsidRPr="00E9461F">
        <w:t xml:space="preserve"> </w:t>
      </w:r>
      <w:r>
        <w:t xml:space="preserve">and their resulting weight matrices (this was kept to 1000 due to the computational load of outputting weight matrices using </w:t>
      </w:r>
      <w:proofErr w:type="spellStart"/>
      <w:r>
        <w:t>PRoNTo</w:t>
      </w:r>
      <w:proofErr w:type="spellEnd"/>
      <w:r>
        <w:t>).</w:t>
      </w:r>
    </w:p>
    <w:p w14:paraId="291E6B8F" w14:textId="77777777" w:rsidR="003C6B00" w:rsidRDefault="003C6B00" w:rsidP="003C6B00">
      <w:pPr>
        <w:spacing w:line="240" w:lineRule="auto"/>
      </w:pPr>
    </w:p>
    <w:p w14:paraId="0DD264D4" w14:textId="77777777" w:rsidR="00F1286B" w:rsidRDefault="00F1286B" w:rsidP="007512FC">
      <w:pPr>
        <w:pStyle w:val="Heading1"/>
        <w:spacing w:line="480" w:lineRule="auto"/>
      </w:pPr>
      <w:r>
        <w:t>Supplementary Results</w:t>
      </w:r>
    </w:p>
    <w:p w14:paraId="5B72E105" w14:textId="77777777" w:rsidR="00F1286B" w:rsidRDefault="00F1286B" w:rsidP="007512FC">
      <w:pPr>
        <w:pStyle w:val="Heading2"/>
        <w:spacing w:line="480" w:lineRule="auto"/>
      </w:pPr>
      <w:bookmarkStart w:id="115" w:name="OLE_LINK12"/>
      <w:bookmarkStart w:id="116" w:name="OLE_LINK13"/>
      <w:r>
        <w:t>Participant numbers</w:t>
      </w:r>
    </w:p>
    <w:p w14:paraId="612F6C02" w14:textId="4DFA8FF7" w:rsidR="00F1286B" w:rsidRPr="002B0997" w:rsidRDefault="00F1286B" w:rsidP="007512FC">
      <w:pPr>
        <w:spacing w:line="480" w:lineRule="auto"/>
      </w:pPr>
      <w:r>
        <w:t>163 participants (</w:t>
      </w:r>
      <w:bookmarkStart w:id="117" w:name="OLE_LINK42"/>
      <w:bookmarkStart w:id="118" w:name="OLE_LINK43"/>
      <w:bookmarkStart w:id="119" w:name="OLE_LINK50"/>
      <w:r>
        <w:t>53 high PC, 65 low PC</w:t>
      </w:r>
      <w:bookmarkEnd w:id="117"/>
      <w:bookmarkEnd w:id="118"/>
      <w:bookmarkEnd w:id="119"/>
      <w:r>
        <w:t xml:space="preserve"> and 45 in-between) completed the PCS screening procedure and the high and low PC individuals were invited to participate in the EEG experiment. Of these, 36 high PC and 30 low PC attended the study visit, while the remainder did not accept the invitation. Upon repeat assessment using the PCS during the study visit, 13 high PC and 6 low PC no longer fell in the upper/lower quartile on the PCS respectively and were excluded</w:t>
      </w:r>
      <w:r w:rsidR="00253648">
        <w:t xml:space="preserve"> (this was</w:t>
      </w:r>
      <w:r w:rsidR="00253648" w:rsidRPr="00253648">
        <w:t xml:space="preserve"> expected </w:t>
      </w:r>
      <w:r w:rsidR="00253648">
        <w:t>and</w:t>
      </w:r>
      <w:r w:rsidR="00253648" w:rsidRPr="00253648">
        <w:t xml:space="preserve"> consistent with previous findings</w:t>
      </w:r>
      <w:r w:rsidR="00253648">
        <w:t xml:space="preserve"> in which</w:t>
      </w:r>
      <w:r w:rsidR="00253648" w:rsidRPr="00253648">
        <w:t xml:space="preserve"> the test</w:t>
      </w:r>
      <w:r w:rsidR="00253648">
        <w:t>-retest reliability of the PCS w</w:t>
      </w:r>
      <w:r w:rsidR="00253648" w:rsidRPr="00253648">
        <w:t>as</w:t>
      </w:r>
      <w:r w:rsidR="00253648">
        <w:t xml:space="preserve"> been</w:t>
      </w:r>
      <w:r w:rsidR="00253648" w:rsidRPr="00253648">
        <w:t xml:space="preserve"> found to be 0.</w:t>
      </w:r>
      <w:r w:rsidR="00253648">
        <w:t xml:space="preserve">73 in a chronic pain population </w:t>
      </w:r>
      <w:bookmarkStart w:id="120" w:name="OLE_LINK106"/>
      <w:bookmarkStart w:id="121" w:name="OLE_LINK107"/>
      <w:bookmarkStart w:id="122" w:name="OLE_LINK108"/>
      <w:r w:rsidR="00253648">
        <w:fldChar w:fldCharType="begin" w:fldLock="1"/>
      </w:r>
      <w:r w:rsidR="00DA76DD">
        <w:instrText>ADDIN CSL_CITATION { "citationItems" : [ { "id" : "ITEM-1", "itemData" : { "DOI" : "10.1177/1359105308093866", "ISSN" : "1359-1053", "abstract" : "The objective of this study was to investigate the test\u2014retest stability of the Pain Catastrophizing Scale (PCS), the Tampa Scale for Kinesiophobia (TSK) and their subscales in chronic pain patients over relatively long period of times like those that are most often seen in clinical practice. Fifty non-malignant chronic pain patients filled out the PCS and TSK twice with a mean interval between testing of 52 days. Both assessment instruments showed sufficient test\u2014retest stability, even with long time intervals between testing.", "author" : [ { "dropping-particle" : "", "family" : "Lam\u00e9", "given" : "Inge E.", "non-dropping-particle" : "", "parse-names" : false, "suffix" : "" }, { "dropping-particle" : "", "family" : "Peters", "given" : "Madelon L.", "non-dropping-particle" : "", "parse-names" : false, "suffix" : "" }, { "dropping-particle" : "", "family" : "Kessels", "given" : "Alfons G.", "non-dropping-particle" : "", "parse-names" : false, "suffix" : "" }, { "dropping-particle" : "", "family" : "Kleef", "given" : "Maarten", "non-dropping-particle" : "Van", "parse-names" : false, "suffix" : "" }, { "dropping-particle" : "", "family" : "Patijn", "given" : "Jacob", "non-dropping-particle" : "", "parse-names" : false, "suffix" : "" } ], "container-title" : "Journal of Health Psychology", "id" : "ITEM-1", "issue" : "6", "issued" : { "date-parts" : [ [ "2008", "9", "1" ] ] }, "page" : "820-826", "publisher" : "SAGE PublicationsSage UK: London, England", "title" : "Test\u2014retest stability of the Pain Catastrophizing Scale and the Tampa Scale for Kinesiophobia in Chronic Pain over a Longer Period of Time", "type" : "article-journal", "volume" : "13" }, "uris" : [ "http://www.mendeley.com/documents/?uuid=62fcf448-f0c0-3b2c-ac3a-c194be44fef3", "http://www.mendeley.com/documents/?uuid=8204ed0e-bf90-497f-80a0-02b4cec16dc2" ] } ], "mendeley" : { "formattedCitation" : "(Lam\u00e9 et al., 2008)", "plainTextFormattedCitation" : "(Lam\u00e9 et al., 2008)", "previouslyFormattedCitation" : "(Lam\u00e9 et al., 2008)" }, "properties" : {  }, "schema" : "https://github.com/citation-style-language/schema/raw/master/csl-citation.json" }</w:instrText>
      </w:r>
      <w:r w:rsidR="00253648">
        <w:fldChar w:fldCharType="separate"/>
      </w:r>
      <w:r w:rsidR="00253648" w:rsidRPr="00253648">
        <w:rPr>
          <w:noProof/>
        </w:rPr>
        <w:t>(Lamé et al., 2008)</w:t>
      </w:r>
      <w:r w:rsidR="00253648">
        <w:fldChar w:fldCharType="end"/>
      </w:r>
      <w:bookmarkEnd w:id="120"/>
      <w:bookmarkEnd w:id="121"/>
      <w:bookmarkEnd w:id="122"/>
      <w:r w:rsidR="00253648">
        <w:t>)</w:t>
      </w:r>
      <w:r>
        <w:t>. Three further volunteers from the high PC group withdrew from the study due to discomfort from the laser stimulation or application of the EEG cap, while two participants were excluded from the low PC group because they did not find the stimulus painful. A further 3 participants’ data from each group was not included in the final analyses due to excessive artefact in the EEG data that could not be removed. One participant in each group was excluded from analysis due to failing the manipulation check, having reported not attending to the visual cues.</w:t>
      </w:r>
    </w:p>
    <w:p w14:paraId="734F77D8" w14:textId="77777777" w:rsidR="00F1286B" w:rsidRDefault="00F1286B" w:rsidP="007512FC">
      <w:pPr>
        <w:pStyle w:val="Heading2"/>
        <w:spacing w:line="480" w:lineRule="auto"/>
      </w:pPr>
      <w:r>
        <w:t>Sensor and source analysis of laser intensity coding</w:t>
      </w:r>
    </w:p>
    <w:p w14:paraId="4AB5819E" w14:textId="519480CA" w:rsidR="00F1286B" w:rsidRPr="009901D2" w:rsidRDefault="00F1286B" w:rsidP="007512FC">
      <w:pPr>
        <w:spacing w:line="480" w:lineRule="auto"/>
      </w:pPr>
      <w:r>
        <w:t>Initial validation of the univariate sensor and source analysis was conducted on the time range of the LEP by investigating the main effect of laser stimulus intensity (</w:t>
      </w:r>
      <w:r w:rsidR="00354F42">
        <w:t xml:space="preserve">Contrast 2, </w:t>
      </w:r>
      <w:r>
        <w:t xml:space="preserve">see figure 1C for conditions included). The temporal and spatial effects of intensity were consistent with the findings of previous research. Intensity increased LEP amplitudes at latencies consistent with the commonly observed N2 and P2 peaks (figure 5A) at 308ms to 310ms and 382ms to 726ms respectively (supplementary </w:t>
      </w:r>
      <w:r w:rsidR="00D202BF">
        <w:t xml:space="preserve">table </w:t>
      </w:r>
      <w:r w:rsidR="00D16567">
        <w:t>6</w:t>
      </w:r>
      <w:r>
        <w:t xml:space="preserve">). Source results from the intensity contrast at each of these mid and late latencies were very similar (figure 5B and supplementary </w:t>
      </w:r>
      <w:r w:rsidR="00D202BF">
        <w:t xml:space="preserve">table </w:t>
      </w:r>
      <w:r w:rsidR="00D16567">
        <w:t>7</w:t>
      </w:r>
      <w:r>
        <w:t xml:space="preserve">), showing intensity modulation of widespread cortical regions. Importantly, these included commonly activated regions of the “pain matrix”, namely the insula, </w:t>
      </w:r>
      <w:proofErr w:type="spellStart"/>
      <w:r>
        <w:t>fronto</w:t>
      </w:r>
      <w:proofErr w:type="spellEnd"/>
      <w:r>
        <w:t>-parietal operculum, primary somatosensory cortex, mid-cingulate cortex, plus a broader range of multimodal regions in frontal, parietal and temporal lobes.</w:t>
      </w:r>
      <w:bookmarkEnd w:id="115"/>
      <w:bookmarkEnd w:id="116"/>
      <w:r>
        <w:t xml:space="preserve"> Classification of the two intensity conditions was conducted using MVPA, providing a strong classification accuracy at </w:t>
      </w:r>
      <w:r w:rsidRPr="007F19A9">
        <w:t>80.88%</w:t>
      </w:r>
      <w:r>
        <w:t xml:space="preserve"> </w:t>
      </w:r>
      <w:r w:rsidRPr="000A51C7">
        <w:t>(p = 0.0001).</w:t>
      </w:r>
      <w:r>
        <w:t xml:space="preserve"> </w:t>
      </w:r>
      <w:r w:rsidRPr="007F19A9">
        <w:t>T</w:t>
      </w:r>
      <w:r w:rsidRPr="00DA3AF1">
        <w:t>he latencies</w:t>
      </w:r>
      <w:r>
        <w:t xml:space="preserve"> of the raw weights and transformed weights most contributing to the classification are consistent with the latencies of the N2, P2 and P3 components of the LEP, with a greater weighting towards the N2 latency range (maximal raw weight: 285ms; maximal transformed weight projection: 305ms).</w:t>
      </w:r>
    </w:p>
    <w:p w14:paraId="06426507" w14:textId="77777777" w:rsidR="00F1286B" w:rsidRDefault="00F1286B" w:rsidP="005B5DFF">
      <w:pPr>
        <w:spacing w:line="240" w:lineRule="auto"/>
        <w:rPr>
          <w:rFonts w:asciiTheme="majorHAnsi" w:eastAsiaTheme="majorEastAsia" w:hAnsiTheme="majorHAnsi" w:cstheme="majorBidi"/>
          <w:color w:val="2E74B5" w:themeColor="accent1" w:themeShade="BF"/>
          <w:sz w:val="32"/>
          <w:szCs w:val="32"/>
        </w:rPr>
      </w:pPr>
    </w:p>
    <w:p w14:paraId="0A1A9F59" w14:textId="77777777" w:rsidR="000C2F31" w:rsidRDefault="000C2F31">
      <w:pPr>
        <w:rPr>
          <w:rFonts w:asciiTheme="majorHAnsi" w:eastAsiaTheme="majorEastAsia" w:hAnsiTheme="majorHAnsi" w:cstheme="majorBidi"/>
          <w:b/>
          <w:bCs/>
          <w:caps/>
          <w:color w:val="002060"/>
          <w:spacing w:val="4"/>
          <w:sz w:val="28"/>
          <w:szCs w:val="28"/>
        </w:rPr>
      </w:pPr>
      <w:r>
        <w:br w:type="page"/>
      </w:r>
    </w:p>
    <w:p w14:paraId="172BF925" w14:textId="77777777" w:rsidR="000C2F31" w:rsidRDefault="000C2F31">
      <w:pPr>
        <w:sectPr w:rsidR="000C2F31">
          <w:footerReference w:type="default" r:id="rId16"/>
          <w:pgSz w:w="11906" w:h="16838"/>
          <w:pgMar w:top="1440" w:right="1440" w:bottom="1440" w:left="1440" w:header="708" w:footer="708" w:gutter="0"/>
          <w:cols w:space="708"/>
          <w:docGrid w:linePitch="360"/>
        </w:sectPr>
      </w:pPr>
    </w:p>
    <w:p w14:paraId="63CB50C1" w14:textId="00015947" w:rsidR="004B6442" w:rsidRDefault="004B6442" w:rsidP="004B6442">
      <w:pPr>
        <w:pStyle w:val="Heading1"/>
      </w:pPr>
      <w:r>
        <w:t>Supplementary Tables</w:t>
      </w:r>
    </w:p>
    <w:p w14:paraId="4FB87D0E" w14:textId="77777777" w:rsidR="004B6442" w:rsidRDefault="004B6442" w:rsidP="00604241">
      <w:pPr>
        <w:pStyle w:val="Heading2"/>
      </w:pPr>
      <w:r>
        <w:t>Supplementary Table 1: Participant Data</w:t>
      </w:r>
    </w:p>
    <w:tbl>
      <w:tblPr>
        <w:tblStyle w:val="PlainTable3"/>
        <w:tblW w:w="15172" w:type="dxa"/>
        <w:tblLook w:val="04A0" w:firstRow="1" w:lastRow="0" w:firstColumn="1" w:lastColumn="0" w:noHBand="0" w:noVBand="1"/>
      </w:tblPr>
      <w:tblGrid>
        <w:gridCol w:w="1380"/>
        <w:gridCol w:w="1120"/>
        <w:gridCol w:w="831"/>
        <w:gridCol w:w="680"/>
        <w:gridCol w:w="1127"/>
        <w:gridCol w:w="1127"/>
        <w:gridCol w:w="1299"/>
        <w:gridCol w:w="1171"/>
        <w:gridCol w:w="961"/>
        <w:gridCol w:w="1940"/>
        <w:gridCol w:w="1423"/>
        <w:gridCol w:w="1367"/>
        <w:gridCol w:w="1336"/>
      </w:tblGrid>
      <w:tr w:rsidR="004B6442" w:rsidRPr="00F60122" w14:paraId="5B3D1AFD"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80" w:type="dxa"/>
            <w:noWrap/>
            <w:hideMark/>
          </w:tcPr>
          <w:p w14:paraId="73A27207" w14:textId="77777777" w:rsidR="004B6442" w:rsidRPr="00F60122" w:rsidRDefault="004B6442" w:rsidP="00AC23E4">
            <w:pPr>
              <w:rPr>
                <w:rFonts w:ascii="Calibri" w:eastAsia="Times New Roman" w:hAnsi="Calibri" w:cs="Calibri"/>
                <w:b w:val="0"/>
                <w:bCs w:val="0"/>
                <w:color w:val="000000"/>
                <w:sz w:val="18"/>
                <w:szCs w:val="18"/>
              </w:rPr>
            </w:pPr>
            <w:r w:rsidRPr="00F60122">
              <w:rPr>
                <w:rFonts w:ascii="Calibri" w:eastAsia="Times New Roman" w:hAnsi="Calibri" w:cs="Calibri"/>
                <w:b w:val="0"/>
                <w:bCs w:val="0"/>
                <w:color w:val="000000"/>
                <w:sz w:val="18"/>
                <w:szCs w:val="18"/>
              </w:rPr>
              <w:t>Subject ID</w:t>
            </w:r>
          </w:p>
        </w:tc>
        <w:tc>
          <w:tcPr>
            <w:tcW w:w="1120" w:type="dxa"/>
            <w:noWrap/>
            <w:hideMark/>
          </w:tcPr>
          <w:p w14:paraId="39FD5E9E"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rPr>
            </w:pPr>
            <w:r w:rsidRPr="00F60122">
              <w:rPr>
                <w:rFonts w:ascii="Calibri" w:eastAsia="Times New Roman" w:hAnsi="Calibri" w:cs="Calibri"/>
                <w:b w:val="0"/>
                <w:bCs w:val="0"/>
                <w:sz w:val="18"/>
                <w:szCs w:val="18"/>
              </w:rPr>
              <w:t>Group</w:t>
            </w:r>
          </w:p>
        </w:tc>
        <w:tc>
          <w:tcPr>
            <w:tcW w:w="770" w:type="dxa"/>
            <w:noWrap/>
            <w:hideMark/>
          </w:tcPr>
          <w:p w14:paraId="4823B8C7"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rPr>
            </w:pPr>
            <w:r w:rsidRPr="00F60122">
              <w:rPr>
                <w:rFonts w:ascii="Calibri" w:eastAsia="Times New Roman" w:hAnsi="Calibri" w:cs="Calibri"/>
                <w:b w:val="0"/>
                <w:bCs w:val="0"/>
                <w:sz w:val="18"/>
                <w:szCs w:val="18"/>
              </w:rPr>
              <w:t>Gender</w:t>
            </w:r>
          </w:p>
        </w:tc>
        <w:tc>
          <w:tcPr>
            <w:tcW w:w="680" w:type="dxa"/>
            <w:noWrap/>
            <w:hideMark/>
          </w:tcPr>
          <w:p w14:paraId="1D747AEB"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F60122">
              <w:rPr>
                <w:rFonts w:ascii="Calibri" w:eastAsia="Times New Roman" w:hAnsi="Calibri" w:cs="Calibri"/>
                <w:b w:val="0"/>
                <w:bCs w:val="0"/>
                <w:color w:val="000000"/>
                <w:sz w:val="18"/>
                <w:szCs w:val="18"/>
              </w:rPr>
              <w:t>Age</w:t>
            </w:r>
          </w:p>
        </w:tc>
        <w:tc>
          <w:tcPr>
            <w:tcW w:w="4196" w:type="dxa"/>
            <w:gridSpan w:val="4"/>
            <w:noWrap/>
            <w:hideMark/>
          </w:tcPr>
          <w:p w14:paraId="189C4DEF" w14:textId="38FDAEAA"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rPr>
            </w:pPr>
            <w:r w:rsidRPr="00F60122">
              <w:rPr>
                <w:rFonts w:ascii="Calibri" w:eastAsia="Times New Roman" w:hAnsi="Calibri" w:cs="Calibri"/>
                <w:b w:val="0"/>
                <w:bCs w:val="0"/>
                <w:sz w:val="18"/>
                <w:szCs w:val="18"/>
              </w:rPr>
              <w:t xml:space="preserve">Pain </w:t>
            </w:r>
            <w:r w:rsidR="005D7A4B">
              <w:rPr>
                <w:rFonts w:ascii="Calibri" w:eastAsia="Times New Roman" w:hAnsi="Calibri" w:cs="Calibri"/>
                <w:b w:val="0"/>
                <w:bCs w:val="0"/>
                <w:sz w:val="18"/>
                <w:szCs w:val="18"/>
              </w:rPr>
              <w:t>catastrophizing</w:t>
            </w:r>
            <w:r w:rsidRPr="00F60122">
              <w:rPr>
                <w:rFonts w:ascii="Calibri" w:eastAsia="Times New Roman" w:hAnsi="Calibri" w:cs="Calibri"/>
                <w:b w:val="0"/>
                <w:bCs w:val="0"/>
                <w:sz w:val="18"/>
                <w:szCs w:val="18"/>
              </w:rPr>
              <w:t xml:space="preserve"> scale scores</w:t>
            </w:r>
          </w:p>
        </w:tc>
        <w:tc>
          <w:tcPr>
            <w:tcW w:w="960" w:type="dxa"/>
            <w:noWrap/>
            <w:hideMark/>
          </w:tcPr>
          <w:p w14:paraId="3F668505"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F60122">
              <w:rPr>
                <w:rFonts w:ascii="Calibri" w:eastAsia="Times New Roman" w:hAnsi="Calibri" w:cs="Calibri"/>
                <w:b w:val="0"/>
                <w:bCs w:val="0"/>
                <w:color w:val="000000"/>
                <w:sz w:val="18"/>
                <w:szCs w:val="18"/>
              </w:rPr>
              <w:t>Expected distress /20</w:t>
            </w:r>
          </w:p>
        </w:tc>
        <w:tc>
          <w:tcPr>
            <w:tcW w:w="1940" w:type="dxa"/>
            <w:noWrap/>
            <w:hideMark/>
          </w:tcPr>
          <w:p w14:paraId="5B09D753"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F60122">
              <w:rPr>
                <w:rFonts w:ascii="Calibri" w:eastAsia="Times New Roman" w:hAnsi="Calibri" w:cs="Calibri"/>
                <w:b w:val="0"/>
                <w:bCs w:val="0"/>
                <w:color w:val="000000"/>
                <w:sz w:val="18"/>
                <w:szCs w:val="18"/>
              </w:rPr>
              <w:t>Pain threshold</w:t>
            </w:r>
          </w:p>
        </w:tc>
        <w:tc>
          <w:tcPr>
            <w:tcW w:w="4126" w:type="dxa"/>
            <w:gridSpan w:val="3"/>
            <w:noWrap/>
            <w:hideMark/>
          </w:tcPr>
          <w:p w14:paraId="23966212" w14:textId="77777777" w:rsidR="004B6442" w:rsidRPr="00F60122"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F60122">
              <w:rPr>
                <w:rFonts w:ascii="Calibri" w:eastAsia="Times New Roman" w:hAnsi="Calibri" w:cs="Calibri"/>
                <w:b w:val="0"/>
                <w:bCs w:val="0"/>
                <w:color w:val="000000"/>
                <w:sz w:val="18"/>
                <w:szCs w:val="18"/>
              </w:rPr>
              <w:t>Manipulation checks /5</w:t>
            </w:r>
          </w:p>
        </w:tc>
      </w:tr>
      <w:tr w:rsidR="004B6442" w:rsidRPr="00F60122" w14:paraId="1969C4CD"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2413C91" w14:textId="77777777" w:rsidR="004B6442" w:rsidRPr="00F60122" w:rsidRDefault="004B6442" w:rsidP="00AC23E4">
            <w:pPr>
              <w:rPr>
                <w:rFonts w:ascii="Calibri" w:eastAsia="Times New Roman" w:hAnsi="Calibri" w:cs="Calibri"/>
                <w:b w:val="0"/>
                <w:bCs w:val="0"/>
                <w:color w:val="000000"/>
                <w:sz w:val="18"/>
                <w:szCs w:val="18"/>
              </w:rPr>
            </w:pPr>
          </w:p>
        </w:tc>
        <w:tc>
          <w:tcPr>
            <w:tcW w:w="1120" w:type="dxa"/>
            <w:noWrap/>
            <w:hideMark/>
          </w:tcPr>
          <w:p w14:paraId="2BBD6CA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770" w:type="dxa"/>
            <w:noWrap/>
            <w:hideMark/>
          </w:tcPr>
          <w:p w14:paraId="1CFE24A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5CD1CAC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27" w:type="dxa"/>
            <w:noWrap/>
            <w:hideMark/>
          </w:tcPr>
          <w:p w14:paraId="775DFF0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F60122">
              <w:rPr>
                <w:rFonts w:ascii="Calibri" w:eastAsia="Times New Roman" w:hAnsi="Calibri" w:cs="Calibri"/>
                <w:b/>
                <w:bCs/>
                <w:sz w:val="18"/>
                <w:szCs w:val="18"/>
              </w:rPr>
              <w:t>Total</w:t>
            </w:r>
          </w:p>
        </w:tc>
        <w:tc>
          <w:tcPr>
            <w:tcW w:w="1099" w:type="dxa"/>
            <w:noWrap/>
            <w:hideMark/>
          </w:tcPr>
          <w:p w14:paraId="6C0D803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F60122">
              <w:rPr>
                <w:rFonts w:ascii="Calibri" w:eastAsia="Times New Roman" w:hAnsi="Calibri" w:cs="Calibri"/>
                <w:b/>
                <w:bCs/>
                <w:sz w:val="18"/>
                <w:szCs w:val="18"/>
              </w:rPr>
              <w:t>Rumination</w:t>
            </w:r>
          </w:p>
        </w:tc>
        <w:tc>
          <w:tcPr>
            <w:tcW w:w="1299" w:type="dxa"/>
            <w:noWrap/>
            <w:hideMark/>
          </w:tcPr>
          <w:p w14:paraId="5CFD962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F60122">
              <w:rPr>
                <w:rFonts w:ascii="Calibri" w:eastAsia="Times New Roman" w:hAnsi="Calibri" w:cs="Calibri"/>
                <w:b/>
                <w:bCs/>
                <w:sz w:val="18"/>
                <w:szCs w:val="18"/>
              </w:rPr>
              <w:t>Magnification</w:t>
            </w:r>
          </w:p>
        </w:tc>
        <w:tc>
          <w:tcPr>
            <w:tcW w:w="1171" w:type="dxa"/>
            <w:noWrap/>
            <w:hideMark/>
          </w:tcPr>
          <w:p w14:paraId="07752E1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F60122">
              <w:rPr>
                <w:rFonts w:ascii="Calibri" w:eastAsia="Times New Roman" w:hAnsi="Calibri" w:cs="Calibri"/>
                <w:b/>
                <w:bCs/>
                <w:sz w:val="18"/>
                <w:szCs w:val="18"/>
              </w:rPr>
              <w:t>Helplessness</w:t>
            </w:r>
          </w:p>
        </w:tc>
        <w:tc>
          <w:tcPr>
            <w:tcW w:w="960" w:type="dxa"/>
          </w:tcPr>
          <w:p w14:paraId="35768B8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p>
        </w:tc>
        <w:tc>
          <w:tcPr>
            <w:tcW w:w="1940" w:type="dxa"/>
            <w:noWrap/>
            <w:hideMark/>
          </w:tcPr>
          <w:p w14:paraId="1FD3FCC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F60122">
              <w:rPr>
                <w:rFonts w:ascii="Calibri" w:eastAsia="Times New Roman" w:hAnsi="Calibri" w:cs="Calibri"/>
                <w:b/>
                <w:bCs/>
                <w:color w:val="000000"/>
                <w:sz w:val="18"/>
                <w:szCs w:val="18"/>
              </w:rPr>
              <w:t>% max laser output</w:t>
            </w:r>
          </w:p>
        </w:tc>
        <w:tc>
          <w:tcPr>
            <w:tcW w:w="1423" w:type="dxa"/>
            <w:noWrap/>
            <w:hideMark/>
          </w:tcPr>
          <w:p w14:paraId="229561B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F60122">
              <w:rPr>
                <w:rFonts w:ascii="Calibri" w:eastAsia="Times New Roman" w:hAnsi="Calibri" w:cs="Calibri"/>
                <w:b/>
                <w:bCs/>
                <w:color w:val="000000"/>
                <w:sz w:val="18"/>
                <w:szCs w:val="18"/>
              </w:rPr>
              <w:t>Cue: Prediction</w:t>
            </w:r>
          </w:p>
        </w:tc>
        <w:tc>
          <w:tcPr>
            <w:tcW w:w="1367" w:type="dxa"/>
            <w:noWrap/>
            <w:hideMark/>
          </w:tcPr>
          <w:p w14:paraId="57D29A3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F60122">
              <w:rPr>
                <w:rFonts w:ascii="Calibri" w:eastAsia="Times New Roman" w:hAnsi="Calibri" w:cs="Calibri"/>
                <w:b/>
                <w:bCs/>
                <w:color w:val="000000"/>
                <w:sz w:val="18"/>
                <w:szCs w:val="18"/>
              </w:rPr>
              <w:t>Cue: Attention</w:t>
            </w:r>
          </w:p>
        </w:tc>
        <w:tc>
          <w:tcPr>
            <w:tcW w:w="1336" w:type="dxa"/>
            <w:noWrap/>
            <w:hideMark/>
          </w:tcPr>
          <w:p w14:paraId="45744AE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F60122">
              <w:rPr>
                <w:rFonts w:ascii="Calibri" w:eastAsia="Times New Roman" w:hAnsi="Calibri" w:cs="Calibri"/>
                <w:b/>
                <w:bCs/>
                <w:color w:val="000000"/>
                <w:sz w:val="18"/>
                <w:szCs w:val="18"/>
              </w:rPr>
              <w:t>Cue: Influence</w:t>
            </w:r>
          </w:p>
        </w:tc>
      </w:tr>
      <w:tr w:rsidR="004B6442" w:rsidRPr="00F60122" w14:paraId="7E73194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9AFBA40"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120" w:type="dxa"/>
            <w:noWrap/>
            <w:hideMark/>
          </w:tcPr>
          <w:p w14:paraId="3588F18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61A7B94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7A7C2A8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54</w:t>
            </w:r>
          </w:p>
        </w:tc>
        <w:tc>
          <w:tcPr>
            <w:tcW w:w="627" w:type="dxa"/>
            <w:noWrap/>
            <w:hideMark/>
          </w:tcPr>
          <w:p w14:paraId="0877F39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39</w:t>
            </w:r>
          </w:p>
        </w:tc>
        <w:tc>
          <w:tcPr>
            <w:tcW w:w="1099" w:type="dxa"/>
            <w:noWrap/>
            <w:hideMark/>
          </w:tcPr>
          <w:p w14:paraId="7CC9394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1299" w:type="dxa"/>
            <w:noWrap/>
            <w:hideMark/>
          </w:tcPr>
          <w:p w14:paraId="4EA74CE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033F354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960" w:type="dxa"/>
            <w:noWrap/>
            <w:hideMark/>
          </w:tcPr>
          <w:p w14:paraId="2AEBD76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940" w:type="dxa"/>
            <w:noWrap/>
            <w:hideMark/>
          </w:tcPr>
          <w:p w14:paraId="34B493B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42</w:t>
            </w:r>
          </w:p>
        </w:tc>
        <w:tc>
          <w:tcPr>
            <w:tcW w:w="1423" w:type="dxa"/>
            <w:noWrap/>
            <w:hideMark/>
          </w:tcPr>
          <w:p w14:paraId="0E93D4E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585AB02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36" w:type="dxa"/>
            <w:noWrap/>
            <w:hideMark/>
          </w:tcPr>
          <w:p w14:paraId="2A25928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6D8CB66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209CFF7A"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20" w:type="dxa"/>
            <w:noWrap/>
            <w:hideMark/>
          </w:tcPr>
          <w:p w14:paraId="4201A09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537AC6A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824C4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25903A7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34</w:t>
            </w:r>
          </w:p>
        </w:tc>
        <w:tc>
          <w:tcPr>
            <w:tcW w:w="1099" w:type="dxa"/>
            <w:noWrap/>
            <w:hideMark/>
          </w:tcPr>
          <w:p w14:paraId="291F381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299" w:type="dxa"/>
            <w:noWrap/>
            <w:hideMark/>
          </w:tcPr>
          <w:p w14:paraId="2DB80D9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171" w:type="dxa"/>
            <w:noWrap/>
            <w:hideMark/>
          </w:tcPr>
          <w:p w14:paraId="08EF4DE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960" w:type="dxa"/>
            <w:noWrap/>
            <w:hideMark/>
          </w:tcPr>
          <w:p w14:paraId="5F8B5E4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940" w:type="dxa"/>
            <w:noWrap/>
            <w:hideMark/>
          </w:tcPr>
          <w:p w14:paraId="00AD4DE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24</w:t>
            </w:r>
          </w:p>
        </w:tc>
        <w:tc>
          <w:tcPr>
            <w:tcW w:w="1423" w:type="dxa"/>
            <w:noWrap/>
            <w:hideMark/>
          </w:tcPr>
          <w:p w14:paraId="139129B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42F968A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7530D5F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r>
      <w:tr w:rsidR="004B6442" w:rsidRPr="00F60122" w14:paraId="156EBD1C"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A3F43D8"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120" w:type="dxa"/>
            <w:noWrap/>
            <w:hideMark/>
          </w:tcPr>
          <w:p w14:paraId="781AA3F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3111F7A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19578EE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51</w:t>
            </w:r>
          </w:p>
        </w:tc>
        <w:tc>
          <w:tcPr>
            <w:tcW w:w="627" w:type="dxa"/>
            <w:noWrap/>
            <w:hideMark/>
          </w:tcPr>
          <w:p w14:paraId="4F10F7D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42</w:t>
            </w:r>
          </w:p>
        </w:tc>
        <w:tc>
          <w:tcPr>
            <w:tcW w:w="1099" w:type="dxa"/>
            <w:noWrap/>
            <w:hideMark/>
          </w:tcPr>
          <w:p w14:paraId="59011CD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1299" w:type="dxa"/>
            <w:noWrap/>
            <w:hideMark/>
          </w:tcPr>
          <w:p w14:paraId="1ABB67B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8</w:t>
            </w:r>
          </w:p>
        </w:tc>
        <w:tc>
          <w:tcPr>
            <w:tcW w:w="1171" w:type="dxa"/>
            <w:noWrap/>
            <w:hideMark/>
          </w:tcPr>
          <w:p w14:paraId="2287105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w:t>
            </w:r>
          </w:p>
        </w:tc>
        <w:tc>
          <w:tcPr>
            <w:tcW w:w="960" w:type="dxa"/>
            <w:noWrap/>
            <w:hideMark/>
          </w:tcPr>
          <w:p w14:paraId="328A447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940" w:type="dxa"/>
            <w:noWrap/>
            <w:hideMark/>
          </w:tcPr>
          <w:p w14:paraId="7D71CD9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11EA035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598DD08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3085BB4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r>
      <w:tr w:rsidR="004B6442" w:rsidRPr="00F60122" w14:paraId="1ECF75C1"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45989A0"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120" w:type="dxa"/>
            <w:noWrap/>
            <w:hideMark/>
          </w:tcPr>
          <w:p w14:paraId="0A01B0A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7DE2648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7137B74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627" w:type="dxa"/>
            <w:noWrap/>
            <w:hideMark/>
          </w:tcPr>
          <w:p w14:paraId="017E309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34</w:t>
            </w:r>
          </w:p>
        </w:tc>
        <w:tc>
          <w:tcPr>
            <w:tcW w:w="1099" w:type="dxa"/>
            <w:noWrap/>
            <w:hideMark/>
          </w:tcPr>
          <w:p w14:paraId="611A49E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13</w:t>
            </w:r>
          </w:p>
        </w:tc>
        <w:tc>
          <w:tcPr>
            <w:tcW w:w="1299" w:type="dxa"/>
            <w:noWrap/>
            <w:hideMark/>
          </w:tcPr>
          <w:p w14:paraId="4891D5D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1DC69EB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w:t>
            </w:r>
          </w:p>
        </w:tc>
        <w:tc>
          <w:tcPr>
            <w:tcW w:w="960" w:type="dxa"/>
            <w:noWrap/>
            <w:hideMark/>
          </w:tcPr>
          <w:p w14:paraId="67C45A2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940" w:type="dxa"/>
            <w:noWrap/>
            <w:hideMark/>
          </w:tcPr>
          <w:p w14:paraId="72C36B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1423" w:type="dxa"/>
            <w:noWrap/>
            <w:hideMark/>
          </w:tcPr>
          <w:p w14:paraId="4DFD059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7ECC7FB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064BA39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r>
      <w:tr w:rsidR="004B6442" w:rsidRPr="00F60122" w14:paraId="7056B92E"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7E532CD"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120" w:type="dxa"/>
            <w:noWrap/>
            <w:hideMark/>
          </w:tcPr>
          <w:p w14:paraId="4EDA931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324A21D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6101F7D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238D19A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35</w:t>
            </w:r>
          </w:p>
        </w:tc>
        <w:tc>
          <w:tcPr>
            <w:tcW w:w="1099" w:type="dxa"/>
            <w:noWrap/>
            <w:hideMark/>
          </w:tcPr>
          <w:p w14:paraId="771D870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299" w:type="dxa"/>
            <w:noWrap/>
            <w:hideMark/>
          </w:tcPr>
          <w:p w14:paraId="42D34C8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3F2B971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13</w:t>
            </w:r>
          </w:p>
        </w:tc>
        <w:tc>
          <w:tcPr>
            <w:tcW w:w="960" w:type="dxa"/>
            <w:noWrap/>
            <w:hideMark/>
          </w:tcPr>
          <w:p w14:paraId="0650CC4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1940" w:type="dxa"/>
            <w:noWrap/>
            <w:hideMark/>
          </w:tcPr>
          <w:p w14:paraId="64B8FDE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40</w:t>
            </w:r>
          </w:p>
        </w:tc>
        <w:tc>
          <w:tcPr>
            <w:tcW w:w="1423" w:type="dxa"/>
            <w:noWrap/>
            <w:hideMark/>
          </w:tcPr>
          <w:p w14:paraId="27F27A4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1C493E4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40E6C66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r>
      <w:tr w:rsidR="004B6442" w:rsidRPr="00F60122" w14:paraId="4E2DF54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A0B1066"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6</w:t>
            </w:r>
          </w:p>
        </w:tc>
        <w:tc>
          <w:tcPr>
            <w:tcW w:w="1120" w:type="dxa"/>
            <w:noWrap/>
            <w:hideMark/>
          </w:tcPr>
          <w:p w14:paraId="2580E81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5D551F7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5A5C3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627" w:type="dxa"/>
            <w:noWrap/>
            <w:hideMark/>
          </w:tcPr>
          <w:p w14:paraId="6346C4D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30</w:t>
            </w:r>
          </w:p>
        </w:tc>
        <w:tc>
          <w:tcPr>
            <w:tcW w:w="1099" w:type="dxa"/>
            <w:noWrap/>
            <w:hideMark/>
          </w:tcPr>
          <w:p w14:paraId="2CFB998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299" w:type="dxa"/>
            <w:noWrap/>
            <w:hideMark/>
          </w:tcPr>
          <w:p w14:paraId="4B3D5C7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171" w:type="dxa"/>
            <w:noWrap/>
            <w:hideMark/>
          </w:tcPr>
          <w:p w14:paraId="0C11BA5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w:t>
            </w:r>
          </w:p>
        </w:tc>
        <w:tc>
          <w:tcPr>
            <w:tcW w:w="960" w:type="dxa"/>
            <w:noWrap/>
            <w:hideMark/>
          </w:tcPr>
          <w:p w14:paraId="1F27804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19</w:t>
            </w:r>
          </w:p>
        </w:tc>
        <w:tc>
          <w:tcPr>
            <w:tcW w:w="1940" w:type="dxa"/>
            <w:noWrap/>
            <w:hideMark/>
          </w:tcPr>
          <w:p w14:paraId="49707B8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30</w:t>
            </w:r>
          </w:p>
        </w:tc>
        <w:tc>
          <w:tcPr>
            <w:tcW w:w="1423" w:type="dxa"/>
            <w:noWrap/>
            <w:hideMark/>
          </w:tcPr>
          <w:p w14:paraId="7B40E20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032C38E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528EDFD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r>
      <w:tr w:rsidR="004B6442" w:rsidRPr="00F60122" w14:paraId="2039F40A"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426874B"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120" w:type="dxa"/>
            <w:noWrap/>
            <w:hideMark/>
          </w:tcPr>
          <w:p w14:paraId="6521296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443F2AF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4661176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15CCC9E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33</w:t>
            </w:r>
          </w:p>
        </w:tc>
        <w:tc>
          <w:tcPr>
            <w:tcW w:w="1099" w:type="dxa"/>
            <w:noWrap/>
            <w:hideMark/>
          </w:tcPr>
          <w:p w14:paraId="6C6A6ED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w:t>
            </w:r>
          </w:p>
        </w:tc>
        <w:tc>
          <w:tcPr>
            <w:tcW w:w="1299" w:type="dxa"/>
            <w:noWrap/>
            <w:hideMark/>
          </w:tcPr>
          <w:p w14:paraId="4A2A483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171" w:type="dxa"/>
            <w:noWrap/>
            <w:hideMark/>
          </w:tcPr>
          <w:p w14:paraId="5320CB8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960" w:type="dxa"/>
            <w:noWrap/>
            <w:hideMark/>
          </w:tcPr>
          <w:p w14:paraId="2C2CF5A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w:t>
            </w:r>
          </w:p>
        </w:tc>
        <w:tc>
          <w:tcPr>
            <w:tcW w:w="1940" w:type="dxa"/>
            <w:noWrap/>
            <w:hideMark/>
          </w:tcPr>
          <w:p w14:paraId="53D9BC7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30</w:t>
            </w:r>
          </w:p>
        </w:tc>
        <w:tc>
          <w:tcPr>
            <w:tcW w:w="1423" w:type="dxa"/>
            <w:noWrap/>
            <w:hideMark/>
          </w:tcPr>
          <w:p w14:paraId="631F500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434D3A7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04C8A3A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r>
      <w:tr w:rsidR="004B6442" w:rsidRPr="00F60122" w14:paraId="04B493B9"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A53DEF9"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8</w:t>
            </w:r>
          </w:p>
        </w:tc>
        <w:tc>
          <w:tcPr>
            <w:tcW w:w="1120" w:type="dxa"/>
            <w:noWrap/>
            <w:hideMark/>
          </w:tcPr>
          <w:p w14:paraId="2E9DF14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7C3D8C6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603F347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627" w:type="dxa"/>
            <w:noWrap/>
            <w:hideMark/>
          </w:tcPr>
          <w:p w14:paraId="73CB866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33</w:t>
            </w:r>
          </w:p>
        </w:tc>
        <w:tc>
          <w:tcPr>
            <w:tcW w:w="1099" w:type="dxa"/>
            <w:noWrap/>
            <w:hideMark/>
          </w:tcPr>
          <w:p w14:paraId="61EEFAF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1299" w:type="dxa"/>
            <w:noWrap/>
            <w:hideMark/>
          </w:tcPr>
          <w:p w14:paraId="281F041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6</w:t>
            </w:r>
          </w:p>
        </w:tc>
        <w:tc>
          <w:tcPr>
            <w:tcW w:w="1171" w:type="dxa"/>
            <w:noWrap/>
            <w:hideMark/>
          </w:tcPr>
          <w:p w14:paraId="48ECB3D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960" w:type="dxa"/>
            <w:noWrap/>
            <w:hideMark/>
          </w:tcPr>
          <w:p w14:paraId="3BBBC52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940" w:type="dxa"/>
            <w:noWrap/>
            <w:hideMark/>
          </w:tcPr>
          <w:p w14:paraId="2D881E2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38</w:t>
            </w:r>
          </w:p>
        </w:tc>
        <w:tc>
          <w:tcPr>
            <w:tcW w:w="1423" w:type="dxa"/>
            <w:noWrap/>
            <w:hideMark/>
          </w:tcPr>
          <w:p w14:paraId="59FA5B1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67" w:type="dxa"/>
            <w:noWrap/>
            <w:hideMark/>
          </w:tcPr>
          <w:p w14:paraId="748685A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6</w:t>
            </w:r>
          </w:p>
        </w:tc>
        <w:tc>
          <w:tcPr>
            <w:tcW w:w="1336" w:type="dxa"/>
            <w:noWrap/>
            <w:hideMark/>
          </w:tcPr>
          <w:p w14:paraId="67C17BB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3E99C53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E93CB12"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120" w:type="dxa"/>
            <w:noWrap/>
            <w:hideMark/>
          </w:tcPr>
          <w:p w14:paraId="26E2211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4C1D62D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1E660EB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627" w:type="dxa"/>
            <w:noWrap/>
            <w:hideMark/>
          </w:tcPr>
          <w:p w14:paraId="4C4ECA2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32</w:t>
            </w:r>
          </w:p>
        </w:tc>
        <w:tc>
          <w:tcPr>
            <w:tcW w:w="1099" w:type="dxa"/>
            <w:noWrap/>
            <w:hideMark/>
          </w:tcPr>
          <w:p w14:paraId="05AD63C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299" w:type="dxa"/>
            <w:noWrap/>
            <w:hideMark/>
          </w:tcPr>
          <w:p w14:paraId="67D9929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171" w:type="dxa"/>
            <w:noWrap/>
            <w:hideMark/>
          </w:tcPr>
          <w:p w14:paraId="20D8DD9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13</w:t>
            </w:r>
          </w:p>
        </w:tc>
        <w:tc>
          <w:tcPr>
            <w:tcW w:w="960" w:type="dxa"/>
            <w:noWrap/>
            <w:hideMark/>
          </w:tcPr>
          <w:p w14:paraId="3ABA52B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940" w:type="dxa"/>
            <w:noWrap/>
            <w:hideMark/>
          </w:tcPr>
          <w:p w14:paraId="1904BE7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w:t>
            </w:r>
          </w:p>
        </w:tc>
        <w:tc>
          <w:tcPr>
            <w:tcW w:w="1423" w:type="dxa"/>
            <w:noWrap/>
            <w:hideMark/>
          </w:tcPr>
          <w:p w14:paraId="660B3EE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879312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3C5FB46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00CA99C5"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2C2EAB7D"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20" w:type="dxa"/>
            <w:noWrap/>
            <w:hideMark/>
          </w:tcPr>
          <w:p w14:paraId="1575A73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5D9CA3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5D365A2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24</w:t>
            </w:r>
          </w:p>
        </w:tc>
        <w:tc>
          <w:tcPr>
            <w:tcW w:w="627" w:type="dxa"/>
            <w:noWrap/>
            <w:hideMark/>
          </w:tcPr>
          <w:p w14:paraId="092D3D9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32</w:t>
            </w:r>
          </w:p>
        </w:tc>
        <w:tc>
          <w:tcPr>
            <w:tcW w:w="1099" w:type="dxa"/>
            <w:noWrap/>
            <w:hideMark/>
          </w:tcPr>
          <w:p w14:paraId="279FD4B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299" w:type="dxa"/>
            <w:noWrap/>
            <w:hideMark/>
          </w:tcPr>
          <w:p w14:paraId="39B15A8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171" w:type="dxa"/>
            <w:noWrap/>
            <w:hideMark/>
          </w:tcPr>
          <w:p w14:paraId="63EB079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960" w:type="dxa"/>
            <w:noWrap/>
            <w:hideMark/>
          </w:tcPr>
          <w:p w14:paraId="4A902E0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940" w:type="dxa"/>
            <w:noWrap/>
            <w:hideMark/>
          </w:tcPr>
          <w:p w14:paraId="1842EFD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5AF85D3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051C7A0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3081DB6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3EC043B5"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779D981"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1120" w:type="dxa"/>
            <w:noWrap/>
            <w:hideMark/>
          </w:tcPr>
          <w:p w14:paraId="189A19E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6ADFC76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5F154C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364EC73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36</w:t>
            </w:r>
          </w:p>
        </w:tc>
        <w:tc>
          <w:tcPr>
            <w:tcW w:w="1099" w:type="dxa"/>
            <w:noWrap/>
            <w:hideMark/>
          </w:tcPr>
          <w:p w14:paraId="073C554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1299" w:type="dxa"/>
            <w:noWrap/>
            <w:hideMark/>
          </w:tcPr>
          <w:p w14:paraId="30A1552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171" w:type="dxa"/>
            <w:noWrap/>
            <w:hideMark/>
          </w:tcPr>
          <w:p w14:paraId="384C550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960" w:type="dxa"/>
            <w:noWrap/>
            <w:hideMark/>
          </w:tcPr>
          <w:p w14:paraId="6367505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6</w:t>
            </w:r>
          </w:p>
        </w:tc>
        <w:tc>
          <w:tcPr>
            <w:tcW w:w="1940" w:type="dxa"/>
            <w:noWrap/>
            <w:hideMark/>
          </w:tcPr>
          <w:p w14:paraId="0D825FD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1423" w:type="dxa"/>
            <w:noWrap/>
            <w:hideMark/>
          </w:tcPr>
          <w:p w14:paraId="5DA492F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367" w:type="dxa"/>
            <w:noWrap/>
            <w:hideMark/>
          </w:tcPr>
          <w:p w14:paraId="0DA6632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4337623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39C6D3C9"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0F23B29"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120" w:type="dxa"/>
            <w:noWrap/>
            <w:hideMark/>
          </w:tcPr>
          <w:p w14:paraId="17D48DE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5053BF7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37E5F49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w:t>
            </w:r>
          </w:p>
        </w:tc>
        <w:tc>
          <w:tcPr>
            <w:tcW w:w="627" w:type="dxa"/>
            <w:noWrap/>
            <w:hideMark/>
          </w:tcPr>
          <w:p w14:paraId="0BE4A74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37</w:t>
            </w:r>
          </w:p>
        </w:tc>
        <w:tc>
          <w:tcPr>
            <w:tcW w:w="1099" w:type="dxa"/>
            <w:noWrap/>
            <w:hideMark/>
          </w:tcPr>
          <w:p w14:paraId="5DF1727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w:t>
            </w:r>
          </w:p>
        </w:tc>
        <w:tc>
          <w:tcPr>
            <w:tcW w:w="1299" w:type="dxa"/>
            <w:noWrap/>
            <w:hideMark/>
          </w:tcPr>
          <w:p w14:paraId="12C1BAE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2D2C81D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17</w:t>
            </w:r>
          </w:p>
        </w:tc>
        <w:tc>
          <w:tcPr>
            <w:tcW w:w="960" w:type="dxa"/>
            <w:noWrap/>
            <w:hideMark/>
          </w:tcPr>
          <w:p w14:paraId="1F7EF9D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940" w:type="dxa"/>
            <w:noWrap/>
            <w:hideMark/>
          </w:tcPr>
          <w:p w14:paraId="65437EE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w:t>
            </w:r>
          </w:p>
        </w:tc>
        <w:tc>
          <w:tcPr>
            <w:tcW w:w="1423" w:type="dxa"/>
            <w:noWrap/>
            <w:hideMark/>
          </w:tcPr>
          <w:p w14:paraId="696931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MD</w:t>
            </w:r>
          </w:p>
        </w:tc>
        <w:tc>
          <w:tcPr>
            <w:tcW w:w="1367" w:type="dxa"/>
            <w:noWrap/>
            <w:hideMark/>
          </w:tcPr>
          <w:p w14:paraId="0399E89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MD</w:t>
            </w:r>
          </w:p>
        </w:tc>
        <w:tc>
          <w:tcPr>
            <w:tcW w:w="1336" w:type="dxa"/>
            <w:noWrap/>
            <w:hideMark/>
          </w:tcPr>
          <w:p w14:paraId="427C68A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MD</w:t>
            </w:r>
          </w:p>
        </w:tc>
      </w:tr>
      <w:tr w:rsidR="004B6442" w:rsidRPr="00F60122" w14:paraId="71D60BB7"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BB7A40F"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13</w:t>
            </w:r>
          </w:p>
        </w:tc>
        <w:tc>
          <w:tcPr>
            <w:tcW w:w="1120" w:type="dxa"/>
            <w:noWrap/>
            <w:hideMark/>
          </w:tcPr>
          <w:p w14:paraId="6F1D855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5A91A67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0ACC65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33</w:t>
            </w:r>
          </w:p>
        </w:tc>
        <w:tc>
          <w:tcPr>
            <w:tcW w:w="627" w:type="dxa"/>
            <w:noWrap/>
            <w:hideMark/>
          </w:tcPr>
          <w:p w14:paraId="1F4151D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32</w:t>
            </w:r>
          </w:p>
        </w:tc>
        <w:tc>
          <w:tcPr>
            <w:tcW w:w="1099" w:type="dxa"/>
            <w:noWrap/>
            <w:hideMark/>
          </w:tcPr>
          <w:p w14:paraId="27ED905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299" w:type="dxa"/>
            <w:noWrap/>
            <w:hideMark/>
          </w:tcPr>
          <w:p w14:paraId="5FC6BD9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6663D98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17</w:t>
            </w:r>
          </w:p>
        </w:tc>
        <w:tc>
          <w:tcPr>
            <w:tcW w:w="960" w:type="dxa"/>
            <w:noWrap/>
            <w:hideMark/>
          </w:tcPr>
          <w:p w14:paraId="1F9C755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940" w:type="dxa"/>
            <w:noWrap/>
            <w:hideMark/>
          </w:tcPr>
          <w:p w14:paraId="504F7DE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1423" w:type="dxa"/>
            <w:noWrap/>
            <w:hideMark/>
          </w:tcPr>
          <w:p w14:paraId="149CD55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FB131B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2BCCFB6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4B750D46"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B8C4F23"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120" w:type="dxa"/>
            <w:noWrap/>
            <w:hideMark/>
          </w:tcPr>
          <w:p w14:paraId="10C4BBA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666073A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1D42848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19</w:t>
            </w:r>
          </w:p>
        </w:tc>
        <w:tc>
          <w:tcPr>
            <w:tcW w:w="627" w:type="dxa"/>
            <w:noWrap/>
            <w:hideMark/>
          </w:tcPr>
          <w:p w14:paraId="1BE3BA6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31</w:t>
            </w:r>
          </w:p>
        </w:tc>
        <w:tc>
          <w:tcPr>
            <w:tcW w:w="1099" w:type="dxa"/>
            <w:noWrap/>
            <w:hideMark/>
          </w:tcPr>
          <w:p w14:paraId="0A72456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13</w:t>
            </w:r>
          </w:p>
        </w:tc>
        <w:tc>
          <w:tcPr>
            <w:tcW w:w="1299" w:type="dxa"/>
            <w:noWrap/>
            <w:hideMark/>
          </w:tcPr>
          <w:p w14:paraId="5CDD474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171" w:type="dxa"/>
            <w:noWrap/>
            <w:hideMark/>
          </w:tcPr>
          <w:p w14:paraId="3005285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w:t>
            </w:r>
          </w:p>
        </w:tc>
        <w:tc>
          <w:tcPr>
            <w:tcW w:w="960" w:type="dxa"/>
            <w:noWrap/>
            <w:hideMark/>
          </w:tcPr>
          <w:p w14:paraId="50EA7E5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940" w:type="dxa"/>
            <w:noWrap/>
            <w:hideMark/>
          </w:tcPr>
          <w:p w14:paraId="4EFE4B9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423" w:type="dxa"/>
            <w:noWrap/>
            <w:hideMark/>
          </w:tcPr>
          <w:p w14:paraId="0CA6B43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725CDCC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6F8E919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6AA9C32A"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48B1D28"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15</w:t>
            </w:r>
          </w:p>
        </w:tc>
        <w:tc>
          <w:tcPr>
            <w:tcW w:w="1120" w:type="dxa"/>
            <w:noWrap/>
            <w:hideMark/>
          </w:tcPr>
          <w:p w14:paraId="47EA627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05D1693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4DBF57D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19</w:t>
            </w:r>
          </w:p>
        </w:tc>
        <w:tc>
          <w:tcPr>
            <w:tcW w:w="627" w:type="dxa"/>
            <w:noWrap/>
            <w:hideMark/>
          </w:tcPr>
          <w:p w14:paraId="40990D7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26</w:t>
            </w:r>
          </w:p>
        </w:tc>
        <w:tc>
          <w:tcPr>
            <w:tcW w:w="1099" w:type="dxa"/>
            <w:noWrap/>
            <w:hideMark/>
          </w:tcPr>
          <w:p w14:paraId="4AA7A4C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299" w:type="dxa"/>
            <w:noWrap/>
            <w:hideMark/>
          </w:tcPr>
          <w:p w14:paraId="1C69C98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171" w:type="dxa"/>
            <w:noWrap/>
            <w:hideMark/>
          </w:tcPr>
          <w:p w14:paraId="2165FCD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960" w:type="dxa"/>
            <w:noWrap/>
            <w:hideMark/>
          </w:tcPr>
          <w:p w14:paraId="60A19D0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940" w:type="dxa"/>
            <w:noWrap/>
            <w:hideMark/>
          </w:tcPr>
          <w:p w14:paraId="3312A02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1423" w:type="dxa"/>
            <w:noWrap/>
            <w:hideMark/>
          </w:tcPr>
          <w:p w14:paraId="6C96433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B9C9EE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228886D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7AE5F8C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DB11307"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16</w:t>
            </w:r>
          </w:p>
        </w:tc>
        <w:tc>
          <w:tcPr>
            <w:tcW w:w="1120" w:type="dxa"/>
            <w:noWrap/>
            <w:hideMark/>
          </w:tcPr>
          <w:p w14:paraId="5D33B52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High PC</w:t>
            </w:r>
          </w:p>
        </w:tc>
        <w:tc>
          <w:tcPr>
            <w:tcW w:w="770" w:type="dxa"/>
            <w:noWrap/>
            <w:hideMark/>
          </w:tcPr>
          <w:p w14:paraId="23BA840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45688E2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19</w:t>
            </w:r>
          </w:p>
        </w:tc>
        <w:tc>
          <w:tcPr>
            <w:tcW w:w="627" w:type="dxa"/>
            <w:noWrap/>
            <w:hideMark/>
          </w:tcPr>
          <w:p w14:paraId="57219D0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31</w:t>
            </w:r>
          </w:p>
        </w:tc>
        <w:tc>
          <w:tcPr>
            <w:tcW w:w="1099" w:type="dxa"/>
            <w:noWrap/>
            <w:hideMark/>
          </w:tcPr>
          <w:p w14:paraId="3F91AD8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8</w:t>
            </w:r>
          </w:p>
        </w:tc>
        <w:tc>
          <w:tcPr>
            <w:tcW w:w="1299" w:type="dxa"/>
            <w:noWrap/>
            <w:hideMark/>
          </w:tcPr>
          <w:p w14:paraId="52BAA5F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w:t>
            </w:r>
          </w:p>
        </w:tc>
        <w:tc>
          <w:tcPr>
            <w:tcW w:w="1171" w:type="dxa"/>
            <w:noWrap/>
            <w:hideMark/>
          </w:tcPr>
          <w:p w14:paraId="5D7D44E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960" w:type="dxa"/>
            <w:noWrap/>
            <w:hideMark/>
          </w:tcPr>
          <w:p w14:paraId="29CA164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w:t>
            </w:r>
          </w:p>
        </w:tc>
        <w:tc>
          <w:tcPr>
            <w:tcW w:w="1940" w:type="dxa"/>
            <w:noWrap/>
            <w:hideMark/>
          </w:tcPr>
          <w:p w14:paraId="48C5AE5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62BECFF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4D3D410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36" w:type="dxa"/>
            <w:noWrap/>
            <w:hideMark/>
          </w:tcPr>
          <w:p w14:paraId="41F54F0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101ECFB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38551A4"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Mean</w:t>
            </w:r>
            <w:r>
              <w:rPr>
                <w:rFonts w:ascii="Calibri" w:eastAsia="Times New Roman" w:hAnsi="Calibri" w:cs="Calibri"/>
                <w:color w:val="000000"/>
                <w:sz w:val="18"/>
                <w:szCs w:val="18"/>
              </w:rPr>
              <w:t xml:space="preserve"> (group)</w:t>
            </w:r>
          </w:p>
        </w:tc>
        <w:tc>
          <w:tcPr>
            <w:tcW w:w="1120" w:type="dxa"/>
            <w:noWrap/>
            <w:hideMark/>
          </w:tcPr>
          <w:p w14:paraId="0C99E3B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06C17C8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47D2545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26.63</w:t>
            </w:r>
          </w:p>
        </w:tc>
        <w:tc>
          <w:tcPr>
            <w:tcW w:w="627" w:type="dxa"/>
            <w:noWrap/>
            <w:hideMark/>
          </w:tcPr>
          <w:p w14:paraId="6AF9F0D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33.56</w:t>
            </w:r>
          </w:p>
        </w:tc>
        <w:tc>
          <w:tcPr>
            <w:tcW w:w="1099" w:type="dxa"/>
            <w:noWrap/>
            <w:hideMark/>
          </w:tcPr>
          <w:p w14:paraId="1198FED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12.44</w:t>
            </w:r>
          </w:p>
        </w:tc>
        <w:tc>
          <w:tcPr>
            <w:tcW w:w="1299" w:type="dxa"/>
            <w:noWrap/>
            <w:hideMark/>
          </w:tcPr>
          <w:p w14:paraId="3574268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7.50</w:t>
            </w:r>
          </w:p>
        </w:tc>
        <w:tc>
          <w:tcPr>
            <w:tcW w:w="1171" w:type="dxa"/>
            <w:noWrap/>
            <w:hideMark/>
          </w:tcPr>
          <w:p w14:paraId="43F73FB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15.06</w:t>
            </w:r>
          </w:p>
        </w:tc>
        <w:tc>
          <w:tcPr>
            <w:tcW w:w="960" w:type="dxa"/>
            <w:noWrap/>
            <w:hideMark/>
          </w:tcPr>
          <w:p w14:paraId="7F54498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9.69</w:t>
            </w:r>
          </w:p>
        </w:tc>
        <w:tc>
          <w:tcPr>
            <w:tcW w:w="1940" w:type="dxa"/>
            <w:noWrap/>
            <w:hideMark/>
          </w:tcPr>
          <w:p w14:paraId="5F9608D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29.63</w:t>
            </w:r>
          </w:p>
        </w:tc>
        <w:tc>
          <w:tcPr>
            <w:tcW w:w="1423" w:type="dxa"/>
            <w:noWrap/>
            <w:hideMark/>
          </w:tcPr>
          <w:p w14:paraId="19DE653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3.67</w:t>
            </w:r>
          </w:p>
        </w:tc>
        <w:tc>
          <w:tcPr>
            <w:tcW w:w="1367" w:type="dxa"/>
            <w:noWrap/>
            <w:hideMark/>
          </w:tcPr>
          <w:p w14:paraId="03DED16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4.47</w:t>
            </w:r>
          </w:p>
        </w:tc>
        <w:tc>
          <w:tcPr>
            <w:tcW w:w="1336" w:type="dxa"/>
            <w:noWrap/>
            <w:hideMark/>
          </w:tcPr>
          <w:p w14:paraId="1613C95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2.60</w:t>
            </w:r>
          </w:p>
        </w:tc>
      </w:tr>
      <w:tr w:rsidR="004B6442" w:rsidRPr="00F60122" w14:paraId="5B03B2E8"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91273AC"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SD</w:t>
            </w:r>
            <w:r>
              <w:rPr>
                <w:rFonts w:ascii="Calibri" w:eastAsia="Times New Roman" w:hAnsi="Calibri" w:cs="Calibri"/>
                <w:color w:val="000000"/>
                <w:sz w:val="18"/>
                <w:szCs w:val="18"/>
              </w:rPr>
              <w:t xml:space="preserve"> (group)</w:t>
            </w:r>
          </w:p>
        </w:tc>
        <w:tc>
          <w:tcPr>
            <w:tcW w:w="1120" w:type="dxa"/>
            <w:noWrap/>
            <w:hideMark/>
          </w:tcPr>
          <w:p w14:paraId="23EC541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3C61EE1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13F6A62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10.81</w:t>
            </w:r>
          </w:p>
        </w:tc>
        <w:tc>
          <w:tcPr>
            <w:tcW w:w="627" w:type="dxa"/>
            <w:noWrap/>
            <w:hideMark/>
          </w:tcPr>
          <w:p w14:paraId="7850941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3.76</w:t>
            </w:r>
          </w:p>
        </w:tc>
        <w:tc>
          <w:tcPr>
            <w:tcW w:w="1099" w:type="dxa"/>
            <w:noWrap/>
            <w:hideMark/>
          </w:tcPr>
          <w:p w14:paraId="464ED8A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2.48</w:t>
            </w:r>
          </w:p>
        </w:tc>
        <w:tc>
          <w:tcPr>
            <w:tcW w:w="1299" w:type="dxa"/>
            <w:noWrap/>
            <w:hideMark/>
          </w:tcPr>
          <w:p w14:paraId="59D9660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2.39</w:t>
            </w:r>
          </w:p>
        </w:tc>
        <w:tc>
          <w:tcPr>
            <w:tcW w:w="1171" w:type="dxa"/>
            <w:noWrap/>
            <w:hideMark/>
          </w:tcPr>
          <w:p w14:paraId="042C676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2.93</w:t>
            </w:r>
          </w:p>
        </w:tc>
        <w:tc>
          <w:tcPr>
            <w:tcW w:w="960" w:type="dxa"/>
            <w:noWrap/>
            <w:hideMark/>
          </w:tcPr>
          <w:p w14:paraId="36877EC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4.32</w:t>
            </w:r>
          </w:p>
        </w:tc>
        <w:tc>
          <w:tcPr>
            <w:tcW w:w="1940" w:type="dxa"/>
            <w:noWrap/>
            <w:hideMark/>
          </w:tcPr>
          <w:p w14:paraId="0716B5F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7.20</w:t>
            </w:r>
          </w:p>
        </w:tc>
        <w:tc>
          <w:tcPr>
            <w:tcW w:w="1423" w:type="dxa"/>
            <w:noWrap/>
            <w:hideMark/>
          </w:tcPr>
          <w:p w14:paraId="0D5078C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0.72</w:t>
            </w:r>
          </w:p>
        </w:tc>
        <w:tc>
          <w:tcPr>
            <w:tcW w:w="1367" w:type="dxa"/>
            <w:noWrap/>
            <w:hideMark/>
          </w:tcPr>
          <w:p w14:paraId="6335A01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0.83</w:t>
            </w:r>
          </w:p>
        </w:tc>
        <w:tc>
          <w:tcPr>
            <w:tcW w:w="1336" w:type="dxa"/>
            <w:noWrap/>
            <w:hideMark/>
          </w:tcPr>
          <w:p w14:paraId="1B4C591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1.18</w:t>
            </w:r>
          </w:p>
        </w:tc>
      </w:tr>
      <w:tr w:rsidR="004B6442" w:rsidRPr="00F60122" w14:paraId="37D6386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7F35469" w14:textId="77777777" w:rsidR="004B6442" w:rsidRPr="00F60122" w:rsidRDefault="004B6442" w:rsidP="00AC23E4">
            <w:pPr>
              <w:rPr>
                <w:rFonts w:ascii="Calibri" w:eastAsia="Times New Roman" w:hAnsi="Calibri" w:cs="Calibri"/>
                <w:color w:val="000000"/>
                <w:sz w:val="18"/>
                <w:szCs w:val="18"/>
              </w:rPr>
            </w:pPr>
          </w:p>
        </w:tc>
        <w:tc>
          <w:tcPr>
            <w:tcW w:w="1120" w:type="dxa"/>
            <w:noWrap/>
            <w:hideMark/>
          </w:tcPr>
          <w:p w14:paraId="0CFA09B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770" w:type="dxa"/>
            <w:noWrap/>
            <w:hideMark/>
          </w:tcPr>
          <w:p w14:paraId="6F53E64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00B63D7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27" w:type="dxa"/>
            <w:noWrap/>
            <w:hideMark/>
          </w:tcPr>
          <w:p w14:paraId="6A60A18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99" w:type="dxa"/>
            <w:noWrap/>
            <w:hideMark/>
          </w:tcPr>
          <w:p w14:paraId="18215A5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99" w:type="dxa"/>
            <w:noWrap/>
            <w:hideMark/>
          </w:tcPr>
          <w:p w14:paraId="5294681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1" w:type="dxa"/>
            <w:noWrap/>
            <w:hideMark/>
          </w:tcPr>
          <w:p w14:paraId="22693C8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60" w:type="dxa"/>
            <w:noWrap/>
            <w:hideMark/>
          </w:tcPr>
          <w:p w14:paraId="3A44C80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940" w:type="dxa"/>
            <w:noWrap/>
            <w:hideMark/>
          </w:tcPr>
          <w:p w14:paraId="7BBAE0C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423" w:type="dxa"/>
            <w:noWrap/>
            <w:hideMark/>
          </w:tcPr>
          <w:p w14:paraId="4B4F090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67" w:type="dxa"/>
            <w:noWrap/>
            <w:hideMark/>
          </w:tcPr>
          <w:p w14:paraId="3219B1B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6" w:type="dxa"/>
            <w:noWrap/>
            <w:hideMark/>
          </w:tcPr>
          <w:p w14:paraId="1EC2F24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F60122" w14:paraId="67326CD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03DDB39"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17</w:t>
            </w:r>
          </w:p>
        </w:tc>
        <w:tc>
          <w:tcPr>
            <w:tcW w:w="1120" w:type="dxa"/>
            <w:noWrap/>
            <w:hideMark/>
          </w:tcPr>
          <w:p w14:paraId="500FE87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0D55A6A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9E7E9F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w:t>
            </w:r>
          </w:p>
        </w:tc>
        <w:tc>
          <w:tcPr>
            <w:tcW w:w="627" w:type="dxa"/>
            <w:noWrap/>
            <w:hideMark/>
          </w:tcPr>
          <w:p w14:paraId="4107FF5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4</w:t>
            </w:r>
          </w:p>
        </w:tc>
        <w:tc>
          <w:tcPr>
            <w:tcW w:w="1099" w:type="dxa"/>
            <w:noWrap/>
            <w:hideMark/>
          </w:tcPr>
          <w:p w14:paraId="6ADAF56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299" w:type="dxa"/>
            <w:noWrap/>
            <w:hideMark/>
          </w:tcPr>
          <w:p w14:paraId="6D048F7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63007A3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245D231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940" w:type="dxa"/>
            <w:noWrap/>
            <w:hideMark/>
          </w:tcPr>
          <w:p w14:paraId="2417E90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445433F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6D5A9D4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485104D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1A70F15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4854BD2"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18</w:t>
            </w:r>
          </w:p>
        </w:tc>
        <w:tc>
          <w:tcPr>
            <w:tcW w:w="1120" w:type="dxa"/>
            <w:noWrap/>
            <w:hideMark/>
          </w:tcPr>
          <w:p w14:paraId="58BA6C1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02D2708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5E3486C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w:t>
            </w:r>
          </w:p>
        </w:tc>
        <w:tc>
          <w:tcPr>
            <w:tcW w:w="627" w:type="dxa"/>
            <w:noWrap/>
            <w:hideMark/>
          </w:tcPr>
          <w:p w14:paraId="2024151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6</w:t>
            </w:r>
          </w:p>
        </w:tc>
        <w:tc>
          <w:tcPr>
            <w:tcW w:w="1099" w:type="dxa"/>
            <w:noWrap/>
            <w:hideMark/>
          </w:tcPr>
          <w:p w14:paraId="2349905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299" w:type="dxa"/>
            <w:noWrap/>
            <w:hideMark/>
          </w:tcPr>
          <w:p w14:paraId="5833E91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5A81349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29CBC25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940" w:type="dxa"/>
            <w:noWrap/>
            <w:hideMark/>
          </w:tcPr>
          <w:p w14:paraId="08EBB85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560B733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104FD2C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615524C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3E0AC172"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9E8350E"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19</w:t>
            </w:r>
          </w:p>
        </w:tc>
        <w:tc>
          <w:tcPr>
            <w:tcW w:w="1120" w:type="dxa"/>
            <w:noWrap/>
            <w:hideMark/>
          </w:tcPr>
          <w:p w14:paraId="5C4843B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5B5B61A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5BBD51A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08F155C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2</w:t>
            </w:r>
          </w:p>
        </w:tc>
        <w:tc>
          <w:tcPr>
            <w:tcW w:w="1099" w:type="dxa"/>
            <w:noWrap/>
            <w:hideMark/>
          </w:tcPr>
          <w:p w14:paraId="2D75317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299" w:type="dxa"/>
            <w:noWrap/>
            <w:hideMark/>
          </w:tcPr>
          <w:p w14:paraId="03F6E76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321890C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960" w:type="dxa"/>
            <w:noWrap/>
            <w:hideMark/>
          </w:tcPr>
          <w:p w14:paraId="737799E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940" w:type="dxa"/>
            <w:noWrap/>
            <w:hideMark/>
          </w:tcPr>
          <w:p w14:paraId="4E5925A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4D06BB4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164C834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1055939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1C4A319E"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DAC0CDA"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1120" w:type="dxa"/>
            <w:noWrap/>
            <w:hideMark/>
          </w:tcPr>
          <w:p w14:paraId="0C75EA4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22A8780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3411C27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285F31B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4</w:t>
            </w:r>
          </w:p>
        </w:tc>
        <w:tc>
          <w:tcPr>
            <w:tcW w:w="1099" w:type="dxa"/>
            <w:noWrap/>
            <w:hideMark/>
          </w:tcPr>
          <w:p w14:paraId="6703206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299" w:type="dxa"/>
            <w:noWrap/>
            <w:hideMark/>
          </w:tcPr>
          <w:p w14:paraId="7E000BD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62D2A51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46157FB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940" w:type="dxa"/>
            <w:noWrap/>
            <w:hideMark/>
          </w:tcPr>
          <w:p w14:paraId="41D04C3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6F08CC8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367" w:type="dxa"/>
            <w:noWrap/>
            <w:hideMark/>
          </w:tcPr>
          <w:p w14:paraId="3F9BE64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5ADE46A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3D538526"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55E3AE9"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1120" w:type="dxa"/>
            <w:noWrap/>
            <w:hideMark/>
          </w:tcPr>
          <w:p w14:paraId="6B06E58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02A0EAB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7259A45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627" w:type="dxa"/>
            <w:noWrap/>
            <w:hideMark/>
          </w:tcPr>
          <w:p w14:paraId="740224A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2</w:t>
            </w:r>
          </w:p>
        </w:tc>
        <w:tc>
          <w:tcPr>
            <w:tcW w:w="1099" w:type="dxa"/>
            <w:noWrap/>
            <w:hideMark/>
          </w:tcPr>
          <w:p w14:paraId="1144E81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299" w:type="dxa"/>
            <w:noWrap/>
            <w:hideMark/>
          </w:tcPr>
          <w:p w14:paraId="1B87C67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42D4B6F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960" w:type="dxa"/>
            <w:noWrap/>
            <w:hideMark/>
          </w:tcPr>
          <w:p w14:paraId="757BFA5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940" w:type="dxa"/>
            <w:noWrap/>
            <w:hideMark/>
          </w:tcPr>
          <w:p w14:paraId="3040E3C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44</w:t>
            </w:r>
          </w:p>
        </w:tc>
        <w:tc>
          <w:tcPr>
            <w:tcW w:w="1423" w:type="dxa"/>
            <w:noWrap/>
            <w:hideMark/>
          </w:tcPr>
          <w:p w14:paraId="446F3E6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7AB9F1F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4A83CCC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61989003"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827C5A4"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1120" w:type="dxa"/>
            <w:noWrap/>
            <w:hideMark/>
          </w:tcPr>
          <w:p w14:paraId="38D5FF5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04B09EF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06D0449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7EE38E1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w:t>
            </w:r>
          </w:p>
        </w:tc>
        <w:tc>
          <w:tcPr>
            <w:tcW w:w="1099" w:type="dxa"/>
            <w:noWrap/>
            <w:hideMark/>
          </w:tcPr>
          <w:p w14:paraId="7AD0297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299" w:type="dxa"/>
            <w:noWrap/>
            <w:hideMark/>
          </w:tcPr>
          <w:p w14:paraId="1ED4350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4E02B27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960" w:type="dxa"/>
            <w:noWrap/>
            <w:hideMark/>
          </w:tcPr>
          <w:p w14:paraId="5886760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940" w:type="dxa"/>
            <w:noWrap/>
            <w:hideMark/>
          </w:tcPr>
          <w:p w14:paraId="396A8D6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47BED43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7EDF7C1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5EA7ACA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5494215A"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4D9A625"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23</w:t>
            </w:r>
          </w:p>
        </w:tc>
        <w:tc>
          <w:tcPr>
            <w:tcW w:w="1120" w:type="dxa"/>
            <w:noWrap/>
            <w:hideMark/>
          </w:tcPr>
          <w:p w14:paraId="1CC7B83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34F35A4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76DBC53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w:t>
            </w:r>
          </w:p>
        </w:tc>
        <w:tc>
          <w:tcPr>
            <w:tcW w:w="627" w:type="dxa"/>
            <w:noWrap/>
            <w:hideMark/>
          </w:tcPr>
          <w:p w14:paraId="6828A96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5</w:t>
            </w:r>
          </w:p>
        </w:tc>
        <w:tc>
          <w:tcPr>
            <w:tcW w:w="1099" w:type="dxa"/>
            <w:noWrap/>
            <w:hideMark/>
          </w:tcPr>
          <w:p w14:paraId="7AF72AF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299" w:type="dxa"/>
            <w:noWrap/>
            <w:hideMark/>
          </w:tcPr>
          <w:p w14:paraId="7738CE3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594C686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634E0F7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w:t>
            </w:r>
          </w:p>
        </w:tc>
        <w:tc>
          <w:tcPr>
            <w:tcW w:w="1940" w:type="dxa"/>
            <w:noWrap/>
            <w:hideMark/>
          </w:tcPr>
          <w:p w14:paraId="44B3E5C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30</w:t>
            </w:r>
          </w:p>
        </w:tc>
        <w:tc>
          <w:tcPr>
            <w:tcW w:w="1423" w:type="dxa"/>
            <w:noWrap/>
            <w:hideMark/>
          </w:tcPr>
          <w:p w14:paraId="4481E65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466D9D0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36" w:type="dxa"/>
            <w:noWrap/>
            <w:hideMark/>
          </w:tcPr>
          <w:p w14:paraId="762DC2B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30185238"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1D05422"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24</w:t>
            </w:r>
          </w:p>
        </w:tc>
        <w:tc>
          <w:tcPr>
            <w:tcW w:w="1120" w:type="dxa"/>
            <w:noWrap/>
            <w:hideMark/>
          </w:tcPr>
          <w:p w14:paraId="40387F6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527C979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10CF66E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w:t>
            </w:r>
          </w:p>
        </w:tc>
        <w:tc>
          <w:tcPr>
            <w:tcW w:w="627" w:type="dxa"/>
            <w:noWrap/>
            <w:hideMark/>
          </w:tcPr>
          <w:p w14:paraId="7FAB5B7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9</w:t>
            </w:r>
          </w:p>
        </w:tc>
        <w:tc>
          <w:tcPr>
            <w:tcW w:w="1099" w:type="dxa"/>
            <w:noWrap/>
            <w:hideMark/>
          </w:tcPr>
          <w:p w14:paraId="6BE1FE1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299" w:type="dxa"/>
            <w:noWrap/>
            <w:hideMark/>
          </w:tcPr>
          <w:p w14:paraId="57DD820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67D175D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960" w:type="dxa"/>
            <w:noWrap/>
            <w:hideMark/>
          </w:tcPr>
          <w:p w14:paraId="69A2C79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940" w:type="dxa"/>
            <w:noWrap/>
            <w:hideMark/>
          </w:tcPr>
          <w:p w14:paraId="24D0E4A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w:t>
            </w:r>
          </w:p>
        </w:tc>
        <w:tc>
          <w:tcPr>
            <w:tcW w:w="1423" w:type="dxa"/>
            <w:noWrap/>
            <w:hideMark/>
          </w:tcPr>
          <w:p w14:paraId="7CE1600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6D2D68D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021D10C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r>
      <w:tr w:rsidR="004B6442" w:rsidRPr="00F60122" w14:paraId="11E4567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016F83A"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25</w:t>
            </w:r>
          </w:p>
        </w:tc>
        <w:tc>
          <w:tcPr>
            <w:tcW w:w="1120" w:type="dxa"/>
            <w:noWrap/>
            <w:hideMark/>
          </w:tcPr>
          <w:p w14:paraId="7C3D974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61E20A5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37B45DD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627" w:type="dxa"/>
            <w:noWrap/>
            <w:hideMark/>
          </w:tcPr>
          <w:p w14:paraId="1D80C29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1</w:t>
            </w:r>
          </w:p>
        </w:tc>
        <w:tc>
          <w:tcPr>
            <w:tcW w:w="1099" w:type="dxa"/>
            <w:noWrap/>
            <w:hideMark/>
          </w:tcPr>
          <w:p w14:paraId="6FB6119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299" w:type="dxa"/>
            <w:noWrap/>
            <w:hideMark/>
          </w:tcPr>
          <w:p w14:paraId="36CEB06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171" w:type="dxa"/>
            <w:noWrap/>
            <w:hideMark/>
          </w:tcPr>
          <w:p w14:paraId="3252C06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960" w:type="dxa"/>
            <w:noWrap/>
            <w:hideMark/>
          </w:tcPr>
          <w:p w14:paraId="2BAD015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940" w:type="dxa"/>
            <w:noWrap/>
            <w:hideMark/>
          </w:tcPr>
          <w:p w14:paraId="27196E7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w:t>
            </w:r>
          </w:p>
        </w:tc>
        <w:tc>
          <w:tcPr>
            <w:tcW w:w="1423" w:type="dxa"/>
            <w:noWrap/>
            <w:hideMark/>
          </w:tcPr>
          <w:p w14:paraId="15AF17A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792C493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3302EA5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0F13C4C6"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FD68ED6"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26</w:t>
            </w:r>
          </w:p>
        </w:tc>
        <w:tc>
          <w:tcPr>
            <w:tcW w:w="1120" w:type="dxa"/>
            <w:noWrap/>
            <w:hideMark/>
          </w:tcPr>
          <w:p w14:paraId="6532A5F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6317040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0502329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405BD7F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10</w:t>
            </w:r>
          </w:p>
        </w:tc>
        <w:tc>
          <w:tcPr>
            <w:tcW w:w="1099" w:type="dxa"/>
            <w:noWrap/>
            <w:hideMark/>
          </w:tcPr>
          <w:p w14:paraId="1E7839E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299" w:type="dxa"/>
            <w:noWrap/>
            <w:hideMark/>
          </w:tcPr>
          <w:p w14:paraId="055133D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173ECDC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960" w:type="dxa"/>
            <w:noWrap/>
            <w:hideMark/>
          </w:tcPr>
          <w:p w14:paraId="5F68D26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w:t>
            </w:r>
          </w:p>
        </w:tc>
        <w:tc>
          <w:tcPr>
            <w:tcW w:w="1940" w:type="dxa"/>
            <w:noWrap/>
            <w:hideMark/>
          </w:tcPr>
          <w:p w14:paraId="535CE9C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w:t>
            </w:r>
          </w:p>
        </w:tc>
        <w:tc>
          <w:tcPr>
            <w:tcW w:w="1423" w:type="dxa"/>
            <w:noWrap/>
            <w:hideMark/>
          </w:tcPr>
          <w:p w14:paraId="2E82274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229A56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22BB861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5B635D0B"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4709E0D"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27</w:t>
            </w:r>
          </w:p>
        </w:tc>
        <w:tc>
          <w:tcPr>
            <w:tcW w:w="1120" w:type="dxa"/>
            <w:noWrap/>
            <w:hideMark/>
          </w:tcPr>
          <w:p w14:paraId="6F6BFC1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1CB2CE0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1295D98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24</w:t>
            </w:r>
          </w:p>
        </w:tc>
        <w:tc>
          <w:tcPr>
            <w:tcW w:w="627" w:type="dxa"/>
            <w:noWrap/>
            <w:hideMark/>
          </w:tcPr>
          <w:p w14:paraId="19C5D4E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0</w:t>
            </w:r>
          </w:p>
        </w:tc>
        <w:tc>
          <w:tcPr>
            <w:tcW w:w="1099" w:type="dxa"/>
            <w:noWrap/>
            <w:hideMark/>
          </w:tcPr>
          <w:p w14:paraId="558452E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299" w:type="dxa"/>
            <w:noWrap/>
            <w:hideMark/>
          </w:tcPr>
          <w:p w14:paraId="506CD38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79FC1F6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584CF30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940" w:type="dxa"/>
            <w:noWrap/>
            <w:hideMark/>
          </w:tcPr>
          <w:p w14:paraId="1B143A4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1423" w:type="dxa"/>
            <w:noWrap/>
            <w:hideMark/>
          </w:tcPr>
          <w:p w14:paraId="720C440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67" w:type="dxa"/>
            <w:noWrap/>
            <w:hideMark/>
          </w:tcPr>
          <w:p w14:paraId="5B9AAE0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36" w:type="dxa"/>
            <w:noWrap/>
            <w:hideMark/>
          </w:tcPr>
          <w:p w14:paraId="5812917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r>
      <w:tr w:rsidR="004B6442" w:rsidRPr="00F60122" w14:paraId="1B54DD16"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DF54E88"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28</w:t>
            </w:r>
          </w:p>
        </w:tc>
        <w:tc>
          <w:tcPr>
            <w:tcW w:w="1120" w:type="dxa"/>
            <w:noWrap/>
            <w:hideMark/>
          </w:tcPr>
          <w:p w14:paraId="16D2819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24C22A9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47E8A73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21</w:t>
            </w:r>
          </w:p>
        </w:tc>
        <w:tc>
          <w:tcPr>
            <w:tcW w:w="627" w:type="dxa"/>
            <w:noWrap/>
            <w:hideMark/>
          </w:tcPr>
          <w:p w14:paraId="4362CF7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6</w:t>
            </w:r>
          </w:p>
        </w:tc>
        <w:tc>
          <w:tcPr>
            <w:tcW w:w="1099" w:type="dxa"/>
            <w:noWrap/>
            <w:hideMark/>
          </w:tcPr>
          <w:p w14:paraId="40BD680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299" w:type="dxa"/>
            <w:noWrap/>
            <w:hideMark/>
          </w:tcPr>
          <w:p w14:paraId="3D4C10E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2A30871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960" w:type="dxa"/>
            <w:noWrap/>
            <w:hideMark/>
          </w:tcPr>
          <w:p w14:paraId="22BC5BA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940" w:type="dxa"/>
            <w:noWrap/>
            <w:hideMark/>
          </w:tcPr>
          <w:p w14:paraId="2F14A94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42</w:t>
            </w:r>
          </w:p>
        </w:tc>
        <w:tc>
          <w:tcPr>
            <w:tcW w:w="1423" w:type="dxa"/>
            <w:noWrap/>
            <w:hideMark/>
          </w:tcPr>
          <w:p w14:paraId="46AFB91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E5C006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0A87EB2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541D2F8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21B24506"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29</w:t>
            </w:r>
          </w:p>
        </w:tc>
        <w:tc>
          <w:tcPr>
            <w:tcW w:w="1120" w:type="dxa"/>
            <w:noWrap/>
            <w:hideMark/>
          </w:tcPr>
          <w:p w14:paraId="4F0EBB3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0331042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0A77FC9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38230DB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9</w:t>
            </w:r>
          </w:p>
        </w:tc>
        <w:tc>
          <w:tcPr>
            <w:tcW w:w="1099" w:type="dxa"/>
            <w:noWrap/>
            <w:hideMark/>
          </w:tcPr>
          <w:p w14:paraId="33D13D6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299" w:type="dxa"/>
            <w:noWrap/>
            <w:hideMark/>
          </w:tcPr>
          <w:p w14:paraId="7D2D312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49C3300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960" w:type="dxa"/>
            <w:noWrap/>
            <w:hideMark/>
          </w:tcPr>
          <w:p w14:paraId="601689C8"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w:t>
            </w:r>
          </w:p>
        </w:tc>
        <w:tc>
          <w:tcPr>
            <w:tcW w:w="1940" w:type="dxa"/>
            <w:noWrap/>
            <w:hideMark/>
          </w:tcPr>
          <w:p w14:paraId="5BB0A68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38</w:t>
            </w:r>
          </w:p>
        </w:tc>
        <w:tc>
          <w:tcPr>
            <w:tcW w:w="1423" w:type="dxa"/>
            <w:noWrap/>
            <w:hideMark/>
          </w:tcPr>
          <w:p w14:paraId="22F27AD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367" w:type="dxa"/>
            <w:noWrap/>
            <w:hideMark/>
          </w:tcPr>
          <w:p w14:paraId="4B5E669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7F9361D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5EF3EFE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EB601C5"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30</w:t>
            </w:r>
          </w:p>
        </w:tc>
        <w:tc>
          <w:tcPr>
            <w:tcW w:w="1120" w:type="dxa"/>
            <w:noWrap/>
            <w:hideMark/>
          </w:tcPr>
          <w:p w14:paraId="276EE2B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63FB918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450A606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w:t>
            </w:r>
          </w:p>
        </w:tc>
        <w:tc>
          <w:tcPr>
            <w:tcW w:w="627" w:type="dxa"/>
            <w:noWrap/>
            <w:hideMark/>
          </w:tcPr>
          <w:p w14:paraId="3A21150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0</w:t>
            </w:r>
          </w:p>
        </w:tc>
        <w:tc>
          <w:tcPr>
            <w:tcW w:w="1099" w:type="dxa"/>
            <w:noWrap/>
            <w:hideMark/>
          </w:tcPr>
          <w:p w14:paraId="22307D9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299" w:type="dxa"/>
            <w:noWrap/>
            <w:hideMark/>
          </w:tcPr>
          <w:p w14:paraId="394DFD3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7FF8032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960" w:type="dxa"/>
            <w:noWrap/>
            <w:hideMark/>
          </w:tcPr>
          <w:p w14:paraId="689D65F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940" w:type="dxa"/>
            <w:noWrap/>
            <w:hideMark/>
          </w:tcPr>
          <w:p w14:paraId="795D0E7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26</w:t>
            </w:r>
          </w:p>
        </w:tc>
        <w:tc>
          <w:tcPr>
            <w:tcW w:w="1423" w:type="dxa"/>
            <w:noWrap/>
            <w:hideMark/>
          </w:tcPr>
          <w:p w14:paraId="01FFE5D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121F67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1EF959B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r>
      <w:tr w:rsidR="004B6442" w:rsidRPr="00F60122" w14:paraId="75915FA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F47B874"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31</w:t>
            </w:r>
          </w:p>
        </w:tc>
        <w:tc>
          <w:tcPr>
            <w:tcW w:w="1120" w:type="dxa"/>
            <w:noWrap/>
            <w:hideMark/>
          </w:tcPr>
          <w:p w14:paraId="0D7C08D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6A6B091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2749EA3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40</w:t>
            </w:r>
          </w:p>
        </w:tc>
        <w:tc>
          <w:tcPr>
            <w:tcW w:w="627" w:type="dxa"/>
            <w:noWrap/>
            <w:hideMark/>
          </w:tcPr>
          <w:p w14:paraId="59AC094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3</w:t>
            </w:r>
          </w:p>
        </w:tc>
        <w:tc>
          <w:tcPr>
            <w:tcW w:w="1099" w:type="dxa"/>
            <w:noWrap/>
            <w:hideMark/>
          </w:tcPr>
          <w:p w14:paraId="37ED41A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299" w:type="dxa"/>
            <w:noWrap/>
            <w:hideMark/>
          </w:tcPr>
          <w:p w14:paraId="23FBD75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0F8014B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960" w:type="dxa"/>
            <w:noWrap/>
            <w:hideMark/>
          </w:tcPr>
          <w:p w14:paraId="3FA8A07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6</w:t>
            </w:r>
          </w:p>
        </w:tc>
        <w:tc>
          <w:tcPr>
            <w:tcW w:w="1940" w:type="dxa"/>
            <w:noWrap/>
            <w:hideMark/>
          </w:tcPr>
          <w:p w14:paraId="43205D6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44</w:t>
            </w:r>
          </w:p>
        </w:tc>
        <w:tc>
          <w:tcPr>
            <w:tcW w:w="1423" w:type="dxa"/>
            <w:noWrap/>
            <w:hideMark/>
          </w:tcPr>
          <w:p w14:paraId="4BAC1B6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24A3EFD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4036135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1091B24B"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50E6799"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120" w:type="dxa"/>
            <w:noWrap/>
            <w:hideMark/>
          </w:tcPr>
          <w:p w14:paraId="74A936C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1AA6E36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0F6EDD5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2B2DC37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5</w:t>
            </w:r>
          </w:p>
        </w:tc>
        <w:tc>
          <w:tcPr>
            <w:tcW w:w="1099" w:type="dxa"/>
            <w:noWrap/>
            <w:hideMark/>
          </w:tcPr>
          <w:p w14:paraId="15B0B84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299" w:type="dxa"/>
            <w:noWrap/>
            <w:hideMark/>
          </w:tcPr>
          <w:p w14:paraId="379A1B9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w:t>
            </w:r>
          </w:p>
        </w:tc>
        <w:tc>
          <w:tcPr>
            <w:tcW w:w="1171" w:type="dxa"/>
            <w:noWrap/>
            <w:hideMark/>
          </w:tcPr>
          <w:p w14:paraId="2E203DC1"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960" w:type="dxa"/>
            <w:noWrap/>
            <w:hideMark/>
          </w:tcPr>
          <w:p w14:paraId="25EDD1C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940" w:type="dxa"/>
            <w:noWrap/>
            <w:hideMark/>
          </w:tcPr>
          <w:p w14:paraId="2F96AA9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w:t>
            </w:r>
          </w:p>
        </w:tc>
        <w:tc>
          <w:tcPr>
            <w:tcW w:w="1423" w:type="dxa"/>
            <w:noWrap/>
            <w:hideMark/>
          </w:tcPr>
          <w:p w14:paraId="421C66F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56A7A77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78D14D5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6875D19F"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071A211"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33</w:t>
            </w:r>
          </w:p>
        </w:tc>
        <w:tc>
          <w:tcPr>
            <w:tcW w:w="1120" w:type="dxa"/>
            <w:noWrap/>
            <w:hideMark/>
          </w:tcPr>
          <w:p w14:paraId="6263303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123D266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M</w:t>
            </w:r>
          </w:p>
        </w:tc>
        <w:tc>
          <w:tcPr>
            <w:tcW w:w="680" w:type="dxa"/>
            <w:noWrap/>
            <w:hideMark/>
          </w:tcPr>
          <w:p w14:paraId="4EF77D1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w:t>
            </w:r>
          </w:p>
        </w:tc>
        <w:tc>
          <w:tcPr>
            <w:tcW w:w="627" w:type="dxa"/>
            <w:noWrap/>
            <w:hideMark/>
          </w:tcPr>
          <w:p w14:paraId="078680E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6</w:t>
            </w:r>
          </w:p>
        </w:tc>
        <w:tc>
          <w:tcPr>
            <w:tcW w:w="1099" w:type="dxa"/>
            <w:noWrap/>
            <w:hideMark/>
          </w:tcPr>
          <w:p w14:paraId="4E0BAB1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299" w:type="dxa"/>
            <w:noWrap/>
            <w:hideMark/>
          </w:tcPr>
          <w:p w14:paraId="30B0037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1171" w:type="dxa"/>
            <w:noWrap/>
            <w:hideMark/>
          </w:tcPr>
          <w:p w14:paraId="6B81280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c>
          <w:tcPr>
            <w:tcW w:w="960" w:type="dxa"/>
            <w:noWrap/>
            <w:hideMark/>
          </w:tcPr>
          <w:p w14:paraId="54EA22F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940" w:type="dxa"/>
            <w:noWrap/>
            <w:hideMark/>
          </w:tcPr>
          <w:p w14:paraId="354BFFA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32</w:t>
            </w:r>
          </w:p>
        </w:tc>
        <w:tc>
          <w:tcPr>
            <w:tcW w:w="1423" w:type="dxa"/>
            <w:noWrap/>
            <w:hideMark/>
          </w:tcPr>
          <w:p w14:paraId="3F9C4E3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6A70661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w:t>
            </w:r>
          </w:p>
        </w:tc>
        <w:tc>
          <w:tcPr>
            <w:tcW w:w="1336" w:type="dxa"/>
            <w:noWrap/>
            <w:hideMark/>
          </w:tcPr>
          <w:p w14:paraId="7508AA2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r>
      <w:tr w:rsidR="004B6442" w:rsidRPr="00F60122" w14:paraId="05394CF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AF7A70B"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34</w:t>
            </w:r>
          </w:p>
        </w:tc>
        <w:tc>
          <w:tcPr>
            <w:tcW w:w="1120" w:type="dxa"/>
            <w:noWrap/>
            <w:hideMark/>
          </w:tcPr>
          <w:p w14:paraId="59D00226"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Low PC</w:t>
            </w:r>
          </w:p>
        </w:tc>
        <w:tc>
          <w:tcPr>
            <w:tcW w:w="770" w:type="dxa"/>
            <w:noWrap/>
            <w:hideMark/>
          </w:tcPr>
          <w:p w14:paraId="1BEF4BA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F</w:t>
            </w:r>
          </w:p>
        </w:tc>
        <w:tc>
          <w:tcPr>
            <w:tcW w:w="680" w:type="dxa"/>
            <w:noWrap/>
            <w:hideMark/>
          </w:tcPr>
          <w:p w14:paraId="4635924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w:t>
            </w:r>
          </w:p>
        </w:tc>
        <w:tc>
          <w:tcPr>
            <w:tcW w:w="627" w:type="dxa"/>
            <w:noWrap/>
            <w:hideMark/>
          </w:tcPr>
          <w:p w14:paraId="103923A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F60122">
              <w:rPr>
                <w:rFonts w:ascii="Calibri" w:eastAsia="Times New Roman" w:hAnsi="Calibri" w:cs="Calibri"/>
                <w:sz w:val="18"/>
                <w:szCs w:val="18"/>
              </w:rPr>
              <w:t>8</w:t>
            </w:r>
          </w:p>
        </w:tc>
        <w:tc>
          <w:tcPr>
            <w:tcW w:w="1099" w:type="dxa"/>
            <w:noWrap/>
            <w:hideMark/>
          </w:tcPr>
          <w:p w14:paraId="7B1A900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299" w:type="dxa"/>
            <w:noWrap/>
            <w:hideMark/>
          </w:tcPr>
          <w:p w14:paraId="4514DAE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w:t>
            </w:r>
          </w:p>
        </w:tc>
        <w:tc>
          <w:tcPr>
            <w:tcW w:w="1171" w:type="dxa"/>
            <w:noWrap/>
            <w:hideMark/>
          </w:tcPr>
          <w:p w14:paraId="4C1F835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960" w:type="dxa"/>
            <w:noWrap/>
            <w:hideMark/>
          </w:tcPr>
          <w:p w14:paraId="6FFED19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9</w:t>
            </w:r>
          </w:p>
        </w:tc>
        <w:tc>
          <w:tcPr>
            <w:tcW w:w="1940" w:type="dxa"/>
            <w:noWrap/>
            <w:hideMark/>
          </w:tcPr>
          <w:p w14:paraId="1DBB42A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42</w:t>
            </w:r>
          </w:p>
        </w:tc>
        <w:tc>
          <w:tcPr>
            <w:tcW w:w="1423" w:type="dxa"/>
            <w:noWrap/>
            <w:hideMark/>
          </w:tcPr>
          <w:p w14:paraId="33F9E94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w:t>
            </w:r>
          </w:p>
        </w:tc>
        <w:tc>
          <w:tcPr>
            <w:tcW w:w="1367" w:type="dxa"/>
            <w:noWrap/>
            <w:hideMark/>
          </w:tcPr>
          <w:p w14:paraId="1577EB8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w:t>
            </w:r>
          </w:p>
        </w:tc>
        <w:tc>
          <w:tcPr>
            <w:tcW w:w="1336" w:type="dxa"/>
            <w:noWrap/>
            <w:hideMark/>
          </w:tcPr>
          <w:p w14:paraId="3492F7C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w:t>
            </w:r>
          </w:p>
        </w:tc>
      </w:tr>
      <w:tr w:rsidR="004B6442" w:rsidRPr="00F60122" w14:paraId="5741A94E"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2496863"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Mean</w:t>
            </w:r>
            <w:r>
              <w:rPr>
                <w:rFonts w:ascii="Calibri" w:eastAsia="Times New Roman" w:hAnsi="Calibri" w:cs="Calibri"/>
                <w:color w:val="000000"/>
                <w:sz w:val="18"/>
                <w:szCs w:val="18"/>
              </w:rPr>
              <w:t xml:space="preserve"> (group)</w:t>
            </w:r>
          </w:p>
        </w:tc>
        <w:tc>
          <w:tcPr>
            <w:tcW w:w="1120" w:type="dxa"/>
            <w:noWrap/>
            <w:hideMark/>
          </w:tcPr>
          <w:p w14:paraId="55363F3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1D24AD2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23137F2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22.56</w:t>
            </w:r>
          </w:p>
        </w:tc>
        <w:tc>
          <w:tcPr>
            <w:tcW w:w="627" w:type="dxa"/>
            <w:noWrap/>
            <w:hideMark/>
          </w:tcPr>
          <w:p w14:paraId="3E0271D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4.61</w:t>
            </w:r>
          </w:p>
        </w:tc>
        <w:tc>
          <w:tcPr>
            <w:tcW w:w="1099" w:type="dxa"/>
            <w:noWrap/>
            <w:hideMark/>
          </w:tcPr>
          <w:p w14:paraId="7ED5D0B7"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2.39</w:t>
            </w:r>
          </w:p>
        </w:tc>
        <w:tc>
          <w:tcPr>
            <w:tcW w:w="1299" w:type="dxa"/>
            <w:noWrap/>
            <w:hideMark/>
          </w:tcPr>
          <w:p w14:paraId="6BB5029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0.78</w:t>
            </w:r>
          </w:p>
        </w:tc>
        <w:tc>
          <w:tcPr>
            <w:tcW w:w="1171" w:type="dxa"/>
            <w:noWrap/>
            <w:hideMark/>
          </w:tcPr>
          <w:p w14:paraId="1A31AD2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1.33</w:t>
            </w:r>
          </w:p>
        </w:tc>
        <w:tc>
          <w:tcPr>
            <w:tcW w:w="960" w:type="dxa"/>
            <w:noWrap/>
            <w:hideMark/>
          </w:tcPr>
          <w:p w14:paraId="7ECD927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4.39</w:t>
            </w:r>
          </w:p>
        </w:tc>
        <w:tc>
          <w:tcPr>
            <w:tcW w:w="1940" w:type="dxa"/>
            <w:noWrap/>
            <w:hideMark/>
          </w:tcPr>
          <w:p w14:paraId="2F7856B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34.11</w:t>
            </w:r>
          </w:p>
        </w:tc>
        <w:tc>
          <w:tcPr>
            <w:tcW w:w="1423" w:type="dxa"/>
            <w:noWrap/>
            <w:hideMark/>
          </w:tcPr>
          <w:p w14:paraId="36A2832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3.44</w:t>
            </w:r>
          </w:p>
        </w:tc>
        <w:tc>
          <w:tcPr>
            <w:tcW w:w="1367" w:type="dxa"/>
            <w:noWrap/>
            <w:hideMark/>
          </w:tcPr>
          <w:p w14:paraId="138ECB4F"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4.44</w:t>
            </w:r>
          </w:p>
        </w:tc>
        <w:tc>
          <w:tcPr>
            <w:tcW w:w="1336" w:type="dxa"/>
            <w:noWrap/>
            <w:hideMark/>
          </w:tcPr>
          <w:p w14:paraId="681A628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2.33</w:t>
            </w:r>
          </w:p>
        </w:tc>
      </w:tr>
      <w:tr w:rsidR="004B6442" w:rsidRPr="00F60122" w14:paraId="6F8C3880"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D090941"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SD</w:t>
            </w:r>
            <w:r>
              <w:rPr>
                <w:rFonts w:ascii="Calibri" w:eastAsia="Times New Roman" w:hAnsi="Calibri" w:cs="Calibri"/>
                <w:color w:val="000000"/>
                <w:sz w:val="18"/>
                <w:szCs w:val="18"/>
              </w:rPr>
              <w:t xml:space="preserve"> (group)</w:t>
            </w:r>
          </w:p>
        </w:tc>
        <w:tc>
          <w:tcPr>
            <w:tcW w:w="1120" w:type="dxa"/>
            <w:noWrap/>
            <w:hideMark/>
          </w:tcPr>
          <w:p w14:paraId="2EB4B60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65B7822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4C09160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4.73</w:t>
            </w:r>
          </w:p>
        </w:tc>
        <w:tc>
          <w:tcPr>
            <w:tcW w:w="627" w:type="dxa"/>
            <w:noWrap/>
            <w:hideMark/>
          </w:tcPr>
          <w:p w14:paraId="139F71D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3.07</w:t>
            </w:r>
          </w:p>
        </w:tc>
        <w:tc>
          <w:tcPr>
            <w:tcW w:w="1099" w:type="dxa"/>
            <w:noWrap/>
            <w:hideMark/>
          </w:tcPr>
          <w:p w14:paraId="66DF611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1.29</w:t>
            </w:r>
          </w:p>
        </w:tc>
        <w:tc>
          <w:tcPr>
            <w:tcW w:w="1299" w:type="dxa"/>
            <w:noWrap/>
            <w:hideMark/>
          </w:tcPr>
          <w:p w14:paraId="229D296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0.94</w:t>
            </w:r>
          </w:p>
        </w:tc>
        <w:tc>
          <w:tcPr>
            <w:tcW w:w="1171" w:type="dxa"/>
            <w:noWrap/>
            <w:hideMark/>
          </w:tcPr>
          <w:p w14:paraId="0249C05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1.14</w:t>
            </w:r>
          </w:p>
        </w:tc>
        <w:tc>
          <w:tcPr>
            <w:tcW w:w="960" w:type="dxa"/>
            <w:noWrap/>
            <w:hideMark/>
          </w:tcPr>
          <w:p w14:paraId="6264895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4.53</w:t>
            </w:r>
          </w:p>
        </w:tc>
        <w:tc>
          <w:tcPr>
            <w:tcW w:w="1940" w:type="dxa"/>
            <w:noWrap/>
            <w:hideMark/>
          </w:tcPr>
          <w:p w14:paraId="45F6CB1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5.68</w:t>
            </w:r>
          </w:p>
        </w:tc>
        <w:tc>
          <w:tcPr>
            <w:tcW w:w="1423" w:type="dxa"/>
            <w:noWrap/>
            <w:hideMark/>
          </w:tcPr>
          <w:p w14:paraId="27DA3070"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0.86</w:t>
            </w:r>
          </w:p>
        </w:tc>
        <w:tc>
          <w:tcPr>
            <w:tcW w:w="1367" w:type="dxa"/>
            <w:noWrap/>
            <w:hideMark/>
          </w:tcPr>
          <w:p w14:paraId="7880EE8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0.70</w:t>
            </w:r>
          </w:p>
        </w:tc>
        <w:tc>
          <w:tcPr>
            <w:tcW w:w="1336" w:type="dxa"/>
            <w:noWrap/>
            <w:hideMark/>
          </w:tcPr>
          <w:p w14:paraId="054CD4C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0.91</w:t>
            </w:r>
          </w:p>
        </w:tc>
      </w:tr>
      <w:tr w:rsidR="004B6442" w:rsidRPr="00F60122" w14:paraId="33E2CDE1"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71606EA6"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SD (pooled)</w:t>
            </w:r>
          </w:p>
        </w:tc>
        <w:tc>
          <w:tcPr>
            <w:tcW w:w="1120" w:type="dxa"/>
            <w:noWrap/>
            <w:hideMark/>
          </w:tcPr>
          <w:p w14:paraId="1B81C2B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5C182D1D"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26879FA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8.30</w:t>
            </w:r>
          </w:p>
        </w:tc>
        <w:tc>
          <w:tcPr>
            <w:tcW w:w="627" w:type="dxa"/>
            <w:noWrap/>
            <w:hideMark/>
          </w:tcPr>
          <w:p w14:paraId="3C05B08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15.05</w:t>
            </w:r>
          </w:p>
        </w:tc>
        <w:tc>
          <w:tcPr>
            <w:tcW w:w="1099" w:type="dxa"/>
            <w:noWrap/>
            <w:hideMark/>
          </w:tcPr>
          <w:p w14:paraId="4150F39E"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5.44</w:t>
            </w:r>
          </w:p>
        </w:tc>
        <w:tc>
          <w:tcPr>
            <w:tcW w:w="1299" w:type="dxa"/>
            <w:noWrap/>
            <w:hideMark/>
          </w:tcPr>
          <w:p w14:paraId="599EDB6C"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3.83</w:t>
            </w:r>
          </w:p>
        </w:tc>
        <w:tc>
          <w:tcPr>
            <w:tcW w:w="1171" w:type="dxa"/>
            <w:noWrap/>
            <w:hideMark/>
          </w:tcPr>
          <w:p w14:paraId="3E54B51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7.28</w:t>
            </w:r>
          </w:p>
        </w:tc>
        <w:tc>
          <w:tcPr>
            <w:tcW w:w="960" w:type="dxa"/>
            <w:noWrap/>
            <w:hideMark/>
          </w:tcPr>
          <w:p w14:paraId="52B3508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5.12</w:t>
            </w:r>
          </w:p>
        </w:tc>
        <w:tc>
          <w:tcPr>
            <w:tcW w:w="1940" w:type="dxa"/>
            <w:noWrap/>
            <w:hideMark/>
          </w:tcPr>
          <w:p w14:paraId="44250E7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6.73</w:t>
            </w:r>
          </w:p>
        </w:tc>
        <w:tc>
          <w:tcPr>
            <w:tcW w:w="1423" w:type="dxa"/>
            <w:noWrap/>
            <w:hideMark/>
          </w:tcPr>
          <w:p w14:paraId="5CA94A71"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0.79</w:t>
            </w:r>
          </w:p>
        </w:tc>
        <w:tc>
          <w:tcPr>
            <w:tcW w:w="1367" w:type="dxa"/>
            <w:noWrap/>
            <w:hideMark/>
          </w:tcPr>
          <w:p w14:paraId="6599AF0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0.75</w:t>
            </w:r>
          </w:p>
        </w:tc>
        <w:tc>
          <w:tcPr>
            <w:tcW w:w="1336" w:type="dxa"/>
            <w:noWrap/>
            <w:hideMark/>
          </w:tcPr>
          <w:p w14:paraId="53DBD76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1.03</w:t>
            </w:r>
          </w:p>
        </w:tc>
      </w:tr>
      <w:tr w:rsidR="004B6442" w:rsidRPr="00F60122" w14:paraId="2F3C920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1380" w:type="dxa"/>
            <w:noWrap/>
            <w:hideMark/>
          </w:tcPr>
          <w:p w14:paraId="1F00ED35" w14:textId="77777777" w:rsidR="004B6442" w:rsidRPr="00F60122" w:rsidRDefault="004B6442" w:rsidP="00AC23E4">
            <w:pPr>
              <w:rPr>
                <w:rFonts w:ascii="Calibri" w:eastAsia="Times New Roman" w:hAnsi="Calibri" w:cs="Calibri"/>
                <w:color w:val="000000"/>
                <w:sz w:val="18"/>
                <w:szCs w:val="18"/>
              </w:rPr>
            </w:pPr>
          </w:p>
        </w:tc>
        <w:tc>
          <w:tcPr>
            <w:tcW w:w="1120" w:type="dxa"/>
            <w:noWrap/>
            <w:hideMark/>
          </w:tcPr>
          <w:p w14:paraId="0198D42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770" w:type="dxa"/>
            <w:noWrap/>
            <w:hideMark/>
          </w:tcPr>
          <w:p w14:paraId="5F0EF9EF"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5C974102"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27" w:type="dxa"/>
            <w:noWrap/>
            <w:hideMark/>
          </w:tcPr>
          <w:p w14:paraId="31A5C05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99" w:type="dxa"/>
            <w:noWrap/>
            <w:hideMark/>
          </w:tcPr>
          <w:p w14:paraId="3ED0C8E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99" w:type="dxa"/>
            <w:noWrap/>
            <w:hideMark/>
          </w:tcPr>
          <w:p w14:paraId="6AB85D6C"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1" w:type="dxa"/>
            <w:noWrap/>
            <w:hideMark/>
          </w:tcPr>
          <w:p w14:paraId="3DE4DCB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60" w:type="dxa"/>
            <w:noWrap/>
            <w:hideMark/>
          </w:tcPr>
          <w:p w14:paraId="0FF42237"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940" w:type="dxa"/>
            <w:noWrap/>
            <w:hideMark/>
          </w:tcPr>
          <w:p w14:paraId="23D1414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423" w:type="dxa"/>
            <w:noWrap/>
            <w:hideMark/>
          </w:tcPr>
          <w:p w14:paraId="2DC1AAC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67" w:type="dxa"/>
            <w:noWrap/>
            <w:hideMark/>
          </w:tcPr>
          <w:p w14:paraId="79C0EB9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6" w:type="dxa"/>
            <w:noWrap/>
            <w:hideMark/>
          </w:tcPr>
          <w:p w14:paraId="791B814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F60122" w14:paraId="3AA7FF48"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7" w:type="dxa"/>
            <w:gridSpan w:val="5"/>
            <w:noWrap/>
            <w:hideMark/>
          </w:tcPr>
          <w:p w14:paraId="41BB311F" w14:textId="77777777" w:rsidR="004B6442" w:rsidRPr="001731FC" w:rsidRDefault="004B6442" w:rsidP="00AC23E4">
            <w:pPr>
              <w:rPr>
                <w:rFonts w:ascii="Calibri" w:eastAsia="Times New Roman" w:hAnsi="Calibri" w:cs="Calibri"/>
                <w:bCs w:val="0"/>
                <w:color w:val="000000"/>
                <w:sz w:val="18"/>
                <w:szCs w:val="18"/>
              </w:rPr>
            </w:pPr>
            <w:r w:rsidRPr="001731FC">
              <w:rPr>
                <w:rFonts w:ascii="Calibri" w:eastAsia="Times New Roman" w:hAnsi="Calibri" w:cs="Calibri"/>
                <w:bCs w:val="0"/>
                <w:color w:val="000000"/>
                <w:sz w:val="18"/>
                <w:szCs w:val="18"/>
              </w:rPr>
              <w:t>Independent samples t test (High PC &gt; Low PC)</w:t>
            </w:r>
          </w:p>
        </w:tc>
        <w:tc>
          <w:tcPr>
            <w:tcW w:w="1099" w:type="dxa"/>
            <w:noWrap/>
            <w:hideMark/>
          </w:tcPr>
          <w:p w14:paraId="45584189"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c>
          <w:tcPr>
            <w:tcW w:w="1299" w:type="dxa"/>
            <w:noWrap/>
            <w:hideMark/>
          </w:tcPr>
          <w:p w14:paraId="65D7055A"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71" w:type="dxa"/>
            <w:noWrap/>
            <w:hideMark/>
          </w:tcPr>
          <w:p w14:paraId="04F52CB5"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60" w:type="dxa"/>
            <w:noWrap/>
            <w:hideMark/>
          </w:tcPr>
          <w:p w14:paraId="4CC0DB8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940" w:type="dxa"/>
            <w:noWrap/>
            <w:hideMark/>
          </w:tcPr>
          <w:p w14:paraId="1DB246E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423" w:type="dxa"/>
            <w:noWrap/>
            <w:hideMark/>
          </w:tcPr>
          <w:p w14:paraId="5B56A74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67" w:type="dxa"/>
            <w:noWrap/>
            <w:hideMark/>
          </w:tcPr>
          <w:p w14:paraId="265BC10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6" w:type="dxa"/>
            <w:noWrap/>
            <w:hideMark/>
          </w:tcPr>
          <w:p w14:paraId="29083362"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4B6442" w:rsidRPr="00F60122" w14:paraId="4576701D"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59F94E56"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t statistic</w:t>
            </w:r>
          </w:p>
        </w:tc>
        <w:tc>
          <w:tcPr>
            <w:tcW w:w="1120" w:type="dxa"/>
            <w:noWrap/>
            <w:hideMark/>
          </w:tcPr>
          <w:p w14:paraId="4C3F29A2" w14:textId="77777777" w:rsidR="004B6442" w:rsidRPr="00F60122"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2E2D1760" w14:textId="77777777" w:rsidR="004B6442" w:rsidRPr="00F60122" w:rsidRDefault="004B6442" w:rsidP="00AC23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12E68A7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1.45</w:t>
            </w:r>
          </w:p>
        </w:tc>
        <w:tc>
          <w:tcPr>
            <w:tcW w:w="627" w:type="dxa"/>
            <w:noWrap/>
            <w:hideMark/>
          </w:tcPr>
          <w:p w14:paraId="315A500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24.71</w:t>
            </w:r>
          </w:p>
        </w:tc>
        <w:tc>
          <w:tcPr>
            <w:tcW w:w="1099" w:type="dxa"/>
            <w:noWrap/>
            <w:hideMark/>
          </w:tcPr>
          <w:p w14:paraId="70BD8FE8"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15.09</w:t>
            </w:r>
          </w:p>
        </w:tc>
        <w:tc>
          <w:tcPr>
            <w:tcW w:w="1299" w:type="dxa"/>
            <w:noWrap/>
            <w:hideMark/>
          </w:tcPr>
          <w:p w14:paraId="3346B649"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11.01</w:t>
            </w:r>
          </w:p>
        </w:tc>
        <w:tc>
          <w:tcPr>
            <w:tcW w:w="1171" w:type="dxa"/>
            <w:noWrap/>
            <w:hideMark/>
          </w:tcPr>
          <w:p w14:paraId="3ACBE3DD"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18.40</w:t>
            </w:r>
          </w:p>
        </w:tc>
        <w:tc>
          <w:tcPr>
            <w:tcW w:w="960" w:type="dxa"/>
            <w:noWrap/>
            <w:hideMark/>
          </w:tcPr>
          <w:p w14:paraId="3AF16AD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3.48</w:t>
            </w:r>
          </w:p>
        </w:tc>
        <w:tc>
          <w:tcPr>
            <w:tcW w:w="1940" w:type="dxa"/>
            <w:noWrap/>
            <w:hideMark/>
          </w:tcPr>
          <w:p w14:paraId="5A9D17A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-2.03</w:t>
            </w:r>
          </w:p>
        </w:tc>
        <w:tc>
          <w:tcPr>
            <w:tcW w:w="1423" w:type="dxa"/>
            <w:noWrap/>
            <w:hideMark/>
          </w:tcPr>
          <w:p w14:paraId="57A1D93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0.80</w:t>
            </w:r>
          </w:p>
        </w:tc>
        <w:tc>
          <w:tcPr>
            <w:tcW w:w="1367" w:type="dxa"/>
            <w:noWrap/>
            <w:hideMark/>
          </w:tcPr>
          <w:p w14:paraId="77178BA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0.08</w:t>
            </w:r>
          </w:p>
        </w:tc>
        <w:tc>
          <w:tcPr>
            <w:tcW w:w="1336" w:type="dxa"/>
            <w:noWrap/>
            <w:hideMark/>
          </w:tcPr>
          <w:p w14:paraId="5D55F3C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0.73</w:t>
            </w:r>
          </w:p>
        </w:tc>
      </w:tr>
      <w:tr w:rsidR="004B6442" w:rsidRPr="00F60122" w14:paraId="6D7FC497"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BB7D94E"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p value</w:t>
            </w:r>
          </w:p>
        </w:tc>
        <w:tc>
          <w:tcPr>
            <w:tcW w:w="1120" w:type="dxa"/>
            <w:noWrap/>
            <w:hideMark/>
          </w:tcPr>
          <w:p w14:paraId="07187E33" w14:textId="77777777" w:rsidR="004B6442" w:rsidRPr="00F60122"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770" w:type="dxa"/>
            <w:noWrap/>
            <w:hideMark/>
          </w:tcPr>
          <w:p w14:paraId="51AE1D8E" w14:textId="77777777" w:rsidR="004B6442" w:rsidRPr="00F60122" w:rsidRDefault="004B6442" w:rsidP="00AC23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80" w:type="dxa"/>
            <w:noWrap/>
            <w:hideMark/>
          </w:tcPr>
          <w:p w14:paraId="1FB09ED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0.157</w:t>
            </w:r>
          </w:p>
        </w:tc>
        <w:tc>
          <w:tcPr>
            <w:tcW w:w="627" w:type="dxa"/>
            <w:noWrap/>
            <w:hideMark/>
          </w:tcPr>
          <w:p w14:paraId="55C95D50" w14:textId="0ECED343" w:rsidR="004B6442" w:rsidRPr="00F60122"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099" w:type="dxa"/>
            <w:noWrap/>
            <w:hideMark/>
          </w:tcPr>
          <w:p w14:paraId="290DB868" w14:textId="2F8B6C4F" w:rsidR="004B6442" w:rsidRPr="00F60122"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299" w:type="dxa"/>
            <w:noWrap/>
            <w:hideMark/>
          </w:tcPr>
          <w:p w14:paraId="0E68284E" w14:textId="12C6EAAB" w:rsidR="004B6442" w:rsidRPr="00F60122"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1" w:type="dxa"/>
            <w:noWrap/>
            <w:hideMark/>
          </w:tcPr>
          <w:p w14:paraId="4CDEE67E" w14:textId="74255F09" w:rsidR="004B6442" w:rsidRPr="00F60122"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960" w:type="dxa"/>
            <w:noWrap/>
            <w:hideMark/>
          </w:tcPr>
          <w:p w14:paraId="1E3D456B"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0.001</w:t>
            </w:r>
          </w:p>
        </w:tc>
        <w:tc>
          <w:tcPr>
            <w:tcW w:w="1940" w:type="dxa"/>
            <w:noWrap/>
            <w:hideMark/>
          </w:tcPr>
          <w:p w14:paraId="2F9CE4F3"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0.051</w:t>
            </w:r>
          </w:p>
        </w:tc>
        <w:tc>
          <w:tcPr>
            <w:tcW w:w="1423" w:type="dxa"/>
            <w:noWrap/>
            <w:hideMark/>
          </w:tcPr>
          <w:p w14:paraId="31081844"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0.432</w:t>
            </w:r>
          </w:p>
        </w:tc>
        <w:tc>
          <w:tcPr>
            <w:tcW w:w="1367" w:type="dxa"/>
            <w:noWrap/>
            <w:hideMark/>
          </w:tcPr>
          <w:p w14:paraId="1E97C850"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0.934</w:t>
            </w:r>
          </w:p>
        </w:tc>
        <w:tc>
          <w:tcPr>
            <w:tcW w:w="1336" w:type="dxa"/>
            <w:noWrap/>
            <w:hideMark/>
          </w:tcPr>
          <w:p w14:paraId="3FEC7636" w14:textId="77777777" w:rsidR="004B6442" w:rsidRPr="00F6012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0.469</w:t>
            </w:r>
          </w:p>
        </w:tc>
      </w:tr>
      <w:tr w:rsidR="004B6442" w:rsidRPr="00F60122" w14:paraId="0DD509D9"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2500" w:type="dxa"/>
            <w:gridSpan w:val="2"/>
            <w:noWrap/>
            <w:hideMark/>
          </w:tcPr>
          <w:p w14:paraId="59A5BFED" w14:textId="77777777" w:rsidR="004B6442" w:rsidRPr="00F60122" w:rsidRDefault="004B6442" w:rsidP="00AC23E4">
            <w:pPr>
              <w:rPr>
                <w:rFonts w:ascii="Calibri" w:eastAsia="Times New Roman" w:hAnsi="Calibri" w:cs="Calibri"/>
                <w:color w:val="000000"/>
                <w:sz w:val="18"/>
                <w:szCs w:val="18"/>
              </w:rPr>
            </w:pPr>
            <w:r w:rsidRPr="00F60122">
              <w:rPr>
                <w:rFonts w:ascii="Calibri" w:eastAsia="Times New Roman" w:hAnsi="Calibri" w:cs="Calibri"/>
                <w:color w:val="000000"/>
                <w:sz w:val="18"/>
                <w:szCs w:val="18"/>
              </w:rPr>
              <w:t>Effect size (Cohen's d)</w:t>
            </w:r>
          </w:p>
        </w:tc>
        <w:tc>
          <w:tcPr>
            <w:tcW w:w="770" w:type="dxa"/>
            <w:noWrap/>
            <w:hideMark/>
          </w:tcPr>
          <w:p w14:paraId="46C0D6AA" w14:textId="77777777" w:rsidR="004B6442" w:rsidRPr="00F60122"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680" w:type="dxa"/>
            <w:noWrap/>
            <w:hideMark/>
          </w:tcPr>
          <w:p w14:paraId="6EF8235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0.49</w:t>
            </w:r>
          </w:p>
        </w:tc>
        <w:tc>
          <w:tcPr>
            <w:tcW w:w="627" w:type="dxa"/>
            <w:noWrap/>
            <w:hideMark/>
          </w:tcPr>
          <w:p w14:paraId="40712D9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1.92</w:t>
            </w:r>
          </w:p>
        </w:tc>
        <w:tc>
          <w:tcPr>
            <w:tcW w:w="1099" w:type="dxa"/>
            <w:noWrap/>
            <w:hideMark/>
          </w:tcPr>
          <w:p w14:paraId="50EF5B2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1.85</w:t>
            </w:r>
          </w:p>
        </w:tc>
        <w:tc>
          <w:tcPr>
            <w:tcW w:w="1299" w:type="dxa"/>
            <w:noWrap/>
            <w:hideMark/>
          </w:tcPr>
          <w:p w14:paraId="09893B85"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1.76</w:t>
            </w:r>
          </w:p>
        </w:tc>
        <w:tc>
          <w:tcPr>
            <w:tcW w:w="1171" w:type="dxa"/>
            <w:noWrap/>
            <w:hideMark/>
          </w:tcPr>
          <w:p w14:paraId="70BD07F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1.89</w:t>
            </w:r>
          </w:p>
        </w:tc>
        <w:tc>
          <w:tcPr>
            <w:tcW w:w="960" w:type="dxa"/>
            <w:noWrap/>
            <w:hideMark/>
          </w:tcPr>
          <w:p w14:paraId="1EE6DCAE"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1.03</w:t>
            </w:r>
          </w:p>
        </w:tc>
        <w:tc>
          <w:tcPr>
            <w:tcW w:w="1940" w:type="dxa"/>
            <w:noWrap/>
            <w:hideMark/>
          </w:tcPr>
          <w:p w14:paraId="19ACCC2A"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0.67</w:t>
            </w:r>
          </w:p>
        </w:tc>
        <w:tc>
          <w:tcPr>
            <w:tcW w:w="1423" w:type="dxa"/>
            <w:noWrap/>
            <w:hideMark/>
          </w:tcPr>
          <w:p w14:paraId="15212FA4"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0.28</w:t>
            </w:r>
          </w:p>
        </w:tc>
        <w:tc>
          <w:tcPr>
            <w:tcW w:w="1367" w:type="dxa"/>
            <w:noWrap/>
            <w:hideMark/>
          </w:tcPr>
          <w:p w14:paraId="352D6BE3"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0.03</w:t>
            </w:r>
          </w:p>
        </w:tc>
        <w:tc>
          <w:tcPr>
            <w:tcW w:w="1336" w:type="dxa"/>
            <w:noWrap/>
            <w:hideMark/>
          </w:tcPr>
          <w:p w14:paraId="2A90BDFB" w14:textId="77777777" w:rsidR="004B6442" w:rsidRPr="00F60122"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F60122">
              <w:rPr>
                <w:rFonts w:ascii="Calibri" w:eastAsia="Times New Roman" w:hAnsi="Calibri" w:cs="Calibri"/>
                <w:color w:val="000000"/>
                <w:sz w:val="18"/>
                <w:szCs w:val="18"/>
              </w:rPr>
              <w:t>0.26</w:t>
            </w:r>
          </w:p>
        </w:tc>
      </w:tr>
    </w:tbl>
    <w:p w14:paraId="40E77E22" w14:textId="77777777" w:rsidR="004B6442" w:rsidRDefault="004B6442" w:rsidP="004B6442"/>
    <w:tbl>
      <w:tblPr>
        <w:tblStyle w:val="PlainTable3"/>
        <w:tblW w:w="9591" w:type="dxa"/>
        <w:tblLook w:val="04A0" w:firstRow="1" w:lastRow="0" w:firstColumn="1" w:lastColumn="0" w:noHBand="0" w:noVBand="1"/>
      </w:tblPr>
      <w:tblGrid>
        <w:gridCol w:w="2268"/>
        <w:gridCol w:w="7323"/>
      </w:tblGrid>
      <w:tr w:rsidR="004B6442" w:rsidRPr="00881CDD" w14:paraId="7910CFB2"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591" w:type="dxa"/>
            <w:gridSpan w:val="2"/>
            <w:noWrap/>
            <w:hideMark/>
          </w:tcPr>
          <w:p w14:paraId="0BDEAFF4"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Legend</w:t>
            </w:r>
          </w:p>
        </w:tc>
      </w:tr>
      <w:tr w:rsidR="004B6442" w:rsidRPr="00881CDD" w14:paraId="4ACABAFC"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4FCD860" w14:textId="77777777" w:rsidR="004B6442" w:rsidRPr="00881CDD" w:rsidRDefault="004B6442" w:rsidP="00AC23E4">
            <w:pPr>
              <w:rPr>
                <w:rFonts w:ascii="Calibri" w:eastAsia="Times New Roman" w:hAnsi="Calibri" w:cs="Calibri"/>
                <w:color w:val="000000"/>
              </w:rPr>
            </w:pPr>
            <w:bookmarkStart w:id="123" w:name="_Hlk516228153"/>
            <w:r w:rsidRPr="00881CDD">
              <w:rPr>
                <w:rFonts w:ascii="Calibri" w:eastAsia="Times New Roman" w:hAnsi="Calibri" w:cs="Calibri"/>
                <w:color w:val="000000"/>
              </w:rPr>
              <w:t>PC</w:t>
            </w:r>
          </w:p>
        </w:tc>
        <w:tc>
          <w:tcPr>
            <w:tcW w:w="7323" w:type="dxa"/>
            <w:noWrap/>
            <w:hideMark/>
          </w:tcPr>
          <w:p w14:paraId="4305A654" w14:textId="0B027F5A" w:rsidR="004B6442" w:rsidRPr="00881CDD"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81CDD">
              <w:rPr>
                <w:rFonts w:ascii="Calibri" w:eastAsia="Times New Roman" w:hAnsi="Calibri" w:cs="Calibri"/>
              </w:rPr>
              <w:t xml:space="preserve">Pain </w:t>
            </w:r>
            <w:r w:rsidR="005D7A4B">
              <w:rPr>
                <w:rFonts w:ascii="Calibri" w:eastAsia="Times New Roman" w:hAnsi="Calibri" w:cs="Calibri"/>
              </w:rPr>
              <w:t>catastrophizing</w:t>
            </w:r>
          </w:p>
        </w:tc>
      </w:tr>
      <w:bookmarkEnd w:id="123"/>
      <w:tr w:rsidR="004B6442" w:rsidRPr="00881CDD" w14:paraId="4570F241"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E74208C"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SD</w:t>
            </w:r>
          </w:p>
        </w:tc>
        <w:tc>
          <w:tcPr>
            <w:tcW w:w="7323" w:type="dxa"/>
            <w:noWrap/>
            <w:hideMark/>
          </w:tcPr>
          <w:p w14:paraId="2811943F" w14:textId="77777777" w:rsidR="004B6442" w:rsidRPr="00881CDD"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881CDD">
              <w:rPr>
                <w:rFonts w:ascii="Calibri" w:eastAsia="Times New Roman" w:hAnsi="Calibri" w:cs="Calibri"/>
              </w:rPr>
              <w:t>Standard deviation</w:t>
            </w:r>
          </w:p>
        </w:tc>
      </w:tr>
      <w:tr w:rsidR="004B6442" w:rsidRPr="00881CDD" w14:paraId="7AEAC82E"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90A7864"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M/F</w:t>
            </w:r>
          </w:p>
        </w:tc>
        <w:tc>
          <w:tcPr>
            <w:tcW w:w="7323" w:type="dxa"/>
            <w:noWrap/>
            <w:hideMark/>
          </w:tcPr>
          <w:p w14:paraId="41B94076" w14:textId="77777777" w:rsidR="004B6442" w:rsidRPr="00881CDD"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81CDD">
              <w:rPr>
                <w:rFonts w:ascii="Calibri" w:eastAsia="Times New Roman" w:hAnsi="Calibri" w:cs="Calibri"/>
              </w:rPr>
              <w:t>Male/Female</w:t>
            </w:r>
          </w:p>
        </w:tc>
      </w:tr>
      <w:tr w:rsidR="004B6442" w:rsidRPr="00881CDD" w14:paraId="7BAC3D95"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C0E7A55"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Cue: Prediction</w:t>
            </w:r>
          </w:p>
        </w:tc>
        <w:tc>
          <w:tcPr>
            <w:tcW w:w="7323" w:type="dxa"/>
            <w:noWrap/>
            <w:hideMark/>
          </w:tcPr>
          <w:p w14:paraId="7277DED3" w14:textId="77777777" w:rsidR="004B6442" w:rsidRPr="00881CDD"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81CDD">
              <w:rPr>
                <w:rFonts w:ascii="Calibri" w:eastAsia="Times New Roman" w:hAnsi="Calibri" w:cs="Calibri"/>
                <w:color w:val="000000"/>
              </w:rPr>
              <w:t>How accurately did the arrow cues predict the intensity of the pain that followed?</w:t>
            </w:r>
          </w:p>
        </w:tc>
      </w:tr>
      <w:tr w:rsidR="004B6442" w:rsidRPr="00881CDD" w14:paraId="777BFBDC"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9C383ED"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Cue: Attention</w:t>
            </w:r>
          </w:p>
        </w:tc>
        <w:tc>
          <w:tcPr>
            <w:tcW w:w="7323" w:type="dxa"/>
            <w:noWrap/>
            <w:hideMark/>
          </w:tcPr>
          <w:p w14:paraId="7CA8EC3E" w14:textId="77777777" w:rsidR="004B6442" w:rsidRPr="00881CDD"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81CDD">
              <w:rPr>
                <w:rFonts w:ascii="Calibri" w:eastAsia="Times New Roman" w:hAnsi="Calibri" w:cs="Calibri"/>
                <w:color w:val="000000"/>
              </w:rPr>
              <w:t>) During the task, how much did you focus on the direction of the arrows?</w:t>
            </w:r>
          </w:p>
        </w:tc>
      </w:tr>
      <w:tr w:rsidR="004B6442" w:rsidRPr="00881CDD" w14:paraId="527EF37C"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A7A1224"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Cue: Influence</w:t>
            </w:r>
          </w:p>
        </w:tc>
        <w:tc>
          <w:tcPr>
            <w:tcW w:w="7323" w:type="dxa"/>
            <w:noWrap/>
            <w:hideMark/>
          </w:tcPr>
          <w:p w14:paraId="6816EC95" w14:textId="77777777" w:rsidR="004B6442" w:rsidRPr="00881CDD"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81CDD">
              <w:rPr>
                <w:rFonts w:ascii="Calibri" w:eastAsia="Times New Roman" w:hAnsi="Calibri" w:cs="Calibri"/>
                <w:color w:val="000000"/>
              </w:rPr>
              <w:t>When rating the intensity of the pain, how much was your rating based on the direction of the preceding arrow cue?</w:t>
            </w:r>
          </w:p>
        </w:tc>
      </w:tr>
    </w:tbl>
    <w:p w14:paraId="6B4FB057" w14:textId="77777777" w:rsidR="004B6442" w:rsidRDefault="004B6442" w:rsidP="004B6442">
      <w:r>
        <w:br w:type="page"/>
      </w:r>
    </w:p>
    <w:p w14:paraId="3AA2A21D" w14:textId="77777777" w:rsidR="004B6442" w:rsidRDefault="004B6442" w:rsidP="004B6442">
      <w:pPr>
        <w:pStyle w:val="Heading2"/>
        <w:numPr>
          <w:ilvl w:val="1"/>
          <w:numId w:val="35"/>
        </w:numPr>
      </w:pPr>
      <w:r>
        <w:t>Supplementary Table 2: Participant Data (extraneous variables)</w:t>
      </w:r>
    </w:p>
    <w:tbl>
      <w:tblPr>
        <w:tblStyle w:val="PlainTable3"/>
        <w:tblW w:w="5000" w:type="pct"/>
        <w:tblLook w:val="04A0" w:firstRow="1" w:lastRow="0" w:firstColumn="1" w:lastColumn="0" w:noHBand="0" w:noVBand="1"/>
      </w:tblPr>
      <w:tblGrid>
        <w:gridCol w:w="1741"/>
        <w:gridCol w:w="1386"/>
        <w:gridCol w:w="1326"/>
        <w:gridCol w:w="1326"/>
        <w:gridCol w:w="1326"/>
        <w:gridCol w:w="1521"/>
        <w:gridCol w:w="2267"/>
        <w:gridCol w:w="1531"/>
        <w:gridCol w:w="1534"/>
      </w:tblGrid>
      <w:tr w:rsidR="004B6442" w:rsidRPr="00CA5480" w14:paraId="64CD2298"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78" w:type="pct"/>
            <w:noWrap/>
            <w:hideMark/>
          </w:tcPr>
          <w:p w14:paraId="0C32166B"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Subject ID</w:t>
            </w:r>
          </w:p>
        </w:tc>
        <w:tc>
          <w:tcPr>
            <w:tcW w:w="551" w:type="pct"/>
            <w:noWrap/>
            <w:hideMark/>
          </w:tcPr>
          <w:p w14:paraId="7892BF37" w14:textId="77777777" w:rsidR="004B6442" w:rsidRPr="00CA5480"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Group</w:t>
            </w:r>
          </w:p>
        </w:tc>
        <w:tc>
          <w:tcPr>
            <w:tcW w:w="1321" w:type="pct"/>
            <w:gridSpan w:val="3"/>
            <w:noWrap/>
            <w:hideMark/>
          </w:tcPr>
          <w:p w14:paraId="30BE9199" w14:textId="77777777" w:rsidR="004B6442" w:rsidRPr="00CA5480"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Fear of Pain Questionnaire</w:t>
            </w:r>
          </w:p>
        </w:tc>
        <w:tc>
          <w:tcPr>
            <w:tcW w:w="640" w:type="pct"/>
            <w:noWrap/>
            <w:hideMark/>
          </w:tcPr>
          <w:p w14:paraId="19E474B9" w14:textId="77777777" w:rsidR="004B6442" w:rsidRPr="00CA5480"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PHQ9</w:t>
            </w:r>
          </w:p>
        </w:tc>
        <w:tc>
          <w:tcPr>
            <w:tcW w:w="866" w:type="pct"/>
            <w:noWrap/>
            <w:hideMark/>
          </w:tcPr>
          <w:p w14:paraId="6C5EA463" w14:textId="77777777" w:rsidR="004B6442" w:rsidRPr="00CA5480"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PHQ15</w:t>
            </w:r>
          </w:p>
        </w:tc>
        <w:tc>
          <w:tcPr>
            <w:tcW w:w="945" w:type="pct"/>
            <w:gridSpan w:val="2"/>
            <w:noWrap/>
            <w:hideMark/>
          </w:tcPr>
          <w:p w14:paraId="05D5593D" w14:textId="77777777" w:rsidR="004B6442" w:rsidRPr="00CA5480"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State-Trait Anxiety Inventory</w:t>
            </w:r>
          </w:p>
        </w:tc>
      </w:tr>
      <w:tr w:rsidR="004B6442" w:rsidRPr="00CA5480" w14:paraId="7710BBDE"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14:paraId="2CB50C38" w14:textId="77777777" w:rsidR="004B6442" w:rsidRPr="00CA5480" w:rsidRDefault="004B6442" w:rsidP="00AC23E4">
            <w:pPr>
              <w:rPr>
                <w:rFonts w:ascii="Calibri" w:eastAsia="Times New Roman" w:hAnsi="Calibri" w:cs="Calibri"/>
                <w:color w:val="000000"/>
                <w:sz w:val="20"/>
                <w:szCs w:val="20"/>
                <w:lang w:eastAsia="en-GB"/>
              </w:rPr>
            </w:pPr>
          </w:p>
        </w:tc>
        <w:tc>
          <w:tcPr>
            <w:tcW w:w="551" w:type="pct"/>
            <w:noWrap/>
            <w:hideMark/>
          </w:tcPr>
          <w:p w14:paraId="38A2828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401" w:type="pct"/>
            <w:noWrap/>
            <w:hideMark/>
          </w:tcPr>
          <w:p w14:paraId="63D708EA" w14:textId="77777777" w:rsidR="000A1E1E"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sidRPr="00CA5480">
              <w:rPr>
                <w:rFonts w:ascii="Calibri" w:eastAsia="Times New Roman" w:hAnsi="Calibri" w:cs="Calibri"/>
                <w:b/>
                <w:bCs/>
                <w:sz w:val="20"/>
                <w:szCs w:val="20"/>
                <w:lang w:eastAsia="en-GB"/>
              </w:rPr>
              <w:t>Minor</w:t>
            </w:r>
            <w:r w:rsidR="000A1E1E">
              <w:rPr>
                <w:rFonts w:ascii="Calibri" w:eastAsia="Times New Roman" w:hAnsi="Calibri" w:cs="Calibri"/>
                <w:b/>
                <w:bCs/>
                <w:sz w:val="20"/>
                <w:szCs w:val="20"/>
                <w:lang w:eastAsia="en-GB"/>
              </w:rPr>
              <w:t xml:space="preserve"> </w:t>
            </w:r>
          </w:p>
          <w:p w14:paraId="4D75779D" w14:textId="5F9F1C2E" w:rsidR="004B6442"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(range 10-</w:t>
            </w:r>
            <w:r w:rsidR="00BB657A">
              <w:rPr>
                <w:rFonts w:ascii="Calibri" w:eastAsia="Times New Roman" w:hAnsi="Calibri" w:cs="Calibri"/>
                <w:b/>
                <w:bCs/>
                <w:sz w:val="20"/>
                <w:szCs w:val="20"/>
                <w:lang w:eastAsia="en-GB"/>
              </w:rPr>
              <w:t>50</w:t>
            </w:r>
            <w:r>
              <w:rPr>
                <w:rFonts w:ascii="Calibri" w:eastAsia="Times New Roman" w:hAnsi="Calibri" w:cs="Calibri"/>
                <w:b/>
                <w:bCs/>
                <w:sz w:val="20"/>
                <w:szCs w:val="20"/>
                <w:lang w:eastAsia="en-GB"/>
              </w:rPr>
              <w:t>)</w:t>
            </w:r>
          </w:p>
        </w:tc>
        <w:tc>
          <w:tcPr>
            <w:tcW w:w="488" w:type="pct"/>
            <w:noWrap/>
            <w:hideMark/>
          </w:tcPr>
          <w:p w14:paraId="03608FB0"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sidRPr="00CA5480">
              <w:rPr>
                <w:rFonts w:ascii="Calibri" w:eastAsia="Times New Roman" w:hAnsi="Calibri" w:cs="Calibri"/>
                <w:b/>
                <w:bCs/>
                <w:sz w:val="20"/>
                <w:szCs w:val="20"/>
                <w:lang w:eastAsia="en-GB"/>
              </w:rPr>
              <w:t>Medical</w:t>
            </w:r>
            <w:r w:rsidR="00BB657A">
              <w:rPr>
                <w:rFonts w:ascii="Calibri" w:eastAsia="Times New Roman" w:hAnsi="Calibri" w:cs="Calibri"/>
                <w:b/>
                <w:bCs/>
                <w:sz w:val="20"/>
                <w:szCs w:val="20"/>
                <w:lang w:eastAsia="en-GB"/>
              </w:rPr>
              <w:t xml:space="preserve"> </w:t>
            </w:r>
          </w:p>
          <w:p w14:paraId="2E7A9954" w14:textId="2A750B96"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(range 10-50)</w:t>
            </w:r>
          </w:p>
        </w:tc>
        <w:tc>
          <w:tcPr>
            <w:tcW w:w="431" w:type="pct"/>
            <w:noWrap/>
            <w:hideMark/>
          </w:tcPr>
          <w:p w14:paraId="6604C5AE"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sidRPr="00CA5480">
              <w:rPr>
                <w:rFonts w:ascii="Calibri" w:eastAsia="Times New Roman" w:hAnsi="Calibri" w:cs="Calibri"/>
                <w:b/>
                <w:bCs/>
                <w:sz w:val="20"/>
                <w:szCs w:val="20"/>
                <w:lang w:eastAsia="en-GB"/>
              </w:rPr>
              <w:t>Severe</w:t>
            </w:r>
          </w:p>
          <w:p w14:paraId="3058F672" w14:textId="60209341"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(range 10-50)</w:t>
            </w:r>
          </w:p>
        </w:tc>
        <w:tc>
          <w:tcPr>
            <w:tcW w:w="640" w:type="pct"/>
            <w:noWrap/>
            <w:hideMark/>
          </w:tcPr>
          <w:p w14:paraId="018087BE"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CA5480">
              <w:rPr>
                <w:rFonts w:ascii="Calibri" w:eastAsia="Times New Roman" w:hAnsi="Calibri" w:cs="Calibri"/>
                <w:b/>
                <w:bCs/>
                <w:color w:val="000000"/>
                <w:sz w:val="20"/>
                <w:szCs w:val="20"/>
                <w:lang w:eastAsia="en-GB"/>
              </w:rPr>
              <w:t>Depression</w:t>
            </w:r>
          </w:p>
          <w:p w14:paraId="5FF33F77" w14:textId="4453A44B"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Pr>
                <w:rFonts w:ascii="Calibri" w:eastAsia="Times New Roman" w:hAnsi="Calibri" w:cs="Calibri"/>
                <w:b/>
                <w:bCs/>
                <w:sz w:val="20"/>
                <w:szCs w:val="20"/>
                <w:lang w:eastAsia="en-GB"/>
              </w:rPr>
              <w:t>(range 0-27)</w:t>
            </w:r>
          </w:p>
        </w:tc>
        <w:tc>
          <w:tcPr>
            <w:tcW w:w="866" w:type="pct"/>
            <w:noWrap/>
            <w:hideMark/>
          </w:tcPr>
          <w:p w14:paraId="300A6BCC"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CA5480">
              <w:rPr>
                <w:rFonts w:ascii="Calibri" w:eastAsia="Times New Roman" w:hAnsi="Calibri" w:cs="Calibri"/>
                <w:b/>
                <w:bCs/>
                <w:color w:val="000000"/>
                <w:sz w:val="20"/>
                <w:szCs w:val="20"/>
                <w:lang w:eastAsia="en-GB"/>
              </w:rPr>
              <w:t>Somatic symptoms</w:t>
            </w:r>
          </w:p>
          <w:p w14:paraId="11D6A016" w14:textId="44BBE29F"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Pr>
                <w:rFonts w:ascii="Calibri" w:eastAsia="Times New Roman" w:hAnsi="Calibri" w:cs="Calibri"/>
                <w:b/>
                <w:bCs/>
                <w:sz w:val="20"/>
                <w:szCs w:val="20"/>
                <w:lang w:eastAsia="en-GB"/>
              </w:rPr>
              <w:t>(range 0-30)</w:t>
            </w:r>
          </w:p>
        </w:tc>
        <w:tc>
          <w:tcPr>
            <w:tcW w:w="472" w:type="pct"/>
            <w:noWrap/>
            <w:hideMark/>
          </w:tcPr>
          <w:p w14:paraId="7910722F"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CA5480">
              <w:rPr>
                <w:rFonts w:ascii="Calibri" w:eastAsia="Times New Roman" w:hAnsi="Calibri" w:cs="Calibri"/>
                <w:b/>
                <w:bCs/>
                <w:color w:val="000000"/>
                <w:sz w:val="20"/>
                <w:szCs w:val="20"/>
                <w:lang w:eastAsia="en-GB"/>
              </w:rPr>
              <w:t>Trait</w:t>
            </w:r>
          </w:p>
          <w:p w14:paraId="71C81606" w14:textId="76DC25E6"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Pr>
                <w:rFonts w:ascii="Calibri" w:eastAsia="Times New Roman" w:hAnsi="Calibri" w:cs="Calibri"/>
                <w:b/>
                <w:bCs/>
                <w:sz w:val="20"/>
                <w:szCs w:val="20"/>
                <w:lang w:eastAsia="en-GB"/>
              </w:rPr>
              <w:t>(range 20-80)</w:t>
            </w:r>
          </w:p>
        </w:tc>
        <w:tc>
          <w:tcPr>
            <w:tcW w:w="472" w:type="pct"/>
            <w:noWrap/>
            <w:hideMark/>
          </w:tcPr>
          <w:p w14:paraId="70F54FF0" w14:textId="77777777" w:rsidR="004B6442"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CA5480">
              <w:rPr>
                <w:rFonts w:ascii="Calibri" w:eastAsia="Times New Roman" w:hAnsi="Calibri" w:cs="Calibri"/>
                <w:b/>
                <w:bCs/>
                <w:color w:val="000000"/>
                <w:sz w:val="20"/>
                <w:szCs w:val="20"/>
                <w:lang w:eastAsia="en-GB"/>
              </w:rPr>
              <w:t>State</w:t>
            </w:r>
          </w:p>
          <w:p w14:paraId="2401E090" w14:textId="618468C3" w:rsidR="000A1E1E" w:rsidRPr="00CA5480" w:rsidRDefault="000A1E1E"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Pr>
                <w:rFonts w:ascii="Calibri" w:eastAsia="Times New Roman" w:hAnsi="Calibri" w:cs="Calibri"/>
                <w:b/>
                <w:bCs/>
                <w:sz w:val="20"/>
                <w:szCs w:val="20"/>
                <w:lang w:eastAsia="en-GB"/>
              </w:rPr>
              <w:t>(range 20-80)</w:t>
            </w:r>
          </w:p>
        </w:tc>
      </w:tr>
      <w:tr w:rsidR="004B6442" w:rsidRPr="00CA5480" w14:paraId="4574242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8041F65" w14:textId="4B7DDDDC"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w:t>
            </w:r>
          </w:p>
        </w:tc>
        <w:tc>
          <w:tcPr>
            <w:tcW w:w="551" w:type="pct"/>
            <w:noWrap/>
            <w:hideMark/>
          </w:tcPr>
          <w:p w14:paraId="3135475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63FE08A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18</w:t>
            </w:r>
          </w:p>
        </w:tc>
        <w:tc>
          <w:tcPr>
            <w:tcW w:w="488" w:type="pct"/>
            <w:noWrap/>
            <w:hideMark/>
          </w:tcPr>
          <w:p w14:paraId="239DDB4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31" w:type="pct"/>
            <w:noWrap/>
            <w:hideMark/>
          </w:tcPr>
          <w:p w14:paraId="79F24E5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640" w:type="pct"/>
            <w:noWrap/>
            <w:hideMark/>
          </w:tcPr>
          <w:p w14:paraId="5FB4631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866" w:type="pct"/>
            <w:noWrap/>
            <w:hideMark/>
          </w:tcPr>
          <w:p w14:paraId="264AD44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472" w:type="pct"/>
            <w:noWrap/>
            <w:hideMark/>
          </w:tcPr>
          <w:p w14:paraId="1FBDAC7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c>
          <w:tcPr>
            <w:tcW w:w="472" w:type="pct"/>
            <w:noWrap/>
            <w:hideMark/>
          </w:tcPr>
          <w:p w14:paraId="4A8E057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w:t>
            </w:r>
          </w:p>
        </w:tc>
      </w:tr>
      <w:tr w:rsidR="004B6442" w:rsidRPr="00CA5480" w14:paraId="74914DAE"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39B02E6"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551" w:type="pct"/>
            <w:noWrap/>
            <w:hideMark/>
          </w:tcPr>
          <w:p w14:paraId="3CCADD2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4D93632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13</w:t>
            </w:r>
          </w:p>
        </w:tc>
        <w:tc>
          <w:tcPr>
            <w:tcW w:w="488" w:type="pct"/>
            <w:noWrap/>
            <w:hideMark/>
          </w:tcPr>
          <w:p w14:paraId="2A4FD9A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431" w:type="pct"/>
            <w:noWrap/>
            <w:hideMark/>
          </w:tcPr>
          <w:p w14:paraId="545D0F7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640" w:type="pct"/>
            <w:noWrap/>
            <w:hideMark/>
          </w:tcPr>
          <w:p w14:paraId="11272C7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26E26C3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472" w:type="pct"/>
            <w:noWrap/>
            <w:hideMark/>
          </w:tcPr>
          <w:p w14:paraId="575F15C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w:t>
            </w:r>
          </w:p>
        </w:tc>
        <w:tc>
          <w:tcPr>
            <w:tcW w:w="472" w:type="pct"/>
            <w:noWrap/>
            <w:hideMark/>
          </w:tcPr>
          <w:p w14:paraId="75D4822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r>
      <w:tr w:rsidR="004B6442" w:rsidRPr="00CA5480" w14:paraId="0FF8B64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55E0BD1"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551" w:type="pct"/>
            <w:noWrap/>
            <w:hideMark/>
          </w:tcPr>
          <w:p w14:paraId="03F8114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5EBC1ED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11</w:t>
            </w:r>
          </w:p>
        </w:tc>
        <w:tc>
          <w:tcPr>
            <w:tcW w:w="488" w:type="pct"/>
            <w:noWrap/>
            <w:hideMark/>
          </w:tcPr>
          <w:p w14:paraId="71F831F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431" w:type="pct"/>
            <w:noWrap/>
            <w:hideMark/>
          </w:tcPr>
          <w:p w14:paraId="59A0AC7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640" w:type="pct"/>
            <w:noWrap/>
            <w:hideMark/>
          </w:tcPr>
          <w:p w14:paraId="04060B4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76EAA04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221340D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42</w:t>
            </w:r>
          </w:p>
        </w:tc>
        <w:tc>
          <w:tcPr>
            <w:tcW w:w="472" w:type="pct"/>
            <w:noWrap/>
            <w:hideMark/>
          </w:tcPr>
          <w:p w14:paraId="57AC81B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w:t>
            </w:r>
          </w:p>
        </w:tc>
      </w:tr>
      <w:tr w:rsidR="004B6442" w:rsidRPr="00CA5480" w14:paraId="47A424B2"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3766EA1"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551" w:type="pct"/>
            <w:noWrap/>
            <w:hideMark/>
          </w:tcPr>
          <w:p w14:paraId="017EFB5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7F7D252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88" w:type="pct"/>
            <w:noWrap/>
            <w:hideMark/>
          </w:tcPr>
          <w:p w14:paraId="7F0810C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c>
          <w:tcPr>
            <w:tcW w:w="431" w:type="pct"/>
            <w:noWrap/>
            <w:hideMark/>
          </w:tcPr>
          <w:p w14:paraId="7377A69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640" w:type="pct"/>
            <w:noWrap/>
            <w:hideMark/>
          </w:tcPr>
          <w:p w14:paraId="503EA6A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0E8D212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472" w:type="pct"/>
            <w:noWrap/>
            <w:hideMark/>
          </w:tcPr>
          <w:p w14:paraId="573CA02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472" w:type="pct"/>
            <w:noWrap/>
            <w:hideMark/>
          </w:tcPr>
          <w:p w14:paraId="4BD864E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44</w:t>
            </w:r>
          </w:p>
        </w:tc>
      </w:tr>
      <w:tr w:rsidR="004B6442" w:rsidRPr="00CA5480" w14:paraId="2580B5C6"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7F20A9A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551" w:type="pct"/>
            <w:noWrap/>
            <w:hideMark/>
          </w:tcPr>
          <w:p w14:paraId="2318BE6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074DA71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22</w:t>
            </w:r>
          </w:p>
        </w:tc>
        <w:tc>
          <w:tcPr>
            <w:tcW w:w="488" w:type="pct"/>
            <w:noWrap/>
            <w:hideMark/>
          </w:tcPr>
          <w:p w14:paraId="490F511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w:t>
            </w:r>
          </w:p>
        </w:tc>
        <w:tc>
          <w:tcPr>
            <w:tcW w:w="431" w:type="pct"/>
            <w:noWrap/>
            <w:hideMark/>
          </w:tcPr>
          <w:p w14:paraId="6BA6498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41</w:t>
            </w:r>
          </w:p>
        </w:tc>
        <w:tc>
          <w:tcPr>
            <w:tcW w:w="640" w:type="pct"/>
            <w:noWrap/>
            <w:hideMark/>
          </w:tcPr>
          <w:p w14:paraId="6560858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866" w:type="pct"/>
            <w:noWrap/>
            <w:hideMark/>
          </w:tcPr>
          <w:p w14:paraId="42EF8E0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472" w:type="pct"/>
            <w:noWrap/>
            <w:hideMark/>
          </w:tcPr>
          <w:p w14:paraId="7B291B7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w:t>
            </w:r>
          </w:p>
        </w:tc>
        <w:tc>
          <w:tcPr>
            <w:tcW w:w="472" w:type="pct"/>
            <w:noWrap/>
            <w:hideMark/>
          </w:tcPr>
          <w:p w14:paraId="730F1AB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r>
      <w:tr w:rsidR="004B6442" w:rsidRPr="00CA5480" w14:paraId="5967FE7F"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5CA37EF"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551" w:type="pct"/>
            <w:noWrap/>
            <w:hideMark/>
          </w:tcPr>
          <w:p w14:paraId="49D09ED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636AA83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488" w:type="pct"/>
            <w:noWrap/>
            <w:hideMark/>
          </w:tcPr>
          <w:p w14:paraId="0DC37D4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31" w:type="pct"/>
            <w:noWrap/>
            <w:hideMark/>
          </w:tcPr>
          <w:p w14:paraId="1FAAC57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45</w:t>
            </w:r>
          </w:p>
        </w:tc>
        <w:tc>
          <w:tcPr>
            <w:tcW w:w="640" w:type="pct"/>
            <w:noWrap/>
            <w:hideMark/>
          </w:tcPr>
          <w:p w14:paraId="756665E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866" w:type="pct"/>
            <w:noWrap/>
            <w:hideMark/>
          </w:tcPr>
          <w:p w14:paraId="746062E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472" w:type="pct"/>
            <w:noWrap/>
            <w:hideMark/>
          </w:tcPr>
          <w:p w14:paraId="30BF07D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w:t>
            </w:r>
          </w:p>
        </w:tc>
        <w:tc>
          <w:tcPr>
            <w:tcW w:w="472" w:type="pct"/>
            <w:noWrap/>
            <w:hideMark/>
          </w:tcPr>
          <w:p w14:paraId="2B9DA24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w:t>
            </w:r>
          </w:p>
        </w:tc>
      </w:tr>
      <w:tr w:rsidR="004B6442" w:rsidRPr="00CA5480" w14:paraId="7A144AF5"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59B3385"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7</w:t>
            </w:r>
          </w:p>
        </w:tc>
        <w:tc>
          <w:tcPr>
            <w:tcW w:w="551" w:type="pct"/>
            <w:noWrap/>
            <w:hideMark/>
          </w:tcPr>
          <w:p w14:paraId="2E141F9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550C355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488" w:type="pct"/>
            <w:noWrap/>
            <w:hideMark/>
          </w:tcPr>
          <w:p w14:paraId="506692B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w:t>
            </w:r>
          </w:p>
        </w:tc>
        <w:tc>
          <w:tcPr>
            <w:tcW w:w="431" w:type="pct"/>
            <w:noWrap/>
            <w:hideMark/>
          </w:tcPr>
          <w:p w14:paraId="0A1716A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46</w:t>
            </w:r>
          </w:p>
        </w:tc>
        <w:tc>
          <w:tcPr>
            <w:tcW w:w="640" w:type="pct"/>
            <w:noWrap/>
            <w:hideMark/>
          </w:tcPr>
          <w:p w14:paraId="32CBCF0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866" w:type="pct"/>
            <w:noWrap/>
            <w:hideMark/>
          </w:tcPr>
          <w:p w14:paraId="4FD2A77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5F6EA11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w:t>
            </w:r>
          </w:p>
        </w:tc>
        <w:tc>
          <w:tcPr>
            <w:tcW w:w="472" w:type="pct"/>
            <w:noWrap/>
            <w:hideMark/>
          </w:tcPr>
          <w:p w14:paraId="3226158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27</w:t>
            </w:r>
          </w:p>
        </w:tc>
      </w:tr>
      <w:tr w:rsidR="004B6442" w:rsidRPr="00CA5480" w14:paraId="7C5E6AF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778C8951"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551" w:type="pct"/>
            <w:noWrap/>
            <w:hideMark/>
          </w:tcPr>
          <w:p w14:paraId="657CF36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0593279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488" w:type="pct"/>
            <w:noWrap/>
            <w:hideMark/>
          </w:tcPr>
          <w:p w14:paraId="7963806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c>
          <w:tcPr>
            <w:tcW w:w="431" w:type="pct"/>
            <w:noWrap/>
            <w:hideMark/>
          </w:tcPr>
          <w:p w14:paraId="794215D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640" w:type="pct"/>
            <w:noWrap/>
            <w:hideMark/>
          </w:tcPr>
          <w:p w14:paraId="774C768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4B6CE7E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2C0932F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40</w:t>
            </w:r>
          </w:p>
        </w:tc>
        <w:tc>
          <w:tcPr>
            <w:tcW w:w="472" w:type="pct"/>
            <w:noWrap/>
            <w:hideMark/>
          </w:tcPr>
          <w:p w14:paraId="77F490A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r>
      <w:tr w:rsidR="004B6442" w:rsidRPr="00CA5480" w14:paraId="0BB94D0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4D39D819"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9</w:t>
            </w:r>
          </w:p>
        </w:tc>
        <w:tc>
          <w:tcPr>
            <w:tcW w:w="551" w:type="pct"/>
            <w:noWrap/>
            <w:hideMark/>
          </w:tcPr>
          <w:p w14:paraId="3F241F9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67DD660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488" w:type="pct"/>
            <w:noWrap/>
            <w:hideMark/>
          </w:tcPr>
          <w:p w14:paraId="33A124B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431" w:type="pct"/>
            <w:noWrap/>
            <w:hideMark/>
          </w:tcPr>
          <w:p w14:paraId="480B57F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36</w:t>
            </w:r>
          </w:p>
        </w:tc>
        <w:tc>
          <w:tcPr>
            <w:tcW w:w="640" w:type="pct"/>
            <w:noWrap/>
            <w:hideMark/>
          </w:tcPr>
          <w:p w14:paraId="7639F7B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7</w:t>
            </w:r>
          </w:p>
        </w:tc>
        <w:tc>
          <w:tcPr>
            <w:tcW w:w="866" w:type="pct"/>
            <w:noWrap/>
            <w:hideMark/>
          </w:tcPr>
          <w:p w14:paraId="28E0292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tcW w:w="472" w:type="pct"/>
            <w:noWrap/>
            <w:hideMark/>
          </w:tcPr>
          <w:p w14:paraId="3A978DB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472" w:type="pct"/>
            <w:noWrap/>
            <w:hideMark/>
          </w:tcPr>
          <w:p w14:paraId="6324896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r>
      <w:tr w:rsidR="004B6442" w:rsidRPr="00CA5480" w14:paraId="669DEFAF"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ECBE57F"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551" w:type="pct"/>
            <w:noWrap/>
            <w:hideMark/>
          </w:tcPr>
          <w:p w14:paraId="4F30139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026BD17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488" w:type="pct"/>
            <w:noWrap/>
            <w:hideMark/>
          </w:tcPr>
          <w:p w14:paraId="7D4F544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431" w:type="pct"/>
            <w:noWrap/>
            <w:hideMark/>
          </w:tcPr>
          <w:p w14:paraId="67616C1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c>
          <w:tcPr>
            <w:tcW w:w="640" w:type="pct"/>
            <w:noWrap/>
            <w:hideMark/>
          </w:tcPr>
          <w:p w14:paraId="1F7D34D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866" w:type="pct"/>
            <w:noWrap/>
            <w:hideMark/>
          </w:tcPr>
          <w:p w14:paraId="21608DD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102F6A3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w:t>
            </w:r>
          </w:p>
        </w:tc>
        <w:tc>
          <w:tcPr>
            <w:tcW w:w="472" w:type="pct"/>
            <w:noWrap/>
            <w:hideMark/>
          </w:tcPr>
          <w:p w14:paraId="060AC7C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r>
      <w:tr w:rsidR="004B6442" w:rsidRPr="00CA5480" w14:paraId="0AA60AC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400EBBB"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11</w:t>
            </w:r>
          </w:p>
        </w:tc>
        <w:tc>
          <w:tcPr>
            <w:tcW w:w="551" w:type="pct"/>
            <w:noWrap/>
            <w:hideMark/>
          </w:tcPr>
          <w:p w14:paraId="426058F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0543165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24</w:t>
            </w:r>
          </w:p>
        </w:tc>
        <w:tc>
          <w:tcPr>
            <w:tcW w:w="488" w:type="pct"/>
            <w:noWrap/>
            <w:hideMark/>
          </w:tcPr>
          <w:p w14:paraId="79BCCA1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431" w:type="pct"/>
            <w:noWrap/>
            <w:hideMark/>
          </w:tcPr>
          <w:p w14:paraId="5AA0CC6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640" w:type="pct"/>
            <w:noWrap/>
            <w:hideMark/>
          </w:tcPr>
          <w:p w14:paraId="65CFABA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6AF8B34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472" w:type="pct"/>
            <w:noWrap/>
            <w:hideMark/>
          </w:tcPr>
          <w:p w14:paraId="6203936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472" w:type="pct"/>
            <w:noWrap/>
            <w:hideMark/>
          </w:tcPr>
          <w:p w14:paraId="3E3B793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r>
      <w:tr w:rsidR="004B6442" w:rsidRPr="00CA5480" w14:paraId="712F7FCD"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EF90974"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551" w:type="pct"/>
            <w:noWrap/>
            <w:hideMark/>
          </w:tcPr>
          <w:p w14:paraId="52EC7CB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5579163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27</w:t>
            </w:r>
          </w:p>
        </w:tc>
        <w:tc>
          <w:tcPr>
            <w:tcW w:w="488" w:type="pct"/>
            <w:noWrap/>
            <w:hideMark/>
          </w:tcPr>
          <w:p w14:paraId="21568D2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w:t>
            </w:r>
          </w:p>
        </w:tc>
        <w:tc>
          <w:tcPr>
            <w:tcW w:w="431" w:type="pct"/>
            <w:noWrap/>
            <w:hideMark/>
          </w:tcPr>
          <w:p w14:paraId="1072FCF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48</w:t>
            </w:r>
          </w:p>
        </w:tc>
        <w:tc>
          <w:tcPr>
            <w:tcW w:w="640" w:type="pct"/>
            <w:noWrap/>
            <w:hideMark/>
          </w:tcPr>
          <w:p w14:paraId="265EA49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866" w:type="pct"/>
            <w:noWrap/>
            <w:hideMark/>
          </w:tcPr>
          <w:p w14:paraId="17DCCBB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472" w:type="pct"/>
            <w:noWrap/>
            <w:hideMark/>
          </w:tcPr>
          <w:p w14:paraId="0C7FC7F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52</w:t>
            </w:r>
          </w:p>
        </w:tc>
        <w:tc>
          <w:tcPr>
            <w:tcW w:w="472" w:type="pct"/>
            <w:noWrap/>
            <w:hideMark/>
          </w:tcPr>
          <w:p w14:paraId="1D26B66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51</w:t>
            </w:r>
          </w:p>
        </w:tc>
      </w:tr>
      <w:tr w:rsidR="004B6442" w:rsidRPr="00CA5480" w14:paraId="4E7934BC"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4646D02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13</w:t>
            </w:r>
          </w:p>
        </w:tc>
        <w:tc>
          <w:tcPr>
            <w:tcW w:w="551" w:type="pct"/>
            <w:noWrap/>
            <w:hideMark/>
          </w:tcPr>
          <w:p w14:paraId="25ABA18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445FED6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488" w:type="pct"/>
            <w:noWrap/>
            <w:hideMark/>
          </w:tcPr>
          <w:p w14:paraId="2F23D8A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431" w:type="pct"/>
            <w:noWrap/>
            <w:hideMark/>
          </w:tcPr>
          <w:p w14:paraId="0D3B035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640" w:type="pct"/>
            <w:noWrap/>
            <w:hideMark/>
          </w:tcPr>
          <w:p w14:paraId="2BFAF7F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5606B74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472" w:type="pct"/>
            <w:noWrap/>
            <w:hideMark/>
          </w:tcPr>
          <w:p w14:paraId="5AB14F9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472" w:type="pct"/>
            <w:noWrap/>
            <w:hideMark/>
          </w:tcPr>
          <w:p w14:paraId="5F47544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r>
      <w:tr w:rsidR="004B6442" w:rsidRPr="00CA5480" w14:paraId="1742AAF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AE8DD5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551" w:type="pct"/>
            <w:noWrap/>
            <w:hideMark/>
          </w:tcPr>
          <w:p w14:paraId="727F888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21A47E0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88" w:type="pct"/>
            <w:noWrap/>
            <w:hideMark/>
          </w:tcPr>
          <w:p w14:paraId="3E8493C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431" w:type="pct"/>
            <w:noWrap/>
            <w:hideMark/>
          </w:tcPr>
          <w:p w14:paraId="7F256DE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640" w:type="pct"/>
            <w:noWrap/>
            <w:hideMark/>
          </w:tcPr>
          <w:p w14:paraId="59F68E3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62B99BB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472" w:type="pct"/>
            <w:noWrap/>
            <w:hideMark/>
          </w:tcPr>
          <w:p w14:paraId="05983C0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472" w:type="pct"/>
            <w:noWrap/>
            <w:hideMark/>
          </w:tcPr>
          <w:p w14:paraId="3C43FCB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58</w:t>
            </w:r>
          </w:p>
        </w:tc>
      </w:tr>
      <w:tr w:rsidR="004B6442" w:rsidRPr="00CA5480" w14:paraId="6E24CBF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73A6495B"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15</w:t>
            </w:r>
          </w:p>
        </w:tc>
        <w:tc>
          <w:tcPr>
            <w:tcW w:w="551" w:type="pct"/>
            <w:noWrap/>
            <w:hideMark/>
          </w:tcPr>
          <w:p w14:paraId="4D5910A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6CE0ECB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488" w:type="pct"/>
            <w:noWrap/>
            <w:hideMark/>
          </w:tcPr>
          <w:p w14:paraId="0BE754E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23</w:t>
            </w:r>
          </w:p>
        </w:tc>
        <w:tc>
          <w:tcPr>
            <w:tcW w:w="431" w:type="pct"/>
            <w:noWrap/>
            <w:hideMark/>
          </w:tcPr>
          <w:p w14:paraId="44B1AD3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640" w:type="pct"/>
            <w:noWrap/>
            <w:hideMark/>
          </w:tcPr>
          <w:p w14:paraId="6F4DE0E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866" w:type="pct"/>
            <w:noWrap/>
            <w:hideMark/>
          </w:tcPr>
          <w:p w14:paraId="19B9EF4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0D1D969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472" w:type="pct"/>
            <w:noWrap/>
            <w:hideMark/>
          </w:tcPr>
          <w:p w14:paraId="4327EFB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45</w:t>
            </w:r>
          </w:p>
        </w:tc>
      </w:tr>
      <w:tr w:rsidR="004B6442" w:rsidRPr="00CA5480" w14:paraId="3524F5C8"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4B0FC27"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551" w:type="pct"/>
            <w:noWrap/>
            <w:hideMark/>
          </w:tcPr>
          <w:p w14:paraId="64C613B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High PC</w:t>
            </w:r>
          </w:p>
        </w:tc>
        <w:tc>
          <w:tcPr>
            <w:tcW w:w="401" w:type="pct"/>
            <w:noWrap/>
            <w:hideMark/>
          </w:tcPr>
          <w:p w14:paraId="1DF06D5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88" w:type="pct"/>
            <w:noWrap/>
            <w:hideMark/>
          </w:tcPr>
          <w:p w14:paraId="2B9F6C1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w:t>
            </w:r>
          </w:p>
        </w:tc>
        <w:tc>
          <w:tcPr>
            <w:tcW w:w="431" w:type="pct"/>
            <w:noWrap/>
            <w:hideMark/>
          </w:tcPr>
          <w:p w14:paraId="1E034F4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w:t>
            </w:r>
          </w:p>
        </w:tc>
        <w:tc>
          <w:tcPr>
            <w:tcW w:w="640" w:type="pct"/>
            <w:noWrap/>
            <w:hideMark/>
          </w:tcPr>
          <w:p w14:paraId="0005403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w:t>
            </w:r>
          </w:p>
        </w:tc>
        <w:tc>
          <w:tcPr>
            <w:tcW w:w="866" w:type="pct"/>
            <w:noWrap/>
            <w:hideMark/>
          </w:tcPr>
          <w:p w14:paraId="647D6D9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w:t>
            </w:r>
          </w:p>
        </w:tc>
        <w:tc>
          <w:tcPr>
            <w:tcW w:w="472" w:type="pct"/>
            <w:noWrap/>
            <w:hideMark/>
          </w:tcPr>
          <w:p w14:paraId="3AE35F5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c>
          <w:tcPr>
            <w:tcW w:w="472" w:type="pct"/>
            <w:noWrap/>
            <w:hideMark/>
          </w:tcPr>
          <w:p w14:paraId="3FCCF6C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31</w:t>
            </w:r>
          </w:p>
        </w:tc>
      </w:tr>
      <w:tr w:rsidR="004B6442" w:rsidRPr="00CA5480" w14:paraId="4FFD146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65F5D54B"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Mean (group)</w:t>
            </w:r>
          </w:p>
        </w:tc>
        <w:tc>
          <w:tcPr>
            <w:tcW w:w="551" w:type="pct"/>
            <w:noWrap/>
            <w:hideMark/>
          </w:tcPr>
          <w:p w14:paraId="23047DB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7E574BF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19.13</w:t>
            </w:r>
          </w:p>
        </w:tc>
        <w:tc>
          <w:tcPr>
            <w:tcW w:w="488" w:type="pct"/>
            <w:noWrap/>
            <w:hideMark/>
          </w:tcPr>
          <w:p w14:paraId="760A19F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23.94</w:t>
            </w:r>
          </w:p>
        </w:tc>
        <w:tc>
          <w:tcPr>
            <w:tcW w:w="431" w:type="pct"/>
            <w:noWrap/>
            <w:hideMark/>
          </w:tcPr>
          <w:p w14:paraId="7C92433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33.06</w:t>
            </w:r>
          </w:p>
        </w:tc>
        <w:tc>
          <w:tcPr>
            <w:tcW w:w="640" w:type="pct"/>
            <w:noWrap/>
            <w:hideMark/>
          </w:tcPr>
          <w:p w14:paraId="122A4B6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3.63</w:t>
            </w:r>
          </w:p>
        </w:tc>
        <w:tc>
          <w:tcPr>
            <w:tcW w:w="866" w:type="pct"/>
            <w:noWrap/>
            <w:hideMark/>
          </w:tcPr>
          <w:p w14:paraId="7B9BC34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3.80</w:t>
            </w:r>
          </w:p>
        </w:tc>
        <w:tc>
          <w:tcPr>
            <w:tcW w:w="472" w:type="pct"/>
            <w:noWrap/>
            <w:hideMark/>
          </w:tcPr>
          <w:p w14:paraId="21A037B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37.06</w:t>
            </w:r>
          </w:p>
        </w:tc>
        <w:tc>
          <w:tcPr>
            <w:tcW w:w="472" w:type="pct"/>
            <w:noWrap/>
            <w:hideMark/>
          </w:tcPr>
          <w:p w14:paraId="1A8734B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38.63</w:t>
            </w:r>
          </w:p>
        </w:tc>
      </w:tr>
      <w:tr w:rsidR="004B6442" w:rsidRPr="00CA5480" w14:paraId="39CDF0B1"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3B04DD22"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SD (group)</w:t>
            </w:r>
          </w:p>
        </w:tc>
        <w:tc>
          <w:tcPr>
            <w:tcW w:w="551" w:type="pct"/>
            <w:noWrap/>
            <w:hideMark/>
          </w:tcPr>
          <w:p w14:paraId="44A424C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68241F2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5.86</w:t>
            </w:r>
          </w:p>
        </w:tc>
        <w:tc>
          <w:tcPr>
            <w:tcW w:w="488" w:type="pct"/>
            <w:noWrap/>
            <w:hideMark/>
          </w:tcPr>
          <w:p w14:paraId="4CCB860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8.69</w:t>
            </w:r>
          </w:p>
        </w:tc>
        <w:tc>
          <w:tcPr>
            <w:tcW w:w="431" w:type="pct"/>
            <w:noWrap/>
            <w:hideMark/>
          </w:tcPr>
          <w:p w14:paraId="36E1FEE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10.60</w:t>
            </w:r>
          </w:p>
        </w:tc>
        <w:tc>
          <w:tcPr>
            <w:tcW w:w="640" w:type="pct"/>
            <w:noWrap/>
            <w:hideMark/>
          </w:tcPr>
          <w:p w14:paraId="16FDCD6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2.55</w:t>
            </w:r>
          </w:p>
        </w:tc>
        <w:tc>
          <w:tcPr>
            <w:tcW w:w="866" w:type="pct"/>
            <w:noWrap/>
            <w:hideMark/>
          </w:tcPr>
          <w:p w14:paraId="21BC985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3.03</w:t>
            </w:r>
          </w:p>
        </w:tc>
        <w:tc>
          <w:tcPr>
            <w:tcW w:w="472" w:type="pct"/>
            <w:noWrap/>
            <w:hideMark/>
          </w:tcPr>
          <w:p w14:paraId="5B2D31D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6.87</w:t>
            </w:r>
          </w:p>
        </w:tc>
        <w:tc>
          <w:tcPr>
            <w:tcW w:w="472" w:type="pct"/>
            <w:noWrap/>
            <w:hideMark/>
          </w:tcPr>
          <w:p w14:paraId="6FDE2F6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8.62</w:t>
            </w:r>
          </w:p>
        </w:tc>
      </w:tr>
      <w:tr w:rsidR="004B6442" w:rsidRPr="00CA5480" w14:paraId="4DF8A013"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2C978175" w14:textId="77777777" w:rsidR="004B6442" w:rsidRPr="00CA5480" w:rsidRDefault="004B6442" w:rsidP="00AC23E4">
            <w:pPr>
              <w:rPr>
                <w:rFonts w:ascii="Calibri" w:eastAsia="Times New Roman" w:hAnsi="Calibri" w:cs="Calibri"/>
                <w:color w:val="000000"/>
                <w:sz w:val="20"/>
                <w:szCs w:val="20"/>
                <w:lang w:eastAsia="en-GB"/>
              </w:rPr>
            </w:pPr>
          </w:p>
        </w:tc>
        <w:tc>
          <w:tcPr>
            <w:tcW w:w="551" w:type="pct"/>
            <w:noWrap/>
            <w:hideMark/>
          </w:tcPr>
          <w:p w14:paraId="4B4E201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01" w:type="pct"/>
            <w:noWrap/>
            <w:hideMark/>
          </w:tcPr>
          <w:p w14:paraId="0F323A9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88" w:type="pct"/>
            <w:noWrap/>
            <w:hideMark/>
          </w:tcPr>
          <w:p w14:paraId="14FDC49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1" w:type="pct"/>
            <w:noWrap/>
            <w:hideMark/>
          </w:tcPr>
          <w:p w14:paraId="666A93C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640" w:type="pct"/>
            <w:noWrap/>
            <w:hideMark/>
          </w:tcPr>
          <w:p w14:paraId="21B39CA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66" w:type="pct"/>
            <w:noWrap/>
            <w:hideMark/>
          </w:tcPr>
          <w:p w14:paraId="028E3D7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25D9B76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2C5EDAB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4B6442" w:rsidRPr="00CA5480" w14:paraId="3D27930E"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5621E8B2"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551" w:type="pct"/>
            <w:noWrap/>
            <w:hideMark/>
          </w:tcPr>
          <w:p w14:paraId="6DE8CEC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17527C0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18</w:t>
            </w:r>
          </w:p>
        </w:tc>
        <w:tc>
          <w:tcPr>
            <w:tcW w:w="488" w:type="pct"/>
            <w:noWrap/>
            <w:hideMark/>
          </w:tcPr>
          <w:p w14:paraId="526C94D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26</w:t>
            </w:r>
          </w:p>
        </w:tc>
        <w:tc>
          <w:tcPr>
            <w:tcW w:w="431" w:type="pct"/>
            <w:noWrap/>
            <w:hideMark/>
          </w:tcPr>
          <w:p w14:paraId="2A980CA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w:t>
            </w:r>
          </w:p>
        </w:tc>
        <w:tc>
          <w:tcPr>
            <w:tcW w:w="640" w:type="pct"/>
            <w:noWrap/>
            <w:hideMark/>
          </w:tcPr>
          <w:p w14:paraId="262AFE4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w:t>
            </w:r>
          </w:p>
        </w:tc>
        <w:tc>
          <w:tcPr>
            <w:tcW w:w="866" w:type="pct"/>
            <w:noWrap/>
            <w:hideMark/>
          </w:tcPr>
          <w:p w14:paraId="5A698A7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1DF1B23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472" w:type="pct"/>
            <w:noWrap/>
            <w:hideMark/>
          </w:tcPr>
          <w:p w14:paraId="5C4E267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r>
      <w:tr w:rsidR="004B6442" w:rsidRPr="00CA5480" w14:paraId="118845A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32414D6A"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18</w:t>
            </w:r>
          </w:p>
        </w:tc>
        <w:tc>
          <w:tcPr>
            <w:tcW w:w="551" w:type="pct"/>
            <w:noWrap/>
            <w:hideMark/>
          </w:tcPr>
          <w:p w14:paraId="0E43A05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36C0D3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MD</w:t>
            </w:r>
          </w:p>
        </w:tc>
        <w:tc>
          <w:tcPr>
            <w:tcW w:w="488" w:type="pct"/>
            <w:noWrap/>
            <w:hideMark/>
          </w:tcPr>
          <w:p w14:paraId="7343D35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MD</w:t>
            </w:r>
          </w:p>
        </w:tc>
        <w:tc>
          <w:tcPr>
            <w:tcW w:w="431" w:type="pct"/>
            <w:noWrap/>
            <w:hideMark/>
          </w:tcPr>
          <w:p w14:paraId="0C10959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MD</w:t>
            </w:r>
          </w:p>
        </w:tc>
        <w:tc>
          <w:tcPr>
            <w:tcW w:w="640" w:type="pct"/>
            <w:noWrap/>
            <w:hideMark/>
          </w:tcPr>
          <w:p w14:paraId="73469C0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76DD069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472" w:type="pct"/>
            <w:noWrap/>
            <w:hideMark/>
          </w:tcPr>
          <w:p w14:paraId="1852E2D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MD</w:t>
            </w:r>
          </w:p>
        </w:tc>
        <w:tc>
          <w:tcPr>
            <w:tcW w:w="472" w:type="pct"/>
            <w:noWrap/>
            <w:hideMark/>
          </w:tcPr>
          <w:p w14:paraId="3ED5220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MD</w:t>
            </w:r>
          </w:p>
        </w:tc>
      </w:tr>
      <w:tr w:rsidR="004B6442" w:rsidRPr="00CA5480" w14:paraId="6F4E1882"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33E51E51"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551" w:type="pct"/>
            <w:noWrap/>
            <w:hideMark/>
          </w:tcPr>
          <w:p w14:paraId="77C8CC8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6D5C808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88" w:type="pct"/>
            <w:noWrap/>
            <w:hideMark/>
          </w:tcPr>
          <w:p w14:paraId="10BCDC7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431" w:type="pct"/>
            <w:noWrap/>
            <w:hideMark/>
          </w:tcPr>
          <w:p w14:paraId="3862BE7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640" w:type="pct"/>
            <w:noWrap/>
            <w:hideMark/>
          </w:tcPr>
          <w:p w14:paraId="3F30962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45FDD46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472" w:type="pct"/>
            <w:noWrap/>
            <w:hideMark/>
          </w:tcPr>
          <w:p w14:paraId="35CA32A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472" w:type="pct"/>
            <w:noWrap/>
            <w:hideMark/>
          </w:tcPr>
          <w:p w14:paraId="29063C9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r>
      <w:tr w:rsidR="004B6442" w:rsidRPr="00CA5480" w14:paraId="0461F3E0"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220F15E9"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551" w:type="pct"/>
            <w:noWrap/>
            <w:hideMark/>
          </w:tcPr>
          <w:p w14:paraId="37C847A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19720B3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488" w:type="pct"/>
            <w:noWrap/>
            <w:hideMark/>
          </w:tcPr>
          <w:p w14:paraId="472426C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431" w:type="pct"/>
            <w:noWrap/>
            <w:hideMark/>
          </w:tcPr>
          <w:p w14:paraId="50EF665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640" w:type="pct"/>
            <w:noWrap/>
            <w:hideMark/>
          </w:tcPr>
          <w:p w14:paraId="0B35381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866" w:type="pct"/>
            <w:noWrap/>
            <w:hideMark/>
          </w:tcPr>
          <w:p w14:paraId="13B4F40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w:t>
            </w:r>
          </w:p>
        </w:tc>
        <w:tc>
          <w:tcPr>
            <w:tcW w:w="472" w:type="pct"/>
            <w:noWrap/>
            <w:hideMark/>
          </w:tcPr>
          <w:p w14:paraId="2002F3E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472" w:type="pct"/>
            <w:noWrap/>
            <w:hideMark/>
          </w:tcPr>
          <w:p w14:paraId="2C52ED2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r>
      <w:tr w:rsidR="004B6442" w:rsidRPr="00CA5480" w14:paraId="2CD6CE1E"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3CD59D0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551" w:type="pct"/>
            <w:noWrap/>
            <w:hideMark/>
          </w:tcPr>
          <w:p w14:paraId="69F53E4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0062060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13</w:t>
            </w:r>
          </w:p>
        </w:tc>
        <w:tc>
          <w:tcPr>
            <w:tcW w:w="488" w:type="pct"/>
            <w:noWrap/>
            <w:hideMark/>
          </w:tcPr>
          <w:p w14:paraId="4B8D054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431" w:type="pct"/>
            <w:noWrap/>
            <w:hideMark/>
          </w:tcPr>
          <w:p w14:paraId="7C10D92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31</w:t>
            </w:r>
          </w:p>
        </w:tc>
        <w:tc>
          <w:tcPr>
            <w:tcW w:w="640" w:type="pct"/>
            <w:noWrap/>
            <w:hideMark/>
          </w:tcPr>
          <w:p w14:paraId="2D686DC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1A489B2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6E74E68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472" w:type="pct"/>
            <w:noWrap/>
            <w:hideMark/>
          </w:tcPr>
          <w:p w14:paraId="15BDC90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w:t>
            </w:r>
          </w:p>
        </w:tc>
      </w:tr>
      <w:tr w:rsidR="004B6442" w:rsidRPr="00CA5480" w14:paraId="1DAE5EFC"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47AE18EF"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22</w:t>
            </w:r>
          </w:p>
        </w:tc>
        <w:tc>
          <w:tcPr>
            <w:tcW w:w="551" w:type="pct"/>
            <w:noWrap/>
            <w:hideMark/>
          </w:tcPr>
          <w:p w14:paraId="7CFF5FF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6C116A1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488" w:type="pct"/>
            <w:noWrap/>
            <w:hideMark/>
          </w:tcPr>
          <w:p w14:paraId="731FA26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w:t>
            </w:r>
          </w:p>
        </w:tc>
        <w:tc>
          <w:tcPr>
            <w:tcW w:w="431" w:type="pct"/>
            <w:noWrap/>
            <w:hideMark/>
          </w:tcPr>
          <w:p w14:paraId="1FA7717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640" w:type="pct"/>
            <w:noWrap/>
            <w:hideMark/>
          </w:tcPr>
          <w:p w14:paraId="75B7ABE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224BA5E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w:t>
            </w:r>
          </w:p>
        </w:tc>
        <w:tc>
          <w:tcPr>
            <w:tcW w:w="472" w:type="pct"/>
            <w:noWrap/>
            <w:hideMark/>
          </w:tcPr>
          <w:p w14:paraId="4B292E4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472" w:type="pct"/>
            <w:noWrap/>
            <w:hideMark/>
          </w:tcPr>
          <w:p w14:paraId="05E0D74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r>
      <w:tr w:rsidR="004B6442" w:rsidRPr="00CA5480" w14:paraId="281D479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457EADE2"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23</w:t>
            </w:r>
          </w:p>
        </w:tc>
        <w:tc>
          <w:tcPr>
            <w:tcW w:w="551" w:type="pct"/>
            <w:noWrap/>
            <w:hideMark/>
          </w:tcPr>
          <w:p w14:paraId="27E183C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118855F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w:t>
            </w:r>
          </w:p>
        </w:tc>
        <w:tc>
          <w:tcPr>
            <w:tcW w:w="488" w:type="pct"/>
            <w:noWrap/>
            <w:hideMark/>
          </w:tcPr>
          <w:p w14:paraId="36577A5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26</w:t>
            </w:r>
          </w:p>
        </w:tc>
        <w:tc>
          <w:tcPr>
            <w:tcW w:w="431" w:type="pct"/>
            <w:noWrap/>
            <w:hideMark/>
          </w:tcPr>
          <w:p w14:paraId="54FD349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39</w:t>
            </w:r>
          </w:p>
        </w:tc>
        <w:tc>
          <w:tcPr>
            <w:tcW w:w="640" w:type="pct"/>
            <w:noWrap/>
            <w:hideMark/>
          </w:tcPr>
          <w:p w14:paraId="10D8898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5E20209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472" w:type="pct"/>
            <w:noWrap/>
            <w:hideMark/>
          </w:tcPr>
          <w:p w14:paraId="118EE49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472" w:type="pct"/>
            <w:noWrap/>
            <w:hideMark/>
          </w:tcPr>
          <w:p w14:paraId="31E48DB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r>
      <w:tr w:rsidR="004B6442" w:rsidRPr="00CA5480" w14:paraId="1A0CAD0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64F9EAF"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24</w:t>
            </w:r>
          </w:p>
        </w:tc>
        <w:tc>
          <w:tcPr>
            <w:tcW w:w="551" w:type="pct"/>
            <w:noWrap/>
            <w:hideMark/>
          </w:tcPr>
          <w:p w14:paraId="37874F9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D05B15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488" w:type="pct"/>
            <w:noWrap/>
            <w:hideMark/>
          </w:tcPr>
          <w:p w14:paraId="3E71541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431" w:type="pct"/>
            <w:noWrap/>
            <w:hideMark/>
          </w:tcPr>
          <w:p w14:paraId="1CB4998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640" w:type="pct"/>
            <w:noWrap/>
            <w:hideMark/>
          </w:tcPr>
          <w:p w14:paraId="5772A45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64175E5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472" w:type="pct"/>
            <w:noWrap/>
            <w:hideMark/>
          </w:tcPr>
          <w:p w14:paraId="6F8B2D6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31</w:t>
            </w:r>
          </w:p>
        </w:tc>
        <w:tc>
          <w:tcPr>
            <w:tcW w:w="472" w:type="pct"/>
            <w:noWrap/>
            <w:hideMark/>
          </w:tcPr>
          <w:p w14:paraId="4959EE0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r>
      <w:tr w:rsidR="004B6442" w:rsidRPr="00CA5480" w14:paraId="6F578BD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73579BE5"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w:t>
            </w:r>
          </w:p>
        </w:tc>
        <w:tc>
          <w:tcPr>
            <w:tcW w:w="551" w:type="pct"/>
            <w:noWrap/>
            <w:hideMark/>
          </w:tcPr>
          <w:p w14:paraId="030487A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FD57F1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488" w:type="pct"/>
            <w:noWrap/>
            <w:hideMark/>
          </w:tcPr>
          <w:p w14:paraId="1C7A6D2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c>
          <w:tcPr>
            <w:tcW w:w="431" w:type="pct"/>
            <w:noWrap/>
            <w:hideMark/>
          </w:tcPr>
          <w:p w14:paraId="1FB9638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c>
          <w:tcPr>
            <w:tcW w:w="640" w:type="pct"/>
            <w:noWrap/>
            <w:hideMark/>
          </w:tcPr>
          <w:p w14:paraId="262D0CE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866" w:type="pct"/>
            <w:noWrap/>
            <w:hideMark/>
          </w:tcPr>
          <w:p w14:paraId="2954333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472" w:type="pct"/>
            <w:noWrap/>
            <w:hideMark/>
          </w:tcPr>
          <w:p w14:paraId="1E3C804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472" w:type="pct"/>
            <w:noWrap/>
            <w:hideMark/>
          </w:tcPr>
          <w:p w14:paraId="12129E8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w:t>
            </w:r>
          </w:p>
        </w:tc>
      </w:tr>
      <w:tr w:rsidR="004B6442" w:rsidRPr="00CA5480" w14:paraId="0EEB1DF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C9D5E54"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26</w:t>
            </w:r>
          </w:p>
        </w:tc>
        <w:tc>
          <w:tcPr>
            <w:tcW w:w="551" w:type="pct"/>
            <w:noWrap/>
            <w:hideMark/>
          </w:tcPr>
          <w:p w14:paraId="0C38631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6A3ECB3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488" w:type="pct"/>
            <w:noWrap/>
            <w:hideMark/>
          </w:tcPr>
          <w:p w14:paraId="0605DC1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c>
          <w:tcPr>
            <w:tcW w:w="431" w:type="pct"/>
            <w:noWrap/>
            <w:hideMark/>
          </w:tcPr>
          <w:p w14:paraId="29D9F8B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640" w:type="pct"/>
            <w:noWrap/>
            <w:hideMark/>
          </w:tcPr>
          <w:p w14:paraId="2A263B9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866" w:type="pct"/>
            <w:noWrap/>
            <w:hideMark/>
          </w:tcPr>
          <w:p w14:paraId="17C9373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472" w:type="pct"/>
            <w:noWrap/>
            <w:hideMark/>
          </w:tcPr>
          <w:p w14:paraId="1D593D7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42</w:t>
            </w:r>
          </w:p>
        </w:tc>
        <w:tc>
          <w:tcPr>
            <w:tcW w:w="472" w:type="pct"/>
            <w:noWrap/>
            <w:hideMark/>
          </w:tcPr>
          <w:p w14:paraId="0398907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r>
      <w:tr w:rsidR="004B6442" w:rsidRPr="00CA5480" w14:paraId="3D86EAC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6CE871ED"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27</w:t>
            </w:r>
          </w:p>
        </w:tc>
        <w:tc>
          <w:tcPr>
            <w:tcW w:w="551" w:type="pct"/>
            <w:noWrap/>
            <w:hideMark/>
          </w:tcPr>
          <w:p w14:paraId="2C6786F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1AB15A9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23</w:t>
            </w:r>
          </w:p>
        </w:tc>
        <w:tc>
          <w:tcPr>
            <w:tcW w:w="488" w:type="pct"/>
            <w:noWrap/>
            <w:hideMark/>
          </w:tcPr>
          <w:p w14:paraId="20EC464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26</w:t>
            </w:r>
          </w:p>
        </w:tc>
        <w:tc>
          <w:tcPr>
            <w:tcW w:w="431" w:type="pct"/>
            <w:noWrap/>
            <w:hideMark/>
          </w:tcPr>
          <w:p w14:paraId="2351680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40</w:t>
            </w:r>
          </w:p>
        </w:tc>
        <w:tc>
          <w:tcPr>
            <w:tcW w:w="640" w:type="pct"/>
            <w:noWrap/>
            <w:hideMark/>
          </w:tcPr>
          <w:p w14:paraId="051020D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56C8CB9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472" w:type="pct"/>
            <w:noWrap/>
            <w:hideMark/>
          </w:tcPr>
          <w:p w14:paraId="7036765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472" w:type="pct"/>
            <w:noWrap/>
            <w:hideMark/>
          </w:tcPr>
          <w:p w14:paraId="7467647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r>
      <w:tr w:rsidR="004B6442" w:rsidRPr="00CA5480" w14:paraId="36FFA80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7BE88B68"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c>
          <w:tcPr>
            <w:tcW w:w="551" w:type="pct"/>
            <w:noWrap/>
            <w:hideMark/>
          </w:tcPr>
          <w:p w14:paraId="233915C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600677F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488" w:type="pct"/>
            <w:noWrap/>
            <w:hideMark/>
          </w:tcPr>
          <w:p w14:paraId="73345F4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11</w:t>
            </w:r>
          </w:p>
        </w:tc>
        <w:tc>
          <w:tcPr>
            <w:tcW w:w="431" w:type="pct"/>
            <w:noWrap/>
            <w:hideMark/>
          </w:tcPr>
          <w:p w14:paraId="3B37CA8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w:t>
            </w:r>
          </w:p>
        </w:tc>
        <w:tc>
          <w:tcPr>
            <w:tcW w:w="640" w:type="pct"/>
            <w:noWrap/>
            <w:hideMark/>
          </w:tcPr>
          <w:p w14:paraId="6661B5F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866" w:type="pct"/>
            <w:noWrap/>
            <w:hideMark/>
          </w:tcPr>
          <w:p w14:paraId="4D8EE0E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7</w:t>
            </w:r>
          </w:p>
        </w:tc>
        <w:tc>
          <w:tcPr>
            <w:tcW w:w="472" w:type="pct"/>
            <w:noWrap/>
            <w:hideMark/>
          </w:tcPr>
          <w:p w14:paraId="7D56064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23</w:t>
            </w:r>
          </w:p>
        </w:tc>
        <w:tc>
          <w:tcPr>
            <w:tcW w:w="472" w:type="pct"/>
            <w:noWrap/>
            <w:hideMark/>
          </w:tcPr>
          <w:p w14:paraId="683AE8B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r>
      <w:tr w:rsidR="004B6442" w:rsidRPr="00CA5480" w14:paraId="7A40764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8DECB3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c>
          <w:tcPr>
            <w:tcW w:w="551" w:type="pct"/>
            <w:noWrap/>
            <w:hideMark/>
          </w:tcPr>
          <w:p w14:paraId="66261A2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EC60D9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488" w:type="pct"/>
            <w:noWrap/>
            <w:hideMark/>
          </w:tcPr>
          <w:p w14:paraId="6F04B91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16</w:t>
            </w:r>
          </w:p>
        </w:tc>
        <w:tc>
          <w:tcPr>
            <w:tcW w:w="431" w:type="pct"/>
            <w:noWrap/>
            <w:hideMark/>
          </w:tcPr>
          <w:p w14:paraId="233C9F2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27</w:t>
            </w:r>
          </w:p>
        </w:tc>
        <w:tc>
          <w:tcPr>
            <w:tcW w:w="640" w:type="pct"/>
            <w:noWrap/>
            <w:hideMark/>
          </w:tcPr>
          <w:p w14:paraId="67B1D32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866" w:type="pct"/>
            <w:noWrap/>
            <w:hideMark/>
          </w:tcPr>
          <w:p w14:paraId="2BFEB6B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w:t>
            </w:r>
          </w:p>
        </w:tc>
        <w:tc>
          <w:tcPr>
            <w:tcW w:w="472" w:type="pct"/>
            <w:noWrap/>
            <w:hideMark/>
          </w:tcPr>
          <w:p w14:paraId="65B5719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472" w:type="pct"/>
            <w:noWrap/>
            <w:hideMark/>
          </w:tcPr>
          <w:p w14:paraId="7CD45EA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r>
      <w:tr w:rsidR="004B6442" w:rsidRPr="00CA5480" w14:paraId="4910DB8A"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6073A06"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w:t>
            </w:r>
          </w:p>
        </w:tc>
        <w:tc>
          <w:tcPr>
            <w:tcW w:w="551" w:type="pct"/>
            <w:noWrap/>
            <w:hideMark/>
          </w:tcPr>
          <w:p w14:paraId="2E49A7C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AB5A46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25</w:t>
            </w:r>
          </w:p>
        </w:tc>
        <w:tc>
          <w:tcPr>
            <w:tcW w:w="488" w:type="pct"/>
            <w:noWrap/>
            <w:hideMark/>
          </w:tcPr>
          <w:p w14:paraId="0571D97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15</w:t>
            </w:r>
          </w:p>
        </w:tc>
        <w:tc>
          <w:tcPr>
            <w:tcW w:w="431" w:type="pct"/>
            <w:noWrap/>
            <w:hideMark/>
          </w:tcPr>
          <w:p w14:paraId="7BB08B5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640" w:type="pct"/>
            <w:noWrap/>
            <w:hideMark/>
          </w:tcPr>
          <w:p w14:paraId="3EDE4BA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7109A87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472" w:type="pct"/>
            <w:noWrap/>
            <w:hideMark/>
          </w:tcPr>
          <w:p w14:paraId="1A91237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27</w:t>
            </w:r>
          </w:p>
        </w:tc>
        <w:tc>
          <w:tcPr>
            <w:tcW w:w="472" w:type="pct"/>
            <w:noWrap/>
            <w:hideMark/>
          </w:tcPr>
          <w:p w14:paraId="4D0B643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22</w:t>
            </w:r>
          </w:p>
        </w:tc>
      </w:tr>
      <w:tr w:rsidR="004B6442" w:rsidRPr="00CA5480" w14:paraId="50598468"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26C30823"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31</w:t>
            </w:r>
          </w:p>
        </w:tc>
        <w:tc>
          <w:tcPr>
            <w:tcW w:w="551" w:type="pct"/>
            <w:noWrap/>
            <w:hideMark/>
          </w:tcPr>
          <w:p w14:paraId="231BF9B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0348850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488" w:type="pct"/>
            <w:noWrap/>
            <w:hideMark/>
          </w:tcPr>
          <w:p w14:paraId="10242E5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431" w:type="pct"/>
            <w:noWrap/>
            <w:hideMark/>
          </w:tcPr>
          <w:p w14:paraId="5711ABE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w:t>
            </w:r>
          </w:p>
        </w:tc>
        <w:tc>
          <w:tcPr>
            <w:tcW w:w="640" w:type="pct"/>
            <w:noWrap/>
            <w:hideMark/>
          </w:tcPr>
          <w:p w14:paraId="5BFD6D0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w:t>
            </w:r>
          </w:p>
        </w:tc>
        <w:tc>
          <w:tcPr>
            <w:tcW w:w="866" w:type="pct"/>
            <w:noWrap/>
            <w:hideMark/>
          </w:tcPr>
          <w:p w14:paraId="244D704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w:t>
            </w:r>
          </w:p>
        </w:tc>
        <w:tc>
          <w:tcPr>
            <w:tcW w:w="472" w:type="pct"/>
            <w:noWrap/>
            <w:hideMark/>
          </w:tcPr>
          <w:p w14:paraId="49D9247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41</w:t>
            </w:r>
          </w:p>
        </w:tc>
        <w:tc>
          <w:tcPr>
            <w:tcW w:w="472" w:type="pct"/>
            <w:noWrap/>
            <w:hideMark/>
          </w:tcPr>
          <w:p w14:paraId="2A59C14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w:t>
            </w:r>
          </w:p>
        </w:tc>
      </w:tr>
      <w:tr w:rsidR="004B6442" w:rsidRPr="00CA5480" w14:paraId="4A93A946"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5397708"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w:t>
            </w:r>
          </w:p>
        </w:tc>
        <w:tc>
          <w:tcPr>
            <w:tcW w:w="551" w:type="pct"/>
            <w:noWrap/>
            <w:hideMark/>
          </w:tcPr>
          <w:p w14:paraId="58981AF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5E4E496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21</w:t>
            </w:r>
          </w:p>
        </w:tc>
        <w:tc>
          <w:tcPr>
            <w:tcW w:w="488" w:type="pct"/>
            <w:noWrap/>
            <w:hideMark/>
          </w:tcPr>
          <w:p w14:paraId="7C628A3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431" w:type="pct"/>
            <w:noWrap/>
            <w:hideMark/>
          </w:tcPr>
          <w:p w14:paraId="6B5D811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w:t>
            </w:r>
          </w:p>
        </w:tc>
        <w:tc>
          <w:tcPr>
            <w:tcW w:w="640" w:type="pct"/>
            <w:noWrap/>
            <w:hideMark/>
          </w:tcPr>
          <w:p w14:paraId="7D2DA41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5AFE1A9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472" w:type="pct"/>
            <w:noWrap/>
            <w:hideMark/>
          </w:tcPr>
          <w:p w14:paraId="614F114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37</w:t>
            </w:r>
          </w:p>
        </w:tc>
        <w:tc>
          <w:tcPr>
            <w:tcW w:w="472" w:type="pct"/>
            <w:noWrap/>
            <w:hideMark/>
          </w:tcPr>
          <w:p w14:paraId="3155FB3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38</w:t>
            </w:r>
          </w:p>
        </w:tc>
      </w:tr>
      <w:tr w:rsidR="004B6442" w:rsidRPr="00CA5480" w14:paraId="69A30621"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1DD1CE07"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w:t>
            </w:r>
          </w:p>
        </w:tc>
        <w:tc>
          <w:tcPr>
            <w:tcW w:w="551" w:type="pct"/>
            <w:noWrap/>
            <w:hideMark/>
          </w:tcPr>
          <w:p w14:paraId="14D9B61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7F2B582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w:t>
            </w:r>
          </w:p>
        </w:tc>
        <w:tc>
          <w:tcPr>
            <w:tcW w:w="488" w:type="pct"/>
            <w:noWrap/>
            <w:hideMark/>
          </w:tcPr>
          <w:p w14:paraId="3CE1110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14</w:t>
            </w:r>
          </w:p>
        </w:tc>
        <w:tc>
          <w:tcPr>
            <w:tcW w:w="431" w:type="pct"/>
            <w:noWrap/>
            <w:hideMark/>
          </w:tcPr>
          <w:p w14:paraId="2156288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640" w:type="pct"/>
            <w:noWrap/>
            <w:hideMark/>
          </w:tcPr>
          <w:p w14:paraId="015EBD9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866" w:type="pct"/>
            <w:noWrap/>
            <w:hideMark/>
          </w:tcPr>
          <w:p w14:paraId="2A9BC97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w:t>
            </w:r>
          </w:p>
        </w:tc>
        <w:tc>
          <w:tcPr>
            <w:tcW w:w="472" w:type="pct"/>
            <w:noWrap/>
            <w:hideMark/>
          </w:tcPr>
          <w:p w14:paraId="358D510C"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w:t>
            </w:r>
          </w:p>
        </w:tc>
        <w:tc>
          <w:tcPr>
            <w:tcW w:w="472" w:type="pct"/>
            <w:noWrap/>
            <w:hideMark/>
          </w:tcPr>
          <w:p w14:paraId="096B04C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30</w:t>
            </w:r>
          </w:p>
        </w:tc>
      </w:tr>
      <w:tr w:rsidR="004B6442" w:rsidRPr="00CA5480" w14:paraId="35E8838B"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2E2F16E7"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34</w:t>
            </w:r>
          </w:p>
        </w:tc>
        <w:tc>
          <w:tcPr>
            <w:tcW w:w="551" w:type="pct"/>
            <w:noWrap/>
            <w:hideMark/>
          </w:tcPr>
          <w:p w14:paraId="5F8E598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CA5480">
              <w:rPr>
                <w:rFonts w:ascii="Calibri" w:eastAsia="Times New Roman" w:hAnsi="Calibri" w:cs="Calibri"/>
                <w:sz w:val="20"/>
                <w:szCs w:val="20"/>
                <w:lang w:eastAsia="en-GB"/>
              </w:rPr>
              <w:t>Low PC</w:t>
            </w:r>
          </w:p>
        </w:tc>
        <w:tc>
          <w:tcPr>
            <w:tcW w:w="401" w:type="pct"/>
            <w:noWrap/>
            <w:hideMark/>
          </w:tcPr>
          <w:p w14:paraId="730CB5E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w:t>
            </w:r>
          </w:p>
        </w:tc>
        <w:tc>
          <w:tcPr>
            <w:tcW w:w="488" w:type="pct"/>
            <w:noWrap/>
            <w:hideMark/>
          </w:tcPr>
          <w:p w14:paraId="49AB4B6A"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12</w:t>
            </w:r>
          </w:p>
        </w:tc>
        <w:tc>
          <w:tcPr>
            <w:tcW w:w="431" w:type="pct"/>
            <w:noWrap/>
            <w:hideMark/>
          </w:tcPr>
          <w:p w14:paraId="4B78FBF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40</w:t>
            </w:r>
          </w:p>
        </w:tc>
        <w:tc>
          <w:tcPr>
            <w:tcW w:w="640" w:type="pct"/>
            <w:noWrap/>
            <w:hideMark/>
          </w:tcPr>
          <w:p w14:paraId="7B6655F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w:t>
            </w:r>
          </w:p>
        </w:tc>
        <w:tc>
          <w:tcPr>
            <w:tcW w:w="866" w:type="pct"/>
            <w:noWrap/>
            <w:hideMark/>
          </w:tcPr>
          <w:p w14:paraId="1FFCE9E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w:t>
            </w:r>
          </w:p>
        </w:tc>
        <w:tc>
          <w:tcPr>
            <w:tcW w:w="472" w:type="pct"/>
            <w:noWrap/>
            <w:hideMark/>
          </w:tcPr>
          <w:p w14:paraId="44A52E0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22</w:t>
            </w:r>
          </w:p>
        </w:tc>
        <w:tc>
          <w:tcPr>
            <w:tcW w:w="472" w:type="pct"/>
            <w:noWrap/>
            <w:hideMark/>
          </w:tcPr>
          <w:p w14:paraId="0FE3EC2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w:t>
            </w:r>
          </w:p>
        </w:tc>
      </w:tr>
      <w:tr w:rsidR="004B6442" w:rsidRPr="00CA5480" w14:paraId="141B1E69"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340B3560"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Mean (group)</w:t>
            </w:r>
          </w:p>
        </w:tc>
        <w:tc>
          <w:tcPr>
            <w:tcW w:w="551" w:type="pct"/>
            <w:noWrap/>
            <w:hideMark/>
          </w:tcPr>
          <w:p w14:paraId="2D0B8176"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2D7260B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17.65</w:t>
            </w:r>
          </w:p>
        </w:tc>
        <w:tc>
          <w:tcPr>
            <w:tcW w:w="488" w:type="pct"/>
            <w:noWrap/>
            <w:hideMark/>
          </w:tcPr>
          <w:p w14:paraId="17F40B1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18.71</w:t>
            </w:r>
          </w:p>
        </w:tc>
        <w:tc>
          <w:tcPr>
            <w:tcW w:w="431" w:type="pct"/>
            <w:noWrap/>
            <w:hideMark/>
          </w:tcPr>
          <w:p w14:paraId="085A5251"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31.59</w:t>
            </w:r>
          </w:p>
        </w:tc>
        <w:tc>
          <w:tcPr>
            <w:tcW w:w="640" w:type="pct"/>
            <w:noWrap/>
            <w:hideMark/>
          </w:tcPr>
          <w:p w14:paraId="0C14A28E"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3.56</w:t>
            </w:r>
          </w:p>
        </w:tc>
        <w:tc>
          <w:tcPr>
            <w:tcW w:w="866" w:type="pct"/>
            <w:noWrap/>
            <w:hideMark/>
          </w:tcPr>
          <w:p w14:paraId="0EACCCB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4.39</w:t>
            </w:r>
          </w:p>
        </w:tc>
        <w:tc>
          <w:tcPr>
            <w:tcW w:w="472" w:type="pct"/>
            <w:noWrap/>
            <w:hideMark/>
          </w:tcPr>
          <w:p w14:paraId="163786D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32.88</w:t>
            </w:r>
          </w:p>
        </w:tc>
        <w:tc>
          <w:tcPr>
            <w:tcW w:w="472" w:type="pct"/>
            <w:noWrap/>
            <w:hideMark/>
          </w:tcPr>
          <w:p w14:paraId="6B3CBC9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29.65</w:t>
            </w:r>
          </w:p>
        </w:tc>
      </w:tr>
      <w:tr w:rsidR="004B6442" w:rsidRPr="00CA5480" w14:paraId="729CD018"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6F6A4EE0"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SD (group)</w:t>
            </w:r>
          </w:p>
        </w:tc>
        <w:tc>
          <w:tcPr>
            <w:tcW w:w="551" w:type="pct"/>
            <w:noWrap/>
            <w:hideMark/>
          </w:tcPr>
          <w:p w14:paraId="5C60D21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0967EF8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6.37</w:t>
            </w:r>
          </w:p>
        </w:tc>
        <w:tc>
          <w:tcPr>
            <w:tcW w:w="488" w:type="pct"/>
            <w:noWrap/>
            <w:hideMark/>
          </w:tcPr>
          <w:p w14:paraId="735DED7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5.50</w:t>
            </w:r>
          </w:p>
        </w:tc>
        <w:tc>
          <w:tcPr>
            <w:tcW w:w="431" w:type="pct"/>
            <w:noWrap/>
            <w:hideMark/>
          </w:tcPr>
          <w:p w14:paraId="756B774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8.65</w:t>
            </w:r>
          </w:p>
        </w:tc>
        <w:tc>
          <w:tcPr>
            <w:tcW w:w="640" w:type="pct"/>
            <w:noWrap/>
            <w:hideMark/>
          </w:tcPr>
          <w:p w14:paraId="36CC77B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2.83</w:t>
            </w:r>
          </w:p>
        </w:tc>
        <w:tc>
          <w:tcPr>
            <w:tcW w:w="866" w:type="pct"/>
            <w:noWrap/>
            <w:hideMark/>
          </w:tcPr>
          <w:p w14:paraId="5D18E6D1"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2.85</w:t>
            </w:r>
          </w:p>
        </w:tc>
        <w:tc>
          <w:tcPr>
            <w:tcW w:w="472" w:type="pct"/>
            <w:noWrap/>
            <w:hideMark/>
          </w:tcPr>
          <w:p w14:paraId="1F5BC32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5.51</w:t>
            </w:r>
          </w:p>
        </w:tc>
        <w:tc>
          <w:tcPr>
            <w:tcW w:w="472" w:type="pct"/>
            <w:noWrap/>
            <w:hideMark/>
          </w:tcPr>
          <w:p w14:paraId="1E59B5B6"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6.70</w:t>
            </w:r>
          </w:p>
        </w:tc>
      </w:tr>
      <w:tr w:rsidR="004B6442" w:rsidRPr="00CA5480" w14:paraId="2E79787B"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4E825C7"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SD (pooled)</w:t>
            </w:r>
          </w:p>
        </w:tc>
        <w:tc>
          <w:tcPr>
            <w:tcW w:w="551" w:type="pct"/>
            <w:noWrap/>
            <w:hideMark/>
          </w:tcPr>
          <w:p w14:paraId="58FDFCE9"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22DC6AA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6.08</w:t>
            </w:r>
          </w:p>
        </w:tc>
        <w:tc>
          <w:tcPr>
            <w:tcW w:w="488" w:type="pct"/>
            <w:noWrap/>
            <w:hideMark/>
          </w:tcPr>
          <w:p w14:paraId="7CF3A99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7.59</w:t>
            </w:r>
          </w:p>
        </w:tc>
        <w:tc>
          <w:tcPr>
            <w:tcW w:w="431" w:type="pct"/>
            <w:noWrap/>
            <w:hideMark/>
          </w:tcPr>
          <w:p w14:paraId="2ABDA61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9.52</w:t>
            </w:r>
          </w:p>
        </w:tc>
        <w:tc>
          <w:tcPr>
            <w:tcW w:w="640" w:type="pct"/>
            <w:noWrap/>
            <w:hideMark/>
          </w:tcPr>
          <w:p w14:paraId="489904F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2.66</w:t>
            </w:r>
          </w:p>
        </w:tc>
        <w:tc>
          <w:tcPr>
            <w:tcW w:w="866" w:type="pct"/>
            <w:noWrap/>
            <w:hideMark/>
          </w:tcPr>
          <w:p w14:paraId="315F4374"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2.90</w:t>
            </w:r>
          </w:p>
        </w:tc>
        <w:tc>
          <w:tcPr>
            <w:tcW w:w="472" w:type="pct"/>
            <w:noWrap/>
            <w:hideMark/>
          </w:tcPr>
          <w:p w14:paraId="2EAB91E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6.46</w:t>
            </w:r>
          </w:p>
        </w:tc>
        <w:tc>
          <w:tcPr>
            <w:tcW w:w="472" w:type="pct"/>
            <w:noWrap/>
            <w:hideMark/>
          </w:tcPr>
          <w:p w14:paraId="070A3AA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8.83</w:t>
            </w:r>
          </w:p>
        </w:tc>
      </w:tr>
      <w:tr w:rsidR="004B6442" w:rsidRPr="00CA5480" w14:paraId="7041CF23"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678" w:type="pct"/>
            <w:noWrap/>
            <w:hideMark/>
          </w:tcPr>
          <w:p w14:paraId="050FCFAB" w14:textId="77777777" w:rsidR="004B6442" w:rsidRPr="00CA5480" w:rsidRDefault="004B6442" w:rsidP="00AC23E4">
            <w:pPr>
              <w:rPr>
                <w:rFonts w:ascii="Calibri" w:eastAsia="Times New Roman" w:hAnsi="Calibri" w:cs="Calibri"/>
                <w:color w:val="000000"/>
                <w:sz w:val="20"/>
                <w:szCs w:val="20"/>
                <w:lang w:eastAsia="en-GB"/>
              </w:rPr>
            </w:pPr>
          </w:p>
        </w:tc>
        <w:tc>
          <w:tcPr>
            <w:tcW w:w="551" w:type="pct"/>
            <w:noWrap/>
            <w:hideMark/>
          </w:tcPr>
          <w:p w14:paraId="4A9E837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01" w:type="pct"/>
            <w:noWrap/>
            <w:hideMark/>
          </w:tcPr>
          <w:p w14:paraId="3E25B2B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88" w:type="pct"/>
            <w:noWrap/>
            <w:hideMark/>
          </w:tcPr>
          <w:p w14:paraId="4744D098"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31" w:type="pct"/>
            <w:noWrap/>
            <w:hideMark/>
          </w:tcPr>
          <w:p w14:paraId="36033C1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640" w:type="pct"/>
            <w:noWrap/>
            <w:hideMark/>
          </w:tcPr>
          <w:p w14:paraId="35246B1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66" w:type="pct"/>
            <w:noWrap/>
            <w:hideMark/>
          </w:tcPr>
          <w:p w14:paraId="512DF294"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6ABFF6B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6168102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4B6442" w:rsidRPr="00CA5480" w14:paraId="412F6907"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9" w:type="pct"/>
            <w:gridSpan w:val="5"/>
            <w:noWrap/>
            <w:hideMark/>
          </w:tcPr>
          <w:p w14:paraId="27B4596B"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Independent samples t test (High PC &gt; Low PC)</w:t>
            </w:r>
          </w:p>
        </w:tc>
        <w:tc>
          <w:tcPr>
            <w:tcW w:w="640" w:type="pct"/>
            <w:noWrap/>
            <w:hideMark/>
          </w:tcPr>
          <w:p w14:paraId="4CD72055"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p>
        </w:tc>
        <w:tc>
          <w:tcPr>
            <w:tcW w:w="866" w:type="pct"/>
            <w:noWrap/>
            <w:hideMark/>
          </w:tcPr>
          <w:p w14:paraId="74003B2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47E99AE3"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472" w:type="pct"/>
            <w:noWrap/>
            <w:hideMark/>
          </w:tcPr>
          <w:p w14:paraId="67E7C2F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4B6442" w:rsidRPr="00CA5480" w14:paraId="1A326E8F"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14:paraId="52DD0F94"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t statistic</w:t>
            </w:r>
          </w:p>
        </w:tc>
        <w:tc>
          <w:tcPr>
            <w:tcW w:w="551" w:type="pct"/>
            <w:noWrap/>
            <w:hideMark/>
          </w:tcPr>
          <w:p w14:paraId="05AB7909"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1E4F00B3"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0.69</w:t>
            </w:r>
          </w:p>
        </w:tc>
        <w:tc>
          <w:tcPr>
            <w:tcW w:w="488" w:type="pct"/>
            <w:noWrap/>
            <w:hideMark/>
          </w:tcPr>
          <w:p w14:paraId="57DA8FD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2.05</w:t>
            </w:r>
          </w:p>
        </w:tc>
        <w:tc>
          <w:tcPr>
            <w:tcW w:w="431" w:type="pct"/>
            <w:noWrap/>
            <w:hideMark/>
          </w:tcPr>
          <w:p w14:paraId="76CE245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0.44</w:t>
            </w:r>
          </w:p>
        </w:tc>
        <w:tc>
          <w:tcPr>
            <w:tcW w:w="640" w:type="pct"/>
            <w:noWrap/>
            <w:hideMark/>
          </w:tcPr>
          <w:p w14:paraId="5D56197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0.08</w:t>
            </w:r>
          </w:p>
        </w:tc>
        <w:tc>
          <w:tcPr>
            <w:tcW w:w="866" w:type="pct"/>
            <w:noWrap/>
            <w:hideMark/>
          </w:tcPr>
          <w:p w14:paraId="4B1CCD9D"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-0.57</w:t>
            </w:r>
          </w:p>
        </w:tc>
        <w:tc>
          <w:tcPr>
            <w:tcW w:w="472" w:type="pct"/>
            <w:noWrap/>
            <w:hideMark/>
          </w:tcPr>
          <w:p w14:paraId="2B08EDE2"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1.92</w:t>
            </w:r>
          </w:p>
        </w:tc>
        <w:tc>
          <w:tcPr>
            <w:tcW w:w="472" w:type="pct"/>
            <w:noWrap/>
            <w:hideMark/>
          </w:tcPr>
          <w:p w14:paraId="109AB585"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3.33</w:t>
            </w:r>
          </w:p>
        </w:tc>
      </w:tr>
      <w:tr w:rsidR="004B6442" w:rsidRPr="00CA5480" w14:paraId="3F1A1710"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 w:type="pct"/>
            <w:noWrap/>
            <w:hideMark/>
          </w:tcPr>
          <w:p w14:paraId="1BC8231E"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p value</w:t>
            </w:r>
          </w:p>
        </w:tc>
        <w:tc>
          <w:tcPr>
            <w:tcW w:w="551" w:type="pct"/>
            <w:noWrap/>
            <w:hideMark/>
          </w:tcPr>
          <w:p w14:paraId="67F7EE18"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401" w:type="pct"/>
            <w:noWrap/>
            <w:hideMark/>
          </w:tcPr>
          <w:p w14:paraId="2D75F167"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0.493</w:t>
            </w:r>
          </w:p>
        </w:tc>
        <w:tc>
          <w:tcPr>
            <w:tcW w:w="488" w:type="pct"/>
            <w:noWrap/>
            <w:hideMark/>
          </w:tcPr>
          <w:p w14:paraId="20BAB85D"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0.051</w:t>
            </w:r>
          </w:p>
        </w:tc>
        <w:tc>
          <w:tcPr>
            <w:tcW w:w="431" w:type="pct"/>
            <w:noWrap/>
            <w:hideMark/>
          </w:tcPr>
          <w:p w14:paraId="363F8740"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0.666</w:t>
            </w:r>
          </w:p>
        </w:tc>
        <w:tc>
          <w:tcPr>
            <w:tcW w:w="640" w:type="pct"/>
            <w:noWrap/>
            <w:hideMark/>
          </w:tcPr>
          <w:p w14:paraId="3E347652"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0.941</w:t>
            </w:r>
          </w:p>
        </w:tc>
        <w:tc>
          <w:tcPr>
            <w:tcW w:w="866" w:type="pct"/>
            <w:noWrap/>
            <w:hideMark/>
          </w:tcPr>
          <w:p w14:paraId="7DABF9FB"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0.572</w:t>
            </w:r>
          </w:p>
        </w:tc>
        <w:tc>
          <w:tcPr>
            <w:tcW w:w="472" w:type="pct"/>
            <w:noWrap/>
            <w:hideMark/>
          </w:tcPr>
          <w:p w14:paraId="49A21C5A"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0.065</w:t>
            </w:r>
          </w:p>
        </w:tc>
        <w:tc>
          <w:tcPr>
            <w:tcW w:w="472" w:type="pct"/>
            <w:noWrap/>
            <w:hideMark/>
          </w:tcPr>
          <w:p w14:paraId="6B26806F" w14:textId="77777777" w:rsidR="004B6442" w:rsidRPr="00CA5480"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0.002</w:t>
            </w:r>
          </w:p>
        </w:tc>
      </w:tr>
      <w:tr w:rsidR="004B6442" w:rsidRPr="00CA5480" w14:paraId="39D07BCE"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29" w:type="pct"/>
            <w:gridSpan w:val="2"/>
            <w:noWrap/>
            <w:hideMark/>
          </w:tcPr>
          <w:p w14:paraId="66F39AA6" w14:textId="77777777" w:rsidR="004B6442" w:rsidRPr="00CA5480" w:rsidRDefault="004B6442" w:rsidP="00AC23E4">
            <w:pPr>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Effect size (Cohen's d)</w:t>
            </w:r>
          </w:p>
        </w:tc>
        <w:tc>
          <w:tcPr>
            <w:tcW w:w="401" w:type="pct"/>
            <w:noWrap/>
            <w:hideMark/>
          </w:tcPr>
          <w:p w14:paraId="2A80CA57"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0.24</w:t>
            </w:r>
          </w:p>
        </w:tc>
        <w:tc>
          <w:tcPr>
            <w:tcW w:w="488" w:type="pct"/>
            <w:noWrap/>
            <w:hideMark/>
          </w:tcPr>
          <w:p w14:paraId="29DF44FF"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0.69</w:t>
            </w:r>
          </w:p>
        </w:tc>
        <w:tc>
          <w:tcPr>
            <w:tcW w:w="431" w:type="pct"/>
            <w:noWrap/>
            <w:hideMark/>
          </w:tcPr>
          <w:p w14:paraId="7566B8DC"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0.15</w:t>
            </w:r>
          </w:p>
        </w:tc>
        <w:tc>
          <w:tcPr>
            <w:tcW w:w="640" w:type="pct"/>
            <w:noWrap/>
            <w:hideMark/>
          </w:tcPr>
          <w:p w14:paraId="00CEC20B"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0.03</w:t>
            </w:r>
          </w:p>
        </w:tc>
        <w:tc>
          <w:tcPr>
            <w:tcW w:w="866" w:type="pct"/>
            <w:noWrap/>
            <w:hideMark/>
          </w:tcPr>
          <w:p w14:paraId="16F6C5B0"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0.20</w:t>
            </w:r>
          </w:p>
        </w:tc>
        <w:tc>
          <w:tcPr>
            <w:tcW w:w="472" w:type="pct"/>
            <w:noWrap/>
            <w:hideMark/>
          </w:tcPr>
          <w:p w14:paraId="140AB26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0.65</w:t>
            </w:r>
          </w:p>
        </w:tc>
        <w:tc>
          <w:tcPr>
            <w:tcW w:w="472" w:type="pct"/>
            <w:noWrap/>
            <w:hideMark/>
          </w:tcPr>
          <w:p w14:paraId="796BDB7E" w14:textId="77777777" w:rsidR="004B6442" w:rsidRPr="00CA5480"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CA5480">
              <w:rPr>
                <w:rFonts w:ascii="Calibri" w:eastAsia="Times New Roman" w:hAnsi="Calibri" w:cs="Calibri"/>
                <w:color w:val="000000"/>
                <w:sz w:val="20"/>
                <w:szCs w:val="20"/>
                <w:lang w:eastAsia="en-GB"/>
              </w:rPr>
              <w:t>1.02</w:t>
            </w:r>
          </w:p>
        </w:tc>
      </w:tr>
    </w:tbl>
    <w:p w14:paraId="0E2A55D8" w14:textId="77777777" w:rsidR="004B6442" w:rsidRDefault="004B6442" w:rsidP="004B6442"/>
    <w:tbl>
      <w:tblPr>
        <w:tblStyle w:val="PlainTable3"/>
        <w:tblW w:w="3913" w:type="dxa"/>
        <w:tblLook w:val="04A0" w:firstRow="1" w:lastRow="0" w:firstColumn="1" w:lastColumn="0" w:noHBand="0" w:noVBand="1"/>
      </w:tblPr>
      <w:tblGrid>
        <w:gridCol w:w="1380"/>
        <w:gridCol w:w="2533"/>
      </w:tblGrid>
      <w:tr w:rsidR="004B6442" w:rsidRPr="00CA5480" w14:paraId="3CA4D9B9"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80" w:type="dxa"/>
            <w:noWrap/>
            <w:hideMark/>
          </w:tcPr>
          <w:p w14:paraId="092C084D" w14:textId="77777777" w:rsidR="004B6442" w:rsidRPr="00CA5480" w:rsidRDefault="004B6442" w:rsidP="00AC23E4">
            <w:pPr>
              <w:rPr>
                <w:rFonts w:ascii="Calibri" w:eastAsia="Times New Roman" w:hAnsi="Calibri" w:cs="Calibri"/>
                <w:color w:val="000000"/>
                <w:lang w:eastAsia="en-GB"/>
              </w:rPr>
            </w:pPr>
            <w:r w:rsidRPr="00CA5480">
              <w:rPr>
                <w:rFonts w:ascii="Calibri" w:eastAsia="Times New Roman" w:hAnsi="Calibri" w:cs="Calibri"/>
                <w:color w:val="000000"/>
                <w:lang w:eastAsia="en-GB"/>
              </w:rPr>
              <w:t>Legend</w:t>
            </w:r>
          </w:p>
        </w:tc>
        <w:tc>
          <w:tcPr>
            <w:tcW w:w="2533" w:type="dxa"/>
            <w:noWrap/>
            <w:hideMark/>
          </w:tcPr>
          <w:p w14:paraId="79473ABA" w14:textId="77777777" w:rsidR="004B6442" w:rsidRPr="00CA5480"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4B6442" w:rsidRPr="00CA5480" w14:paraId="2A56E72A"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tcPr>
          <w:p w14:paraId="1B415444" w14:textId="77777777" w:rsidR="004B6442" w:rsidRPr="00881CDD" w:rsidRDefault="004B6442" w:rsidP="00AC23E4">
            <w:pPr>
              <w:rPr>
                <w:rFonts w:ascii="Calibri" w:eastAsia="Times New Roman" w:hAnsi="Calibri" w:cs="Calibri"/>
                <w:color w:val="000000"/>
              </w:rPr>
            </w:pPr>
            <w:r w:rsidRPr="00881CDD">
              <w:rPr>
                <w:rFonts w:ascii="Calibri" w:eastAsia="Times New Roman" w:hAnsi="Calibri" w:cs="Calibri"/>
                <w:color w:val="000000"/>
              </w:rPr>
              <w:t>PC</w:t>
            </w:r>
          </w:p>
        </w:tc>
        <w:tc>
          <w:tcPr>
            <w:tcW w:w="2533" w:type="dxa"/>
            <w:noWrap/>
          </w:tcPr>
          <w:p w14:paraId="344A882D" w14:textId="5A2E6C38" w:rsidR="004B6442" w:rsidRPr="00881CDD"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81CDD">
              <w:rPr>
                <w:rFonts w:ascii="Calibri" w:eastAsia="Times New Roman" w:hAnsi="Calibri" w:cs="Calibri"/>
              </w:rPr>
              <w:t xml:space="preserve">Pain </w:t>
            </w:r>
            <w:r w:rsidR="005D7A4B">
              <w:rPr>
                <w:rFonts w:ascii="Calibri" w:eastAsia="Times New Roman" w:hAnsi="Calibri" w:cs="Calibri"/>
              </w:rPr>
              <w:t>catastrophizing</w:t>
            </w:r>
          </w:p>
        </w:tc>
      </w:tr>
      <w:tr w:rsidR="004B6442" w:rsidRPr="00CA5480" w14:paraId="3C0518D0"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62EEEE4D" w14:textId="77777777" w:rsidR="004B6442" w:rsidRPr="00CA5480" w:rsidRDefault="004B6442" w:rsidP="00AC23E4">
            <w:pPr>
              <w:rPr>
                <w:rFonts w:ascii="Calibri" w:eastAsia="Times New Roman" w:hAnsi="Calibri" w:cs="Calibri"/>
                <w:color w:val="000000"/>
                <w:lang w:eastAsia="en-GB"/>
              </w:rPr>
            </w:pPr>
            <w:r w:rsidRPr="00CA5480">
              <w:rPr>
                <w:rFonts w:ascii="Calibri" w:eastAsia="Times New Roman" w:hAnsi="Calibri" w:cs="Calibri"/>
                <w:color w:val="000000"/>
                <w:lang w:eastAsia="en-GB"/>
              </w:rPr>
              <w:t>PHQ</w:t>
            </w:r>
          </w:p>
        </w:tc>
        <w:tc>
          <w:tcPr>
            <w:tcW w:w="2533" w:type="dxa"/>
            <w:noWrap/>
            <w:hideMark/>
          </w:tcPr>
          <w:p w14:paraId="0338FB15" w14:textId="77777777" w:rsidR="004B6442" w:rsidRPr="00CA5480"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A5480">
              <w:rPr>
                <w:rFonts w:ascii="Calibri" w:eastAsia="Times New Roman" w:hAnsi="Calibri" w:cs="Calibri"/>
                <w:lang w:eastAsia="en-GB"/>
              </w:rPr>
              <w:t>Public Health Questionnaire</w:t>
            </w:r>
          </w:p>
        </w:tc>
      </w:tr>
      <w:tr w:rsidR="004B6442" w:rsidRPr="00CA5480" w14:paraId="45C8D1A4"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noWrap/>
            <w:hideMark/>
          </w:tcPr>
          <w:p w14:paraId="2A95C8A5" w14:textId="77777777" w:rsidR="004B6442" w:rsidRPr="00CA5480" w:rsidRDefault="004B6442" w:rsidP="00AC23E4">
            <w:pPr>
              <w:rPr>
                <w:rFonts w:ascii="Calibri" w:eastAsia="Times New Roman" w:hAnsi="Calibri" w:cs="Calibri"/>
                <w:color w:val="000000"/>
                <w:lang w:eastAsia="en-GB"/>
              </w:rPr>
            </w:pPr>
            <w:r w:rsidRPr="00CA5480">
              <w:rPr>
                <w:rFonts w:ascii="Calibri" w:eastAsia="Times New Roman" w:hAnsi="Calibri" w:cs="Calibri"/>
                <w:color w:val="000000"/>
                <w:lang w:eastAsia="en-GB"/>
              </w:rPr>
              <w:t>SD</w:t>
            </w:r>
          </w:p>
        </w:tc>
        <w:tc>
          <w:tcPr>
            <w:tcW w:w="2533" w:type="dxa"/>
            <w:noWrap/>
            <w:hideMark/>
          </w:tcPr>
          <w:p w14:paraId="4F3F2DB1" w14:textId="77777777" w:rsidR="004B6442" w:rsidRPr="00CA5480"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5480">
              <w:rPr>
                <w:rFonts w:ascii="Calibri" w:eastAsia="Times New Roman" w:hAnsi="Calibri" w:cs="Calibri"/>
                <w:lang w:eastAsia="en-GB"/>
              </w:rPr>
              <w:t>Standard deviation</w:t>
            </w:r>
          </w:p>
        </w:tc>
      </w:tr>
    </w:tbl>
    <w:p w14:paraId="441F6176" w14:textId="77777777" w:rsidR="004B6442" w:rsidRDefault="004B6442" w:rsidP="004B6442">
      <w:pPr>
        <w:rPr>
          <w:rFonts w:asciiTheme="majorHAnsi" w:eastAsiaTheme="majorEastAsia" w:hAnsiTheme="majorHAnsi" w:cstheme="majorBidi"/>
          <w:b/>
          <w:bCs/>
          <w:caps/>
          <w:color w:val="002060"/>
          <w:spacing w:val="4"/>
          <w:sz w:val="28"/>
          <w:szCs w:val="28"/>
        </w:rPr>
      </w:pPr>
      <w:r>
        <w:br w:type="page"/>
      </w:r>
    </w:p>
    <w:p w14:paraId="02EAC064" w14:textId="77777777" w:rsidR="004B6442" w:rsidRDefault="004B6442" w:rsidP="004B6442">
      <w:pPr>
        <w:pStyle w:val="Heading2"/>
        <w:numPr>
          <w:ilvl w:val="1"/>
          <w:numId w:val="35"/>
        </w:numPr>
      </w:pPr>
      <w:r>
        <w:t>Supplementary Table 3: cross-correlation statistics</w:t>
      </w:r>
    </w:p>
    <w:p w14:paraId="02E36B9D" w14:textId="77777777" w:rsidR="004B6442" w:rsidRPr="00D44B6D" w:rsidRDefault="004B6442" w:rsidP="004B6442"/>
    <w:tbl>
      <w:tblPr>
        <w:tblStyle w:val="PlainTable3"/>
        <w:tblW w:w="0" w:type="auto"/>
        <w:tblLook w:val="04A0" w:firstRow="1" w:lastRow="0" w:firstColumn="1" w:lastColumn="0" w:noHBand="0" w:noVBand="1"/>
      </w:tblPr>
      <w:tblGrid>
        <w:gridCol w:w="965"/>
        <w:gridCol w:w="1093"/>
        <w:gridCol w:w="1136"/>
        <w:gridCol w:w="1136"/>
        <w:gridCol w:w="1136"/>
        <w:gridCol w:w="1136"/>
        <w:gridCol w:w="764"/>
        <w:gridCol w:w="1136"/>
        <w:gridCol w:w="884"/>
        <w:gridCol w:w="720"/>
        <w:gridCol w:w="756"/>
        <w:gridCol w:w="720"/>
        <w:gridCol w:w="1136"/>
        <w:gridCol w:w="1240"/>
      </w:tblGrid>
      <w:tr w:rsidR="004B6442" w:rsidRPr="00F01B90" w14:paraId="67CD0C11" w14:textId="77777777" w:rsidTr="00AC23E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0" w:type="auto"/>
            <w:gridSpan w:val="2"/>
            <w:hideMark/>
          </w:tcPr>
          <w:p w14:paraId="69A40AC0"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 </w:t>
            </w:r>
          </w:p>
        </w:tc>
        <w:tc>
          <w:tcPr>
            <w:tcW w:w="0" w:type="auto"/>
            <w:hideMark/>
          </w:tcPr>
          <w:p w14:paraId="553D58BC"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rum</w:t>
            </w:r>
          </w:p>
        </w:tc>
        <w:tc>
          <w:tcPr>
            <w:tcW w:w="0" w:type="auto"/>
            <w:hideMark/>
          </w:tcPr>
          <w:p w14:paraId="2D821990"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mag</w:t>
            </w:r>
          </w:p>
        </w:tc>
        <w:tc>
          <w:tcPr>
            <w:tcW w:w="0" w:type="auto"/>
            <w:hideMark/>
          </w:tcPr>
          <w:p w14:paraId="731B670D"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help</w:t>
            </w:r>
          </w:p>
        </w:tc>
        <w:tc>
          <w:tcPr>
            <w:tcW w:w="0" w:type="auto"/>
            <w:hideMark/>
          </w:tcPr>
          <w:p w14:paraId="7D4D5155"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POMS</w:t>
            </w:r>
          </w:p>
        </w:tc>
        <w:tc>
          <w:tcPr>
            <w:tcW w:w="0" w:type="auto"/>
            <w:hideMark/>
          </w:tcPr>
          <w:p w14:paraId="1A363493"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Minor</w:t>
            </w:r>
          </w:p>
        </w:tc>
        <w:tc>
          <w:tcPr>
            <w:tcW w:w="0" w:type="auto"/>
            <w:hideMark/>
          </w:tcPr>
          <w:p w14:paraId="2C8BA746"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Medical</w:t>
            </w:r>
          </w:p>
        </w:tc>
        <w:tc>
          <w:tcPr>
            <w:tcW w:w="0" w:type="auto"/>
            <w:hideMark/>
          </w:tcPr>
          <w:p w14:paraId="049CE0EE"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Severe</w:t>
            </w:r>
          </w:p>
        </w:tc>
        <w:tc>
          <w:tcPr>
            <w:tcW w:w="0" w:type="auto"/>
            <w:hideMark/>
          </w:tcPr>
          <w:p w14:paraId="116DBC4B"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PHQ9</w:t>
            </w:r>
          </w:p>
        </w:tc>
        <w:tc>
          <w:tcPr>
            <w:tcW w:w="0" w:type="auto"/>
            <w:hideMark/>
          </w:tcPr>
          <w:p w14:paraId="39DD34B5"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PHQ15</w:t>
            </w:r>
          </w:p>
        </w:tc>
        <w:tc>
          <w:tcPr>
            <w:tcW w:w="0" w:type="auto"/>
            <w:hideMark/>
          </w:tcPr>
          <w:p w14:paraId="763BC4B7"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STAI trait</w:t>
            </w:r>
          </w:p>
        </w:tc>
        <w:tc>
          <w:tcPr>
            <w:tcW w:w="0" w:type="auto"/>
            <w:hideMark/>
          </w:tcPr>
          <w:p w14:paraId="6DF68CD3"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STAI state</w:t>
            </w:r>
          </w:p>
        </w:tc>
        <w:tc>
          <w:tcPr>
            <w:tcW w:w="0" w:type="auto"/>
            <w:hideMark/>
          </w:tcPr>
          <w:p w14:paraId="26856DAB" w14:textId="77777777" w:rsidR="004B6442" w:rsidRPr="00F01B90" w:rsidRDefault="004B6442" w:rsidP="00AC23E4">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Pain threshold</w:t>
            </w:r>
          </w:p>
        </w:tc>
      </w:tr>
      <w:tr w:rsidR="004B6442" w:rsidRPr="00F01B90" w14:paraId="5F5E249B"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054C4F0"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Total</w:t>
            </w:r>
          </w:p>
        </w:tc>
        <w:tc>
          <w:tcPr>
            <w:tcW w:w="0" w:type="auto"/>
            <w:hideMark/>
          </w:tcPr>
          <w:p w14:paraId="0F140016"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0D53F7C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.871</w:t>
            </w:r>
            <w:r w:rsidRPr="00F01B90">
              <w:rPr>
                <w:rFonts w:ascii="Arial" w:eastAsia="Times New Roman" w:hAnsi="Arial" w:cs="Arial"/>
                <w:color w:val="000000"/>
                <w:sz w:val="18"/>
                <w:szCs w:val="18"/>
                <w:vertAlign w:val="superscript"/>
                <w:lang w:eastAsia="en-GB"/>
              </w:rPr>
              <w:t>**</w:t>
            </w:r>
          </w:p>
        </w:tc>
        <w:tc>
          <w:tcPr>
            <w:tcW w:w="0" w:type="auto"/>
            <w:noWrap/>
            <w:hideMark/>
          </w:tcPr>
          <w:p w14:paraId="69545D9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.829</w:t>
            </w:r>
            <w:r w:rsidRPr="00F01B90">
              <w:rPr>
                <w:rFonts w:ascii="Arial" w:eastAsia="Times New Roman" w:hAnsi="Arial" w:cs="Arial"/>
                <w:color w:val="000000"/>
                <w:sz w:val="18"/>
                <w:szCs w:val="18"/>
                <w:vertAlign w:val="superscript"/>
                <w:lang w:eastAsia="en-GB"/>
              </w:rPr>
              <w:t>**</w:t>
            </w:r>
          </w:p>
        </w:tc>
        <w:tc>
          <w:tcPr>
            <w:tcW w:w="0" w:type="auto"/>
            <w:noWrap/>
            <w:hideMark/>
          </w:tcPr>
          <w:p w14:paraId="64971F5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.850</w:t>
            </w:r>
            <w:r w:rsidRPr="00F01B90">
              <w:rPr>
                <w:rFonts w:ascii="Arial" w:eastAsia="Times New Roman" w:hAnsi="Arial" w:cs="Arial"/>
                <w:color w:val="000000"/>
                <w:sz w:val="18"/>
                <w:szCs w:val="18"/>
                <w:vertAlign w:val="superscript"/>
                <w:lang w:eastAsia="en-GB"/>
              </w:rPr>
              <w:t>**</w:t>
            </w:r>
          </w:p>
        </w:tc>
        <w:tc>
          <w:tcPr>
            <w:tcW w:w="0" w:type="auto"/>
            <w:noWrap/>
            <w:hideMark/>
          </w:tcPr>
          <w:p w14:paraId="149AB41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0.518</w:t>
            </w:r>
          </w:p>
        </w:tc>
        <w:tc>
          <w:tcPr>
            <w:tcW w:w="0" w:type="auto"/>
            <w:noWrap/>
            <w:hideMark/>
          </w:tcPr>
          <w:p w14:paraId="0DFA80A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0.103</w:t>
            </w:r>
          </w:p>
        </w:tc>
        <w:tc>
          <w:tcPr>
            <w:tcW w:w="0" w:type="auto"/>
            <w:noWrap/>
            <w:hideMark/>
          </w:tcPr>
          <w:p w14:paraId="5E26ABB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0.284</w:t>
            </w:r>
          </w:p>
        </w:tc>
        <w:tc>
          <w:tcPr>
            <w:tcW w:w="0" w:type="auto"/>
            <w:noWrap/>
            <w:hideMark/>
          </w:tcPr>
          <w:p w14:paraId="0C972B0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0.016</w:t>
            </w:r>
          </w:p>
        </w:tc>
        <w:tc>
          <w:tcPr>
            <w:tcW w:w="0" w:type="auto"/>
            <w:noWrap/>
            <w:hideMark/>
          </w:tcPr>
          <w:p w14:paraId="1E5B972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0.087</w:t>
            </w:r>
          </w:p>
        </w:tc>
        <w:tc>
          <w:tcPr>
            <w:tcW w:w="0" w:type="auto"/>
            <w:noWrap/>
            <w:hideMark/>
          </w:tcPr>
          <w:p w14:paraId="3AC339B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-0.039</w:t>
            </w:r>
          </w:p>
        </w:tc>
        <w:tc>
          <w:tcPr>
            <w:tcW w:w="0" w:type="auto"/>
            <w:noWrap/>
            <w:hideMark/>
          </w:tcPr>
          <w:p w14:paraId="6E8A0D4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0.277</w:t>
            </w:r>
          </w:p>
        </w:tc>
        <w:tc>
          <w:tcPr>
            <w:tcW w:w="0" w:type="auto"/>
            <w:noWrap/>
            <w:hideMark/>
          </w:tcPr>
          <w:p w14:paraId="412D2B6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0.408</w:t>
            </w:r>
          </w:p>
        </w:tc>
        <w:tc>
          <w:tcPr>
            <w:tcW w:w="0" w:type="auto"/>
            <w:noWrap/>
            <w:hideMark/>
          </w:tcPr>
          <w:p w14:paraId="7CE7B02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-0.106</w:t>
            </w:r>
          </w:p>
        </w:tc>
      </w:tr>
      <w:tr w:rsidR="004B6442" w:rsidRPr="00F01B90" w14:paraId="5593C4E2"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39AF3722"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11E2F19D"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4A5BDAD8" w14:textId="58BBCFF5"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40E75CE5" w14:textId="3825D53A"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06E3A186" w14:textId="1E71E924"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65B84D7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0.002</w:t>
            </w:r>
          </w:p>
        </w:tc>
        <w:tc>
          <w:tcPr>
            <w:tcW w:w="0" w:type="auto"/>
            <w:noWrap/>
            <w:hideMark/>
          </w:tcPr>
          <w:p w14:paraId="6A80F2D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0.570</w:t>
            </w:r>
          </w:p>
        </w:tc>
        <w:tc>
          <w:tcPr>
            <w:tcW w:w="0" w:type="auto"/>
            <w:noWrap/>
            <w:hideMark/>
          </w:tcPr>
          <w:p w14:paraId="6FF14B2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0.109</w:t>
            </w:r>
          </w:p>
        </w:tc>
        <w:tc>
          <w:tcPr>
            <w:tcW w:w="0" w:type="auto"/>
            <w:noWrap/>
            <w:hideMark/>
          </w:tcPr>
          <w:p w14:paraId="16DC9BE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0.930</w:t>
            </w:r>
          </w:p>
        </w:tc>
        <w:tc>
          <w:tcPr>
            <w:tcW w:w="0" w:type="auto"/>
            <w:noWrap/>
            <w:hideMark/>
          </w:tcPr>
          <w:p w14:paraId="28553E6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0.624</w:t>
            </w:r>
          </w:p>
        </w:tc>
        <w:tc>
          <w:tcPr>
            <w:tcW w:w="0" w:type="auto"/>
            <w:noWrap/>
            <w:hideMark/>
          </w:tcPr>
          <w:p w14:paraId="69473D8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0.829</w:t>
            </w:r>
          </w:p>
        </w:tc>
        <w:tc>
          <w:tcPr>
            <w:tcW w:w="0" w:type="auto"/>
            <w:noWrap/>
            <w:hideMark/>
          </w:tcPr>
          <w:p w14:paraId="6D10042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0.119</w:t>
            </w:r>
          </w:p>
        </w:tc>
        <w:tc>
          <w:tcPr>
            <w:tcW w:w="0" w:type="auto"/>
            <w:noWrap/>
            <w:hideMark/>
          </w:tcPr>
          <w:p w14:paraId="1A7D7C5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0.018</w:t>
            </w:r>
          </w:p>
        </w:tc>
        <w:tc>
          <w:tcPr>
            <w:tcW w:w="0" w:type="auto"/>
            <w:noWrap/>
            <w:hideMark/>
          </w:tcPr>
          <w:p w14:paraId="5B187D8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0.552</w:t>
            </w:r>
          </w:p>
        </w:tc>
      </w:tr>
      <w:tr w:rsidR="004B6442" w:rsidRPr="00F01B90" w14:paraId="5B40BD71"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20F4F815"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70DDF945"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0EB0BC63" w14:textId="1309C01B"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2D37E03B" w14:textId="781B7DDC"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53A20F19" w14:textId="51B847A6"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0B2A1FD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0.153</w:t>
            </w:r>
          </w:p>
        </w:tc>
        <w:tc>
          <w:tcPr>
            <w:tcW w:w="0" w:type="auto"/>
            <w:noWrap/>
            <w:hideMark/>
          </w:tcPr>
          <w:p w14:paraId="6A14CC0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51.886</w:t>
            </w:r>
          </w:p>
        </w:tc>
        <w:tc>
          <w:tcPr>
            <w:tcW w:w="0" w:type="auto"/>
            <w:noWrap/>
            <w:hideMark/>
          </w:tcPr>
          <w:p w14:paraId="3AE32C1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9.957</w:t>
            </w:r>
          </w:p>
        </w:tc>
        <w:tc>
          <w:tcPr>
            <w:tcW w:w="0" w:type="auto"/>
            <w:noWrap/>
            <w:hideMark/>
          </w:tcPr>
          <w:p w14:paraId="381F2D2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84.659</w:t>
            </w:r>
          </w:p>
        </w:tc>
        <w:tc>
          <w:tcPr>
            <w:tcW w:w="0" w:type="auto"/>
            <w:noWrap/>
            <w:hideMark/>
          </w:tcPr>
          <w:p w14:paraId="1F13C68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56.764</w:t>
            </w:r>
          </w:p>
        </w:tc>
        <w:tc>
          <w:tcPr>
            <w:tcW w:w="0" w:type="auto"/>
            <w:noWrap/>
            <w:hideMark/>
          </w:tcPr>
          <w:p w14:paraId="54B3D39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75.477</w:t>
            </w:r>
          </w:p>
        </w:tc>
        <w:tc>
          <w:tcPr>
            <w:tcW w:w="0" w:type="auto"/>
            <w:noWrap/>
            <w:hideMark/>
          </w:tcPr>
          <w:p w14:paraId="11C99B6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10.818</w:t>
            </w:r>
          </w:p>
        </w:tc>
        <w:tc>
          <w:tcPr>
            <w:tcW w:w="0" w:type="auto"/>
            <w:noWrap/>
            <w:hideMark/>
          </w:tcPr>
          <w:p w14:paraId="7E5AA94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1.665</w:t>
            </w:r>
          </w:p>
        </w:tc>
        <w:tc>
          <w:tcPr>
            <w:tcW w:w="0" w:type="auto"/>
            <w:noWrap/>
            <w:hideMark/>
          </w:tcPr>
          <w:p w14:paraId="771E2A1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50.247</w:t>
            </w:r>
          </w:p>
        </w:tc>
      </w:tr>
      <w:tr w:rsidR="004B6442" w:rsidRPr="00F01B90" w14:paraId="30BDF11B"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DB08E36"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rum</w:t>
            </w:r>
          </w:p>
        </w:tc>
        <w:tc>
          <w:tcPr>
            <w:tcW w:w="0" w:type="auto"/>
            <w:hideMark/>
          </w:tcPr>
          <w:p w14:paraId="594C989D"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6A87A78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13401B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.784</w:t>
            </w:r>
            <w:r w:rsidRPr="00F01B90">
              <w:rPr>
                <w:rFonts w:ascii="Arial" w:eastAsia="Times New Roman" w:hAnsi="Arial" w:cs="Arial"/>
                <w:color w:val="000000"/>
                <w:sz w:val="18"/>
                <w:szCs w:val="18"/>
                <w:vertAlign w:val="superscript"/>
                <w:lang w:eastAsia="en-GB"/>
              </w:rPr>
              <w:t>**</w:t>
            </w:r>
          </w:p>
        </w:tc>
        <w:tc>
          <w:tcPr>
            <w:tcW w:w="0" w:type="auto"/>
            <w:noWrap/>
            <w:hideMark/>
          </w:tcPr>
          <w:p w14:paraId="73320751"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.836</w:t>
            </w:r>
            <w:r w:rsidRPr="00F01B90">
              <w:rPr>
                <w:rFonts w:ascii="Arial" w:eastAsia="Times New Roman" w:hAnsi="Arial" w:cs="Arial"/>
                <w:color w:val="000000"/>
                <w:sz w:val="18"/>
                <w:szCs w:val="18"/>
                <w:vertAlign w:val="superscript"/>
                <w:lang w:eastAsia="en-GB"/>
              </w:rPr>
              <w:t>**</w:t>
            </w:r>
          </w:p>
        </w:tc>
        <w:tc>
          <w:tcPr>
            <w:tcW w:w="0" w:type="auto"/>
            <w:noWrap/>
            <w:hideMark/>
          </w:tcPr>
          <w:p w14:paraId="614F9FC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0.551</w:t>
            </w:r>
          </w:p>
        </w:tc>
        <w:tc>
          <w:tcPr>
            <w:tcW w:w="0" w:type="auto"/>
            <w:noWrap/>
            <w:hideMark/>
          </w:tcPr>
          <w:p w14:paraId="46B201D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0.208</w:t>
            </w:r>
          </w:p>
        </w:tc>
        <w:tc>
          <w:tcPr>
            <w:tcW w:w="0" w:type="auto"/>
            <w:noWrap/>
            <w:hideMark/>
          </w:tcPr>
          <w:p w14:paraId="35FD7FC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0.451</w:t>
            </w:r>
          </w:p>
        </w:tc>
        <w:tc>
          <w:tcPr>
            <w:tcW w:w="0" w:type="auto"/>
            <w:noWrap/>
            <w:hideMark/>
          </w:tcPr>
          <w:p w14:paraId="591CCE7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0.269</w:t>
            </w:r>
          </w:p>
        </w:tc>
        <w:tc>
          <w:tcPr>
            <w:tcW w:w="0" w:type="auto"/>
            <w:noWrap/>
            <w:hideMark/>
          </w:tcPr>
          <w:p w14:paraId="412A644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0.096</w:t>
            </w:r>
          </w:p>
        </w:tc>
        <w:tc>
          <w:tcPr>
            <w:tcW w:w="0" w:type="auto"/>
            <w:noWrap/>
            <w:hideMark/>
          </w:tcPr>
          <w:p w14:paraId="1255F3F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-0.105</w:t>
            </w:r>
          </w:p>
        </w:tc>
        <w:tc>
          <w:tcPr>
            <w:tcW w:w="0" w:type="auto"/>
            <w:noWrap/>
            <w:hideMark/>
          </w:tcPr>
          <w:p w14:paraId="067C8A4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0.411</w:t>
            </w:r>
          </w:p>
        </w:tc>
        <w:tc>
          <w:tcPr>
            <w:tcW w:w="0" w:type="auto"/>
            <w:noWrap/>
            <w:hideMark/>
          </w:tcPr>
          <w:p w14:paraId="72D230F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0.531</w:t>
            </w:r>
          </w:p>
        </w:tc>
        <w:tc>
          <w:tcPr>
            <w:tcW w:w="0" w:type="auto"/>
            <w:noWrap/>
            <w:hideMark/>
          </w:tcPr>
          <w:p w14:paraId="04AE60A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-0.256</w:t>
            </w:r>
          </w:p>
        </w:tc>
      </w:tr>
      <w:tr w:rsidR="004B6442" w:rsidRPr="00F01B90" w14:paraId="244591F3"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01D772E0"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15EBB97"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6A4F5CE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1AB3075" w14:textId="25A18658"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1F6EB0A1" w14:textId="40ABAC0B"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747AC5D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0.001</w:t>
            </w:r>
          </w:p>
        </w:tc>
        <w:tc>
          <w:tcPr>
            <w:tcW w:w="0" w:type="auto"/>
            <w:noWrap/>
            <w:hideMark/>
          </w:tcPr>
          <w:p w14:paraId="2504A02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0.246</w:t>
            </w:r>
          </w:p>
        </w:tc>
        <w:tc>
          <w:tcPr>
            <w:tcW w:w="0" w:type="auto"/>
            <w:noWrap/>
            <w:hideMark/>
          </w:tcPr>
          <w:p w14:paraId="3D81948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0.008</w:t>
            </w:r>
          </w:p>
        </w:tc>
        <w:tc>
          <w:tcPr>
            <w:tcW w:w="0" w:type="auto"/>
            <w:noWrap/>
            <w:hideMark/>
          </w:tcPr>
          <w:p w14:paraId="2F2B98A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0.130</w:t>
            </w:r>
          </w:p>
        </w:tc>
        <w:tc>
          <w:tcPr>
            <w:tcW w:w="0" w:type="auto"/>
            <w:noWrap/>
            <w:hideMark/>
          </w:tcPr>
          <w:p w14:paraId="368CB69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0.589</w:t>
            </w:r>
          </w:p>
        </w:tc>
        <w:tc>
          <w:tcPr>
            <w:tcW w:w="0" w:type="auto"/>
            <w:noWrap/>
            <w:hideMark/>
          </w:tcPr>
          <w:p w14:paraId="4F46340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0.559</w:t>
            </w:r>
          </w:p>
        </w:tc>
        <w:tc>
          <w:tcPr>
            <w:tcW w:w="0" w:type="auto"/>
            <w:noWrap/>
            <w:hideMark/>
          </w:tcPr>
          <w:p w14:paraId="53468A3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0.018</w:t>
            </w:r>
          </w:p>
        </w:tc>
        <w:tc>
          <w:tcPr>
            <w:tcW w:w="0" w:type="auto"/>
            <w:noWrap/>
            <w:hideMark/>
          </w:tcPr>
          <w:p w14:paraId="543251F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0.001</w:t>
            </w:r>
          </w:p>
        </w:tc>
        <w:tc>
          <w:tcPr>
            <w:tcW w:w="0" w:type="auto"/>
            <w:noWrap/>
            <w:hideMark/>
          </w:tcPr>
          <w:p w14:paraId="297FBB6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0.143</w:t>
            </w:r>
          </w:p>
        </w:tc>
      </w:tr>
      <w:tr w:rsidR="004B6442" w:rsidRPr="00F01B90" w14:paraId="028CF1BB"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BFCD2D9"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D3191D1"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01B3E79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C8CF44" w14:textId="14F4062E"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4BC4591E" w14:textId="709DC090"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469BB69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0.067</w:t>
            </w:r>
          </w:p>
        </w:tc>
        <w:tc>
          <w:tcPr>
            <w:tcW w:w="0" w:type="auto"/>
            <w:noWrap/>
            <w:hideMark/>
          </w:tcPr>
          <w:p w14:paraId="5EB82E1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22.428</w:t>
            </w:r>
          </w:p>
        </w:tc>
        <w:tc>
          <w:tcPr>
            <w:tcW w:w="0" w:type="auto"/>
            <w:noWrap/>
            <w:hideMark/>
          </w:tcPr>
          <w:p w14:paraId="5ACC4E5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0.767</w:t>
            </w:r>
          </w:p>
        </w:tc>
        <w:tc>
          <w:tcPr>
            <w:tcW w:w="0" w:type="auto"/>
            <w:noWrap/>
            <w:hideMark/>
          </w:tcPr>
          <w:p w14:paraId="6AE7403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11.868</w:t>
            </w:r>
          </w:p>
        </w:tc>
        <w:tc>
          <w:tcPr>
            <w:tcW w:w="0" w:type="auto"/>
            <w:noWrap/>
            <w:hideMark/>
          </w:tcPr>
          <w:p w14:paraId="4497768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53.593</w:t>
            </w:r>
          </w:p>
        </w:tc>
        <w:tc>
          <w:tcPr>
            <w:tcW w:w="0" w:type="auto"/>
            <w:noWrap/>
            <w:hideMark/>
          </w:tcPr>
          <w:p w14:paraId="01AB700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50.912</w:t>
            </w:r>
          </w:p>
        </w:tc>
        <w:tc>
          <w:tcPr>
            <w:tcW w:w="0" w:type="auto"/>
            <w:noWrap/>
            <w:hideMark/>
          </w:tcPr>
          <w:p w14:paraId="28F501C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1.602</w:t>
            </w:r>
          </w:p>
        </w:tc>
        <w:tc>
          <w:tcPr>
            <w:tcW w:w="0" w:type="auto"/>
            <w:noWrap/>
            <w:hideMark/>
          </w:tcPr>
          <w:p w14:paraId="5A52DFB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0.135</w:t>
            </w:r>
          </w:p>
        </w:tc>
        <w:tc>
          <w:tcPr>
            <w:tcW w:w="0" w:type="auto"/>
            <w:noWrap/>
            <w:hideMark/>
          </w:tcPr>
          <w:p w14:paraId="385DD3A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13.053</w:t>
            </w:r>
          </w:p>
        </w:tc>
      </w:tr>
      <w:tr w:rsidR="004B6442" w:rsidRPr="00F01B90" w14:paraId="18E4F55F"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4223A6B"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mag</w:t>
            </w:r>
          </w:p>
        </w:tc>
        <w:tc>
          <w:tcPr>
            <w:tcW w:w="0" w:type="auto"/>
            <w:hideMark/>
          </w:tcPr>
          <w:p w14:paraId="60281082"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7C0E42E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A28DB6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C74D4B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.825</w:t>
            </w:r>
            <w:r w:rsidRPr="00F01B90">
              <w:rPr>
                <w:rFonts w:ascii="Arial" w:eastAsia="Times New Roman" w:hAnsi="Arial" w:cs="Arial"/>
                <w:color w:val="000000"/>
                <w:sz w:val="18"/>
                <w:szCs w:val="18"/>
                <w:vertAlign w:val="superscript"/>
                <w:lang w:eastAsia="en-GB"/>
              </w:rPr>
              <w:t>**</w:t>
            </w:r>
          </w:p>
        </w:tc>
        <w:tc>
          <w:tcPr>
            <w:tcW w:w="0" w:type="auto"/>
            <w:noWrap/>
            <w:hideMark/>
          </w:tcPr>
          <w:p w14:paraId="4910EDA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.607</w:t>
            </w:r>
            <w:r w:rsidRPr="00F01B90">
              <w:rPr>
                <w:rFonts w:ascii="Arial" w:eastAsia="Times New Roman" w:hAnsi="Arial" w:cs="Arial"/>
                <w:color w:val="000000"/>
                <w:sz w:val="18"/>
                <w:szCs w:val="18"/>
                <w:vertAlign w:val="superscript"/>
                <w:lang w:eastAsia="en-GB"/>
              </w:rPr>
              <w:t>*</w:t>
            </w:r>
          </w:p>
        </w:tc>
        <w:tc>
          <w:tcPr>
            <w:tcW w:w="0" w:type="auto"/>
            <w:noWrap/>
            <w:hideMark/>
          </w:tcPr>
          <w:p w14:paraId="29793D7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0.082</w:t>
            </w:r>
          </w:p>
        </w:tc>
        <w:tc>
          <w:tcPr>
            <w:tcW w:w="0" w:type="auto"/>
            <w:noWrap/>
            <w:hideMark/>
          </w:tcPr>
          <w:p w14:paraId="2B36C68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0.269</w:t>
            </w:r>
          </w:p>
        </w:tc>
        <w:tc>
          <w:tcPr>
            <w:tcW w:w="0" w:type="auto"/>
            <w:noWrap/>
            <w:hideMark/>
          </w:tcPr>
          <w:p w14:paraId="6F6A346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0.135</w:t>
            </w:r>
          </w:p>
        </w:tc>
        <w:tc>
          <w:tcPr>
            <w:tcW w:w="0" w:type="auto"/>
            <w:noWrap/>
            <w:hideMark/>
          </w:tcPr>
          <w:p w14:paraId="58684E3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0.117</w:t>
            </w:r>
          </w:p>
        </w:tc>
        <w:tc>
          <w:tcPr>
            <w:tcW w:w="0" w:type="auto"/>
            <w:noWrap/>
            <w:hideMark/>
          </w:tcPr>
          <w:p w14:paraId="348CAFC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0.080</w:t>
            </w:r>
          </w:p>
        </w:tc>
        <w:tc>
          <w:tcPr>
            <w:tcW w:w="0" w:type="auto"/>
            <w:noWrap/>
            <w:hideMark/>
          </w:tcPr>
          <w:p w14:paraId="14412AE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0.340</w:t>
            </w:r>
          </w:p>
        </w:tc>
        <w:tc>
          <w:tcPr>
            <w:tcW w:w="0" w:type="auto"/>
            <w:noWrap/>
            <w:hideMark/>
          </w:tcPr>
          <w:p w14:paraId="2318D60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0.45</w:t>
            </w:r>
          </w:p>
        </w:tc>
        <w:tc>
          <w:tcPr>
            <w:tcW w:w="0" w:type="auto"/>
            <w:noWrap/>
            <w:hideMark/>
          </w:tcPr>
          <w:p w14:paraId="0AD7EE7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-0.185</w:t>
            </w:r>
          </w:p>
        </w:tc>
      </w:tr>
      <w:tr w:rsidR="004B6442" w:rsidRPr="00F01B90" w14:paraId="380F69AF"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22A60DB0"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5767DA0D"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4624F8A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363963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E860E92" w14:textId="6EF15ACE"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27E9F465" w14:textId="3C3592D6"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55519C2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0.650</w:t>
            </w:r>
          </w:p>
        </w:tc>
        <w:tc>
          <w:tcPr>
            <w:tcW w:w="0" w:type="auto"/>
            <w:noWrap/>
            <w:hideMark/>
          </w:tcPr>
          <w:p w14:paraId="36E19A9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0.130</w:t>
            </w:r>
          </w:p>
        </w:tc>
        <w:tc>
          <w:tcPr>
            <w:tcW w:w="0" w:type="auto"/>
            <w:noWrap/>
            <w:hideMark/>
          </w:tcPr>
          <w:p w14:paraId="07F4020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0.454</w:t>
            </w:r>
          </w:p>
        </w:tc>
        <w:tc>
          <w:tcPr>
            <w:tcW w:w="0" w:type="auto"/>
            <w:noWrap/>
            <w:hideMark/>
          </w:tcPr>
          <w:p w14:paraId="36FD727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0.511</w:t>
            </w:r>
          </w:p>
        </w:tc>
        <w:tc>
          <w:tcPr>
            <w:tcW w:w="0" w:type="auto"/>
            <w:noWrap/>
            <w:hideMark/>
          </w:tcPr>
          <w:p w14:paraId="341E4A5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0.660</w:t>
            </w:r>
          </w:p>
        </w:tc>
        <w:tc>
          <w:tcPr>
            <w:tcW w:w="0" w:type="auto"/>
            <w:noWrap/>
            <w:hideMark/>
          </w:tcPr>
          <w:p w14:paraId="09164A5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0.053</w:t>
            </w:r>
          </w:p>
        </w:tc>
        <w:tc>
          <w:tcPr>
            <w:tcW w:w="0" w:type="auto"/>
            <w:noWrap/>
            <w:hideMark/>
          </w:tcPr>
          <w:p w14:paraId="372EAC9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0.009</w:t>
            </w:r>
          </w:p>
        </w:tc>
        <w:tc>
          <w:tcPr>
            <w:tcW w:w="0" w:type="auto"/>
            <w:noWrap/>
            <w:hideMark/>
          </w:tcPr>
          <w:p w14:paraId="149F230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0.295</w:t>
            </w:r>
          </w:p>
        </w:tc>
      </w:tr>
      <w:tr w:rsidR="004B6442" w:rsidRPr="00F01B90" w14:paraId="76482709"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42562382"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7D9D1042"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0D85B29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D21BD3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2660B07" w14:textId="6E4EFB46"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4FC1F00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0.013</w:t>
            </w:r>
          </w:p>
        </w:tc>
        <w:tc>
          <w:tcPr>
            <w:tcW w:w="0" w:type="auto"/>
            <w:noWrap/>
            <w:hideMark/>
          </w:tcPr>
          <w:p w14:paraId="5E21DFF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59.157</w:t>
            </w:r>
          </w:p>
        </w:tc>
        <w:tc>
          <w:tcPr>
            <w:tcW w:w="0" w:type="auto"/>
            <w:noWrap/>
            <w:hideMark/>
          </w:tcPr>
          <w:p w14:paraId="549A9D2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11.796</w:t>
            </w:r>
          </w:p>
        </w:tc>
        <w:tc>
          <w:tcPr>
            <w:tcW w:w="0" w:type="auto"/>
            <w:noWrap/>
            <w:hideMark/>
          </w:tcPr>
          <w:p w14:paraId="4A8C2D3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41.321</w:t>
            </w:r>
          </w:p>
        </w:tc>
        <w:tc>
          <w:tcPr>
            <w:tcW w:w="0" w:type="auto"/>
            <w:noWrap/>
            <w:hideMark/>
          </w:tcPr>
          <w:p w14:paraId="7EAEC84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46.501</w:t>
            </w:r>
          </w:p>
        </w:tc>
        <w:tc>
          <w:tcPr>
            <w:tcW w:w="0" w:type="auto"/>
            <w:noWrap/>
            <w:hideMark/>
          </w:tcPr>
          <w:p w14:paraId="12473CD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60.037</w:t>
            </w:r>
          </w:p>
        </w:tc>
        <w:tc>
          <w:tcPr>
            <w:tcW w:w="0" w:type="auto"/>
            <w:noWrap/>
            <w:hideMark/>
          </w:tcPr>
          <w:p w14:paraId="51F4E7B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4.820</w:t>
            </w:r>
          </w:p>
        </w:tc>
        <w:tc>
          <w:tcPr>
            <w:tcW w:w="0" w:type="auto"/>
            <w:noWrap/>
            <w:hideMark/>
          </w:tcPr>
          <w:p w14:paraId="3B6AC78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0.782</w:t>
            </w:r>
          </w:p>
        </w:tc>
        <w:tc>
          <w:tcPr>
            <w:tcW w:w="0" w:type="auto"/>
            <w:noWrap/>
            <w:hideMark/>
          </w:tcPr>
          <w:p w14:paraId="0A76452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26.821</w:t>
            </w:r>
          </w:p>
        </w:tc>
      </w:tr>
      <w:tr w:rsidR="004B6442" w:rsidRPr="00F01B90" w14:paraId="52043262"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90E68C0"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PCS help</w:t>
            </w:r>
          </w:p>
        </w:tc>
        <w:tc>
          <w:tcPr>
            <w:tcW w:w="0" w:type="auto"/>
            <w:hideMark/>
          </w:tcPr>
          <w:p w14:paraId="48D5578E"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3B8CB93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0A9D8D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EF02E2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F27990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.599</w:t>
            </w:r>
            <w:r w:rsidRPr="00F01B90">
              <w:rPr>
                <w:rFonts w:ascii="Arial" w:eastAsia="Times New Roman" w:hAnsi="Arial" w:cs="Arial"/>
                <w:color w:val="000000"/>
                <w:sz w:val="18"/>
                <w:szCs w:val="18"/>
                <w:vertAlign w:val="superscript"/>
                <w:lang w:eastAsia="en-GB"/>
              </w:rPr>
              <w:t>*</w:t>
            </w:r>
          </w:p>
        </w:tc>
        <w:tc>
          <w:tcPr>
            <w:tcW w:w="0" w:type="auto"/>
            <w:noWrap/>
            <w:hideMark/>
          </w:tcPr>
          <w:p w14:paraId="3D25D1D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0.237</w:t>
            </w:r>
          </w:p>
        </w:tc>
        <w:tc>
          <w:tcPr>
            <w:tcW w:w="0" w:type="auto"/>
            <w:noWrap/>
            <w:hideMark/>
          </w:tcPr>
          <w:p w14:paraId="6EEF34E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0.323</w:t>
            </w:r>
          </w:p>
        </w:tc>
        <w:tc>
          <w:tcPr>
            <w:tcW w:w="0" w:type="auto"/>
            <w:noWrap/>
            <w:hideMark/>
          </w:tcPr>
          <w:p w14:paraId="69CEB83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0.132</w:t>
            </w:r>
          </w:p>
        </w:tc>
        <w:tc>
          <w:tcPr>
            <w:tcW w:w="0" w:type="auto"/>
            <w:noWrap/>
            <w:hideMark/>
          </w:tcPr>
          <w:p w14:paraId="3A7F39C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0.117</w:t>
            </w:r>
          </w:p>
        </w:tc>
        <w:tc>
          <w:tcPr>
            <w:tcW w:w="0" w:type="auto"/>
            <w:noWrap/>
            <w:hideMark/>
          </w:tcPr>
          <w:p w14:paraId="3DD9636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0.001</w:t>
            </w:r>
          </w:p>
        </w:tc>
        <w:tc>
          <w:tcPr>
            <w:tcW w:w="0" w:type="auto"/>
            <w:noWrap/>
            <w:hideMark/>
          </w:tcPr>
          <w:p w14:paraId="57C7893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0.366</w:t>
            </w:r>
          </w:p>
        </w:tc>
        <w:tc>
          <w:tcPr>
            <w:tcW w:w="0" w:type="auto"/>
            <w:noWrap/>
            <w:hideMark/>
          </w:tcPr>
          <w:p w14:paraId="1CE8B7B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0.565</w:t>
            </w:r>
          </w:p>
        </w:tc>
        <w:tc>
          <w:tcPr>
            <w:tcW w:w="0" w:type="auto"/>
            <w:noWrap/>
            <w:hideMark/>
          </w:tcPr>
          <w:p w14:paraId="26DB9C3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-0.241</w:t>
            </w:r>
          </w:p>
        </w:tc>
      </w:tr>
      <w:tr w:rsidR="004B6442" w:rsidRPr="00F01B90" w14:paraId="0BE2F9E3"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060DBBFC"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57F178FA"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65BB052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2C0BBE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6F62D0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29DBF3" w14:textId="670A9CF8"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79E7EFE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0.183</w:t>
            </w:r>
          </w:p>
        </w:tc>
        <w:tc>
          <w:tcPr>
            <w:tcW w:w="0" w:type="auto"/>
            <w:noWrap/>
            <w:hideMark/>
          </w:tcPr>
          <w:p w14:paraId="51EAC5F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0.067</w:t>
            </w:r>
          </w:p>
        </w:tc>
        <w:tc>
          <w:tcPr>
            <w:tcW w:w="0" w:type="auto"/>
            <w:noWrap/>
            <w:hideMark/>
          </w:tcPr>
          <w:p w14:paraId="36BA2B6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0.464</w:t>
            </w:r>
          </w:p>
        </w:tc>
        <w:tc>
          <w:tcPr>
            <w:tcW w:w="0" w:type="auto"/>
            <w:noWrap/>
            <w:hideMark/>
          </w:tcPr>
          <w:p w14:paraId="1F1F62D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0.508</w:t>
            </w:r>
          </w:p>
        </w:tc>
        <w:tc>
          <w:tcPr>
            <w:tcW w:w="0" w:type="auto"/>
            <w:noWrap/>
            <w:hideMark/>
          </w:tcPr>
          <w:p w14:paraId="121E83F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0.995</w:t>
            </w:r>
          </w:p>
        </w:tc>
        <w:tc>
          <w:tcPr>
            <w:tcW w:w="0" w:type="auto"/>
            <w:noWrap/>
            <w:hideMark/>
          </w:tcPr>
          <w:p w14:paraId="37B9F36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0.036</w:t>
            </w:r>
          </w:p>
        </w:tc>
        <w:tc>
          <w:tcPr>
            <w:tcW w:w="0" w:type="auto"/>
            <w:noWrap/>
            <w:hideMark/>
          </w:tcPr>
          <w:p w14:paraId="73BC5BC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0.001</w:t>
            </w:r>
          </w:p>
        </w:tc>
        <w:tc>
          <w:tcPr>
            <w:tcW w:w="0" w:type="auto"/>
            <w:noWrap/>
            <w:hideMark/>
          </w:tcPr>
          <w:p w14:paraId="1C19266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0.170</w:t>
            </w:r>
          </w:p>
        </w:tc>
      </w:tr>
      <w:tr w:rsidR="004B6442" w:rsidRPr="00F01B90" w14:paraId="00850027"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D994359"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1BB9648F"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3253706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60C10E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7F281C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D69B12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0.017</w:t>
            </w:r>
          </w:p>
        </w:tc>
        <w:tc>
          <w:tcPr>
            <w:tcW w:w="0" w:type="auto"/>
            <w:noWrap/>
            <w:hideMark/>
          </w:tcPr>
          <w:p w14:paraId="2ABDA9F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16.683</w:t>
            </w:r>
          </w:p>
        </w:tc>
        <w:tc>
          <w:tcPr>
            <w:tcW w:w="0" w:type="auto"/>
            <w:noWrap/>
            <w:hideMark/>
          </w:tcPr>
          <w:p w14:paraId="492E342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6.112</w:t>
            </w:r>
          </w:p>
        </w:tc>
        <w:tc>
          <w:tcPr>
            <w:tcW w:w="0" w:type="auto"/>
            <w:noWrap/>
            <w:hideMark/>
          </w:tcPr>
          <w:p w14:paraId="0C94C58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42.225</w:t>
            </w:r>
          </w:p>
        </w:tc>
        <w:tc>
          <w:tcPr>
            <w:tcW w:w="0" w:type="auto"/>
            <w:noWrap/>
            <w:hideMark/>
          </w:tcPr>
          <w:p w14:paraId="426B308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46.241</w:t>
            </w:r>
          </w:p>
        </w:tc>
        <w:tc>
          <w:tcPr>
            <w:tcW w:w="0" w:type="auto"/>
            <w:noWrap/>
            <w:hideMark/>
          </w:tcPr>
          <w:p w14:paraId="2530718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90.522</w:t>
            </w:r>
          </w:p>
        </w:tc>
        <w:tc>
          <w:tcPr>
            <w:tcW w:w="0" w:type="auto"/>
            <w:noWrap/>
            <w:hideMark/>
          </w:tcPr>
          <w:p w14:paraId="4E7FDF0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3.302</w:t>
            </w:r>
          </w:p>
        </w:tc>
        <w:tc>
          <w:tcPr>
            <w:tcW w:w="0" w:type="auto"/>
            <w:noWrap/>
            <w:hideMark/>
          </w:tcPr>
          <w:p w14:paraId="1A9CA02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0.055</w:t>
            </w:r>
          </w:p>
        </w:tc>
        <w:tc>
          <w:tcPr>
            <w:tcW w:w="0" w:type="auto"/>
            <w:noWrap/>
            <w:hideMark/>
          </w:tcPr>
          <w:p w14:paraId="05B80AD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15.463</w:t>
            </w:r>
          </w:p>
        </w:tc>
      </w:tr>
      <w:tr w:rsidR="004B6442" w:rsidRPr="00F01B90" w14:paraId="367A6E64"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9637911"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POMS</w:t>
            </w:r>
          </w:p>
        </w:tc>
        <w:tc>
          <w:tcPr>
            <w:tcW w:w="0" w:type="auto"/>
            <w:hideMark/>
          </w:tcPr>
          <w:p w14:paraId="48282AB0"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47FA790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F0267B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A51FE0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68BE41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FBAC02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0.290</w:t>
            </w:r>
          </w:p>
        </w:tc>
        <w:tc>
          <w:tcPr>
            <w:tcW w:w="0" w:type="auto"/>
            <w:noWrap/>
            <w:hideMark/>
          </w:tcPr>
          <w:p w14:paraId="3A6AFBB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0.233</w:t>
            </w:r>
          </w:p>
        </w:tc>
        <w:tc>
          <w:tcPr>
            <w:tcW w:w="0" w:type="auto"/>
            <w:noWrap/>
            <w:hideMark/>
          </w:tcPr>
          <w:p w14:paraId="3547DAC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0.223</w:t>
            </w:r>
          </w:p>
        </w:tc>
        <w:tc>
          <w:tcPr>
            <w:tcW w:w="0" w:type="auto"/>
            <w:noWrap/>
            <w:hideMark/>
          </w:tcPr>
          <w:p w14:paraId="20A0AD5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0.032</w:t>
            </w:r>
          </w:p>
        </w:tc>
        <w:tc>
          <w:tcPr>
            <w:tcW w:w="0" w:type="auto"/>
            <w:noWrap/>
            <w:hideMark/>
          </w:tcPr>
          <w:p w14:paraId="4F27443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0.172</w:t>
            </w:r>
          </w:p>
        </w:tc>
        <w:tc>
          <w:tcPr>
            <w:tcW w:w="0" w:type="auto"/>
            <w:noWrap/>
            <w:hideMark/>
          </w:tcPr>
          <w:p w14:paraId="3070C8C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0.339</w:t>
            </w:r>
          </w:p>
        </w:tc>
        <w:tc>
          <w:tcPr>
            <w:tcW w:w="0" w:type="auto"/>
            <w:noWrap/>
            <w:hideMark/>
          </w:tcPr>
          <w:p w14:paraId="71D22E4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0.336</w:t>
            </w:r>
          </w:p>
        </w:tc>
        <w:tc>
          <w:tcPr>
            <w:tcW w:w="0" w:type="auto"/>
            <w:noWrap/>
            <w:hideMark/>
          </w:tcPr>
          <w:p w14:paraId="2745A93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-0.014</w:t>
            </w:r>
          </w:p>
        </w:tc>
      </w:tr>
      <w:tr w:rsidR="004B6442" w:rsidRPr="00F01B90" w14:paraId="34BC8FC9"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1E9B504"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DD22741"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1238C96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79401C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1555C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188CAB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7D5F8C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0.102</w:t>
            </w:r>
          </w:p>
        </w:tc>
        <w:tc>
          <w:tcPr>
            <w:tcW w:w="0" w:type="auto"/>
            <w:noWrap/>
            <w:hideMark/>
          </w:tcPr>
          <w:p w14:paraId="56B658A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0.192</w:t>
            </w:r>
          </w:p>
        </w:tc>
        <w:tc>
          <w:tcPr>
            <w:tcW w:w="0" w:type="auto"/>
            <w:noWrap/>
            <w:hideMark/>
          </w:tcPr>
          <w:p w14:paraId="2C735DB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0.213</w:t>
            </w:r>
          </w:p>
        </w:tc>
        <w:tc>
          <w:tcPr>
            <w:tcW w:w="0" w:type="auto"/>
            <w:noWrap/>
            <w:hideMark/>
          </w:tcPr>
          <w:p w14:paraId="60DE78D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0.859</w:t>
            </w:r>
          </w:p>
        </w:tc>
        <w:tc>
          <w:tcPr>
            <w:tcW w:w="0" w:type="auto"/>
            <w:noWrap/>
            <w:hideMark/>
          </w:tcPr>
          <w:p w14:paraId="51CF922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0.339</w:t>
            </w:r>
          </w:p>
        </w:tc>
        <w:tc>
          <w:tcPr>
            <w:tcW w:w="0" w:type="auto"/>
            <w:noWrap/>
            <w:hideMark/>
          </w:tcPr>
          <w:p w14:paraId="232689C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0.053</w:t>
            </w:r>
          </w:p>
        </w:tc>
        <w:tc>
          <w:tcPr>
            <w:tcW w:w="0" w:type="auto"/>
            <w:noWrap/>
            <w:hideMark/>
          </w:tcPr>
          <w:p w14:paraId="1881810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0.056</w:t>
            </w:r>
          </w:p>
        </w:tc>
        <w:tc>
          <w:tcPr>
            <w:tcW w:w="0" w:type="auto"/>
            <w:noWrap/>
            <w:hideMark/>
          </w:tcPr>
          <w:p w14:paraId="3B4081B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0.940</w:t>
            </w:r>
          </w:p>
        </w:tc>
      </w:tr>
      <w:tr w:rsidR="004B6442" w:rsidRPr="00F01B90" w14:paraId="736464C8"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40E4F11B"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2A025F8B"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38181CF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01BA51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F99452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5FE2B2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2C95B8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9.274</w:t>
            </w:r>
          </w:p>
        </w:tc>
        <w:tc>
          <w:tcPr>
            <w:tcW w:w="0" w:type="auto"/>
            <w:noWrap/>
            <w:hideMark/>
          </w:tcPr>
          <w:p w14:paraId="01C9B31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17.465</w:t>
            </w:r>
          </w:p>
        </w:tc>
        <w:tc>
          <w:tcPr>
            <w:tcW w:w="0" w:type="auto"/>
            <w:noWrap/>
            <w:hideMark/>
          </w:tcPr>
          <w:p w14:paraId="31E78FA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19.383</w:t>
            </w:r>
          </w:p>
        </w:tc>
        <w:tc>
          <w:tcPr>
            <w:tcW w:w="0" w:type="auto"/>
            <w:noWrap/>
            <w:hideMark/>
          </w:tcPr>
          <w:p w14:paraId="1B7E1F6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78.204</w:t>
            </w:r>
          </w:p>
        </w:tc>
        <w:tc>
          <w:tcPr>
            <w:tcW w:w="0" w:type="auto"/>
            <w:noWrap/>
            <w:hideMark/>
          </w:tcPr>
          <w:p w14:paraId="50867CC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30.804</w:t>
            </w:r>
          </w:p>
        </w:tc>
        <w:tc>
          <w:tcPr>
            <w:tcW w:w="0" w:type="auto"/>
            <w:noWrap/>
            <w:hideMark/>
          </w:tcPr>
          <w:p w14:paraId="526E463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4.864</w:t>
            </w:r>
          </w:p>
        </w:tc>
        <w:tc>
          <w:tcPr>
            <w:tcW w:w="0" w:type="auto"/>
            <w:noWrap/>
            <w:hideMark/>
          </w:tcPr>
          <w:p w14:paraId="6B87CCD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5.112</w:t>
            </w:r>
          </w:p>
        </w:tc>
        <w:tc>
          <w:tcPr>
            <w:tcW w:w="0" w:type="auto"/>
            <w:noWrap/>
            <w:hideMark/>
          </w:tcPr>
          <w:p w14:paraId="53C97A4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85.503</w:t>
            </w:r>
          </w:p>
        </w:tc>
      </w:tr>
      <w:tr w:rsidR="004B6442" w:rsidRPr="00F01B90" w14:paraId="5BA8DC8A"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D7B43F1"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Minor</w:t>
            </w:r>
          </w:p>
        </w:tc>
        <w:tc>
          <w:tcPr>
            <w:tcW w:w="0" w:type="auto"/>
            <w:hideMark/>
          </w:tcPr>
          <w:p w14:paraId="2CEA54FC"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34CB18B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E7F33A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0ECDF4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A3EE31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99AAE9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E28AA6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.707</w:t>
            </w:r>
            <w:r w:rsidRPr="00F01B90">
              <w:rPr>
                <w:rFonts w:ascii="Arial" w:eastAsia="Times New Roman" w:hAnsi="Arial" w:cs="Arial"/>
                <w:color w:val="000000"/>
                <w:sz w:val="18"/>
                <w:szCs w:val="18"/>
                <w:vertAlign w:val="superscript"/>
                <w:lang w:eastAsia="en-GB"/>
              </w:rPr>
              <w:t>**</w:t>
            </w:r>
          </w:p>
        </w:tc>
        <w:tc>
          <w:tcPr>
            <w:tcW w:w="0" w:type="auto"/>
            <w:noWrap/>
            <w:hideMark/>
          </w:tcPr>
          <w:p w14:paraId="591DF93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0.404</w:t>
            </w:r>
          </w:p>
        </w:tc>
        <w:tc>
          <w:tcPr>
            <w:tcW w:w="0" w:type="auto"/>
            <w:noWrap/>
            <w:hideMark/>
          </w:tcPr>
          <w:p w14:paraId="6DEDF3D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0.253</w:t>
            </w:r>
          </w:p>
        </w:tc>
        <w:tc>
          <w:tcPr>
            <w:tcW w:w="0" w:type="auto"/>
            <w:noWrap/>
            <w:hideMark/>
          </w:tcPr>
          <w:p w14:paraId="5CAF6E0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0.065</w:t>
            </w:r>
          </w:p>
        </w:tc>
        <w:tc>
          <w:tcPr>
            <w:tcW w:w="0" w:type="auto"/>
            <w:noWrap/>
            <w:hideMark/>
          </w:tcPr>
          <w:p w14:paraId="511D830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0.363</w:t>
            </w:r>
          </w:p>
        </w:tc>
        <w:tc>
          <w:tcPr>
            <w:tcW w:w="0" w:type="auto"/>
            <w:noWrap/>
            <w:hideMark/>
          </w:tcPr>
          <w:p w14:paraId="74384DA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0.211</w:t>
            </w:r>
          </w:p>
        </w:tc>
        <w:tc>
          <w:tcPr>
            <w:tcW w:w="0" w:type="auto"/>
            <w:noWrap/>
            <w:hideMark/>
          </w:tcPr>
          <w:p w14:paraId="2F07DCA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-0.299</w:t>
            </w:r>
          </w:p>
        </w:tc>
      </w:tr>
      <w:tr w:rsidR="004B6442" w:rsidRPr="00F01B90" w14:paraId="3F35E8BC"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78218D38"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3A339D8C"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692FD59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B227BA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4EF193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3A7924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EA356D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B47D7B6" w14:textId="1D34CFB4" w:rsidR="004B6442" w:rsidRPr="00F01B90" w:rsidRDefault="00E850B8"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3E2B5E3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0.020</w:t>
            </w:r>
          </w:p>
        </w:tc>
        <w:tc>
          <w:tcPr>
            <w:tcW w:w="0" w:type="auto"/>
            <w:noWrap/>
            <w:hideMark/>
          </w:tcPr>
          <w:p w14:paraId="20CB7DE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0.156</w:t>
            </w:r>
          </w:p>
        </w:tc>
        <w:tc>
          <w:tcPr>
            <w:tcW w:w="0" w:type="auto"/>
            <w:noWrap/>
            <w:hideMark/>
          </w:tcPr>
          <w:p w14:paraId="39AA4A7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0.725</w:t>
            </w:r>
          </w:p>
        </w:tc>
        <w:tc>
          <w:tcPr>
            <w:tcW w:w="0" w:type="auto"/>
            <w:noWrap/>
            <w:hideMark/>
          </w:tcPr>
          <w:p w14:paraId="54F82DA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0.038</w:t>
            </w:r>
          </w:p>
        </w:tc>
        <w:tc>
          <w:tcPr>
            <w:tcW w:w="0" w:type="auto"/>
            <w:noWrap/>
            <w:hideMark/>
          </w:tcPr>
          <w:p w14:paraId="4FFCE2E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0.239</w:t>
            </w:r>
          </w:p>
        </w:tc>
        <w:tc>
          <w:tcPr>
            <w:tcW w:w="0" w:type="auto"/>
            <w:noWrap/>
            <w:hideMark/>
          </w:tcPr>
          <w:p w14:paraId="339A3D7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0.090</w:t>
            </w:r>
          </w:p>
        </w:tc>
      </w:tr>
      <w:tr w:rsidR="004B6442" w:rsidRPr="00F01B90" w14:paraId="5B985D3F"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22E4599"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1430B522"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2BA195D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0FD632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3D2463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DC342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EC967E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FA4CBEF" w14:textId="0E10FEAA"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00306BB1"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1.788</w:t>
            </w:r>
          </w:p>
        </w:tc>
        <w:tc>
          <w:tcPr>
            <w:tcW w:w="0" w:type="auto"/>
            <w:noWrap/>
            <w:hideMark/>
          </w:tcPr>
          <w:p w14:paraId="5CA00CF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14.199</w:t>
            </w:r>
          </w:p>
        </w:tc>
        <w:tc>
          <w:tcPr>
            <w:tcW w:w="0" w:type="auto"/>
            <w:noWrap/>
            <w:hideMark/>
          </w:tcPr>
          <w:p w14:paraId="031D306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65.941</w:t>
            </w:r>
          </w:p>
        </w:tc>
        <w:tc>
          <w:tcPr>
            <w:tcW w:w="0" w:type="auto"/>
            <w:noWrap/>
            <w:hideMark/>
          </w:tcPr>
          <w:p w14:paraId="11D69FC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3.450</w:t>
            </w:r>
          </w:p>
        </w:tc>
        <w:tc>
          <w:tcPr>
            <w:tcW w:w="0" w:type="auto"/>
            <w:noWrap/>
            <w:hideMark/>
          </w:tcPr>
          <w:p w14:paraId="71BC969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21.758</w:t>
            </w:r>
          </w:p>
        </w:tc>
        <w:tc>
          <w:tcPr>
            <w:tcW w:w="0" w:type="auto"/>
            <w:noWrap/>
            <w:hideMark/>
          </w:tcPr>
          <w:p w14:paraId="6AEB2FD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8.233</w:t>
            </w:r>
          </w:p>
        </w:tc>
      </w:tr>
      <w:tr w:rsidR="004B6442" w:rsidRPr="00F01B90" w14:paraId="59827D5D"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F3E0EA1"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Medical</w:t>
            </w:r>
          </w:p>
        </w:tc>
        <w:tc>
          <w:tcPr>
            <w:tcW w:w="0" w:type="auto"/>
            <w:hideMark/>
          </w:tcPr>
          <w:p w14:paraId="0AC4210A"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21343B8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BDB602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A05DE3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E2BAB0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C4D998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807329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72CE2A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0.505</w:t>
            </w:r>
          </w:p>
        </w:tc>
        <w:tc>
          <w:tcPr>
            <w:tcW w:w="0" w:type="auto"/>
            <w:noWrap/>
            <w:hideMark/>
          </w:tcPr>
          <w:p w14:paraId="5000476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0.294</w:t>
            </w:r>
          </w:p>
        </w:tc>
        <w:tc>
          <w:tcPr>
            <w:tcW w:w="0" w:type="auto"/>
            <w:noWrap/>
            <w:hideMark/>
          </w:tcPr>
          <w:p w14:paraId="35BF5A3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0.052</w:t>
            </w:r>
          </w:p>
        </w:tc>
        <w:tc>
          <w:tcPr>
            <w:tcW w:w="0" w:type="auto"/>
            <w:noWrap/>
            <w:hideMark/>
          </w:tcPr>
          <w:p w14:paraId="08F49AC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0.53</w:t>
            </w:r>
          </w:p>
        </w:tc>
        <w:tc>
          <w:tcPr>
            <w:tcW w:w="0" w:type="auto"/>
            <w:noWrap/>
            <w:hideMark/>
          </w:tcPr>
          <w:p w14:paraId="2AE2202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0.315</w:t>
            </w:r>
          </w:p>
        </w:tc>
        <w:tc>
          <w:tcPr>
            <w:tcW w:w="0" w:type="auto"/>
            <w:noWrap/>
            <w:hideMark/>
          </w:tcPr>
          <w:p w14:paraId="3FF9496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-0.286</w:t>
            </w:r>
          </w:p>
        </w:tc>
      </w:tr>
      <w:tr w:rsidR="004B6442" w:rsidRPr="00F01B90" w14:paraId="7D5B4F37"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7E103D69"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5010E32C"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32E7FCE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8DE15A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AF1FC3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066961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A97BED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A817F4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4FC5E4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0.003</w:t>
            </w:r>
          </w:p>
        </w:tc>
        <w:tc>
          <w:tcPr>
            <w:tcW w:w="0" w:type="auto"/>
            <w:noWrap/>
            <w:hideMark/>
          </w:tcPr>
          <w:p w14:paraId="60B86B1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0.097</w:t>
            </w:r>
          </w:p>
        </w:tc>
        <w:tc>
          <w:tcPr>
            <w:tcW w:w="0" w:type="auto"/>
            <w:noWrap/>
            <w:hideMark/>
          </w:tcPr>
          <w:p w14:paraId="1DF1CAF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0.779</w:t>
            </w:r>
          </w:p>
        </w:tc>
        <w:tc>
          <w:tcPr>
            <w:tcW w:w="0" w:type="auto"/>
            <w:noWrap/>
            <w:hideMark/>
          </w:tcPr>
          <w:p w14:paraId="60035B1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0.002</w:t>
            </w:r>
          </w:p>
        </w:tc>
        <w:tc>
          <w:tcPr>
            <w:tcW w:w="0" w:type="auto"/>
            <w:noWrap/>
            <w:hideMark/>
          </w:tcPr>
          <w:p w14:paraId="7BCB400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0.074</w:t>
            </w:r>
          </w:p>
        </w:tc>
        <w:tc>
          <w:tcPr>
            <w:tcW w:w="0" w:type="auto"/>
            <w:noWrap/>
            <w:hideMark/>
          </w:tcPr>
          <w:p w14:paraId="3F6413E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0.107</w:t>
            </w:r>
          </w:p>
        </w:tc>
      </w:tr>
      <w:tr w:rsidR="004B6442" w:rsidRPr="00F01B90" w14:paraId="3A17BB67"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32FADED4"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5D432994"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749F064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3C1BBA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A47A22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924480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FECCFB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AE8C9B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F8E3FA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0.247</w:t>
            </w:r>
          </w:p>
        </w:tc>
        <w:tc>
          <w:tcPr>
            <w:tcW w:w="0" w:type="auto"/>
            <w:noWrap/>
            <w:hideMark/>
          </w:tcPr>
          <w:p w14:paraId="5F2DA86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8.789</w:t>
            </w:r>
          </w:p>
        </w:tc>
        <w:tc>
          <w:tcPr>
            <w:tcW w:w="0" w:type="auto"/>
            <w:noWrap/>
            <w:hideMark/>
          </w:tcPr>
          <w:p w14:paraId="75A2B8C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70.903</w:t>
            </w:r>
          </w:p>
        </w:tc>
        <w:tc>
          <w:tcPr>
            <w:tcW w:w="0" w:type="auto"/>
            <w:noWrap/>
            <w:hideMark/>
          </w:tcPr>
          <w:p w14:paraId="7E98AFE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0.137</w:t>
            </w:r>
          </w:p>
        </w:tc>
        <w:tc>
          <w:tcPr>
            <w:tcW w:w="0" w:type="auto"/>
            <w:noWrap/>
            <w:hideMark/>
          </w:tcPr>
          <w:p w14:paraId="42A1B89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6.720</w:t>
            </w:r>
          </w:p>
        </w:tc>
        <w:tc>
          <w:tcPr>
            <w:tcW w:w="0" w:type="auto"/>
            <w:noWrap/>
            <w:hideMark/>
          </w:tcPr>
          <w:p w14:paraId="51335A3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9.707</w:t>
            </w:r>
          </w:p>
        </w:tc>
      </w:tr>
      <w:tr w:rsidR="004B6442" w:rsidRPr="00F01B90" w14:paraId="65675532"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B7D41B3"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FPQ Severe</w:t>
            </w:r>
          </w:p>
        </w:tc>
        <w:tc>
          <w:tcPr>
            <w:tcW w:w="0" w:type="auto"/>
            <w:hideMark/>
          </w:tcPr>
          <w:p w14:paraId="4F4E3D5A"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079490E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9885E7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F9BCB1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6CA705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F43BA2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449452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9EDF07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82EA0C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0.271</w:t>
            </w:r>
          </w:p>
        </w:tc>
        <w:tc>
          <w:tcPr>
            <w:tcW w:w="0" w:type="auto"/>
            <w:noWrap/>
            <w:hideMark/>
          </w:tcPr>
          <w:p w14:paraId="7FDBD2A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0.042</w:t>
            </w:r>
          </w:p>
        </w:tc>
        <w:tc>
          <w:tcPr>
            <w:tcW w:w="0" w:type="auto"/>
            <w:noWrap/>
            <w:hideMark/>
          </w:tcPr>
          <w:p w14:paraId="2F2E40D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0.315</w:t>
            </w:r>
          </w:p>
        </w:tc>
        <w:tc>
          <w:tcPr>
            <w:tcW w:w="0" w:type="auto"/>
            <w:noWrap/>
            <w:hideMark/>
          </w:tcPr>
          <w:p w14:paraId="1C7B4E9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0.120</w:t>
            </w:r>
          </w:p>
        </w:tc>
        <w:tc>
          <w:tcPr>
            <w:tcW w:w="0" w:type="auto"/>
            <w:noWrap/>
            <w:hideMark/>
          </w:tcPr>
          <w:p w14:paraId="41834E8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-0.061</w:t>
            </w:r>
          </w:p>
        </w:tc>
      </w:tr>
      <w:tr w:rsidR="004B6442" w:rsidRPr="00F01B90" w14:paraId="332B14B4"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483C510E"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CFE6385"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563CD29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666B1B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CBC4CF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EE15BE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68F5AE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49FFDC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8D89B2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8C526C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0.127</w:t>
            </w:r>
          </w:p>
        </w:tc>
        <w:tc>
          <w:tcPr>
            <w:tcW w:w="0" w:type="auto"/>
            <w:noWrap/>
            <w:hideMark/>
          </w:tcPr>
          <w:p w14:paraId="5E6D3A3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0.818</w:t>
            </w:r>
          </w:p>
        </w:tc>
        <w:tc>
          <w:tcPr>
            <w:tcW w:w="0" w:type="auto"/>
            <w:noWrap/>
            <w:hideMark/>
          </w:tcPr>
          <w:p w14:paraId="1F5F4A5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0.074</w:t>
            </w:r>
          </w:p>
        </w:tc>
        <w:tc>
          <w:tcPr>
            <w:tcW w:w="0" w:type="auto"/>
            <w:noWrap/>
            <w:hideMark/>
          </w:tcPr>
          <w:p w14:paraId="25B3B6D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0.508</w:t>
            </w:r>
          </w:p>
        </w:tc>
        <w:tc>
          <w:tcPr>
            <w:tcW w:w="0" w:type="auto"/>
            <w:noWrap/>
            <w:hideMark/>
          </w:tcPr>
          <w:p w14:paraId="7A79F14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0.736</w:t>
            </w:r>
          </w:p>
        </w:tc>
      </w:tr>
      <w:tr w:rsidR="004B6442" w:rsidRPr="00F01B90" w14:paraId="265F4910"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6C60F71"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74B118E"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25ED549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CD232A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6EE847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75D9C5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442CF1"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B7D0A3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6FECD8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820A31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11.547</w:t>
            </w:r>
          </w:p>
        </w:tc>
        <w:tc>
          <w:tcPr>
            <w:tcW w:w="0" w:type="auto"/>
            <w:noWrap/>
            <w:hideMark/>
          </w:tcPr>
          <w:p w14:paraId="471E8A4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74.399</w:t>
            </w:r>
          </w:p>
        </w:tc>
        <w:tc>
          <w:tcPr>
            <w:tcW w:w="0" w:type="auto"/>
            <w:noWrap/>
            <w:hideMark/>
          </w:tcPr>
          <w:p w14:paraId="79AB40C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6.734</w:t>
            </w:r>
          </w:p>
        </w:tc>
        <w:tc>
          <w:tcPr>
            <w:tcW w:w="0" w:type="auto"/>
            <w:noWrap/>
            <w:hideMark/>
          </w:tcPr>
          <w:p w14:paraId="39E0BF40"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46.191</w:t>
            </w:r>
          </w:p>
        </w:tc>
        <w:tc>
          <w:tcPr>
            <w:tcW w:w="0" w:type="auto"/>
            <w:noWrap/>
            <w:hideMark/>
          </w:tcPr>
          <w:p w14:paraId="7E15D37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66.946</w:t>
            </w:r>
          </w:p>
        </w:tc>
      </w:tr>
      <w:tr w:rsidR="004B6442" w:rsidRPr="00F01B90" w14:paraId="40F2896E"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082BEF5"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PHQ9</w:t>
            </w:r>
          </w:p>
        </w:tc>
        <w:tc>
          <w:tcPr>
            <w:tcW w:w="0" w:type="auto"/>
            <w:hideMark/>
          </w:tcPr>
          <w:p w14:paraId="22E4962C"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3661CF4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15ABB7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0D61BF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0FCCAB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CF9E0F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93841B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E3CF49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3806E9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11E9A8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0.487</w:t>
            </w:r>
          </w:p>
        </w:tc>
        <w:tc>
          <w:tcPr>
            <w:tcW w:w="0" w:type="auto"/>
            <w:noWrap/>
            <w:hideMark/>
          </w:tcPr>
          <w:p w14:paraId="3E1BDFF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0.323</w:t>
            </w:r>
          </w:p>
        </w:tc>
        <w:tc>
          <w:tcPr>
            <w:tcW w:w="0" w:type="auto"/>
            <w:noWrap/>
            <w:hideMark/>
          </w:tcPr>
          <w:p w14:paraId="4E6B471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0.42</w:t>
            </w:r>
          </w:p>
        </w:tc>
        <w:tc>
          <w:tcPr>
            <w:tcW w:w="0" w:type="auto"/>
            <w:noWrap/>
            <w:hideMark/>
          </w:tcPr>
          <w:p w14:paraId="04941B9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0.072</w:t>
            </w:r>
          </w:p>
        </w:tc>
      </w:tr>
      <w:tr w:rsidR="004B6442" w:rsidRPr="00F01B90" w14:paraId="0A486CE5"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338F0F30"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12467031"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334AD3C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8AB5A2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0AF44D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EF1CE4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D83DE5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6F4F02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DAD74A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262551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166FC0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0.004</w:t>
            </w:r>
          </w:p>
        </w:tc>
        <w:tc>
          <w:tcPr>
            <w:tcW w:w="0" w:type="auto"/>
            <w:noWrap/>
            <w:hideMark/>
          </w:tcPr>
          <w:p w14:paraId="36DFFDA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0.067</w:t>
            </w:r>
          </w:p>
        </w:tc>
        <w:tc>
          <w:tcPr>
            <w:tcW w:w="0" w:type="auto"/>
            <w:noWrap/>
            <w:hideMark/>
          </w:tcPr>
          <w:p w14:paraId="4A13B1D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0.015</w:t>
            </w:r>
          </w:p>
        </w:tc>
        <w:tc>
          <w:tcPr>
            <w:tcW w:w="0" w:type="auto"/>
            <w:noWrap/>
            <w:hideMark/>
          </w:tcPr>
          <w:p w14:paraId="709B20D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0.684</w:t>
            </w:r>
          </w:p>
        </w:tc>
      </w:tr>
      <w:tr w:rsidR="004B6442" w:rsidRPr="00F01B90" w14:paraId="55D64C9E"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7864012"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1454B2D5"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105D430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4E0955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6CD2C5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82B501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0AB47B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5EAD90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95899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CCC0C5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B035A1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0.366</w:t>
            </w:r>
          </w:p>
        </w:tc>
        <w:tc>
          <w:tcPr>
            <w:tcW w:w="0" w:type="auto"/>
            <w:noWrap/>
            <w:hideMark/>
          </w:tcPr>
          <w:p w14:paraId="2AA3624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6.097</w:t>
            </w:r>
          </w:p>
        </w:tc>
        <w:tc>
          <w:tcPr>
            <w:tcW w:w="0" w:type="auto"/>
            <w:noWrap/>
            <w:hideMark/>
          </w:tcPr>
          <w:p w14:paraId="58FDC2F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1.359</w:t>
            </w:r>
          </w:p>
        </w:tc>
        <w:tc>
          <w:tcPr>
            <w:tcW w:w="0" w:type="auto"/>
            <w:noWrap/>
            <w:hideMark/>
          </w:tcPr>
          <w:p w14:paraId="1A2D45AA"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62.274</w:t>
            </w:r>
          </w:p>
        </w:tc>
      </w:tr>
      <w:tr w:rsidR="004B6442" w:rsidRPr="00F01B90" w14:paraId="61D7AF55"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9463CA4"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PHQ15</w:t>
            </w:r>
          </w:p>
        </w:tc>
        <w:tc>
          <w:tcPr>
            <w:tcW w:w="0" w:type="auto"/>
            <w:hideMark/>
          </w:tcPr>
          <w:p w14:paraId="369120FE"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78AB79B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568C88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FE1D0A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50ED9A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5BFE79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E24F14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A495E8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BBD29A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2F4C59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34DE3F1"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0.375</w:t>
            </w:r>
          </w:p>
        </w:tc>
        <w:tc>
          <w:tcPr>
            <w:tcW w:w="0" w:type="auto"/>
            <w:noWrap/>
            <w:hideMark/>
          </w:tcPr>
          <w:p w14:paraId="7E2E481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0.183</w:t>
            </w:r>
          </w:p>
        </w:tc>
        <w:tc>
          <w:tcPr>
            <w:tcW w:w="0" w:type="auto"/>
            <w:noWrap/>
            <w:hideMark/>
          </w:tcPr>
          <w:p w14:paraId="5090E61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0.438</w:t>
            </w:r>
          </w:p>
        </w:tc>
      </w:tr>
      <w:tr w:rsidR="004B6442" w:rsidRPr="00F01B90" w14:paraId="450CE05D"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2A6E4BD0"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645F2EAC"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328E5A9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A365875"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1EC2ED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CCC9EC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0F4217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0B5B98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69AAF2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73E5FD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EEF411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BA14A4D"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0.034</w:t>
            </w:r>
          </w:p>
        </w:tc>
        <w:tc>
          <w:tcPr>
            <w:tcW w:w="0" w:type="auto"/>
            <w:noWrap/>
            <w:hideMark/>
          </w:tcPr>
          <w:p w14:paraId="05AC4D3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0.315</w:t>
            </w:r>
          </w:p>
        </w:tc>
        <w:tc>
          <w:tcPr>
            <w:tcW w:w="0" w:type="auto"/>
            <w:noWrap/>
            <w:hideMark/>
          </w:tcPr>
          <w:p w14:paraId="3E1BA16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0.011</w:t>
            </w:r>
          </w:p>
        </w:tc>
      </w:tr>
      <w:tr w:rsidR="004B6442" w:rsidRPr="00F01B90" w14:paraId="13D88AFF"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1A081CBD"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443470A"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6409364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07528D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9ACF6D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B870A3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69FFE4E"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2EBC8C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A818CD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704460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9FF876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AFA8D34"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3.132</w:t>
            </w:r>
          </w:p>
        </w:tc>
        <w:tc>
          <w:tcPr>
            <w:tcW w:w="0" w:type="auto"/>
            <w:noWrap/>
            <w:hideMark/>
          </w:tcPr>
          <w:p w14:paraId="6907D75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28.644</w:t>
            </w:r>
          </w:p>
        </w:tc>
        <w:tc>
          <w:tcPr>
            <w:tcW w:w="0" w:type="auto"/>
            <w:noWrap/>
            <w:hideMark/>
          </w:tcPr>
          <w:p w14:paraId="6CDDCB9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0.984</w:t>
            </w:r>
          </w:p>
        </w:tc>
      </w:tr>
      <w:tr w:rsidR="004B6442" w:rsidRPr="00F01B90" w14:paraId="0C42BF0D"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5590704"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STAI trait</w:t>
            </w:r>
          </w:p>
        </w:tc>
        <w:tc>
          <w:tcPr>
            <w:tcW w:w="0" w:type="auto"/>
            <w:hideMark/>
          </w:tcPr>
          <w:p w14:paraId="736F0F00"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069F583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A08923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5DD5BF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81CBC83"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178BB8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FBE8D3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C3B93A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9B408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3069DD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FE1CFB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4EA896F"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.593</w:t>
            </w:r>
            <w:r w:rsidRPr="00F01B90">
              <w:rPr>
                <w:rFonts w:ascii="Arial" w:eastAsia="Times New Roman" w:hAnsi="Arial" w:cs="Arial"/>
                <w:color w:val="000000"/>
                <w:sz w:val="18"/>
                <w:szCs w:val="18"/>
                <w:vertAlign w:val="superscript"/>
                <w:lang w:eastAsia="en-GB"/>
              </w:rPr>
              <w:t>*</w:t>
            </w:r>
          </w:p>
        </w:tc>
        <w:tc>
          <w:tcPr>
            <w:tcW w:w="0" w:type="auto"/>
            <w:noWrap/>
            <w:hideMark/>
          </w:tcPr>
          <w:p w14:paraId="34A72BA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-0.031</w:t>
            </w:r>
          </w:p>
        </w:tc>
      </w:tr>
      <w:tr w:rsidR="004B6442" w:rsidRPr="00F01B90" w14:paraId="0BDDB207"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77A8023A"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036A673B"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2406F52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9F7FE9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9EF82E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7DEF1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E4B676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DC9DC77"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41B8E1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027899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7D608E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9211FD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6D09B90" w14:textId="3D06842B" w:rsidR="004B6442" w:rsidRPr="00F01B90" w:rsidRDefault="00E850B8"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&lt;0.001</w:t>
            </w:r>
          </w:p>
        </w:tc>
        <w:tc>
          <w:tcPr>
            <w:tcW w:w="0" w:type="auto"/>
            <w:noWrap/>
            <w:hideMark/>
          </w:tcPr>
          <w:p w14:paraId="0BEC860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0.863</w:t>
            </w:r>
          </w:p>
        </w:tc>
      </w:tr>
      <w:tr w:rsidR="004B6442" w:rsidRPr="00F01B90" w14:paraId="04EB75E7"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53036BF7"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4551D020"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6EAA3CF4"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3F15AF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D3BBF86"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82F52F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A8DCA8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C9F9B3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212AF0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1D25B4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E05105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351682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5163627"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0.025</w:t>
            </w:r>
          </w:p>
        </w:tc>
        <w:tc>
          <w:tcPr>
            <w:tcW w:w="0" w:type="auto"/>
            <w:noWrap/>
            <w:hideMark/>
          </w:tcPr>
          <w:p w14:paraId="60284BA9"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78.538</w:t>
            </w:r>
          </w:p>
        </w:tc>
      </w:tr>
      <w:tr w:rsidR="004B6442" w:rsidRPr="00F01B90" w14:paraId="51C34A00"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816DAC9" w14:textId="77777777" w:rsidR="004B6442" w:rsidRPr="00F01B90" w:rsidRDefault="004B6442" w:rsidP="00AC23E4">
            <w:pPr>
              <w:contextualSpacing/>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STAI state</w:t>
            </w:r>
          </w:p>
        </w:tc>
        <w:tc>
          <w:tcPr>
            <w:tcW w:w="0" w:type="auto"/>
            <w:hideMark/>
          </w:tcPr>
          <w:p w14:paraId="7FD42FE0"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Spearman’s</w:t>
            </w:r>
            <w:r w:rsidRPr="00F01B90">
              <w:rPr>
                <w:rFonts w:ascii="Arial" w:eastAsia="Times New Roman" w:hAnsi="Arial" w:cs="Arial"/>
                <w:color w:val="000000"/>
                <w:sz w:val="18"/>
                <w:szCs w:val="18"/>
                <w:lang w:eastAsia="en-GB"/>
              </w:rPr>
              <w:t xml:space="preserve"> Coefficient</w:t>
            </w:r>
          </w:p>
        </w:tc>
        <w:tc>
          <w:tcPr>
            <w:tcW w:w="0" w:type="auto"/>
            <w:noWrap/>
            <w:hideMark/>
          </w:tcPr>
          <w:p w14:paraId="0A3DA2E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9A0565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71DCF5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A897E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7D9059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BB9199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717DA0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913F10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D131D2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152E338"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3E3CB0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4F1F7FD"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-0.137</w:t>
            </w:r>
          </w:p>
        </w:tc>
      </w:tr>
      <w:tr w:rsidR="004B6442" w:rsidRPr="00F01B90" w14:paraId="6FD82613" w14:textId="77777777" w:rsidTr="00AC23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4BFAB878"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6C839E98" w14:textId="77777777" w:rsidR="004B6442" w:rsidRPr="00F01B90" w:rsidRDefault="004B6442" w:rsidP="00AC23E4">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Sig. (2-tailed)</w:t>
            </w:r>
          </w:p>
        </w:tc>
        <w:tc>
          <w:tcPr>
            <w:tcW w:w="0" w:type="auto"/>
            <w:noWrap/>
            <w:hideMark/>
          </w:tcPr>
          <w:p w14:paraId="1068269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069DC5A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DB54E9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F95FC4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7FB495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E3A6960"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1E953A1"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F3A1378"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2099D1C"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5DD360E"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26F8CBB"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C76AD02" w14:textId="77777777" w:rsidR="004B6442" w:rsidRPr="00F01B90" w:rsidRDefault="004B6442" w:rsidP="00AC23E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0.448</w:t>
            </w:r>
          </w:p>
        </w:tc>
      </w:tr>
      <w:tr w:rsidR="004B6442" w:rsidRPr="00F01B90" w14:paraId="3E264D45" w14:textId="77777777" w:rsidTr="00AC23E4">
        <w:trPr>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14:paraId="5239ACF3" w14:textId="77777777" w:rsidR="004B6442" w:rsidRPr="00F01B90" w:rsidRDefault="004B6442" w:rsidP="00AC23E4">
            <w:pPr>
              <w:contextualSpacing/>
              <w:rPr>
                <w:rFonts w:ascii="Arial" w:eastAsia="Times New Roman" w:hAnsi="Arial" w:cs="Arial"/>
                <w:color w:val="000000"/>
                <w:sz w:val="18"/>
                <w:szCs w:val="18"/>
                <w:lang w:eastAsia="en-GB"/>
              </w:rPr>
            </w:pPr>
          </w:p>
        </w:tc>
        <w:tc>
          <w:tcPr>
            <w:tcW w:w="0" w:type="auto"/>
            <w:hideMark/>
          </w:tcPr>
          <w:p w14:paraId="09ACBE79" w14:textId="77777777" w:rsidR="004B6442" w:rsidRPr="00F01B90" w:rsidRDefault="004B6442" w:rsidP="00AC23E4">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sidRPr="00F01B90">
              <w:rPr>
                <w:rFonts w:ascii="Arial" w:eastAsia="Times New Roman" w:hAnsi="Arial" w:cs="Arial"/>
                <w:color w:val="000000"/>
                <w:sz w:val="18"/>
                <w:szCs w:val="18"/>
                <w:lang w:eastAsia="en-GB"/>
              </w:rPr>
              <w:t>Bonferr</w:t>
            </w:r>
            <w:proofErr w:type="spellEnd"/>
            <w:r w:rsidRPr="00F01B90">
              <w:rPr>
                <w:rFonts w:ascii="Arial" w:eastAsia="Times New Roman" w:hAnsi="Arial" w:cs="Arial"/>
                <w:color w:val="000000"/>
                <w:sz w:val="18"/>
                <w:szCs w:val="18"/>
                <w:lang w:eastAsia="en-GB"/>
              </w:rPr>
              <w:t>. Sig. (2-tailed)</w:t>
            </w:r>
          </w:p>
        </w:tc>
        <w:tc>
          <w:tcPr>
            <w:tcW w:w="0" w:type="auto"/>
            <w:noWrap/>
            <w:hideMark/>
          </w:tcPr>
          <w:p w14:paraId="4313D36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6AA270D5"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CF87B9"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5896B71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28FA18E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D9A87A6"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4C52BF73"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1D8777F2"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111383B"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CA72DEA"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749934DC"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0" w:type="auto"/>
            <w:noWrap/>
            <w:hideMark/>
          </w:tcPr>
          <w:p w14:paraId="348DC75F" w14:textId="77777777" w:rsidR="004B6442" w:rsidRPr="00F01B90" w:rsidRDefault="004B6442" w:rsidP="00AC23E4">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01B90">
              <w:rPr>
                <w:rFonts w:ascii="Arial" w:eastAsia="Times New Roman" w:hAnsi="Arial" w:cs="Arial"/>
                <w:color w:val="000000"/>
                <w:sz w:val="18"/>
                <w:szCs w:val="18"/>
                <w:lang w:eastAsia="en-GB"/>
              </w:rPr>
              <w:t>40.808</w:t>
            </w:r>
          </w:p>
        </w:tc>
      </w:tr>
    </w:tbl>
    <w:p w14:paraId="5E6F2E06" w14:textId="77777777" w:rsidR="004B6442" w:rsidRDefault="004B6442" w:rsidP="004B6442"/>
    <w:tbl>
      <w:tblPr>
        <w:tblStyle w:val="PlainTable3"/>
        <w:tblW w:w="0" w:type="auto"/>
        <w:tblLook w:val="04A0" w:firstRow="1" w:lastRow="0" w:firstColumn="1" w:lastColumn="0" w:noHBand="0" w:noVBand="1"/>
      </w:tblPr>
      <w:tblGrid>
        <w:gridCol w:w="2200"/>
        <w:gridCol w:w="2980"/>
      </w:tblGrid>
      <w:tr w:rsidR="004B6442" w:rsidRPr="00D44B6D" w14:paraId="26B38849" w14:textId="77777777" w:rsidTr="00AC23E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00" w:type="dxa"/>
            <w:noWrap/>
            <w:hideMark/>
          </w:tcPr>
          <w:p w14:paraId="6A4593D7" w14:textId="77777777" w:rsidR="004B6442" w:rsidRPr="00D44B6D" w:rsidRDefault="004B6442" w:rsidP="00AC23E4">
            <w:r w:rsidRPr="00D44B6D">
              <w:t>Legend</w:t>
            </w:r>
          </w:p>
        </w:tc>
        <w:tc>
          <w:tcPr>
            <w:tcW w:w="2980" w:type="dxa"/>
            <w:noWrap/>
            <w:hideMark/>
          </w:tcPr>
          <w:p w14:paraId="0A457C05" w14:textId="77777777" w:rsidR="004B6442" w:rsidRPr="00D44B6D" w:rsidRDefault="004B6442" w:rsidP="00AC23E4">
            <w:pPr>
              <w:cnfStyle w:val="100000000000" w:firstRow="1" w:lastRow="0" w:firstColumn="0" w:lastColumn="0" w:oddVBand="0" w:evenVBand="0" w:oddHBand="0" w:evenHBand="0" w:firstRowFirstColumn="0" w:firstRowLastColumn="0" w:lastRowFirstColumn="0" w:lastRowLastColumn="0"/>
            </w:pPr>
          </w:p>
        </w:tc>
      </w:tr>
      <w:tr w:rsidR="004B6442" w:rsidRPr="00D44B6D" w14:paraId="4DB7E865" w14:textId="77777777" w:rsidTr="00AC23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0802266" w14:textId="77777777" w:rsidR="004B6442" w:rsidRPr="00D44B6D" w:rsidRDefault="004B6442" w:rsidP="00AC23E4">
            <w:r w:rsidRPr="00D44B6D">
              <w:t>PCS</w:t>
            </w:r>
          </w:p>
        </w:tc>
        <w:tc>
          <w:tcPr>
            <w:tcW w:w="2980" w:type="dxa"/>
            <w:hideMark/>
          </w:tcPr>
          <w:p w14:paraId="5EB480A3" w14:textId="77777777" w:rsidR="004B6442" w:rsidRPr="00D44B6D" w:rsidRDefault="004B6442" w:rsidP="00AC23E4">
            <w:pPr>
              <w:cnfStyle w:val="000000100000" w:firstRow="0" w:lastRow="0" w:firstColumn="0" w:lastColumn="0" w:oddVBand="0" w:evenVBand="0" w:oddHBand="1" w:evenHBand="0" w:firstRowFirstColumn="0" w:firstRowLastColumn="0" w:lastRowFirstColumn="0" w:lastRowLastColumn="0"/>
            </w:pPr>
            <w:r w:rsidRPr="00D44B6D">
              <w:t>Pain Catastrophizing Scale</w:t>
            </w:r>
          </w:p>
        </w:tc>
      </w:tr>
      <w:tr w:rsidR="004B6442" w:rsidRPr="00D44B6D" w14:paraId="6278791A" w14:textId="77777777" w:rsidTr="00AC23E4">
        <w:trPr>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35B5C36" w14:textId="77777777" w:rsidR="004B6442" w:rsidRPr="00D44B6D" w:rsidRDefault="004B6442" w:rsidP="00AC23E4">
            <w:r w:rsidRPr="00D44B6D">
              <w:t>Rum</w:t>
            </w:r>
          </w:p>
        </w:tc>
        <w:tc>
          <w:tcPr>
            <w:tcW w:w="2980" w:type="dxa"/>
            <w:hideMark/>
          </w:tcPr>
          <w:p w14:paraId="02ED3E37" w14:textId="77777777" w:rsidR="004B6442" w:rsidRPr="00D44B6D" w:rsidRDefault="004B6442" w:rsidP="00AC23E4">
            <w:pPr>
              <w:cnfStyle w:val="000000000000" w:firstRow="0" w:lastRow="0" w:firstColumn="0" w:lastColumn="0" w:oddVBand="0" w:evenVBand="0" w:oddHBand="0" w:evenHBand="0" w:firstRowFirstColumn="0" w:firstRowLastColumn="0" w:lastRowFirstColumn="0" w:lastRowLastColumn="0"/>
            </w:pPr>
            <w:r w:rsidRPr="00D44B6D">
              <w:t>Rumination subscale</w:t>
            </w:r>
          </w:p>
        </w:tc>
      </w:tr>
      <w:tr w:rsidR="004B6442" w:rsidRPr="00D44B6D" w14:paraId="1D4B55A5" w14:textId="77777777" w:rsidTr="00AC23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2CAD255" w14:textId="77777777" w:rsidR="004B6442" w:rsidRPr="00D44B6D" w:rsidRDefault="004B6442" w:rsidP="00AC23E4">
            <w:r w:rsidRPr="00D44B6D">
              <w:t>Mag</w:t>
            </w:r>
          </w:p>
        </w:tc>
        <w:tc>
          <w:tcPr>
            <w:tcW w:w="2980" w:type="dxa"/>
            <w:hideMark/>
          </w:tcPr>
          <w:p w14:paraId="79F3E955" w14:textId="77777777" w:rsidR="004B6442" w:rsidRPr="00D44B6D" w:rsidRDefault="004B6442" w:rsidP="00AC23E4">
            <w:pPr>
              <w:cnfStyle w:val="000000100000" w:firstRow="0" w:lastRow="0" w:firstColumn="0" w:lastColumn="0" w:oddVBand="0" w:evenVBand="0" w:oddHBand="1" w:evenHBand="0" w:firstRowFirstColumn="0" w:firstRowLastColumn="0" w:lastRowFirstColumn="0" w:lastRowLastColumn="0"/>
            </w:pPr>
            <w:r w:rsidRPr="00D44B6D">
              <w:t>Magnification subscale</w:t>
            </w:r>
          </w:p>
        </w:tc>
      </w:tr>
      <w:tr w:rsidR="004B6442" w:rsidRPr="00D44B6D" w14:paraId="6B5FF63D" w14:textId="77777777" w:rsidTr="00AC23E4">
        <w:trPr>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E2166D7" w14:textId="77777777" w:rsidR="004B6442" w:rsidRPr="00D44B6D" w:rsidRDefault="004B6442" w:rsidP="00AC23E4">
            <w:r w:rsidRPr="00D44B6D">
              <w:t>Help</w:t>
            </w:r>
          </w:p>
        </w:tc>
        <w:tc>
          <w:tcPr>
            <w:tcW w:w="2980" w:type="dxa"/>
            <w:hideMark/>
          </w:tcPr>
          <w:p w14:paraId="12734663" w14:textId="77777777" w:rsidR="004B6442" w:rsidRPr="00D44B6D" w:rsidRDefault="004B6442" w:rsidP="00AC23E4">
            <w:pPr>
              <w:cnfStyle w:val="000000000000" w:firstRow="0" w:lastRow="0" w:firstColumn="0" w:lastColumn="0" w:oddVBand="0" w:evenVBand="0" w:oddHBand="0" w:evenHBand="0" w:firstRowFirstColumn="0" w:firstRowLastColumn="0" w:lastRowFirstColumn="0" w:lastRowLastColumn="0"/>
            </w:pPr>
            <w:r w:rsidRPr="00D44B6D">
              <w:t>Helplessness  subscale</w:t>
            </w:r>
          </w:p>
        </w:tc>
      </w:tr>
      <w:tr w:rsidR="004B6442" w:rsidRPr="00D44B6D" w14:paraId="71C1154D" w14:textId="77777777" w:rsidTr="00AC23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B767DCA" w14:textId="77777777" w:rsidR="004B6442" w:rsidRPr="00D44B6D" w:rsidRDefault="004B6442" w:rsidP="00AC23E4">
            <w:r w:rsidRPr="00D44B6D">
              <w:t>FPQ</w:t>
            </w:r>
          </w:p>
        </w:tc>
        <w:tc>
          <w:tcPr>
            <w:tcW w:w="2980" w:type="dxa"/>
            <w:hideMark/>
          </w:tcPr>
          <w:p w14:paraId="6BC4A37E" w14:textId="77777777" w:rsidR="004B6442" w:rsidRPr="00D44B6D" w:rsidRDefault="004B6442" w:rsidP="00AC23E4">
            <w:pPr>
              <w:cnfStyle w:val="000000100000" w:firstRow="0" w:lastRow="0" w:firstColumn="0" w:lastColumn="0" w:oddVBand="0" w:evenVBand="0" w:oddHBand="1" w:evenHBand="0" w:firstRowFirstColumn="0" w:firstRowLastColumn="0" w:lastRowFirstColumn="0" w:lastRowLastColumn="0"/>
            </w:pPr>
            <w:r w:rsidRPr="00D44B6D">
              <w:t>Fear of Pain Questionnaire</w:t>
            </w:r>
          </w:p>
        </w:tc>
      </w:tr>
      <w:tr w:rsidR="004B6442" w:rsidRPr="00D44B6D" w14:paraId="73786232" w14:textId="77777777" w:rsidTr="00AC23E4">
        <w:trPr>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75B26FB" w14:textId="77777777" w:rsidR="004B6442" w:rsidRPr="00D44B6D" w:rsidRDefault="004B6442" w:rsidP="00AC23E4">
            <w:r w:rsidRPr="00D44B6D">
              <w:t>PHQ</w:t>
            </w:r>
          </w:p>
        </w:tc>
        <w:tc>
          <w:tcPr>
            <w:tcW w:w="2980" w:type="dxa"/>
            <w:noWrap/>
            <w:hideMark/>
          </w:tcPr>
          <w:p w14:paraId="1EF33657" w14:textId="77777777" w:rsidR="004B6442" w:rsidRPr="00D44B6D" w:rsidRDefault="004B6442" w:rsidP="00AC23E4">
            <w:pPr>
              <w:cnfStyle w:val="000000000000" w:firstRow="0" w:lastRow="0" w:firstColumn="0" w:lastColumn="0" w:oddVBand="0" w:evenVBand="0" w:oddHBand="0" w:evenHBand="0" w:firstRowFirstColumn="0" w:firstRowLastColumn="0" w:lastRowFirstColumn="0" w:lastRowLastColumn="0"/>
            </w:pPr>
            <w:r w:rsidRPr="00D44B6D">
              <w:t>Public Health Questionnaire</w:t>
            </w:r>
          </w:p>
        </w:tc>
      </w:tr>
      <w:tr w:rsidR="004B6442" w:rsidRPr="00D44B6D" w14:paraId="66530E37" w14:textId="77777777" w:rsidTr="00AC23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C5C1A03" w14:textId="77777777" w:rsidR="004B6442" w:rsidRPr="00D44B6D" w:rsidRDefault="004B6442" w:rsidP="00AC23E4">
            <w:r w:rsidRPr="00D44B6D">
              <w:t>STAI</w:t>
            </w:r>
          </w:p>
        </w:tc>
        <w:tc>
          <w:tcPr>
            <w:tcW w:w="2980" w:type="dxa"/>
            <w:hideMark/>
          </w:tcPr>
          <w:p w14:paraId="245EDD0D" w14:textId="77777777" w:rsidR="004B6442" w:rsidRPr="00D44B6D" w:rsidRDefault="004B6442" w:rsidP="00AC23E4">
            <w:pPr>
              <w:cnfStyle w:val="000000100000" w:firstRow="0" w:lastRow="0" w:firstColumn="0" w:lastColumn="0" w:oddVBand="0" w:evenVBand="0" w:oddHBand="1" w:evenHBand="0" w:firstRowFirstColumn="0" w:firstRowLastColumn="0" w:lastRowFirstColumn="0" w:lastRowLastColumn="0"/>
            </w:pPr>
            <w:r w:rsidRPr="00D44B6D">
              <w:t>State Trait Anxiety Inventory</w:t>
            </w:r>
          </w:p>
        </w:tc>
      </w:tr>
    </w:tbl>
    <w:p w14:paraId="1B5553A9" w14:textId="77777777" w:rsidR="004B6442" w:rsidRDefault="004B6442" w:rsidP="004B6442">
      <w:pPr>
        <w:rPr>
          <w:rFonts w:asciiTheme="majorHAnsi" w:eastAsiaTheme="majorEastAsia" w:hAnsiTheme="majorHAnsi" w:cstheme="majorBidi"/>
          <w:b/>
          <w:bCs/>
          <w:caps/>
          <w:color w:val="002060"/>
          <w:spacing w:val="4"/>
          <w:sz w:val="28"/>
          <w:szCs w:val="28"/>
        </w:rPr>
      </w:pPr>
      <w:r>
        <w:br w:type="page"/>
      </w:r>
    </w:p>
    <w:p w14:paraId="63724AEF" w14:textId="135FBFE0" w:rsidR="004B6442" w:rsidRDefault="004B6442" w:rsidP="00604241">
      <w:pPr>
        <w:pStyle w:val="Heading2"/>
      </w:pPr>
      <w:r>
        <w:t xml:space="preserve">Supplementary Table 4: </w:t>
      </w:r>
      <w:r w:rsidR="000D2F41" w:rsidRPr="00672D7B">
        <w:rPr>
          <w:color w:val="0070C0"/>
        </w:rPr>
        <w:t>Mean pain ratings per participant/condition across trials</w:t>
      </w:r>
    </w:p>
    <w:tbl>
      <w:tblPr>
        <w:tblStyle w:val="PlainTable3"/>
        <w:tblW w:w="0" w:type="auto"/>
        <w:tblLook w:val="04A0" w:firstRow="1" w:lastRow="0" w:firstColumn="1" w:lastColumn="0" w:noHBand="0" w:noVBand="1"/>
      </w:tblPr>
      <w:tblGrid>
        <w:gridCol w:w="1393"/>
        <w:gridCol w:w="779"/>
        <w:gridCol w:w="827"/>
        <w:gridCol w:w="1248"/>
        <w:gridCol w:w="827"/>
        <w:gridCol w:w="1248"/>
        <w:gridCol w:w="827"/>
        <w:gridCol w:w="1248"/>
        <w:gridCol w:w="827"/>
        <w:gridCol w:w="1248"/>
        <w:gridCol w:w="1651"/>
      </w:tblGrid>
      <w:tr w:rsidR="004B6442" w:rsidRPr="00024247" w14:paraId="2E45DE63"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2B193DC"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Subject ID</w:t>
            </w:r>
          </w:p>
        </w:tc>
        <w:tc>
          <w:tcPr>
            <w:tcW w:w="0" w:type="auto"/>
            <w:noWrap/>
            <w:hideMark/>
          </w:tcPr>
          <w:p w14:paraId="61821B03" w14:textId="77777777" w:rsidR="004B6442" w:rsidRPr="00024247"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Group</w:t>
            </w:r>
          </w:p>
        </w:tc>
        <w:tc>
          <w:tcPr>
            <w:tcW w:w="0" w:type="auto"/>
            <w:gridSpan w:val="9"/>
            <w:noWrap/>
            <w:hideMark/>
          </w:tcPr>
          <w:p w14:paraId="575335DA" w14:textId="77777777" w:rsidR="004B6442" w:rsidRPr="00024247"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Numerical ratings of pain /10</w:t>
            </w:r>
          </w:p>
        </w:tc>
      </w:tr>
      <w:tr w:rsidR="004B6442" w:rsidRPr="00024247" w14:paraId="318FA154"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714EE9" w14:textId="77777777" w:rsidR="004B6442" w:rsidRPr="00024247" w:rsidRDefault="004B6442" w:rsidP="00AC23E4">
            <w:pPr>
              <w:rPr>
                <w:rFonts w:ascii="Calibri" w:eastAsia="Times New Roman" w:hAnsi="Calibri" w:cs="Calibri"/>
                <w:color w:val="000000"/>
                <w:sz w:val="18"/>
                <w:szCs w:val="18"/>
              </w:rPr>
            </w:pPr>
          </w:p>
        </w:tc>
        <w:tc>
          <w:tcPr>
            <w:tcW w:w="0" w:type="auto"/>
            <w:noWrap/>
            <w:hideMark/>
          </w:tcPr>
          <w:p w14:paraId="1AED1D6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gridSpan w:val="4"/>
            <w:noWrap/>
            <w:hideMark/>
          </w:tcPr>
          <w:p w14:paraId="158DF3A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Block 1</w:t>
            </w:r>
          </w:p>
        </w:tc>
        <w:tc>
          <w:tcPr>
            <w:tcW w:w="0" w:type="auto"/>
            <w:gridSpan w:val="4"/>
            <w:noWrap/>
            <w:hideMark/>
          </w:tcPr>
          <w:p w14:paraId="01CA05F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Block 2</w:t>
            </w:r>
          </w:p>
        </w:tc>
        <w:tc>
          <w:tcPr>
            <w:tcW w:w="0" w:type="auto"/>
            <w:noWrap/>
            <w:hideMark/>
          </w:tcPr>
          <w:p w14:paraId="3E53D7E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r>
      <w:tr w:rsidR="004B6442" w:rsidRPr="00024247" w14:paraId="18FBC720"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2CD227" w14:textId="77777777" w:rsidR="004B6442" w:rsidRPr="00024247" w:rsidRDefault="004B6442" w:rsidP="00AC23E4">
            <w:pPr>
              <w:rPr>
                <w:rFonts w:ascii="Times New Roman" w:eastAsia="Times New Roman" w:hAnsi="Times New Roman" w:cs="Times New Roman"/>
                <w:sz w:val="18"/>
                <w:szCs w:val="18"/>
              </w:rPr>
            </w:pPr>
          </w:p>
        </w:tc>
        <w:tc>
          <w:tcPr>
            <w:tcW w:w="0" w:type="auto"/>
            <w:noWrap/>
            <w:hideMark/>
          </w:tcPr>
          <w:p w14:paraId="48871CA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gridSpan w:val="2"/>
            <w:noWrap/>
            <w:hideMark/>
          </w:tcPr>
          <w:p w14:paraId="0263F21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laser intensity</w:t>
            </w:r>
          </w:p>
        </w:tc>
        <w:tc>
          <w:tcPr>
            <w:tcW w:w="0" w:type="auto"/>
            <w:gridSpan w:val="2"/>
            <w:noWrap/>
            <w:hideMark/>
          </w:tcPr>
          <w:p w14:paraId="4F4B1CA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Medium laser intensity</w:t>
            </w:r>
          </w:p>
        </w:tc>
        <w:tc>
          <w:tcPr>
            <w:tcW w:w="0" w:type="auto"/>
            <w:gridSpan w:val="2"/>
            <w:noWrap/>
            <w:hideMark/>
          </w:tcPr>
          <w:p w14:paraId="0F96B9F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laser intensity</w:t>
            </w:r>
          </w:p>
        </w:tc>
        <w:tc>
          <w:tcPr>
            <w:tcW w:w="0" w:type="auto"/>
            <w:gridSpan w:val="2"/>
            <w:noWrap/>
            <w:hideMark/>
          </w:tcPr>
          <w:p w14:paraId="24680E6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Medium laser intensity</w:t>
            </w:r>
          </w:p>
        </w:tc>
        <w:tc>
          <w:tcPr>
            <w:tcW w:w="0" w:type="auto"/>
            <w:noWrap/>
            <w:hideMark/>
          </w:tcPr>
          <w:p w14:paraId="46FDFDB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High laser intensity</w:t>
            </w:r>
          </w:p>
        </w:tc>
      </w:tr>
      <w:tr w:rsidR="004B6442" w:rsidRPr="00024247" w14:paraId="2A7FC875"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2E873" w14:textId="77777777" w:rsidR="004B6442" w:rsidRPr="00024247" w:rsidRDefault="004B6442" w:rsidP="00AC23E4">
            <w:pPr>
              <w:rPr>
                <w:rFonts w:ascii="Calibri" w:eastAsia="Times New Roman" w:hAnsi="Calibri" w:cs="Calibri"/>
                <w:color w:val="000000"/>
                <w:sz w:val="18"/>
                <w:szCs w:val="18"/>
              </w:rPr>
            </w:pPr>
          </w:p>
        </w:tc>
        <w:tc>
          <w:tcPr>
            <w:tcW w:w="0" w:type="auto"/>
            <w:noWrap/>
            <w:hideMark/>
          </w:tcPr>
          <w:p w14:paraId="066C44B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295F30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cue</w:t>
            </w:r>
          </w:p>
        </w:tc>
        <w:tc>
          <w:tcPr>
            <w:tcW w:w="0" w:type="auto"/>
            <w:noWrap/>
            <w:hideMark/>
          </w:tcPr>
          <w:p w14:paraId="4D98603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Prior high cue</w:t>
            </w:r>
          </w:p>
        </w:tc>
        <w:tc>
          <w:tcPr>
            <w:tcW w:w="0" w:type="auto"/>
            <w:noWrap/>
            <w:hideMark/>
          </w:tcPr>
          <w:p w14:paraId="69B07C5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cue</w:t>
            </w:r>
          </w:p>
        </w:tc>
        <w:tc>
          <w:tcPr>
            <w:tcW w:w="0" w:type="auto"/>
            <w:noWrap/>
            <w:hideMark/>
          </w:tcPr>
          <w:p w14:paraId="32A0173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Prior high cue</w:t>
            </w:r>
          </w:p>
        </w:tc>
        <w:tc>
          <w:tcPr>
            <w:tcW w:w="0" w:type="auto"/>
            <w:noWrap/>
            <w:hideMark/>
          </w:tcPr>
          <w:p w14:paraId="42A65BA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cue</w:t>
            </w:r>
          </w:p>
        </w:tc>
        <w:tc>
          <w:tcPr>
            <w:tcW w:w="0" w:type="auto"/>
            <w:noWrap/>
            <w:hideMark/>
          </w:tcPr>
          <w:p w14:paraId="031655D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Prior high cue</w:t>
            </w:r>
          </w:p>
        </w:tc>
        <w:tc>
          <w:tcPr>
            <w:tcW w:w="0" w:type="auto"/>
            <w:noWrap/>
            <w:hideMark/>
          </w:tcPr>
          <w:p w14:paraId="0AE7892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Low cue</w:t>
            </w:r>
          </w:p>
        </w:tc>
        <w:tc>
          <w:tcPr>
            <w:tcW w:w="0" w:type="auto"/>
            <w:noWrap/>
            <w:hideMark/>
          </w:tcPr>
          <w:p w14:paraId="6F85363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Prior high cue</w:t>
            </w:r>
          </w:p>
        </w:tc>
        <w:tc>
          <w:tcPr>
            <w:tcW w:w="0" w:type="auto"/>
            <w:noWrap/>
            <w:hideMark/>
          </w:tcPr>
          <w:p w14:paraId="647D004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024247">
              <w:rPr>
                <w:rFonts w:ascii="Calibri" w:eastAsia="Times New Roman" w:hAnsi="Calibri" w:cs="Calibri"/>
                <w:b/>
                <w:bCs/>
                <w:color w:val="000000"/>
                <w:sz w:val="18"/>
                <w:szCs w:val="18"/>
              </w:rPr>
              <w:t>High cue</w:t>
            </w:r>
          </w:p>
        </w:tc>
      </w:tr>
      <w:tr w:rsidR="004B6442" w:rsidRPr="00024247" w14:paraId="1F7FE2DE"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9FA3D"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w:t>
            </w:r>
          </w:p>
        </w:tc>
        <w:tc>
          <w:tcPr>
            <w:tcW w:w="0" w:type="auto"/>
            <w:noWrap/>
            <w:hideMark/>
          </w:tcPr>
          <w:p w14:paraId="62419F7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0A8EB57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1.70</w:t>
            </w:r>
          </w:p>
        </w:tc>
        <w:tc>
          <w:tcPr>
            <w:tcW w:w="0" w:type="auto"/>
            <w:noWrap/>
            <w:hideMark/>
          </w:tcPr>
          <w:p w14:paraId="1FD4EAB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1.78</w:t>
            </w:r>
          </w:p>
        </w:tc>
        <w:tc>
          <w:tcPr>
            <w:tcW w:w="0" w:type="auto"/>
            <w:noWrap/>
            <w:hideMark/>
          </w:tcPr>
          <w:p w14:paraId="463DC08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2.95</w:t>
            </w:r>
          </w:p>
        </w:tc>
        <w:tc>
          <w:tcPr>
            <w:tcW w:w="0" w:type="auto"/>
            <w:noWrap/>
            <w:hideMark/>
          </w:tcPr>
          <w:p w14:paraId="4A0EF40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3.75</w:t>
            </w:r>
          </w:p>
        </w:tc>
        <w:tc>
          <w:tcPr>
            <w:tcW w:w="0" w:type="auto"/>
            <w:noWrap/>
            <w:hideMark/>
          </w:tcPr>
          <w:p w14:paraId="3AB457E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1.89</w:t>
            </w:r>
          </w:p>
        </w:tc>
        <w:tc>
          <w:tcPr>
            <w:tcW w:w="0" w:type="auto"/>
            <w:noWrap/>
            <w:hideMark/>
          </w:tcPr>
          <w:p w14:paraId="339C3A7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2.15</w:t>
            </w:r>
          </w:p>
        </w:tc>
        <w:tc>
          <w:tcPr>
            <w:tcW w:w="0" w:type="auto"/>
            <w:noWrap/>
            <w:hideMark/>
          </w:tcPr>
          <w:p w14:paraId="0B7AC38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3.50</w:t>
            </w:r>
          </w:p>
        </w:tc>
        <w:tc>
          <w:tcPr>
            <w:tcW w:w="0" w:type="auto"/>
            <w:noWrap/>
            <w:hideMark/>
          </w:tcPr>
          <w:p w14:paraId="7FAB56D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3.10</w:t>
            </w:r>
          </w:p>
        </w:tc>
        <w:tc>
          <w:tcPr>
            <w:tcW w:w="0" w:type="auto"/>
            <w:noWrap/>
            <w:hideMark/>
          </w:tcPr>
          <w:p w14:paraId="6B2FB00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5.63</w:t>
            </w:r>
          </w:p>
        </w:tc>
      </w:tr>
      <w:tr w:rsidR="004B6442" w:rsidRPr="00024247" w14:paraId="0E650024"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82F23A9"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w:t>
            </w:r>
          </w:p>
        </w:tc>
        <w:tc>
          <w:tcPr>
            <w:tcW w:w="0" w:type="auto"/>
            <w:noWrap/>
            <w:hideMark/>
          </w:tcPr>
          <w:p w14:paraId="1377C90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7568326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2.32</w:t>
            </w:r>
          </w:p>
        </w:tc>
        <w:tc>
          <w:tcPr>
            <w:tcW w:w="0" w:type="auto"/>
            <w:noWrap/>
            <w:hideMark/>
          </w:tcPr>
          <w:p w14:paraId="3962E5A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2.59</w:t>
            </w:r>
          </w:p>
        </w:tc>
        <w:tc>
          <w:tcPr>
            <w:tcW w:w="0" w:type="auto"/>
            <w:noWrap/>
            <w:hideMark/>
          </w:tcPr>
          <w:p w14:paraId="2211D75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4.10</w:t>
            </w:r>
          </w:p>
        </w:tc>
        <w:tc>
          <w:tcPr>
            <w:tcW w:w="0" w:type="auto"/>
            <w:noWrap/>
            <w:hideMark/>
          </w:tcPr>
          <w:p w14:paraId="217E247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7F4A454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2.38</w:t>
            </w:r>
          </w:p>
        </w:tc>
        <w:tc>
          <w:tcPr>
            <w:tcW w:w="0" w:type="auto"/>
            <w:noWrap/>
            <w:hideMark/>
          </w:tcPr>
          <w:p w14:paraId="5F513A7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2.62</w:t>
            </w:r>
          </w:p>
        </w:tc>
        <w:tc>
          <w:tcPr>
            <w:tcW w:w="0" w:type="auto"/>
            <w:noWrap/>
            <w:hideMark/>
          </w:tcPr>
          <w:p w14:paraId="4A3BE5F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3.55</w:t>
            </w:r>
          </w:p>
        </w:tc>
        <w:tc>
          <w:tcPr>
            <w:tcW w:w="0" w:type="auto"/>
            <w:noWrap/>
            <w:hideMark/>
          </w:tcPr>
          <w:p w14:paraId="76F29B5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4.15</w:t>
            </w:r>
          </w:p>
        </w:tc>
        <w:tc>
          <w:tcPr>
            <w:tcW w:w="0" w:type="auto"/>
            <w:noWrap/>
            <w:hideMark/>
          </w:tcPr>
          <w:p w14:paraId="543EF5B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5.66</w:t>
            </w:r>
          </w:p>
        </w:tc>
      </w:tr>
      <w:tr w:rsidR="004B6442" w:rsidRPr="00024247" w14:paraId="2CB03F97"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3C32152"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w:t>
            </w:r>
          </w:p>
        </w:tc>
        <w:tc>
          <w:tcPr>
            <w:tcW w:w="0" w:type="auto"/>
            <w:noWrap/>
            <w:hideMark/>
          </w:tcPr>
          <w:p w14:paraId="7FE2222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21440F9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2.05</w:t>
            </w:r>
          </w:p>
        </w:tc>
        <w:tc>
          <w:tcPr>
            <w:tcW w:w="0" w:type="auto"/>
            <w:noWrap/>
            <w:hideMark/>
          </w:tcPr>
          <w:p w14:paraId="4B164E3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2.03</w:t>
            </w:r>
          </w:p>
        </w:tc>
        <w:tc>
          <w:tcPr>
            <w:tcW w:w="0" w:type="auto"/>
            <w:noWrap/>
            <w:hideMark/>
          </w:tcPr>
          <w:p w14:paraId="31C4AA8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3.85</w:t>
            </w:r>
          </w:p>
        </w:tc>
        <w:tc>
          <w:tcPr>
            <w:tcW w:w="0" w:type="auto"/>
            <w:noWrap/>
            <w:hideMark/>
          </w:tcPr>
          <w:p w14:paraId="60CF604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3.85</w:t>
            </w:r>
          </w:p>
        </w:tc>
        <w:tc>
          <w:tcPr>
            <w:tcW w:w="0" w:type="auto"/>
            <w:noWrap/>
            <w:hideMark/>
          </w:tcPr>
          <w:p w14:paraId="0EAE409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3.16</w:t>
            </w:r>
          </w:p>
        </w:tc>
        <w:tc>
          <w:tcPr>
            <w:tcW w:w="0" w:type="auto"/>
            <w:noWrap/>
            <w:hideMark/>
          </w:tcPr>
          <w:p w14:paraId="4DF0B9C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3.26</w:t>
            </w:r>
          </w:p>
        </w:tc>
        <w:tc>
          <w:tcPr>
            <w:tcW w:w="0" w:type="auto"/>
            <w:noWrap/>
            <w:hideMark/>
          </w:tcPr>
          <w:p w14:paraId="271491E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3.90</w:t>
            </w:r>
          </w:p>
        </w:tc>
        <w:tc>
          <w:tcPr>
            <w:tcW w:w="0" w:type="auto"/>
            <w:noWrap/>
            <w:hideMark/>
          </w:tcPr>
          <w:p w14:paraId="5B2D95F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3.90</w:t>
            </w:r>
          </w:p>
        </w:tc>
        <w:tc>
          <w:tcPr>
            <w:tcW w:w="0" w:type="auto"/>
            <w:noWrap/>
            <w:hideMark/>
          </w:tcPr>
          <w:p w14:paraId="7EDE2EA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5.78</w:t>
            </w:r>
          </w:p>
        </w:tc>
      </w:tr>
      <w:tr w:rsidR="004B6442" w:rsidRPr="00024247" w14:paraId="6E8C593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460FF"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4</w:t>
            </w:r>
          </w:p>
        </w:tc>
        <w:tc>
          <w:tcPr>
            <w:tcW w:w="0" w:type="auto"/>
            <w:noWrap/>
            <w:hideMark/>
          </w:tcPr>
          <w:p w14:paraId="7189C1A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4CD6BAD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2.39</w:t>
            </w:r>
          </w:p>
        </w:tc>
        <w:tc>
          <w:tcPr>
            <w:tcW w:w="0" w:type="auto"/>
            <w:noWrap/>
            <w:hideMark/>
          </w:tcPr>
          <w:p w14:paraId="64C9F49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2.76</w:t>
            </w:r>
          </w:p>
        </w:tc>
        <w:tc>
          <w:tcPr>
            <w:tcW w:w="0" w:type="auto"/>
            <w:noWrap/>
            <w:hideMark/>
          </w:tcPr>
          <w:p w14:paraId="32B9FB3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23E707B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712064D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2.65</w:t>
            </w:r>
          </w:p>
        </w:tc>
        <w:tc>
          <w:tcPr>
            <w:tcW w:w="0" w:type="auto"/>
            <w:noWrap/>
            <w:hideMark/>
          </w:tcPr>
          <w:p w14:paraId="02C9E9D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2.87</w:t>
            </w:r>
          </w:p>
        </w:tc>
        <w:tc>
          <w:tcPr>
            <w:tcW w:w="0" w:type="auto"/>
            <w:noWrap/>
            <w:hideMark/>
          </w:tcPr>
          <w:p w14:paraId="171BE30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4.30</w:t>
            </w:r>
          </w:p>
        </w:tc>
        <w:tc>
          <w:tcPr>
            <w:tcW w:w="0" w:type="auto"/>
            <w:noWrap/>
            <w:hideMark/>
          </w:tcPr>
          <w:p w14:paraId="23E2215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4.20</w:t>
            </w:r>
          </w:p>
        </w:tc>
        <w:tc>
          <w:tcPr>
            <w:tcW w:w="0" w:type="auto"/>
            <w:noWrap/>
            <w:hideMark/>
          </w:tcPr>
          <w:p w14:paraId="35252F1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5.22</w:t>
            </w:r>
          </w:p>
        </w:tc>
      </w:tr>
      <w:tr w:rsidR="004B6442" w:rsidRPr="00024247" w14:paraId="05653583"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946DD2F"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5</w:t>
            </w:r>
          </w:p>
        </w:tc>
        <w:tc>
          <w:tcPr>
            <w:tcW w:w="0" w:type="auto"/>
            <w:noWrap/>
            <w:hideMark/>
          </w:tcPr>
          <w:p w14:paraId="4EA01E0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6FACD71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1.86</w:t>
            </w:r>
          </w:p>
        </w:tc>
        <w:tc>
          <w:tcPr>
            <w:tcW w:w="0" w:type="auto"/>
            <w:noWrap/>
            <w:hideMark/>
          </w:tcPr>
          <w:p w14:paraId="54C4AAC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1.41</w:t>
            </w:r>
          </w:p>
        </w:tc>
        <w:tc>
          <w:tcPr>
            <w:tcW w:w="0" w:type="auto"/>
            <w:noWrap/>
            <w:hideMark/>
          </w:tcPr>
          <w:p w14:paraId="17D8864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3.80</w:t>
            </w:r>
          </w:p>
        </w:tc>
        <w:tc>
          <w:tcPr>
            <w:tcW w:w="0" w:type="auto"/>
            <w:noWrap/>
            <w:hideMark/>
          </w:tcPr>
          <w:p w14:paraId="68A3766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6201505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2.16</w:t>
            </w:r>
          </w:p>
        </w:tc>
        <w:tc>
          <w:tcPr>
            <w:tcW w:w="0" w:type="auto"/>
            <w:noWrap/>
            <w:hideMark/>
          </w:tcPr>
          <w:p w14:paraId="6774D38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2.23</w:t>
            </w:r>
          </w:p>
        </w:tc>
        <w:tc>
          <w:tcPr>
            <w:tcW w:w="0" w:type="auto"/>
            <w:noWrap/>
            <w:hideMark/>
          </w:tcPr>
          <w:p w14:paraId="07E4CB4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3.40</w:t>
            </w:r>
          </w:p>
        </w:tc>
        <w:tc>
          <w:tcPr>
            <w:tcW w:w="0" w:type="auto"/>
            <w:noWrap/>
            <w:hideMark/>
          </w:tcPr>
          <w:p w14:paraId="6F570A5A"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79351B4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6.24</w:t>
            </w:r>
          </w:p>
        </w:tc>
      </w:tr>
      <w:tr w:rsidR="004B6442" w:rsidRPr="00024247" w14:paraId="1BAAD444"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6C2A2A8"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6</w:t>
            </w:r>
          </w:p>
        </w:tc>
        <w:tc>
          <w:tcPr>
            <w:tcW w:w="0" w:type="auto"/>
            <w:noWrap/>
            <w:hideMark/>
          </w:tcPr>
          <w:p w14:paraId="43E6C61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074B6AD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0.95</w:t>
            </w:r>
          </w:p>
        </w:tc>
        <w:tc>
          <w:tcPr>
            <w:tcW w:w="0" w:type="auto"/>
            <w:noWrap/>
            <w:hideMark/>
          </w:tcPr>
          <w:p w14:paraId="734F13F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0.95</w:t>
            </w:r>
          </w:p>
        </w:tc>
        <w:tc>
          <w:tcPr>
            <w:tcW w:w="0" w:type="auto"/>
            <w:noWrap/>
            <w:hideMark/>
          </w:tcPr>
          <w:p w14:paraId="3BBEFF9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1.60</w:t>
            </w:r>
          </w:p>
        </w:tc>
        <w:tc>
          <w:tcPr>
            <w:tcW w:w="0" w:type="auto"/>
            <w:noWrap/>
            <w:hideMark/>
          </w:tcPr>
          <w:p w14:paraId="295F471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1.65</w:t>
            </w:r>
          </w:p>
        </w:tc>
        <w:tc>
          <w:tcPr>
            <w:tcW w:w="0" w:type="auto"/>
            <w:noWrap/>
            <w:hideMark/>
          </w:tcPr>
          <w:p w14:paraId="473779B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1.11</w:t>
            </w:r>
          </w:p>
        </w:tc>
        <w:tc>
          <w:tcPr>
            <w:tcW w:w="0" w:type="auto"/>
            <w:noWrap/>
            <w:hideMark/>
          </w:tcPr>
          <w:p w14:paraId="3645A0C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1.15</w:t>
            </w:r>
          </w:p>
        </w:tc>
        <w:tc>
          <w:tcPr>
            <w:tcW w:w="0" w:type="auto"/>
            <w:noWrap/>
            <w:hideMark/>
          </w:tcPr>
          <w:p w14:paraId="28359B5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1.80</w:t>
            </w:r>
          </w:p>
        </w:tc>
        <w:tc>
          <w:tcPr>
            <w:tcW w:w="0" w:type="auto"/>
            <w:noWrap/>
            <w:hideMark/>
          </w:tcPr>
          <w:p w14:paraId="2B95BA3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1.90</w:t>
            </w:r>
          </w:p>
        </w:tc>
        <w:tc>
          <w:tcPr>
            <w:tcW w:w="0" w:type="auto"/>
            <w:noWrap/>
            <w:hideMark/>
          </w:tcPr>
          <w:p w14:paraId="2A15A6C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4.37</w:t>
            </w:r>
          </w:p>
        </w:tc>
      </w:tr>
      <w:tr w:rsidR="004B6442" w:rsidRPr="00024247" w14:paraId="4C8CDFF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39DF73E"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7</w:t>
            </w:r>
          </w:p>
        </w:tc>
        <w:tc>
          <w:tcPr>
            <w:tcW w:w="0" w:type="auto"/>
            <w:noWrap/>
            <w:hideMark/>
          </w:tcPr>
          <w:p w14:paraId="5E22C46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76D4F30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2.32</w:t>
            </w:r>
          </w:p>
        </w:tc>
        <w:tc>
          <w:tcPr>
            <w:tcW w:w="0" w:type="auto"/>
            <w:noWrap/>
            <w:hideMark/>
          </w:tcPr>
          <w:p w14:paraId="627BAD4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2.65</w:t>
            </w:r>
          </w:p>
        </w:tc>
        <w:tc>
          <w:tcPr>
            <w:tcW w:w="0" w:type="auto"/>
            <w:noWrap/>
            <w:hideMark/>
          </w:tcPr>
          <w:p w14:paraId="3DB2777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029F17A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5.50</w:t>
            </w:r>
          </w:p>
        </w:tc>
        <w:tc>
          <w:tcPr>
            <w:tcW w:w="0" w:type="auto"/>
            <w:noWrap/>
            <w:hideMark/>
          </w:tcPr>
          <w:p w14:paraId="2C5B5DA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2.22</w:t>
            </w:r>
          </w:p>
        </w:tc>
        <w:tc>
          <w:tcPr>
            <w:tcW w:w="0" w:type="auto"/>
            <w:noWrap/>
            <w:hideMark/>
          </w:tcPr>
          <w:p w14:paraId="482580E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2.51</w:t>
            </w:r>
          </w:p>
        </w:tc>
        <w:tc>
          <w:tcPr>
            <w:tcW w:w="0" w:type="auto"/>
            <w:noWrap/>
            <w:hideMark/>
          </w:tcPr>
          <w:p w14:paraId="61CFF51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4.20</w:t>
            </w:r>
          </w:p>
        </w:tc>
        <w:tc>
          <w:tcPr>
            <w:tcW w:w="0" w:type="auto"/>
            <w:noWrap/>
            <w:hideMark/>
          </w:tcPr>
          <w:p w14:paraId="01FA49E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4.50</w:t>
            </w:r>
          </w:p>
        </w:tc>
        <w:tc>
          <w:tcPr>
            <w:tcW w:w="0" w:type="auto"/>
            <w:noWrap/>
            <w:hideMark/>
          </w:tcPr>
          <w:p w14:paraId="79F1CE8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6.56</w:t>
            </w:r>
          </w:p>
        </w:tc>
      </w:tr>
      <w:tr w:rsidR="004B6442" w:rsidRPr="00024247" w14:paraId="74A5F8D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3781BA8"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8</w:t>
            </w:r>
          </w:p>
        </w:tc>
        <w:tc>
          <w:tcPr>
            <w:tcW w:w="0" w:type="auto"/>
            <w:noWrap/>
            <w:hideMark/>
          </w:tcPr>
          <w:p w14:paraId="41C9E69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799FA0D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2.30</w:t>
            </w:r>
          </w:p>
        </w:tc>
        <w:tc>
          <w:tcPr>
            <w:tcW w:w="0" w:type="auto"/>
            <w:noWrap/>
            <w:hideMark/>
          </w:tcPr>
          <w:p w14:paraId="7BEA599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2.38</w:t>
            </w:r>
          </w:p>
        </w:tc>
        <w:tc>
          <w:tcPr>
            <w:tcW w:w="0" w:type="auto"/>
            <w:noWrap/>
            <w:hideMark/>
          </w:tcPr>
          <w:p w14:paraId="687B7E2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3.10</w:t>
            </w:r>
          </w:p>
        </w:tc>
        <w:tc>
          <w:tcPr>
            <w:tcW w:w="0" w:type="auto"/>
            <w:noWrap/>
            <w:hideMark/>
          </w:tcPr>
          <w:p w14:paraId="64A43E1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3.15</w:t>
            </w:r>
          </w:p>
        </w:tc>
        <w:tc>
          <w:tcPr>
            <w:tcW w:w="0" w:type="auto"/>
            <w:noWrap/>
            <w:hideMark/>
          </w:tcPr>
          <w:p w14:paraId="0BEFE07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2.30</w:t>
            </w:r>
          </w:p>
        </w:tc>
        <w:tc>
          <w:tcPr>
            <w:tcW w:w="0" w:type="auto"/>
            <w:noWrap/>
            <w:hideMark/>
          </w:tcPr>
          <w:p w14:paraId="0C82E75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2.44</w:t>
            </w:r>
          </w:p>
        </w:tc>
        <w:tc>
          <w:tcPr>
            <w:tcW w:w="0" w:type="auto"/>
            <w:noWrap/>
            <w:hideMark/>
          </w:tcPr>
          <w:p w14:paraId="14F27BC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3.30</w:t>
            </w:r>
          </w:p>
        </w:tc>
        <w:tc>
          <w:tcPr>
            <w:tcW w:w="0" w:type="auto"/>
            <w:noWrap/>
            <w:hideMark/>
          </w:tcPr>
          <w:p w14:paraId="358271F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685A8B7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5.54</w:t>
            </w:r>
          </w:p>
        </w:tc>
      </w:tr>
      <w:tr w:rsidR="004B6442" w:rsidRPr="00024247" w14:paraId="56024E5F"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479C42"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9</w:t>
            </w:r>
          </w:p>
        </w:tc>
        <w:tc>
          <w:tcPr>
            <w:tcW w:w="0" w:type="auto"/>
            <w:noWrap/>
            <w:hideMark/>
          </w:tcPr>
          <w:p w14:paraId="3C424F2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56E2F6A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2.95</w:t>
            </w:r>
          </w:p>
        </w:tc>
        <w:tc>
          <w:tcPr>
            <w:tcW w:w="0" w:type="auto"/>
            <w:noWrap/>
            <w:hideMark/>
          </w:tcPr>
          <w:p w14:paraId="5C1CADE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3.03</w:t>
            </w:r>
          </w:p>
        </w:tc>
        <w:tc>
          <w:tcPr>
            <w:tcW w:w="0" w:type="auto"/>
            <w:noWrap/>
            <w:hideMark/>
          </w:tcPr>
          <w:p w14:paraId="53480C7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4.35</w:t>
            </w:r>
          </w:p>
        </w:tc>
        <w:tc>
          <w:tcPr>
            <w:tcW w:w="0" w:type="auto"/>
            <w:noWrap/>
            <w:hideMark/>
          </w:tcPr>
          <w:p w14:paraId="0E1449F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5.00</w:t>
            </w:r>
          </w:p>
        </w:tc>
        <w:tc>
          <w:tcPr>
            <w:tcW w:w="0" w:type="auto"/>
            <w:noWrap/>
            <w:hideMark/>
          </w:tcPr>
          <w:p w14:paraId="3B665CC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3.30</w:t>
            </w:r>
          </w:p>
        </w:tc>
        <w:tc>
          <w:tcPr>
            <w:tcW w:w="0" w:type="auto"/>
            <w:noWrap/>
            <w:hideMark/>
          </w:tcPr>
          <w:p w14:paraId="6102F6A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3.33</w:t>
            </w:r>
          </w:p>
        </w:tc>
        <w:tc>
          <w:tcPr>
            <w:tcW w:w="0" w:type="auto"/>
            <w:noWrap/>
            <w:hideMark/>
          </w:tcPr>
          <w:p w14:paraId="49BDE1E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4.20</w:t>
            </w:r>
          </w:p>
        </w:tc>
        <w:tc>
          <w:tcPr>
            <w:tcW w:w="0" w:type="auto"/>
            <w:noWrap/>
            <w:hideMark/>
          </w:tcPr>
          <w:p w14:paraId="149118D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4.55</w:t>
            </w:r>
          </w:p>
        </w:tc>
        <w:tc>
          <w:tcPr>
            <w:tcW w:w="0" w:type="auto"/>
            <w:noWrap/>
            <w:hideMark/>
          </w:tcPr>
          <w:p w14:paraId="1D72BE7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6.46</w:t>
            </w:r>
          </w:p>
        </w:tc>
      </w:tr>
      <w:tr w:rsidR="004B6442" w:rsidRPr="00024247" w14:paraId="226CB85C"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1857C9D"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10</w:t>
            </w:r>
          </w:p>
        </w:tc>
        <w:tc>
          <w:tcPr>
            <w:tcW w:w="0" w:type="auto"/>
            <w:noWrap/>
            <w:hideMark/>
          </w:tcPr>
          <w:p w14:paraId="690A4E4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4B6AD3D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3.30</w:t>
            </w:r>
          </w:p>
        </w:tc>
        <w:tc>
          <w:tcPr>
            <w:tcW w:w="0" w:type="auto"/>
            <w:noWrap/>
            <w:hideMark/>
          </w:tcPr>
          <w:p w14:paraId="5C4CA55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2.92</w:t>
            </w:r>
          </w:p>
        </w:tc>
        <w:tc>
          <w:tcPr>
            <w:tcW w:w="0" w:type="auto"/>
            <w:noWrap/>
            <w:hideMark/>
          </w:tcPr>
          <w:p w14:paraId="0370894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2.75</w:t>
            </w:r>
          </w:p>
        </w:tc>
        <w:tc>
          <w:tcPr>
            <w:tcW w:w="0" w:type="auto"/>
            <w:noWrap/>
            <w:hideMark/>
          </w:tcPr>
          <w:p w14:paraId="0F4E130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3.25</w:t>
            </w:r>
          </w:p>
        </w:tc>
        <w:tc>
          <w:tcPr>
            <w:tcW w:w="0" w:type="auto"/>
            <w:noWrap/>
            <w:hideMark/>
          </w:tcPr>
          <w:p w14:paraId="413C9E8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3.76</w:t>
            </w:r>
          </w:p>
        </w:tc>
        <w:tc>
          <w:tcPr>
            <w:tcW w:w="0" w:type="auto"/>
            <w:noWrap/>
            <w:hideMark/>
          </w:tcPr>
          <w:p w14:paraId="4D9B6B1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3.72</w:t>
            </w:r>
          </w:p>
        </w:tc>
        <w:tc>
          <w:tcPr>
            <w:tcW w:w="0" w:type="auto"/>
            <w:noWrap/>
            <w:hideMark/>
          </w:tcPr>
          <w:p w14:paraId="5E68A32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2.70</w:t>
            </w:r>
          </w:p>
        </w:tc>
        <w:tc>
          <w:tcPr>
            <w:tcW w:w="0" w:type="auto"/>
            <w:noWrap/>
            <w:hideMark/>
          </w:tcPr>
          <w:p w14:paraId="6F47FFC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2.90</w:t>
            </w:r>
          </w:p>
        </w:tc>
        <w:tc>
          <w:tcPr>
            <w:tcW w:w="0" w:type="auto"/>
            <w:noWrap/>
            <w:hideMark/>
          </w:tcPr>
          <w:p w14:paraId="382C9C1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3.68</w:t>
            </w:r>
          </w:p>
        </w:tc>
      </w:tr>
      <w:tr w:rsidR="004B6442" w:rsidRPr="00024247" w14:paraId="151A4E5B"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E95606"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11</w:t>
            </w:r>
          </w:p>
        </w:tc>
        <w:tc>
          <w:tcPr>
            <w:tcW w:w="0" w:type="auto"/>
            <w:noWrap/>
            <w:hideMark/>
          </w:tcPr>
          <w:p w14:paraId="7595EB4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137037D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2.20</w:t>
            </w:r>
          </w:p>
        </w:tc>
        <w:tc>
          <w:tcPr>
            <w:tcW w:w="0" w:type="auto"/>
            <w:noWrap/>
            <w:hideMark/>
          </w:tcPr>
          <w:p w14:paraId="531A472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2.73</w:t>
            </w:r>
          </w:p>
        </w:tc>
        <w:tc>
          <w:tcPr>
            <w:tcW w:w="0" w:type="auto"/>
            <w:noWrap/>
            <w:hideMark/>
          </w:tcPr>
          <w:p w14:paraId="3227C70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3B0A618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184C750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2.62</w:t>
            </w:r>
          </w:p>
        </w:tc>
        <w:tc>
          <w:tcPr>
            <w:tcW w:w="0" w:type="auto"/>
            <w:noWrap/>
            <w:hideMark/>
          </w:tcPr>
          <w:p w14:paraId="4832401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2.87</w:t>
            </w:r>
          </w:p>
        </w:tc>
        <w:tc>
          <w:tcPr>
            <w:tcW w:w="0" w:type="auto"/>
            <w:noWrap/>
            <w:hideMark/>
          </w:tcPr>
          <w:p w14:paraId="4AD2B00A"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3.95</w:t>
            </w:r>
          </w:p>
        </w:tc>
        <w:tc>
          <w:tcPr>
            <w:tcW w:w="0" w:type="auto"/>
            <w:noWrap/>
            <w:hideMark/>
          </w:tcPr>
          <w:p w14:paraId="0FB8541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2D7FA64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5.93</w:t>
            </w:r>
          </w:p>
        </w:tc>
      </w:tr>
      <w:tr w:rsidR="004B6442" w:rsidRPr="00024247" w14:paraId="65BEC6CB"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D3CAFC2"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12</w:t>
            </w:r>
          </w:p>
        </w:tc>
        <w:tc>
          <w:tcPr>
            <w:tcW w:w="0" w:type="auto"/>
            <w:noWrap/>
            <w:hideMark/>
          </w:tcPr>
          <w:p w14:paraId="0C2F6FE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12E3F2B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2.80</w:t>
            </w:r>
          </w:p>
        </w:tc>
        <w:tc>
          <w:tcPr>
            <w:tcW w:w="0" w:type="auto"/>
            <w:noWrap/>
            <w:hideMark/>
          </w:tcPr>
          <w:p w14:paraId="4DE41AF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3.22</w:t>
            </w:r>
          </w:p>
        </w:tc>
        <w:tc>
          <w:tcPr>
            <w:tcW w:w="0" w:type="auto"/>
            <w:noWrap/>
            <w:hideMark/>
          </w:tcPr>
          <w:p w14:paraId="42EC766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4.50</w:t>
            </w:r>
          </w:p>
        </w:tc>
        <w:tc>
          <w:tcPr>
            <w:tcW w:w="0" w:type="auto"/>
            <w:noWrap/>
            <w:hideMark/>
          </w:tcPr>
          <w:p w14:paraId="048788D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4.40</w:t>
            </w:r>
          </w:p>
        </w:tc>
        <w:tc>
          <w:tcPr>
            <w:tcW w:w="0" w:type="auto"/>
            <w:noWrap/>
            <w:hideMark/>
          </w:tcPr>
          <w:p w14:paraId="5E98784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2.92</w:t>
            </w:r>
          </w:p>
        </w:tc>
        <w:tc>
          <w:tcPr>
            <w:tcW w:w="0" w:type="auto"/>
            <w:noWrap/>
            <w:hideMark/>
          </w:tcPr>
          <w:p w14:paraId="1A4AA75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2.87</w:t>
            </w:r>
          </w:p>
        </w:tc>
        <w:tc>
          <w:tcPr>
            <w:tcW w:w="0" w:type="auto"/>
            <w:noWrap/>
            <w:hideMark/>
          </w:tcPr>
          <w:p w14:paraId="3D0277E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4.75</w:t>
            </w:r>
          </w:p>
        </w:tc>
        <w:tc>
          <w:tcPr>
            <w:tcW w:w="0" w:type="auto"/>
            <w:noWrap/>
            <w:hideMark/>
          </w:tcPr>
          <w:p w14:paraId="22BE440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4.60</w:t>
            </w:r>
          </w:p>
        </w:tc>
        <w:tc>
          <w:tcPr>
            <w:tcW w:w="0" w:type="auto"/>
            <w:noWrap/>
            <w:hideMark/>
          </w:tcPr>
          <w:p w14:paraId="78440D4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6.49</w:t>
            </w:r>
          </w:p>
        </w:tc>
      </w:tr>
      <w:tr w:rsidR="004B6442" w:rsidRPr="00024247" w14:paraId="5FB0148C"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D3DC6"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13</w:t>
            </w:r>
          </w:p>
        </w:tc>
        <w:tc>
          <w:tcPr>
            <w:tcW w:w="0" w:type="auto"/>
            <w:noWrap/>
            <w:hideMark/>
          </w:tcPr>
          <w:p w14:paraId="5C97C19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44EA0CC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2.34</w:t>
            </w:r>
          </w:p>
        </w:tc>
        <w:tc>
          <w:tcPr>
            <w:tcW w:w="0" w:type="auto"/>
            <w:noWrap/>
            <w:hideMark/>
          </w:tcPr>
          <w:p w14:paraId="61F9091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2.45</w:t>
            </w:r>
          </w:p>
        </w:tc>
        <w:tc>
          <w:tcPr>
            <w:tcW w:w="0" w:type="auto"/>
            <w:noWrap/>
            <w:hideMark/>
          </w:tcPr>
          <w:p w14:paraId="29DF305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3.81</w:t>
            </w:r>
          </w:p>
        </w:tc>
        <w:tc>
          <w:tcPr>
            <w:tcW w:w="0" w:type="auto"/>
            <w:noWrap/>
            <w:hideMark/>
          </w:tcPr>
          <w:p w14:paraId="724E6A2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4.06</w:t>
            </w:r>
          </w:p>
        </w:tc>
        <w:tc>
          <w:tcPr>
            <w:tcW w:w="0" w:type="auto"/>
            <w:noWrap/>
            <w:hideMark/>
          </w:tcPr>
          <w:p w14:paraId="454B06E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2.40</w:t>
            </w:r>
          </w:p>
        </w:tc>
        <w:tc>
          <w:tcPr>
            <w:tcW w:w="0" w:type="auto"/>
            <w:noWrap/>
            <w:hideMark/>
          </w:tcPr>
          <w:p w14:paraId="6A54905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2.52</w:t>
            </w:r>
          </w:p>
        </w:tc>
        <w:tc>
          <w:tcPr>
            <w:tcW w:w="0" w:type="auto"/>
            <w:noWrap/>
            <w:hideMark/>
          </w:tcPr>
          <w:p w14:paraId="4931BA2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3.61</w:t>
            </w:r>
          </w:p>
        </w:tc>
        <w:tc>
          <w:tcPr>
            <w:tcW w:w="0" w:type="auto"/>
            <w:noWrap/>
            <w:hideMark/>
          </w:tcPr>
          <w:p w14:paraId="13BE9F7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3.76</w:t>
            </w:r>
          </w:p>
        </w:tc>
        <w:tc>
          <w:tcPr>
            <w:tcW w:w="0" w:type="auto"/>
            <w:noWrap/>
            <w:hideMark/>
          </w:tcPr>
          <w:p w14:paraId="12F86E6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5.65</w:t>
            </w:r>
          </w:p>
        </w:tc>
      </w:tr>
      <w:tr w:rsidR="004B6442" w:rsidRPr="00024247" w14:paraId="6DFB9B7B"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111225E"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14</w:t>
            </w:r>
          </w:p>
        </w:tc>
        <w:tc>
          <w:tcPr>
            <w:tcW w:w="0" w:type="auto"/>
            <w:noWrap/>
            <w:hideMark/>
          </w:tcPr>
          <w:p w14:paraId="09602C0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4985745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2.23</w:t>
            </w:r>
          </w:p>
        </w:tc>
        <w:tc>
          <w:tcPr>
            <w:tcW w:w="0" w:type="auto"/>
            <w:noWrap/>
            <w:hideMark/>
          </w:tcPr>
          <w:p w14:paraId="1FCC04C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2.11</w:t>
            </w:r>
          </w:p>
        </w:tc>
        <w:tc>
          <w:tcPr>
            <w:tcW w:w="0" w:type="auto"/>
            <w:noWrap/>
            <w:hideMark/>
          </w:tcPr>
          <w:p w14:paraId="70DF409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3.25</w:t>
            </w:r>
          </w:p>
        </w:tc>
        <w:tc>
          <w:tcPr>
            <w:tcW w:w="0" w:type="auto"/>
            <w:noWrap/>
            <w:hideMark/>
          </w:tcPr>
          <w:p w14:paraId="3FBEEBC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1A6901C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1.78</w:t>
            </w:r>
          </w:p>
        </w:tc>
        <w:tc>
          <w:tcPr>
            <w:tcW w:w="0" w:type="auto"/>
            <w:noWrap/>
            <w:hideMark/>
          </w:tcPr>
          <w:p w14:paraId="4976BF4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2.00</w:t>
            </w:r>
          </w:p>
        </w:tc>
        <w:tc>
          <w:tcPr>
            <w:tcW w:w="0" w:type="auto"/>
            <w:noWrap/>
            <w:hideMark/>
          </w:tcPr>
          <w:p w14:paraId="6B9514A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4.70</w:t>
            </w:r>
          </w:p>
        </w:tc>
        <w:tc>
          <w:tcPr>
            <w:tcW w:w="0" w:type="auto"/>
            <w:noWrap/>
            <w:hideMark/>
          </w:tcPr>
          <w:p w14:paraId="51455EC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4.20</w:t>
            </w:r>
          </w:p>
        </w:tc>
        <w:tc>
          <w:tcPr>
            <w:tcW w:w="0" w:type="auto"/>
            <w:noWrap/>
            <w:hideMark/>
          </w:tcPr>
          <w:p w14:paraId="6D51963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5.46</w:t>
            </w:r>
          </w:p>
        </w:tc>
      </w:tr>
      <w:tr w:rsidR="004B6442" w:rsidRPr="00024247" w14:paraId="1906E4D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888BB30"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15</w:t>
            </w:r>
          </w:p>
        </w:tc>
        <w:tc>
          <w:tcPr>
            <w:tcW w:w="0" w:type="auto"/>
            <w:noWrap/>
            <w:hideMark/>
          </w:tcPr>
          <w:p w14:paraId="608203D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76DB36E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2.77</w:t>
            </w:r>
          </w:p>
        </w:tc>
        <w:tc>
          <w:tcPr>
            <w:tcW w:w="0" w:type="auto"/>
            <w:noWrap/>
            <w:hideMark/>
          </w:tcPr>
          <w:p w14:paraId="52D66BA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3.54</w:t>
            </w:r>
          </w:p>
        </w:tc>
        <w:tc>
          <w:tcPr>
            <w:tcW w:w="0" w:type="auto"/>
            <w:noWrap/>
            <w:hideMark/>
          </w:tcPr>
          <w:p w14:paraId="06EBB10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4.75</w:t>
            </w:r>
          </w:p>
        </w:tc>
        <w:tc>
          <w:tcPr>
            <w:tcW w:w="0" w:type="auto"/>
            <w:noWrap/>
            <w:hideMark/>
          </w:tcPr>
          <w:p w14:paraId="1AF2C2C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4.75</w:t>
            </w:r>
          </w:p>
        </w:tc>
        <w:tc>
          <w:tcPr>
            <w:tcW w:w="0" w:type="auto"/>
            <w:noWrap/>
            <w:hideMark/>
          </w:tcPr>
          <w:p w14:paraId="6E26AAA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0.41</w:t>
            </w:r>
          </w:p>
        </w:tc>
        <w:tc>
          <w:tcPr>
            <w:tcW w:w="0" w:type="auto"/>
            <w:noWrap/>
            <w:hideMark/>
          </w:tcPr>
          <w:p w14:paraId="5C6D8D2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0.62</w:t>
            </w:r>
          </w:p>
        </w:tc>
        <w:tc>
          <w:tcPr>
            <w:tcW w:w="0" w:type="auto"/>
            <w:noWrap/>
            <w:hideMark/>
          </w:tcPr>
          <w:p w14:paraId="71CCEBE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2.15</w:t>
            </w:r>
          </w:p>
        </w:tc>
        <w:tc>
          <w:tcPr>
            <w:tcW w:w="0" w:type="auto"/>
            <w:noWrap/>
            <w:hideMark/>
          </w:tcPr>
          <w:p w14:paraId="5D82FBD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3.05</w:t>
            </w:r>
          </w:p>
        </w:tc>
        <w:tc>
          <w:tcPr>
            <w:tcW w:w="0" w:type="auto"/>
            <w:noWrap/>
            <w:hideMark/>
          </w:tcPr>
          <w:p w14:paraId="0504824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5.56</w:t>
            </w:r>
          </w:p>
        </w:tc>
      </w:tr>
      <w:tr w:rsidR="004B6442" w:rsidRPr="00024247" w14:paraId="37AF4101"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84E58A"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16</w:t>
            </w:r>
          </w:p>
        </w:tc>
        <w:tc>
          <w:tcPr>
            <w:tcW w:w="0" w:type="auto"/>
            <w:noWrap/>
            <w:hideMark/>
          </w:tcPr>
          <w:p w14:paraId="5D66C12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High PC</w:t>
            </w:r>
          </w:p>
        </w:tc>
        <w:tc>
          <w:tcPr>
            <w:tcW w:w="0" w:type="auto"/>
            <w:noWrap/>
            <w:hideMark/>
          </w:tcPr>
          <w:p w14:paraId="4A0C4C0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3.02</w:t>
            </w:r>
          </w:p>
        </w:tc>
        <w:tc>
          <w:tcPr>
            <w:tcW w:w="0" w:type="auto"/>
            <w:noWrap/>
            <w:hideMark/>
          </w:tcPr>
          <w:p w14:paraId="54CDB37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2.59</w:t>
            </w:r>
          </w:p>
        </w:tc>
        <w:tc>
          <w:tcPr>
            <w:tcW w:w="0" w:type="auto"/>
            <w:noWrap/>
            <w:hideMark/>
          </w:tcPr>
          <w:p w14:paraId="726A869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4.85</w:t>
            </w:r>
          </w:p>
        </w:tc>
        <w:tc>
          <w:tcPr>
            <w:tcW w:w="0" w:type="auto"/>
            <w:noWrap/>
            <w:hideMark/>
          </w:tcPr>
          <w:p w14:paraId="7BB9343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5.00</w:t>
            </w:r>
          </w:p>
        </w:tc>
        <w:tc>
          <w:tcPr>
            <w:tcW w:w="0" w:type="auto"/>
            <w:noWrap/>
            <w:hideMark/>
          </w:tcPr>
          <w:p w14:paraId="0B148C5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2E58397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09A1B15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1B1C72E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2D6FDE4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6.17</w:t>
            </w:r>
          </w:p>
        </w:tc>
      </w:tr>
      <w:tr w:rsidR="004B6442" w:rsidRPr="00024247" w14:paraId="38AE5148"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5D9CD4"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Mean</w:t>
            </w:r>
            <w:r>
              <w:rPr>
                <w:rFonts w:ascii="Calibri" w:eastAsia="Times New Roman" w:hAnsi="Calibri" w:cs="Calibri"/>
                <w:color w:val="000000"/>
                <w:sz w:val="18"/>
                <w:szCs w:val="18"/>
              </w:rPr>
              <w:t xml:space="preserve"> (group)</w:t>
            </w:r>
          </w:p>
        </w:tc>
        <w:tc>
          <w:tcPr>
            <w:tcW w:w="0" w:type="auto"/>
            <w:noWrap/>
            <w:hideMark/>
          </w:tcPr>
          <w:p w14:paraId="7756463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43D04D4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2.34</w:t>
            </w:r>
          </w:p>
        </w:tc>
        <w:tc>
          <w:tcPr>
            <w:tcW w:w="0" w:type="auto"/>
            <w:noWrap/>
            <w:hideMark/>
          </w:tcPr>
          <w:p w14:paraId="29305C9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2.45</w:t>
            </w:r>
          </w:p>
        </w:tc>
        <w:tc>
          <w:tcPr>
            <w:tcW w:w="0" w:type="auto"/>
            <w:noWrap/>
            <w:hideMark/>
          </w:tcPr>
          <w:p w14:paraId="3F5D5D4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3.83</w:t>
            </w:r>
          </w:p>
        </w:tc>
        <w:tc>
          <w:tcPr>
            <w:tcW w:w="0" w:type="auto"/>
            <w:noWrap/>
            <w:hideMark/>
          </w:tcPr>
          <w:p w14:paraId="7BD15F9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4.13</w:t>
            </w:r>
          </w:p>
        </w:tc>
        <w:tc>
          <w:tcPr>
            <w:tcW w:w="0" w:type="auto"/>
            <w:noWrap/>
            <w:hideMark/>
          </w:tcPr>
          <w:p w14:paraId="2A4DE18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2.38</w:t>
            </w:r>
          </w:p>
        </w:tc>
        <w:tc>
          <w:tcPr>
            <w:tcW w:w="0" w:type="auto"/>
            <w:noWrap/>
            <w:hideMark/>
          </w:tcPr>
          <w:p w14:paraId="08D2BE0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2.51</w:t>
            </w:r>
          </w:p>
        </w:tc>
        <w:tc>
          <w:tcPr>
            <w:tcW w:w="0" w:type="auto"/>
            <w:noWrap/>
            <w:hideMark/>
          </w:tcPr>
          <w:p w14:paraId="17D2052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6F1BF8B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3.74</w:t>
            </w:r>
          </w:p>
        </w:tc>
        <w:tc>
          <w:tcPr>
            <w:tcW w:w="0" w:type="auto"/>
            <w:noWrap/>
            <w:hideMark/>
          </w:tcPr>
          <w:p w14:paraId="1F20642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5.65</w:t>
            </w:r>
          </w:p>
        </w:tc>
      </w:tr>
      <w:tr w:rsidR="004B6442" w:rsidRPr="00024247" w14:paraId="1A0E5697"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10456"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SD</w:t>
            </w:r>
            <w:r>
              <w:rPr>
                <w:rFonts w:ascii="Calibri" w:eastAsia="Times New Roman" w:hAnsi="Calibri" w:cs="Calibri"/>
                <w:color w:val="000000"/>
                <w:sz w:val="18"/>
                <w:szCs w:val="18"/>
              </w:rPr>
              <w:t xml:space="preserve"> (group)</w:t>
            </w:r>
          </w:p>
        </w:tc>
        <w:tc>
          <w:tcPr>
            <w:tcW w:w="0" w:type="auto"/>
            <w:noWrap/>
            <w:hideMark/>
          </w:tcPr>
          <w:p w14:paraId="14C00E2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26EC409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0.57</w:t>
            </w:r>
          </w:p>
        </w:tc>
        <w:tc>
          <w:tcPr>
            <w:tcW w:w="0" w:type="auto"/>
            <w:noWrap/>
            <w:hideMark/>
          </w:tcPr>
          <w:p w14:paraId="5075D65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0.67</w:t>
            </w:r>
          </w:p>
        </w:tc>
        <w:tc>
          <w:tcPr>
            <w:tcW w:w="0" w:type="auto"/>
            <w:noWrap/>
            <w:hideMark/>
          </w:tcPr>
          <w:p w14:paraId="53AB9A8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0.89</w:t>
            </w:r>
          </w:p>
        </w:tc>
        <w:tc>
          <w:tcPr>
            <w:tcW w:w="0" w:type="auto"/>
            <w:noWrap/>
            <w:hideMark/>
          </w:tcPr>
          <w:p w14:paraId="7953C9E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0.92</w:t>
            </w:r>
          </w:p>
        </w:tc>
        <w:tc>
          <w:tcPr>
            <w:tcW w:w="0" w:type="auto"/>
            <w:noWrap/>
            <w:hideMark/>
          </w:tcPr>
          <w:p w14:paraId="1E75070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0.83</w:t>
            </w:r>
          </w:p>
        </w:tc>
        <w:tc>
          <w:tcPr>
            <w:tcW w:w="0" w:type="auto"/>
            <w:noWrap/>
            <w:hideMark/>
          </w:tcPr>
          <w:p w14:paraId="0A9C1B5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0.78</w:t>
            </w:r>
          </w:p>
        </w:tc>
        <w:tc>
          <w:tcPr>
            <w:tcW w:w="0" w:type="auto"/>
            <w:noWrap/>
            <w:hideMark/>
          </w:tcPr>
          <w:p w14:paraId="21D0E8F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0.85</w:t>
            </w:r>
          </w:p>
        </w:tc>
        <w:tc>
          <w:tcPr>
            <w:tcW w:w="0" w:type="auto"/>
            <w:noWrap/>
            <w:hideMark/>
          </w:tcPr>
          <w:p w14:paraId="66860CD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0.74</w:t>
            </w:r>
          </w:p>
        </w:tc>
        <w:tc>
          <w:tcPr>
            <w:tcW w:w="0" w:type="auto"/>
            <w:noWrap/>
            <w:hideMark/>
          </w:tcPr>
          <w:p w14:paraId="3FA78E6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0.76</w:t>
            </w:r>
          </w:p>
        </w:tc>
      </w:tr>
      <w:tr w:rsidR="004B6442" w:rsidRPr="00024247" w14:paraId="7F0FF8AC"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31CA48A" w14:textId="77777777" w:rsidR="004B6442" w:rsidRPr="00024247" w:rsidRDefault="004B6442" w:rsidP="00AC23E4">
            <w:pPr>
              <w:rPr>
                <w:rFonts w:ascii="Calibri" w:eastAsia="Times New Roman" w:hAnsi="Calibri" w:cs="Calibri"/>
                <w:color w:val="000000"/>
                <w:sz w:val="18"/>
                <w:szCs w:val="18"/>
              </w:rPr>
            </w:pPr>
          </w:p>
        </w:tc>
        <w:tc>
          <w:tcPr>
            <w:tcW w:w="0" w:type="auto"/>
            <w:noWrap/>
            <w:hideMark/>
          </w:tcPr>
          <w:p w14:paraId="6CE1191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28DB60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618DA08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15467C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6E1D5BF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75DC81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63D18DB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935A4D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A01379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3BBDE53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024247" w14:paraId="158C1DDD"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2C3E26F"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17</w:t>
            </w:r>
          </w:p>
        </w:tc>
        <w:tc>
          <w:tcPr>
            <w:tcW w:w="0" w:type="auto"/>
            <w:noWrap/>
            <w:hideMark/>
          </w:tcPr>
          <w:p w14:paraId="4FD2913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5C19E37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1.98</w:t>
            </w:r>
          </w:p>
        </w:tc>
        <w:tc>
          <w:tcPr>
            <w:tcW w:w="0" w:type="auto"/>
            <w:noWrap/>
            <w:hideMark/>
          </w:tcPr>
          <w:p w14:paraId="6838291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1.84</w:t>
            </w:r>
          </w:p>
        </w:tc>
        <w:tc>
          <w:tcPr>
            <w:tcW w:w="0" w:type="auto"/>
            <w:noWrap/>
            <w:hideMark/>
          </w:tcPr>
          <w:p w14:paraId="4D8C4D0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4.05</w:t>
            </w:r>
          </w:p>
        </w:tc>
        <w:tc>
          <w:tcPr>
            <w:tcW w:w="0" w:type="auto"/>
            <w:noWrap/>
            <w:hideMark/>
          </w:tcPr>
          <w:p w14:paraId="1A7446A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4.60</w:t>
            </w:r>
          </w:p>
        </w:tc>
        <w:tc>
          <w:tcPr>
            <w:tcW w:w="0" w:type="auto"/>
            <w:noWrap/>
            <w:hideMark/>
          </w:tcPr>
          <w:p w14:paraId="79C6920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2.74</w:t>
            </w:r>
          </w:p>
        </w:tc>
        <w:tc>
          <w:tcPr>
            <w:tcW w:w="0" w:type="auto"/>
            <w:noWrap/>
            <w:hideMark/>
          </w:tcPr>
          <w:p w14:paraId="51DE482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2.87</w:t>
            </w:r>
          </w:p>
        </w:tc>
        <w:tc>
          <w:tcPr>
            <w:tcW w:w="0" w:type="auto"/>
            <w:noWrap/>
            <w:hideMark/>
          </w:tcPr>
          <w:p w14:paraId="5782E00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52D8460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3.94</w:t>
            </w:r>
          </w:p>
        </w:tc>
        <w:tc>
          <w:tcPr>
            <w:tcW w:w="0" w:type="auto"/>
            <w:noWrap/>
            <w:hideMark/>
          </w:tcPr>
          <w:p w14:paraId="4E0449B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6.16</w:t>
            </w:r>
          </w:p>
        </w:tc>
      </w:tr>
      <w:tr w:rsidR="004B6442" w:rsidRPr="00024247" w14:paraId="39703D7E"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B6265DA"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18</w:t>
            </w:r>
          </w:p>
        </w:tc>
        <w:tc>
          <w:tcPr>
            <w:tcW w:w="0" w:type="auto"/>
            <w:noWrap/>
            <w:hideMark/>
          </w:tcPr>
          <w:p w14:paraId="48EA295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5A41FEC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1.71</w:t>
            </w:r>
          </w:p>
        </w:tc>
        <w:tc>
          <w:tcPr>
            <w:tcW w:w="0" w:type="auto"/>
            <w:noWrap/>
            <w:hideMark/>
          </w:tcPr>
          <w:p w14:paraId="30D8B76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1.65</w:t>
            </w:r>
          </w:p>
        </w:tc>
        <w:tc>
          <w:tcPr>
            <w:tcW w:w="0" w:type="auto"/>
            <w:noWrap/>
            <w:hideMark/>
          </w:tcPr>
          <w:p w14:paraId="05015F8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4.11</w:t>
            </w:r>
          </w:p>
        </w:tc>
        <w:tc>
          <w:tcPr>
            <w:tcW w:w="0" w:type="auto"/>
            <w:noWrap/>
            <w:hideMark/>
          </w:tcPr>
          <w:p w14:paraId="20B9DDB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4.72</w:t>
            </w:r>
          </w:p>
        </w:tc>
        <w:tc>
          <w:tcPr>
            <w:tcW w:w="0" w:type="auto"/>
            <w:noWrap/>
            <w:hideMark/>
          </w:tcPr>
          <w:p w14:paraId="157A6C2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1.43</w:t>
            </w:r>
          </w:p>
        </w:tc>
        <w:tc>
          <w:tcPr>
            <w:tcW w:w="0" w:type="auto"/>
            <w:noWrap/>
            <w:hideMark/>
          </w:tcPr>
          <w:p w14:paraId="1493C50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1.44</w:t>
            </w:r>
          </w:p>
        </w:tc>
        <w:tc>
          <w:tcPr>
            <w:tcW w:w="0" w:type="auto"/>
            <w:noWrap/>
            <w:hideMark/>
          </w:tcPr>
          <w:p w14:paraId="03FA3B2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4.55</w:t>
            </w:r>
          </w:p>
        </w:tc>
        <w:tc>
          <w:tcPr>
            <w:tcW w:w="0" w:type="auto"/>
            <w:noWrap/>
            <w:hideMark/>
          </w:tcPr>
          <w:p w14:paraId="31BBA44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4.50</w:t>
            </w:r>
          </w:p>
        </w:tc>
        <w:tc>
          <w:tcPr>
            <w:tcW w:w="0" w:type="auto"/>
            <w:noWrap/>
            <w:hideMark/>
          </w:tcPr>
          <w:p w14:paraId="069912B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5.95</w:t>
            </w:r>
          </w:p>
        </w:tc>
      </w:tr>
      <w:tr w:rsidR="004B6442" w:rsidRPr="00024247" w14:paraId="4D4F39BE"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1F3CF09"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19</w:t>
            </w:r>
          </w:p>
        </w:tc>
        <w:tc>
          <w:tcPr>
            <w:tcW w:w="0" w:type="auto"/>
            <w:noWrap/>
            <w:hideMark/>
          </w:tcPr>
          <w:p w14:paraId="215A51F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2106D4A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2.98</w:t>
            </w:r>
          </w:p>
        </w:tc>
        <w:tc>
          <w:tcPr>
            <w:tcW w:w="0" w:type="auto"/>
            <w:noWrap/>
            <w:hideMark/>
          </w:tcPr>
          <w:p w14:paraId="1E18204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2.92</w:t>
            </w:r>
          </w:p>
        </w:tc>
        <w:tc>
          <w:tcPr>
            <w:tcW w:w="0" w:type="auto"/>
            <w:noWrap/>
            <w:hideMark/>
          </w:tcPr>
          <w:p w14:paraId="1E9AD39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5.20</w:t>
            </w:r>
          </w:p>
        </w:tc>
        <w:tc>
          <w:tcPr>
            <w:tcW w:w="0" w:type="auto"/>
            <w:noWrap/>
            <w:hideMark/>
          </w:tcPr>
          <w:p w14:paraId="34B4A14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5.65</w:t>
            </w:r>
          </w:p>
        </w:tc>
        <w:tc>
          <w:tcPr>
            <w:tcW w:w="0" w:type="auto"/>
            <w:noWrap/>
            <w:hideMark/>
          </w:tcPr>
          <w:p w14:paraId="109CBF1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685BD76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2.90</w:t>
            </w:r>
          </w:p>
        </w:tc>
        <w:tc>
          <w:tcPr>
            <w:tcW w:w="0" w:type="auto"/>
            <w:noWrap/>
            <w:hideMark/>
          </w:tcPr>
          <w:p w14:paraId="26647D6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782B246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4.85</w:t>
            </w:r>
          </w:p>
        </w:tc>
        <w:tc>
          <w:tcPr>
            <w:tcW w:w="0" w:type="auto"/>
            <w:noWrap/>
            <w:hideMark/>
          </w:tcPr>
          <w:p w14:paraId="2A20F47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5.66</w:t>
            </w:r>
          </w:p>
        </w:tc>
      </w:tr>
      <w:tr w:rsidR="004B6442" w:rsidRPr="00024247" w14:paraId="34646EF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36716EC"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20</w:t>
            </w:r>
          </w:p>
        </w:tc>
        <w:tc>
          <w:tcPr>
            <w:tcW w:w="0" w:type="auto"/>
            <w:noWrap/>
            <w:hideMark/>
          </w:tcPr>
          <w:p w14:paraId="54E740F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46B4067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3.02</w:t>
            </w:r>
          </w:p>
        </w:tc>
        <w:tc>
          <w:tcPr>
            <w:tcW w:w="0" w:type="auto"/>
            <w:noWrap/>
            <w:hideMark/>
          </w:tcPr>
          <w:p w14:paraId="0369E38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3.32</w:t>
            </w:r>
          </w:p>
        </w:tc>
        <w:tc>
          <w:tcPr>
            <w:tcW w:w="0" w:type="auto"/>
            <w:noWrap/>
            <w:hideMark/>
          </w:tcPr>
          <w:p w14:paraId="104B283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5.15</w:t>
            </w:r>
          </w:p>
        </w:tc>
        <w:tc>
          <w:tcPr>
            <w:tcW w:w="0" w:type="auto"/>
            <w:noWrap/>
            <w:hideMark/>
          </w:tcPr>
          <w:p w14:paraId="2E51610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5.35</w:t>
            </w:r>
          </w:p>
        </w:tc>
        <w:tc>
          <w:tcPr>
            <w:tcW w:w="0" w:type="auto"/>
            <w:noWrap/>
            <w:hideMark/>
          </w:tcPr>
          <w:p w14:paraId="0303133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2.65</w:t>
            </w:r>
          </w:p>
        </w:tc>
        <w:tc>
          <w:tcPr>
            <w:tcW w:w="0" w:type="auto"/>
            <w:noWrap/>
            <w:hideMark/>
          </w:tcPr>
          <w:p w14:paraId="28060DF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2.69</w:t>
            </w:r>
          </w:p>
        </w:tc>
        <w:tc>
          <w:tcPr>
            <w:tcW w:w="0" w:type="auto"/>
            <w:noWrap/>
            <w:hideMark/>
          </w:tcPr>
          <w:p w14:paraId="0B535BF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17FAB31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4.55</w:t>
            </w:r>
          </w:p>
        </w:tc>
        <w:tc>
          <w:tcPr>
            <w:tcW w:w="0" w:type="auto"/>
            <w:noWrap/>
            <w:hideMark/>
          </w:tcPr>
          <w:p w14:paraId="07B48BD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6.17</w:t>
            </w:r>
          </w:p>
        </w:tc>
      </w:tr>
      <w:tr w:rsidR="004B6442" w:rsidRPr="00024247" w14:paraId="6A038457"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21A15"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21</w:t>
            </w:r>
          </w:p>
        </w:tc>
        <w:tc>
          <w:tcPr>
            <w:tcW w:w="0" w:type="auto"/>
            <w:noWrap/>
            <w:hideMark/>
          </w:tcPr>
          <w:p w14:paraId="47AF400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2937AF9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1.93</w:t>
            </w:r>
          </w:p>
        </w:tc>
        <w:tc>
          <w:tcPr>
            <w:tcW w:w="0" w:type="auto"/>
            <w:noWrap/>
            <w:hideMark/>
          </w:tcPr>
          <w:p w14:paraId="58593C4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2.49</w:t>
            </w:r>
          </w:p>
        </w:tc>
        <w:tc>
          <w:tcPr>
            <w:tcW w:w="0" w:type="auto"/>
            <w:noWrap/>
            <w:hideMark/>
          </w:tcPr>
          <w:p w14:paraId="72696D1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3.20</w:t>
            </w:r>
          </w:p>
        </w:tc>
        <w:tc>
          <w:tcPr>
            <w:tcW w:w="0" w:type="auto"/>
            <w:noWrap/>
            <w:hideMark/>
          </w:tcPr>
          <w:p w14:paraId="518BFA2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3.60</w:t>
            </w:r>
          </w:p>
        </w:tc>
        <w:tc>
          <w:tcPr>
            <w:tcW w:w="0" w:type="auto"/>
            <w:noWrap/>
            <w:hideMark/>
          </w:tcPr>
          <w:p w14:paraId="0207A2E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2.30</w:t>
            </w:r>
          </w:p>
        </w:tc>
        <w:tc>
          <w:tcPr>
            <w:tcW w:w="0" w:type="auto"/>
            <w:noWrap/>
            <w:hideMark/>
          </w:tcPr>
          <w:p w14:paraId="7A0216E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2.49</w:t>
            </w:r>
          </w:p>
        </w:tc>
        <w:tc>
          <w:tcPr>
            <w:tcW w:w="0" w:type="auto"/>
            <w:noWrap/>
            <w:hideMark/>
          </w:tcPr>
          <w:p w14:paraId="3D351CE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2.75</w:t>
            </w:r>
          </w:p>
        </w:tc>
        <w:tc>
          <w:tcPr>
            <w:tcW w:w="0" w:type="auto"/>
            <w:noWrap/>
            <w:hideMark/>
          </w:tcPr>
          <w:p w14:paraId="39A2558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23B8222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5.05</w:t>
            </w:r>
          </w:p>
        </w:tc>
      </w:tr>
      <w:tr w:rsidR="004B6442" w:rsidRPr="00024247" w14:paraId="3EE88797"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8EAB4"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22</w:t>
            </w:r>
          </w:p>
        </w:tc>
        <w:tc>
          <w:tcPr>
            <w:tcW w:w="0" w:type="auto"/>
            <w:noWrap/>
            <w:hideMark/>
          </w:tcPr>
          <w:p w14:paraId="1F50C0DA"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78032D4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1.82</w:t>
            </w:r>
          </w:p>
        </w:tc>
        <w:tc>
          <w:tcPr>
            <w:tcW w:w="0" w:type="auto"/>
            <w:noWrap/>
            <w:hideMark/>
          </w:tcPr>
          <w:p w14:paraId="2CED04F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2.16</w:t>
            </w:r>
          </w:p>
        </w:tc>
        <w:tc>
          <w:tcPr>
            <w:tcW w:w="0" w:type="auto"/>
            <w:noWrap/>
            <w:hideMark/>
          </w:tcPr>
          <w:p w14:paraId="1BE346A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791B2C5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3.85</w:t>
            </w:r>
          </w:p>
        </w:tc>
        <w:tc>
          <w:tcPr>
            <w:tcW w:w="0" w:type="auto"/>
            <w:noWrap/>
            <w:hideMark/>
          </w:tcPr>
          <w:p w14:paraId="228203F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2.14</w:t>
            </w:r>
          </w:p>
        </w:tc>
        <w:tc>
          <w:tcPr>
            <w:tcW w:w="0" w:type="auto"/>
            <w:noWrap/>
            <w:hideMark/>
          </w:tcPr>
          <w:p w14:paraId="70DEF14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2.33</w:t>
            </w:r>
          </w:p>
        </w:tc>
        <w:tc>
          <w:tcPr>
            <w:tcW w:w="0" w:type="auto"/>
            <w:noWrap/>
            <w:hideMark/>
          </w:tcPr>
          <w:p w14:paraId="33DADC6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3.50</w:t>
            </w:r>
          </w:p>
        </w:tc>
        <w:tc>
          <w:tcPr>
            <w:tcW w:w="0" w:type="auto"/>
            <w:noWrap/>
            <w:hideMark/>
          </w:tcPr>
          <w:p w14:paraId="6E462A7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4.05</w:t>
            </w:r>
          </w:p>
        </w:tc>
        <w:tc>
          <w:tcPr>
            <w:tcW w:w="0" w:type="auto"/>
            <w:noWrap/>
            <w:hideMark/>
          </w:tcPr>
          <w:p w14:paraId="14D8094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5.59</w:t>
            </w:r>
          </w:p>
        </w:tc>
      </w:tr>
      <w:tr w:rsidR="004B6442" w:rsidRPr="00024247" w14:paraId="5C57EECA"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6786E"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23</w:t>
            </w:r>
          </w:p>
        </w:tc>
        <w:tc>
          <w:tcPr>
            <w:tcW w:w="0" w:type="auto"/>
            <w:noWrap/>
            <w:hideMark/>
          </w:tcPr>
          <w:p w14:paraId="0267063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4566B90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2.23</w:t>
            </w:r>
          </w:p>
        </w:tc>
        <w:tc>
          <w:tcPr>
            <w:tcW w:w="0" w:type="auto"/>
            <w:noWrap/>
            <w:hideMark/>
          </w:tcPr>
          <w:p w14:paraId="10D6541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1.73</w:t>
            </w:r>
          </w:p>
        </w:tc>
        <w:tc>
          <w:tcPr>
            <w:tcW w:w="0" w:type="auto"/>
            <w:noWrap/>
            <w:hideMark/>
          </w:tcPr>
          <w:p w14:paraId="0963AB9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3.70</w:t>
            </w:r>
          </w:p>
        </w:tc>
        <w:tc>
          <w:tcPr>
            <w:tcW w:w="0" w:type="auto"/>
            <w:noWrap/>
            <w:hideMark/>
          </w:tcPr>
          <w:p w14:paraId="4FBAF8D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3.55</w:t>
            </w:r>
          </w:p>
        </w:tc>
        <w:tc>
          <w:tcPr>
            <w:tcW w:w="0" w:type="auto"/>
            <w:noWrap/>
            <w:hideMark/>
          </w:tcPr>
          <w:p w14:paraId="52E9AF1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2.43</w:t>
            </w:r>
          </w:p>
        </w:tc>
        <w:tc>
          <w:tcPr>
            <w:tcW w:w="0" w:type="auto"/>
            <w:noWrap/>
            <w:hideMark/>
          </w:tcPr>
          <w:p w14:paraId="69EEF4C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2.38</w:t>
            </w:r>
          </w:p>
        </w:tc>
        <w:tc>
          <w:tcPr>
            <w:tcW w:w="0" w:type="auto"/>
            <w:noWrap/>
            <w:hideMark/>
          </w:tcPr>
          <w:p w14:paraId="0F312D9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6CAED5A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0A46E1F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5.93</w:t>
            </w:r>
          </w:p>
        </w:tc>
      </w:tr>
      <w:tr w:rsidR="004B6442" w:rsidRPr="00024247" w14:paraId="4B7EDEA8"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0935A"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24</w:t>
            </w:r>
          </w:p>
        </w:tc>
        <w:tc>
          <w:tcPr>
            <w:tcW w:w="0" w:type="auto"/>
            <w:noWrap/>
            <w:hideMark/>
          </w:tcPr>
          <w:p w14:paraId="5DD1A09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4E0B745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1.89</w:t>
            </w:r>
          </w:p>
        </w:tc>
        <w:tc>
          <w:tcPr>
            <w:tcW w:w="0" w:type="auto"/>
            <w:noWrap/>
            <w:hideMark/>
          </w:tcPr>
          <w:p w14:paraId="287BD8A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2.24</w:t>
            </w:r>
          </w:p>
        </w:tc>
        <w:tc>
          <w:tcPr>
            <w:tcW w:w="0" w:type="auto"/>
            <w:noWrap/>
            <w:hideMark/>
          </w:tcPr>
          <w:p w14:paraId="3233090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3.55</w:t>
            </w:r>
          </w:p>
        </w:tc>
        <w:tc>
          <w:tcPr>
            <w:tcW w:w="0" w:type="auto"/>
            <w:noWrap/>
            <w:hideMark/>
          </w:tcPr>
          <w:p w14:paraId="6AED6E1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3.60</w:t>
            </w:r>
          </w:p>
        </w:tc>
        <w:tc>
          <w:tcPr>
            <w:tcW w:w="0" w:type="auto"/>
            <w:noWrap/>
            <w:hideMark/>
          </w:tcPr>
          <w:p w14:paraId="31A626F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2.38</w:t>
            </w:r>
          </w:p>
        </w:tc>
        <w:tc>
          <w:tcPr>
            <w:tcW w:w="0" w:type="auto"/>
            <w:noWrap/>
            <w:hideMark/>
          </w:tcPr>
          <w:p w14:paraId="4E311F0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2.26</w:t>
            </w:r>
          </w:p>
        </w:tc>
        <w:tc>
          <w:tcPr>
            <w:tcW w:w="0" w:type="auto"/>
            <w:noWrap/>
            <w:hideMark/>
          </w:tcPr>
          <w:p w14:paraId="4D7F445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2.90</w:t>
            </w:r>
          </w:p>
        </w:tc>
        <w:tc>
          <w:tcPr>
            <w:tcW w:w="0" w:type="auto"/>
            <w:noWrap/>
            <w:hideMark/>
          </w:tcPr>
          <w:p w14:paraId="266D11A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4149E91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5.76</w:t>
            </w:r>
          </w:p>
        </w:tc>
      </w:tr>
      <w:tr w:rsidR="004B6442" w:rsidRPr="00024247" w14:paraId="1BF9C925"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D30B6AF"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25</w:t>
            </w:r>
          </w:p>
        </w:tc>
        <w:tc>
          <w:tcPr>
            <w:tcW w:w="0" w:type="auto"/>
            <w:noWrap/>
            <w:hideMark/>
          </w:tcPr>
          <w:p w14:paraId="30DD47B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34161AA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3.39</w:t>
            </w:r>
          </w:p>
        </w:tc>
        <w:tc>
          <w:tcPr>
            <w:tcW w:w="0" w:type="auto"/>
            <w:noWrap/>
            <w:hideMark/>
          </w:tcPr>
          <w:p w14:paraId="4F08DE8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3.49</w:t>
            </w:r>
          </w:p>
        </w:tc>
        <w:tc>
          <w:tcPr>
            <w:tcW w:w="0" w:type="auto"/>
            <w:noWrap/>
            <w:hideMark/>
          </w:tcPr>
          <w:p w14:paraId="224D5F1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0D46003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4.70</w:t>
            </w:r>
          </w:p>
        </w:tc>
        <w:tc>
          <w:tcPr>
            <w:tcW w:w="0" w:type="auto"/>
            <w:noWrap/>
            <w:hideMark/>
          </w:tcPr>
          <w:p w14:paraId="51826E4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13CCA9A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3.56</w:t>
            </w:r>
          </w:p>
        </w:tc>
        <w:tc>
          <w:tcPr>
            <w:tcW w:w="0" w:type="auto"/>
            <w:noWrap/>
            <w:hideMark/>
          </w:tcPr>
          <w:p w14:paraId="2D943C3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4.45</w:t>
            </w:r>
          </w:p>
        </w:tc>
        <w:tc>
          <w:tcPr>
            <w:tcW w:w="0" w:type="auto"/>
            <w:noWrap/>
            <w:hideMark/>
          </w:tcPr>
          <w:p w14:paraId="2AD5C7D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4.35</w:t>
            </w:r>
          </w:p>
        </w:tc>
        <w:tc>
          <w:tcPr>
            <w:tcW w:w="0" w:type="auto"/>
            <w:noWrap/>
            <w:hideMark/>
          </w:tcPr>
          <w:p w14:paraId="66606B1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6.20</w:t>
            </w:r>
          </w:p>
        </w:tc>
      </w:tr>
      <w:tr w:rsidR="004B6442" w:rsidRPr="00024247" w14:paraId="3955766F"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8A65E37"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26</w:t>
            </w:r>
          </w:p>
        </w:tc>
        <w:tc>
          <w:tcPr>
            <w:tcW w:w="0" w:type="auto"/>
            <w:noWrap/>
            <w:hideMark/>
          </w:tcPr>
          <w:p w14:paraId="017952A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26648F0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3.59</w:t>
            </w:r>
          </w:p>
        </w:tc>
        <w:tc>
          <w:tcPr>
            <w:tcW w:w="0" w:type="auto"/>
            <w:noWrap/>
            <w:hideMark/>
          </w:tcPr>
          <w:p w14:paraId="7ACF1E5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3.97</w:t>
            </w:r>
          </w:p>
        </w:tc>
        <w:tc>
          <w:tcPr>
            <w:tcW w:w="0" w:type="auto"/>
            <w:noWrap/>
            <w:hideMark/>
          </w:tcPr>
          <w:p w14:paraId="76CCA49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23D261E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4.25</w:t>
            </w:r>
          </w:p>
        </w:tc>
        <w:tc>
          <w:tcPr>
            <w:tcW w:w="0" w:type="auto"/>
            <w:noWrap/>
            <w:hideMark/>
          </w:tcPr>
          <w:p w14:paraId="5902FEA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62EF88A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2.97</w:t>
            </w:r>
          </w:p>
        </w:tc>
        <w:tc>
          <w:tcPr>
            <w:tcW w:w="0" w:type="auto"/>
            <w:noWrap/>
            <w:hideMark/>
          </w:tcPr>
          <w:p w14:paraId="1A598B6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3.10</w:t>
            </w:r>
          </w:p>
        </w:tc>
        <w:tc>
          <w:tcPr>
            <w:tcW w:w="0" w:type="auto"/>
            <w:noWrap/>
            <w:hideMark/>
          </w:tcPr>
          <w:p w14:paraId="78453B5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3.20</w:t>
            </w:r>
          </w:p>
        </w:tc>
        <w:tc>
          <w:tcPr>
            <w:tcW w:w="0" w:type="auto"/>
            <w:noWrap/>
            <w:hideMark/>
          </w:tcPr>
          <w:p w14:paraId="130170EA"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5.41</w:t>
            </w:r>
          </w:p>
        </w:tc>
      </w:tr>
      <w:tr w:rsidR="004B6442" w:rsidRPr="00024247" w14:paraId="7D712AB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D475C"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27</w:t>
            </w:r>
          </w:p>
        </w:tc>
        <w:tc>
          <w:tcPr>
            <w:tcW w:w="0" w:type="auto"/>
            <w:noWrap/>
            <w:hideMark/>
          </w:tcPr>
          <w:p w14:paraId="78974F6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5FCD874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2.91</w:t>
            </w:r>
          </w:p>
        </w:tc>
        <w:tc>
          <w:tcPr>
            <w:tcW w:w="0" w:type="auto"/>
            <w:noWrap/>
            <w:hideMark/>
          </w:tcPr>
          <w:p w14:paraId="6ACC2BA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3.11</w:t>
            </w:r>
          </w:p>
        </w:tc>
        <w:tc>
          <w:tcPr>
            <w:tcW w:w="0" w:type="auto"/>
            <w:noWrap/>
            <w:hideMark/>
          </w:tcPr>
          <w:p w14:paraId="35B4671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4.65</w:t>
            </w:r>
          </w:p>
        </w:tc>
        <w:tc>
          <w:tcPr>
            <w:tcW w:w="0" w:type="auto"/>
            <w:noWrap/>
            <w:hideMark/>
          </w:tcPr>
          <w:p w14:paraId="64E4804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3.95</w:t>
            </w:r>
          </w:p>
        </w:tc>
        <w:tc>
          <w:tcPr>
            <w:tcW w:w="0" w:type="auto"/>
            <w:noWrap/>
            <w:hideMark/>
          </w:tcPr>
          <w:p w14:paraId="2D1AEFB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2.27</w:t>
            </w:r>
          </w:p>
        </w:tc>
        <w:tc>
          <w:tcPr>
            <w:tcW w:w="0" w:type="auto"/>
            <w:noWrap/>
            <w:hideMark/>
          </w:tcPr>
          <w:p w14:paraId="7D6B7FA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2.46</w:t>
            </w:r>
          </w:p>
        </w:tc>
        <w:tc>
          <w:tcPr>
            <w:tcW w:w="0" w:type="auto"/>
            <w:noWrap/>
            <w:hideMark/>
          </w:tcPr>
          <w:p w14:paraId="200DBFC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4A83FEE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4.05</w:t>
            </w:r>
          </w:p>
        </w:tc>
        <w:tc>
          <w:tcPr>
            <w:tcW w:w="0" w:type="auto"/>
            <w:noWrap/>
            <w:hideMark/>
          </w:tcPr>
          <w:p w14:paraId="44D6BF2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6.22</w:t>
            </w:r>
          </w:p>
        </w:tc>
      </w:tr>
      <w:tr w:rsidR="004B6442" w:rsidRPr="00024247" w14:paraId="0ABFFF19"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7FA01D"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28</w:t>
            </w:r>
          </w:p>
        </w:tc>
        <w:tc>
          <w:tcPr>
            <w:tcW w:w="0" w:type="auto"/>
            <w:noWrap/>
            <w:hideMark/>
          </w:tcPr>
          <w:p w14:paraId="302E743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012E442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2.36</w:t>
            </w:r>
          </w:p>
        </w:tc>
        <w:tc>
          <w:tcPr>
            <w:tcW w:w="0" w:type="auto"/>
            <w:noWrap/>
            <w:hideMark/>
          </w:tcPr>
          <w:p w14:paraId="66F9F0B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2.19</w:t>
            </w:r>
          </w:p>
        </w:tc>
        <w:tc>
          <w:tcPr>
            <w:tcW w:w="0" w:type="auto"/>
            <w:noWrap/>
            <w:hideMark/>
          </w:tcPr>
          <w:p w14:paraId="1D93DD0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2.70</w:t>
            </w:r>
          </w:p>
        </w:tc>
        <w:tc>
          <w:tcPr>
            <w:tcW w:w="0" w:type="auto"/>
            <w:noWrap/>
            <w:hideMark/>
          </w:tcPr>
          <w:p w14:paraId="4C92CD8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3.75</w:t>
            </w:r>
          </w:p>
        </w:tc>
        <w:tc>
          <w:tcPr>
            <w:tcW w:w="0" w:type="auto"/>
            <w:noWrap/>
            <w:hideMark/>
          </w:tcPr>
          <w:p w14:paraId="36E37D2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2.95</w:t>
            </w:r>
          </w:p>
        </w:tc>
        <w:tc>
          <w:tcPr>
            <w:tcW w:w="0" w:type="auto"/>
            <w:noWrap/>
            <w:hideMark/>
          </w:tcPr>
          <w:p w14:paraId="5045E59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3.21</w:t>
            </w:r>
          </w:p>
        </w:tc>
        <w:tc>
          <w:tcPr>
            <w:tcW w:w="0" w:type="auto"/>
            <w:noWrap/>
            <w:hideMark/>
          </w:tcPr>
          <w:p w14:paraId="24868FB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3.10</w:t>
            </w:r>
          </w:p>
        </w:tc>
        <w:tc>
          <w:tcPr>
            <w:tcW w:w="0" w:type="auto"/>
            <w:noWrap/>
            <w:hideMark/>
          </w:tcPr>
          <w:p w14:paraId="5943B3C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3.80</w:t>
            </w:r>
          </w:p>
        </w:tc>
        <w:tc>
          <w:tcPr>
            <w:tcW w:w="0" w:type="auto"/>
            <w:noWrap/>
            <w:hideMark/>
          </w:tcPr>
          <w:p w14:paraId="155576E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5.44</w:t>
            </w:r>
          </w:p>
        </w:tc>
      </w:tr>
      <w:tr w:rsidR="004B6442" w:rsidRPr="00024247" w14:paraId="5A3CAC98"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A20E0"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29</w:t>
            </w:r>
          </w:p>
        </w:tc>
        <w:tc>
          <w:tcPr>
            <w:tcW w:w="0" w:type="auto"/>
            <w:noWrap/>
            <w:hideMark/>
          </w:tcPr>
          <w:p w14:paraId="53BBED1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6B8382A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1.15</w:t>
            </w:r>
          </w:p>
        </w:tc>
        <w:tc>
          <w:tcPr>
            <w:tcW w:w="0" w:type="auto"/>
            <w:noWrap/>
            <w:hideMark/>
          </w:tcPr>
          <w:p w14:paraId="2F37C50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1.05</w:t>
            </w:r>
          </w:p>
        </w:tc>
        <w:tc>
          <w:tcPr>
            <w:tcW w:w="0" w:type="auto"/>
            <w:noWrap/>
            <w:hideMark/>
          </w:tcPr>
          <w:p w14:paraId="098DF29D"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1.90</w:t>
            </w:r>
          </w:p>
        </w:tc>
        <w:tc>
          <w:tcPr>
            <w:tcW w:w="0" w:type="auto"/>
            <w:noWrap/>
            <w:hideMark/>
          </w:tcPr>
          <w:p w14:paraId="25A1217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2.15</w:t>
            </w:r>
          </w:p>
        </w:tc>
        <w:tc>
          <w:tcPr>
            <w:tcW w:w="0" w:type="auto"/>
            <w:noWrap/>
            <w:hideMark/>
          </w:tcPr>
          <w:p w14:paraId="318CAC9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1.05</w:t>
            </w:r>
          </w:p>
        </w:tc>
        <w:tc>
          <w:tcPr>
            <w:tcW w:w="0" w:type="auto"/>
            <w:noWrap/>
            <w:hideMark/>
          </w:tcPr>
          <w:p w14:paraId="7CC4F93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1.38</w:t>
            </w:r>
          </w:p>
        </w:tc>
        <w:tc>
          <w:tcPr>
            <w:tcW w:w="0" w:type="auto"/>
            <w:noWrap/>
            <w:hideMark/>
          </w:tcPr>
          <w:p w14:paraId="2B9971D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2.15</w:t>
            </w:r>
          </w:p>
        </w:tc>
        <w:tc>
          <w:tcPr>
            <w:tcW w:w="0" w:type="auto"/>
            <w:noWrap/>
            <w:hideMark/>
          </w:tcPr>
          <w:p w14:paraId="38B1549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2.10</w:t>
            </w:r>
          </w:p>
        </w:tc>
        <w:tc>
          <w:tcPr>
            <w:tcW w:w="0" w:type="auto"/>
            <w:noWrap/>
            <w:hideMark/>
          </w:tcPr>
          <w:p w14:paraId="06071EF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3.33</w:t>
            </w:r>
          </w:p>
        </w:tc>
      </w:tr>
      <w:tr w:rsidR="004B6442" w:rsidRPr="00024247" w14:paraId="6C1A7462"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63781"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30</w:t>
            </w:r>
          </w:p>
        </w:tc>
        <w:tc>
          <w:tcPr>
            <w:tcW w:w="0" w:type="auto"/>
            <w:noWrap/>
            <w:hideMark/>
          </w:tcPr>
          <w:p w14:paraId="3D7C4C7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648E740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2.02</w:t>
            </w:r>
          </w:p>
        </w:tc>
        <w:tc>
          <w:tcPr>
            <w:tcW w:w="0" w:type="auto"/>
            <w:noWrap/>
            <w:hideMark/>
          </w:tcPr>
          <w:p w14:paraId="48071C7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2.19</w:t>
            </w:r>
          </w:p>
        </w:tc>
        <w:tc>
          <w:tcPr>
            <w:tcW w:w="0" w:type="auto"/>
            <w:noWrap/>
            <w:hideMark/>
          </w:tcPr>
          <w:p w14:paraId="53DC0A3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3.70</w:t>
            </w:r>
          </w:p>
        </w:tc>
        <w:tc>
          <w:tcPr>
            <w:tcW w:w="0" w:type="auto"/>
            <w:noWrap/>
            <w:hideMark/>
          </w:tcPr>
          <w:p w14:paraId="3B8021D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3DA0053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1.62</w:t>
            </w:r>
          </w:p>
        </w:tc>
        <w:tc>
          <w:tcPr>
            <w:tcW w:w="0" w:type="auto"/>
            <w:noWrap/>
            <w:hideMark/>
          </w:tcPr>
          <w:p w14:paraId="3EF5A27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2.03</w:t>
            </w:r>
          </w:p>
        </w:tc>
        <w:tc>
          <w:tcPr>
            <w:tcW w:w="0" w:type="auto"/>
            <w:noWrap/>
            <w:hideMark/>
          </w:tcPr>
          <w:p w14:paraId="7067917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3.35</w:t>
            </w:r>
          </w:p>
        </w:tc>
        <w:tc>
          <w:tcPr>
            <w:tcW w:w="0" w:type="auto"/>
            <w:noWrap/>
            <w:hideMark/>
          </w:tcPr>
          <w:p w14:paraId="504560D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3.15</w:t>
            </w:r>
          </w:p>
        </w:tc>
        <w:tc>
          <w:tcPr>
            <w:tcW w:w="0" w:type="auto"/>
            <w:noWrap/>
            <w:hideMark/>
          </w:tcPr>
          <w:p w14:paraId="10A02E3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6.44</w:t>
            </w:r>
          </w:p>
        </w:tc>
      </w:tr>
      <w:tr w:rsidR="004B6442" w:rsidRPr="00024247" w14:paraId="022DD35D"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DEFC378"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31</w:t>
            </w:r>
          </w:p>
        </w:tc>
        <w:tc>
          <w:tcPr>
            <w:tcW w:w="0" w:type="auto"/>
            <w:noWrap/>
            <w:hideMark/>
          </w:tcPr>
          <w:p w14:paraId="022AB3C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3B3FA35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2.14</w:t>
            </w:r>
          </w:p>
        </w:tc>
        <w:tc>
          <w:tcPr>
            <w:tcW w:w="0" w:type="auto"/>
            <w:noWrap/>
            <w:hideMark/>
          </w:tcPr>
          <w:p w14:paraId="13696C5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2.43</w:t>
            </w:r>
          </w:p>
        </w:tc>
        <w:tc>
          <w:tcPr>
            <w:tcW w:w="0" w:type="auto"/>
            <w:noWrap/>
            <w:hideMark/>
          </w:tcPr>
          <w:p w14:paraId="4E6D1CA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2.85</w:t>
            </w:r>
          </w:p>
        </w:tc>
        <w:tc>
          <w:tcPr>
            <w:tcW w:w="0" w:type="auto"/>
            <w:noWrap/>
            <w:hideMark/>
          </w:tcPr>
          <w:p w14:paraId="4AF0A8C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3.65</w:t>
            </w:r>
          </w:p>
        </w:tc>
        <w:tc>
          <w:tcPr>
            <w:tcW w:w="0" w:type="auto"/>
            <w:noWrap/>
            <w:hideMark/>
          </w:tcPr>
          <w:p w14:paraId="0D87B50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3.16</w:t>
            </w:r>
          </w:p>
        </w:tc>
        <w:tc>
          <w:tcPr>
            <w:tcW w:w="0" w:type="auto"/>
            <w:noWrap/>
            <w:hideMark/>
          </w:tcPr>
          <w:p w14:paraId="2A38CC7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2.85</w:t>
            </w:r>
          </w:p>
        </w:tc>
        <w:tc>
          <w:tcPr>
            <w:tcW w:w="0" w:type="auto"/>
            <w:noWrap/>
            <w:hideMark/>
          </w:tcPr>
          <w:p w14:paraId="60090C4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3.40</w:t>
            </w:r>
          </w:p>
        </w:tc>
        <w:tc>
          <w:tcPr>
            <w:tcW w:w="0" w:type="auto"/>
            <w:noWrap/>
            <w:hideMark/>
          </w:tcPr>
          <w:p w14:paraId="562812B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3.10</w:t>
            </w:r>
          </w:p>
        </w:tc>
        <w:tc>
          <w:tcPr>
            <w:tcW w:w="0" w:type="auto"/>
            <w:noWrap/>
            <w:hideMark/>
          </w:tcPr>
          <w:p w14:paraId="5A6224E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5.34</w:t>
            </w:r>
          </w:p>
        </w:tc>
      </w:tr>
      <w:tr w:rsidR="004B6442" w:rsidRPr="00024247" w14:paraId="1F09928D"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312416C"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32</w:t>
            </w:r>
          </w:p>
        </w:tc>
        <w:tc>
          <w:tcPr>
            <w:tcW w:w="0" w:type="auto"/>
            <w:noWrap/>
            <w:hideMark/>
          </w:tcPr>
          <w:p w14:paraId="5E648D4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528C9A6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1.98</w:t>
            </w:r>
          </w:p>
        </w:tc>
        <w:tc>
          <w:tcPr>
            <w:tcW w:w="0" w:type="auto"/>
            <w:noWrap/>
            <w:hideMark/>
          </w:tcPr>
          <w:p w14:paraId="770B874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1.97</w:t>
            </w:r>
          </w:p>
        </w:tc>
        <w:tc>
          <w:tcPr>
            <w:tcW w:w="0" w:type="auto"/>
            <w:noWrap/>
            <w:hideMark/>
          </w:tcPr>
          <w:p w14:paraId="10519B4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3.45</w:t>
            </w:r>
          </w:p>
        </w:tc>
        <w:tc>
          <w:tcPr>
            <w:tcW w:w="0" w:type="auto"/>
            <w:noWrap/>
            <w:hideMark/>
          </w:tcPr>
          <w:p w14:paraId="25BF405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3.90</w:t>
            </w:r>
          </w:p>
        </w:tc>
        <w:tc>
          <w:tcPr>
            <w:tcW w:w="0" w:type="auto"/>
            <w:noWrap/>
            <w:hideMark/>
          </w:tcPr>
          <w:p w14:paraId="35136CD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2.22</w:t>
            </w:r>
          </w:p>
        </w:tc>
        <w:tc>
          <w:tcPr>
            <w:tcW w:w="0" w:type="auto"/>
            <w:noWrap/>
            <w:hideMark/>
          </w:tcPr>
          <w:p w14:paraId="4543794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2.28</w:t>
            </w:r>
          </w:p>
        </w:tc>
        <w:tc>
          <w:tcPr>
            <w:tcW w:w="0" w:type="auto"/>
            <w:noWrap/>
            <w:hideMark/>
          </w:tcPr>
          <w:p w14:paraId="488F83D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3.55</w:t>
            </w:r>
          </w:p>
        </w:tc>
        <w:tc>
          <w:tcPr>
            <w:tcW w:w="0" w:type="auto"/>
            <w:noWrap/>
            <w:hideMark/>
          </w:tcPr>
          <w:p w14:paraId="44C17EA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3.80</w:t>
            </w:r>
          </w:p>
        </w:tc>
        <w:tc>
          <w:tcPr>
            <w:tcW w:w="0" w:type="auto"/>
            <w:noWrap/>
            <w:hideMark/>
          </w:tcPr>
          <w:p w14:paraId="4E25E68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6.63</w:t>
            </w:r>
          </w:p>
        </w:tc>
      </w:tr>
      <w:tr w:rsidR="004B6442" w:rsidRPr="00024247" w14:paraId="7D6A52A7"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D47E5F7"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33</w:t>
            </w:r>
          </w:p>
        </w:tc>
        <w:tc>
          <w:tcPr>
            <w:tcW w:w="0" w:type="auto"/>
            <w:noWrap/>
            <w:hideMark/>
          </w:tcPr>
          <w:p w14:paraId="5A4E1E2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01E7ADD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3.32</w:t>
            </w:r>
          </w:p>
        </w:tc>
        <w:tc>
          <w:tcPr>
            <w:tcW w:w="0" w:type="auto"/>
            <w:noWrap/>
            <w:hideMark/>
          </w:tcPr>
          <w:p w14:paraId="3003D0C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3.38</w:t>
            </w:r>
          </w:p>
        </w:tc>
        <w:tc>
          <w:tcPr>
            <w:tcW w:w="0" w:type="auto"/>
            <w:noWrap/>
            <w:hideMark/>
          </w:tcPr>
          <w:p w14:paraId="1D6CBEA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3.95</w:t>
            </w:r>
          </w:p>
        </w:tc>
        <w:tc>
          <w:tcPr>
            <w:tcW w:w="0" w:type="auto"/>
            <w:noWrap/>
            <w:hideMark/>
          </w:tcPr>
          <w:p w14:paraId="6FDA05A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4.20</w:t>
            </w:r>
          </w:p>
        </w:tc>
        <w:tc>
          <w:tcPr>
            <w:tcW w:w="0" w:type="auto"/>
            <w:noWrap/>
            <w:hideMark/>
          </w:tcPr>
          <w:p w14:paraId="1A177F0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2.43</w:t>
            </w:r>
          </w:p>
        </w:tc>
        <w:tc>
          <w:tcPr>
            <w:tcW w:w="0" w:type="auto"/>
            <w:noWrap/>
            <w:hideMark/>
          </w:tcPr>
          <w:p w14:paraId="1270312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3.21</w:t>
            </w:r>
          </w:p>
        </w:tc>
        <w:tc>
          <w:tcPr>
            <w:tcW w:w="0" w:type="auto"/>
            <w:noWrap/>
            <w:hideMark/>
          </w:tcPr>
          <w:p w14:paraId="7519FB8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4.80</w:t>
            </w:r>
          </w:p>
        </w:tc>
        <w:tc>
          <w:tcPr>
            <w:tcW w:w="0" w:type="auto"/>
            <w:noWrap/>
            <w:hideMark/>
          </w:tcPr>
          <w:p w14:paraId="00D2845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4.95</w:t>
            </w:r>
          </w:p>
        </w:tc>
        <w:tc>
          <w:tcPr>
            <w:tcW w:w="0" w:type="auto"/>
            <w:noWrap/>
            <w:hideMark/>
          </w:tcPr>
          <w:p w14:paraId="272CD16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5.49</w:t>
            </w:r>
          </w:p>
        </w:tc>
      </w:tr>
      <w:tr w:rsidR="004B6442" w:rsidRPr="00024247" w14:paraId="7F6B2071"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2F1CE22"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34</w:t>
            </w:r>
          </w:p>
        </w:tc>
        <w:tc>
          <w:tcPr>
            <w:tcW w:w="0" w:type="auto"/>
            <w:noWrap/>
            <w:hideMark/>
          </w:tcPr>
          <w:p w14:paraId="417DE18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24247">
              <w:rPr>
                <w:rFonts w:ascii="Calibri" w:eastAsia="Times New Roman" w:hAnsi="Calibri" w:cs="Calibri"/>
                <w:sz w:val="18"/>
                <w:szCs w:val="18"/>
              </w:rPr>
              <w:t>Low PC</w:t>
            </w:r>
          </w:p>
        </w:tc>
        <w:tc>
          <w:tcPr>
            <w:tcW w:w="0" w:type="auto"/>
            <w:noWrap/>
            <w:hideMark/>
          </w:tcPr>
          <w:p w14:paraId="154165D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1.77</w:t>
            </w:r>
          </w:p>
        </w:tc>
        <w:tc>
          <w:tcPr>
            <w:tcW w:w="0" w:type="auto"/>
            <w:noWrap/>
            <w:hideMark/>
          </w:tcPr>
          <w:p w14:paraId="08EC974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2.11</w:t>
            </w:r>
          </w:p>
        </w:tc>
        <w:tc>
          <w:tcPr>
            <w:tcW w:w="0" w:type="auto"/>
            <w:noWrap/>
            <w:hideMark/>
          </w:tcPr>
          <w:p w14:paraId="7773BAF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2.90</w:t>
            </w:r>
          </w:p>
        </w:tc>
        <w:tc>
          <w:tcPr>
            <w:tcW w:w="0" w:type="auto"/>
            <w:noWrap/>
            <w:hideMark/>
          </w:tcPr>
          <w:p w14:paraId="2DD920A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3.00</w:t>
            </w:r>
          </w:p>
        </w:tc>
        <w:tc>
          <w:tcPr>
            <w:tcW w:w="0" w:type="auto"/>
            <w:noWrap/>
            <w:hideMark/>
          </w:tcPr>
          <w:p w14:paraId="7DC5744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2.32</w:t>
            </w:r>
          </w:p>
        </w:tc>
        <w:tc>
          <w:tcPr>
            <w:tcW w:w="0" w:type="auto"/>
            <w:noWrap/>
            <w:hideMark/>
          </w:tcPr>
          <w:p w14:paraId="1B0A1BE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2.21</w:t>
            </w:r>
          </w:p>
        </w:tc>
        <w:tc>
          <w:tcPr>
            <w:tcW w:w="0" w:type="auto"/>
            <w:noWrap/>
            <w:hideMark/>
          </w:tcPr>
          <w:p w14:paraId="6DDC9C8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2.90</w:t>
            </w:r>
          </w:p>
        </w:tc>
        <w:tc>
          <w:tcPr>
            <w:tcW w:w="0" w:type="auto"/>
            <w:noWrap/>
            <w:hideMark/>
          </w:tcPr>
          <w:p w14:paraId="436D77FA"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3.45</w:t>
            </w:r>
          </w:p>
        </w:tc>
        <w:tc>
          <w:tcPr>
            <w:tcW w:w="0" w:type="auto"/>
            <w:noWrap/>
            <w:hideMark/>
          </w:tcPr>
          <w:p w14:paraId="59A08DC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4.98</w:t>
            </w:r>
          </w:p>
        </w:tc>
      </w:tr>
      <w:tr w:rsidR="004B6442" w:rsidRPr="00024247" w14:paraId="4B0C76E3"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C88E81"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Mean</w:t>
            </w:r>
            <w:r>
              <w:rPr>
                <w:rFonts w:ascii="Calibri" w:eastAsia="Times New Roman" w:hAnsi="Calibri" w:cs="Calibri"/>
                <w:color w:val="000000"/>
                <w:sz w:val="18"/>
                <w:szCs w:val="18"/>
              </w:rPr>
              <w:t xml:space="preserve"> (group)</w:t>
            </w:r>
          </w:p>
        </w:tc>
        <w:tc>
          <w:tcPr>
            <w:tcW w:w="0" w:type="auto"/>
            <w:noWrap/>
            <w:hideMark/>
          </w:tcPr>
          <w:p w14:paraId="680FC3A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3FD1C0E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2.34</w:t>
            </w:r>
          </w:p>
        </w:tc>
        <w:tc>
          <w:tcPr>
            <w:tcW w:w="0" w:type="auto"/>
            <w:noWrap/>
            <w:hideMark/>
          </w:tcPr>
          <w:p w14:paraId="6CE117B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2.46</w:t>
            </w:r>
          </w:p>
        </w:tc>
        <w:tc>
          <w:tcPr>
            <w:tcW w:w="0" w:type="auto"/>
            <w:noWrap/>
            <w:hideMark/>
          </w:tcPr>
          <w:p w14:paraId="1258504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3.79</w:t>
            </w:r>
          </w:p>
        </w:tc>
        <w:tc>
          <w:tcPr>
            <w:tcW w:w="0" w:type="auto"/>
            <w:noWrap/>
            <w:hideMark/>
          </w:tcPr>
          <w:p w14:paraId="610C8AA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4.01</w:t>
            </w:r>
          </w:p>
        </w:tc>
        <w:tc>
          <w:tcPr>
            <w:tcW w:w="0" w:type="auto"/>
            <w:noWrap/>
            <w:hideMark/>
          </w:tcPr>
          <w:p w14:paraId="392F56B2"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2.41</w:t>
            </w:r>
          </w:p>
        </w:tc>
        <w:tc>
          <w:tcPr>
            <w:tcW w:w="0" w:type="auto"/>
            <w:noWrap/>
            <w:hideMark/>
          </w:tcPr>
          <w:p w14:paraId="681DCF7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2.53</w:t>
            </w:r>
          </w:p>
        </w:tc>
        <w:tc>
          <w:tcPr>
            <w:tcW w:w="0" w:type="auto"/>
            <w:noWrap/>
            <w:hideMark/>
          </w:tcPr>
          <w:p w14:paraId="5AAC07A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3.58</w:t>
            </w:r>
          </w:p>
        </w:tc>
        <w:tc>
          <w:tcPr>
            <w:tcW w:w="0" w:type="auto"/>
            <w:noWrap/>
            <w:hideMark/>
          </w:tcPr>
          <w:p w14:paraId="14AE7733"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3.77</w:t>
            </w:r>
          </w:p>
        </w:tc>
        <w:tc>
          <w:tcPr>
            <w:tcW w:w="0" w:type="auto"/>
            <w:noWrap/>
            <w:hideMark/>
          </w:tcPr>
          <w:p w14:paraId="041F97BA"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5.65</w:t>
            </w:r>
          </w:p>
        </w:tc>
      </w:tr>
      <w:tr w:rsidR="004B6442" w:rsidRPr="00024247" w14:paraId="4D1119A0"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39C4C6"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SD</w:t>
            </w:r>
            <w:r>
              <w:rPr>
                <w:rFonts w:ascii="Calibri" w:eastAsia="Times New Roman" w:hAnsi="Calibri" w:cs="Calibri"/>
                <w:color w:val="000000"/>
                <w:sz w:val="18"/>
                <w:szCs w:val="18"/>
              </w:rPr>
              <w:t xml:space="preserve"> (group)</w:t>
            </w:r>
          </w:p>
        </w:tc>
        <w:tc>
          <w:tcPr>
            <w:tcW w:w="0" w:type="auto"/>
            <w:noWrap/>
            <w:hideMark/>
          </w:tcPr>
          <w:p w14:paraId="1B3E9F6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4C75B9C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0.69</w:t>
            </w:r>
          </w:p>
        </w:tc>
        <w:tc>
          <w:tcPr>
            <w:tcW w:w="0" w:type="auto"/>
            <w:noWrap/>
            <w:hideMark/>
          </w:tcPr>
          <w:p w14:paraId="5B64400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0.76</w:t>
            </w:r>
          </w:p>
        </w:tc>
        <w:tc>
          <w:tcPr>
            <w:tcW w:w="0" w:type="auto"/>
            <w:noWrap/>
            <w:hideMark/>
          </w:tcPr>
          <w:p w14:paraId="2FF97D1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0.87</w:t>
            </w:r>
          </w:p>
        </w:tc>
        <w:tc>
          <w:tcPr>
            <w:tcW w:w="0" w:type="auto"/>
            <w:noWrap/>
            <w:hideMark/>
          </w:tcPr>
          <w:p w14:paraId="114019A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0.82</w:t>
            </w:r>
          </w:p>
        </w:tc>
        <w:tc>
          <w:tcPr>
            <w:tcW w:w="0" w:type="auto"/>
            <w:noWrap/>
            <w:hideMark/>
          </w:tcPr>
          <w:p w14:paraId="63249D5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0.60</w:t>
            </w:r>
          </w:p>
        </w:tc>
        <w:tc>
          <w:tcPr>
            <w:tcW w:w="0" w:type="auto"/>
            <w:noWrap/>
            <w:hideMark/>
          </w:tcPr>
          <w:p w14:paraId="0EB4061E"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0.58</w:t>
            </w:r>
          </w:p>
        </w:tc>
        <w:tc>
          <w:tcPr>
            <w:tcW w:w="0" w:type="auto"/>
            <w:noWrap/>
            <w:hideMark/>
          </w:tcPr>
          <w:p w14:paraId="2B5B70A3"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0.75</w:t>
            </w:r>
          </w:p>
        </w:tc>
        <w:tc>
          <w:tcPr>
            <w:tcW w:w="0" w:type="auto"/>
            <w:noWrap/>
            <w:hideMark/>
          </w:tcPr>
          <w:p w14:paraId="6DFCD87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0.73</w:t>
            </w:r>
          </w:p>
        </w:tc>
        <w:tc>
          <w:tcPr>
            <w:tcW w:w="0" w:type="auto"/>
            <w:noWrap/>
            <w:hideMark/>
          </w:tcPr>
          <w:p w14:paraId="1809DA8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0.74</w:t>
            </w:r>
          </w:p>
        </w:tc>
      </w:tr>
      <w:tr w:rsidR="004B6442" w:rsidRPr="00024247" w14:paraId="75E41360" w14:textId="77777777" w:rsidTr="00AC23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410EBE3"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SD (pooled)</w:t>
            </w:r>
          </w:p>
        </w:tc>
        <w:tc>
          <w:tcPr>
            <w:tcW w:w="0" w:type="auto"/>
            <w:noWrap/>
            <w:hideMark/>
          </w:tcPr>
          <w:p w14:paraId="3836385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131CF38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0.62</w:t>
            </w:r>
          </w:p>
        </w:tc>
        <w:tc>
          <w:tcPr>
            <w:tcW w:w="0" w:type="auto"/>
            <w:noWrap/>
            <w:hideMark/>
          </w:tcPr>
          <w:p w14:paraId="58B7F85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0.71</w:t>
            </w:r>
          </w:p>
        </w:tc>
        <w:tc>
          <w:tcPr>
            <w:tcW w:w="0" w:type="auto"/>
            <w:noWrap/>
            <w:hideMark/>
          </w:tcPr>
          <w:p w14:paraId="24BEB0BE"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0.87</w:t>
            </w:r>
          </w:p>
        </w:tc>
        <w:tc>
          <w:tcPr>
            <w:tcW w:w="0" w:type="auto"/>
            <w:noWrap/>
            <w:hideMark/>
          </w:tcPr>
          <w:p w14:paraId="428F370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0.86</w:t>
            </w:r>
          </w:p>
        </w:tc>
        <w:tc>
          <w:tcPr>
            <w:tcW w:w="0" w:type="auto"/>
            <w:noWrap/>
            <w:hideMark/>
          </w:tcPr>
          <w:p w14:paraId="0B3EBE6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0.71</w:t>
            </w:r>
          </w:p>
        </w:tc>
        <w:tc>
          <w:tcPr>
            <w:tcW w:w="0" w:type="auto"/>
            <w:noWrap/>
            <w:hideMark/>
          </w:tcPr>
          <w:p w14:paraId="011ADAA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0.67</w:t>
            </w:r>
          </w:p>
        </w:tc>
        <w:tc>
          <w:tcPr>
            <w:tcW w:w="0" w:type="auto"/>
            <w:noWrap/>
            <w:hideMark/>
          </w:tcPr>
          <w:p w14:paraId="7E43B1E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0.79</w:t>
            </w:r>
          </w:p>
        </w:tc>
        <w:tc>
          <w:tcPr>
            <w:tcW w:w="0" w:type="auto"/>
            <w:noWrap/>
            <w:hideMark/>
          </w:tcPr>
          <w:p w14:paraId="060BE3D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0.72</w:t>
            </w:r>
          </w:p>
        </w:tc>
        <w:tc>
          <w:tcPr>
            <w:tcW w:w="0" w:type="auto"/>
            <w:noWrap/>
            <w:hideMark/>
          </w:tcPr>
          <w:p w14:paraId="112FE80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0.74</w:t>
            </w:r>
          </w:p>
        </w:tc>
      </w:tr>
      <w:tr w:rsidR="004B6442" w:rsidRPr="00024247" w14:paraId="05898190" w14:textId="77777777" w:rsidTr="00AC23E4">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9C83FBD" w14:textId="77777777" w:rsidR="004B6442" w:rsidRPr="00024247" w:rsidRDefault="004B6442" w:rsidP="00AC23E4">
            <w:pPr>
              <w:rPr>
                <w:rFonts w:ascii="Calibri" w:eastAsia="Times New Roman" w:hAnsi="Calibri" w:cs="Calibri"/>
                <w:color w:val="000000"/>
                <w:sz w:val="18"/>
                <w:szCs w:val="18"/>
              </w:rPr>
            </w:pPr>
          </w:p>
        </w:tc>
        <w:tc>
          <w:tcPr>
            <w:tcW w:w="0" w:type="auto"/>
            <w:noWrap/>
            <w:hideMark/>
          </w:tcPr>
          <w:p w14:paraId="224204D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59C1458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66957BE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FBF0C5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2F47FFC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82D31C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8DBF5CF"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297207E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6A5EC9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671C46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024247" w14:paraId="727FBF66"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5"/>
            <w:noWrap/>
            <w:hideMark/>
          </w:tcPr>
          <w:p w14:paraId="073C1D73"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Independent samples t test (High PC &gt; Low PC)</w:t>
            </w:r>
          </w:p>
        </w:tc>
        <w:tc>
          <w:tcPr>
            <w:tcW w:w="0" w:type="auto"/>
            <w:noWrap/>
            <w:hideMark/>
          </w:tcPr>
          <w:p w14:paraId="284277B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c>
          <w:tcPr>
            <w:tcW w:w="0" w:type="auto"/>
            <w:noWrap/>
            <w:hideMark/>
          </w:tcPr>
          <w:p w14:paraId="18F8083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E5F0FA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FE92B74"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4F34BF41"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359A10B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4B6442" w:rsidRPr="00024247" w14:paraId="73D8E6DF"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EAF7B"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t statistic</w:t>
            </w:r>
          </w:p>
        </w:tc>
        <w:tc>
          <w:tcPr>
            <w:tcW w:w="0" w:type="auto"/>
            <w:noWrap/>
            <w:hideMark/>
          </w:tcPr>
          <w:p w14:paraId="5EFECC3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6FEE0FB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0.00</w:t>
            </w:r>
          </w:p>
        </w:tc>
        <w:tc>
          <w:tcPr>
            <w:tcW w:w="0" w:type="auto"/>
            <w:noWrap/>
            <w:hideMark/>
          </w:tcPr>
          <w:p w14:paraId="1ADE7564"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-0.05</w:t>
            </w:r>
          </w:p>
        </w:tc>
        <w:tc>
          <w:tcPr>
            <w:tcW w:w="0" w:type="auto"/>
            <w:noWrap/>
            <w:hideMark/>
          </w:tcPr>
          <w:p w14:paraId="634A4BE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0.12</w:t>
            </w:r>
          </w:p>
        </w:tc>
        <w:tc>
          <w:tcPr>
            <w:tcW w:w="0" w:type="auto"/>
            <w:noWrap/>
            <w:hideMark/>
          </w:tcPr>
          <w:p w14:paraId="344FB1B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0.40</w:t>
            </w:r>
          </w:p>
        </w:tc>
        <w:tc>
          <w:tcPr>
            <w:tcW w:w="0" w:type="auto"/>
            <w:noWrap/>
            <w:hideMark/>
          </w:tcPr>
          <w:p w14:paraId="7060B10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-0.14</w:t>
            </w:r>
          </w:p>
        </w:tc>
        <w:tc>
          <w:tcPr>
            <w:tcW w:w="0" w:type="auto"/>
            <w:noWrap/>
            <w:hideMark/>
          </w:tcPr>
          <w:p w14:paraId="48748906"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-0.08</w:t>
            </w:r>
          </w:p>
        </w:tc>
        <w:tc>
          <w:tcPr>
            <w:tcW w:w="0" w:type="auto"/>
            <w:noWrap/>
            <w:hideMark/>
          </w:tcPr>
          <w:p w14:paraId="39B9949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0.29</w:t>
            </w:r>
          </w:p>
        </w:tc>
        <w:tc>
          <w:tcPr>
            <w:tcW w:w="0" w:type="auto"/>
            <w:noWrap/>
            <w:hideMark/>
          </w:tcPr>
          <w:p w14:paraId="1F86C797"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-0.10</w:t>
            </w:r>
          </w:p>
        </w:tc>
        <w:tc>
          <w:tcPr>
            <w:tcW w:w="0" w:type="auto"/>
            <w:noWrap/>
            <w:hideMark/>
          </w:tcPr>
          <w:p w14:paraId="10A3B81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-0.01</w:t>
            </w:r>
          </w:p>
        </w:tc>
      </w:tr>
      <w:tr w:rsidR="004B6442" w:rsidRPr="00024247" w14:paraId="20978C3B"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DE787"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p value</w:t>
            </w:r>
          </w:p>
        </w:tc>
        <w:tc>
          <w:tcPr>
            <w:tcW w:w="0" w:type="auto"/>
            <w:noWrap/>
            <w:hideMark/>
          </w:tcPr>
          <w:p w14:paraId="0D482340"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noWrap/>
            <w:hideMark/>
          </w:tcPr>
          <w:p w14:paraId="237D15BC"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0.999</w:t>
            </w:r>
          </w:p>
        </w:tc>
        <w:tc>
          <w:tcPr>
            <w:tcW w:w="0" w:type="auto"/>
            <w:noWrap/>
            <w:hideMark/>
          </w:tcPr>
          <w:p w14:paraId="10B78BB7"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0.963</w:t>
            </w:r>
          </w:p>
        </w:tc>
        <w:tc>
          <w:tcPr>
            <w:tcW w:w="0" w:type="auto"/>
            <w:noWrap/>
            <w:hideMark/>
          </w:tcPr>
          <w:p w14:paraId="6C77AAB8"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0.906</w:t>
            </w:r>
          </w:p>
        </w:tc>
        <w:tc>
          <w:tcPr>
            <w:tcW w:w="0" w:type="auto"/>
            <w:noWrap/>
            <w:hideMark/>
          </w:tcPr>
          <w:p w14:paraId="45DD3A5F"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0.692</w:t>
            </w:r>
          </w:p>
        </w:tc>
        <w:tc>
          <w:tcPr>
            <w:tcW w:w="0" w:type="auto"/>
            <w:noWrap/>
            <w:hideMark/>
          </w:tcPr>
          <w:p w14:paraId="53152D25"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0.889</w:t>
            </w:r>
          </w:p>
        </w:tc>
        <w:tc>
          <w:tcPr>
            <w:tcW w:w="0" w:type="auto"/>
            <w:noWrap/>
            <w:hideMark/>
          </w:tcPr>
          <w:p w14:paraId="6E71CE16"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0.936</w:t>
            </w:r>
          </w:p>
        </w:tc>
        <w:tc>
          <w:tcPr>
            <w:tcW w:w="0" w:type="auto"/>
            <w:noWrap/>
            <w:hideMark/>
          </w:tcPr>
          <w:p w14:paraId="1EFC268B"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0.776</w:t>
            </w:r>
          </w:p>
        </w:tc>
        <w:tc>
          <w:tcPr>
            <w:tcW w:w="0" w:type="auto"/>
            <w:noWrap/>
            <w:hideMark/>
          </w:tcPr>
          <w:p w14:paraId="4A5F626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0.923</w:t>
            </w:r>
          </w:p>
        </w:tc>
        <w:tc>
          <w:tcPr>
            <w:tcW w:w="0" w:type="auto"/>
            <w:noWrap/>
            <w:hideMark/>
          </w:tcPr>
          <w:p w14:paraId="484F2DA9" w14:textId="77777777" w:rsidR="004B6442" w:rsidRPr="00024247"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0.991</w:t>
            </w:r>
          </w:p>
        </w:tc>
      </w:tr>
      <w:tr w:rsidR="004B6442" w:rsidRPr="00024247" w14:paraId="48D8F74C"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0EB731F" w14:textId="77777777" w:rsidR="004B6442" w:rsidRPr="00024247" w:rsidRDefault="004B6442" w:rsidP="00AC23E4">
            <w:pPr>
              <w:rPr>
                <w:rFonts w:ascii="Calibri" w:eastAsia="Times New Roman" w:hAnsi="Calibri" w:cs="Calibri"/>
                <w:color w:val="000000"/>
                <w:sz w:val="18"/>
                <w:szCs w:val="18"/>
              </w:rPr>
            </w:pPr>
            <w:r w:rsidRPr="00024247">
              <w:rPr>
                <w:rFonts w:ascii="Calibri" w:eastAsia="Times New Roman" w:hAnsi="Calibri" w:cs="Calibri"/>
                <w:color w:val="000000"/>
                <w:sz w:val="18"/>
                <w:szCs w:val="18"/>
              </w:rPr>
              <w:t>Effect size (Cohen's d)</w:t>
            </w:r>
          </w:p>
        </w:tc>
        <w:tc>
          <w:tcPr>
            <w:tcW w:w="0" w:type="auto"/>
            <w:noWrap/>
            <w:hideMark/>
          </w:tcPr>
          <w:p w14:paraId="13AC553D"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0.00</w:t>
            </w:r>
          </w:p>
        </w:tc>
        <w:tc>
          <w:tcPr>
            <w:tcW w:w="0" w:type="auto"/>
            <w:noWrap/>
            <w:hideMark/>
          </w:tcPr>
          <w:p w14:paraId="554ECB11"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0.02</w:t>
            </w:r>
          </w:p>
        </w:tc>
        <w:tc>
          <w:tcPr>
            <w:tcW w:w="0" w:type="auto"/>
            <w:noWrap/>
            <w:hideMark/>
          </w:tcPr>
          <w:p w14:paraId="4AD13712"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0.04</w:t>
            </w:r>
          </w:p>
        </w:tc>
        <w:tc>
          <w:tcPr>
            <w:tcW w:w="0" w:type="auto"/>
            <w:noWrap/>
            <w:hideMark/>
          </w:tcPr>
          <w:p w14:paraId="573A9CF5"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0.14</w:t>
            </w:r>
          </w:p>
        </w:tc>
        <w:tc>
          <w:tcPr>
            <w:tcW w:w="0" w:type="auto"/>
            <w:noWrap/>
            <w:hideMark/>
          </w:tcPr>
          <w:p w14:paraId="7EA440A9"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0.05</w:t>
            </w:r>
          </w:p>
        </w:tc>
        <w:tc>
          <w:tcPr>
            <w:tcW w:w="0" w:type="auto"/>
            <w:noWrap/>
            <w:hideMark/>
          </w:tcPr>
          <w:p w14:paraId="7E51958B"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0.03</w:t>
            </w:r>
          </w:p>
        </w:tc>
        <w:tc>
          <w:tcPr>
            <w:tcW w:w="0" w:type="auto"/>
            <w:noWrap/>
            <w:hideMark/>
          </w:tcPr>
          <w:p w14:paraId="1AE2E2F8"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0.10</w:t>
            </w:r>
          </w:p>
        </w:tc>
        <w:tc>
          <w:tcPr>
            <w:tcW w:w="0" w:type="auto"/>
            <w:noWrap/>
            <w:hideMark/>
          </w:tcPr>
          <w:p w14:paraId="0D2A061C"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0.03</w:t>
            </w:r>
          </w:p>
        </w:tc>
        <w:tc>
          <w:tcPr>
            <w:tcW w:w="0" w:type="auto"/>
            <w:noWrap/>
            <w:hideMark/>
          </w:tcPr>
          <w:p w14:paraId="203914A0" w14:textId="77777777" w:rsidR="004B6442" w:rsidRPr="00024247"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24247">
              <w:rPr>
                <w:rFonts w:ascii="Calibri" w:eastAsia="Times New Roman" w:hAnsi="Calibri" w:cs="Calibri"/>
                <w:color w:val="000000"/>
                <w:sz w:val="18"/>
                <w:szCs w:val="18"/>
              </w:rPr>
              <w:t>0.00</w:t>
            </w:r>
          </w:p>
        </w:tc>
      </w:tr>
    </w:tbl>
    <w:p w14:paraId="4693E8CA" w14:textId="77777777" w:rsidR="004B6442" w:rsidRDefault="004B6442" w:rsidP="004B6442"/>
    <w:p w14:paraId="3356607B" w14:textId="77777777" w:rsidR="004B6442" w:rsidRDefault="004B6442" w:rsidP="004B6442">
      <w:r>
        <w:br w:type="page"/>
      </w:r>
    </w:p>
    <w:p w14:paraId="13C01305" w14:textId="5C10D441" w:rsidR="004B6442" w:rsidRDefault="004B6442" w:rsidP="00604241">
      <w:pPr>
        <w:pStyle w:val="Heading2"/>
      </w:pPr>
      <w:r>
        <w:t xml:space="preserve">Supplementary Table 3: mixed </w:t>
      </w:r>
      <w:proofErr w:type="spellStart"/>
      <w:r>
        <w:t>anova</w:t>
      </w:r>
      <w:proofErr w:type="spellEnd"/>
      <w:r>
        <w:t xml:space="preserve"> for pain ratings</w:t>
      </w:r>
    </w:p>
    <w:tbl>
      <w:tblPr>
        <w:tblStyle w:val="PlainTable3"/>
        <w:tblW w:w="0" w:type="auto"/>
        <w:tblLook w:val="04A0" w:firstRow="1" w:lastRow="0" w:firstColumn="1" w:lastColumn="0" w:noHBand="0" w:noVBand="1"/>
      </w:tblPr>
      <w:tblGrid>
        <w:gridCol w:w="3347"/>
        <w:gridCol w:w="767"/>
        <w:gridCol w:w="1222"/>
        <w:gridCol w:w="2357"/>
      </w:tblGrid>
      <w:tr w:rsidR="004B6442" w:rsidRPr="004A276D" w14:paraId="2A75BEC8" w14:textId="77777777" w:rsidTr="00AC23E4">
        <w:trPr>
          <w:cnfStyle w:val="100000000000" w:firstRow="1" w:lastRow="0" w:firstColumn="0" w:lastColumn="0" w:oddVBand="0" w:evenVBand="0" w:oddHBand="0" w:evenHBand="0" w:firstRowFirstColumn="0" w:firstRowLastColumn="0" w:lastRowFirstColumn="0" w:lastRowLastColumn="0"/>
          <w:trHeight w:val="735"/>
        </w:trPr>
        <w:tc>
          <w:tcPr>
            <w:cnfStyle w:val="001000000100" w:firstRow="0" w:lastRow="0" w:firstColumn="1" w:lastColumn="0" w:oddVBand="0" w:evenVBand="0" w:oddHBand="0" w:evenHBand="0" w:firstRowFirstColumn="1" w:firstRowLastColumn="0" w:lastRowFirstColumn="0" w:lastRowLastColumn="0"/>
            <w:tcW w:w="0" w:type="auto"/>
            <w:hideMark/>
          </w:tcPr>
          <w:p w14:paraId="4AA67378"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Source</w:t>
            </w:r>
          </w:p>
        </w:tc>
        <w:tc>
          <w:tcPr>
            <w:tcW w:w="0" w:type="auto"/>
            <w:hideMark/>
          </w:tcPr>
          <w:p w14:paraId="6EA89576" w14:textId="77777777" w:rsidR="004B6442" w:rsidRPr="004A276D"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F</w:t>
            </w:r>
          </w:p>
        </w:tc>
        <w:tc>
          <w:tcPr>
            <w:tcW w:w="0" w:type="auto"/>
            <w:hideMark/>
          </w:tcPr>
          <w:p w14:paraId="547ACC06" w14:textId="77777777" w:rsidR="004B6442" w:rsidRPr="004A276D"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p</w:t>
            </w:r>
          </w:p>
        </w:tc>
        <w:tc>
          <w:tcPr>
            <w:tcW w:w="0" w:type="auto"/>
            <w:hideMark/>
          </w:tcPr>
          <w:p w14:paraId="05F1DB46" w14:textId="77777777" w:rsidR="004B6442" w:rsidRPr="004A276D" w:rsidRDefault="004B6442" w:rsidP="00AC23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Partial Eta Squared</w:t>
            </w:r>
          </w:p>
        </w:tc>
      </w:tr>
      <w:tr w:rsidR="004B6442" w:rsidRPr="004A276D" w14:paraId="42718B7D"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224DAE6"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w:t>
            </w:r>
          </w:p>
        </w:tc>
        <w:tc>
          <w:tcPr>
            <w:tcW w:w="0" w:type="auto"/>
            <w:noWrap/>
            <w:hideMark/>
          </w:tcPr>
          <w:p w14:paraId="5AEE4DAB"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1.10</w:t>
            </w:r>
          </w:p>
        </w:tc>
        <w:tc>
          <w:tcPr>
            <w:tcW w:w="0" w:type="auto"/>
            <w:noWrap/>
            <w:hideMark/>
          </w:tcPr>
          <w:p w14:paraId="03268819"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0.302</w:t>
            </w:r>
          </w:p>
        </w:tc>
        <w:tc>
          <w:tcPr>
            <w:tcW w:w="0" w:type="auto"/>
            <w:noWrap/>
            <w:hideMark/>
          </w:tcPr>
          <w:p w14:paraId="783FCB92"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0.03</w:t>
            </w:r>
          </w:p>
        </w:tc>
      </w:tr>
      <w:tr w:rsidR="004B6442" w:rsidRPr="004A276D" w14:paraId="1D3B8F1F"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9011719"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Group</w:t>
            </w:r>
          </w:p>
        </w:tc>
        <w:tc>
          <w:tcPr>
            <w:tcW w:w="0" w:type="auto"/>
            <w:noWrap/>
            <w:hideMark/>
          </w:tcPr>
          <w:p w14:paraId="59DFE802"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0.04</w:t>
            </w:r>
          </w:p>
        </w:tc>
        <w:tc>
          <w:tcPr>
            <w:tcW w:w="0" w:type="auto"/>
            <w:noWrap/>
            <w:hideMark/>
          </w:tcPr>
          <w:p w14:paraId="7DD46AF7"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0.846</w:t>
            </w:r>
          </w:p>
        </w:tc>
        <w:tc>
          <w:tcPr>
            <w:tcW w:w="0" w:type="auto"/>
            <w:noWrap/>
            <w:hideMark/>
          </w:tcPr>
          <w:p w14:paraId="5918888E"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r w:rsidR="004B6442" w:rsidRPr="004A276D" w14:paraId="39D817CE"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0EE6272" w14:textId="77777777" w:rsidR="004B6442" w:rsidRPr="004A276D" w:rsidRDefault="004B6442" w:rsidP="00AC23E4">
            <w:pPr>
              <w:rPr>
                <w:rFonts w:ascii="Arial" w:eastAsia="Times New Roman" w:hAnsi="Arial" w:cs="Arial"/>
                <w:iCs/>
                <w:color w:val="000000"/>
                <w:sz w:val="18"/>
                <w:szCs w:val="18"/>
              </w:rPr>
            </w:pPr>
            <w:r w:rsidRPr="004A276D">
              <w:rPr>
                <w:rFonts w:ascii="Arial" w:eastAsia="Times New Roman" w:hAnsi="Arial" w:cs="Arial"/>
                <w:iCs/>
                <w:color w:val="000000"/>
                <w:sz w:val="18"/>
                <w:szCs w:val="18"/>
              </w:rPr>
              <w:t>Intensity</w:t>
            </w:r>
          </w:p>
        </w:tc>
        <w:tc>
          <w:tcPr>
            <w:tcW w:w="0" w:type="auto"/>
            <w:noWrap/>
            <w:hideMark/>
          </w:tcPr>
          <w:p w14:paraId="24435C26"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161.70</w:t>
            </w:r>
          </w:p>
        </w:tc>
        <w:tc>
          <w:tcPr>
            <w:tcW w:w="0" w:type="auto"/>
            <w:noWrap/>
            <w:hideMark/>
          </w:tcPr>
          <w:p w14:paraId="4732E224" w14:textId="3E09393E" w:rsidR="004B6442" w:rsidRPr="004A27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Pr>
                <w:rFonts w:ascii="Arial" w:eastAsia="Times New Roman" w:hAnsi="Arial" w:cs="Arial"/>
                <w:iCs/>
                <w:color w:val="000000"/>
                <w:sz w:val="18"/>
                <w:szCs w:val="18"/>
              </w:rPr>
              <w:t>&lt;0.001</w:t>
            </w:r>
          </w:p>
        </w:tc>
        <w:tc>
          <w:tcPr>
            <w:tcW w:w="0" w:type="auto"/>
            <w:noWrap/>
            <w:hideMark/>
          </w:tcPr>
          <w:p w14:paraId="061A4BBC"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0.83</w:t>
            </w:r>
          </w:p>
        </w:tc>
      </w:tr>
      <w:tr w:rsidR="004B6442" w:rsidRPr="004A276D" w14:paraId="04778C0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2160FA1"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Intensity * Group</w:t>
            </w:r>
          </w:p>
        </w:tc>
        <w:tc>
          <w:tcPr>
            <w:tcW w:w="0" w:type="auto"/>
            <w:noWrap/>
            <w:hideMark/>
          </w:tcPr>
          <w:p w14:paraId="13626C82"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0.10</w:t>
            </w:r>
          </w:p>
        </w:tc>
        <w:tc>
          <w:tcPr>
            <w:tcW w:w="0" w:type="auto"/>
            <w:noWrap/>
            <w:hideMark/>
          </w:tcPr>
          <w:p w14:paraId="41E9629C"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0.754</w:t>
            </w:r>
          </w:p>
        </w:tc>
        <w:tc>
          <w:tcPr>
            <w:tcW w:w="0" w:type="auto"/>
            <w:noWrap/>
            <w:hideMark/>
          </w:tcPr>
          <w:p w14:paraId="3178DB08"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r w:rsidR="004B6442" w:rsidRPr="004A276D" w14:paraId="3BACF084"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9431B37" w14:textId="77777777" w:rsidR="004B6442" w:rsidRPr="004A276D" w:rsidRDefault="004B6442" w:rsidP="00AC23E4">
            <w:pPr>
              <w:rPr>
                <w:rFonts w:ascii="Arial" w:eastAsia="Times New Roman" w:hAnsi="Arial" w:cs="Arial"/>
                <w:iCs/>
                <w:color w:val="000000"/>
                <w:sz w:val="18"/>
                <w:szCs w:val="18"/>
              </w:rPr>
            </w:pPr>
            <w:r w:rsidRPr="004A276D">
              <w:rPr>
                <w:rFonts w:ascii="Arial" w:eastAsia="Times New Roman" w:hAnsi="Arial" w:cs="Arial"/>
                <w:iCs/>
                <w:color w:val="000000"/>
                <w:sz w:val="18"/>
                <w:szCs w:val="18"/>
              </w:rPr>
              <w:t>Cue</w:t>
            </w:r>
          </w:p>
        </w:tc>
        <w:tc>
          <w:tcPr>
            <w:tcW w:w="0" w:type="auto"/>
            <w:noWrap/>
            <w:hideMark/>
          </w:tcPr>
          <w:p w14:paraId="1E77FBCD"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37.67</w:t>
            </w:r>
          </w:p>
        </w:tc>
        <w:tc>
          <w:tcPr>
            <w:tcW w:w="0" w:type="auto"/>
            <w:noWrap/>
            <w:hideMark/>
          </w:tcPr>
          <w:p w14:paraId="7C03B3D2" w14:textId="02E5CE47" w:rsidR="004B6442" w:rsidRPr="004A27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Pr>
                <w:rFonts w:ascii="Arial" w:eastAsia="Times New Roman" w:hAnsi="Arial" w:cs="Arial"/>
                <w:iCs/>
                <w:color w:val="000000"/>
                <w:sz w:val="18"/>
                <w:szCs w:val="18"/>
              </w:rPr>
              <w:t>&lt;0.001</w:t>
            </w:r>
          </w:p>
        </w:tc>
        <w:tc>
          <w:tcPr>
            <w:tcW w:w="0" w:type="auto"/>
            <w:noWrap/>
            <w:hideMark/>
          </w:tcPr>
          <w:p w14:paraId="35168304"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0.54</w:t>
            </w:r>
          </w:p>
        </w:tc>
      </w:tr>
      <w:tr w:rsidR="004B6442" w:rsidRPr="004A276D" w14:paraId="5EF41283"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493DD67"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Cue * Group</w:t>
            </w:r>
          </w:p>
        </w:tc>
        <w:tc>
          <w:tcPr>
            <w:tcW w:w="0" w:type="auto"/>
            <w:noWrap/>
            <w:hideMark/>
          </w:tcPr>
          <w:p w14:paraId="67A1B65F"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0.01</w:t>
            </w:r>
          </w:p>
        </w:tc>
        <w:tc>
          <w:tcPr>
            <w:tcW w:w="0" w:type="auto"/>
            <w:noWrap/>
            <w:hideMark/>
          </w:tcPr>
          <w:p w14:paraId="41DE4163"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0.938</w:t>
            </w:r>
          </w:p>
        </w:tc>
        <w:tc>
          <w:tcPr>
            <w:tcW w:w="0" w:type="auto"/>
            <w:noWrap/>
            <w:hideMark/>
          </w:tcPr>
          <w:p w14:paraId="067F5BDE"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r w:rsidR="004B6442" w:rsidRPr="004A276D" w14:paraId="6EF9C768"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47714A3" w14:textId="77777777" w:rsidR="004B6442" w:rsidRPr="004A276D" w:rsidRDefault="004B6442" w:rsidP="00AC23E4">
            <w:pPr>
              <w:rPr>
                <w:rFonts w:ascii="Arial" w:eastAsia="Times New Roman" w:hAnsi="Arial" w:cs="Arial"/>
                <w:iCs/>
                <w:color w:val="000000"/>
                <w:sz w:val="18"/>
                <w:szCs w:val="18"/>
              </w:rPr>
            </w:pPr>
            <w:r w:rsidRPr="004A276D">
              <w:rPr>
                <w:rFonts w:ascii="Arial" w:eastAsia="Times New Roman" w:hAnsi="Arial" w:cs="Arial"/>
                <w:iCs/>
                <w:color w:val="000000"/>
                <w:sz w:val="18"/>
                <w:szCs w:val="18"/>
              </w:rPr>
              <w:t>Block * Intensity</w:t>
            </w:r>
          </w:p>
        </w:tc>
        <w:tc>
          <w:tcPr>
            <w:tcW w:w="0" w:type="auto"/>
            <w:noWrap/>
            <w:hideMark/>
          </w:tcPr>
          <w:p w14:paraId="775FA460"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8.69</w:t>
            </w:r>
          </w:p>
        </w:tc>
        <w:tc>
          <w:tcPr>
            <w:tcW w:w="0" w:type="auto"/>
            <w:noWrap/>
            <w:hideMark/>
          </w:tcPr>
          <w:p w14:paraId="2B31FE0C"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0.006</w:t>
            </w:r>
          </w:p>
        </w:tc>
        <w:tc>
          <w:tcPr>
            <w:tcW w:w="0" w:type="auto"/>
            <w:noWrap/>
            <w:hideMark/>
          </w:tcPr>
          <w:p w14:paraId="37EBDFE9"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000000"/>
                <w:sz w:val="18"/>
                <w:szCs w:val="18"/>
              </w:rPr>
            </w:pPr>
            <w:r w:rsidRPr="004A276D">
              <w:rPr>
                <w:rFonts w:ascii="Arial" w:eastAsia="Times New Roman" w:hAnsi="Arial" w:cs="Arial"/>
                <w:iCs/>
                <w:color w:val="000000"/>
                <w:sz w:val="18"/>
                <w:szCs w:val="18"/>
              </w:rPr>
              <w:t>0.21</w:t>
            </w:r>
          </w:p>
        </w:tc>
      </w:tr>
      <w:tr w:rsidR="004B6442" w:rsidRPr="004A276D" w14:paraId="448D29FD"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F63D1D8"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Intensity * Group</w:t>
            </w:r>
          </w:p>
        </w:tc>
        <w:tc>
          <w:tcPr>
            <w:tcW w:w="0" w:type="auto"/>
            <w:noWrap/>
            <w:hideMark/>
          </w:tcPr>
          <w:p w14:paraId="33764F6B"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0.02</w:t>
            </w:r>
          </w:p>
        </w:tc>
        <w:tc>
          <w:tcPr>
            <w:tcW w:w="0" w:type="auto"/>
            <w:noWrap/>
            <w:hideMark/>
          </w:tcPr>
          <w:p w14:paraId="5CD190C3"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0.890</w:t>
            </w:r>
          </w:p>
        </w:tc>
        <w:tc>
          <w:tcPr>
            <w:tcW w:w="0" w:type="auto"/>
            <w:noWrap/>
            <w:hideMark/>
          </w:tcPr>
          <w:p w14:paraId="6EAB8152"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r w:rsidR="004B6442" w:rsidRPr="004A276D" w14:paraId="2E77B5B6"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690AAD8"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Cue</w:t>
            </w:r>
          </w:p>
        </w:tc>
        <w:tc>
          <w:tcPr>
            <w:tcW w:w="0" w:type="auto"/>
            <w:noWrap/>
            <w:hideMark/>
          </w:tcPr>
          <w:p w14:paraId="26F71BCD"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1.07</w:t>
            </w:r>
          </w:p>
        </w:tc>
        <w:tc>
          <w:tcPr>
            <w:tcW w:w="0" w:type="auto"/>
            <w:noWrap/>
            <w:hideMark/>
          </w:tcPr>
          <w:p w14:paraId="70F260B6"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0.308</w:t>
            </w:r>
          </w:p>
        </w:tc>
        <w:tc>
          <w:tcPr>
            <w:tcW w:w="0" w:type="auto"/>
            <w:noWrap/>
            <w:hideMark/>
          </w:tcPr>
          <w:p w14:paraId="1D750CC5"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0.03</w:t>
            </w:r>
          </w:p>
        </w:tc>
      </w:tr>
      <w:tr w:rsidR="004B6442" w:rsidRPr="004A276D" w14:paraId="1A28F766" w14:textId="77777777" w:rsidTr="00AC23E4">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4182E048"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Cue * Group</w:t>
            </w:r>
          </w:p>
        </w:tc>
        <w:tc>
          <w:tcPr>
            <w:tcW w:w="0" w:type="auto"/>
            <w:noWrap/>
            <w:hideMark/>
          </w:tcPr>
          <w:p w14:paraId="54E309D7"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0.66</w:t>
            </w:r>
          </w:p>
        </w:tc>
        <w:tc>
          <w:tcPr>
            <w:tcW w:w="0" w:type="auto"/>
            <w:noWrap/>
            <w:hideMark/>
          </w:tcPr>
          <w:p w14:paraId="24FD5539"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0.422</w:t>
            </w:r>
          </w:p>
        </w:tc>
        <w:tc>
          <w:tcPr>
            <w:tcW w:w="0" w:type="auto"/>
            <w:noWrap/>
            <w:hideMark/>
          </w:tcPr>
          <w:p w14:paraId="25BB3690"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0.02</w:t>
            </w:r>
          </w:p>
        </w:tc>
      </w:tr>
      <w:tr w:rsidR="004B6442" w:rsidRPr="004A276D" w14:paraId="0D247408"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0A7C9AA"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Intensity * Cue</w:t>
            </w:r>
          </w:p>
        </w:tc>
        <w:tc>
          <w:tcPr>
            <w:tcW w:w="0" w:type="auto"/>
            <w:noWrap/>
            <w:hideMark/>
          </w:tcPr>
          <w:p w14:paraId="2FF04EC8"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2.40</w:t>
            </w:r>
          </w:p>
        </w:tc>
        <w:tc>
          <w:tcPr>
            <w:tcW w:w="0" w:type="auto"/>
            <w:noWrap/>
            <w:hideMark/>
          </w:tcPr>
          <w:p w14:paraId="310B2832"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0.131</w:t>
            </w:r>
          </w:p>
        </w:tc>
        <w:tc>
          <w:tcPr>
            <w:tcW w:w="0" w:type="auto"/>
            <w:noWrap/>
            <w:hideMark/>
          </w:tcPr>
          <w:p w14:paraId="1411E254"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0.07</w:t>
            </w:r>
          </w:p>
        </w:tc>
      </w:tr>
      <w:tr w:rsidR="004B6442" w:rsidRPr="004A276D" w14:paraId="3B9AFD22"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A83FD45"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Intensity * Cue * Group</w:t>
            </w:r>
          </w:p>
        </w:tc>
        <w:tc>
          <w:tcPr>
            <w:tcW w:w="0" w:type="auto"/>
            <w:noWrap/>
            <w:hideMark/>
          </w:tcPr>
          <w:p w14:paraId="449819E8"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0.01</w:t>
            </w:r>
          </w:p>
        </w:tc>
        <w:tc>
          <w:tcPr>
            <w:tcW w:w="0" w:type="auto"/>
            <w:noWrap/>
            <w:hideMark/>
          </w:tcPr>
          <w:p w14:paraId="1A26AAF5"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0.910</w:t>
            </w:r>
          </w:p>
        </w:tc>
        <w:tc>
          <w:tcPr>
            <w:tcW w:w="0" w:type="auto"/>
            <w:noWrap/>
            <w:hideMark/>
          </w:tcPr>
          <w:p w14:paraId="58792C07"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r w:rsidR="004B6442" w:rsidRPr="004A276D" w14:paraId="0136CF56"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3EDCD1B"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Intensity * Cue</w:t>
            </w:r>
          </w:p>
        </w:tc>
        <w:tc>
          <w:tcPr>
            <w:tcW w:w="0" w:type="auto"/>
            <w:noWrap/>
            <w:hideMark/>
          </w:tcPr>
          <w:p w14:paraId="14E250CA"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1.13</w:t>
            </w:r>
          </w:p>
        </w:tc>
        <w:tc>
          <w:tcPr>
            <w:tcW w:w="0" w:type="auto"/>
            <w:noWrap/>
            <w:hideMark/>
          </w:tcPr>
          <w:p w14:paraId="49420FE7"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0.296</w:t>
            </w:r>
          </w:p>
        </w:tc>
        <w:tc>
          <w:tcPr>
            <w:tcW w:w="0" w:type="auto"/>
            <w:noWrap/>
            <w:hideMark/>
          </w:tcPr>
          <w:p w14:paraId="0668E571"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0.03</w:t>
            </w:r>
          </w:p>
        </w:tc>
      </w:tr>
      <w:tr w:rsidR="004B6442" w:rsidRPr="004A276D" w14:paraId="1610C872" w14:textId="77777777" w:rsidTr="00AC23E4">
        <w:trPr>
          <w:trHeight w:val="362"/>
        </w:trPr>
        <w:tc>
          <w:tcPr>
            <w:cnfStyle w:val="001000000000" w:firstRow="0" w:lastRow="0" w:firstColumn="1" w:lastColumn="0" w:oddVBand="0" w:evenVBand="0" w:oddHBand="0" w:evenHBand="0" w:firstRowFirstColumn="0" w:firstRowLastColumn="0" w:lastRowFirstColumn="0" w:lastRowLastColumn="0"/>
            <w:tcW w:w="0" w:type="auto"/>
            <w:hideMark/>
          </w:tcPr>
          <w:p w14:paraId="2EBCBAF5"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Block * Intensity * Cue * Group</w:t>
            </w:r>
          </w:p>
        </w:tc>
        <w:tc>
          <w:tcPr>
            <w:tcW w:w="0" w:type="auto"/>
            <w:noWrap/>
            <w:hideMark/>
          </w:tcPr>
          <w:p w14:paraId="195D22FF"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0.74</w:t>
            </w:r>
          </w:p>
        </w:tc>
        <w:tc>
          <w:tcPr>
            <w:tcW w:w="0" w:type="auto"/>
            <w:noWrap/>
            <w:hideMark/>
          </w:tcPr>
          <w:p w14:paraId="25145563"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0.396</w:t>
            </w:r>
          </w:p>
        </w:tc>
        <w:tc>
          <w:tcPr>
            <w:tcW w:w="0" w:type="auto"/>
            <w:noWrap/>
            <w:hideMark/>
          </w:tcPr>
          <w:p w14:paraId="181C7066" w14:textId="77777777" w:rsidR="004B6442" w:rsidRPr="004A27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0.02</w:t>
            </w:r>
          </w:p>
        </w:tc>
      </w:tr>
      <w:tr w:rsidR="004B6442" w:rsidRPr="004A276D" w14:paraId="2EBD597F"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CE66EE8" w14:textId="77777777" w:rsidR="004B6442" w:rsidRPr="004A276D" w:rsidRDefault="004B6442" w:rsidP="00AC23E4">
            <w:pPr>
              <w:rPr>
                <w:rFonts w:ascii="Arial" w:eastAsia="Times New Roman" w:hAnsi="Arial" w:cs="Arial"/>
                <w:color w:val="000000"/>
                <w:sz w:val="18"/>
                <w:szCs w:val="18"/>
              </w:rPr>
            </w:pPr>
            <w:r w:rsidRPr="004A276D">
              <w:rPr>
                <w:rFonts w:ascii="Arial" w:eastAsia="Times New Roman" w:hAnsi="Arial" w:cs="Arial"/>
                <w:color w:val="000000"/>
                <w:sz w:val="18"/>
                <w:szCs w:val="18"/>
              </w:rPr>
              <w:t>Group</w:t>
            </w:r>
          </w:p>
        </w:tc>
        <w:tc>
          <w:tcPr>
            <w:tcW w:w="0" w:type="auto"/>
            <w:noWrap/>
            <w:hideMark/>
          </w:tcPr>
          <w:p w14:paraId="4F397FED"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0.01</w:t>
            </w:r>
          </w:p>
        </w:tc>
        <w:tc>
          <w:tcPr>
            <w:tcW w:w="0" w:type="auto"/>
            <w:noWrap/>
            <w:hideMark/>
          </w:tcPr>
          <w:p w14:paraId="6BED8DC9"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0.930</w:t>
            </w:r>
          </w:p>
        </w:tc>
        <w:tc>
          <w:tcPr>
            <w:tcW w:w="0" w:type="auto"/>
            <w:noWrap/>
            <w:hideMark/>
          </w:tcPr>
          <w:p w14:paraId="136542B8" w14:textId="77777777" w:rsidR="004B6442" w:rsidRPr="004A27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4A276D">
              <w:rPr>
                <w:rFonts w:ascii="Arial" w:eastAsia="Times New Roman" w:hAnsi="Arial" w:cs="Arial"/>
                <w:color w:val="000000"/>
                <w:sz w:val="18"/>
                <w:szCs w:val="18"/>
              </w:rPr>
              <w:t>0.00</w:t>
            </w:r>
          </w:p>
        </w:tc>
      </w:tr>
    </w:tbl>
    <w:p w14:paraId="311F3002" w14:textId="77777777" w:rsidR="004B6442" w:rsidRDefault="004B6442" w:rsidP="004B6442"/>
    <w:p w14:paraId="14819286" w14:textId="77777777" w:rsidR="004B6442" w:rsidRDefault="004B6442" w:rsidP="004B6442">
      <w:r>
        <w:br w:type="page"/>
      </w:r>
    </w:p>
    <w:p w14:paraId="49DED155" w14:textId="77777777" w:rsidR="004B6442" w:rsidRDefault="004B6442" w:rsidP="00604241">
      <w:pPr>
        <w:pStyle w:val="Heading2"/>
      </w:pPr>
      <w:r>
        <w:t>Supplementary Table 4: EEG sensor statistics</w:t>
      </w:r>
    </w:p>
    <w:p w14:paraId="04117BA1" w14:textId="77777777" w:rsidR="004B6442" w:rsidRPr="00796D05" w:rsidRDefault="004B6442" w:rsidP="004B6442"/>
    <w:tbl>
      <w:tblPr>
        <w:tblStyle w:val="PlainTable3"/>
        <w:tblW w:w="0" w:type="auto"/>
        <w:tblLook w:val="04A0" w:firstRow="1" w:lastRow="0" w:firstColumn="1" w:lastColumn="0" w:noHBand="0" w:noVBand="1"/>
      </w:tblPr>
      <w:tblGrid>
        <w:gridCol w:w="1258"/>
        <w:gridCol w:w="1328"/>
        <w:gridCol w:w="1031"/>
        <w:gridCol w:w="1031"/>
        <w:gridCol w:w="1233"/>
        <w:gridCol w:w="1945"/>
        <w:gridCol w:w="1214"/>
        <w:gridCol w:w="1214"/>
      </w:tblGrid>
      <w:tr w:rsidR="004B6442" w:rsidRPr="00B74E6D" w14:paraId="4068CFCE"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DC0897C"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Contrast</w:t>
            </w:r>
          </w:p>
        </w:tc>
        <w:tc>
          <w:tcPr>
            <w:tcW w:w="0" w:type="auto"/>
            <w:noWrap/>
            <w:hideMark/>
          </w:tcPr>
          <w:p w14:paraId="4E672427" w14:textId="77777777" w:rsidR="004B6442" w:rsidRPr="00B74E6D"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Cluster code</w:t>
            </w:r>
          </w:p>
        </w:tc>
        <w:tc>
          <w:tcPr>
            <w:tcW w:w="0" w:type="auto"/>
            <w:gridSpan w:val="2"/>
            <w:noWrap/>
            <w:hideMark/>
          </w:tcPr>
          <w:p w14:paraId="65E2B84B" w14:textId="77777777" w:rsidR="004B6442" w:rsidRPr="00B74E6D"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Temporal extent (ms)</w:t>
            </w:r>
          </w:p>
        </w:tc>
        <w:tc>
          <w:tcPr>
            <w:tcW w:w="0" w:type="auto"/>
            <w:noWrap/>
            <w:hideMark/>
          </w:tcPr>
          <w:p w14:paraId="45C50411" w14:textId="77777777" w:rsidR="004B6442" w:rsidRPr="00B74E6D"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p(FWE-corr)</w:t>
            </w:r>
          </w:p>
        </w:tc>
        <w:tc>
          <w:tcPr>
            <w:tcW w:w="0" w:type="auto"/>
            <w:noWrap/>
            <w:hideMark/>
          </w:tcPr>
          <w:p w14:paraId="3239CC74" w14:textId="77777777" w:rsidR="004B6442" w:rsidRPr="00B74E6D"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Cluster size (voxels)</w:t>
            </w:r>
          </w:p>
        </w:tc>
        <w:tc>
          <w:tcPr>
            <w:tcW w:w="0" w:type="auto"/>
            <w:gridSpan w:val="2"/>
            <w:noWrap/>
            <w:hideMark/>
          </w:tcPr>
          <w:p w14:paraId="6E655488" w14:textId="77777777" w:rsidR="004B6442" w:rsidRPr="00B74E6D"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74E6D">
              <w:rPr>
                <w:rFonts w:ascii="Calibri" w:eastAsia="Times New Roman" w:hAnsi="Calibri" w:cs="Calibri"/>
                <w:sz w:val="18"/>
                <w:szCs w:val="18"/>
              </w:rPr>
              <w:t>Spatial coordinates (mm)</w:t>
            </w:r>
          </w:p>
        </w:tc>
      </w:tr>
      <w:tr w:rsidR="004B6442" w:rsidRPr="00B74E6D" w14:paraId="33F6A00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F8E8FB" w14:textId="77777777" w:rsidR="004B6442" w:rsidRPr="00B74E6D" w:rsidRDefault="004B6442" w:rsidP="00AC23E4">
            <w:pPr>
              <w:rPr>
                <w:rFonts w:ascii="Calibri" w:eastAsia="Times New Roman" w:hAnsi="Calibri" w:cs="Calibri"/>
                <w:sz w:val="18"/>
                <w:szCs w:val="18"/>
              </w:rPr>
            </w:pPr>
          </w:p>
        </w:tc>
        <w:tc>
          <w:tcPr>
            <w:tcW w:w="0" w:type="auto"/>
            <w:noWrap/>
            <w:hideMark/>
          </w:tcPr>
          <w:p w14:paraId="5B0EA22D"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5B706CA4"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B74E6D">
              <w:rPr>
                <w:rFonts w:ascii="Calibri" w:eastAsia="Times New Roman" w:hAnsi="Calibri" w:cs="Calibri"/>
                <w:b/>
                <w:bCs/>
                <w:color w:val="000000"/>
                <w:sz w:val="18"/>
                <w:szCs w:val="18"/>
              </w:rPr>
              <w:t>Min</w:t>
            </w:r>
          </w:p>
        </w:tc>
        <w:tc>
          <w:tcPr>
            <w:tcW w:w="0" w:type="auto"/>
            <w:noWrap/>
            <w:hideMark/>
          </w:tcPr>
          <w:p w14:paraId="0304B6AF"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B74E6D">
              <w:rPr>
                <w:rFonts w:ascii="Calibri" w:eastAsia="Times New Roman" w:hAnsi="Calibri" w:cs="Calibri"/>
                <w:b/>
                <w:bCs/>
                <w:color w:val="000000"/>
                <w:sz w:val="18"/>
                <w:szCs w:val="18"/>
              </w:rPr>
              <w:t>Max</w:t>
            </w:r>
          </w:p>
        </w:tc>
        <w:tc>
          <w:tcPr>
            <w:tcW w:w="0" w:type="auto"/>
            <w:noWrap/>
            <w:hideMark/>
          </w:tcPr>
          <w:p w14:paraId="66E108A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c>
          <w:tcPr>
            <w:tcW w:w="0" w:type="auto"/>
            <w:noWrap/>
            <w:hideMark/>
          </w:tcPr>
          <w:p w14:paraId="6215C789"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7894AD94"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B74E6D">
              <w:rPr>
                <w:rFonts w:ascii="Calibri" w:eastAsia="Times New Roman" w:hAnsi="Calibri" w:cs="Calibri"/>
                <w:b/>
                <w:bCs/>
                <w:color w:val="000000"/>
                <w:sz w:val="18"/>
                <w:szCs w:val="18"/>
              </w:rPr>
              <w:t>x</w:t>
            </w:r>
          </w:p>
        </w:tc>
        <w:tc>
          <w:tcPr>
            <w:tcW w:w="0" w:type="auto"/>
            <w:noWrap/>
            <w:hideMark/>
          </w:tcPr>
          <w:p w14:paraId="7AD40CA9"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B74E6D">
              <w:rPr>
                <w:rFonts w:ascii="Calibri" w:eastAsia="Times New Roman" w:hAnsi="Calibri" w:cs="Calibri"/>
                <w:b/>
                <w:bCs/>
                <w:color w:val="000000"/>
                <w:sz w:val="18"/>
                <w:szCs w:val="18"/>
              </w:rPr>
              <w:t>y</w:t>
            </w:r>
          </w:p>
        </w:tc>
      </w:tr>
      <w:tr w:rsidR="004B6442" w:rsidRPr="00B74E6D" w14:paraId="531E429F"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17656D3B" w14:textId="77777777" w:rsidR="004B6442" w:rsidRPr="00B74E6D" w:rsidRDefault="004B6442" w:rsidP="00AC23E4">
            <w:pPr>
              <w:rPr>
                <w:rFonts w:ascii="Calibri" w:eastAsia="Times New Roman" w:hAnsi="Calibri" w:cs="Calibri"/>
                <w:color w:val="000000"/>
                <w:sz w:val="18"/>
                <w:szCs w:val="18"/>
                <w:u w:val="single"/>
              </w:rPr>
            </w:pPr>
            <w:r w:rsidRPr="00B74E6D">
              <w:rPr>
                <w:rFonts w:ascii="Calibri" w:eastAsia="Times New Roman" w:hAnsi="Calibri" w:cs="Calibri"/>
                <w:color w:val="000000"/>
                <w:sz w:val="18"/>
                <w:szCs w:val="18"/>
                <w:u w:val="single"/>
              </w:rPr>
              <w:t>Visual cue processing</w:t>
            </w:r>
          </w:p>
        </w:tc>
        <w:tc>
          <w:tcPr>
            <w:tcW w:w="0" w:type="auto"/>
            <w:noWrap/>
            <w:hideMark/>
          </w:tcPr>
          <w:p w14:paraId="291C379E"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u w:val="single"/>
              </w:rPr>
            </w:pPr>
          </w:p>
        </w:tc>
        <w:tc>
          <w:tcPr>
            <w:tcW w:w="0" w:type="auto"/>
            <w:noWrap/>
            <w:hideMark/>
          </w:tcPr>
          <w:p w14:paraId="3A8E714E"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59D8D10"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8395C7B"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B9DA0F8"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9350C1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B74E6D" w14:paraId="6E373FB1"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EEAD4C"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Cue</w:t>
            </w:r>
          </w:p>
        </w:tc>
        <w:tc>
          <w:tcPr>
            <w:tcW w:w="0" w:type="auto"/>
            <w:noWrap/>
            <w:hideMark/>
          </w:tcPr>
          <w:p w14:paraId="417B06CA"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ss1</w:t>
            </w:r>
          </w:p>
        </w:tc>
        <w:tc>
          <w:tcPr>
            <w:tcW w:w="0" w:type="auto"/>
            <w:noWrap/>
            <w:hideMark/>
          </w:tcPr>
          <w:p w14:paraId="27C0467B"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116</w:t>
            </w:r>
          </w:p>
        </w:tc>
        <w:tc>
          <w:tcPr>
            <w:tcW w:w="0" w:type="auto"/>
            <w:noWrap/>
            <w:hideMark/>
          </w:tcPr>
          <w:p w14:paraId="165CA105"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152</w:t>
            </w:r>
          </w:p>
        </w:tc>
        <w:tc>
          <w:tcPr>
            <w:tcW w:w="0" w:type="auto"/>
            <w:noWrap/>
            <w:hideMark/>
          </w:tcPr>
          <w:p w14:paraId="7A9A0977"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0.003</w:t>
            </w:r>
          </w:p>
        </w:tc>
        <w:tc>
          <w:tcPr>
            <w:tcW w:w="0" w:type="auto"/>
            <w:noWrap/>
            <w:hideMark/>
          </w:tcPr>
          <w:p w14:paraId="026A1378"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3303</w:t>
            </w:r>
          </w:p>
        </w:tc>
        <w:tc>
          <w:tcPr>
            <w:tcW w:w="0" w:type="auto"/>
            <w:noWrap/>
            <w:hideMark/>
          </w:tcPr>
          <w:p w14:paraId="3A79922D"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9</w:t>
            </w:r>
          </w:p>
        </w:tc>
        <w:tc>
          <w:tcPr>
            <w:tcW w:w="0" w:type="auto"/>
            <w:noWrap/>
            <w:hideMark/>
          </w:tcPr>
          <w:p w14:paraId="64E988F0"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56</w:t>
            </w:r>
          </w:p>
        </w:tc>
      </w:tr>
      <w:tr w:rsidR="004B6442" w:rsidRPr="00B74E6D" w14:paraId="52F81867"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9367B4"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Cue</w:t>
            </w:r>
          </w:p>
        </w:tc>
        <w:tc>
          <w:tcPr>
            <w:tcW w:w="0" w:type="auto"/>
            <w:noWrap/>
            <w:hideMark/>
          </w:tcPr>
          <w:p w14:paraId="29FE4EB7"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ss2</w:t>
            </w:r>
          </w:p>
        </w:tc>
        <w:tc>
          <w:tcPr>
            <w:tcW w:w="0" w:type="auto"/>
            <w:noWrap/>
            <w:hideMark/>
          </w:tcPr>
          <w:p w14:paraId="1C1E92A8"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150</w:t>
            </w:r>
          </w:p>
        </w:tc>
        <w:tc>
          <w:tcPr>
            <w:tcW w:w="0" w:type="auto"/>
            <w:noWrap/>
            <w:hideMark/>
          </w:tcPr>
          <w:p w14:paraId="5BECF824"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150</w:t>
            </w:r>
          </w:p>
        </w:tc>
        <w:tc>
          <w:tcPr>
            <w:tcW w:w="0" w:type="auto"/>
            <w:noWrap/>
            <w:hideMark/>
          </w:tcPr>
          <w:p w14:paraId="2CF8775D" w14:textId="45272999" w:rsidR="004B6442" w:rsidRPr="00B74E6D"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5307EF0B"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4629</w:t>
            </w:r>
          </w:p>
        </w:tc>
        <w:tc>
          <w:tcPr>
            <w:tcW w:w="0" w:type="auto"/>
            <w:noWrap/>
            <w:hideMark/>
          </w:tcPr>
          <w:p w14:paraId="726A650A"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-17</w:t>
            </w:r>
          </w:p>
        </w:tc>
        <w:tc>
          <w:tcPr>
            <w:tcW w:w="0" w:type="auto"/>
            <w:noWrap/>
            <w:hideMark/>
          </w:tcPr>
          <w:p w14:paraId="76B32DF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-62</w:t>
            </w:r>
          </w:p>
        </w:tc>
      </w:tr>
      <w:tr w:rsidR="004B6442" w:rsidRPr="00B74E6D" w14:paraId="0726F0A7"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CD0B00"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Cue</w:t>
            </w:r>
          </w:p>
        </w:tc>
        <w:tc>
          <w:tcPr>
            <w:tcW w:w="0" w:type="auto"/>
            <w:noWrap/>
            <w:hideMark/>
          </w:tcPr>
          <w:p w14:paraId="5F2BC1D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ss3</w:t>
            </w:r>
          </w:p>
        </w:tc>
        <w:tc>
          <w:tcPr>
            <w:tcW w:w="0" w:type="auto"/>
            <w:noWrap/>
            <w:hideMark/>
          </w:tcPr>
          <w:p w14:paraId="2CB8097B"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362</w:t>
            </w:r>
          </w:p>
        </w:tc>
        <w:tc>
          <w:tcPr>
            <w:tcW w:w="0" w:type="auto"/>
            <w:noWrap/>
            <w:hideMark/>
          </w:tcPr>
          <w:p w14:paraId="2B508C40"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1312</w:t>
            </w:r>
          </w:p>
        </w:tc>
        <w:tc>
          <w:tcPr>
            <w:tcW w:w="0" w:type="auto"/>
            <w:noWrap/>
            <w:hideMark/>
          </w:tcPr>
          <w:p w14:paraId="4C21418D" w14:textId="0A73A815" w:rsidR="004B6442" w:rsidRPr="00B74E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32DC90F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127902</w:t>
            </w:r>
          </w:p>
        </w:tc>
        <w:tc>
          <w:tcPr>
            <w:tcW w:w="0" w:type="auto"/>
            <w:noWrap/>
            <w:hideMark/>
          </w:tcPr>
          <w:p w14:paraId="52B15BC5"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w:t>
            </w:r>
          </w:p>
        </w:tc>
        <w:tc>
          <w:tcPr>
            <w:tcW w:w="0" w:type="auto"/>
            <w:noWrap/>
            <w:hideMark/>
          </w:tcPr>
          <w:p w14:paraId="791A75D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-62</w:t>
            </w:r>
          </w:p>
        </w:tc>
      </w:tr>
      <w:tr w:rsidR="004B6442" w:rsidRPr="00B74E6D" w14:paraId="3EE123E5"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AF7C7"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Cue</w:t>
            </w:r>
          </w:p>
        </w:tc>
        <w:tc>
          <w:tcPr>
            <w:tcW w:w="0" w:type="auto"/>
            <w:noWrap/>
            <w:hideMark/>
          </w:tcPr>
          <w:p w14:paraId="00308795"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ss4</w:t>
            </w:r>
          </w:p>
        </w:tc>
        <w:tc>
          <w:tcPr>
            <w:tcW w:w="0" w:type="auto"/>
            <w:noWrap/>
            <w:hideMark/>
          </w:tcPr>
          <w:p w14:paraId="60CDFD06"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384</w:t>
            </w:r>
          </w:p>
        </w:tc>
        <w:tc>
          <w:tcPr>
            <w:tcW w:w="0" w:type="auto"/>
            <w:noWrap/>
            <w:hideMark/>
          </w:tcPr>
          <w:p w14:paraId="5970BB3A"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1112</w:t>
            </w:r>
          </w:p>
        </w:tc>
        <w:tc>
          <w:tcPr>
            <w:tcW w:w="0" w:type="auto"/>
            <w:noWrap/>
            <w:hideMark/>
          </w:tcPr>
          <w:p w14:paraId="54CB8573" w14:textId="1203DB6A" w:rsidR="004B6442" w:rsidRPr="00B74E6D"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1ECB5D67"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94700</w:t>
            </w:r>
          </w:p>
        </w:tc>
        <w:tc>
          <w:tcPr>
            <w:tcW w:w="0" w:type="auto"/>
            <w:noWrap/>
            <w:hideMark/>
          </w:tcPr>
          <w:p w14:paraId="7ACAFCF9"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-68</w:t>
            </w:r>
          </w:p>
        </w:tc>
        <w:tc>
          <w:tcPr>
            <w:tcW w:w="0" w:type="auto"/>
            <w:noWrap/>
            <w:hideMark/>
          </w:tcPr>
          <w:p w14:paraId="5857E460"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18</w:t>
            </w:r>
          </w:p>
        </w:tc>
      </w:tr>
      <w:tr w:rsidR="004B6442" w:rsidRPr="00B74E6D" w14:paraId="5FD99FBC"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2AED0B"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Group</w:t>
            </w:r>
          </w:p>
        </w:tc>
        <w:tc>
          <w:tcPr>
            <w:tcW w:w="0" w:type="auto"/>
            <w:noWrap/>
            <w:hideMark/>
          </w:tcPr>
          <w:p w14:paraId="2FD4AB9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ss5</w:t>
            </w:r>
          </w:p>
        </w:tc>
        <w:tc>
          <w:tcPr>
            <w:tcW w:w="0" w:type="auto"/>
            <w:noWrap/>
            <w:hideMark/>
          </w:tcPr>
          <w:p w14:paraId="0CC6BB1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256</w:t>
            </w:r>
          </w:p>
        </w:tc>
        <w:tc>
          <w:tcPr>
            <w:tcW w:w="0" w:type="auto"/>
            <w:noWrap/>
            <w:hideMark/>
          </w:tcPr>
          <w:p w14:paraId="3F03F390"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604</w:t>
            </w:r>
          </w:p>
        </w:tc>
        <w:tc>
          <w:tcPr>
            <w:tcW w:w="0" w:type="auto"/>
            <w:noWrap/>
            <w:hideMark/>
          </w:tcPr>
          <w:p w14:paraId="15A3BA79" w14:textId="3905244F" w:rsidR="004B6442" w:rsidRPr="00B74E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453581A8"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28786</w:t>
            </w:r>
          </w:p>
        </w:tc>
        <w:tc>
          <w:tcPr>
            <w:tcW w:w="0" w:type="auto"/>
            <w:noWrap/>
            <w:hideMark/>
          </w:tcPr>
          <w:p w14:paraId="30BBF1BC"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-21</w:t>
            </w:r>
          </w:p>
        </w:tc>
        <w:tc>
          <w:tcPr>
            <w:tcW w:w="0" w:type="auto"/>
            <w:noWrap/>
            <w:hideMark/>
          </w:tcPr>
          <w:p w14:paraId="35357BC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-41</w:t>
            </w:r>
          </w:p>
        </w:tc>
      </w:tr>
      <w:tr w:rsidR="004B6442" w:rsidRPr="00B74E6D" w14:paraId="257D4326"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1DC78"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Group</w:t>
            </w:r>
          </w:p>
        </w:tc>
        <w:tc>
          <w:tcPr>
            <w:tcW w:w="0" w:type="auto"/>
            <w:noWrap/>
            <w:hideMark/>
          </w:tcPr>
          <w:p w14:paraId="2003B406"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ss6</w:t>
            </w:r>
          </w:p>
        </w:tc>
        <w:tc>
          <w:tcPr>
            <w:tcW w:w="0" w:type="auto"/>
            <w:noWrap/>
            <w:hideMark/>
          </w:tcPr>
          <w:p w14:paraId="491E0825"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242</w:t>
            </w:r>
          </w:p>
        </w:tc>
        <w:tc>
          <w:tcPr>
            <w:tcW w:w="0" w:type="auto"/>
            <w:noWrap/>
            <w:hideMark/>
          </w:tcPr>
          <w:p w14:paraId="202B559A"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502</w:t>
            </w:r>
          </w:p>
        </w:tc>
        <w:tc>
          <w:tcPr>
            <w:tcW w:w="0" w:type="auto"/>
            <w:noWrap/>
            <w:hideMark/>
          </w:tcPr>
          <w:p w14:paraId="397FA679" w14:textId="154ECA63" w:rsidR="004B6442" w:rsidRPr="00B74E6D"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71224C44"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8616</w:t>
            </w:r>
          </w:p>
        </w:tc>
        <w:tc>
          <w:tcPr>
            <w:tcW w:w="0" w:type="auto"/>
            <w:noWrap/>
            <w:hideMark/>
          </w:tcPr>
          <w:p w14:paraId="4BD4C483"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-68</w:t>
            </w:r>
          </w:p>
        </w:tc>
        <w:tc>
          <w:tcPr>
            <w:tcW w:w="0" w:type="auto"/>
            <w:noWrap/>
            <w:hideMark/>
          </w:tcPr>
          <w:p w14:paraId="3C83C083"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18</w:t>
            </w:r>
          </w:p>
        </w:tc>
      </w:tr>
      <w:tr w:rsidR="004B6442" w:rsidRPr="00B74E6D" w14:paraId="6336EE5A"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85CF50"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Group*Cue</w:t>
            </w:r>
          </w:p>
        </w:tc>
        <w:tc>
          <w:tcPr>
            <w:tcW w:w="0" w:type="auto"/>
            <w:noWrap/>
            <w:hideMark/>
          </w:tcPr>
          <w:p w14:paraId="156F06FB"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ss7</w:t>
            </w:r>
          </w:p>
        </w:tc>
        <w:tc>
          <w:tcPr>
            <w:tcW w:w="0" w:type="auto"/>
            <w:noWrap/>
            <w:hideMark/>
          </w:tcPr>
          <w:p w14:paraId="5F6B99A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1334</w:t>
            </w:r>
          </w:p>
        </w:tc>
        <w:tc>
          <w:tcPr>
            <w:tcW w:w="0" w:type="auto"/>
            <w:noWrap/>
            <w:hideMark/>
          </w:tcPr>
          <w:p w14:paraId="3DF1BC82"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1440</w:t>
            </w:r>
          </w:p>
        </w:tc>
        <w:tc>
          <w:tcPr>
            <w:tcW w:w="0" w:type="auto"/>
            <w:noWrap/>
            <w:hideMark/>
          </w:tcPr>
          <w:p w14:paraId="7DD9AD33"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0.001</w:t>
            </w:r>
          </w:p>
        </w:tc>
        <w:tc>
          <w:tcPr>
            <w:tcW w:w="0" w:type="auto"/>
            <w:noWrap/>
            <w:hideMark/>
          </w:tcPr>
          <w:p w14:paraId="22D685E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3936</w:t>
            </w:r>
          </w:p>
        </w:tc>
        <w:tc>
          <w:tcPr>
            <w:tcW w:w="0" w:type="auto"/>
            <w:noWrap/>
            <w:hideMark/>
          </w:tcPr>
          <w:p w14:paraId="1ADB9283"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30</w:t>
            </w:r>
          </w:p>
        </w:tc>
        <w:tc>
          <w:tcPr>
            <w:tcW w:w="0" w:type="auto"/>
            <w:noWrap/>
            <w:hideMark/>
          </w:tcPr>
          <w:p w14:paraId="749069C7"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-36</w:t>
            </w:r>
          </w:p>
        </w:tc>
      </w:tr>
      <w:tr w:rsidR="004B6442" w:rsidRPr="00B74E6D" w14:paraId="4F60BCF5"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4D62E4A9" w14:textId="77777777" w:rsidR="004B6442" w:rsidRPr="00B74E6D" w:rsidRDefault="004B6442" w:rsidP="00AC23E4">
            <w:pPr>
              <w:rPr>
                <w:rFonts w:ascii="Calibri" w:eastAsia="Times New Roman" w:hAnsi="Calibri" w:cs="Calibri"/>
                <w:color w:val="000000"/>
                <w:sz w:val="18"/>
                <w:szCs w:val="18"/>
                <w:u w:val="single"/>
              </w:rPr>
            </w:pPr>
            <w:r w:rsidRPr="00B74E6D">
              <w:rPr>
                <w:rFonts w:ascii="Calibri" w:eastAsia="Times New Roman" w:hAnsi="Calibri" w:cs="Calibri"/>
                <w:color w:val="000000"/>
                <w:sz w:val="18"/>
                <w:szCs w:val="18"/>
                <w:u w:val="single"/>
              </w:rPr>
              <w:t>Nociceptive processing</w:t>
            </w:r>
          </w:p>
        </w:tc>
        <w:tc>
          <w:tcPr>
            <w:tcW w:w="0" w:type="auto"/>
            <w:noWrap/>
            <w:hideMark/>
          </w:tcPr>
          <w:p w14:paraId="65EB0BC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u w:val="single"/>
              </w:rPr>
            </w:pPr>
          </w:p>
        </w:tc>
        <w:tc>
          <w:tcPr>
            <w:tcW w:w="0" w:type="auto"/>
            <w:noWrap/>
            <w:hideMark/>
          </w:tcPr>
          <w:p w14:paraId="05307A3D"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2FCE2391"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2374E5D"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6EC613B5"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3FEF035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4B6442" w:rsidRPr="00B74E6D" w14:paraId="0E9930A8"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DE95B"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Intensity</w:t>
            </w:r>
          </w:p>
        </w:tc>
        <w:tc>
          <w:tcPr>
            <w:tcW w:w="0" w:type="auto"/>
            <w:noWrap/>
            <w:hideMark/>
          </w:tcPr>
          <w:p w14:paraId="5B2E268B"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ss8</w:t>
            </w:r>
          </w:p>
        </w:tc>
        <w:tc>
          <w:tcPr>
            <w:tcW w:w="0" w:type="auto"/>
            <w:noWrap/>
            <w:hideMark/>
          </w:tcPr>
          <w:p w14:paraId="14897E3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308</w:t>
            </w:r>
          </w:p>
        </w:tc>
        <w:tc>
          <w:tcPr>
            <w:tcW w:w="0" w:type="auto"/>
            <w:noWrap/>
            <w:hideMark/>
          </w:tcPr>
          <w:p w14:paraId="79BB9DAD"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310</w:t>
            </w:r>
          </w:p>
        </w:tc>
        <w:tc>
          <w:tcPr>
            <w:tcW w:w="0" w:type="auto"/>
            <w:noWrap/>
            <w:hideMark/>
          </w:tcPr>
          <w:p w14:paraId="2D9D01AA" w14:textId="0AB6E9B9" w:rsidR="004B6442" w:rsidRPr="00B74E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7B55AE7F"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8572</w:t>
            </w:r>
          </w:p>
        </w:tc>
        <w:tc>
          <w:tcPr>
            <w:tcW w:w="0" w:type="auto"/>
            <w:noWrap/>
            <w:hideMark/>
          </w:tcPr>
          <w:p w14:paraId="211432E1"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-17</w:t>
            </w:r>
          </w:p>
        </w:tc>
        <w:tc>
          <w:tcPr>
            <w:tcW w:w="0" w:type="auto"/>
            <w:noWrap/>
            <w:hideMark/>
          </w:tcPr>
          <w:p w14:paraId="1EF09537"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w:t>
            </w:r>
          </w:p>
        </w:tc>
      </w:tr>
      <w:tr w:rsidR="004B6442" w:rsidRPr="00B74E6D" w14:paraId="1D01F661"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EC500F"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Intensity</w:t>
            </w:r>
          </w:p>
        </w:tc>
        <w:tc>
          <w:tcPr>
            <w:tcW w:w="0" w:type="auto"/>
            <w:noWrap/>
            <w:hideMark/>
          </w:tcPr>
          <w:p w14:paraId="75C81DA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ss9</w:t>
            </w:r>
          </w:p>
        </w:tc>
        <w:tc>
          <w:tcPr>
            <w:tcW w:w="0" w:type="auto"/>
            <w:noWrap/>
            <w:hideMark/>
          </w:tcPr>
          <w:p w14:paraId="1927419A"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388</w:t>
            </w:r>
          </w:p>
        </w:tc>
        <w:tc>
          <w:tcPr>
            <w:tcW w:w="0" w:type="auto"/>
            <w:noWrap/>
            <w:hideMark/>
          </w:tcPr>
          <w:p w14:paraId="120C7D00"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726</w:t>
            </w:r>
          </w:p>
        </w:tc>
        <w:tc>
          <w:tcPr>
            <w:tcW w:w="0" w:type="auto"/>
            <w:noWrap/>
            <w:hideMark/>
          </w:tcPr>
          <w:p w14:paraId="04242A7E" w14:textId="4141521D" w:rsidR="004B6442" w:rsidRPr="00B74E6D"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7A7ECDCE"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55016</w:t>
            </w:r>
          </w:p>
        </w:tc>
        <w:tc>
          <w:tcPr>
            <w:tcW w:w="0" w:type="auto"/>
            <w:noWrap/>
            <w:hideMark/>
          </w:tcPr>
          <w:p w14:paraId="6DAA5437"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w:t>
            </w:r>
          </w:p>
        </w:tc>
        <w:tc>
          <w:tcPr>
            <w:tcW w:w="0" w:type="auto"/>
            <w:noWrap/>
            <w:hideMark/>
          </w:tcPr>
          <w:p w14:paraId="3A6DAFE7"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-25</w:t>
            </w:r>
          </w:p>
        </w:tc>
      </w:tr>
      <w:tr w:rsidR="004B6442" w:rsidRPr="00B74E6D" w14:paraId="2D2E947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55A953"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Intensity</w:t>
            </w:r>
          </w:p>
        </w:tc>
        <w:tc>
          <w:tcPr>
            <w:tcW w:w="0" w:type="auto"/>
            <w:noWrap/>
            <w:hideMark/>
          </w:tcPr>
          <w:p w14:paraId="444DB6EF"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ss10</w:t>
            </w:r>
          </w:p>
        </w:tc>
        <w:tc>
          <w:tcPr>
            <w:tcW w:w="0" w:type="auto"/>
            <w:noWrap/>
            <w:hideMark/>
          </w:tcPr>
          <w:p w14:paraId="746FCA4F"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382</w:t>
            </w:r>
          </w:p>
        </w:tc>
        <w:tc>
          <w:tcPr>
            <w:tcW w:w="0" w:type="auto"/>
            <w:noWrap/>
            <w:hideMark/>
          </w:tcPr>
          <w:p w14:paraId="7FB13095"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670</w:t>
            </w:r>
          </w:p>
        </w:tc>
        <w:tc>
          <w:tcPr>
            <w:tcW w:w="0" w:type="auto"/>
            <w:noWrap/>
            <w:hideMark/>
          </w:tcPr>
          <w:p w14:paraId="4BA1B5F2" w14:textId="1E91A378" w:rsidR="004B6442" w:rsidRPr="00B74E6D"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0" w:type="auto"/>
            <w:noWrap/>
            <w:hideMark/>
          </w:tcPr>
          <w:p w14:paraId="15CDDB76"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16672</w:t>
            </w:r>
          </w:p>
        </w:tc>
        <w:tc>
          <w:tcPr>
            <w:tcW w:w="0" w:type="auto"/>
            <w:noWrap/>
            <w:hideMark/>
          </w:tcPr>
          <w:p w14:paraId="1568E97A"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-68</w:t>
            </w:r>
          </w:p>
        </w:tc>
        <w:tc>
          <w:tcPr>
            <w:tcW w:w="0" w:type="auto"/>
            <w:noWrap/>
            <w:hideMark/>
          </w:tcPr>
          <w:p w14:paraId="74D1BC38"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-41</w:t>
            </w:r>
          </w:p>
        </w:tc>
      </w:tr>
      <w:tr w:rsidR="004B6442" w:rsidRPr="00B74E6D" w14:paraId="1E3451CE"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1CD07" w14:textId="77777777" w:rsidR="004B6442" w:rsidRPr="00B74E6D" w:rsidRDefault="004B6442" w:rsidP="00AC23E4">
            <w:pPr>
              <w:rPr>
                <w:rFonts w:ascii="Calibri" w:eastAsia="Times New Roman" w:hAnsi="Calibri" w:cs="Calibri"/>
                <w:color w:val="000000"/>
                <w:sz w:val="18"/>
                <w:szCs w:val="18"/>
              </w:rPr>
            </w:pPr>
            <w:r w:rsidRPr="00B74E6D">
              <w:rPr>
                <w:rFonts w:ascii="Calibri" w:eastAsia="Times New Roman" w:hAnsi="Calibri" w:cs="Calibri"/>
                <w:color w:val="000000"/>
                <w:sz w:val="18"/>
                <w:szCs w:val="18"/>
              </w:rPr>
              <w:t>Expectation</w:t>
            </w:r>
          </w:p>
        </w:tc>
        <w:tc>
          <w:tcPr>
            <w:tcW w:w="0" w:type="auto"/>
            <w:noWrap/>
            <w:hideMark/>
          </w:tcPr>
          <w:p w14:paraId="332369CC"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ss11</w:t>
            </w:r>
          </w:p>
        </w:tc>
        <w:tc>
          <w:tcPr>
            <w:tcW w:w="0" w:type="auto"/>
            <w:noWrap/>
            <w:hideMark/>
          </w:tcPr>
          <w:p w14:paraId="709E9272"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416</w:t>
            </w:r>
          </w:p>
        </w:tc>
        <w:tc>
          <w:tcPr>
            <w:tcW w:w="0" w:type="auto"/>
            <w:noWrap/>
            <w:hideMark/>
          </w:tcPr>
          <w:p w14:paraId="0E65095E"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478</w:t>
            </w:r>
          </w:p>
        </w:tc>
        <w:tc>
          <w:tcPr>
            <w:tcW w:w="0" w:type="auto"/>
            <w:noWrap/>
            <w:hideMark/>
          </w:tcPr>
          <w:p w14:paraId="552508A1"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0.002</w:t>
            </w:r>
          </w:p>
        </w:tc>
        <w:tc>
          <w:tcPr>
            <w:tcW w:w="0" w:type="auto"/>
            <w:noWrap/>
            <w:hideMark/>
          </w:tcPr>
          <w:p w14:paraId="08C8EC26"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2802</w:t>
            </w:r>
          </w:p>
        </w:tc>
        <w:tc>
          <w:tcPr>
            <w:tcW w:w="0" w:type="auto"/>
            <w:noWrap/>
            <w:hideMark/>
          </w:tcPr>
          <w:p w14:paraId="1F181140"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21</w:t>
            </w:r>
          </w:p>
        </w:tc>
        <w:tc>
          <w:tcPr>
            <w:tcW w:w="0" w:type="auto"/>
            <w:noWrap/>
            <w:hideMark/>
          </w:tcPr>
          <w:p w14:paraId="795A7480" w14:textId="77777777" w:rsidR="004B6442" w:rsidRPr="00B74E6D"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74E6D">
              <w:rPr>
                <w:rFonts w:ascii="Calibri" w:eastAsia="Times New Roman" w:hAnsi="Calibri" w:cs="Calibri"/>
                <w:color w:val="000000"/>
                <w:sz w:val="18"/>
                <w:szCs w:val="18"/>
              </w:rPr>
              <w:t>-3</w:t>
            </w:r>
          </w:p>
        </w:tc>
      </w:tr>
      <w:tr w:rsidR="004B6442" w:rsidRPr="00B74E6D" w14:paraId="1190E6AA"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3316B0" w14:textId="77777777" w:rsidR="004B6442" w:rsidRPr="00B74E6D" w:rsidRDefault="004B6442" w:rsidP="00AC23E4">
            <w:pPr>
              <w:jc w:val="right"/>
              <w:rPr>
                <w:rFonts w:ascii="Calibri" w:eastAsia="Times New Roman" w:hAnsi="Calibri" w:cs="Calibri"/>
                <w:color w:val="000000"/>
                <w:sz w:val="18"/>
                <w:szCs w:val="18"/>
              </w:rPr>
            </w:pPr>
          </w:p>
        </w:tc>
        <w:tc>
          <w:tcPr>
            <w:tcW w:w="0" w:type="auto"/>
            <w:noWrap/>
            <w:hideMark/>
          </w:tcPr>
          <w:p w14:paraId="3AFA4963"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2EDE2093"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A94776E"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4CB66A23"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0D129CE1"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1E192740"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0" w:type="auto"/>
            <w:noWrap/>
            <w:hideMark/>
          </w:tcPr>
          <w:p w14:paraId="46038EFA" w14:textId="77777777" w:rsidR="004B6442" w:rsidRPr="00B74E6D"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bl>
    <w:p w14:paraId="7EEDB310" w14:textId="77777777" w:rsidR="004B6442" w:rsidRDefault="004B6442" w:rsidP="004B6442">
      <w:r w:rsidRPr="00B74E6D">
        <w:rPr>
          <w:rFonts w:ascii="Calibri" w:eastAsia="Times New Roman" w:hAnsi="Calibri" w:cs="Calibri"/>
          <w:color w:val="000000"/>
          <w:sz w:val="18"/>
          <w:szCs w:val="18"/>
        </w:rPr>
        <w:t>FWE: Family-wise error rate</w:t>
      </w:r>
    </w:p>
    <w:p w14:paraId="7FFB6C90" w14:textId="77777777" w:rsidR="004B6442" w:rsidRDefault="004B6442" w:rsidP="004B6442">
      <w:r>
        <w:br w:type="page"/>
      </w:r>
    </w:p>
    <w:p w14:paraId="6B80C4F9" w14:textId="77777777" w:rsidR="004B6442" w:rsidRDefault="004B6442" w:rsidP="00604241">
      <w:pPr>
        <w:pStyle w:val="Heading2"/>
      </w:pPr>
      <w:r>
        <w:t>Supplementary Table 5: EEG source statistics</w:t>
      </w:r>
    </w:p>
    <w:tbl>
      <w:tblPr>
        <w:tblStyle w:val="PlainTable3"/>
        <w:tblW w:w="0" w:type="auto"/>
        <w:tblLayout w:type="fixed"/>
        <w:tblLook w:val="04A0" w:firstRow="1" w:lastRow="0" w:firstColumn="1" w:lastColumn="0" w:noHBand="0" w:noVBand="1"/>
      </w:tblPr>
      <w:tblGrid>
        <w:gridCol w:w="1276"/>
        <w:gridCol w:w="992"/>
        <w:gridCol w:w="1560"/>
        <w:gridCol w:w="625"/>
        <w:gridCol w:w="706"/>
        <w:gridCol w:w="806"/>
        <w:gridCol w:w="1170"/>
        <w:gridCol w:w="573"/>
        <w:gridCol w:w="673"/>
        <w:gridCol w:w="573"/>
        <w:gridCol w:w="6434"/>
      </w:tblGrid>
      <w:tr w:rsidR="004B6442" w:rsidRPr="006C7A4B" w14:paraId="35B216B6" w14:textId="77777777" w:rsidTr="00AC23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76" w:type="dxa"/>
            <w:noWrap/>
            <w:hideMark/>
          </w:tcPr>
          <w:p w14:paraId="46117D9E"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Contrast</w:t>
            </w:r>
          </w:p>
        </w:tc>
        <w:tc>
          <w:tcPr>
            <w:tcW w:w="992" w:type="dxa"/>
            <w:noWrap/>
            <w:hideMark/>
          </w:tcPr>
          <w:p w14:paraId="280CE54D"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Source cluster code</w:t>
            </w:r>
          </w:p>
        </w:tc>
        <w:tc>
          <w:tcPr>
            <w:tcW w:w="1560" w:type="dxa"/>
            <w:noWrap/>
            <w:hideMark/>
          </w:tcPr>
          <w:p w14:paraId="11C578B7"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Corresponding sensor cluster(s)</w:t>
            </w:r>
          </w:p>
        </w:tc>
        <w:tc>
          <w:tcPr>
            <w:tcW w:w="1331" w:type="dxa"/>
            <w:gridSpan w:val="2"/>
            <w:noWrap/>
            <w:hideMark/>
          </w:tcPr>
          <w:p w14:paraId="5FB4D1BB"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Temporal window (ms)</w:t>
            </w:r>
          </w:p>
        </w:tc>
        <w:tc>
          <w:tcPr>
            <w:tcW w:w="806" w:type="dxa"/>
            <w:noWrap/>
            <w:hideMark/>
          </w:tcPr>
          <w:p w14:paraId="36DED730"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p(FWE-corr)</w:t>
            </w:r>
          </w:p>
        </w:tc>
        <w:tc>
          <w:tcPr>
            <w:tcW w:w="1170" w:type="dxa"/>
            <w:noWrap/>
            <w:hideMark/>
          </w:tcPr>
          <w:p w14:paraId="1DF227A1"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Cluster size (voxels)</w:t>
            </w:r>
          </w:p>
        </w:tc>
        <w:tc>
          <w:tcPr>
            <w:tcW w:w="1819" w:type="dxa"/>
            <w:gridSpan w:val="3"/>
            <w:noWrap/>
            <w:hideMark/>
          </w:tcPr>
          <w:p w14:paraId="6DE70122"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6C7A4B">
              <w:rPr>
                <w:rFonts w:ascii="Calibri" w:eastAsia="Times New Roman" w:hAnsi="Calibri" w:cs="Calibri"/>
                <w:sz w:val="18"/>
                <w:szCs w:val="18"/>
              </w:rPr>
              <w:t>Spatial MNI coordinates (mm)</w:t>
            </w:r>
          </w:p>
        </w:tc>
        <w:tc>
          <w:tcPr>
            <w:tcW w:w="6434" w:type="dxa"/>
            <w:noWrap/>
            <w:hideMark/>
          </w:tcPr>
          <w:p w14:paraId="522377A7" w14:textId="77777777" w:rsidR="004B6442" w:rsidRPr="006C7A4B" w:rsidRDefault="004B6442" w:rsidP="00AC23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AAL regions</w:t>
            </w:r>
          </w:p>
        </w:tc>
      </w:tr>
      <w:tr w:rsidR="004B6442" w:rsidRPr="006C7A4B" w14:paraId="0AD3F73D"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C1E242E" w14:textId="77777777" w:rsidR="004B6442" w:rsidRPr="006C7A4B" w:rsidRDefault="004B6442" w:rsidP="00AC23E4">
            <w:pPr>
              <w:rPr>
                <w:rFonts w:ascii="Calibri" w:eastAsia="Times New Roman" w:hAnsi="Calibri" w:cs="Calibri"/>
                <w:color w:val="000000"/>
                <w:sz w:val="18"/>
                <w:szCs w:val="18"/>
              </w:rPr>
            </w:pPr>
          </w:p>
        </w:tc>
        <w:tc>
          <w:tcPr>
            <w:tcW w:w="992" w:type="dxa"/>
            <w:noWrap/>
            <w:hideMark/>
          </w:tcPr>
          <w:p w14:paraId="7B5EA6F0"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60" w:type="dxa"/>
            <w:noWrap/>
            <w:hideMark/>
          </w:tcPr>
          <w:p w14:paraId="7937482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625" w:type="dxa"/>
            <w:noWrap/>
            <w:hideMark/>
          </w:tcPr>
          <w:p w14:paraId="58D83A37"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6C7A4B">
              <w:rPr>
                <w:rFonts w:ascii="Calibri" w:eastAsia="Times New Roman" w:hAnsi="Calibri" w:cs="Calibri"/>
                <w:b/>
                <w:bCs/>
                <w:color w:val="000000"/>
                <w:sz w:val="18"/>
                <w:szCs w:val="18"/>
              </w:rPr>
              <w:t>Min</w:t>
            </w:r>
          </w:p>
        </w:tc>
        <w:tc>
          <w:tcPr>
            <w:tcW w:w="706" w:type="dxa"/>
            <w:noWrap/>
            <w:hideMark/>
          </w:tcPr>
          <w:p w14:paraId="7A3E2A6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6C7A4B">
              <w:rPr>
                <w:rFonts w:ascii="Calibri" w:eastAsia="Times New Roman" w:hAnsi="Calibri" w:cs="Calibri"/>
                <w:b/>
                <w:bCs/>
                <w:color w:val="000000"/>
                <w:sz w:val="18"/>
                <w:szCs w:val="18"/>
              </w:rPr>
              <w:t>Max</w:t>
            </w:r>
          </w:p>
        </w:tc>
        <w:tc>
          <w:tcPr>
            <w:tcW w:w="806" w:type="dxa"/>
            <w:noWrap/>
            <w:hideMark/>
          </w:tcPr>
          <w:p w14:paraId="3DEE2DE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c>
          <w:tcPr>
            <w:tcW w:w="1170" w:type="dxa"/>
            <w:noWrap/>
            <w:hideMark/>
          </w:tcPr>
          <w:p w14:paraId="7564BC07"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573" w:type="dxa"/>
            <w:noWrap/>
            <w:hideMark/>
          </w:tcPr>
          <w:p w14:paraId="348E5E11"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6C7A4B">
              <w:rPr>
                <w:rFonts w:ascii="Calibri" w:eastAsia="Times New Roman" w:hAnsi="Calibri" w:cs="Calibri"/>
                <w:b/>
                <w:bCs/>
                <w:color w:val="000000"/>
                <w:sz w:val="18"/>
                <w:szCs w:val="18"/>
              </w:rPr>
              <w:t>x</w:t>
            </w:r>
          </w:p>
        </w:tc>
        <w:tc>
          <w:tcPr>
            <w:tcW w:w="673" w:type="dxa"/>
            <w:noWrap/>
            <w:hideMark/>
          </w:tcPr>
          <w:p w14:paraId="54BB800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6C7A4B">
              <w:rPr>
                <w:rFonts w:ascii="Calibri" w:eastAsia="Times New Roman" w:hAnsi="Calibri" w:cs="Calibri"/>
                <w:b/>
                <w:bCs/>
                <w:color w:val="000000"/>
                <w:sz w:val="18"/>
                <w:szCs w:val="18"/>
              </w:rPr>
              <w:t>y</w:t>
            </w:r>
          </w:p>
        </w:tc>
        <w:tc>
          <w:tcPr>
            <w:tcW w:w="573" w:type="dxa"/>
            <w:noWrap/>
            <w:hideMark/>
          </w:tcPr>
          <w:p w14:paraId="382B5BD1"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6C7A4B">
              <w:rPr>
                <w:rFonts w:ascii="Calibri" w:eastAsia="Times New Roman" w:hAnsi="Calibri" w:cs="Calibri"/>
                <w:b/>
                <w:bCs/>
                <w:color w:val="000000"/>
                <w:sz w:val="18"/>
                <w:szCs w:val="18"/>
              </w:rPr>
              <w:t>z</w:t>
            </w:r>
          </w:p>
        </w:tc>
        <w:tc>
          <w:tcPr>
            <w:tcW w:w="6434" w:type="dxa"/>
            <w:noWrap/>
            <w:hideMark/>
          </w:tcPr>
          <w:p w14:paraId="726E4181"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p>
        </w:tc>
      </w:tr>
      <w:tr w:rsidR="004B6442" w:rsidRPr="006C7A4B" w14:paraId="789DB3AD"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5388" w:type="dxa"/>
            <w:gridSpan w:val="11"/>
            <w:noWrap/>
            <w:hideMark/>
          </w:tcPr>
          <w:p w14:paraId="00C09EEE" w14:textId="77777777" w:rsidR="004B6442" w:rsidRPr="006C7A4B" w:rsidRDefault="004B6442" w:rsidP="00AC23E4">
            <w:pPr>
              <w:rPr>
                <w:rFonts w:ascii="Times New Roman" w:eastAsia="Times New Roman" w:hAnsi="Times New Roman" w:cs="Times New Roman"/>
                <w:sz w:val="18"/>
                <w:szCs w:val="18"/>
              </w:rPr>
            </w:pPr>
            <w:r w:rsidRPr="006C7A4B">
              <w:rPr>
                <w:rFonts w:ascii="Calibri" w:eastAsia="Times New Roman" w:hAnsi="Calibri" w:cs="Calibri"/>
                <w:color w:val="000000"/>
                <w:sz w:val="18"/>
                <w:szCs w:val="18"/>
                <w:u w:val="single"/>
              </w:rPr>
              <w:t>Visual cue processing</w:t>
            </w:r>
          </w:p>
        </w:tc>
      </w:tr>
      <w:tr w:rsidR="004B6442" w:rsidRPr="006C7A4B" w14:paraId="1E345C07"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502DBEC"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69BBDDA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w:t>
            </w:r>
          </w:p>
        </w:tc>
        <w:tc>
          <w:tcPr>
            <w:tcW w:w="1560" w:type="dxa"/>
            <w:noWrap/>
            <w:hideMark/>
          </w:tcPr>
          <w:p w14:paraId="67331F3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ss1/2</w:t>
            </w:r>
          </w:p>
        </w:tc>
        <w:tc>
          <w:tcPr>
            <w:tcW w:w="625" w:type="dxa"/>
            <w:noWrap/>
            <w:hideMark/>
          </w:tcPr>
          <w:p w14:paraId="2F42639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116</w:t>
            </w:r>
          </w:p>
        </w:tc>
        <w:tc>
          <w:tcPr>
            <w:tcW w:w="706" w:type="dxa"/>
            <w:noWrap/>
            <w:hideMark/>
          </w:tcPr>
          <w:p w14:paraId="20F472E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152</w:t>
            </w:r>
          </w:p>
        </w:tc>
        <w:tc>
          <w:tcPr>
            <w:tcW w:w="806" w:type="dxa"/>
            <w:noWrap/>
            <w:hideMark/>
          </w:tcPr>
          <w:p w14:paraId="5CE9AF5C" w14:textId="5438E5C5"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BF93E4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2190</w:t>
            </w:r>
          </w:p>
        </w:tc>
        <w:tc>
          <w:tcPr>
            <w:tcW w:w="573" w:type="dxa"/>
            <w:noWrap/>
            <w:hideMark/>
          </w:tcPr>
          <w:p w14:paraId="73D70C2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w:t>
            </w:r>
          </w:p>
        </w:tc>
        <w:tc>
          <w:tcPr>
            <w:tcW w:w="673" w:type="dxa"/>
            <w:noWrap/>
            <w:hideMark/>
          </w:tcPr>
          <w:p w14:paraId="1BFAE0C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w:t>
            </w:r>
          </w:p>
        </w:tc>
        <w:tc>
          <w:tcPr>
            <w:tcW w:w="573" w:type="dxa"/>
            <w:noWrap/>
            <w:hideMark/>
          </w:tcPr>
          <w:p w14:paraId="028E289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w:t>
            </w:r>
          </w:p>
        </w:tc>
        <w:tc>
          <w:tcPr>
            <w:tcW w:w="6434" w:type="dxa"/>
            <w:noWrap/>
            <w:hideMark/>
          </w:tcPr>
          <w:p w14:paraId="22B894E2"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Fusiform_L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Temporal_Inf_L</w:t>
            </w:r>
            <w:proofErr w:type="spellEnd"/>
          </w:p>
        </w:tc>
      </w:tr>
      <w:tr w:rsidR="004B6442" w:rsidRPr="006C7A4B" w14:paraId="4E596A2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9BB2C51"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7CA00CF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w:t>
            </w:r>
          </w:p>
        </w:tc>
        <w:tc>
          <w:tcPr>
            <w:tcW w:w="1560" w:type="dxa"/>
            <w:noWrap/>
            <w:hideMark/>
          </w:tcPr>
          <w:p w14:paraId="231E755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ss1/2</w:t>
            </w:r>
          </w:p>
        </w:tc>
        <w:tc>
          <w:tcPr>
            <w:tcW w:w="625" w:type="dxa"/>
            <w:noWrap/>
            <w:hideMark/>
          </w:tcPr>
          <w:p w14:paraId="6289409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116</w:t>
            </w:r>
          </w:p>
        </w:tc>
        <w:tc>
          <w:tcPr>
            <w:tcW w:w="706" w:type="dxa"/>
            <w:noWrap/>
            <w:hideMark/>
          </w:tcPr>
          <w:p w14:paraId="467F7F2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152</w:t>
            </w:r>
          </w:p>
        </w:tc>
        <w:tc>
          <w:tcPr>
            <w:tcW w:w="806" w:type="dxa"/>
            <w:noWrap/>
            <w:hideMark/>
          </w:tcPr>
          <w:p w14:paraId="243CD727" w14:textId="25D3A9BC"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4D16B58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1426</w:t>
            </w:r>
          </w:p>
        </w:tc>
        <w:tc>
          <w:tcPr>
            <w:tcW w:w="573" w:type="dxa"/>
            <w:noWrap/>
            <w:hideMark/>
          </w:tcPr>
          <w:p w14:paraId="7B3FDFE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73" w:type="dxa"/>
            <w:noWrap/>
            <w:hideMark/>
          </w:tcPr>
          <w:p w14:paraId="5C7C85A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w:t>
            </w:r>
          </w:p>
        </w:tc>
        <w:tc>
          <w:tcPr>
            <w:tcW w:w="573" w:type="dxa"/>
            <w:noWrap/>
            <w:hideMark/>
          </w:tcPr>
          <w:p w14:paraId="3020BD2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-44</w:t>
            </w:r>
          </w:p>
        </w:tc>
        <w:tc>
          <w:tcPr>
            <w:tcW w:w="6434" w:type="dxa"/>
            <w:noWrap/>
            <w:hideMark/>
          </w:tcPr>
          <w:p w14:paraId="730628D5"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ParaHippocampal_R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r w:rsidRPr="006C7A4B">
              <w:rPr>
                <w:rFonts w:ascii="Calibri" w:eastAsia="Times New Roman" w:hAnsi="Calibri" w:cs="Calibri"/>
                <w:color w:val="000000"/>
                <w:sz w:val="18"/>
                <w:szCs w:val="18"/>
              </w:rPr>
              <w:t>, Cerebelum_Crus1_R, Cerebelum_6_R</w:t>
            </w:r>
          </w:p>
        </w:tc>
      </w:tr>
      <w:tr w:rsidR="004B6442" w:rsidRPr="006C7A4B" w14:paraId="2326EBD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749BD2B"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42EB0F8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w:t>
            </w:r>
          </w:p>
        </w:tc>
        <w:tc>
          <w:tcPr>
            <w:tcW w:w="1560" w:type="dxa"/>
            <w:noWrap/>
            <w:hideMark/>
          </w:tcPr>
          <w:p w14:paraId="4EBED5D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0A1EEE0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5F9F4B1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7D11113D" w14:textId="44234BBE"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12CF477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5739</w:t>
            </w:r>
          </w:p>
        </w:tc>
        <w:tc>
          <w:tcPr>
            <w:tcW w:w="573" w:type="dxa"/>
            <w:noWrap/>
            <w:hideMark/>
          </w:tcPr>
          <w:p w14:paraId="34F5BF9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-18</w:t>
            </w:r>
          </w:p>
        </w:tc>
        <w:tc>
          <w:tcPr>
            <w:tcW w:w="673" w:type="dxa"/>
            <w:noWrap/>
            <w:hideMark/>
          </w:tcPr>
          <w:p w14:paraId="52C45E3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-84</w:t>
            </w:r>
          </w:p>
        </w:tc>
        <w:tc>
          <w:tcPr>
            <w:tcW w:w="573" w:type="dxa"/>
            <w:noWrap/>
            <w:hideMark/>
          </w:tcPr>
          <w:p w14:paraId="525E898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w:t>
            </w:r>
          </w:p>
        </w:tc>
        <w:tc>
          <w:tcPr>
            <w:tcW w:w="6434" w:type="dxa"/>
            <w:noWrap/>
            <w:hideMark/>
          </w:tcPr>
          <w:p w14:paraId="0FCF6A1F"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p>
        </w:tc>
      </w:tr>
      <w:tr w:rsidR="004B6442" w:rsidRPr="006C7A4B" w14:paraId="242A5E9D"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731B8D9"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398D235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sc4</w:t>
            </w:r>
          </w:p>
        </w:tc>
        <w:tc>
          <w:tcPr>
            <w:tcW w:w="1560" w:type="dxa"/>
            <w:noWrap/>
            <w:hideMark/>
          </w:tcPr>
          <w:p w14:paraId="7691978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4A6EBE2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1580D8B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0B06F7CB"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0.008</w:t>
            </w:r>
          </w:p>
        </w:tc>
        <w:tc>
          <w:tcPr>
            <w:tcW w:w="1170" w:type="dxa"/>
            <w:noWrap/>
            <w:hideMark/>
          </w:tcPr>
          <w:p w14:paraId="255CDE4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381</w:t>
            </w:r>
          </w:p>
        </w:tc>
        <w:tc>
          <w:tcPr>
            <w:tcW w:w="573" w:type="dxa"/>
            <w:noWrap/>
            <w:hideMark/>
          </w:tcPr>
          <w:p w14:paraId="76C7C76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w:t>
            </w:r>
          </w:p>
        </w:tc>
        <w:tc>
          <w:tcPr>
            <w:tcW w:w="673" w:type="dxa"/>
            <w:noWrap/>
            <w:hideMark/>
          </w:tcPr>
          <w:p w14:paraId="69394EB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w:t>
            </w:r>
          </w:p>
        </w:tc>
        <w:tc>
          <w:tcPr>
            <w:tcW w:w="573" w:type="dxa"/>
            <w:noWrap/>
            <w:hideMark/>
          </w:tcPr>
          <w:p w14:paraId="568DF1B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6434" w:type="dxa"/>
            <w:noWrap/>
            <w:hideMark/>
          </w:tcPr>
          <w:p w14:paraId="1E7FB408"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Lingual_L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Fusiform_L</w:t>
            </w:r>
            <w:proofErr w:type="spellEnd"/>
            <w:r w:rsidRPr="006C7A4B">
              <w:rPr>
                <w:rFonts w:ascii="Calibri" w:eastAsia="Times New Roman" w:hAnsi="Calibri" w:cs="Calibri"/>
                <w:color w:val="000000"/>
                <w:sz w:val="18"/>
                <w:szCs w:val="18"/>
              </w:rPr>
              <w:t>, Cerebelum_Crus1_L, Cerebelum_6_L</w:t>
            </w:r>
          </w:p>
        </w:tc>
      </w:tr>
      <w:tr w:rsidR="004B6442" w:rsidRPr="006C7A4B" w14:paraId="72923C0B"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87C805C"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2B54FC4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sc5</w:t>
            </w:r>
          </w:p>
        </w:tc>
        <w:tc>
          <w:tcPr>
            <w:tcW w:w="1560" w:type="dxa"/>
            <w:noWrap/>
            <w:hideMark/>
          </w:tcPr>
          <w:p w14:paraId="765FD64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55AB9C5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33995A8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1D337564" w14:textId="191D8594"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5A2B509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4209</w:t>
            </w:r>
          </w:p>
        </w:tc>
        <w:tc>
          <w:tcPr>
            <w:tcW w:w="573" w:type="dxa"/>
            <w:noWrap/>
            <w:hideMark/>
          </w:tcPr>
          <w:p w14:paraId="4ABEE9A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73" w:type="dxa"/>
            <w:noWrap/>
            <w:hideMark/>
          </w:tcPr>
          <w:p w14:paraId="1917564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w:t>
            </w:r>
          </w:p>
        </w:tc>
        <w:tc>
          <w:tcPr>
            <w:tcW w:w="573" w:type="dxa"/>
            <w:noWrap/>
            <w:hideMark/>
          </w:tcPr>
          <w:p w14:paraId="2F54F59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-16</w:t>
            </w:r>
          </w:p>
        </w:tc>
        <w:tc>
          <w:tcPr>
            <w:tcW w:w="6434" w:type="dxa"/>
            <w:noWrap/>
            <w:hideMark/>
          </w:tcPr>
          <w:p w14:paraId="695EBD54"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Frontal_Mid_2_R, </w:t>
            </w:r>
            <w:proofErr w:type="spellStart"/>
            <w:r w:rsidRPr="006C7A4B">
              <w:rPr>
                <w:rFonts w:ascii="Calibri" w:eastAsia="Times New Roman" w:hAnsi="Calibri" w:cs="Calibri"/>
                <w:color w:val="000000"/>
                <w:sz w:val="18"/>
                <w:szCs w:val="18"/>
              </w:rPr>
              <w:t>Frontal_Inf_Tri_R</w:t>
            </w:r>
            <w:proofErr w:type="spellEnd"/>
            <w:r w:rsidRPr="006C7A4B">
              <w:rPr>
                <w:rFonts w:ascii="Calibri" w:eastAsia="Times New Roman" w:hAnsi="Calibri" w:cs="Calibri"/>
                <w:color w:val="000000"/>
                <w:sz w:val="18"/>
                <w:szCs w:val="18"/>
              </w:rPr>
              <w:t xml:space="preserve">, Frontal_Inf_Orb_2_R, </w:t>
            </w:r>
            <w:proofErr w:type="spellStart"/>
            <w:r w:rsidRPr="006C7A4B">
              <w:rPr>
                <w:rFonts w:ascii="Calibri" w:eastAsia="Times New Roman" w:hAnsi="Calibri" w:cs="Calibri"/>
                <w:color w:val="000000"/>
                <w:sz w:val="18"/>
                <w:szCs w:val="18"/>
              </w:rPr>
              <w:t>Olfactory_R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OFCpost_R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OFClat_R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Insula_R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ParaHippocampal_R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Amygdala_R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Putamen_R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p>
        </w:tc>
      </w:tr>
      <w:tr w:rsidR="004B6442" w:rsidRPr="006C7A4B" w14:paraId="5C2EACB0"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F166DDA"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4A8127C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sc6</w:t>
            </w:r>
          </w:p>
        </w:tc>
        <w:tc>
          <w:tcPr>
            <w:tcW w:w="1560" w:type="dxa"/>
            <w:noWrap/>
            <w:hideMark/>
          </w:tcPr>
          <w:p w14:paraId="57DFC03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3DDD6C9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729BFE0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656D2137" w14:textId="1C9A322B"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26A030B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3659</w:t>
            </w:r>
          </w:p>
        </w:tc>
        <w:tc>
          <w:tcPr>
            <w:tcW w:w="573" w:type="dxa"/>
            <w:noWrap/>
            <w:hideMark/>
          </w:tcPr>
          <w:p w14:paraId="6A78DDD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w:t>
            </w:r>
          </w:p>
        </w:tc>
        <w:tc>
          <w:tcPr>
            <w:tcW w:w="673" w:type="dxa"/>
            <w:noWrap/>
            <w:hideMark/>
          </w:tcPr>
          <w:p w14:paraId="39E3CF1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w:t>
            </w:r>
          </w:p>
        </w:tc>
        <w:tc>
          <w:tcPr>
            <w:tcW w:w="573" w:type="dxa"/>
            <w:noWrap/>
            <w:hideMark/>
          </w:tcPr>
          <w:p w14:paraId="738C3F2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26</w:t>
            </w:r>
          </w:p>
        </w:tc>
        <w:tc>
          <w:tcPr>
            <w:tcW w:w="6434" w:type="dxa"/>
            <w:noWrap/>
            <w:hideMark/>
          </w:tcPr>
          <w:p w14:paraId="665EC168"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Frontal_Sup_2_L, Frontal_Mid_2_L, </w:t>
            </w:r>
            <w:proofErr w:type="spellStart"/>
            <w:r w:rsidRPr="006C7A4B">
              <w:rPr>
                <w:rFonts w:ascii="Calibri" w:eastAsia="Times New Roman" w:hAnsi="Calibri" w:cs="Calibri"/>
                <w:color w:val="000000"/>
                <w:sz w:val="18"/>
                <w:szCs w:val="18"/>
              </w:rPr>
              <w:t>Supp_Motor_Area_L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Thalamus_R</w:t>
            </w:r>
            <w:proofErr w:type="spellEnd"/>
          </w:p>
        </w:tc>
      </w:tr>
      <w:tr w:rsidR="004B6442" w:rsidRPr="006C7A4B" w14:paraId="2E59C367"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5A3CA16"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778C61E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sc7</w:t>
            </w:r>
          </w:p>
        </w:tc>
        <w:tc>
          <w:tcPr>
            <w:tcW w:w="1560" w:type="dxa"/>
            <w:noWrap/>
            <w:hideMark/>
          </w:tcPr>
          <w:p w14:paraId="5F95497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7D31276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61C2C42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07EC3609" w14:textId="62836653"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BE1A24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5189</w:t>
            </w:r>
          </w:p>
        </w:tc>
        <w:tc>
          <w:tcPr>
            <w:tcW w:w="573" w:type="dxa"/>
            <w:noWrap/>
            <w:hideMark/>
          </w:tcPr>
          <w:p w14:paraId="6A1B61A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46</w:t>
            </w:r>
          </w:p>
        </w:tc>
        <w:tc>
          <w:tcPr>
            <w:tcW w:w="673" w:type="dxa"/>
            <w:noWrap/>
            <w:hideMark/>
          </w:tcPr>
          <w:p w14:paraId="377EE23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-70</w:t>
            </w:r>
          </w:p>
        </w:tc>
        <w:tc>
          <w:tcPr>
            <w:tcW w:w="573" w:type="dxa"/>
            <w:noWrap/>
            <w:hideMark/>
          </w:tcPr>
          <w:p w14:paraId="19B8626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434" w:type="dxa"/>
            <w:noWrap/>
            <w:hideMark/>
          </w:tcPr>
          <w:p w14:paraId="51A47CEF"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p>
        </w:tc>
      </w:tr>
      <w:tr w:rsidR="004B6442" w:rsidRPr="006C7A4B" w14:paraId="1C5631A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4AA1372"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4BB8CBC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sc8</w:t>
            </w:r>
          </w:p>
        </w:tc>
        <w:tc>
          <w:tcPr>
            <w:tcW w:w="1560" w:type="dxa"/>
            <w:noWrap/>
            <w:hideMark/>
          </w:tcPr>
          <w:p w14:paraId="0B6DDF6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111FDA3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0E03567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3119991B" w14:textId="65F95BA9"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3E13744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650</w:t>
            </w:r>
          </w:p>
        </w:tc>
        <w:tc>
          <w:tcPr>
            <w:tcW w:w="573" w:type="dxa"/>
            <w:noWrap/>
            <w:hideMark/>
          </w:tcPr>
          <w:p w14:paraId="0B60AEF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w:t>
            </w:r>
          </w:p>
        </w:tc>
        <w:tc>
          <w:tcPr>
            <w:tcW w:w="673" w:type="dxa"/>
            <w:noWrap/>
            <w:hideMark/>
          </w:tcPr>
          <w:p w14:paraId="17253E8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56</w:t>
            </w:r>
          </w:p>
        </w:tc>
        <w:tc>
          <w:tcPr>
            <w:tcW w:w="573" w:type="dxa"/>
            <w:noWrap/>
            <w:hideMark/>
          </w:tcPr>
          <w:p w14:paraId="0ADBAF9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w:t>
            </w:r>
          </w:p>
        </w:tc>
        <w:tc>
          <w:tcPr>
            <w:tcW w:w="6434" w:type="dxa"/>
            <w:noWrap/>
            <w:hideMark/>
          </w:tcPr>
          <w:p w14:paraId="28ECB7DC"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Frontal_Sup_2_L, Frontal_Mid_2_L, </w:t>
            </w:r>
            <w:proofErr w:type="spellStart"/>
            <w:r w:rsidRPr="006C7A4B">
              <w:rPr>
                <w:rFonts w:ascii="Calibri" w:eastAsia="Times New Roman" w:hAnsi="Calibri" w:cs="Calibri"/>
                <w:color w:val="000000"/>
                <w:sz w:val="18"/>
                <w:szCs w:val="18"/>
              </w:rPr>
              <w:t>Frontal_Inf_Tri_L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p>
        </w:tc>
      </w:tr>
      <w:tr w:rsidR="004B6442" w:rsidRPr="006C7A4B" w14:paraId="1E7A2926"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1BB1554"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712E0C8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sc9</w:t>
            </w:r>
          </w:p>
        </w:tc>
        <w:tc>
          <w:tcPr>
            <w:tcW w:w="1560" w:type="dxa"/>
            <w:noWrap/>
            <w:hideMark/>
          </w:tcPr>
          <w:p w14:paraId="0EA4AA0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5E1AE37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48955D2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2523132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0.006</w:t>
            </w:r>
          </w:p>
        </w:tc>
        <w:tc>
          <w:tcPr>
            <w:tcW w:w="1170" w:type="dxa"/>
            <w:noWrap/>
            <w:hideMark/>
          </w:tcPr>
          <w:p w14:paraId="4DA2C0A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404</w:t>
            </w:r>
          </w:p>
        </w:tc>
        <w:tc>
          <w:tcPr>
            <w:tcW w:w="573" w:type="dxa"/>
            <w:noWrap/>
            <w:hideMark/>
          </w:tcPr>
          <w:p w14:paraId="77C54EF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w:t>
            </w:r>
          </w:p>
        </w:tc>
        <w:tc>
          <w:tcPr>
            <w:tcW w:w="673" w:type="dxa"/>
            <w:noWrap/>
            <w:hideMark/>
          </w:tcPr>
          <w:p w14:paraId="6773F99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-62</w:t>
            </w:r>
          </w:p>
        </w:tc>
        <w:tc>
          <w:tcPr>
            <w:tcW w:w="573" w:type="dxa"/>
            <w:noWrap/>
            <w:hideMark/>
          </w:tcPr>
          <w:p w14:paraId="673B840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-12</w:t>
            </w:r>
          </w:p>
        </w:tc>
        <w:tc>
          <w:tcPr>
            <w:tcW w:w="6434" w:type="dxa"/>
            <w:noWrap/>
            <w:hideMark/>
          </w:tcPr>
          <w:p w14:paraId="7145D145"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Lingual_R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r w:rsidRPr="006C7A4B">
              <w:rPr>
                <w:rFonts w:ascii="Calibri" w:eastAsia="Times New Roman" w:hAnsi="Calibri" w:cs="Calibri"/>
                <w:color w:val="000000"/>
                <w:sz w:val="18"/>
                <w:szCs w:val="18"/>
              </w:rPr>
              <w:t>, Cerebelum_6_R</w:t>
            </w:r>
          </w:p>
        </w:tc>
      </w:tr>
      <w:tr w:rsidR="004B6442" w:rsidRPr="006C7A4B" w14:paraId="3B566245"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F894BA1"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61273B8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sc10</w:t>
            </w:r>
          </w:p>
        </w:tc>
        <w:tc>
          <w:tcPr>
            <w:tcW w:w="1560" w:type="dxa"/>
            <w:noWrap/>
            <w:hideMark/>
          </w:tcPr>
          <w:p w14:paraId="3922797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7A9992A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709C101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2E234E0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0.035</w:t>
            </w:r>
          </w:p>
        </w:tc>
        <w:tc>
          <w:tcPr>
            <w:tcW w:w="1170" w:type="dxa"/>
            <w:noWrap/>
            <w:hideMark/>
          </w:tcPr>
          <w:p w14:paraId="1B762C0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260</w:t>
            </w:r>
          </w:p>
        </w:tc>
        <w:tc>
          <w:tcPr>
            <w:tcW w:w="573" w:type="dxa"/>
            <w:noWrap/>
            <w:hideMark/>
          </w:tcPr>
          <w:p w14:paraId="1F82EFB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-18</w:t>
            </w:r>
          </w:p>
        </w:tc>
        <w:tc>
          <w:tcPr>
            <w:tcW w:w="673" w:type="dxa"/>
            <w:noWrap/>
            <w:hideMark/>
          </w:tcPr>
          <w:p w14:paraId="7D321E2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50</w:t>
            </w:r>
          </w:p>
        </w:tc>
        <w:tc>
          <w:tcPr>
            <w:tcW w:w="573" w:type="dxa"/>
            <w:noWrap/>
            <w:hideMark/>
          </w:tcPr>
          <w:p w14:paraId="06BBE1F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28</w:t>
            </w:r>
          </w:p>
        </w:tc>
        <w:tc>
          <w:tcPr>
            <w:tcW w:w="6434" w:type="dxa"/>
            <w:noWrap/>
            <w:hideMark/>
          </w:tcPr>
          <w:p w14:paraId="70D876E7"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Frontal_Sup_2_R, </w:t>
            </w:r>
            <w:proofErr w:type="spellStart"/>
            <w:r w:rsidRPr="006C7A4B">
              <w:rPr>
                <w:rFonts w:ascii="Calibri" w:eastAsia="Times New Roman" w:hAnsi="Calibri" w:cs="Calibri"/>
                <w:color w:val="000000"/>
                <w:sz w:val="18"/>
                <w:szCs w:val="18"/>
              </w:rPr>
              <w:t>Frontal_Sup_Medial_R</w:t>
            </w:r>
            <w:proofErr w:type="spellEnd"/>
          </w:p>
        </w:tc>
      </w:tr>
      <w:tr w:rsidR="004B6442" w:rsidRPr="006C7A4B" w14:paraId="7A0D8C4A"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C04CFB3"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5FA0EFA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sc11</w:t>
            </w:r>
          </w:p>
        </w:tc>
        <w:tc>
          <w:tcPr>
            <w:tcW w:w="1560" w:type="dxa"/>
            <w:noWrap/>
            <w:hideMark/>
          </w:tcPr>
          <w:p w14:paraId="3C179E2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711C3ED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63A3F980"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24A7884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0.001</w:t>
            </w:r>
          </w:p>
        </w:tc>
        <w:tc>
          <w:tcPr>
            <w:tcW w:w="1170" w:type="dxa"/>
            <w:noWrap/>
            <w:hideMark/>
          </w:tcPr>
          <w:p w14:paraId="4A23F16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537</w:t>
            </w:r>
          </w:p>
        </w:tc>
        <w:tc>
          <w:tcPr>
            <w:tcW w:w="573" w:type="dxa"/>
            <w:noWrap/>
            <w:hideMark/>
          </w:tcPr>
          <w:p w14:paraId="5FF0953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w:t>
            </w:r>
          </w:p>
        </w:tc>
        <w:tc>
          <w:tcPr>
            <w:tcW w:w="673" w:type="dxa"/>
            <w:noWrap/>
            <w:hideMark/>
          </w:tcPr>
          <w:p w14:paraId="2B9963E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-78</w:t>
            </w:r>
          </w:p>
        </w:tc>
        <w:tc>
          <w:tcPr>
            <w:tcW w:w="573" w:type="dxa"/>
            <w:noWrap/>
            <w:hideMark/>
          </w:tcPr>
          <w:p w14:paraId="369A779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28</w:t>
            </w:r>
          </w:p>
        </w:tc>
        <w:tc>
          <w:tcPr>
            <w:tcW w:w="6434" w:type="dxa"/>
            <w:noWrap/>
            <w:hideMark/>
          </w:tcPr>
          <w:p w14:paraId="5EEB0AE3"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Calcarine_L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p>
        </w:tc>
      </w:tr>
      <w:tr w:rsidR="004B6442" w:rsidRPr="006C7A4B" w14:paraId="11B80097"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4CBED50"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Cue</w:t>
            </w:r>
          </w:p>
        </w:tc>
        <w:tc>
          <w:tcPr>
            <w:tcW w:w="992" w:type="dxa"/>
            <w:noWrap/>
            <w:hideMark/>
          </w:tcPr>
          <w:p w14:paraId="4E5C0EC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sc12</w:t>
            </w:r>
          </w:p>
        </w:tc>
        <w:tc>
          <w:tcPr>
            <w:tcW w:w="1560" w:type="dxa"/>
            <w:noWrap/>
            <w:hideMark/>
          </w:tcPr>
          <w:p w14:paraId="3CAF8D6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ss3/4</w:t>
            </w:r>
          </w:p>
        </w:tc>
        <w:tc>
          <w:tcPr>
            <w:tcW w:w="625" w:type="dxa"/>
            <w:noWrap/>
            <w:hideMark/>
          </w:tcPr>
          <w:p w14:paraId="35CFBF1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362</w:t>
            </w:r>
          </w:p>
        </w:tc>
        <w:tc>
          <w:tcPr>
            <w:tcW w:w="706" w:type="dxa"/>
            <w:noWrap/>
            <w:hideMark/>
          </w:tcPr>
          <w:p w14:paraId="7DE1E08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1312</w:t>
            </w:r>
          </w:p>
        </w:tc>
        <w:tc>
          <w:tcPr>
            <w:tcW w:w="806" w:type="dxa"/>
            <w:noWrap/>
            <w:hideMark/>
          </w:tcPr>
          <w:p w14:paraId="5D700784" w14:textId="2A3E569C"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2DDD36A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1588</w:t>
            </w:r>
          </w:p>
        </w:tc>
        <w:tc>
          <w:tcPr>
            <w:tcW w:w="573" w:type="dxa"/>
            <w:noWrap/>
            <w:hideMark/>
          </w:tcPr>
          <w:p w14:paraId="1A87A85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673" w:type="dxa"/>
            <w:noWrap/>
            <w:hideMark/>
          </w:tcPr>
          <w:p w14:paraId="615230D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16</w:t>
            </w:r>
          </w:p>
        </w:tc>
        <w:tc>
          <w:tcPr>
            <w:tcW w:w="573" w:type="dxa"/>
            <w:noWrap/>
            <w:hideMark/>
          </w:tcPr>
          <w:p w14:paraId="29280E5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44</w:t>
            </w:r>
          </w:p>
        </w:tc>
        <w:tc>
          <w:tcPr>
            <w:tcW w:w="6434" w:type="dxa"/>
            <w:noWrap/>
            <w:hideMark/>
          </w:tcPr>
          <w:p w14:paraId="00BA9A24"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Frontal_Sup_2_R, </w:t>
            </w:r>
            <w:proofErr w:type="spellStart"/>
            <w:r w:rsidRPr="006C7A4B">
              <w:rPr>
                <w:rFonts w:ascii="Calibri" w:eastAsia="Times New Roman" w:hAnsi="Calibri" w:cs="Calibri"/>
                <w:color w:val="000000"/>
                <w:sz w:val="18"/>
                <w:szCs w:val="18"/>
              </w:rPr>
              <w:t>Supp_Motor_Area_R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p>
        </w:tc>
      </w:tr>
      <w:tr w:rsidR="004B6442" w:rsidRPr="006C7A4B" w14:paraId="47AB8E99"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AFB6C75"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7A7CB46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sc13</w:t>
            </w:r>
          </w:p>
        </w:tc>
        <w:tc>
          <w:tcPr>
            <w:tcW w:w="1560" w:type="dxa"/>
            <w:noWrap/>
            <w:hideMark/>
          </w:tcPr>
          <w:p w14:paraId="1D21F18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3A3B38F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0D05E1D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35B56A64" w14:textId="348D6DF2"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BBF592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1121</w:t>
            </w:r>
          </w:p>
        </w:tc>
        <w:tc>
          <w:tcPr>
            <w:tcW w:w="573" w:type="dxa"/>
            <w:noWrap/>
            <w:hideMark/>
          </w:tcPr>
          <w:p w14:paraId="46CB999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w:t>
            </w:r>
          </w:p>
        </w:tc>
        <w:tc>
          <w:tcPr>
            <w:tcW w:w="673" w:type="dxa"/>
            <w:noWrap/>
            <w:hideMark/>
          </w:tcPr>
          <w:p w14:paraId="0BD0E63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-68</w:t>
            </w:r>
          </w:p>
        </w:tc>
        <w:tc>
          <w:tcPr>
            <w:tcW w:w="573" w:type="dxa"/>
            <w:noWrap/>
            <w:hideMark/>
          </w:tcPr>
          <w:p w14:paraId="681C9F1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52</w:t>
            </w:r>
          </w:p>
        </w:tc>
        <w:tc>
          <w:tcPr>
            <w:tcW w:w="6434" w:type="dxa"/>
            <w:noWrap/>
            <w:hideMark/>
          </w:tcPr>
          <w:p w14:paraId="2D0F869A"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Paracentral_Lobule_R</w:t>
            </w:r>
            <w:proofErr w:type="spellEnd"/>
          </w:p>
        </w:tc>
      </w:tr>
      <w:tr w:rsidR="004B6442" w:rsidRPr="006C7A4B" w14:paraId="5A2CCD7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B8A5675"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252375E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sc14</w:t>
            </w:r>
          </w:p>
        </w:tc>
        <w:tc>
          <w:tcPr>
            <w:tcW w:w="1560" w:type="dxa"/>
            <w:noWrap/>
            <w:hideMark/>
          </w:tcPr>
          <w:p w14:paraId="5C702AD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56284BD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62F2CA8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175173B1" w14:textId="30BFBD7F"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2AD0196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1175</w:t>
            </w:r>
          </w:p>
        </w:tc>
        <w:tc>
          <w:tcPr>
            <w:tcW w:w="573" w:type="dxa"/>
            <w:noWrap/>
            <w:hideMark/>
          </w:tcPr>
          <w:p w14:paraId="0C6C596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w:t>
            </w:r>
          </w:p>
        </w:tc>
        <w:tc>
          <w:tcPr>
            <w:tcW w:w="673" w:type="dxa"/>
            <w:noWrap/>
            <w:hideMark/>
          </w:tcPr>
          <w:p w14:paraId="33AF2A2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-70</w:t>
            </w:r>
          </w:p>
        </w:tc>
        <w:tc>
          <w:tcPr>
            <w:tcW w:w="573" w:type="dxa"/>
            <w:noWrap/>
            <w:hideMark/>
          </w:tcPr>
          <w:p w14:paraId="61F0CA3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50</w:t>
            </w:r>
          </w:p>
        </w:tc>
        <w:tc>
          <w:tcPr>
            <w:tcW w:w="6434" w:type="dxa"/>
            <w:noWrap/>
            <w:hideMark/>
          </w:tcPr>
          <w:p w14:paraId="6D89CA8F"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Occipital_Sup_L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p>
        </w:tc>
      </w:tr>
      <w:tr w:rsidR="004B6442" w:rsidRPr="006C7A4B" w14:paraId="5D291B0D"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3D2BE93"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46E5C24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sc15</w:t>
            </w:r>
          </w:p>
        </w:tc>
        <w:tc>
          <w:tcPr>
            <w:tcW w:w="1560" w:type="dxa"/>
            <w:noWrap/>
            <w:hideMark/>
          </w:tcPr>
          <w:p w14:paraId="775BE6F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1BB7F67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7B76BBD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15114967"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0.002</w:t>
            </w:r>
          </w:p>
        </w:tc>
        <w:tc>
          <w:tcPr>
            <w:tcW w:w="1170" w:type="dxa"/>
            <w:noWrap/>
            <w:hideMark/>
          </w:tcPr>
          <w:p w14:paraId="5339B8A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512</w:t>
            </w:r>
          </w:p>
        </w:tc>
        <w:tc>
          <w:tcPr>
            <w:tcW w:w="573" w:type="dxa"/>
            <w:noWrap/>
            <w:hideMark/>
          </w:tcPr>
          <w:p w14:paraId="686EB0E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73" w:type="dxa"/>
            <w:noWrap/>
            <w:hideMark/>
          </w:tcPr>
          <w:p w14:paraId="7985182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-56</w:t>
            </w:r>
          </w:p>
        </w:tc>
        <w:tc>
          <w:tcPr>
            <w:tcW w:w="573" w:type="dxa"/>
            <w:noWrap/>
            <w:hideMark/>
          </w:tcPr>
          <w:p w14:paraId="01FD987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w:t>
            </w:r>
          </w:p>
        </w:tc>
        <w:tc>
          <w:tcPr>
            <w:tcW w:w="6434" w:type="dxa"/>
            <w:noWrap/>
            <w:hideMark/>
          </w:tcPr>
          <w:p w14:paraId="78CFF64F"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Occipital_Mid_R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p>
        </w:tc>
      </w:tr>
      <w:tr w:rsidR="004B6442" w:rsidRPr="006C7A4B" w14:paraId="70F764BB"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CFFB74A"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4927452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sc16</w:t>
            </w:r>
          </w:p>
        </w:tc>
        <w:tc>
          <w:tcPr>
            <w:tcW w:w="1560" w:type="dxa"/>
            <w:noWrap/>
            <w:hideMark/>
          </w:tcPr>
          <w:p w14:paraId="02940C7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04AFB07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631085C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0BE983B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0.018</w:t>
            </w:r>
          </w:p>
        </w:tc>
        <w:tc>
          <w:tcPr>
            <w:tcW w:w="1170" w:type="dxa"/>
            <w:noWrap/>
            <w:hideMark/>
          </w:tcPr>
          <w:p w14:paraId="186E0EB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311</w:t>
            </w:r>
          </w:p>
        </w:tc>
        <w:tc>
          <w:tcPr>
            <w:tcW w:w="573" w:type="dxa"/>
            <w:noWrap/>
            <w:hideMark/>
          </w:tcPr>
          <w:p w14:paraId="5138690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73" w:type="dxa"/>
            <w:noWrap/>
            <w:hideMark/>
          </w:tcPr>
          <w:p w14:paraId="7C2177B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-86</w:t>
            </w:r>
          </w:p>
        </w:tc>
        <w:tc>
          <w:tcPr>
            <w:tcW w:w="573" w:type="dxa"/>
            <w:noWrap/>
            <w:hideMark/>
          </w:tcPr>
          <w:p w14:paraId="2AF9DF2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w:t>
            </w:r>
          </w:p>
        </w:tc>
        <w:tc>
          <w:tcPr>
            <w:tcW w:w="6434" w:type="dxa"/>
            <w:noWrap/>
            <w:hideMark/>
          </w:tcPr>
          <w:p w14:paraId="4EF39065"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p>
        </w:tc>
      </w:tr>
      <w:tr w:rsidR="004B6442" w:rsidRPr="006C7A4B" w14:paraId="55907B0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DE0454E"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7FCFA66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sc17</w:t>
            </w:r>
          </w:p>
        </w:tc>
        <w:tc>
          <w:tcPr>
            <w:tcW w:w="1560" w:type="dxa"/>
            <w:noWrap/>
            <w:hideMark/>
          </w:tcPr>
          <w:p w14:paraId="5C300B9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3A3AA7C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774469E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169F4AC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0.016</w:t>
            </w:r>
          </w:p>
        </w:tc>
        <w:tc>
          <w:tcPr>
            <w:tcW w:w="1170" w:type="dxa"/>
            <w:noWrap/>
            <w:hideMark/>
          </w:tcPr>
          <w:p w14:paraId="7804DDB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321</w:t>
            </w:r>
          </w:p>
        </w:tc>
        <w:tc>
          <w:tcPr>
            <w:tcW w:w="573" w:type="dxa"/>
            <w:noWrap/>
            <w:hideMark/>
          </w:tcPr>
          <w:p w14:paraId="6DBA36A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w:t>
            </w:r>
          </w:p>
        </w:tc>
        <w:tc>
          <w:tcPr>
            <w:tcW w:w="673" w:type="dxa"/>
            <w:noWrap/>
            <w:hideMark/>
          </w:tcPr>
          <w:p w14:paraId="1BD0877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-80</w:t>
            </w:r>
          </w:p>
        </w:tc>
        <w:tc>
          <w:tcPr>
            <w:tcW w:w="573" w:type="dxa"/>
            <w:noWrap/>
            <w:hideMark/>
          </w:tcPr>
          <w:p w14:paraId="29E949A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w:t>
            </w:r>
          </w:p>
        </w:tc>
        <w:tc>
          <w:tcPr>
            <w:tcW w:w="6434" w:type="dxa"/>
            <w:noWrap/>
            <w:hideMark/>
          </w:tcPr>
          <w:p w14:paraId="75BC5832"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Calcarine_R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Occipital_Mid_R</w:t>
            </w:r>
            <w:proofErr w:type="spellEnd"/>
          </w:p>
        </w:tc>
      </w:tr>
      <w:tr w:rsidR="004B6442" w:rsidRPr="006C7A4B" w14:paraId="58E6C8FF"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2CBFDE1"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w:t>
            </w:r>
          </w:p>
        </w:tc>
        <w:tc>
          <w:tcPr>
            <w:tcW w:w="992" w:type="dxa"/>
            <w:noWrap/>
            <w:hideMark/>
          </w:tcPr>
          <w:p w14:paraId="06D767C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sc18</w:t>
            </w:r>
          </w:p>
        </w:tc>
        <w:tc>
          <w:tcPr>
            <w:tcW w:w="1560" w:type="dxa"/>
            <w:noWrap/>
            <w:hideMark/>
          </w:tcPr>
          <w:p w14:paraId="10B4D1E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ss5/6</w:t>
            </w:r>
          </w:p>
        </w:tc>
        <w:tc>
          <w:tcPr>
            <w:tcW w:w="625" w:type="dxa"/>
            <w:noWrap/>
            <w:hideMark/>
          </w:tcPr>
          <w:p w14:paraId="03E53C8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242</w:t>
            </w:r>
          </w:p>
        </w:tc>
        <w:tc>
          <w:tcPr>
            <w:tcW w:w="706" w:type="dxa"/>
            <w:noWrap/>
            <w:hideMark/>
          </w:tcPr>
          <w:p w14:paraId="0C4F9D9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604</w:t>
            </w:r>
          </w:p>
        </w:tc>
        <w:tc>
          <w:tcPr>
            <w:tcW w:w="806" w:type="dxa"/>
            <w:noWrap/>
            <w:hideMark/>
          </w:tcPr>
          <w:p w14:paraId="655DC3E8" w14:textId="46D59025"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5931868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921</w:t>
            </w:r>
          </w:p>
        </w:tc>
        <w:tc>
          <w:tcPr>
            <w:tcW w:w="573" w:type="dxa"/>
            <w:noWrap/>
            <w:hideMark/>
          </w:tcPr>
          <w:p w14:paraId="5C01D9E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w:t>
            </w:r>
          </w:p>
        </w:tc>
        <w:tc>
          <w:tcPr>
            <w:tcW w:w="673" w:type="dxa"/>
            <w:noWrap/>
            <w:hideMark/>
          </w:tcPr>
          <w:p w14:paraId="4E125BD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573" w:type="dxa"/>
            <w:noWrap/>
            <w:hideMark/>
          </w:tcPr>
          <w:p w14:paraId="315A6C4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434" w:type="dxa"/>
            <w:noWrap/>
            <w:hideMark/>
          </w:tcPr>
          <w:p w14:paraId="74F7939C"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Cingulate_Ant_R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Thalamus_R</w:t>
            </w:r>
            <w:proofErr w:type="spellEnd"/>
          </w:p>
        </w:tc>
      </w:tr>
      <w:tr w:rsidR="004B6442" w:rsidRPr="006C7A4B" w14:paraId="4D2AAC8A"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8B9CC42"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 * Cue</w:t>
            </w:r>
          </w:p>
        </w:tc>
        <w:tc>
          <w:tcPr>
            <w:tcW w:w="992" w:type="dxa"/>
            <w:noWrap/>
            <w:hideMark/>
          </w:tcPr>
          <w:p w14:paraId="7ADDCFD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sc19</w:t>
            </w:r>
          </w:p>
        </w:tc>
        <w:tc>
          <w:tcPr>
            <w:tcW w:w="1560" w:type="dxa"/>
            <w:noWrap/>
            <w:hideMark/>
          </w:tcPr>
          <w:p w14:paraId="2A7BA9C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ss7</w:t>
            </w:r>
          </w:p>
        </w:tc>
        <w:tc>
          <w:tcPr>
            <w:tcW w:w="625" w:type="dxa"/>
            <w:noWrap/>
            <w:hideMark/>
          </w:tcPr>
          <w:p w14:paraId="652DDB9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1334</w:t>
            </w:r>
          </w:p>
        </w:tc>
        <w:tc>
          <w:tcPr>
            <w:tcW w:w="706" w:type="dxa"/>
            <w:noWrap/>
            <w:hideMark/>
          </w:tcPr>
          <w:p w14:paraId="2B4DF99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1440</w:t>
            </w:r>
          </w:p>
        </w:tc>
        <w:tc>
          <w:tcPr>
            <w:tcW w:w="806" w:type="dxa"/>
            <w:noWrap/>
            <w:hideMark/>
          </w:tcPr>
          <w:p w14:paraId="696CBF24" w14:textId="0A07C193"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BEDA52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1025</w:t>
            </w:r>
          </w:p>
        </w:tc>
        <w:tc>
          <w:tcPr>
            <w:tcW w:w="573" w:type="dxa"/>
            <w:noWrap/>
            <w:hideMark/>
          </w:tcPr>
          <w:p w14:paraId="36E5207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w:t>
            </w:r>
          </w:p>
        </w:tc>
        <w:tc>
          <w:tcPr>
            <w:tcW w:w="673" w:type="dxa"/>
            <w:noWrap/>
            <w:hideMark/>
          </w:tcPr>
          <w:p w14:paraId="0F1BF6B0"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-50</w:t>
            </w:r>
          </w:p>
        </w:tc>
        <w:tc>
          <w:tcPr>
            <w:tcW w:w="573" w:type="dxa"/>
            <w:noWrap/>
            <w:hideMark/>
          </w:tcPr>
          <w:p w14:paraId="3ED375E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66</w:t>
            </w:r>
          </w:p>
        </w:tc>
        <w:tc>
          <w:tcPr>
            <w:tcW w:w="6434" w:type="dxa"/>
            <w:noWrap/>
            <w:hideMark/>
          </w:tcPr>
          <w:p w14:paraId="515F396B"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p>
        </w:tc>
      </w:tr>
      <w:tr w:rsidR="004B6442" w:rsidRPr="006C7A4B" w14:paraId="255CD6B6"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92A0ED5"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 * Cue</w:t>
            </w:r>
          </w:p>
        </w:tc>
        <w:tc>
          <w:tcPr>
            <w:tcW w:w="992" w:type="dxa"/>
            <w:noWrap/>
            <w:hideMark/>
          </w:tcPr>
          <w:p w14:paraId="5D88066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sc20</w:t>
            </w:r>
          </w:p>
        </w:tc>
        <w:tc>
          <w:tcPr>
            <w:tcW w:w="1560" w:type="dxa"/>
            <w:noWrap/>
            <w:hideMark/>
          </w:tcPr>
          <w:p w14:paraId="46697A9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ss7</w:t>
            </w:r>
          </w:p>
        </w:tc>
        <w:tc>
          <w:tcPr>
            <w:tcW w:w="625" w:type="dxa"/>
            <w:noWrap/>
            <w:hideMark/>
          </w:tcPr>
          <w:p w14:paraId="579124B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1334</w:t>
            </w:r>
          </w:p>
        </w:tc>
        <w:tc>
          <w:tcPr>
            <w:tcW w:w="706" w:type="dxa"/>
            <w:noWrap/>
            <w:hideMark/>
          </w:tcPr>
          <w:p w14:paraId="763B226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1440</w:t>
            </w:r>
          </w:p>
        </w:tc>
        <w:tc>
          <w:tcPr>
            <w:tcW w:w="806" w:type="dxa"/>
            <w:noWrap/>
            <w:hideMark/>
          </w:tcPr>
          <w:p w14:paraId="55A2B429" w14:textId="6699C79E"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5DE6695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767</w:t>
            </w:r>
          </w:p>
        </w:tc>
        <w:tc>
          <w:tcPr>
            <w:tcW w:w="573" w:type="dxa"/>
            <w:noWrap/>
            <w:hideMark/>
          </w:tcPr>
          <w:p w14:paraId="6B638C9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-16</w:t>
            </w:r>
          </w:p>
        </w:tc>
        <w:tc>
          <w:tcPr>
            <w:tcW w:w="673" w:type="dxa"/>
            <w:noWrap/>
            <w:hideMark/>
          </w:tcPr>
          <w:p w14:paraId="651544D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-54</w:t>
            </w:r>
          </w:p>
        </w:tc>
        <w:tc>
          <w:tcPr>
            <w:tcW w:w="573" w:type="dxa"/>
            <w:noWrap/>
            <w:hideMark/>
          </w:tcPr>
          <w:p w14:paraId="7BFF9B3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50</w:t>
            </w:r>
          </w:p>
        </w:tc>
        <w:tc>
          <w:tcPr>
            <w:tcW w:w="6434" w:type="dxa"/>
            <w:noWrap/>
            <w:hideMark/>
          </w:tcPr>
          <w:p w14:paraId="17F17687"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Paracentral_Lobule_R</w:t>
            </w:r>
            <w:proofErr w:type="spellEnd"/>
          </w:p>
        </w:tc>
      </w:tr>
      <w:tr w:rsidR="004B6442" w:rsidRPr="006C7A4B" w14:paraId="72BB5139"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5A5CA66"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 * Cue</w:t>
            </w:r>
          </w:p>
        </w:tc>
        <w:tc>
          <w:tcPr>
            <w:tcW w:w="992" w:type="dxa"/>
            <w:noWrap/>
            <w:hideMark/>
          </w:tcPr>
          <w:p w14:paraId="7452936D"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sc21</w:t>
            </w:r>
          </w:p>
        </w:tc>
        <w:tc>
          <w:tcPr>
            <w:tcW w:w="1560" w:type="dxa"/>
            <w:noWrap/>
            <w:hideMark/>
          </w:tcPr>
          <w:p w14:paraId="1EEEBDD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ss7</w:t>
            </w:r>
          </w:p>
        </w:tc>
        <w:tc>
          <w:tcPr>
            <w:tcW w:w="625" w:type="dxa"/>
            <w:noWrap/>
            <w:hideMark/>
          </w:tcPr>
          <w:p w14:paraId="47F6146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1334</w:t>
            </w:r>
          </w:p>
        </w:tc>
        <w:tc>
          <w:tcPr>
            <w:tcW w:w="706" w:type="dxa"/>
            <w:noWrap/>
            <w:hideMark/>
          </w:tcPr>
          <w:p w14:paraId="4679CD2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1440</w:t>
            </w:r>
          </w:p>
        </w:tc>
        <w:tc>
          <w:tcPr>
            <w:tcW w:w="806" w:type="dxa"/>
            <w:noWrap/>
            <w:hideMark/>
          </w:tcPr>
          <w:p w14:paraId="49C0E055" w14:textId="348BE07A"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76B046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748</w:t>
            </w:r>
          </w:p>
        </w:tc>
        <w:tc>
          <w:tcPr>
            <w:tcW w:w="573" w:type="dxa"/>
            <w:noWrap/>
            <w:hideMark/>
          </w:tcPr>
          <w:p w14:paraId="2F95CAD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w:t>
            </w:r>
          </w:p>
        </w:tc>
        <w:tc>
          <w:tcPr>
            <w:tcW w:w="673" w:type="dxa"/>
            <w:noWrap/>
            <w:hideMark/>
          </w:tcPr>
          <w:p w14:paraId="2093CD5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12</w:t>
            </w:r>
          </w:p>
        </w:tc>
        <w:tc>
          <w:tcPr>
            <w:tcW w:w="573" w:type="dxa"/>
            <w:noWrap/>
            <w:hideMark/>
          </w:tcPr>
          <w:p w14:paraId="6139224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54</w:t>
            </w:r>
          </w:p>
        </w:tc>
        <w:tc>
          <w:tcPr>
            <w:tcW w:w="6434" w:type="dxa"/>
            <w:noWrap/>
            <w:hideMark/>
          </w:tcPr>
          <w:p w14:paraId="67E5B771"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Frontal_Sup_2_L, Frontal_Mid_2_L, </w:t>
            </w:r>
            <w:proofErr w:type="spellStart"/>
            <w:r w:rsidRPr="006C7A4B">
              <w:rPr>
                <w:rFonts w:ascii="Calibri" w:eastAsia="Times New Roman" w:hAnsi="Calibri" w:cs="Calibri"/>
                <w:color w:val="000000"/>
                <w:sz w:val="18"/>
                <w:szCs w:val="18"/>
              </w:rPr>
              <w:t>Supp_Motor_Area_L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Cingulate_Mid_L</w:t>
            </w:r>
            <w:proofErr w:type="spellEnd"/>
          </w:p>
        </w:tc>
      </w:tr>
      <w:tr w:rsidR="004B6442" w:rsidRPr="006C7A4B" w14:paraId="26BAC920"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727FC7C"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Group * Cue</w:t>
            </w:r>
          </w:p>
        </w:tc>
        <w:tc>
          <w:tcPr>
            <w:tcW w:w="992" w:type="dxa"/>
            <w:noWrap/>
            <w:hideMark/>
          </w:tcPr>
          <w:p w14:paraId="740DCF6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sc22</w:t>
            </w:r>
          </w:p>
        </w:tc>
        <w:tc>
          <w:tcPr>
            <w:tcW w:w="1560" w:type="dxa"/>
            <w:noWrap/>
            <w:hideMark/>
          </w:tcPr>
          <w:p w14:paraId="50DB732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ss7</w:t>
            </w:r>
          </w:p>
        </w:tc>
        <w:tc>
          <w:tcPr>
            <w:tcW w:w="625" w:type="dxa"/>
            <w:noWrap/>
            <w:hideMark/>
          </w:tcPr>
          <w:p w14:paraId="0DDD37A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1334</w:t>
            </w:r>
          </w:p>
        </w:tc>
        <w:tc>
          <w:tcPr>
            <w:tcW w:w="706" w:type="dxa"/>
            <w:noWrap/>
            <w:hideMark/>
          </w:tcPr>
          <w:p w14:paraId="7AAD842B"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1440</w:t>
            </w:r>
          </w:p>
        </w:tc>
        <w:tc>
          <w:tcPr>
            <w:tcW w:w="806" w:type="dxa"/>
            <w:noWrap/>
            <w:hideMark/>
          </w:tcPr>
          <w:p w14:paraId="6DB458C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0.006</w:t>
            </w:r>
          </w:p>
        </w:tc>
        <w:tc>
          <w:tcPr>
            <w:tcW w:w="1170" w:type="dxa"/>
            <w:noWrap/>
            <w:hideMark/>
          </w:tcPr>
          <w:p w14:paraId="3ABEF7E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470</w:t>
            </w:r>
          </w:p>
        </w:tc>
        <w:tc>
          <w:tcPr>
            <w:tcW w:w="573" w:type="dxa"/>
            <w:noWrap/>
            <w:hideMark/>
          </w:tcPr>
          <w:p w14:paraId="4B392D8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673" w:type="dxa"/>
            <w:noWrap/>
            <w:hideMark/>
          </w:tcPr>
          <w:p w14:paraId="6B93D73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w:t>
            </w:r>
          </w:p>
        </w:tc>
        <w:tc>
          <w:tcPr>
            <w:tcW w:w="573" w:type="dxa"/>
            <w:noWrap/>
            <w:hideMark/>
          </w:tcPr>
          <w:p w14:paraId="21B3ACD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w:t>
            </w:r>
          </w:p>
        </w:tc>
        <w:tc>
          <w:tcPr>
            <w:tcW w:w="6434" w:type="dxa"/>
            <w:noWrap/>
            <w:hideMark/>
          </w:tcPr>
          <w:p w14:paraId="04FADB46"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Frontal_Sup_2_R, </w:t>
            </w:r>
            <w:proofErr w:type="spellStart"/>
            <w:r w:rsidRPr="006C7A4B">
              <w:rPr>
                <w:rFonts w:ascii="Calibri" w:eastAsia="Times New Roman" w:hAnsi="Calibri" w:cs="Calibri"/>
                <w:color w:val="000000"/>
                <w:sz w:val="18"/>
                <w:szCs w:val="18"/>
              </w:rPr>
              <w:t>Supp_Motor_Area_R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p>
        </w:tc>
      </w:tr>
      <w:tr w:rsidR="004B6442" w:rsidRPr="006C7A4B" w14:paraId="50106295"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88" w:type="dxa"/>
            <w:gridSpan w:val="11"/>
            <w:noWrap/>
            <w:hideMark/>
          </w:tcPr>
          <w:p w14:paraId="66C2890B" w14:textId="77777777" w:rsidR="004B6442" w:rsidRPr="006C7A4B" w:rsidRDefault="004B6442" w:rsidP="00AC23E4">
            <w:pPr>
              <w:rPr>
                <w:rFonts w:ascii="Times New Roman" w:eastAsia="Times New Roman" w:hAnsi="Times New Roman" w:cs="Times New Roman"/>
                <w:sz w:val="18"/>
                <w:szCs w:val="18"/>
              </w:rPr>
            </w:pPr>
            <w:r w:rsidRPr="006C7A4B">
              <w:rPr>
                <w:rFonts w:ascii="Calibri" w:eastAsia="Times New Roman" w:hAnsi="Calibri" w:cs="Calibri"/>
                <w:color w:val="000000"/>
                <w:sz w:val="18"/>
                <w:szCs w:val="18"/>
                <w:u w:val="single"/>
              </w:rPr>
              <w:t>Nociceptive processing</w:t>
            </w:r>
          </w:p>
        </w:tc>
      </w:tr>
      <w:tr w:rsidR="004B6442" w:rsidRPr="006C7A4B" w14:paraId="77C81DB2"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FA2C413"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4248CD7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sc23</w:t>
            </w:r>
          </w:p>
        </w:tc>
        <w:tc>
          <w:tcPr>
            <w:tcW w:w="1560" w:type="dxa"/>
            <w:noWrap/>
            <w:hideMark/>
          </w:tcPr>
          <w:p w14:paraId="7E00244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ss8</w:t>
            </w:r>
          </w:p>
        </w:tc>
        <w:tc>
          <w:tcPr>
            <w:tcW w:w="625" w:type="dxa"/>
            <w:noWrap/>
            <w:hideMark/>
          </w:tcPr>
          <w:p w14:paraId="667C98E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308</w:t>
            </w:r>
          </w:p>
        </w:tc>
        <w:tc>
          <w:tcPr>
            <w:tcW w:w="706" w:type="dxa"/>
            <w:noWrap/>
            <w:hideMark/>
          </w:tcPr>
          <w:p w14:paraId="550298F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310</w:t>
            </w:r>
          </w:p>
        </w:tc>
        <w:tc>
          <w:tcPr>
            <w:tcW w:w="806" w:type="dxa"/>
            <w:noWrap/>
            <w:hideMark/>
          </w:tcPr>
          <w:p w14:paraId="5FB39E76" w14:textId="36993EFF"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8D3077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36733</w:t>
            </w:r>
          </w:p>
        </w:tc>
        <w:tc>
          <w:tcPr>
            <w:tcW w:w="573" w:type="dxa"/>
            <w:noWrap/>
            <w:hideMark/>
          </w:tcPr>
          <w:p w14:paraId="22D0FCC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w:t>
            </w:r>
          </w:p>
        </w:tc>
        <w:tc>
          <w:tcPr>
            <w:tcW w:w="673" w:type="dxa"/>
            <w:noWrap/>
            <w:hideMark/>
          </w:tcPr>
          <w:p w14:paraId="467D19E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-60</w:t>
            </w:r>
          </w:p>
        </w:tc>
        <w:tc>
          <w:tcPr>
            <w:tcW w:w="573" w:type="dxa"/>
            <w:noWrap/>
            <w:hideMark/>
          </w:tcPr>
          <w:p w14:paraId="4857B00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w:t>
            </w:r>
          </w:p>
        </w:tc>
        <w:tc>
          <w:tcPr>
            <w:tcW w:w="6434" w:type="dxa"/>
            <w:noWrap/>
            <w:hideMark/>
          </w:tcPr>
          <w:p w14:paraId="6709A33C"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Precentral_R</w:t>
            </w:r>
            <w:proofErr w:type="spellEnd"/>
            <w:r w:rsidRPr="006C7A4B">
              <w:rPr>
                <w:rFonts w:ascii="Calibri" w:eastAsia="Times New Roman" w:hAnsi="Calibri" w:cs="Calibri"/>
                <w:color w:val="000000"/>
                <w:sz w:val="18"/>
                <w:szCs w:val="18"/>
              </w:rPr>
              <w:t xml:space="preserve">, Frontal_Sup_2_L, Frontal_Sup_2_R, Frontal_Mid_2_L, Frontal_Mid_2_R, </w:t>
            </w:r>
            <w:proofErr w:type="spellStart"/>
            <w:r w:rsidRPr="006C7A4B">
              <w:rPr>
                <w:rFonts w:ascii="Calibri" w:eastAsia="Times New Roman" w:hAnsi="Calibri" w:cs="Calibri"/>
                <w:color w:val="000000"/>
                <w:sz w:val="18"/>
                <w:szCs w:val="18"/>
              </w:rPr>
              <w:t>Frontal_Inf_Oper_L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Frontal_Inf_Oper_R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Frontal_Inf_Tri_L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Frontal_Inf_Tri_R</w:t>
            </w:r>
            <w:proofErr w:type="spellEnd"/>
            <w:r w:rsidRPr="006C7A4B">
              <w:rPr>
                <w:rFonts w:ascii="Calibri" w:eastAsia="Times New Roman" w:hAnsi="Calibri" w:cs="Calibri"/>
                <w:color w:val="000000"/>
                <w:sz w:val="18"/>
                <w:szCs w:val="18"/>
              </w:rPr>
              <w:t xml:space="preserve">, Frontal_Inf_Orb_2_R, </w:t>
            </w:r>
            <w:proofErr w:type="spellStart"/>
            <w:r w:rsidRPr="006C7A4B">
              <w:rPr>
                <w:rFonts w:ascii="Calibri" w:eastAsia="Times New Roman" w:hAnsi="Calibri" w:cs="Calibri"/>
                <w:color w:val="000000"/>
                <w:sz w:val="18"/>
                <w:szCs w:val="18"/>
              </w:rPr>
              <w:t>Rolandic_Oper_L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Supp_Motor_Area_L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Supp_Motor_Area_R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Olfactory_L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Olfactory_R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Frontal_Med_Orb_L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Frontal_Med_Orb_R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Rectus_L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Rectus_R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OFCmed_L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OFCmed_R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Insula_L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Calcarine_R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Lingual_R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Caudate_L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Heschl_L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r w:rsidRPr="006C7A4B">
              <w:rPr>
                <w:rFonts w:ascii="Calibri" w:eastAsia="Times New Roman" w:hAnsi="Calibri" w:cs="Calibri"/>
                <w:color w:val="000000"/>
                <w:sz w:val="18"/>
                <w:szCs w:val="18"/>
              </w:rPr>
              <w:t>, Cerebelum_Crus1_L, Cerebelum_Crus1_R, Cerebelum_6_L, Cerebelum_6_R</w:t>
            </w:r>
          </w:p>
        </w:tc>
      </w:tr>
      <w:tr w:rsidR="004B6442" w:rsidRPr="006C7A4B" w14:paraId="74E73560"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3281AE4"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449C85F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sc24</w:t>
            </w:r>
          </w:p>
        </w:tc>
        <w:tc>
          <w:tcPr>
            <w:tcW w:w="1560" w:type="dxa"/>
            <w:noWrap/>
            <w:hideMark/>
          </w:tcPr>
          <w:p w14:paraId="43CBB56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ss8</w:t>
            </w:r>
          </w:p>
        </w:tc>
        <w:tc>
          <w:tcPr>
            <w:tcW w:w="625" w:type="dxa"/>
            <w:noWrap/>
            <w:hideMark/>
          </w:tcPr>
          <w:p w14:paraId="78FB59D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308</w:t>
            </w:r>
          </w:p>
        </w:tc>
        <w:tc>
          <w:tcPr>
            <w:tcW w:w="706" w:type="dxa"/>
            <w:noWrap/>
            <w:hideMark/>
          </w:tcPr>
          <w:p w14:paraId="5DB20E4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310</w:t>
            </w:r>
          </w:p>
        </w:tc>
        <w:tc>
          <w:tcPr>
            <w:tcW w:w="806" w:type="dxa"/>
            <w:noWrap/>
            <w:hideMark/>
          </w:tcPr>
          <w:p w14:paraId="12DB9C95" w14:textId="5194357A"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E12B63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6140</w:t>
            </w:r>
          </w:p>
        </w:tc>
        <w:tc>
          <w:tcPr>
            <w:tcW w:w="573" w:type="dxa"/>
            <w:noWrap/>
            <w:hideMark/>
          </w:tcPr>
          <w:p w14:paraId="7EE5AE7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-32</w:t>
            </w:r>
          </w:p>
        </w:tc>
        <w:tc>
          <w:tcPr>
            <w:tcW w:w="673" w:type="dxa"/>
            <w:noWrap/>
            <w:hideMark/>
          </w:tcPr>
          <w:p w14:paraId="4C627AB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573" w:type="dxa"/>
            <w:noWrap/>
            <w:hideMark/>
          </w:tcPr>
          <w:p w14:paraId="790BCCB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w:t>
            </w:r>
          </w:p>
        </w:tc>
        <w:tc>
          <w:tcPr>
            <w:tcW w:w="6434" w:type="dxa"/>
            <w:noWrap/>
            <w:hideMark/>
          </w:tcPr>
          <w:p w14:paraId="54B9BF28"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Frontal_Inf_Oper_R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Frontal_Inf_Tri_R</w:t>
            </w:r>
            <w:proofErr w:type="spellEnd"/>
            <w:r w:rsidRPr="006C7A4B">
              <w:rPr>
                <w:rFonts w:ascii="Calibri" w:eastAsia="Times New Roman" w:hAnsi="Calibri" w:cs="Calibri"/>
                <w:color w:val="000000"/>
                <w:sz w:val="18"/>
                <w:szCs w:val="18"/>
              </w:rPr>
              <w:t xml:space="preserve">, Frontal_Inf_Orb_2_R, </w:t>
            </w:r>
            <w:proofErr w:type="spellStart"/>
            <w:r w:rsidRPr="006C7A4B">
              <w:rPr>
                <w:rFonts w:ascii="Calibri" w:eastAsia="Times New Roman" w:hAnsi="Calibri" w:cs="Calibri"/>
                <w:color w:val="000000"/>
                <w:sz w:val="18"/>
                <w:szCs w:val="18"/>
              </w:rPr>
              <w:t>Rolandic_Oper_R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Insula_R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ParaHippocampal_R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Amygdala_R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Putamen_R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Heschl_R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r w:rsidRPr="006C7A4B">
              <w:rPr>
                <w:rFonts w:ascii="Calibri" w:eastAsia="Times New Roman" w:hAnsi="Calibri" w:cs="Calibri"/>
                <w:color w:val="000000"/>
                <w:sz w:val="18"/>
                <w:szCs w:val="18"/>
              </w:rPr>
              <w:t>, Cerebelum_Crus1_R, Cerebelum_6_R</w:t>
            </w:r>
          </w:p>
        </w:tc>
      </w:tr>
      <w:tr w:rsidR="004B6442" w:rsidRPr="006C7A4B" w14:paraId="24BF3260"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4F78787"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0717365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sc25</w:t>
            </w:r>
          </w:p>
        </w:tc>
        <w:tc>
          <w:tcPr>
            <w:tcW w:w="1560" w:type="dxa"/>
            <w:noWrap/>
            <w:hideMark/>
          </w:tcPr>
          <w:p w14:paraId="208D4BF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ss8</w:t>
            </w:r>
          </w:p>
        </w:tc>
        <w:tc>
          <w:tcPr>
            <w:tcW w:w="625" w:type="dxa"/>
            <w:noWrap/>
            <w:hideMark/>
          </w:tcPr>
          <w:p w14:paraId="67A8868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308</w:t>
            </w:r>
          </w:p>
        </w:tc>
        <w:tc>
          <w:tcPr>
            <w:tcW w:w="706" w:type="dxa"/>
            <w:noWrap/>
            <w:hideMark/>
          </w:tcPr>
          <w:p w14:paraId="473D67D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310</w:t>
            </w:r>
          </w:p>
        </w:tc>
        <w:tc>
          <w:tcPr>
            <w:tcW w:w="806" w:type="dxa"/>
            <w:noWrap/>
            <w:hideMark/>
          </w:tcPr>
          <w:p w14:paraId="19C5A6E8" w14:textId="1AB00DC1"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4EA0D92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2050</w:t>
            </w:r>
          </w:p>
        </w:tc>
        <w:tc>
          <w:tcPr>
            <w:tcW w:w="573" w:type="dxa"/>
            <w:noWrap/>
            <w:hideMark/>
          </w:tcPr>
          <w:p w14:paraId="0BB7F3A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14</w:t>
            </w:r>
          </w:p>
        </w:tc>
        <w:tc>
          <w:tcPr>
            <w:tcW w:w="673" w:type="dxa"/>
            <w:noWrap/>
            <w:hideMark/>
          </w:tcPr>
          <w:p w14:paraId="2B0B2DE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-102</w:t>
            </w:r>
          </w:p>
        </w:tc>
        <w:tc>
          <w:tcPr>
            <w:tcW w:w="573" w:type="dxa"/>
            <w:noWrap/>
            <w:hideMark/>
          </w:tcPr>
          <w:p w14:paraId="66EBCCE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12</w:t>
            </w:r>
          </w:p>
        </w:tc>
        <w:tc>
          <w:tcPr>
            <w:tcW w:w="6434" w:type="dxa"/>
            <w:noWrap/>
            <w:hideMark/>
          </w:tcPr>
          <w:p w14:paraId="7F20B4A6"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Calcarine_L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Lingual_L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Fusiform_L</w:t>
            </w:r>
            <w:proofErr w:type="spellEnd"/>
            <w:r w:rsidRPr="006C7A4B">
              <w:rPr>
                <w:rFonts w:ascii="Calibri" w:eastAsia="Times New Roman" w:hAnsi="Calibri" w:cs="Calibri"/>
                <w:color w:val="000000"/>
                <w:sz w:val="18"/>
                <w:szCs w:val="18"/>
              </w:rPr>
              <w:t>, Cerebelum_6_L</w:t>
            </w:r>
          </w:p>
        </w:tc>
      </w:tr>
      <w:tr w:rsidR="004B6442" w:rsidRPr="006C7A4B" w14:paraId="7E66072C"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5FC6045"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4E06174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sc26</w:t>
            </w:r>
          </w:p>
        </w:tc>
        <w:tc>
          <w:tcPr>
            <w:tcW w:w="1560" w:type="dxa"/>
            <w:noWrap/>
            <w:hideMark/>
          </w:tcPr>
          <w:p w14:paraId="5AB7BAF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ss8</w:t>
            </w:r>
          </w:p>
        </w:tc>
        <w:tc>
          <w:tcPr>
            <w:tcW w:w="625" w:type="dxa"/>
            <w:noWrap/>
            <w:hideMark/>
          </w:tcPr>
          <w:p w14:paraId="558C43B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308</w:t>
            </w:r>
          </w:p>
        </w:tc>
        <w:tc>
          <w:tcPr>
            <w:tcW w:w="706" w:type="dxa"/>
            <w:noWrap/>
            <w:hideMark/>
          </w:tcPr>
          <w:p w14:paraId="010F715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310</w:t>
            </w:r>
          </w:p>
        </w:tc>
        <w:tc>
          <w:tcPr>
            <w:tcW w:w="806" w:type="dxa"/>
            <w:noWrap/>
            <w:hideMark/>
          </w:tcPr>
          <w:p w14:paraId="487CF678" w14:textId="4AEB4548"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7D0832D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1710</w:t>
            </w:r>
          </w:p>
        </w:tc>
        <w:tc>
          <w:tcPr>
            <w:tcW w:w="573" w:type="dxa"/>
            <w:noWrap/>
            <w:hideMark/>
          </w:tcPr>
          <w:p w14:paraId="3E93077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w:t>
            </w:r>
          </w:p>
        </w:tc>
        <w:tc>
          <w:tcPr>
            <w:tcW w:w="673" w:type="dxa"/>
            <w:noWrap/>
            <w:hideMark/>
          </w:tcPr>
          <w:p w14:paraId="29935F31"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w:t>
            </w:r>
          </w:p>
        </w:tc>
        <w:tc>
          <w:tcPr>
            <w:tcW w:w="573" w:type="dxa"/>
            <w:noWrap/>
            <w:hideMark/>
          </w:tcPr>
          <w:p w14:paraId="15B79C4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28</w:t>
            </w:r>
          </w:p>
        </w:tc>
        <w:tc>
          <w:tcPr>
            <w:tcW w:w="6434" w:type="dxa"/>
            <w:noWrap/>
            <w:hideMark/>
          </w:tcPr>
          <w:p w14:paraId="3FF39348"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Cingulate_Ant_L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Thalamus_R</w:t>
            </w:r>
            <w:proofErr w:type="spellEnd"/>
          </w:p>
        </w:tc>
      </w:tr>
      <w:tr w:rsidR="004B6442" w:rsidRPr="006C7A4B" w14:paraId="02F450E3"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B2E10E8"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214B59B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sc27</w:t>
            </w:r>
          </w:p>
        </w:tc>
        <w:tc>
          <w:tcPr>
            <w:tcW w:w="1560" w:type="dxa"/>
            <w:noWrap/>
            <w:hideMark/>
          </w:tcPr>
          <w:p w14:paraId="62BE901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43AB63F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2126630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58B2DAA3" w14:textId="74F5E8AF"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607A952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5903</w:t>
            </w:r>
          </w:p>
        </w:tc>
        <w:tc>
          <w:tcPr>
            <w:tcW w:w="573" w:type="dxa"/>
            <w:noWrap/>
            <w:hideMark/>
          </w:tcPr>
          <w:p w14:paraId="59B8CF4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-48</w:t>
            </w:r>
          </w:p>
        </w:tc>
        <w:tc>
          <w:tcPr>
            <w:tcW w:w="673" w:type="dxa"/>
            <w:noWrap/>
            <w:hideMark/>
          </w:tcPr>
          <w:p w14:paraId="21F40BD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-18</w:t>
            </w:r>
          </w:p>
        </w:tc>
        <w:tc>
          <w:tcPr>
            <w:tcW w:w="573" w:type="dxa"/>
            <w:noWrap/>
            <w:hideMark/>
          </w:tcPr>
          <w:p w14:paraId="2A7804E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434" w:type="dxa"/>
            <w:noWrap/>
            <w:hideMark/>
          </w:tcPr>
          <w:p w14:paraId="59614080"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Frontal_Inf_Oper_R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Frontal_Inf_Tri_R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Rolandic_Oper_R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Insula_R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ParaHippocampal_R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Putamen_R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Heschl_R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Temporal_Inf_R</w:t>
            </w:r>
            <w:proofErr w:type="spellEnd"/>
            <w:r w:rsidRPr="006C7A4B">
              <w:rPr>
                <w:rFonts w:ascii="Calibri" w:eastAsia="Times New Roman" w:hAnsi="Calibri" w:cs="Calibri"/>
                <w:color w:val="000000"/>
                <w:sz w:val="18"/>
                <w:szCs w:val="18"/>
              </w:rPr>
              <w:t>, Cerebelum_Crus1_R, Cerebelum_6_R</w:t>
            </w:r>
          </w:p>
        </w:tc>
      </w:tr>
      <w:tr w:rsidR="004B6442" w:rsidRPr="006C7A4B" w14:paraId="79DE7CB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1CFB488"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484DBBB8"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sc28</w:t>
            </w:r>
          </w:p>
        </w:tc>
        <w:tc>
          <w:tcPr>
            <w:tcW w:w="1560" w:type="dxa"/>
            <w:noWrap/>
            <w:hideMark/>
          </w:tcPr>
          <w:p w14:paraId="69276B6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2850BF17"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3CBF9951"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1D69889A" w14:textId="441EC255"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74AA3D0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7228</w:t>
            </w:r>
          </w:p>
        </w:tc>
        <w:tc>
          <w:tcPr>
            <w:tcW w:w="573" w:type="dxa"/>
            <w:noWrap/>
            <w:hideMark/>
          </w:tcPr>
          <w:p w14:paraId="41F53C5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w:t>
            </w:r>
          </w:p>
        </w:tc>
        <w:tc>
          <w:tcPr>
            <w:tcW w:w="673" w:type="dxa"/>
            <w:noWrap/>
            <w:hideMark/>
          </w:tcPr>
          <w:p w14:paraId="7819CCC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w:t>
            </w:r>
          </w:p>
        </w:tc>
        <w:tc>
          <w:tcPr>
            <w:tcW w:w="573" w:type="dxa"/>
            <w:noWrap/>
            <w:hideMark/>
          </w:tcPr>
          <w:p w14:paraId="10D18D9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434" w:type="dxa"/>
            <w:noWrap/>
            <w:hideMark/>
          </w:tcPr>
          <w:p w14:paraId="5232972D"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Frontal_Inf_Oper_L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Rolandic_Oper_L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Insula_L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Fusiform_L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Heschl_L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Temporal_Pole_Mid_L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Temporal_Inf_L</w:t>
            </w:r>
            <w:proofErr w:type="spellEnd"/>
            <w:r w:rsidRPr="006C7A4B">
              <w:rPr>
                <w:rFonts w:ascii="Calibri" w:eastAsia="Times New Roman" w:hAnsi="Calibri" w:cs="Calibri"/>
                <w:color w:val="000000"/>
                <w:sz w:val="18"/>
                <w:szCs w:val="18"/>
              </w:rPr>
              <w:t>, Cerebelum_Crus1_L, Cerebelum_6_L</w:t>
            </w:r>
          </w:p>
        </w:tc>
      </w:tr>
      <w:tr w:rsidR="004B6442" w:rsidRPr="006C7A4B" w14:paraId="709739AE"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762D9AF"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5645F5C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sc29</w:t>
            </w:r>
          </w:p>
        </w:tc>
        <w:tc>
          <w:tcPr>
            <w:tcW w:w="1560" w:type="dxa"/>
            <w:noWrap/>
            <w:hideMark/>
          </w:tcPr>
          <w:p w14:paraId="54F1A52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5559EAA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758B59C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7DFF72EA" w14:textId="307F845A"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4BE87C8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2617</w:t>
            </w:r>
          </w:p>
        </w:tc>
        <w:tc>
          <w:tcPr>
            <w:tcW w:w="573" w:type="dxa"/>
            <w:noWrap/>
            <w:hideMark/>
          </w:tcPr>
          <w:p w14:paraId="30FF560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-40</w:t>
            </w:r>
          </w:p>
        </w:tc>
        <w:tc>
          <w:tcPr>
            <w:tcW w:w="673" w:type="dxa"/>
            <w:noWrap/>
            <w:hideMark/>
          </w:tcPr>
          <w:p w14:paraId="4E947A2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-56</w:t>
            </w:r>
          </w:p>
        </w:tc>
        <w:tc>
          <w:tcPr>
            <w:tcW w:w="573" w:type="dxa"/>
            <w:noWrap/>
            <w:hideMark/>
          </w:tcPr>
          <w:p w14:paraId="311FE13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w:t>
            </w:r>
          </w:p>
        </w:tc>
        <w:tc>
          <w:tcPr>
            <w:tcW w:w="6434" w:type="dxa"/>
            <w:noWrap/>
            <w:hideMark/>
          </w:tcPr>
          <w:p w14:paraId="2F0F14A1"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Occipital_Sup_R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Occipital_Mid_R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Temporal_Mid_R</w:t>
            </w:r>
            <w:proofErr w:type="spellEnd"/>
          </w:p>
        </w:tc>
      </w:tr>
      <w:tr w:rsidR="004B6442" w:rsidRPr="006C7A4B" w14:paraId="116BE521"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48CB634"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5536DB9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sc30</w:t>
            </w:r>
          </w:p>
        </w:tc>
        <w:tc>
          <w:tcPr>
            <w:tcW w:w="1560" w:type="dxa"/>
            <w:noWrap/>
            <w:hideMark/>
          </w:tcPr>
          <w:p w14:paraId="3493A6B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1F70B44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41C08E7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1326251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w:t>
            </w:r>
            <w:r>
              <w:rPr>
                <w:rFonts w:ascii="Calibri" w:eastAsia="Times New Roman" w:hAnsi="Calibri" w:cs="Calibri"/>
                <w:color w:val="000000"/>
                <w:sz w:val="18"/>
                <w:szCs w:val="18"/>
              </w:rPr>
              <w:t>2</w:t>
            </w:r>
          </w:p>
        </w:tc>
        <w:tc>
          <w:tcPr>
            <w:tcW w:w="1170" w:type="dxa"/>
            <w:noWrap/>
            <w:hideMark/>
          </w:tcPr>
          <w:p w14:paraId="39692C6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833</w:t>
            </w:r>
          </w:p>
        </w:tc>
        <w:tc>
          <w:tcPr>
            <w:tcW w:w="573" w:type="dxa"/>
            <w:noWrap/>
            <w:hideMark/>
          </w:tcPr>
          <w:p w14:paraId="12DA72B2"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50</w:t>
            </w:r>
          </w:p>
        </w:tc>
        <w:tc>
          <w:tcPr>
            <w:tcW w:w="673" w:type="dxa"/>
            <w:noWrap/>
            <w:hideMark/>
          </w:tcPr>
          <w:p w14:paraId="616EDE5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-66</w:t>
            </w:r>
          </w:p>
        </w:tc>
        <w:tc>
          <w:tcPr>
            <w:tcW w:w="573" w:type="dxa"/>
            <w:noWrap/>
            <w:hideMark/>
          </w:tcPr>
          <w:p w14:paraId="7555B5D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w:t>
            </w:r>
          </w:p>
        </w:tc>
        <w:tc>
          <w:tcPr>
            <w:tcW w:w="6434" w:type="dxa"/>
            <w:noWrap/>
            <w:hideMark/>
          </w:tcPr>
          <w:p w14:paraId="742D859E"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Occipital_Mid_L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Temporal_Mid_L</w:t>
            </w:r>
            <w:proofErr w:type="spellEnd"/>
          </w:p>
        </w:tc>
      </w:tr>
      <w:tr w:rsidR="004B6442" w:rsidRPr="006C7A4B" w14:paraId="12749CD2"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41D7A9"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3FFB62D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sc31</w:t>
            </w:r>
          </w:p>
        </w:tc>
        <w:tc>
          <w:tcPr>
            <w:tcW w:w="1560" w:type="dxa"/>
            <w:noWrap/>
            <w:hideMark/>
          </w:tcPr>
          <w:p w14:paraId="2A0B69B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12E326E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2F58908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73ADB414" w14:textId="0E85586A"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69E25B1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2351</w:t>
            </w:r>
          </w:p>
        </w:tc>
        <w:tc>
          <w:tcPr>
            <w:tcW w:w="573" w:type="dxa"/>
            <w:noWrap/>
            <w:hideMark/>
          </w:tcPr>
          <w:p w14:paraId="2BCCD2D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24</w:t>
            </w:r>
          </w:p>
        </w:tc>
        <w:tc>
          <w:tcPr>
            <w:tcW w:w="673" w:type="dxa"/>
            <w:noWrap/>
            <w:hideMark/>
          </w:tcPr>
          <w:p w14:paraId="6BC0CA3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48</w:t>
            </w:r>
          </w:p>
        </w:tc>
        <w:tc>
          <w:tcPr>
            <w:tcW w:w="573" w:type="dxa"/>
            <w:noWrap/>
            <w:hideMark/>
          </w:tcPr>
          <w:p w14:paraId="5E1A402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18</w:t>
            </w:r>
          </w:p>
        </w:tc>
        <w:tc>
          <w:tcPr>
            <w:tcW w:w="6434" w:type="dxa"/>
            <w:noWrap/>
            <w:hideMark/>
          </w:tcPr>
          <w:p w14:paraId="301AE29E"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Frontal_Sup_2_L, Frontal_Mid_2_L, </w:t>
            </w:r>
            <w:proofErr w:type="spellStart"/>
            <w:r w:rsidRPr="006C7A4B">
              <w:rPr>
                <w:rFonts w:ascii="Calibri" w:eastAsia="Times New Roman" w:hAnsi="Calibri" w:cs="Calibri"/>
                <w:color w:val="000000"/>
                <w:sz w:val="18"/>
                <w:szCs w:val="18"/>
              </w:rPr>
              <w:t>Frontal_Inf_Tri_L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Frontal_Med_Orb_L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Cingulate_Ant_L</w:t>
            </w:r>
            <w:proofErr w:type="spellEnd"/>
          </w:p>
        </w:tc>
      </w:tr>
      <w:tr w:rsidR="004B6442" w:rsidRPr="006C7A4B" w14:paraId="7B3A2023"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EB0DA77"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01B9C73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sc32</w:t>
            </w:r>
          </w:p>
        </w:tc>
        <w:tc>
          <w:tcPr>
            <w:tcW w:w="1560" w:type="dxa"/>
            <w:noWrap/>
            <w:hideMark/>
          </w:tcPr>
          <w:p w14:paraId="4F1C8DD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1579D9B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7EA2B1FF"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42938663" w14:textId="33A78ADB"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30975C7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3475</w:t>
            </w:r>
          </w:p>
        </w:tc>
        <w:tc>
          <w:tcPr>
            <w:tcW w:w="573" w:type="dxa"/>
            <w:noWrap/>
            <w:hideMark/>
          </w:tcPr>
          <w:p w14:paraId="39C2BBD6"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673" w:type="dxa"/>
            <w:noWrap/>
            <w:hideMark/>
          </w:tcPr>
          <w:p w14:paraId="7EACD79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-16</w:t>
            </w:r>
          </w:p>
        </w:tc>
        <w:tc>
          <w:tcPr>
            <w:tcW w:w="573" w:type="dxa"/>
            <w:noWrap/>
            <w:hideMark/>
          </w:tcPr>
          <w:p w14:paraId="47D75CF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58</w:t>
            </w:r>
          </w:p>
        </w:tc>
        <w:tc>
          <w:tcPr>
            <w:tcW w:w="6434" w:type="dxa"/>
            <w:noWrap/>
            <w:hideMark/>
          </w:tcPr>
          <w:p w14:paraId="2C16A163"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Precentral_L</w:t>
            </w:r>
            <w:proofErr w:type="spellEnd"/>
            <w:r w:rsidRPr="006C7A4B">
              <w:rPr>
                <w:rFonts w:ascii="Calibri" w:eastAsia="Times New Roman" w:hAnsi="Calibri" w:cs="Calibri"/>
                <w:color w:val="000000"/>
                <w:sz w:val="18"/>
                <w:szCs w:val="18"/>
              </w:rPr>
              <w:t xml:space="preserve">, Frontal_Sup_2_L, Frontal_Mid_2_L, </w:t>
            </w:r>
            <w:proofErr w:type="spellStart"/>
            <w:r w:rsidRPr="006C7A4B">
              <w:rPr>
                <w:rFonts w:ascii="Calibri" w:eastAsia="Times New Roman" w:hAnsi="Calibri" w:cs="Calibri"/>
                <w:color w:val="000000"/>
                <w:sz w:val="18"/>
                <w:szCs w:val="18"/>
              </w:rPr>
              <w:t>Supp_Motor_Area_L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Paracentral_Lobule_L</w:t>
            </w:r>
            <w:proofErr w:type="spellEnd"/>
          </w:p>
        </w:tc>
      </w:tr>
      <w:tr w:rsidR="004B6442" w:rsidRPr="006C7A4B" w14:paraId="3BAA4AAB"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FEFE25C"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30CBE92C"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sc33</w:t>
            </w:r>
          </w:p>
        </w:tc>
        <w:tc>
          <w:tcPr>
            <w:tcW w:w="1560" w:type="dxa"/>
            <w:noWrap/>
            <w:hideMark/>
          </w:tcPr>
          <w:p w14:paraId="19BCF94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01B4E148"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133346A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312915D6" w14:textId="78A206CA"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10377595"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3838</w:t>
            </w:r>
          </w:p>
        </w:tc>
        <w:tc>
          <w:tcPr>
            <w:tcW w:w="573" w:type="dxa"/>
            <w:noWrap/>
            <w:hideMark/>
          </w:tcPr>
          <w:p w14:paraId="3AA6898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73" w:type="dxa"/>
            <w:noWrap/>
            <w:hideMark/>
          </w:tcPr>
          <w:p w14:paraId="21F5F26E"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-8</w:t>
            </w:r>
          </w:p>
        </w:tc>
        <w:tc>
          <w:tcPr>
            <w:tcW w:w="573" w:type="dxa"/>
            <w:noWrap/>
            <w:hideMark/>
          </w:tcPr>
          <w:p w14:paraId="73623442"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58</w:t>
            </w:r>
          </w:p>
        </w:tc>
        <w:tc>
          <w:tcPr>
            <w:tcW w:w="6434" w:type="dxa"/>
            <w:noWrap/>
            <w:hideMark/>
          </w:tcPr>
          <w:p w14:paraId="197BC110"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Precentral_R</w:t>
            </w:r>
            <w:proofErr w:type="spellEnd"/>
            <w:r w:rsidRPr="006C7A4B">
              <w:rPr>
                <w:rFonts w:ascii="Calibri" w:eastAsia="Times New Roman" w:hAnsi="Calibri" w:cs="Calibri"/>
                <w:color w:val="000000"/>
                <w:sz w:val="18"/>
                <w:szCs w:val="18"/>
              </w:rPr>
              <w:t xml:space="preserve">, Frontal_Sup_2_R, </w:t>
            </w:r>
            <w:proofErr w:type="spellStart"/>
            <w:r w:rsidRPr="006C7A4B">
              <w:rPr>
                <w:rFonts w:ascii="Calibri" w:eastAsia="Times New Roman" w:hAnsi="Calibri" w:cs="Calibri"/>
                <w:color w:val="000000"/>
                <w:sz w:val="18"/>
                <w:szCs w:val="18"/>
              </w:rPr>
              <w:t>Supp_Motor_Area_R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Paracentral_Lobule_R</w:t>
            </w:r>
            <w:proofErr w:type="spellEnd"/>
          </w:p>
        </w:tc>
      </w:tr>
      <w:tr w:rsidR="004B6442" w:rsidRPr="006C7A4B" w14:paraId="07323DD2"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EFF6362"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7694513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sc34</w:t>
            </w:r>
          </w:p>
        </w:tc>
        <w:tc>
          <w:tcPr>
            <w:tcW w:w="1560" w:type="dxa"/>
            <w:noWrap/>
            <w:hideMark/>
          </w:tcPr>
          <w:p w14:paraId="32FD523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3B473B7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36C1A611"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3E0C9F7C" w14:textId="372842F2" w:rsidR="004B6442" w:rsidRPr="006C7A4B" w:rsidRDefault="00E850B8"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054F3290"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1650</w:t>
            </w:r>
          </w:p>
        </w:tc>
        <w:tc>
          <w:tcPr>
            <w:tcW w:w="573" w:type="dxa"/>
            <w:noWrap/>
            <w:hideMark/>
          </w:tcPr>
          <w:p w14:paraId="4A5381F9"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-22</w:t>
            </w:r>
          </w:p>
        </w:tc>
        <w:tc>
          <w:tcPr>
            <w:tcW w:w="673" w:type="dxa"/>
            <w:noWrap/>
            <w:hideMark/>
          </w:tcPr>
          <w:p w14:paraId="00AE0820"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42</w:t>
            </w:r>
          </w:p>
        </w:tc>
        <w:tc>
          <w:tcPr>
            <w:tcW w:w="573" w:type="dxa"/>
            <w:noWrap/>
            <w:hideMark/>
          </w:tcPr>
          <w:p w14:paraId="2F7A5EDC"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20</w:t>
            </w:r>
          </w:p>
        </w:tc>
        <w:tc>
          <w:tcPr>
            <w:tcW w:w="6434" w:type="dxa"/>
            <w:noWrap/>
            <w:hideMark/>
          </w:tcPr>
          <w:p w14:paraId="0495F059"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 xml:space="preserve">Frontal_Sup_2_R, Frontal_Mid_2_R, </w:t>
            </w:r>
            <w:proofErr w:type="spellStart"/>
            <w:r w:rsidRPr="006C7A4B">
              <w:rPr>
                <w:rFonts w:ascii="Calibri" w:eastAsia="Times New Roman" w:hAnsi="Calibri" w:cs="Calibri"/>
                <w:color w:val="000000"/>
                <w:sz w:val="18"/>
                <w:szCs w:val="18"/>
              </w:rPr>
              <w:t>Frontal_Inf_Tri_R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Frontal_Sup_Medial_R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Frontal_Med_Orb_R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OFCant_R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Cingulate_Ant_R</w:t>
            </w:r>
            <w:proofErr w:type="spellEnd"/>
          </w:p>
        </w:tc>
      </w:tr>
      <w:tr w:rsidR="004B6442" w:rsidRPr="006C7A4B" w14:paraId="4E28EE5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D7A54F4"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Intensity</w:t>
            </w:r>
          </w:p>
        </w:tc>
        <w:tc>
          <w:tcPr>
            <w:tcW w:w="992" w:type="dxa"/>
            <w:noWrap/>
            <w:hideMark/>
          </w:tcPr>
          <w:p w14:paraId="4919E48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sc35</w:t>
            </w:r>
          </w:p>
        </w:tc>
        <w:tc>
          <w:tcPr>
            <w:tcW w:w="1560" w:type="dxa"/>
            <w:noWrap/>
            <w:hideMark/>
          </w:tcPr>
          <w:p w14:paraId="0161D77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ss9/10</w:t>
            </w:r>
          </w:p>
        </w:tc>
        <w:tc>
          <w:tcPr>
            <w:tcW w:w="625" w:type="dxa"/>
            <w:noWrap/>
            <w:hideMark/>
          </w:tcPr>
          <w:p w14:paraId="2194CBE6"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382</w:t>
            </w:r>
          </w:p>
        </w:tc>
        <w:tc>
          <w:tcPr>
            <w:tcW w:w="706" w:type="dxa"/>
            <w:noWrap/>
            <w:hideMark/>
          </w:tcPr>
          <w:p w14:paraId="645F093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726</w:t>
            </w:r>
          </w:p>
        </w:tc>
        <w:tc>
          <w:tcPr>
            <w:tcW w:w="806" w:type="dxa"/>
            <w:noWrap/>
            <w:hideMark/>
          </w:tcPr>
          <w:p w14:paraId="2CF0DC48" w14:textId="098E70D8"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2F3F83C9"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1221</w:t>
            </w:r>
          </w:p>
        </w:tc>
        <w:tc>
          <w:tcPr>
            <w:tcW w:w="573" w:type="dxa"/>
            <w:noWrap/>
            <w:hideMark/>
          </w:tcPr>
          <w:p w14:paraId="32AF7064"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w:t>
            </w:r>
          </w:p>
        </w:tc>
        <w:tc>
          <w:tcPr>
            <w:tcW w:w="673" w:type="dxa"/>
            <w:noWrap/>
            <w:hideMark/>
          </w:tcPr>
          <w:p w14:paraId="0F7772EA"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w:t>
            </w:r>
          </w:p>
        </w:tc>
        <w:tc>
          <w:tcPr>
            <w:tcW w:w="573" w:type="dxa"/>
            <w:noWrap/>
            <w:hideMark/>
          </w:tcPr>
          <w:p w14:paraId="74803287"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w:t>
            </w:r>
          </w:p>
        </w:tc>
        <w:tc>
          <w:tcPr>
            <w:tcW w:w="6434" w:type="dxa"/>
            <w:noWrap/>
            <w:hideMark/>
          </w:tcPr>
          <w:p w14:paraId="751F55BB"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Cingulate_Ant_L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Cingulate_Ant_R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Cingulate_Mid_R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Cingulate_Post_R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Precuneus_R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Thalamus_R</w:t>
            </w:r>
            <w:proofErr w:type="spellEnd"/>
          </w:p>
        </w:tc>
      </w:tr>
      <w:tr w:rsidR="004B6442" w:rsidRPr="006C7A4B" w14:paraId="463F657D" w14:textId="77777777" w:rsidTr="00AC2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34BEF0D"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Expectation</w:t>
            </w:r>
          </w:p>
        </w:tc>
        <w:tc>
          <w:tcPr>
            <w:tcW w:w="992" w:type="dxa"/>
            <w:noWrap/>
            <w:hideMark/>
          </w:tcPr>
          <w:p w14:paraId="631E73BA"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sc36</w:t>
            </w:r>
          </w:p>
        </w:tc>
        <w:tc>
          <w:tcPr>
            <w:tcW w:w="1560" w:type="dxa"/>
            <w:noWrap/>
            <w:hideMark/>
          </w:tcPr>
          <w:p w14:paraId="224A94A4"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ss11</w:t>
            </w:r>
          </w:p>
        </w:tc>
        <w:tc>
          <w:tcPr>
            <w:tcW w:w="625" w:type="dxa"/>
            <w:noWrap/>
            <w:hideMark/>
          </w:tcPr>
          <w:p w14:paraId="22352AE7"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416</w:t>
            </w:r>
          </w:p>
        </w:tc>
        <w:tc>
          <w:tcPr>
            <w:tcW w:w="706" w:type="dxa"/>
            <w:noWrap/>
            <w:hideMark/>
          </w:tcPr>
          <w:p w14:paraId="6CBB92C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478</w:t>
            </w:r>
          </w:p>
        </w:tc>
        <w:tc>
          <w:tcPr>
            <w:tcW w:w="806" w:type="dxa"/>
            <w:noWrap/>
            <w:hideMark/>
          </w:tcPr>
          <w:p w14:paraId="72FB5C6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0.001</w:t>
            </w:r>
          </w:p>
        </w:tc>
        <w:tc>
          <w:tcPr>
            <w:tcW w:w="1170" w:type="dxa"/>
            <w:noWrap/>
            <w:hideMark/>
          </w:tcPr>
          <w:p w14:paraId="30148933"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910</w:t>
            </w:r>
          </w:p>
        </w:tc>
        <w:tc>
          <w:tcPr>
            <w:tcW w:w="573" w:type="dxa"/>
            <w:noWrap/>
            <w:hideMark/>
          </w:tcPr>
          <w:p w14:paraId="1EE042C5"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36</w:t>
            </w:r>
          </w:p>
        </w:tc>
        <w:tc>
          <w:tcPr>
            <w:tcW w:w="673" w:type="dxa"/>
            <w:noWrap/>
            <w:hideMark/>
          </w:tcPr>
          <w:p w14:paraId="1C6E3FDB"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-28</w:t>
            </w:r>
          </w:p>
        </w:tc>
        <w:tc>
          <w:tcPr>
            <w:tcW w:w="573" w:type="dxa"/>
            <w:noWrap/>
            <w:hideMark/>
          </w:tcPr>
          <w:p w14:paraId="4C94888E" w14:textId="77777777" w:rsidR="004B6442" w:rsidRPr="006C7A4B" w:rsidRDefault="004B6442" w:rsidP="00AC23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434" w:type="dxa"/>
            <w:noWrap/>
            <w:hideMark/>
          </w:tcPr>
          <w:p w14:paraId="79477AD0" w14:textId="77777777" w:rsidR="004B6442" w:rsidRPr="006C7A4B" w:rsidRDefault="004B6442" w:rsidP="00AC23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Postcentral_L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Parietal_Inf_L</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Angular_L</w:t>
            </w:r>
            <w:proofErr w:type="spellEnd"/>
          </w:p>
        </w:tc>
      </w:tr>
      <w:tr w:rsidR="004B6442" w:rsidRPr="006C7A4B" w14:paraId="1A27C674" w14:textId="77777777" w:rsidTr="00AC23E4">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92543DB" w14:textId="77777777" w:rsidR="004B6442" w:rsidRPr="006C7A4B" w:rsidRDefault="004B6442" w:rsidP="00AC23E4">
            <w:pPr>
              <w:rPr>
                <w:rFonts w:ascii="Calibri" w:eastAsia="Times New Roman" w:hAnsi="Calibri" w:cs="Calibri"/>
                <w:color w:val="000000"/>
                <w:sz w:val="18"/>
                <w:szCs w:val="18"/>
              </w:rPr>
            </w:pPr>
            <w:r w:rsidRPr="006C7A4B">
              <w:rPr>
                <w:rFonts w:ascii="Calibri" w:eastAsia="Times New Roman" w:hAnsi="Calibri" w:cs="Calibri"/>
                <w:color w:val="000000"/>
                <w:sz w:val="18"/>
                <w:szCs w:val="18"/>
              </w:rPr>
              <w:t>Expectation</w:t>
            </w:r>
          </w:p>
        </w:tc>
        <w:tc>
          <w:tcPr>
            <w:tcW w:w="992" w:type="dxa"/>
            <w:noWrap/>
            <w:hideMark/>
          </w:tcPr>
          <w:p w14:paraId="75A8DB0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sc37</w:t>
            </w:r>
          </w:p>
        </w:tc>
        <w:tc>
          <w:tcPr>
            <w:tcW w:w="1560" w:type="dxa"/>
            <w:noWrap/>
            <w:hideMark/>
          </w:tcPr>
          <w:p w14:paraId="69E8B89F"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ss11</w:t>
            </w:r>
          </w:p>
        </w:tc>
        <w:tc>
          <w:tcPr>
            <w:tcW w:w="625" w:type="dxa"/>
            <w:noWrap/>
            <w:hideMark/>
          </w:tcPr>
          <w:p w14:paraId="1FFF9470"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416</w:t>
            </w:r>
          </w:p>
        </w:tc>
        <w:tc>
          <w:tcPr>
            <w:tcW w:w="706" w:type="dxa"/>
            <w:noWrap/>
            <w:hideMark/>
          </w:tcPr>
          <w:p w14:paraId="2AEE5D03"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478</w:t>
            </w:r>
          </w:p>
        </w:tc>
        <w:tc>
          <w:tcPr>
            <w:tcW w:w="806" w:type="dxa"/>
            <w:noWrap/>
            <w:hideMark/>
          </w:tcPr>
          <w:p w14:paraId="15730B24" w14:textId="646E34A7" w:rsidR="004B6442" w:rsidRPr="006C7A4B" w:rsidRDefault="00E850B8"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&lt;0.001</w:t>
            </w:r>
          </w:p>
        </w:tc>
        <w:tc>
          <w:tcPr>
            <w:tcW w:w="1170" w:type="dxa"/>
            <w:noWrap/>
            <w:hideMark/>
          </w:tcPr>
          <w:p w14:paraId="797F2FC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1172</w:t>
            </w:r>
          </w:p>
        </w:tc>
        <w:tc>
          <w:tcPr>
            <w:tcW w:w="573" w:type="dxa"/>
            <w:noWrap/>
            <w:hideMark/>
          </w:tcPr>
          <w:p w14:paraId="1F57EA7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-34</w:t>
            </w:r>
          </w:p>
        </w:tc>
        <w:tc>
          <w:tcPr>
            <w:tcW w:w="673" w:type="dxa"/>
            <w:noWrap/>
            <w:hideMark/>
          </w:tcPr>
          <w:p w14:paraId="0ACB7C21"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-30</w:t>
            </w:r>
          </w:p>
        </w:tc>
        <w:tc>
          <w:tcPr>
            <w:tcW w:w="573" w:type="dxa"/>
            <w:noWrap/>
            <w:hideMark/>
          </w:tcPr>
          <w:p w14:paraId="3B65B2BD" w14:textId="77777777" w:rsidR="004B6442" w:rsidRPr="006C7A4B" w:rsidRDefault="004B6442" w:rsidP="00AC23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C7A4B">
              <w:rPr>
                <w:rFonts w:ascii="Calibri" w:eastAsia="Times New Roman" w:hAnsi="Calibri" w:cs="Calibri"/>
                <w:color w:val="000000"/>
                <w:sz w:val="18"/>
                <w:szCs w:val="18"/>
              </w:rPr>
              <w:t>38</w:t>
            </w:r>
          </w:p>
        </w:tc>
        <w:tc>
          <w:tcPr>
            <w:tcW w:w="6434" w:type="dxa"/>
            <w:noWrap/>
            <w:hideMark/>
          </w:tcPr>
          <w:p w14:paraId="4786D1B4" w14:textId="77777777" w:rsidR="004B6442" w:rsidRPr="006C7A4B" w:rsidRDefault="004B6442" w:rsidP="00AC23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r w:rsidRPr="006C7A4B">
              <w:rPr>
                <w:rFonts w:ascii="Calibri" w:eastAsia="Times New Roman" w:hAnsi="Calibri" w:cs="Calibri"/>
                <w:color w:val="000000"/>
                <w:sz w:val="18"/>
                <w:szCs w:val="18"/>
              </w:rPr>
              <w:t>Postcentral_R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Parietal_Sup_R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Parietal_Inf_R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SupraMarginal_R</w:t>
            </w:r>
            <w:proofErr w:type="spellEnd"/>
            <w:r w:rsidRPr="006C7A4B">
              <w:rPr>
                <w:rFonts w:ascii="Calibri" w:eastAsia="Times New Roman" w:hAnsi="Calibri" w:cs="Calibri"/>
                <w:color w:val="000000"/>
                <w:sz w:val="18"/>
                <w:szCs w:val="18"/>
              </w:rPr>
              <w:t xml:space="preserve">, </w:t>
            </w:r>
            <w:proofErr w:type="spellStart"/>
            <w:r w:rsidRPr="006C7A4B">
              <w:rPr>
                <w:rFonts w:ascii="Calibri" w:eastAsia="Times New Roman" w:hAnsi="Calibri" w:cs="Calibri"/>
                <w:color w:val="000000"/>
                <w:sz w:val="18"/>
                <w:szCs w:val="18"/>
              </w:rPr>
              <w:t>Angular_R</w:t>
            </w:r>
            <w:proofErr w:type="spellEnd"/>
          </w:p>
        </w:tc>
      </w:tr>
    </w:tbl>
    <w:p w14:paraId="02F4FE60" w14:textId="77777777" w:rsidR="004B6442" w:rsidRDefault="004B6442" w:rsidP="004B6442"/>
    <w:p w14:paraId="07525D9C" w14:textId="42ECF2D0" w:rsidR="000C2F31" w:rsidRDefault="000C2F31">
      <w:pPr>
        <w:rPr>
          <w:rFonts w:asciiTheme="majorHAnsi" w:eastAsiaTheme="majorEastAsia" w:hAnsiTheme="majorHAnsi" w:cstheme="majorBidi"/>
          <w:b/>
          <w:bCs/>
          <w:caps/>
          <w:color w:val="002060"/>
          <w:spacing w:val="4"/>
          <w:sz w:val="28"/>
          <w:szCs w:val="28"/>
        </w:rPr>
      </w:pPr>
      <w:r>
        <w:br w:type="page"/>
      </w:r>
    </w:p>
    <w:p w14:paraId="00CE7557" w14:textId="77777777" w:rsidR="000C2F31" w:rsidRDefault="000C2F31" w:rsidP="005B5DFF">
      <w:pPr>
        <w:pStyle w:val="Heading1"/>
        <w:spacing w:line="240" w:lineRule="auto"/>
        <w:sectPr w:rsidR="000C2F31" w:rsidSect="000C2F31">
          <w:pgSz w:w="16838" w:h="11906" w:orient="landscape"/>
          <w:pgMar w:top="1440" w:right="1440" w:bottom="1440" w:left="1440" w:header="709" w:footer="709" w:gutter="0"/>
          <w:cols w:space="708"/>
          <w:docGrid w:linePitch="360"/>
        </w:sectPr>
      </w:pPr>
    </w:p>
    <w:p w14:paraId="244468F0" w14:textId="26C57962" w:rsidR="00C1323A" w:rsidRDefault="00C1323A" w:rsidP="005B5DFF">
      <w:pPr>
        <w:pStyle w:val="Heading1"/>
        <w:spacing w:line="240" w:lineRule="auto"/>
      </w:pPr>
      <w:r>
        <w:t xml:space="preserve">References </w:t>
      </w:r>
    </w:p>
    <w:p w14:paraId="6F7A8B3D" w14:textId="342A03DF" w:rsidR="005A756E" w:rsidRDefault="005A756E" w:rsidP="005B5DFF">
      <w:pPr>
        <w:spacing w:line="240" w:lineRule="auto"/>
      </w:pPr>
    </w:p>
    <w:p w14:paraId="13224B3C" w14:textId="540DFBED" w:rsidR="006F1990" w:rsidRPr="006F1990" w:rsidRDefault="00830BE6" w:rsidP="006F1990">
      <w:pPr>
        <w:widowControl w:val="0"/>
        <w:autoSpaceDE w:val="0"/>
        <w:autoSpaceDN w:val="0"/>
        <w:adjustRightInd w:val="0"/>
        <w:spacing w:before="120" w:after="280" w:line="240" w:lineRule="auto"/>
        <w:ind w:left="480" w:hanging="480"/>
        <w:rPr>
          <w:rFonts w:ascii="Calibri" w:hAnsi="Calibri" w:cs="Calibri"/>
          <w:noProof/>
          <w:sz w:val="24"/>
          <w:szCs w:val="24"/>
        </w:rPr>
      </w:pPr>
      <w:r>
        <w:fldChar w:fldCharType="begin" w:fldLock="1"/>
      </w:r>
      <w:r>
        <w:instrText xml:space="preserve">ADDIN Mendeley Bibliography CSL_BIBLIOGRAPHY </w:instrText>
      </w:r>
      <w:r>
        <w:fldChar w:fldCharType="separate"/>
      </w:r>
      <w:r w:rsidR="006F1990" w:rsidRPr="006F1990">
        <w:rPr>
          <w:rFonts w:ascii="Calibri" w:hAnsi="Calibri" w:cs="Calibri"/>
          <w:noProof/>
          <w:sz w:val="24"/>
          <w:szCs w:val="24"/>
        </w:rPr>
        <w:t>Almarzouki, A.F., Brown, C.A., Brown, R.J., Leung, M.H.K., Jones, A.K.P., 2017. Negative expectations interfere with the analgesic effect of safety cues on pain perception by priming the cortical representation of pain in the midcingulate cortex. PLoS One 12. https://doi.org/10.1371/journal.pone.0180006</w:t>
      </w:r>
    </w:p>
    <w:p w14:paraId="25ACFFEF"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Arnow, B.A., Blasey, C.M., Constantino, M.J., Robinson, R., Hunkeler, E., Lee, J., Fireman, B., Khaylis, A., Feiner, L., Hayward, C., 2011. Catastrophizing, depression and pain-related disability. Gen. Hosp. Psychiatry 33, 150–156. https://doi.org/10.1016/j.genhosppsych.2010.12.008</w:t>
      </w:r>
    </w:p>
    <w:p w14:paraId="78E34412"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Bell, A.J., Sejnowski, T.J., 1995. An information-maximization approach to blind separation and blind deconvolution. Neural Comput. 7, 1129–59.</w:t>
      </w:r>
    </w:p>
    <w:p w14:paraId="41B754FC"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Brodersen, K.H., Wiech, K., Lomakina, E.I., Lin, C. shu, Buhmann, J.M., Bingel, U., Ploner, M., Stephan, K.E., Tracey, I., 2012. Decoding the perception of pain from fMRI using multivariate pattern analysis. Neuroimage 63, 1162–1170. https://doi.org/10.1016/j.neuroimage.2012.08.035</w:t>
      </w:r>
    </w:p>
    <w:p w14:paraId="3144177F"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Brown, C.A., El-Deredy, W., Jones, A.K., 2014. When the brain expects pain : common neural responses to pain anticipation are related to clinical pain and distress in fibromyalgia and osteoarthritis. Eur. J. Neurosci. 39, 663–672. https://doi.org/10.1111/ejn.12420</w:t>
      </w:r>
    </w:p>
    <w:p w14:paraId="1C4635B6"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Brown, C.A., Jones, A.K.P., 2013. Psychobiological correlates of improved mental health in patients with musculoskeletal pain after a mindfulness-based pain management program. Clin. J. Pain 29, 233–244.</w:t>
      </w:r>
    </w:p>
    <w:p w14:paraId="4C87410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Brown, C.A., Seymour, B., Boyle, Y., El-Deredy, W., Jones, A.K.P., 2008a. Modulation of pain perception by expectation and uncertainty: behavioral characteristics and anticipatory neural correlates. Pain 135, 240–250. https://doi.org/10.1016/j.pain.2007.05.022</w:t>
      </w:r>
    </w:p>
    <w:p w14:paraId="7BD6DFC4"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Brown, C.A., Seymour, B., El-Deredy, W., Jones, A.K.P., 2008b. Confidence in beliefs about pain predicts expectancy effects on pain perception and anticipatory processing in right anterior insula. Pain 139, 324–332. https://doi.org/10.1016/j.pain.2008.04.028</w:t>
      </w:r>
    </w:p>
    <w:p w14:paraId="7D5358D0"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Corbetta, M., Kincade, J.M., Shulman, G.L., 2002. Neural systems for visual orienting and their relationships to spatial working memory. J. Cogn. Neurosci. 14, 508–23. https://doi.org/10.1162/089892902317362029</w:t>
      </w:r>
    </w:p>
    <w:p w14:paraId="01831216"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Corbetta, M., Patel, G., Shulman, G.L., 2008. The reorienting system of the human brain: from environment to theory of mind. Neuron 58, 306–24. https://doi.org/10.1016/j.neuron.2008.04.017</w:t>
      </w:r>
    </w:p>
    <w:p w14:paraId="1C59867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Croft, P., Blyth, F., van der Windt, D., 2010. The global occurence of chronic pain: an introduction, in: Croft, P., Blyth, F., van der Windt, D. (Eds.), Chronic Pain Epidemiology: From Aetiology to Public Health. Oxford University Press, pp. 9–18. https://doi.org/10.1093/acprof:oso/9780199235766.001.0001</w:t>
      </w:r>
    </w:p>
    <w:p w14:paraId="31889771"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Delorme, A., Makeig, S., 2004. EEGLAB: an open source toolbox for analysis of single-trial EEG dynamics including independent component analysis. J. Neurosci. Methods 134, 9–21.</w:t>
      </w:r>
    </w:p>
    <w:p w14:paraId="602693F7"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Downar, J., Mikulis, D.J., Davis, K.D., 2003. Neural correlates of the prolonged salience of painful stimulation. Neuroimage 20, 1540–51.</w:t>
      </w:r>
    </w:p>
    <w:p w14:paraId="43075EFB"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Edwards, R.R., Calahan, C., Mensing, G., Smith, M., Haythornthwaite, J.A., 2011. Pain, catastrophizing, and depression in the rheumatic diseases. Nat. Rev. Rheumatol. 7, 216–224.</w:t>
      </w:r>
    </w:p>
    <w:p w14:paraId="0CD3A917"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Etzel, J.A., Zacks, J.M., Braver, T.S., 2013. Searchlight analysis: Promise, pitfalls, and potential. Neuroimage. https://doi.org/10.1016/j.neuroimage.2013.03.041</w:t>
      </w:r>
    </w:p>
    <w:p w14:paraId="2F0A8C08"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Friston, K., Harrison, L., Daunizeau, J., Kiebel, S., Phillips, C., Trujillo-Barreto, N., Henson, R., Flandin, G., Mattout, J., 2008. Multiple sparse priors for the M/EEG inverse problem. Neuroimage 39, 1104–1120.</w:t>
      </w:r>
    </w:p>
    <w:p w14:paraId="42AADCFB"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Gilron, R., Rosenblatt, J., Koyejo, O., Poldrack, R.A., Mukamel, R., 2017. What’s in a pattern? Examining the type of signal multivariate analysis uncovers at the group level. Neuroimage 146, 113–120. https://doi.org/10.1016/j.neuroimage.2016.11.019</w:t>
      </w:r>
    </w:p>
    <w:p w14:paraId="2FEC6D5D"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Gracely, R.H., Geisser, M.E., Giesecke, T., Grant, M.A., Petzke, F., Williams, D.A., Clauw, D.J., 2004. Pain catastrophizing and neural responses to pain among persons with fibromyalgia. Brain 127, 835–843.</w:t>
      </w:r>
    </w:p>
    <w:p w14:paraId="1C2C5D02"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Haufe, S., Meinecke, F., Görgen, K., Dähne, S., Haynes, J.D., Blankertz, B., Bießmann, F., 2014. On the interpretation of weight vectors of linear models in multivariate neuroimaging. Neuroimage 87, 96–110. https://doi.org/10.1016/j.neuroimage.2013.10.067</w:t>
      </w:r>
    </w:p>
    <w:p w14:paraId="6CF8CF7E"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Jimura, K., Poldrack, R.A., 2012. Analyses of regional-average activation and multivoxel pattern information tell complementary stories. Neuropsychologia 50, 544–552. https://doi.org/10.1016/j.neuropsychologia.2011.11.007</w:t>
      </w:r>
    </w:p>
    <w:p w14:paraId="203D16B4"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Jones, A.K.P., Brown, C.A., 2017. Predictive mechanisms linking brain opioids to chronic pain vulnerability and resilience. Br. J. Pharmacol. https://doi.org/10.1111/bph.13840</w:t>
      </w:r>
    </w:p>
    <w:p w14:paraId="629CA9AA"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Kampa, K., Mehta, S., Chou, C.A., Chaovalitwongse, W.A., Grabowski, T.J., 2014. Sparse optimization in feature selection: Application in neuroimaging. J. Glob. Optim. 59, 439–457. https://doi.org/10.1007/s10898-013-0134-2</w:t>
      </w:r>
    </w:p>
    <w:p w14:paraId="2F25DA64"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King, J.R., Dehaene, S., 2014. Characterizing the dynamics of mental representations: The temporal generalization method. Trends Cogn. Sci. https://doi.org/10.1016/j.tics.2014.01.002</w:t>
      </w:r>
    </w:p>
    <w:p w14:paraId="5A37FCED"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Kriegeskorte, N., 2008. Representational similarity analysis – connecting the branches of systems neuroscience. Front. Syst. Neurosci. https://doi.org/10.3389/neuro.06.004.2008</w:t>
      </w:r>
    </w:p>
    <w:p w14:paraId="30EEFEB1"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Kroenke, K., Spitzer, R.L., Williams, J.B.W., 2002. The PHQ-15: validity of a new measure for evaluating the severity of somatic symptoms. Psychosom. Med. 64, 258–66.</w:t>
      </w:r>
    </w:p>
    <w:p w14:paraId="5BADAA0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Lamé, I.E., Peters, M.L., Kessels, A.G., Van Kleef, M., Patijn, J., 2008. Test—retest stability of the Pain Catastrophizing Scale and the Tampa Scale for Kinesiophobia in Chronic Pain over a Longer Period of Time. J. Health Psychol. 13, 820–826. https://doi.org/10.1177/1359105308093866</w:t>
      </w:r>
    </w:p>
    <w:p w14:paraId="3060FE07"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Lee, M.C., Mouraux, A., Iannetti, G.D., 2009. Characterizing the cortical activity through which pain emerges from nociception. J. Neurosci. 29, 7909–16. https://doi.org/10.1523/JNEUROSCI.0014-09.2009</w:t>
      </w:r>
    </w:p>
    <w:p w14:paraId="13FE1575"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Litvak, V., Friston, K., 2008. Electromagnetic source reconstruction for group studies. Neuroimage 42, 1490–1498.</w:t>
      </w:r>
    </w:p>
    <w:p w14:paraId="1589E4DA"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Litvak, V., Mattout, J., Kiebel, S., Phillips, C., Henson, R., Kilner, J., Barnes, G., Oostenveld, R., Daunizeau, J., Flandin, G., Penny, W., Friston, K., 2011. EEG and MEG data analysis in SPM8. Comput. Intell. Neurosci. 2011, 852961. https://doi.org/10.1155/2011/852961</w:t>
      </w:r>
    </w:p>
    <w:p w14:paraId="661D2D46"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Loggia, M.L., Berna, C., Kim, J., Cahalan, C.M., Martel, M.-O., Gollub, R.L., Wasan, A.D., Napadow, V., Edwards, R.R., 2015. The Lateral Prefrontal Cortex Mediates the Hyperalgesic Effects of Negative Cognitions in Chronic Pain Patients. J. Pain 16, 692–9. https://doi.org/10.1016/j.jpain.2015.04.003</w:t>
      </w:r>
    </w:p>
    <w:p w14:paraId="085ECB7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Lorenz, J., Minoshima, S., Casey, K.L., 2003. Keeping pain out of mind: the role of the dorsolateral prefrontal cortex in pain modulation. Brain 126, 1079–1091.</w:t>
      </w:r>
    </w:p>
    <w:p w14:paraId="37B089CB"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Luck, S.J., 2005. Ten Simple Rules for Designing ERP Experiments. Event-related potentials A methods Handb. 408. https://doi.org/10.1371/journal.pcbi.0020012</w:t>
      </w:r>
    </w:p>
    <w:p w14:paraId="0AA30A5D"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Meyer, R.A., Walker, R.E., Mountcastle Jr., V.B., 1976. A laser stimulator for the study of cutaneous thermal and pain sensations. IEEE Trans.Biomed.Eng 23, 54–60.</w:t>
      </w:r>
    </w:p>
    <w:p w14:paraId="2BD14E8E"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Neblett, R., 2017. Pain catastrophizing: An historical perspective. J. Appl. Biobehav. Res. 22, e12086. https://doi.org/10.1111/jabr.12086</w:t>
      </w:r>
    </w:p>
    <w:p w14:paraId="17BF5CFA"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Ottaviani, C., Thayer, J.F., Verkuil, B., Lonigro, A., Medea, B., Couyoumdjian, A., Brosschot, J.F., 2016. Physiological concomitants of perseverative cognition: A systematic review and meta-analysis. Psychol. Bull. 142, 231–259. https://doi.org/10.1037/bul0000036</w:t>
      </w:r>
    </w:p>
    <w:p w14:paraId="235EAFEC"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Polich, J., 2009. Updating P300: An Integrative Theory of P3a and P3b. Clin. Neurophysiol. 118, 2128–2148.</w:t>
      </w:r>
    </w:p>
    <w:p w14:paraId="028FC70E"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Rasmussen, C.E., Williams, C.K.I., 2004. Gaussian processes for machine learning., International journal of neural systems. https://doi.org/10.1142/S0129065704001899</w:t>
      </w:r>
    </w:p>
    <w:p w14:paraId="60D42127"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Ridderinkhof, K.R., van den Wildenberg, W.P., Segalowitz, S.J., Carter, C.S., 2004. Neurocognitive mechanisms of cognitive control: the role of prefrontal cortex in action selection, response inhibition, performance monitoring, and reward-based learning. Brain Cogn 56, 129–140.</w:t>
      </w:r>
    </w:p>
    <w:p w14:paraId="4508B06F"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Roelofs, J., Peters, M.L., Deutz, J., Spijker, C., Vlaeyen, J.W.S., 2005. The Fear of Pain Questionnaire (FPQ): Further psychometric examination in a non-clinical sample. Pain 116, 339–346. https://doi.org/10.1016/j.pain.2005.05.003</w:t>
      </w:r>
    </w:p>
    <w:p w14:paraId="796565F1"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Schrouff, J., Cremers, J., Garraux, G., Baldassarre, L., Mourao-Miranda, J., Phillips, C., 2013a. Localizing and comparing weight maps generated from linear kernel machine learning models, in: Proceedings - 2013 3rd International Workshop on Pattern Recognition in Neuroimaging, PRNI 2013. pp. 124–127. https://doi.org/10.1109/PRNI.2013.40</w:t>
      </w:r>
    </w:p>
    <w:p w14:paraId="4204C3AA"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Schrouff, J., Monteiro, J.M., Portugal, L., Rosa, M.J., Phillips, C., Mourão-Miranda, J., 2018. Embedding Anatomical or Functional Knowledge in Whole-Brain Multiple Kernel Learning Models. Neuroinformatics 1–27. https://doi.org/10.1007/s12021-017-9347-8</w:t>
      </w:r>
    </w:p>
    <w:p w14:paraId="4BD32700"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Schrouff, J., Rosa, M.J., Rondina, J.M., Marquand, A.F., Chu, C., Ashburner, J., Phillips, C., Richiardi, J., Mourão-Miranda, J., 2013b. PRoNTo: Pattern recognition for neuroimaging toolbox. Neuroinformatics 11, 319–337. https://doi.org/10.1007/s12021-013-9178-1</w:t>
      </w:r>
    </w:p>
    <w:p w14:paraId="7E8C0775"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Seminowicz, D.A., Davis, K.D., 2006. Cortical responses to pain in healthy individuals depends on pain catastrophizing. Pain 120, 297–306.</w:t>
      </w:r>
    </w:p>
    <w:p w14:paraId="5D071940"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Seymour, B., Doherty, J.P.O., Dayan, P., Koltzenburg, M., Jones, A.K., Dolan, R.J., Friston, K.J., Frackowiak, R.S., O’Doherty, J.P., 2004. Temporal difference models describe higher-order learning in humans. Nature 429, 664–667. https://doi.org/10.1038/nature02636.1.</w:t>
      </w:r>
    </w:p>
    <w:p w14:paraId="74608EED"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Singh, I., Rose, N., 2009. Biomarkers in psychiatry. Nature. https://doi.org/10.1038/460202a</w:t>
      </w:r>
    </w:p>
    <w:p w14:paraId="375822C5"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Spielberger, C.D., Gorsuch, R.L., Lushene, R.E., 2010. State-Trait Anxiety Inventory (STAI) [WWW Document]. Man. State-Trait Anxiety Invent. https://doi.org/10.1007/978-0-387-78665-0_6709</w:t>
      </w:r>
    </w:p>
    <w:p w14:paraId="4B3A9F08"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Spitzer, R.L., Williams, J.B.W., Kroenke, K., 2001. Patient Health Questionnaire (PHQ-9). J. Gen. Intern. Med. 16, 606–613. https://doi.org/10.1037/t06165-000</w:t>
      </w:r>
    </w:p>
    <w:p w14:paraId="22F3C9FA"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Sullivan, M.J., Rodgers, W.M., Kirsch, I., 2001. Catastrophizing, depression and expectancies for pain and emotional distress. Pain 91, 147–154.</w:t>
      </w:r>
    </w:p>
    <w:p w14:paraId="7D984E03"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Sullivan, M.J.L., Bishop, S.R., Pivik, J., 1995. The Pain Catastrophizing Scale: Development and Validation. Psychol. Assess. 7, 524–532.</w:t>
      </w:r>
    </w:p>
    <w:p w14:paraId="56F5D342"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Taylor, J.A., Matthews, N., Michie, P.T., Rosa, M.J., Garrido, M.I., 2017. Auditory prediction errors as individual biomarkers of schizophrenia. NeuroImage Clin. 15, 264–273. https://doi.org/10.1016/j.nicl.2017.04.027</w:t>
      </w:r>
    </w:p>
    <w:p w14:paraId="2FB662B8"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Trick, L., Watkins, E., Windeatt, S., Dickens, C., 2016. The association of perseverative negative thinking with depression, anxiety and emotional distress in people with long term conditions: A systematic review. J. Psychosom. Res. 91, 89–101. https://doi.org/10.1016/j.jpsychores.2016.11.004</w:t>
      </w:r>
    </w:p>
    <w:p w14:paraId="02F5FB3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van Aken, M., Oosterman, J., van Rijn, T., Ferdek, M., Ruigt, G., Kozicz, T., Braat, D., Peeters, A., Nap, A., 2018. Hair cortisol and the relationship with chronic pain and quality of life in endometriosis patients. Psychoneuroendocrinology 89, 216–222. https://doi.org/10.1016/J.PSYNEUEN.2018.01.001</w:t>
      </w:r>
    </w:p>
    <w:p w14:paraId="31B36D0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Vase, L., Egsgaard, L.L., Nikolajsen, L., Svensson, P., Jensen, T.S., Arendt-Nielsen, L., 2012. Pain catastrophizing and cortical responses in amputees with varying levels of phantom limb pain: A high-density EEG brain-mapping study. Exp. Brain Res. 218, 407–417. https://doi.org/10.1007/s00221-012-3027-6</w:t>
      </w:r>
    </w:p>
    <w:p w14:paraId="4B6AB602"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Wager, T.D., Atlas, L.Y., Lindquist, M.A., Roy, M., Woo, C.-W., Kross, E., 2013. An fMRI-Based Neurologic Signature of Physical Pain. N. Engl. J. Med. 368, 1388–1397. https://doi.org/10.1056/NEJMoa1204471</w:t>
      </w:r>
    </w:p>
    <w:p w14:paraId="57D53CFF"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Wardle, S.G., Kriegeskorte, N., Grootswagers, T., Khaligh-Razavi, S.M., Carlson, T.A., 2016. Perceptual similarity of visual patterns predicts dynamic neural activation patterns measured with MEG. Neuroimage 132, 59–70. https://doi.org/10.1016/j.neuroimage.2016.02.019</w:t>
      </w:r>
    </w:p>
    <w:p w14:paraId="2A91ED69"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Westfall, J., Yarkoni, T., 2016. Statistically Controlling for Confounding Constructs Is Harder than You Think. PLoS One 11, e0152719. https://doi.org/10.1371/journal.pone.0152719</w:t>
      </w:r>
    </w:p>
    <w:p w14:paraId="3B4DA8C4"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szCs w:val="24"/>
        </w:rPr>
      </w:pPr>
      <w:r w:rsidRPr="006F1990">
        <w:rPr>
          <w:rFonts w:ascii="Calibri" w:hAnsi="Calibri" w:cs="Calibri"/>
          <w:noProof/>
          <w:sz w:val="24"/>
          <w:szCs w:val="24"/>
        </w:rPr>
        <w:t>Wiech, K., Lin, C., Brodersen, K.H., Bingel, U., Ploner, M., Tracey, I., 2010. Anterior insula integrates information about salience into perceptual decisions about pain. J. Neurosci. 30, 16324–31. https://doi.org/10.1523/JNEUROSCI.2087-10.2010</w:t>
      </w:r>
    </w:p>
    <w:p w14:paraId="2D5035F4" w14:textId="77777777" w:rsidR="006F1990" w:rsidRPr="006F1990" w:rsidRDefault="006F1990" w:rsidP="006F1990">
      <w:pPr>
        <w:widowControl w:val="0"/>
        <w:autoSpaceDE w:val="0"/>
        <w:autoSpaceDN w:val="0"/>
        <w:adjustRightInd w:val="0"/>
        <w:spacing w:before="120" w:after="280" w:line="240" w:lineRule="auto"/>
        <w:ind w:left="480" w:hanging="480"/>
        <w:rPr>
          <w:rFonts w:ascii="Calibri" w:hAnsi="Calibri" w:cs="Calibri"/>
          <w:noProof/>
          <w:sz w:val="24"/>
        </w:rPr>
      </w:pPr>
      <w:r w:rsidRPr="006F1990">
        <w:rPr>
          <w:rFonts w:ascii="Calibri" w:hAnsi="Calibri" w:cs="Calibri"/>
          <w:noProof/>
          <w:sz w:val="24"/>
          <w:szCs w:val="24"/>
        </w:rPr>
        <w:t>Woo, C.-W., Wager, T.D., 2015. Neuroimaging-based biomarker discovery and validation. Pain 156, 1379–81. https://doi.org/10.1097/j.pain.0000000000000223</w:t>
      </w:r>
    </w:p>
    <w:p w14:paraId="4AE34812" w14:textId="111B5F4A" w:rsidR="00830BE6" w:rsidRDefault="00830BE6" w:rsidP="005B5DFF">
      <w:pPr>
        <w:spacing w:line="240" w:lineRule="auto"/>
      </w:pPr>
      <w:r>
        <w:fldChar w:fldCharType="end"/>
      </w:r>
    </w:p>
    <w:sectPr w:rsidR="00830BE6" w:rsidSect="000C2F31">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12820B" w16cid:durableId="1E1B30F8"/>
  <w16cid:commentId w16cid:paraId="1C0CA5E1" w16cid:durableId="1E195E03"/>
  <w16cid:commentId w16cid:paraId="76E56441" w16cid:durableId="1E1A94ED"/>
  <w16cid:commentId w16cid:paraId="780490C9" w16cid:durableId="1E1A94A4"/>
  <w16cid:commentId w16cid:paraId="5925D4E7" w16cid:durableId="1E19D080"/>
  <w16cid:commentId w16cid:paraId="1A031843" w16cid:durableId="1E195FEA"/>
  <w16cid:commentId w16cid:paraId="694BD7D3" w16cid:durableId="1E196113"/>
  <w16cid:commentId w16cid:paraId="20961976" w16cid:durableId="1E19D673"/>
  <w16cid:commentId w16cid:paraId="10F347A5" w16cid:durableId="1E1A9697"/>
  <w16cid:commentId w16cid:paraId="534957B3" w16cid:durableId="1E19D822"/>
  <w16cid:commentId w16cid:paraId="1AA6E7F6" w16cid:durableId="1E1A99DD"/>
  <w16cid:commentId w16cid:paraId="74044CDD" w16cid:durableId="1E1A96BA"/>
  <w16cid:commentId w16cid:paraId="6D5FE08A" w16cid:durableId="1E19D992"/>
  <w16cid:commentId w16cid:paraId="340D8CA4" w16cid:durableId="1E19DAAE"/>
  <w16cid:commentId w16cid:paraId="319F76D7" w16cid:durableId="1E19D8D5"/>
  <w16cid:commentId w16cid:paraId="5DB958FC" w16cid:durableId="1E196680"/>
  <w16cid:commentId w16cid:paraId="2ED21C54" w16cid:durableId="1E195B65"/>
  <w16cid:commentId w16cid:paraId="1F8CB003" w16cid:durableId="1E19DB5E"/>
  <w16cid:commentId w16cid:paraId="57818110" w16cid:durableId="1E19676E"/>
  <w16cid:commentId w16cid:paraId="0751D7FB" w16cid:durableId="1E1A9E45"/>
  <w16cid:commentId w16cid:paraId="581944C2" w16cid:durableId="1E19DBB6"/>
  <w16cid:commentId w16cid:paraId="4A81044C" w16cid:durableId="1E1A9A64"/>
  <w16cid:commentId w16cid:paraId="3D4BCC08" w16cid:durableId="1E1A9C46"/>
  <w16cid:commentId w16cid:paraId="1D69ECF3" w16cid:durableId="1E1AA014"/>
  <w16cid:commentId w16cid:paraId="4799BB0F" w16cid:durableId="1E1A959A"/>
  <w16cid:commentId w16cid:paraId="260F0DD0" w16cid:durableId="1E195B66"/>
  <w16cid:commentId w16cid:paraId="62D27FF9" w16cid:durableId="1E1BF711"/>
  <w16cid:commentId w16cid:paraId="2E19CC25" w16cid:durableId="1E1AA067"/>
  <w16cid:commentId w16cid:paraId="46F58CEF" w16cid:durableId="1E195B67"/>
  <w16cid:commentId w16cid:paraId="707D762F" w16cid:durableId="1E1AA0F6"/>
  <w16cid:commentId w16cid:paraId="5CFB0FE2" w16cid:durableId="1E1AA15F"/>
  <w16cid:commentId w16cid:paraId="5F106678" w16cid:durableId="1E1AA1DA"/>
  <w16cid:commentId w16cid:paraId="30FC1283" w16cid:durableId="1E1AA2B4"/>
  <w16cid:commentId w16cid:paraId="7518501F" w16cid:durableId="1E1B2ABA"/>
  <w16cid:commentId w16cid:paraId="723666EB" w16cid:durableId="1E1B2A4C"/>
  <w16cid:commentId w16cid:paraId="4BDEA9BB" w16cid:durableId="1E1B2B3D"/>
  <w16cid:commentId w16cid:paraId="367E4565" w16cid:durableId="1E1B2C13"/>
  <w16cid:commentId w16cid:paraId="0B62C09A" w16cid:durableId="1E1B2C91"/>
  <w16cid:commentId w16cid:paraId="77923B1C" w16cid:durableId="1E1B2E2E"/>
  <w16cid:commentId w16cid:paraId="1EBF33F7" w16cid:durableId="1E1B3045"/>
  <w16cid:commentId w16cid:paraId="3898B230" w16cid:durableId="1E1B2FB2"/>
  <w16cid:commentId w16cid:paraId="0A5E09C4" w16cid:durableId="1E195B68"/>
  <w16cid:commentId w16cid:paraId="416FD01C" w16cid:durableId="1E195B69"/>
  <w16cid:commentId w16cid:paraId="6ABED714" w16cid:durableId="1E1B322A"/>
  <w16cid:commentId w16cid:paraId="40B37BF0" w16cid:durableId="1E1BF957"/>
  <w16cid:commentId w16cid:paraId="61CD6F25" w16cid:durableId="1E1BFA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0B21B" w14:textId="77777777" w:rsidR="004B5ECB" w:rsidRDefault="004B5ECB" w:rsidP="000B40D5">
      <w:pPr>
        <w:spacing w:after="0" w:line="240" w:lineRule="auto"/>
      </w:pPr>
      <w:r>
        <w:separator/>
      </w:r>
    </w:p>
  </w:endnote>
  <w:endnote w:type="continuationSeparator" w:id="0">
    <w:p w14:paraId="76106EF3" w14:textId="77777777" w:rsidR="004B5ECB" w:rsidRDefault="004B5ECB" w:rsidP="000B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527897"/>
      <w:docPartObj>
        <w:docPartGallery w:val="Page Numbers (Bottom of Page)"/>
        <w:docPartUnique/>
      </w:docPartObj>
    </w:sdtPr>
    <w:sdtEndPr>
      <w:rPr>
        <w:noProof/>
      </w:rPr>
    </w:sdtEndPr>
    <w:sdtContent>
      <w:p w14:paraId="15FA6421" w14:textId="15CFBBD3" w:rsidR="00BB657A" w:rsidRDefault="00BB657A">
        <w:pPr>
          <w:pStyle w:val="Footer"/>
          <w:jc w:val="right"/>
        </w:pPr>
        <w:r>
          <w:fldChar w:fldCharType="begin"/>
        </w:r>
        <w:r>
          <w:instrText xml:space="preserve"> PAGE   \* MERGEFORMAT </w:instrText>
        </w:r>
        <w:r>
          <w:fldChar w:fldCharType="separate"/>
        </w:r>
        <w:r w:rsidR="00AE51F2">
          <w:rPr>
            <w:noProof/>
          </w:rPr>
          <w:t>6</w:t>
        </w:r>
        <w:r>
          <w:rPr>
            <w:noProof/>
          </w:rPr>
          <w:fldChar w:fldCharType="end"/>
        </w:r>
      </w:p>
    </w:sdtContent>
  </w:sdt>
  <w:p w14:paraId="26B46EA2" w14:textId="77777777" w:rsidR="00BB657A" w:rsidRDefault="00BB65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6ED09" w14:textId="77777777" w:rsidR="004B5ECB" w:rsidRDefault="004B5ECB" w:rsidP="000B40D5">
      <w:pPr>
        <w:spacing w:after="0" w:line="240" w:lineRule="auto"/>
      </w:pPr>
      <w:r>
        <w:separator/>
      </w:r>
    </w:p>
  </w:footnote>
  <w:footnote w:type="continuationSeparator" w:id="0">
    <w:p w14:paraId="10448F4B" w14:textId="77777777" w:rsidR="004B5ECB" w:rsidRDefault="004B5ECB" w:rsidP="000B40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590"/>
    <w:multiLevelType w:val="hybridMultilevel"/>
    <w:tmpl w:val="3C8410B4"/>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6321F"/>
    <w:multiLevelType w:val="hybridMultilevel"/>
    <w:tmpl w:val="3F1E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3754B"/>
    <w:multiLevelType w:val="hybridMultilevel"/>
    <w:tmpl w:val="3E9665DC"/>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09A3"/>
    <w:multiLevelType w:val="hybridMultilevel"/>
    <w:tmpl w:val="A48ADF18"/>
    <w:lvl w:ilvl="0" w:tplc="DEE48C7C">
      <w:start w:val="3"/>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C62835"/>
    <w:multiLevelType w:val="hybridMultilevel"/>
    <w:tmpl w:val="6540B48C"/>
    <w:lvl w:ilvl="0" w:tplc="FBFC8D94">
      <w:start w:val="1"/>
      <w:numFmt w:val="upperLetter"/>
      <w:lvlText w:val="%1."/>
      <w:lvlJc w:val="left"/>
      <w:pPr>
        <w:tabs>
          <w:tab w:val="num" w:pos="720"/>
        </w:tabs>
        <w:ind w:left="720" w:hanging="360"/>
      </w:pPr>
    </w:lvl>
    <w:lvl w:ilvl="1" w:tplc="11403C72" w:tentative="1">
      <w:start w:val="1"/>
      <w:numFmt w:val="upperLetter"/>
      <w:lvlText w:val="%2."/>
      <w:lvlJc w:val="left"/>
      <w:pPr>
        <w:tabs>
          <w:tab w:val="num" w:pos="1440"/>
        </w:tabs>
        <w:ind w:left="1440" w:hanging="360"/>
      </w:pPr>
    </w:lvl>
    <w:lvl w:ilvl="2" w:tplc="3BDCE9B8" w:tentative="1">
      <w:start w:val="1"/>
      <w:numFmt w:val="upperLetter"/>
      <w:lvlText w:val="%3."/>
      <w:lvlJc w:val="left"/>
      <w:pPr>
        <w:tabs>
          <w:tab w:val="num" w:pos="2160"/>
        </w:tabs>
        <w:ind w:left="2160" w:hanging="360"/>
      </w:pPr>
    </w:lvl>
    <w:lvl w:ilvl="3" w:tplc="F8962A40" w:tentative="1">
      <w:start w:val="1"/>
      <w:numFmt w:val="upperLetter"/>
      <w:lvlText w:val="%4."/>
      <w:lvlJc w:val="left"/>
      <w:pPr>
        <w:tabs>
          <w:tab w:val="num" w:pos="2880"/>
        </w:tabs>
        <w:ind w:left="2880" w:hanging="360"/>
      </w:pPr>
    </w:lvl>
    <w:lvl w:ilvl="4" w:tplc="54A81622" w:tentative="1">
      <w:start w:val="1"/>
      <w:numFmt w:val="upperLetter"/>
      <w:lvlText w:val="%5."/>
      <w:lvlJc w:val="left"/>
      <w:pPr>
        <w:tabs>
          <w:tab w:val="num" w:pos="3600"/>
        </w:tabs>
        <w:ind w:left="3600" w:hanging="360"/>
      </w:pPr>
    </w:lvl>
    <w:lvl w:ilvl="5" w:tplc="5FB65C90" w:tentative="1">
      <w:start w:val="1"/>
      <w:numFmt w:val="upperLetter"/>
      <w:lvlText w:val="%6."/>
      <w:lvlJc w:val="left"/>
      <w:pPr>
        <w:tabs>
          <w:tab w:val="num" w:pos="4320"/>
        </w:tabs>
        <w:ind w:left="4320" w:hanging="360"/>
      </w:pPr>
    </w:lvl>
    <w:lvl w:ilvl="6" w:tplc="6AEE91B2" w:tentative="1">
      <w:start w:val="1"/>
      <w:numFmt w:val="upperLetter"/>
      <w:lvlText w:val="%7."/>
      <w:lvlJc w:val="left"/>
      <w:pPr>
        <w:tabs>
          <w:tab w:val="num" w:pos="5040"/>
        </w:tabs>
        <w:ind w:left="5040" w:hanging="360"/>
      </w:pPr>
    </w:lvl>
    <w:lvl w:ilvl="7" w:tplc="D5BAD55A" w:tentative="1">
      <w:start w:val="1"/>
      <w:numFmt w:val="upperLetter"/>
      <w:lvlText w:val="%8."/>
      <w:lvlJc w:val="left"/>
      <w:pPr>
        <w:tabs>
          <w:tab w:val="num" w:pos="5760"/>
        </w:tabs>
        <w:ind w:left="5760" w:hanging="360"/>
      </w:pPr>
    </w:lvl>
    <w:lvl w:ilvl="8" w:tplc="82A43616" w:tentative="1">
      <w:start w:val="1"/>
      <w:numFmt w:val="upperLetter"/>
      <w:lvlText w:val="%9."/>
      <w:lvlJc w:val="left"/>
      <w:pPr>
        <w:tabs>
          <w:tab w:val="num" w:pos="6480"/>
        </w:tabs>
        <w:ind w:left="6480" w:hanging="360"/>
      </w:pPr>
    </w:lvl>
  </w:abstractNum>
  <w:abstractNum w:abstractNumId="5" w15:restartNumberingAfterBreak="0">
    <w:nsid w:val="0C166626"/>
    <w:multiLevelType w:val="hybridMultilevel"/>
    <w:tmpl w:val="108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D2ADD"/>
    <w:multiLevelType w:val="hybridMultilevel"/>
    <w:tmpl w:val="6D1673B0"/>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E08ED"/>
    <w:multiLevelType w:val="hybridMultilevel"/>
    <w:tmpl w:val="17A80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E7240D4"/>
    <w:multiLevelType w:val="hybridMultilevel"/>
    <w:tmpl w:val="8EA836AC"/>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E24D8"/>
    <w:multiLevelType w:val="hybridMultilevel"/>
    <w:tmpl w:val="33BAEA94"/>
    <w:lvl w:ilvl="0" w:tplc="C3145A48">
      <w:start w:val="1"/>
      <w:numFmt w:val="upperLetter"/>
      <w:lvlText w:val="%1."/>
      <w:lvlJc w:val="left"/>
      <w:pPr>
        <w:tabs>
          <w:tab w:val="num" w:pos="720"/>
        </w:tabs>
        <w:ind w:left="720" w:hanging="360"/>
      </w:pPr>
    </w:lvl>
    <w:lvl w:ilvl="1" w:tplc="12F0F778" w:tentative="1">
      <w:start w:val="1"/>
      <w:numFmt w:val="upperLetter"/>
      <w:lvlText w:val="%2."/>
      <w:lvlJc w:val="left"/>
      <w:pPr>
        <w:tabs>
          <w:tab w:val="num" w:pos="1440"/>
        </w:tabs>
        <w:ind w:left="1440" w:hanging="360"/>
      </w:pPr>
    </w:lvl>
    <w:lvl w:ilvl="2" w:tplc="546AD476" w:tentative="1">
      <w:start w:val="1"/>
      <w:numFmt w:val="upperLetter"/>
      <w:lvlText w:val="%3."/>
      <w:lvlJc w:val="left"/>
      <w:pPr>
        <w:tabs>
          <w:tab w:val="num" w:pos="2160"/>
        </w:tabs>
        <w:ind w:left="2160" w:hanging="360"/>
      </w:pPr>
    </w:lvl>
    <w:lvl w:ilvl="3" w:tplc="4296CD98" w:tentative="1">
      <w:start w:val="1"/>
      <w:numFmt w:val="upperLetter"/>
      <w:lvlText w:val="%4."/>
      <w:lvlJc w:val="left"/>
      <w:pPr>
        <w:tabs>
          <w:tab w:val="num" w:pos="2880"/>
        </w:tabs>
        <w:ind w:left="2880" w:hanging="360"/>
      </w:pPr>
    </w:lvl>
    <w:lvl w:ilvl="4" w:tplc="EDDA577E" w:tentative="1">
      <w:start w:val="1"/>
      <w:numFmt w:val="upperLetter"/>
      <w:lvlText w:val="%5."/>
      <w:lvlJc w:val="left"/>
      <w:pPr>
        <w:tabs>
          <w:tab w:val="num" w:pos="3600"/>
        </w:tabs>
        <w:ind w:left="3600" w:hanging="360"/>
      </w:pPr>
    </w:lvl>
    <w:lvl w:ilvl="5" w:tplc="0C186122" w:tentative="1">
      <w:start w:val="1"/>
      <w:numFmt w:val="upperLetter"/>
      <w:lvlText w:val="%6."/>
      <w:lvlJc w:val="left"/>
      <w:pPr>
        <w:tabs>
          <w:tab w:val="num" w:pos="4320"/>
        </w:tabs>
        <w:ind w:left="4320" w:hanging="360"/>
      </w:pPr>
    </w:lvl>
    <w:lvl w:ilvl="6" w:tplc="B3B0FA1C" w:tentative="1">
      <w:start w:val="1"/>
      <w:numFmt w:val="upperLetter"/>
      <w:lvlText w:val="%7."/>
      <w:lvlJc w:val="left"/>
      <w:pPr>
        <w:tabs>
          <w:tab w:val="num" w:pos="5040"/>
        </w:tabs>
        <w:ind w:left="5040" w:hanging="360"/>
      </w:pPr>
    </w:lvl>
    <w:lvl w:ilvl="7" w:tplc="A528631A" w:tentative="1">
      <w:start w:val="1"/>
      <w:numFmt w:val="upperLetter"/>
      <w:lvlText w:val="%8."/>
      <w:lvlJc w:val="left"/>
      <w:pPr>
        <w:tabs>
          <w:tab w:val="num" w:pos="5760"/>
        </w:tabs>
        <w:ind w:left="5760" w:hanging="360"/>
      </w:pPr>
    </w:lvl>
    <w:lvl w:ilvl="8" w:tplc="30581450" w:tentative="1">
      <w:start w:val="1"/>
      <w:numFmt w:val="upperLetter"/>
      <w:lvlText w:val="%9."/>
      <w:lvlJc w:val="left"/>
      <w:pPr>
        <w:tabs>
          <w:tab w:val="num" w:pos="6480"/>
        </w:tabs>
        <w:ind w:left="6480" w:hanging="360"/>
      </w:pPr>
    </w:lvl>
  </w:abstractNum>
  <w:abstractNum w:abstractNumId="11" w15:restartNumberingAfterBreak="0">
    <w:nsid w:val="24EA6C4A"/>
    <w:multiLevelType w:val="hybridMultilevel"/>
    <w:tmpl w:val="62164D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482F05"/>
    <w:multiLevelType w:val="hybridMultilevel"/>
    <w:tmpl w:val="0C4291E4"/>
    <w:lvl w:ilvl="0" w:tplc="DEE48C7C">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7F7142"/>
    <w:multiLevelType w:val="hybridMultilevel"/>
    <w:tmpl w:val="A91E5B70"/>
    <w:lvl w:ilvl="0" w:tplc="DEE48C7C">
      <w:start w:val="3"/>
      <w:numFmt w:val="bullet"/>
      <w:lvlText w:val="-"/>
      <w:lvlJc w:val="left"/>
      <w:pPr>
        <w:ind w:left="720" w:hanging="360"/>
      </w:pPr>
      <w:rPr>
        <w:rFonts w:ascii="Calibri" w:eastAsiaTheme="minorEastAsia"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952"/>
    <w:multiLevelType w:val="hybridMultilevel"/>
    <w:tmpl w:val="69C2B086"/>
    <w:lvl w:ilvl="0" w:tplc="9F40C724">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5272C"/>
    <w:multiLevelType w:val="hybridMultilevel"/>
    <w:tmpl w:val="0EDA3462"/>
    <w:lvl w:ilvl="0" w:tplc="DEE48C7C">
      <w:start w:val="3"/>
      <w:numFmt w:val="bullet"/>
      <w:lvlText w:val="-"/>
      <w:lvlJc w:val="left"/>
      <w:pPr>
        <w:ind w:left="720" w:hanging="360"/>
      </w:pPr>
      <w:rPr>
        <w:rFonts w:ascii="Calibri" w:eastAsiaTheme="minorEastAsia"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2536D2"/>
    <w:multiLevelType w:val="hybridMultilevel"/>
    <w:tmpl w:val="CC84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85E65"/>
    <w:multiLevelType w:val="hybridMultilevel"/>
    <w:tmpl w:val="1370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E43A0"/>
    <w:multiLevelType w:val="hybridMultilevel"/>
    <w:tmpl w:val="04800D42"/>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82938"/>
    <w:multiLevelType w:val="hybridMultilevel"/>
    <w:tmpl w:val="EA0C69D8"/>
    <w:lvl w:ilvl="0" w:tplc="1B026940">
      <w:start w:val="1"/>
      <w:numFmt w:val="bullet"/>
      <w:lvlText w:val="•"/>
      <w:lvlJc w:val="left"/>
      <w:pPr>
        <w:tabs>
          <w:tab w:val="num" w:pos="720"/>
        </w:tabs>
        <w:ind w:left="720" w:hanging="360"/>
      </w:pPr>
      <w:rPr>
        <w:rFonts w:ascii="Arial" w:hAnsi="Arial" w:hint="default"/>
      </w:rPr>
    </w:lvl>
    <w:lvl w:ilvl="1" w:tplc="1696F2C4">
      <w:numFmt w:val="bullet"/>
      <w:lvlText w:val="•"/>
      <w:lvlJc w:val="left"/>
      <w:pPr>
        <w:tabs>
          <w:tab w:val="num" w:pos="1440"/>
        </w:tabs>
        <w:ind w:left="1440" w:hanging="360"/>
      </w:pPr>
      <w:rPr>
        <w:rFonts w:ascii="Arial" w:hAnsi="Arial" w:hint="default"/>
      </w:rPr>
    </w:lvl>
    <w:lvl w:ilvl="2" w:tplc="FEE0608E">
      <w:start w:val="1"/>
      <w:numFmt w:val="bullet"/>
      <w:lvlText w:val="•"/>
      <w:lvlJc w:val="left"/>
      <w:pPr>
        <w:tabs>
          <w:tab w:val="num" w:pos="2160"/>
        </w:tabs>
        <w:ind w:left="2160" w:hanging="360"/>
      </w:pPr>
      <w:rPr>
        <w:rFonts w:ascii="Arial" w:hAnsi="Arial" w:hint="default"/>
      </w:rPr>
    </w:lvl>
    <w:lvl w:ilvl="3" w:tplc="817E20DE">
      <w:start w:val="1"/>
      <w:numFmt w:val="bullet"/>
      <w:lvlText w:val="•"/>
      <w:lvlJc w:val="left"/>
      <w:pPr>
        <w:tabs>
          <w:tab w:val="num" w:pos="2880"/>
        </w:tabs>
        <w:ind w:left="2880" w:hanging="360"/>
      </w:pPr>
      <w:rPr>
        <w:rFonts w:ascii="Arial" w:hAnsi="Arial" w:hint="default"/>
      </w:rPr>
    </w:lvl>
    <w:lvl w:ilvl="4" w:tplc="5EC411DA" w:tentative="1">
      <w:start w:val="1"/>
      <w:numFmt w:val="bullet"/>
      <w:lvlText w:val="•"/>
      <w:lvlJc w:val="left"/>
      <w:pPr>
        <w:tabs>
          <w:tab w:val="num" w:pos="3600"/>
        </w:tabs>
        <w:ind w:left="3600" w:hanging="360"/>
      </w:pPr>
      <w:rPr>
        <w:rFonts w:ascii="Arial" w:hAnsi="Arial" w:hint="default"/>
      </w:rPr>
    </w:lvl>
    <w:lvl w:ilvl="5" w:tplc="2D0A1FA0" w:tentative="1">
      <w:start w:val="1"/>
      <w:numFmt w:val="bullet"/>
      <w:lvlText w:val="•"/>
      <w:lvlJc w:val="left"/>
      <w:pPr>
        <w:tabs>
          <w:tab w:val="num" w:pos="4320"/>
        </w:tabs>
        <w:ind w:left="4320" w:hanging="360"/>
      </w:pPr>
      <w:rPr>
        <w:rFonts w:ascii="Arial" w:hAnsi="Arial" w:hint="default"/>
      </w:rPr>
    </w:lvl>
    <w:lvl w:ilvl="6" w:tplc="95149972" w:tentative="1">
      <w:start w:val="1"/>
      <w:numFmt w:val="bullet"/>
      <w:lvlText w:val="•"/>
      <w:lvlJc w:val="left"/>
      <w:pPr>
        <w:tabs>
          <w:tab w:val="num" w:pos="5040"/>
        </w:tabs>
        <w:ind w:left="5040" w:hanging="360"/>
      </w:pPr>
      <w:rPr>
        <w:rFonts w:ascii="Arial" w:hAnsi="Arial" w:hint="default"/>
      </w:rPr>
    </w:lvl>
    <w:lvl w:ilvl="7" w:tplc="36246C42" w:tentative="1">
      <w:start w:val="1"/>
      <w:numFmt w:val="bullet"/>
      <w:lvlText w:val="•"/>
      <w:lvlJc w:val="left"/>
      <w:pPr>
        <w:tabs>
          <w:tab w:val="num" w:pos="5760"/>
        </w:tabs>
        <w:ind w:left="5760" w:hanging="360"/>
      </w:pPr>
      <w:rPr>
        <w:rFonts w:ascii="Arial" w:hAnsi="Arial" w:hint="default"/>
      </w:rPr>
    </w:lvl>
    <w:lvl w:ilvl="8" w:tplc="A704E2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6F44E6"/>
    <w:multiLevelType w:val="hybridMultilevel"/>
    <w:tmpl w:val="D5B2A6FC"/>
    <w:lvl w:ilvl="0" w:tplc="AEEC3EC2">
      <w:start w:val="1"/>
      <w:numFmt w:val="upperLetter"/>
      <w:lvlText w:val="%1."/>
      <w:lvlJc w:val="left"/>
      <w:pPr>
        <w:tabs>
          <w:tab w:val="num" w:pos="720"/>
        </w:tabs>
        <w:ind w:left="720" w:hanging="360"/>
      </w:pPr>
    </w:lvl>
    <w:lvl w:ilvl="1" w:tplc="F8CEA33A" w:tentative="1">
      <w:start w:val="1"/>
      <w:numFmt w:val="upperLetter"/>
      <w:lvlText w:val="%2."/>
      <w:lvlJc w:val="left"/>
      <w:pPr>
        <w:tabs>
          <w:tab w:val="num" w:pos="1440"/>
        </w:tabs>
        <w:ind w:left="1440" w:hanging="360"/>
      </w:pPr>
    </w:lvl>
    <w:lvl w:ilvl="2" w:tplc="7A022B46" w:tentative="1">
      <w:start w:val="1"/>
      <w:numFmt w:val="upperLetter"/>
      <w:lvlText w:val="%3."/>
      <w:lvlJc w:val="left"/>
      <w:pPr>
        <w:tabs>
          <w:tab w:val="num" w:pos="2160"/>
        </w:tabs>
        <w:ind w:left="2160" w:hanging="360"/>
      </w:pPr>
    </w:lvl>
    <w:lvl w:ilvl="3" w:tplc="800A8846" w:tentative="1">
      <w:start w:val="1"/>
      <w:numFmt w:val="upperLetter"/>
      <w:lvlText w:val="%4."/>
      <w:lvlJc w:val="left"/>
      <w:pPr>
        <w:tabs>
          <w:tab w:val="num" w:pos="2880"/>
        </w:tabs>
        <w:ind w:left="2880" w:hanging="360"/>
      </w:pPr>
    </w:lvl>
    <w:lvl w:ilvl="4" w:tplc="484868BE" w:tentative="1">
      <w:start w:val="1"/>
      <w:numFmt w:val="upperLetter"/>
      <w:lvlText w:val="%5."/>
      <w:lvlJc w:val="left"/>
      <w:pPr>
        <w:tabs>
          <w:tab w:val="num" w:pos="3600"/>
        </w:tabs>
        <w:ind w:left="3600" w:hanging="360"/>
      </w:pPr>
    </w:lvl>
    <w:lvl w:ilvl="5" w:tplc="D030608E" w:tentative="1">
      <w:start w:val="1"/>
      <w:numFmt w:val="upperLetter"/>
      <w:lvlText w:val="%6."/>
      <w:lvlJc w:val="left"/>
      <w:pPr>
        <w:tabs>
          <w:tab w:val="num" w:pos="4320"/>
        </w:tabs>
        <w:ind w:left="4320" w:hanging="360"/>
      </w:pPr>
    </w:lvl>
    <w:lvl w:ilvl="6" w:tplc="B6325234" w:tentative="1">
      <w:start w:val="1"/>
      <w:numFmt w:val="upperLetter"/>
      <w:lvlText w:val="%7."/>
      <w:lvlJc w:val="left"/>
      <w:pPr>
        <w:tabs>
          <w:tab w:val="num" w:pos="5040"/>
        </w:tabs>
        <w:ind w:left="5040" w:hanging="360"/>
      </w:pPr>
    </w:lvl>
    <w:lvl w:ilvl="7" w:tplc="12A23EB8" w:tentative="1">
      <w:start w:val="1"/>
      <w:numFmt w:val="upperLetter"/>
      <w:lvlText w:val="%8."/>
      <w:lvlJc w:val="left"/>
      <w:pPr>
        <w:tabs>
          <w:tab w:val="num" w:pos="5760"/>
        </w:tabs>
        <w:ind w:left="5760" w:hanging="360"/>
      </w:pPr>
    </w:lvl>
    <w:lvl w:ilvl="8" w:tplc="870C3948" w:tentative="1">
      <w:start w:val="1"/>
      <w:numFmt w:val="upperLetter"/>
      <w:lvlText w:val="%9."/>
      <w:lvlJc w:val="left"/>
      <w:pPr>
        <w:tabs>
          <w:tab w:val="num" w:pos="6480"/>
        </w:tabs>
        <w:ind w:left="6480" w:hanging="360"/>
      </w:pPr>
    </w:lvl>
  </w:abstractNum>
  <w:abstractNum w:abstractNumId="21" w15:restartNumberingAfterBreak="0">
    <w:nsid w:val="43D63833"/>
    <w:multiLevelType w:val="hybridMultilevel"/>
    <w:tmpl w:val="7B6C5CC2"/>
    <w:lvl w:ilvl="0" w:tplc="DEE48C7C">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B35B1D"/>
    <w:multiLevelType w:val="hybridMultilevel"/>
    <w:tmpl w:val="41361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6468B"/>
    <w:multiLevelType w:val="hybridMultilevel"/>
    <w:tmpl w:val="0518CE90"/>
    <w:lvl w:ilvl="0" w:tplc="B8D6A21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9759E8"/>
    <w:multiLevelType w:val="hybridMultilevel"/>
    <w:tmpl w:val="AB708EFA"/>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63D26"/>
    <w:multiLevelType w:val="hybridMultilevel"/>
    <w:tmpl w:val="4CE6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23DE8"/>
    <w:multiLevelType w:val="hybridMultilevel"/>
    <w:tmpl w:val="62164D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4A5233"/>
    <w:multiLevelType w:val="hybridMultilevel"/>
    <w:tmpl w:val="763C6450"/>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642A8"/>
    <w:multiLevelType w:val="hybridMultilevel"/>
    <w:tmpl w:val="D4820F6A"/>
    <w:lvl w:ilvl="0" w:tplc="B7C0E39E">
      <w:start w:val="1"/>
      <w:numFmt w:val="bullet"/>
      <w:lvlText w:val="•"/>
      <w:lvlJc w:val="left"/>
      <w:pPr>
        <w:tabs>
          <w:tab w:val="num" w:pos="720"/>
        </w:tabs>
        <w:ind w:left="720" w:hanging="360"/>
      </w:pPr>
      <w:rPr>
        <w:rFonts w:ascii="Arial" w:hAnsi="Arial" w:hint="default"/>
      </w:rPr>
    </w:lvl>
    <w:lvl w:ilvl="1" w:tplc="B41062F8" w:tentative="1">
      <w:start w:val="1"/>
      <w:numFmt w:val="bullet"/>
      <w:lvlText w:val="•"/>
      <w:lvlJc w:val="left"/>
      <w:pPr>
        <w:tabs>
          <w:tab w:val="num" w:pos="1440"/>
        </w:tabs>
        <w:ind w:left="1440" w:hanging="360"/>
      </w:pPr>
      <w:rPr>
        <w:rFonts w:ascii="Arial" w:hAnsi="Arial" w:hint="default"/>
      </w:rPr>
    </w:lvl>
    <w:lvl w:ilvl="2" w:tplc="563CC9F2" w:tentative="1">
      <w:start w:val="1"/>
      <w:numFmt w:val="bullet"/>
      <w:lvlText w:val="•"/>
      <w:lvlJc w:val="left"/>
      <w:pPr>
        <w:tabs>
          <w:tab w:val="num" w:pos="2160"/>
        </w:tabs>
        <w:ind w:left="2160" w:hanging="360"/>
      </w:pPr>
      <w:rPr>
        <w:rFonts w:ascii="Arial" w:hAnsi="Arial" w:hint="default"/>
      </w:rPr>
    </w:lvl>
    <w:lvl w:ilvl="3" w:tplc="BCDE3A24" w:tentative="1">
      <w:start w:val="1"/>
      <w:numFmt w:val="bullet"/>
      <w:lvlText w:val="•"/>
      <w:lvlJc w:val="left"/>
      <w:pPr>
        <w:tabs>
          <w:tab w:val="num" w:pos="2880"/>
        </w:tabs>
        <w:ind w:left="2880" w:hanging="360"/>
      </w:pPr>
      <w:rPr>
        <w:rFonts w:ascii="Arial" w:hAnsi="Arial" w:hint="default"/>
      </w:rPr>
    </w:lvl>
    <w:lvl w:ilvl="4" w:tplc="0840E466" w:tentative="1">
      <w:start w:val="1"/>
      <w:numFmt w:val="bullet"/>
      <w:lvlText w:val="•"/>
      <w:lvlJc w:val="left"/>
      <w:pPr>
        <w:tabs>
          <w:tab w:val="num" w:pos="3600"/>
        </w:tabs>
        <w:ind w:left="3600" w:hanging="360"/>
      </w:pPr>
      <w:rPr>
        <w:rFonts w:ascii="Arial" w:hAnsi="Arial" w:hint="default"/>
      </w:rPr>
    </w:lvl>
    <w:lvl w:ilvl="5" w:tplc="B3346888" w:tentative="1">
      <w:start w:val="1"/>
      <w:numFmt w:val="bullet"/>
      <w:lvlText w:val="•"/>
      <w:lvlJc w:val="left"/>
      <w:pPr>
        <w:tabs>
          <w:tab w:val="num" w:pos="4320"/>
        </w:tabs>
        <w:ind w:left="4320" w:hanging="360"/>
      </w:pPr>
      <w:rPr>
        <w:rFonts w:ascii="Arial" w:hAnsi="Arial" w:hint="default"/>
      </w:rPr>
    </w:lvl>
    <w:lvl w:ilvl="6" w:tplc="80781160" w:tentative="1">
      <w:start w:val="1"/>
      <w:numFmt w:val="bullet"/>
      <w:lvlText w:val="•"/>
      <w:lvlJc w:val="left"/>
      <w:pPr>
        <w:tabs>
          <w:tab w:val="num" w:pos="5040"/>
        </w:tabs>
        <w:ind w:left="5040" w:hanging="360"/>
      </w:pPr>
      <w:rPr>
        <w:rFonts w:ascii="Arial" w:hAnsi="Arial" w:hint="default"/>
      </w:rPr>
    </w:lvl>
    <w:lvl w:ilvl="7" w:tplc="F4DC486E" w:tentative="1">
      <w:start w:val="1"/>
      <w:numFmt w:val="bullet"/>
      <w:lvlText w:val="•"/>
      <w:lvlJc w:val="left"/>
      <w:pPr>
        <w:tabs>
          <w:tab w:val="num" w:pos="5760"/>
        </w:tabs>
        <w:ind w:left="5760" w:hanging="360"/>
      </w:pPr>
      <w:rPr>
        <w:rFonts w:ascii="Arial" w:hAnsi="Arial" w:hint="default"/>
      </w:rPr>
    </w:lvl>
    <w:lvl w:ilvl="8" w:tplc="3078C6D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F41D3D"/>
    <w:multiLevelType w:val="hybridMultilevel"/>
    <w:tmpl w:val="A9546986"/>
    <w:lvl w:ilvl="0" w:tplc="DEE48C7C">
      <w:start w:val="3"/>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E4B4C"/>
    <w:multiLevelType w:val="hybridMultilevel"/>
    <w:tmpl w:val="E256B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E22C76"/>
    <w:multiLevelType w:val="hybridMultilevel"/>
    <w:tmpl w:val="AC0CDBB0"/>
    <w:lvl w:ilvl="0" w:tplc="144E4F00">
      <w:start w:val="2009"/>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838BB"/>
    <w:multiLevelType w:val="hybridMultilevel"/>
    <w:tmpl w:val="445A946C"/>
    <w:lvl w:ilvl="0" w:tplc="0809000F">
      <w:start w:val="1"/>
      <w:numFmt w:val="decimal"/>
      <w:lvlText w:val="%1."/>
      <w:lvlJc w:val="left"/>
      <w:pPr>
        <w:tabs>
          <w:tab w:val="num" w:pos="360"/>
        </w:tabs>
        <w:ind w:left="360" w:hanging="360"/>
      </w:pPr>
      <w:rPr>
        <w:rFonts w:hint="default"/>
      </w:rPr>
    </w:lvl>
    <w:lvl w:ilvl="1" w:tplc="F056CE80">
      <w:numFmt w:val="bullet"/>
      <w:lvlText w:val="-"/>
      <w:lvlJc w:val="left"/>
      <w:pPr>
        <w:tabs>
          <w:tab w:val="num" w:pos="1080"/>
        </w:tabs>
        <w:ind w:left="1080" w:hanging="360"/>
      </w:pPr>
      <w:rPr>
        <w:rFonts w:ascii="Times New Roman" w:hAnsi="Times New Roman" w:hint="default"/>
      </w:rPr>
    </w:lvl>
    <w:lvl w:ilvl="2" w:tplc="7AB272AE" w:tentative="1">
      <w:start w:val="1"/>
      <w:numFmt w:val="bullet"/>
      <w:lvlText w:val="•"/>
      <w:lvlJc w:val="left"/>
      <w:pPr>
        <w:tabs>
          <w:tab w:val="num" w:pos="1800"/>
        </w:tabs>
        <w:ind w:left="1800" w:hanging="360"/>
      </w:pPr>
      <w:rPr>
        <w:rFonts w:ascii="Arial" w:hAnsi="Arial" w:hint="default"/>
      </w:rPr>
    </w:lvl>
    <w:lvl w:ilvl="3" w:tplc="0BE0FEAE" w:tentative="1">
      <w:start w:val="1"/>
      <w:numFmt w:val="bullet"/>
      <w:lvlText w:val="•"/>
      <w:lvlJc w:val="left"/>
      <w:pPr>
        <w:tabs>
          <w:tab w:val="num" w:pos="2520"/>
        </w:tabs>
        <w:ind w:left="2520" w:hanging="360"/>
      </w:pPr>
      <w:rPr>
        <w:rFonts w:ascii="Arial" w:hAnsi="Arial" w:hint="default"/>
      </w:rPr>
    </w:lvl>
    <w:lvl w:ilvl="4" w:tplc="EC90D93E" w:tentative="1">
      <w:start w:val="1"/>
      <w:numFmt w:val="bullet"/>
      <w:lvlText w:val="•"/>
      <w:lvlJc w:val="left"/>
      <w:pPr>
        <w:tabs>
          <w:tab w:val="num" w:pos="3240"/>
        </w:tabs>
        <w:ind w:left="3240" w:hanging="360"/>
      </w:pPr>
      <w:rPr>
        <w:rFonts w:ascii="Arial" w:hAnsi="Arial" w:hint="default"/>
      </w:rPr>
    </w:lvl>
    <w:lvl w:ilvl="5" w:tplc="DD62A622" w:tentative="1">
      <w:start w:val="1"/>
      <w:numFmt w:val="bullet"/>
      <w:lvlText w:val="•"/>
      <w:lvlJc w:val="left"/>
      <w:pPr>
        <w:tabs>
          <w:tab w:val="num" w:pos="3960"/>
        </w:tabs>
        <w:ind w:left="3960" w:hanging="360"/>
      </w:pPr>
      <w:rPr>
        <w:rFonts w:ascii="Arial" w:hAnsi="Arial" w:hint="default"/>
      </w:rPr>
    </w:lvl>
    <w:lvl w:ilvl="6" w:tplc="DA462D08" w:tentative="1">
      <w:start w:val="1"/>
      <w:numFmt w:val="bullet"/>
      <w:lvlText w:val="•"/>
      <w:lvlJc w:val="left"/>
      <w:pPr>
        <w:tabs>
          <w:tab w:val="num" w:pos="4680"/>
        </w:tabs>
        <w:ind w:left="4680" w:hanging="360"/>
      </w:pPr>
      <w:rPr>
        <w:rFonts w:ascii="Arial" w:hAnsi="Arial" w:hint="default"/>
      </w:rPr>
    </w:lvl>
    <w:lvl w:ilvl="7" w:tplc="F7F8786E" w:tentative="1">
      <w:start w:val="1"/>
      <w:numFmt w:val="bullet"/>
      <w:lvlText w:val="•"/>
      <w:lvlJc w:val="left"/>
      <w:pPr>
        <w:tabs>
          <w:tab w:val="num" w:pos="5400"/>
        </w:tabs>
        <w:ind w:left="5400" w:hanging="360"/>
      </w:pPr>
      <w:rPr>
        <w:rFonts w:ascii="Arial" w:hAnsi="Arial" w:hint="default"/>
      </w:rPr>
    </w:lvl>
    <w:lvl w:ilvl="8" w:tplc="9BD26692"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741A635F"/>
    <w:multiLevelType w:val="hybridMultilevel"/>
    <w:tmpl w:val="62164D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2B6961"/>
    <w:multiLevelType w:val="hybridMultilevel"/>
    <w:tmpl w:val="05F270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24"/>
  </w:num>
  <w:num w:numId="3">
    <w:abstractNumId w:val="30"/>
  </w:num>
  <w:num w:numId="4">
    <w:abstractNumId w:val="21"/>
  </w:num>
  <w:num w:numId="5">
    <w:abstractNumId w:val="32"/>
  </w:num>
  <w:num w:numId="6">
    <w:abstractNumId w:val="31"/>
  </w:num>
  <w:num w:numId="7">
    <w:abstractNumId w:val="1"/>
  </w:num>
  <w:num w:numId="8">
    <w:abstractNumId w:val="7"/>
  </w:num>
  <w:num w:numId="9">
    <w:abstractNumId w:val="3"/>
  </w:num>
  <w:num w:numId="10">
    <w:abstractNumId w:val="6"/>
  </w:num>
  <w:num w:numId="11">
    <w:abstractNumId w:val="12"/>
  </w:num>
  <w:num w:numId="12">
    <w:abstractNumId w:val="19"/>
  </w:num>
  <w:num w:numId="13">
    <w:abstractNumId w:val="28"/>
  </w:num>
  <w:num w:numId="14">
    <w:abstractNumId w:val="0"/>
  </w:num>
  <w:num w:numId="15">
    <w:abstractNumId w:val="2"/>
  </w:num>
  <w:num w:numId="16">
    <w:abstractNumId w:val="11"/>
  </w:num>
  <w:num w:numId="17">
    <w:abstractNumId w:val="26"/>
  </w:num>
  <w:num w:numId="18">
    <w:abstractNumId w:val="33"/>
  </w:num>
  <w:num w:numId="19">
    <w:abstractNumId w:val="13"/>
  </w:num>
  <w:num w:numId="20">
    <w:abstractNumId w:val="18"/>
  </w:num>
  <w:num w:numId="21">
    <w:abstractNumId w:val="15"/>
  </w:num>
  <w:num w:numId="22">
    <w:abstractNumId w:val="27"/>
  </w:num>
  <w:num w:numId="23">
    <w:abstractNumId w:val="29"/>
  </w:num>
  <w:num w:numId="24">
    <w:abstractNumId w:val="9"/>
  </w:num>
  <w:num w:numId="25">
    <w:abstractNumId w:val="34"/>
  </w:num>
  <w:num w:numId="26">
    <w:abstractNumId w:val="25"/>
  </w:num>
  <w:num w:numId="27">
    <w:abstractNumId w:val="10"/>
  </w:num>
  <w:num w:numId="28">
    <w:abstractNumId w:val="20"/>
  </w:num>
  <w:num w:numId="29">
    <w:abstractNumId w:val="4"/>
  </w:num>
  <w:num w:numId="30">
    <w:abstractNumId w:val="14"/>
  </w:num>
  <w:num w:numId="31">
    <w:abstractNumId w:val="23"/>
  </w:num>
  <w:num w:numId="32">
    <w:abstractNumId w:val="5"/>
  </w:num>
  <w:num w:numId="33">
    <w:abstractNumId w:val="16"/>
  </w:num>
  <w:num w:numId="34">
    <w:abstractNumId w:val="17"/>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23A"/>
    <w:rsid w:val="00012273"/>
    <w:rsid w:val="0001383A"/>
    <w:rsid w:val="00017915"/>
    <w:rsid w:val="000305AB"/>
    <w:rsid w:val="00033371"/>
    <w:rsid w:val="000409E3"/>
    <w:rsid w:val="00041684"/>
    <w:rsid w:val="000421BF"/>
    <w:rsid w:val="00043FAF"/>
    <w:rsid w:val="000454B2"/>
    <w:rsid w:val="00045C3A"/>
    <w:rsid w:val="00045D17"/>
    <w:rsid w:val="00047639"/>
    <w:rsid w:val="00050312"/>
    <w:rsid w:val="000515C2"/>
    <w:rsid w:val="000549E8"/>
    <w:rsid w:val="000624D0"/>
    <w:rsid w:val="0006267B"/>
    <w:rsid w:val="00071F7A"/>
    <w:rsid w:val="00072259"/>
    <w:rsid w:val="000742DF"/>
    <w:rsid w:val="000750EE"/>
    <w:rsid w:val="00077A25"/>
    <w:rsid w:val="0008702D"/>
    <w:rsid w:val="00090E9B"/>
    <w:rsid w:val="00092272"/>
    <w:rsid w:val="00093BE9"/>
    <w:rsid w:val="00096811"/>
    <w:rsid w:val="000A1792"/>
    <w:rsid w:val="000A1E1E"/>
    <w:rsid w:val="000A51C7"/>
    <w:rsid w:val="000B40D5"/>
    <w:rsid w:val="000B4638"/>
    <w:rsid w:val="000B48C6"/>
    <w:rsid w:val="000B62C5"/>
    <w:rsid w:val="000C2582"/>
    <w:rsid w:val="000C2F31"/>
    <w:rsid w:val="000C433C"/>
    <w:rsid w:val="000C5330"/>
    <w:rsid w:val="000C541A"/>
    <w:rsid w:val="000C5889"/>
    <w:rsid w:val="000C69D7"/>
    <w:rsid w:val="000C6BB0"/>
    <w:rsid w:val="000D1521"/>
    <w:rsid w:val="000D22F5"/>
    <w:rsid w:val="000D2F41"/>
    <w:rsid w:val="000D3766"/>
    <w:rsid w:val="000D6606"/>
    <w:rsid w:val="000E1200"/>
    <w:rsid w:val="000E318B"/>
    <w:rsid w:val="000E4897"/>
    <w:rsid w:val="000E4B8C"/>
    <w:rsid w:val="000F2828"/>
    <w:rsid w:val="00114BF3"/>
    <w:rsid w:val="00116126"/>
    <w:rsid w:val="0012234C"/>
    <w:rsid w:val="00122CB7"/>
    <w:rsid w:val="00122F9C"/>
    <w:rsid w:val="00126EFD"/>
    <w:rsid w:val="00131323"/>
    <w:rsid w:val="001356A1"/>
    <w:rsid w:val="00137C8C"/>
    <w:rsid w:val="00137DCD"/>
    <w:rsid w:val="001413C4"/>
    <w:rsid w:val="001422C1"/>
    <w:rsid w:val="00145A1F"/>
    <w:rsid w:val="00161A47"/>
    <w:rsid w:val="00167E1D"/>
    <w:rsid w:val="001715F1"/>
    <w:rsid w:val="00180619"/>
    <w:rsid w:val="00180C32"/>
    <w:rsid w:val="00185BA8"/>
    <w:rsid w:val="00187C45"/>
    <w:rsid w:val="00192896"/>
    <w:rsid w:val="00192933"/>
    <w:rsid w:val="00193450"/>
    <w:rsid w:val="001B362F"/>
    <w:rsid w:val="001B3645"/>
    <w:rsid w:val="001C2510"/>
    <w:rsid w:val="001C5936"/>
    <w:rsid w:val="001D3B23"/>
    <w:rsid w:val="001D5EC1"/>
    <w:rsid w:val="001D7DCF"/>
    <w:rsid w:val="001E7000"/>
    <w:rsid w:val="001F2666"/>
    <w:rsid w:val="001F77D4"/>
    <w:rsid w:val="00205009"/>
    <w:rsid w:val="0020571F"/>
    <w:rsid w:val="00205D4E"/>
    <w:rsid w:val="002061AB"/>
    <w:rsid w:val="0021231B"/>
    <w:rsid w:val="00213FBC"/>
    <w:rsid w:val="00216AEB"/>
    <w:rsid w:val="002267D1"/>
    <w:rsid w:val="00227D59"/>
    <w:rsid w:val="00231070"/>
    <w:rsid w:val="002323B7"/>
    <w:rsid w:val="0024372A"/>
    <w:rsid w:val="00245684"/>
    <w:rsid w:val="00247A3F"/>
    <w:rsid w:val="00250AFD"/>
    <w:rsid w:val="00253648"/>
    <w:rsid w:val="00260AB0"/>
    <w:rsid w:val="00262A10"/>
    <w:rsid w:val="002648EF"/>
    <w:rsid w:val="00270C65"/>
    <w:rsid w:val="0027565A"/>
    <w:rsid w:val="00276FD2"/>
    <w:rsid w:val="00277124"/>
    <w:rsid w:val="002779B3"/>
    <w:rsid w:val="00283359"/>
    <w:rsid w:val="0028458A"/>
    <w:rsid w:val="002972AE"/>
    <w:rsid w:val="002A24F5"/>
    <w:rsid w:val="002A2E02"/>
    <w:rsid w:val="002A75D6"/>
    <w:rsid w:val="002B0997"/>
    <w:rsid w:val="002B1971"/>
    <w:rsid w:val="002B20BE"/>
    <w:rsid w:val="002B3504"/>
    <w:rsid w:val="002C2D65"/>
    <w:rsid w:val="002C470C"/>
    <w:rsid w:val="002C4C35"/>
    <w:rsid w:val="002C67C4"/>
    <w:rsid w:val="002D65C9"/>
    <w:rsid w:val="002D6C0C"/>
    <w:rsid w:val="002E2E33"/>
    <w:rsid w:val="002F3444"/>
    <w:rsid w:val="002F3EB9"/>
    <w:rsid w:val="003039CB"/>
    <w:rsid w:val="00306439"/>
    <w:rsid w:val="00307127"/>
    <w:rsid w:val="003125E1"/>
    <w:rsid w:val="00312F93"/>
    <w:rsid w:val="0031374B"/>
    <w:rsid w:val="00314D28"/>
    <w:rsid w:val="00321027"/>
    <w:rsid w:val="00326950"/>
    <w:rsid w:val="00333E4B"/>
    <w:rsid w:val="0034010E"/>
    <w:rsid w:val="003458A9"/>
    <w:rsid w:val="00347ABF"/>
    <w:rsid w:val="00350B34"/>
    <w:rsid w:val="0035392B"/>
    <w:rsid w:val="00354482"/>
    <w:rsid w:val="00354F42"/>
    <w:rsid w:val="00356731"/>
    <w:rsid w:val="003574E5"/>
    <w:rsid w:val="00361FDE"/>
    <w:rsid w:val="00366C1D"/>
    <w:rsid w:val="0037056E"/>
    <w:rsid w:val="00374D9E"/>
    <w:rsid w:val="00374E79"/>
    <w:rsid w:val="003750B9"/>
    <w:rsid w:val="003761D2"/>
    <w:rsid w:val="003766E8"/>
    <w:rsid w:val="00376DD4"/>
    <w:rsid w:val="00380AC5"/>
    <w:rsid w:val="00382521"/>
    <w:rsid w:val="003832B4"/>
    <w:rsid w:val="00383EAD"/>
    <w:rsid w:val="0038442D"/>
    <w:rsid w:val="00392146"/>
    <w:rsid w:val="003A179A"/>
    <w:rsid w:val="003A3736"/>
    <w:rsid w:val="003A3ECB"/>
    <w:rsid w:val="003A4A61"/>
    <w:rsid w:val="003A6C34"/>
    <w:rsid w:val="003B0D09"/>
    <w:rsid w:val="003B2A8C"/>
    <w:rsid w:val="003B5229"/>
    <w:rsid w:val="003B52D4"/>
    <w:rsid w:val="003C0CB6"/>
    <w:rsid w:val="003C2E83"/>
    <w:rsid w:val="003C4D07"/>
    <w:rsid w:val="003C5579"/>
    <w:rsid w:val="003C6B00"/>
    <w:rsid w:val="003C7704"/>
    <w:rsid w:val="003E22CC"/>
    <w:rsid w:val="003F2FBA"/>
    <w:rsid w:val="003F7530"/>
    <w:rsid w:val="004022DB"/>
    <w:rsid w:val="00403F71"/>
    <w:rsid w:val="004062B6"/>
    <w:rsid w:val="004148C3"/>
    <w:rsid w:val="00420334"/>
    <w:rsid w:val="00420BF4"/>
    <w:rsid w:val="00425B6A"/>
    <w:rsid w:val="0043016E"/>
    <w:rsid w:val="00430B7D"/>
    <w:rsid w:val="004341B8"/>
    <w:rsid w:val="00437A05"/>
    <w:rsid w:val="004449D8"/>
    <w:rsid w:val="00451C91"/>
    <w:rsid w:val="00453146"/>
    <w:rsid w:val="0046549B"/>
    <w:rsid w:val="00472504"/>
    <w:rsid w:val="004726E4"/>
    <w:rsid w:val="00474F7B"/>
    <w:rsid w:val="00490053"/>
    <w:rsid w:val="004928EB"/>
    <w:rsid w:val="0049589B"/>
    <w:rsid w:val="004975AC"/>
    <w:rsid w:val="004A186A"/>
    <w:rsid w:val="004A5350"/>
    <w:rsid w:val="004A5BD0"/>
    <w:rsid w:val="004A71F9"/>
    <w:rsid w:val="004B2AB0"/>
    <w:rsid w:val="004B49AB"/>
    <w:rsid w:val="004B55A6"/>
    <w:rsid w:val="004B5B9A"/>
    <w:rsid w:val="004B5ECB"/>
    <w:rsid w:val="004B6442"/>
    <w:rsid w:val="004C0BA1"/>
    <w:rsid w:val="004C206F"/>
    <w:rsid w:val="004C2B32"/>
    <w:rsid w:val="004C4AE5"/>
    <w:rsid w:val="004D04E9"/>
    <w:rsid w:val="004D08F9"/>
    <w:rsid w:val="004D520F"/>
    <w:rsid w:val="004D7CE8"/>
    <w:rsid w:val="004E120D"/>
    <w:rsid w:val="004E3BB8"/>
    <w:rsid w:val="004E48C6"/>
    <w:rsid w:val="004E5CFA"/>
    <w:rsid w:val="004E6B79"/>
    <w:rsid w:val="004E7834"/>
    <w:rsid w:val="004E7D5E"/>
    <w:rsid w:val="004F0C60"/>
    <w:rsid w:val="004F16C4"/>
    <w:rsid w:val="004F44A1"/>
    <w:rsid w:val="004F5545"/>
    <w:rsid w:val="004F6D45"/>
    <w:rsid w:val="0050650D"/>
    <w:rsid w:val="00520F14"/>
    <w:rsid w:val="00521AA1"/>
    <w:rsid w:val="00521CEA"/>
    <w:rsid w:val="00530CE6"/>
    <w:rsid w:val="00544C2C"/>
    <w:rsid w:val="00546922"/>
    <w:rsid w:val="00547848"/>
    <w:rsid w:val="00551B93"/>
    <w:rsid w:val="005537D2"/>
    <w:rsid w:val="005561E7"/>
    <w:rsid w:val="0056215C"/>
    <w:rsid w:val="00564F8A"/>
    <w:rsid w:val="0056586A"/>
    <w:rsid w:val="00570ADB"/>
    <w:rsid w:val="005732A8"/>
    <w:rsid w:val="00576FCC"/>
    <w:rsid w:val="0057757C"/>
    <w:rsid w:val="0058124F"/>
    <w:rsid w:val="00583489"/>
    <w:rsid w:val="00590496"/>
    <w:rsid w:val="005A494A"/>
    <w:rsid w:val="005A609C"/>
    <w:rsid w:val="005A756E"/>
    <w:rsid w:val="005B1D69"/>
    <w:rsid w:val="005B27F9"/>
    <w:rsid w:val="005B408B"/>
    <w:rsid w:val="005B5C02"/>
    <w:rsid w:val="005B5DFF"/>
    <w:rsid w:val="005C1B05"/>
    <w:rsid w:val="005C3EAF"/>
    <w:rsid w:val="005C5F4A"/>
    <w:rsid w:val="005C717C"/>
    <w:rsid w:val="005D0846"/>
    <w:rsid w:val="005D3DDE"/>
    <w:rsid w:val="005D6D0D"/>
    <w:rsid w:val="005D7753"/>
    <w:rsid w:val="005D7A4B"/>
    <w:rsid w:val="005E32B7"/>
    <w:rsid w:val="005E5853"/>
    <w:rsid w:val="005F090D"/>
    <w:rsid w:val="005F24D1"/>
    <w:rsid w:val="005F554F"/>
    <w:rsid w:val="005F6E21"/>
    <w:rsid w:val="00600396"/>
    <w:rsid w:val="00602D62"/>
    <w:rsid w:val="00604241"/>
    <w:rsid w:val="00621D3A"/>
    <w:rsid w:val="00622DAC"/>
    <w:rsid w:val="0062336C"/>
    <w:rsid w:val="00642409"/>
    <w:rsid w:val="00642F94"/>
    <w:rsid w:val="0064367F"/>
    <w:rsid w:val="0064531C"/>
    <w:rsid w:val="00646D16"/>
    <w:rsid w:val="006471F8"/>
    <w:rsid w:val="0065063B"/>
    <w:rsid w:val="00651150"/>
    <w:rsid w:val="0065210B"/>
    <w:rsid w:val="00652CD8"/>
    <w:rsid w:val="00653127"/>
    <w:rsid w:val="00654D3E"/>
    <w:rsid w:val="00672A5E"/>
    <w:rsid w:val="00674A90"/>
    <w:rsid w:val="00680D32"/>
    <w:rsid w:val="00682D71"/>
    <w:rsid w:val="00683150"/>
    <w:rsid w:val="00683A95"/>
    <w:rsid w:val="00684514"/>
    <w:rsid w:val="00690139"/>
    <w:rsid w:val="00691986"/>
    <w:rsid w:val="006A1048"/>
    <w:rsid w:val="006A1E1B"/>
    <w:rsid w:val="006A243B"/>
    <w:rsid w:val="006A2F47"/>
    <w:rsid w:val="006A55F3"/>
    <w:rsid w:val="006A728F"/>
    <w:rsid w:val="006B0ADE"/>
    <w:rsid w:val="006B22FA"/>
    <w:rsid w:val="006C16E9"/>
    <w:rsid w:val="006D33AF"/>
    <w:rsid w:val="006E1206"/>
    <w:rsid w:val="006E29AF"/>
    <w:rsid w:val="006E7B97"/>
    <w:rsid w:val="006F08E7"/>
    <w:rsid w:val="006F1990"/>
    <w:rsid w:val="006F2D85"/>
    <w:rsid w:val="006F44EA"/>
    <w:rsid w:val="006F6341"/>
    <w:rsid w:val="006F6662"/>
    <w:rsid w:val="006F7021"/>
    <w:rsid w:val="006F788B"/>
    <w:rsid w:val="007034D2"/>
    <w:rsid w:val="007049AE"/>
    <w:rsid w:val="00706E41"/>
    <w:rsid w:val="00711623"/>
    <w:rsid w:val="00712CDD"/>
    <w:rsid w:val="007134D8"/>
    <w:rsid w:val="007135C1"/>
    <w:rsid w:val="00713E9B"/>
    <w:rsid w:val="00717047"/>
    <w:rsid w:val="00725EF6"/>
    <w:rsid w:val="007313BE"/>
    <w:rsid w:val="00731B6C"/>
    <w:rsid w:val="0073222D"/>
    <w:rsid w:val="007343D2"/>
    <w:rsid w:val="00734906"/>
    <w:rsid w:val="0073601A"/>
    <w:rsid w:val="00740854"/>
    <w:rsid w:val="00740BD8"/>
    <w:rsid w:val="00741058"/>
    <w:rsid w:val="00741512"/>
    <w:rsid w:val="007512FC"/>
    <w:rsid w:val="0075326F"/>
    <w:rsid w:val="00757220"/>
    <w:rsid w:val="00757310"/>
    <w:rsid w:val="007605EF"/>
    <w:rsid w:val="007623D5"/>
    <w:rsid w:val="00762863"/>
    <w:rsid w:val="0076676A"/>
    <w:rsid w:val="007706EB"/>
    <w:rsid w:val="00772951"/>
    <w:rsid w:val="00773551"/>
    <w:rsid w:val="00773D3E"/>
    <w:rsid w:val="0077779B"/>
    <w:rsid w:val="00780F79"/>
    <w:rsid w:val="0078149B"/>
    <w:rsid w:val="00786472"/>
    <w:rsid w:val="007876F5"/>
    <w:rsid w:val="00790890"/>
    <w:rsid w:val="007A1091"/>
    <w:rsid w:val="007A2860"/>
    <w:rsid w:val="007A69E1"/>
    <w:rsid w:val="007B03C7"/>
    <w:rsid w:val="007B147E"/>
    <w:rsid w:val="007B1BA8"/>
    <w:rsid w:val="007B207C"/>
    <w:rsid w:val="007B2FEF"/>
    <w:rsid w:val="007B5676"/>
    <w:rsid w:val="007B786D"/>
    <w:rsid w:val="007C045A"/>
    <w:rsid w:val="007C7506"/>
    <w:rsid w:val="007D0053"/>
    <w:rsid w:val="007D1976"/>
    <w:rsid w:val="007D3ACE"/>
    <w:rsid w:val="007E02C9"/>
    <w:rsid w:val="007E2B9C"/>
    <w:rsid w:val="007E52BC"/>
    <w:rsid w:val="007F0CE7"/>
    <w:rsid w:val="007F19A9"/>
    <w:rsid w:val="007F29D4"/>
    <w:rsid w:val="007F3D9D"/>
    <w:rsid w:val="007F4022"/>
    <w:rsid w:val="007F510D"/>
    <w:rsid w:val="007F598E"/>
    <w:rsid w:val="007F7741"/>
    <w:rsid w:val="007F7981"/>
    <w:rsid w:val="00800300"/>
    <w:rsid w:val="00804203"/>
    <w:rsid w:val="008057BB"/>
    <w:rsid w:val="00805C41"/>
    <w:rsid w:val="008126AD"/>
    <w:rsid w:val="00812D3E"/>
    <w:rsid w:val="00820BE2"/>
    <w:rsid w:val="008210F5"/>
    <w:rsid w:val="00827420"/>
    <w:rsid w:val="008306DF"/>
    <w:rsid w:val="00830BE6"/>
    <w:rsid w:val="00832520"/>
    <w:rsid w:val="00837429"/>
    <w:rsid w:val="008466CD"/>
    <w:rsid w:val="00847D7B"/>
    <w:rsid w:val="00850714"/>
    <w:rsid w:val="00850B86"/>
    <w:rsid w:val="00863F62"/>
    <w:rsid w:val="008674EB"/>
    <w:rsid w:val="00871D7C"/>
    <w:rsid w:val="00871DB1"/>
    <w:rsid w:val="00872194"/>
    <w:rsid w:val="0087535C"/>
    <w:rsid w:val="00880CFE"/>
    <w:rsid w:val="008849D1"/>
    <w:rsid w:val="00887072"/>
    <w:rsid w:val="00890106"/>
    <w:rsid w:val="00893643"/>
    <w:rsid w:val="008973CC"/>
    <w:rsid w:val="008A2954"/>
    <w:rsid w:val="008A6E9C"/>
    <w:rsid w:val="008A7723"/>
    <w:rsid w:val="008C4A30"/>
    <w:rsid w:val="008C7D3B"/>
    <w:rsid w:val="008D2B81"/>
    <w:rsid w:val="008D52D7"/>
    <w:rsid w:val="008E2DD0"/>
    <w:rsid w:val="008E3D73"/>
    <w:rsid w:val="008E4E28"/>
    <w:rsid w:val="008E792F"/>
    <w:rsid w:val="008E7DCA"/>
    <w:rsid w:val="008E7F40"/>
    <w:rsid w:val="008F158D"/>
    <w:rsid w:val="0090124B"/>
    <w:rsid w:val="00902857"/>
    <w:rsid w:val="0090735D"/>
    <w:rsid w:val="009162E5"/>
    <w:rsid w:val="00917698"/>
    <w:rsid w:val="0092076A"/>
    <w:rsid w:val="009258B6"/>
    <w:rsid w:val="00926B3F"/>
    <w:rsid w:val="00930870"/>
    <w:rsid w:val="00930D32"/>
    <w:rsid w:val="00932BEB"/>
    <w:rsid w:val="009330D8"/>
    <w:rsid w:val="00934019"/>
    <w:rsid w:val="00934A6C"/>
    <w:rsid w:val="00934BAF"/>
    <w:rsid w:val="009378E8"/>
    <w:rsid w:val="00940531"/>
    <w:rsid w:val="00941D02"/>
    <w:rsid w:val="00943383"/>
    <w:rsid w:val="009443DE"/>
    <w:rsid w:val="0094714F"/>
    <w:rsid w:val="00951ECF"/>
    <w:rsid w:val="0096120E"/>
    <w:rsid w:val="009845DB"/>
    <w:rsid w:val="0098471E"/>
    <w:rsid w:val="00984A17"/>
    <w:rsid w:val="009953EF"/>
    <w:rsid w:val="00996D54"/>
    <w:rsid w:val="009A3F18"/>
    <w:rsid w:val="009A574A"/>
    <w:rsid w:val="009A5B4A"/>
    <w:rsid w:val="009B089A"/>
    <w:rsid w:val="009B5174"/>
    <w:rsid w:val="009B6491"/>
    <w:rsid w:val="009B750B"/>
    <w:rsid w:val="009C0875"/>
    <w:rsid w:val="009D1977"/>
    <w:rsid w:val="009D5077"/>
    <w:rsid w:val="009D60A6"/>
    <w:rsid w:val="009D6567"/>
    <w:rsid w:val="009E0094"/>
    <w:rsid w:val="009E27C6"/>
    <w:rsid w:val="009E49CC"/>
    <w:rsid w:val="009E54A7"/>
    <w:rsid w:val="009E6B9C"/>
    <w:rsid w:val="009E73F8"/>
    <w:rsid w:val="009F0EF0"/>
    <w:rsid w:val="009F2A73"/>
    <w:rsid w:val="009F3B36"/>
    <w:rsid w:val="00A01613"/>
    <w:rsid w:val="00A04EDF"/>
    <w:rsid w:val="00A0645F"/>
    <w:rsid w:val="00A23E90"/>
    <w:rsid w:val="00A24567"/>
    <w:rsid w:val="00A2644C"/>
    <w:rsid w:val="00A27F28"/>
    <w:rsid w:val="00A31D7C"/>
    <w:rsid w:val="00A3509D"/>
    <w:rsid w:val="00A36712"/>
    <w:rsid w:val="00A36BA0"/>
    <w:rsid w:val="00A50A43"/>
    <w:rsid w:val="00A54F25"/>
    <w:rsid w:val="00A55868"/>
    <w:rsid w:val="00A618B3"/>
    <w:rsid w:val="00A62C45"/>
    <w:rsid w:val="00A65749"/>
    <w:rsid w:val="00A71515"/>
    <w:rsid w:val="00A81428"/>
    <w:rsid w:val="00A91BA9"/>
    <w:rsid w:val="00AA3C88"/>
    <w:rsid w:val="00AA6922"/>
    <w:rsid w:val="00AA6978"/>
    <w:rsid w:val="00AA74D3"/>
    <w:rsid w:val="00AA7794"/>
    <w:rsid w:val="00AA79F0"/>
    <w:rsid w:val="00AB05AD"/>
    <w:rsid w:val="00AB27E7"/>
    <w:rsid w:val="00AB5C76"/>
    <w:rsid w:val="00AC021C"/>
    <w:rsid w:val="00AC23B2"/>
    <w:rsid w:val="00AC23E4"/>
    <w:rsid w:val="00AC263A"/>
    <w:rsid w:val="00AC4E26"/>
    <w:rsid w:val="00AC78C1"/>
    <w:rsid w:val="00AD0A2E"/>
    <w:rsid w:val="00AD4170"/>
    <w:rsid w:val="00AD6D29"/>
    <w:rsid w:val="00AE16C3"/>
    <w:rsid w:val="00AE3CA2"/>
    <w:rsid w:val="00AE45FB"/>
    <w:rsid w:val="00AE51F2"/>
    <w:rsid w:val="00AF297A"/>
    <w:rsid w:val="00AF3564"/>
    <w:rsid w:val="00AF5A67"/>
    <w:rsid w:val="00AF643A"/>
    <w:rsid w:val="00AF6EF5"/>
    <w:rsid w:val="00AF790F"/>
    <w:rsid w:val="00B01438"/>
    <w:rsid w:val="00B015B0"/>
    <w:rsid w:val="00B04604"/>
    <w:rsid w:val="00B0523F"/>
    <w:rsid w:val="00B12AD8"/>
    <w:rsid w:val="00B16892"/>
    <w:rsid w:val="00B178EC"/>
    <w:rsid w:val="00B23C44"/>
    <w:rsid w:val="00B259D3"/>
    <w:rsid w:val="00B30685"/>
    <w:rsid w:val="00B358E3"/>
    <w:rsid w:val="00B36188"/>
    <w:rsid w:val="00B37EBB"/>
    <w:rsid w:val="00B4073D"/>
    <w:rsid w:val="00B4179B"/>
    <w:rsid w:val="00B44311"/>
    <w:rsid w:val="00B45896"/>
    <w:rsid w:val="00B5417E"/>
    <w:rsid w:val="00B60B23"/>
    <w:rsid w:val="00B611EE"/>
    <w:rsid w:val="00B61960"/>
    <w:rsid w:val="00B629B5"/>
    <w:rsid w:val="00B76A35"/>
    <w:rsid w:val="00B771B6"/>
    <w:rsid w:val="00B8271F"/>
    <w:rsid w:val="00B9068F"/>
    <w:rsid w:val="00B96753"/>
    <w:rsid w:val="00BA0DAC"/>
    <w:rsid w:val="00BA2ABC"/>
    <w:rsid w:val="00BA4F13"/>
    <w:rsid w:val="00BB2D00"/>
    <w:rsid w:val="00BB392A"/>
    <w:rsid w:val="00BB4A02"/>
    <w:rsid w:val="00BB657A"/>
    <w:rsid w:val="00BC0A26"/>
    <w:rsid w:val="00BC3455"/>
    <w:rsid w:val="00BC462B"/>
    <w:rsid w:val="00BD00B7"/>
    <w:rsid w:val="00BD4E01"/>
    <w:rsid w:val="00BD5361"/>
    <w:rsid w:val="00BD6DD3"/>
    <w:rsid w:val="00BD6F7C"/>
    <w:rsid w:val="00BE0EAF"/>
    <w:rsid w:val="00BE37F0"/>
    <w:rsid w:val="00BE6F6C"/>
    <w:rsid w:val="00BE7E2B"/>
    <w:rsid w:val="00BF0201"/>
    <w:rsid w:val="00BF2BF5"/>
    <w:rsid w:val="00BF5A13"/>
    <w:rsid w:val="00C0109A"/>
    <w:rsid w:val="00C0363D"/>
    <w:rsid w:val="00C060F0"/>
    <w:rsid w:val="00C06673"/>
    <w:rsid w:val="00C07F16"/>
    <w:rsid w:val="00C1323A"/>
    <w:rsid w:val="00C1356E"/>
    <w:rsid w:val="00C148AE"/>
    <w:rsid w:val="00C15421"/>
    <w:rsid w:val="00C15A2C"/>
    <w:rsid w:val="00C1790B"/>
    <w:rsid w:val="00C22FAE"/>
    <w:rsid w:val="00C27595"/>
    <w:rsid w:val="00C27D89"/>
    <w:rsid w:val="00C31639"/>
    <w:rsid w:val="00C35628"/>
    <w:rsid w:val="00C40013"/>
    <w:rsid w:val="00C43823"/>
    <w:rsid w:val="00C519BB"/>
    <w:rsid w:val="00C55647"/>
    <w:rsid w:val="00C57FE1"/>
    <w:rsid w:val="00C6485F"/>
    <w:rsid w:val="00C64F8A"/>
    <w:rsid w:val="00C72D6B"/>
    <w:rsid w:val="00C7322C"/>
    <w:rsid w:val="00C73F3C"/>
    <w:rsid w:val="00C90EA4"/>
    <w:rsid w:val="00C9271E"/>
    <w:rsid w:val="00C92D77"/>
    <w:rsid w:val="00CA0AED"/>
    <w:rsid w:val="00CA57DC"/>
    <w:rsid w:val="00CB60E1"/>
    <w:rsid w:val="00CC271D"/>
    <w:rsid w:val="00CC353C"/>
    <w:rsid w:val="00CC7533"/>
    <w:rsid w:val="00CD0B06"/>
    <w:rsid w:val="00CD0DA9"/>
    <w:rsid w:val="00CD5D0E"/>
    <w:rsid w:val="00CD739C"/>
    <w:rsid w:val="00CE247B"/>
    <w:rsid w:val="00CE2A32"/>
    <w:rsid w:val="00CE4D70"/>
    <w:rsid w:val="00CE533A"/>
    <w:rsid w:val="00CE7D1D"/>
    <w:rsid w:val="00CF0682"/>
    <w:rsid w:val="00CF6685"/>
    <w:rsid w:val="00CF6C07"/>
    <w:rsid w:val="00D001F9"/>
    <w:rsid w:val="00D0175E"/>
    <w:rsid w:val="00D069DD"/>
    <w:rsid w:val="00D07D40"/>
    <w:rsid w:val="00D13578"/>
    <w:rsid w:val="00D16567"/>
    <w:rsid w:val="00D202BF"/>
    <w:rsid w:val="00D256D9"/>
    <w:rsid w:val="00D31104"/>
    <w:rsid w:val="00D43D17"/>
    <w:rsid w:val="00D444DE"/>
    <w:rsid w:val="00D527A5"/>
    <w:rsid w:val="00D52AD2"/>
    <w:rsid w:val="00D52F7A"/>
    <w:rsid w:val="00D5506D"/>
    <w:rsid w:val="00D554E2"/>
    <w:rsid w:val="00D55505"/>
    <w:rsid w:val="00D56C21"/>
    <w:rsid w:val="00D574BF"/>
    <w:rsid w:val="00D70234"/>
    <w:rsid w:val="00D72868"/>
    <w:rsid w:val="00D728FC"/>
    <w:rsid w:val="00D7521C"/>
    <w:rsid w:val="00D75385"/>
    <w:rsid w:val="00D803AD"/>
    <w:rsid w:val="00D81D32"/>
    <w:rsid w:val="00D946C8"/>
    <w:rsid w:val="00D967B0"/>
    <w:rsid w:val="00DA28A5"/>
    <w:rsid w:val="00DA3AF1"/>
    <w:rsid w:val="00DA517F"/>
    <w:rsid w:val="00DA65C9"/>
    <w:rsid w:val="00DA76DD"/>
    <w:rsid w:val="00DB64EE"/>
    <w:rsid w:val="00DC1E7B"/>
    <w:rsid w:val="00DC3D61"/>
    <w:rsid w:val="00DC77E0"/>
    <w:rsid w:val="00DD0522"/>
    <w:rsid w:val="00DE597D"/>
    <w:rsid w:val="00DF033F"/>
    <w:rsid w:val="00DF0752"/>
    <w:rsid w:val="00DF1356"/>
    <w:rsid w:val="00DF13EA"/>
    <w:rsid w:val="00DF15E0"/>
    <w:rsid w:val="00DF3C8B"/>
    <w:rsid w:val="00DF6459"/>
    <w:rsid w:val="00DF705A"/>
    <w:rsid w:val="00E01C81"/>
    <w:rsid w:val="00E02901"/>
    <w:rsid w:val="00E06753"/>
    <w:rsid w:val="00E11C5D"/>
    <w:rsid w:val="00E209E1"/>
    <w:rsid w:val="00E237BC"/>
    <w:rsid w:val="00E3329B"/>
    <w:rsid w:val="00E348D1"/>
    <w:rsid w:val="00E34C15"/>
    <w:rsid w:val="00E40B97"/>
    <w:rsid w:val="00E44080"/>
    <w:rsid w:val="00E51A4B"/>
    <w:rsid w:val="00E53EC7"/>
    <w:rsid w:val="00E71755"/>
    <w:rsid w:val="00E71E4A"/>
    <w:rsid w:val="00E74394"/>
    <w:rsid w:val="00E7624C"/>
    <w:rsid w:val="00E850B8"/>
    <w:rsid w:val="00E86909"/>
    <w:rsid w:val="00E90117"/>
    <w:rsid w:val="00E93800"/>
    <w:rsid w:val="00EA32A9"/>
    <w:rsid w:val="00EC0BAA"/>
    <w:rsid w:val="00EC0F88"/>
    <w:rsid w:val="00EC3FEF"/>
    <w:rsid w:val="00EC6134"/>
    <w:rsid w:val="00EC7479"/>
    <w:rsid w:val="00ED1BE6"/>
    <w:rsid w:val="00ED6399"/>
    <w:rsid w:val="00EE1150"/>
    <w:rsid w:val="00EE2A40"/>
    <w:rsid w:val="00EE5416"/>
    <w:rsid w:val="00EE75FC"/>
    <w:rsid w:val="00EF0BDE"/>
    <w:rsid w:val="00EF1207"/>
    <w:rsid w:val="00EF2A12"/>
    <w:rsid w:val="00EF3D6E"/>
    <w:rsid w:val="00EF3E22"/>
    <w:rsid w:val="00EF43AE"/>
    <w:rsid w:val="00EF7C9E"/>
    <w:rsid w:val="00F0093C"/>
    <w:rsid w:val="00F079BF"/>
    <w:rsid w:val="00F11FD2"/>
    <w:rsid w:val="00F1207D"/>
    <w:rsid w:val="00F1286B"/>
    <w:rsid w:val="00F14F80"/>
    <w:rsid w:val="00F222BB"/>
    <w:rsid w:val="00F24018"/>
    <w:rsid w:val="00F306F2"/>
    <w:rsid w:val="00F31B75"/>
    <w:rsid w:val="00F33FC9"/>
    <w:rsid w:val="00F35687"/>
    <w:rsid w:val="00F401ED"/>
    <w:rsid w:val="00F45D5A"/>
    <w:rsid w:val="00F46A28"/>
    <w:rsid w:val="00F4718A"/>
    <w:rsid w:val="00F51017"/>
    <w:rsid w:val="00F574F1"/>
    <w:rsid w:val="00F575FC"/>
    <w:rsid w:val="00F60D3D"/>
    <w:rsid w:val="00F612E1"/>
    <w:rsid w:val="00F61F63"/>
    <w:rsid w:val="00F63BFA"/>
    <w:rsid w:val="00F679AE"/>
    <w:rsid w:val="00F707D8"/>
    <w:rsid w:val="00F737E5"/>
    <w:rsid w:val="00F80756"/>
    <w:rsid w:val="00F84816"/>
    <w:rsid w:val="00F91737"/>
    <w:rsid w:val="00F9267F"/>
    <w:rsid w:val="00F96452"/>
    <w:rsid w:val="00FA37B9"/>
    <w:rsid w:val="00FA449B"/>
    <w:rsid w:val="00FB0817"/>
    <w:rsid w:val="00FB2E66"/>
    <w:rsid w:val="00FB6A23"/>
    <w:rsid w:val="00FB6A4F"/>
    <w:rsid w:val="00FB7E4E"/>
    <w:rsid w:val="00FC033B"/>
    <w:rsid w:val="00FC1F6F"/>
    <w:rsid w:val="00FC5856"/>
    <w:rsid w:val="00FD0E47"/>
    <w:rsid w:val="00FD456F"/>
    <w:rsid w:val="00FD59D8"/>
    <w:rsid w:val="00FD609C"/>
    <w:rsid w:val="00FE235C"/>
    <w:rsid w:val="00FE3D86"/>
    <w:rsid w:val="00FE57C6"/>
    <w:rsid w:val="00FE5BA9"/>
    <w:rsid w:val="00FF54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F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94"/>
  </w:style>
  <w:style w:type="paragraph" w:styleId="Heading1">
    <w:name w:val="heading 1"/>
    <w:basedOn w:val="Normal"/>
    <w:next w:val="Normal"/>
    <w:link w:val="Heading1Char"/>
    <w:uiPriority w:val="9"/>
    <w:qFormat/>
    <w:rsid w:val="00642F94"/>
    <w:pPr>
      <w:keepNext/>
      <w:keepLines/>
      <w:numPr>
        <w:numId w:val="4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642F94"/>
    <w:pPr>
      <w:keepNext/>
      <w:keepLines/>
      <w:numPr>
        <w:ilvl w:val="1"/>
        <w:numId w:val="4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642F94"/>
    <w:pPr>
      <w:keepNext/>
      <w:keepLines/>
      <w:numPr>
        <w:ilvl w:val="2"/>
        <w:numId w:val="4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42F94"/>
    <w:pPr>
      <w:keepNext/>
      <w:keepLines/>
      <w:numPr>
        <w:ilvl w:val="3"/>
        <w:numId w:val="4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642F94"/>
    <w:pPr>
      <w:keepNext/>
      <w:keepLines/>
      <w:numPr>
        <w:ilvl w:val="4"/>
        <w:numId w:val="44"/>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642F94"/>
    <w:pPr>
      <w:keepNext/>
      <w:keepLines/>
      <w:numPr>
        <w:ilvl w:val="5"/>
        <w:numId w:val="44"/>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642F94"/>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2F94"/>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2F94"/>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F9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642F9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642F94"/>
    <w:rPr>
      <w:rFonts w:asciiTheme="majorHAnsi" w:eastAsiaTheme="majorEastAsia" w:hAnsiTheme="majorHAnsi" w:cstheme="majorBidi"/>
      <w:b/>
      <w:bCs/>
      <w:color w:val="000000" w:themeColor="text1"/>
    </w:rPr>
  </w:style>
  <w:style w:type="character" w:styleId="Hyperlink">
    <w:name w:val="Hyperlink"/>
    <w:basedOn w:val="DefaultParagraphFont"/>
    <w:uiPriority w:val="99"/>
    <w:unhideWhenUsed/>
    <w:rsid w:val="00C1323A"/>
    <w:rPr>
      <w:color w:val="0563C1" w:themeColor="hyperlink"/>
      <w:u w:val="single"/>
    </w:rPr>
  </w:style>
  <w:style w:type="character" w:styleId="CommentReference">
    <w:name w:val="annotation reference"/>
    <w:basedOn w:val="DefaultParagraphFont"/>
    <w:uiPriority w:val="99"/>
    <w:semiHidden/>
    <w:unhideWhenUsed/>
    <w:rsid w:val="00C1323A"/>
    <w:rPr>
      <w:sz w:val="16"/>
      <w:szCs w:val="16"/>
    </w:rPr>
  </w:style>
  <w:style w:type="paragraph" w:styleId="CommentText">
    <w:name w:val="annotation text"/>
    <w:basedOn w:val="Normal"/>
    <w:link w:val="CommentTextChar"/>
    <w:uiPriority w:val="99"/>
    <w:unhideWhenUsed/>
    <w:rsid w:val="00C1323A"/>
    <w:pPr>
      <w:spacing w:line="240" w:lineRule="auto"/>
    </w:pPr>
    <w:rPr>
      <w:sz w:val="20"/>
      <w:szCs w:val="20"/>
    </w:rPr>
  </w:style>
  <w:style w:type="character" w:customStyle="1" w:styleId="CommentTextChar">
    <w:name w:val="Comment Text Char"/>
    <w:basedOn w:val="DefaultParagraphFont"/>
    <w:link w:val="CommentText"/>
    <w:uiPriority w:val="99"/>
    <w:rsid w:val="00C1323A"/>
    <w:rPr>
      <w:sz w:val="20"/>
      <w:szCs w:val="20"/>
    </w:rPr>
  </w:style>
  <w:style w:type="paragraph" w:styleId="CommentSubject">
    <w:name w:val="annotation subject"/>
    <w:basedOn w:val="CommentText"/>
    <w:next w:val="CommentText"/>
    <w:link w:val="CommentSubjectChar"/>
    <w:uiPriority w:val="99"/>
    <w:semiHidden/>
    <w:unhideWhenUsed/>
    <w:rsid w:val="00C1323A"/>
    <w:rPr>
      <w:b/>
      <w:bCs/>
    </w:rPr>
  </w:style>
  <w:style w:type="character" w:customStyle="1" w:styleId="CommentSubjectChar">
    <w:name w:val="Comment Subject Char"/>
    <w:basedOn w:val="CommentTextChar"/>
    <w:link w:val="CommentSubject"/>
    <w:uiPriority w:val="99"/>
    <w:semiHidden/>
    <w:rsid w:val="00C1323A"/>
    <w:rPr>
      <w:b/>
      <w:bCs/>
      <w:sz w:val="20"/>
      <w:szCs w:val="20"/>
    </w:rPr>
  </w:style>
  <w:style w:type="paragraph" w:styleId="BalloonText">
    <w:name w:val="Balloon Text"/>
    <w:basedOn w:val="Normal"/>
    <w:link w:val="BalloonTextChar"/>
    <w:uiPriority w:val="99"/>
    <w:semiHidden/>
    <w:unhideWhenUsed/>
    <w:rsid w:val="00C13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23A"/>
    <w:rPr>
      <w:rFonts w:ascii="Segoe UI" w:hAnsi="Segoe UI" w:cs="Segoe UI"/>
      <w:sz w:val="18"/>
      <w:szCs w:val="18"/>
    </w:rPr>
  </w:style>
  <w:style w:type="paragraph" w:styleId="Subtitle">
    <w:name w:val="Subtitle"/>
    <w:basedOn w:val="Normal"/>
    <w:next w:val="Normal"/>
    <w:link w:val="SubtitleChar"/>
    <w:uiPriority w:val="11"/>
    <w:qFormat/>
    <w:rsid w:val="00642F94"/>
    <w:pPr>
      <w:numPr>
        <w:ilvl w:val="1"/>
      </w:numPr>
    </w:pPr>
    <w:rPr>
      <w:color w:val="5A5A5A" w:themeColor="text1" w:themeTint="A5"/>
      <w:spacing w:val="10"/>
      <w:sz w:val="28"/>
    </w:rPr>
  </w:style>
  <w:style w:type="character" w:customStyle="1" w:styleId="SubtitleChar">
    <w:name w:val="Subtitle Char"/>
    <w:basedOn w:val="DefaultParagraphFont"/>
    <w:link w:val="Subtitle"/>
    <w:uiPriority w:val="11"/>
    <w:rsid w:val="00642F94"/>
    <w:rPr>
      <w:color w:val="5A5A5A" w:themeColor="text1" w:themeTint="A5"/>
      <w:spacing w:val="10"/>
      <w:sz w:val="28"/>
    </w:rPr>
  </w:style>
  <w:style w:type="paragraph" w:styleId="Header">
    <w:name w:val="header"/>
    <w:basedOn w:val="Normal"/>
    <w:link w:val="HeaderChar"/>
    <w:uiPriority w:val="99"/>
    <w:unhideWhenUsed/>
    <w:rsid w:val="00C13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23A"/>
  </w:style>
  <w:style w:type="paragraph" w:styleId="Footer">
    <w:name w:val="footer"/>
    <w:basedOn w:val="Normal"/>
    <w:link w:val="FooterChar"/>
    <w:uiPriority w:val="99"/>
    <w:unhideWhenUsed/>
    <w:rsid w:val="00C13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23A"/>
  </w:style>
  <w:style w:type="paragraph" w:styleId="ListParagraph">
    <w:name w:val="List Paragraph"/>
    <w:basedOn w:val="Normal"/>
    <w:uiPriority w:val="34"/>
    <w:qFormat/>
    <w:rsid w:val="00F14F80"/>
    <w:pPr>
      <w:ind w:left="720"/>
      <w:contextualSpacing/>
    </w:pPr>
  </w:style>
  <w:style w:type="paragraph" w:styleId="Title">
    <w:name w:val="Title"/>
    <w:basedOn w:val="Normal"/>
    <w:next w:val="Normal"/>
    <w:link w:val="TitleChar"/>
    <w:uiPriority w:val="10"/>
    <w:qFormat/>
    <w:rsid w:val="00642F9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642F94"/>
    <w:rPr>
      <w:rFonts w:asciiTheme="majorHAnsi" w:eastAsiaTheme="majorEastAsia" w:hAnsiTheme="majorHAnsi" w:cstheme="majorBidi"/>
      <w:color w:val="000000" w:themeColor="text1"/>
      <w:sz w:val="56"/>
      <w:szCs w:val="56"/>
    </w:rPr>
  </w:style>
  <w:style w:type="paragraph" w:styleId="NoSpacing">
    <w:name w:val="No Spacing"/>
    <w:uiPriority w:val="1"/>
    <w:qFormat/>
    <w:rsid w:val="00642F94"/>
    <w:pPr>
      <w:spacing w:after="0" w:line="240" w:lineRule="auto"/>
    </w:pPr>
  </w:style>
  <w:style w:type="character" w:styleId="FollowedHyperlink">
    <w:name w:val="FollowedHyperlink"/>
    <w:basedOn w:val="DefaultParagraphFont"/>
    <w:uiPriority w:val="99"/>
    <w:semiHidden/>
    <w:unhideWhenUsed/>
    <w:rsid w:val="00C1323A"/>
    <w:rPr>
      <w:color w:val="954F72" w:themeColor="followedHyperlink"/>
      <w:u w:val="single"/>
    </w:rPr>
  </w:style>
  <w:style w:type="character" w:styleId="Emphasis">
    <w:name w:val="Emphasis"/>
    <w:basedOn w:val="DefaultParagraphFont"/>
    <w:uiPriority w:val="20"/>
    <w:qFormat/>
    <w:rsid w:val="00642F94"/>
    <w:rPr>
      <w:i/>
      <w:iCs/>
      <w:color w:val="auto"/>
    </w:rPr>
  </w:style>
  <w:style w:type="character" w:styleId="Strong">
    <w:name w:val="Strong"/>
    <w:basedOn w:val="DefaultParagraphFont"/>
    <w:uiPriority w:val="22"/>
    <w:qFormat/>
    <w:rsid w:val="00642F94"/>
    <w:rPr>
      <w:b/>
      <w:bCs/>
      <w:color w:val="000000" w:themeColor="text1"/>
    </w:rPr>
  </w:style>
  <w:style w:type="character" w:styleId="HTMLCite">
    <w:name w:val="HTML Cite"/>
    <w:basedOn w:val="DefaultParagraphFont"/>
    <w:uiPriority w:val="99"/>
    <w:semiHidden/>
    <w:unhideWhenUsed/>
    <w:rsid w:val="00C1323A"/>
    <w:rPr>
      <w:i/>
      <w:iCs/>
    </w:rPr>
  </w:style>
  <w:style w:type="paragraph" w:customStyle="1" w:styleId="para">
    <w:name w:val="para"/>
    <w:basedOn w:val="Normal"/>
    <w:rsid w:val="00C132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C1323A"/>
  </w:style>
  <w:style w:type="character" w:customStyle="1" w:styleId="externalref">
    <w:name w:val="externalref"/>
    <w:basedOn w:val="DefaultParagraphFont"/>
    <w:rsid w:val="00C1323A"/>
  </w:style>
  <w:style w:type="character" w:customStyle="1" w:styleId="refsource">
    <w:name w:val="refsource"/>
    <w:basedOn w:val="DefaultParagraphFont"/>
    <w:rsid w:val="00C1323A"/>
  </w:style>
  <w:style w:type="paragraph" w:styleId="FootnoteText">
    <w:name w:val="footnote text"/>
    <w:basedOn w:val="Normal"/>
    <w:link w:val="FootnoteTextChar"/>
    <w:uiPriority w:val="99"/>
    <w:semiHidden/>
    <w:unhideWhenUsed/>
    <w:rsid w:val="000B40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40D5"/>
    <w:rPr>
      <w:sz w:val="20"/>
      <w:szCs w:val="20"/>
    </w:rPr>
  </w:style>
  <w:style w:type="character" w:styleId="FootnoteReference">
    <w:name w:val="footnote reference"/>
    <w:basedOn w:val="DefaultParagraphFont"/>
    <w:uiPriority w:val="99"/>
    <w:semiHidden/>
    <w:unhideWhenUsed/>
    <w:rsid w:val="000B40D5"/>
    <w:rPr>
      <w:vertAlign w:val="superscript"/>
    </w:rPr>
  </w:style>
  <w:style w:type="character" w:customStyle="1" w:styleId="apple-converted-space">
    <w:name w:val="apple-converted-space"/>
    <w:basedOn w:val="DefaultParagraphFont"/>
    <w:rsid w:val="004E6B79"/>
  </w:style>
  <w:style w:type="character" w:customStyle="1" w:styleId="Heading4Char">
    <w:name w:val="Heading 4 Char"/>
    <w:basedOn w:val="DefaultParagraphFont"/>
    <w:link w:val="Heading4"/>
    <w:uiPriority w:val="9"/>
    <w:semiHidden/>
    <w:rsid w:val="00642F9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642F94"/>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642F94"/>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642F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2F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2F9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2F94"/>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642F94"/>
    <w:pPr>
      <w:spacing w:before="160"/>
      <w:ind w:left="720" w:right="720"/>
    </w:pPr>
    <w:rPr>
      <w:i/>
      <w:iCs/>
      <w:color w:val="000000" w:themeColor="text1"/>
    </w:rPr>
  </w:style>
  <w:style w:type="character" w:customStyle="1" w:styleId="QuoteChar">
    <w:name w:val="Quote Char"/>
    <w:basedOn w:val="DefaultParagraphFont"/>
    <w:link w:val="Quote"/>
    <w:uiPriority w:val="29"/>
    <w:rsid w:val="00642F94"/>
    <w:rPr>
      <w:i/>
      <w:iCs/>
      <w:color w:val="000000" w:themeColor="text1"/>
    </w:rPr>
  </w:style>
  <w:style w:type="paragraph" w:styleId="IntenseQuote">
    <w:name w:val="Intense Quote"/>
    <w:basedOn w:val="Normal"/>
    <w:next w:val="Normal"/>
    <w:link w:val="IntenseQuoteChar"/>
    <w:uiPriority w:val="30"/>
    <w:qFormat/>
    <w:rsid w:val="00642F9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642F94"/>
    <w:rPr>
      <w:color w:val="000000" w:themeColor="text1"/>
      <w:shd w:val="clear" w:color="auto" w:fill="F2F2F2" w:themeFill="background1" w:themeFillShade="F2"/>
    </w:rPr>
  </w:style>
  <w:style w:type="character" w:styleId="SubtleEmphasis">
    <w:name w:val="Subtle Emphasis"/>
    <w:basedOn w:val="DefaultParagraphFont"/>
    <w:uiPriority w:val="19"/>
    <w:qFormat/>
    <w:rsid w:val="00642F94"/>
    <w:rPr>
      <w:i/>
      <w:iCs/>
      <w:color w:val="404040" w:themeColor="text1" w:themeTint="BF"/>
    </w:rPr>
  </w:style>
  <w:style w:type="character" w:styleId="IntenseEmphasis">
    <w:name w:val="Intense Emphasis"/>
    <w:basedOn w:val="DefaultParagraphFont"/>
    <w:uiPriority w:val="21"/>
    <w:qFormat/>
    <w:rsid w:val="00642F94"/>
    <w:rPr>
      <w:b/>
      <w:bCs/>
      <w:i/>
      <w:iCs/>
      <w:caps/>
    </w:rPr>
  </w:style>
  <w:style w:type="character" w:styleId="SubtleReference">
    <w:name w:val="Subtle Reference"/>
    <w:basedOn w:val="DefaultParagraphFont"/>
    <w:uiPriority w:val="31"/>
    <w:qFormat/>
    <w:rsid w:val="00642F9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42F94"/>
    <w:rPr>
      <w:b/>
      <w:bCs/>
      <w:smallCaps/>
      <w:u w:val="single"/>
    </w:rPr>
  </w:style>
  <w:style w:type="character" w:styleId="BookTitle">
    <w:name w:val="Book Title"/>
    <w:basedOn w:val="DefaultParagraphFont"/>
    <w:uiPriority w:val="33"/>
    <w:qFormat/>
    <w:rsid w:val="00642F94"/>
    <w:rPr>
      <w:b w:val="0"/>
      <w:bCs w:val="0"/>
      <w:smallCaps/>
      <w:spacing w:val="5"/>
    </w:rPr>
  </w:style>
  <w:style w:type="paragraph" w:styleId="TOCHeading">
    <w:name w:val="TOC Heading"/>
    <w:basedOn w:val="Heading1"/>
    <w:next w:val="Normal"/>
    <w:uiPriority w:val="39"/>
    <w:semiHidden/>
    <w:unhideWhenUsed/>
    <w:qFormat/>
    <w:rsid w:val="00642F94"/>
    <w:pPr>
      <w:outlineLvl w:val="9"/>
    </w:pPr>
  </w:style>
  <w:style w:type="table" w:styleId="TableGrid">
    <w:name w:val="Table Grid"/>
    <w:basedOn w:val="TableNormal"/>
    <w:uiPriority w:val="39"/>
    <w:rsid w:val="000C2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C2F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C2F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C1E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71757">
      <w:bodyDiv w:val="1"/>
      <w:marLeft w:val="0"/>
      <w:marRight w:val="0"/>
      <w:marTop w:val="0"/>
      <w:marBottom w:val="0"/>
      <w:divBdr>
        <w:top w:val="none" w:sz="0" w:space="0" w:color="auto"/>
        <w:left w:val="none" w:sz="0" w:space="0" w:color="auto"/>
        <w:bottom w:val="none" w:sz="0" w:space="0" w:color="auto"/>
        <w:right w:val="none" w:sz="0" w:space="0" w:color="auto"/>
      </w:divBdr>
      <w:divsChild>
        <w:div w:id="418723753">
          <w:marLeft w:val="360"/>
          <w:marRight w:val="0"/>
          <w:marTop w:val="0"/>
          <w:marBottom w:val="0"/>
          <w:divBdr>
            <w:top w:val="none" w:sz="0" w:space="0" w:color="auto"/>
            <w:left w:val="none" w:sz="0" w:space="0" w:color="auto"/>
            <w:bottom w:val="none" w:sz="0" w:space="0" w:color="auto"/>
            <w:right w:val="none" w:sz="0" w:space="0" w:color="auto"/>
          </w:divBdr>
        </w:div>
        <w:div w:id="2077896678">
          <w:marLeft w:val="360"/>
          <w:marRight w:val="0"/>
          <w:marTop w:val="0"/>
          <w:marBottom w:val="0"/>
          <w:divBdr>
            <w:top w:val="none" w:sz="0" w:space="0" w:color="auto"/>
            <w:left w:val="none" w:sz="0" w:space="0" w:color="auto"/>
            <w:bottom w:val="none" w:sz="0" w:space="0" w:color="auto"/>
            <w:right w:val="none" w:sz="0" w:space="0" w:color="auto"/>
          </w:divBdr>
        </w:div>
        <w:div w:id="1291596462">
          <w:marLeft w:val="360"/>
          <w:marRight w:val="0"/>
          <w:marTop w:val="0"/>
          <w:marBottom w:val="0"/>
          <w:divBdr>
            <w:top w:val="none" w:sz="0" w:space="0" w:color="auto"/>
            <w:left w:val="none" w:sz="0" w:space="0" w:color="auto"/>
            <w:bottom w:val="none" w:sz="0" w:space="0" w:color="auto"/>
            <w:right w:val="none" w:sz="0" w:space="0" w:color="auto"/>
          </w:divBdr>
        </w:div>
        <w:div w:id="376273549">
          <w:marLeft w:val="360"/>
          <w:marRight w:val="0"/>
          <w:marTop w:val="0"/>
          <w:marBottom w:val="0"/>
          <w:divBdr>
            <w:top w:val="none" w:sz="0" w:space="0" w:color="auto"/>
            <w:left w:val="none" w:sz="0" w:space="0" w:color="auto"/>
            <w:bottom w:val="none" w:sz="0" w:space="0" w:color="auto"/>
            <w:right w:val="none" w:sz="0" w:space="0" w:color="auto"/>
          </w:divBdr>
        </w:div>
      </w:divsChild>
    </w:div>
    <w:div w:id="1185632497">
      <w:bodyDiv w:val="1"/>
      <w:marLeft w:val="0"/>
      <w:marRight w:val="0"/>
      <w:marTop w:val="0"/>
      <w:marBottom w:val="0"/>
      <w:divBdr>
        <w:top w:val="none" w:sz="0" w:space="0" w:color="auto"/>
        <w:left w:val="none" w:sz="0" w:space="0" w:color="auto"/>
        <w:bottom w:val="none" w:sz="0" w:space="0" w:color="auto"/>
        <w:right w:val="none" w:sz="0" w:space="0" w:color="auto"/>
      </w:divBdr>
    </w:div>
    <w:div w:id="1356418141">
      <w:bodyDiv w:val="1"/>
      <w:marLeft w:val="0"/>
      <w:marRight w:val="0"/>
      <w:marTop w:val="0"/>
      <w:marBottom w:val="0"/>
      <w:divBdr>
        <w:top w:val="none" w:sz="0" w:space="0" w:color="auto"/>
        <w:left w:val="none" w:sz="0" w:space="0" w:color="auto"/>
        <w:bottom w:val="none" w:sz="0" w:space="0" w:color="auto"/>
        <w:right w:val="none" w:sz="0" w:space="0" w:color="auto"/>
      </w:divBdr>
    </w:div>
    <w:div w:id="1440904787">
      <w:bodyDiv w:val="1"/>
      <w:marLeft w:val="0"/>
      <w:marRight w:val="0"/>
      <w:marTop w:val="0"/>
      <w:marBottom w:val="0"/>
      <w:divBdr>
        <w:top w:val="none" w:sz="0" w:space="0" w:color="auto"/>
        <w:left w:val="none" w:sz="0" w:space="0" w:color="auto"/>
        <w:bottom w:val="none" w:sz="0" w:space="0" w:color="auto"/>
        <w:right w:val="none" w:sz="0" w:space="0" w:color="auto"/>
      </w:divBdr>
      <w:divsChild>
        <w:div w:id="1904951943">
          <w:marLeft w:val="360"/>
          <w:marRight w:val="0"/>
          <w:marTop w:val="0"/>
          <w:marBottom w:val="0"/>
          <w:divBdr>
            <w:top w:val="none" w:sz="0" w:space="0" w:color="auto"/>
            <w:left w:val="none" w:sz="0" w:space="0" w:color="auto"/>
            <w:bottom w:val="none" w:sz="0" w:space="0" w:color="auto"/>
            <w:right w:val="none" w:sz="0" w:space="0" w:color="auto"/>
          </w:divBdr>
        </w:div>
        <w:div w:id="610358529">
          <w:marLeft w:val="360"/>
          <w:marRight w:val="0"/>
          <w:marTop w:val="0"/>
          <w:marBottom w:val="0"/>
          <w:divBdr>
            <w:top w:val="none" w:sz="0" w:space="0" w:color="auto"/>
            <w:left w:val="none" w:sz="0" w:space="0" w:color="auto"/>
            <w:bottom w:val="none" w:sz="0" w:space="0" w:color="auto"/>
            <w:right w:val="none" w:sz="0" w:space="0" w:color="auto"/>
          </w:divBdr>
        </w:div>
        <w:div w:id="1867284324">
          <w:marLeft w:val="360"/>
          <w:marRight w:val="0"/>
          <w:marTop w:val="0"/>
          <w:marBottom w:val="0"/>
          <w:divBdr>
            <w:top w:val="none" w:sz="0" w:space="0" w:color="auto"/>
            <w:left w:val="none" w:sz="0" w:space="0" w:color="auto"/>
            <w:bottom w:val="none" w:sz="0" w:space="0" w:color="auto"/>
            <w:right w:val="none" w:sz="0" w:space="0" w:color="auto"/>
          </w:divBdr>
        </w:div>
        <w:div w:id="244995281">
          <w:marLeft w:val="360"/>
          <w:marRight w:val="0"/>
          <w:marTop w:val="0"/>
          <w:marBottom w:val="0"/>
          <w:divBdr>
            <w:top w:val="none" w:sz="0" w:space="0" w:color="auto"/>
            <w:left w:val="none" w:sz="0" w:space="0" w:color="auto"/>
            <w:bottom w:val="none" w:sz="0" w:space="0" w:color="auto"/>
            <w:right w:val="none" w:sz="0" w:space="0" w:color="auto"/>
          </w:divBdr>
        </w:div>
        <w:div w:id="427042296">
          <w:marLeft w:val="360"/>
          <w:marRight w:val="0"/>
          <w:marTop w:val="0"/>
          <w:marBottom w:val="0"/>
          <w:divBdr>
            <w:top w:val="none" w:sz="0" w:space="0" w:color="auto"/>
            <w:left w:val="none" w:sz="0" w:space="0" w:color="auto"/>
            <w:bottom w:val="none" w:sz="0" w:space="0" w:color="auto"/>
            <w:right w:val="none" w:sz="0" w:space="0" w:color="auto"/>
          </w:divBdr>
        </w:div>
        <w:div w:id="1900048491">
          <w:marLeft w:val="360"/>
          <w:marRight w:val="0"/>
          <w:marTop w:val="0"/>
          <w:marBottom w:val="0"/>
          <w:divBdr>
            <w:top w:val="none" w:sz="0" w:space="0" w:color="auto"/>
            <w:left w:val="none" w:sz="0" w:space="0" w:color="auto"/>
            <w:bottom w:val="none" w:sz="0" w:space="0" w:color="auto"/>
            <w:right w:val="none" w:sz="0" w:space="0" w:color="auto"/>
          </w:divBdr>
        </w:div>
      </w:divsChild>
    </w:div>
    <w:div w:id="1680543213">
      <w:bodyDiv w:val="1"/>
      <w:marLeft w:val="0"/>
      <w:marRight w:val="0"/>
      <w:marTop w:val="0"/>
      <w:marBottom w:val="0"/>
      <w:divBdr>
        <w:top w:val="none" w:sz="0" w:space="0" w:color="auto"/>
        <w:left w:val="none" w:sz="0" w:space="0" w:color="auto"/>
        <w:bottom w:val="none" w:sz="0" w:space="0" w:color="auto"/>
        <w:right w:val="none" w:sz="0" w:space="0" w:color="auto"/>
      </w:divBdr>
    </w:div>
    <w:div w:id="1949967244">
      <w:bodyDiv w:val="1"/>
      <w:marLeft w:val="0"/>
      <w:marRight w:val="0"/>
      <w:marTop w:val="0"/>
      <w:marBottom w:val="0"/>
      <w:divBdr>
        <w:top w:val="none" w:sz="0" w:space="0" w:color="auto"/>
        <w:left w:val="none" w:sz="0" w:space="0" w:color="auto"/>
        <w:bottom w:val="none" w:sz="0" w:space="0" w:color="auto"/>
        <w:right w:val="none" w:sz="0" w:space="0" w:color="auto"/>
      </w:divBdr>
      <w:divsChild>
        <w:div w:id="996572725">
          <w:marLeft w:val="360"/>
          <w:marRight w:val="0"/>
          <w:marTop w:val="0"/>
          <w:marBottom w:val="0"/>
          <w:divBdr>
            <w:top w:val="none" w:sz="0" w:space="0" w:color="auto"/>
            <w:left w:val="none" w:sz="0" w:space="0" w:color="auto"/>
            <w:bottom w:val="none" w:sz="0" w:space="0" w:color="auto"/>
            <w:right w:val="none" w:sz="0" w:space="0" w:color="auto"/>
          </w:divBdr>
        </w:div>
        <w:div w:id="1772580413">
          <w:marLeft w:val="360"/>
          <w:marRight w:val="0"/>
          <w:marTop w:val="0"/>
          <w:marBottom w:val="0"/>
          <w:divBdr>
            <w:top w:val="none" w:sz="0" w:space="0" w:color="auto"/>
            <w:left w:val="none" w:sz="0" w:space="0" w:color="auto"/>
            <w:bottom w:val="none" w:sz="0" w:space="0" w:color="auto"/>
            <w:right w:val="none" w:sz="0" w:space="0" w:color="auto"/>
          </w:divBdr>
        </w:div>
        <w:div w:id="1774127418">
          <w:marLeft w:val="360"/>
          <w:marRight w:val="0"/>
          <w:marTop w:val="0"/>
          <w:marBottom w:val="0"/>
          <w:divBdr>
            <w:top w:val="none" w:sz="0" w:space="0" w:color="auto"/>
            <w:left w:val="none" w:sz="0" w:space="0" w:color="auto"/>
            <w:bottom w:val="none" w:sz="0" w:space="0" w:color="auto"/>
            <w:right w:val="none" w:sz="0" w:space="0" w:color="auto"/>
          </w:divBdr>
        </w:div>
        <w:div w:id="514616156">
          <w:marLeft w:val="360"/>
          <w:marRight w:val="0"/>
          <w:marTop w:val="0"/>
          <w:marBottom w:val="0"/>
          <w:divBdr>
            <w:top w:val="none" w:sz="0" w:space="0" w:color="auto"/>
            <w:left w:val="none" w:sz="0" w:space="0" w:color="auto"/>
            <w:bottom w:val="none" w:sz="0" w:space="0" w:color="auto"/>
            <w:right w:val="none" w:sz="0" w:space="0" w:color="auto"/>
          </w:divBdr>
        </w:div>
        <w:div w:id="815223341">
          <w:marLeft w:val="360"/>
          <w:marRight w:val="0"/>
          <w:marTop w:val="0"/>
          <w:marBottom w:val="0"/>
          <w:divBdr>
            <w:top w:val="none" w:sz="0" w:space="0" w:color="auto"/>
            <w:left w:val="none" w:sz="0" w:space="0" w:color="auto"/>
            <w:bottom w:val="none" w:sz="0" w:space="0" w:color="auto"/>
            <w:right w:val="none" w:sz="0" w:space="0" w:color="auto"/>
          </w:divBdr>
        </w:div>
        <w:div w:id="1874808620">
          <w:marLeft w:val="360"/>
          <w:marRight w:val="0"/>
          <w:marTop w:val="0"/>
          <w:marBottom w:val="0"/>
          <w:divBdr>
            <w:top w:val="none" w:sz="0" w:space="0" w:color="auto"/>
            <w:left w:val="none" w:sz="0" w:space="0" w:color="auto"/>
            <w:bottom w:val="none" w:sz="0" w:space="0" w:color="auto"/>
            <w:right w:val="none" w:sz="0" w:space="0" w:color="auto"/>
          </w:divBdr>
        </w:div>
        <w:div w:id="407843633">
          <w:marLeft w:val="360"/>
          <w:marRight w:val="0"/>
          <w:marTop w:val="0"/>
          <w:marBottom w:val="0"/>
          <w:divBdr>
            <w:top w:val="none" w:sz="0" w:space="0" w:color="auto"/>
            <w:left w:val="none" w:sz="0" w:space="0" w:color="auto"/>
            <w:bottom w:val="none" w:sz="0" w:space="0" w:color="auto"/>
            <w:right w:val="none" w:sz="0" w:space="0" w:color="auto"/>
          </w:divBdr>
        </w:div>
        <w:div w:id="77112283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topics/neuroscience/machine-learning" TargetMode="External"/><Relationship Id="rId13" Type="http://schemas.openxmlformats.org/officeDocument/2006/relationships/image" Target="media/image4.jpeg"/><Relationship Id="rId18"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fil.ion.ucl.ac.uk/spm" TargetMode="External"/><Relationship Id="rId10" Type="http://schemas.openxmlformats.org/officeDocument/2006/relationships/hyperlink" Target="http://www.fil.ion.ucl.ac.uk/spm"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2F625-BE5C-4F5D-AAC7-F8D5371A2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50815</Words>
  <Characters>289652</Characters>
  <Application>Microsoft Office Word</Application>
  <DocSecurity>0</DocSecurity>
  <Lines>2413</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2018-06-20T09:34:00Z</dcterms:created>
  <dcterms:modified xsi:type="dcterms:W3CDTF">2018-09-18T20:11:00Z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http://www.zotero.org/styles/neuroimage</vt:lpwstr>
  </property>
  <property fmtid="{D5CDD505-2E9C-101B-9397-08002B2CF9AE}" pid="4" name="Mendeley Unique User Id_1">
    <vt:lpwstr>3b7b1bf8-4da0-3a34-8490-911770c25e32</vt:lpwstr>
  </property>
  <property fmtid="{D5CDD505-2E9C-101B-9397-08002B2CF9AE}" pid="5" name="Mendeley Recent Style Id 0_1">
    <vt:lpwstr>http://www.zotero.org/styles/british-journal-of-pharmacology</vt:lpwstr>
  </property>
  <property fmtid="{D5CDD505-2E9C-101B-9397-08002B2CF9AE}" pid="6" name="Mendeley Recent Style Name 0_1">
    <vt:lpwstr>British Journal of Pharmacology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http://www.zotero.org/styles/frontiers-in-human-neuroscience</vt:lpwstr>
  </property>
  <property fmtid="{D5CDD505-2E9C-101B-9397-08002B2CF9AE}" pid="10" name="Mendeley Recent Style Name 2_1">
    <vt:lpwstr>Frontiers in Human Neuroscience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http://www.zotero.org/styles/nature-reviews-neuroscience</vt:lpwstr>
  </property>
  <property fmtid="{D5CDD505-2E9C-101B-9397-08002B2CF9AE}" pid="20" name="Mendeley Recent Style Name 7_1">
    <vt:lpwstr>Nature Reviews Neuroscience</vt:lpwstr>
  </property>
  <property fmtid="{D5CDD505-2E9C-101B-9397-08002B2CF9AE}" pid="21" name="Mendeley Recent Style Id 8_1">
    <vt:lpwstr>http://www.zotero.org/styles/neuroimage</vt:lpwstr>
  </property>
  <property fmtid="{D5CDD505-2E9C-101B-9397-08002B2CF9AE}" pid="22" name="Mendeley Recent Style Name 8_1">
    <vt:lpwstr>NeuroImage</vt:lpwstr>
  </property>
  <property fmtid="{D5CDD505-2E9C-101B-9397-08002B2CF9AE}" pid="23" name="Mendeley Recent Style Id 9_1">
    <vt:lpwstr>http://www.zotero.org/styles/the-journal-of-pain</vt:lpwstr>
  </property>
  <property fmtid="{D5CDD505-2E9C-101B-9397-08002B2CF9AE}" pid="24" name="Mendeley Recent Style Name 9_1">
    <vt:lpwstr>The Journal of Pain</vt:lpwstr>
  </property>
</Properties>
</file>