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A786A" w14:textId="727BBEFF" w:rsidR="005A5A82" w:rsidRPr="005A5A82" w:rsidRDefault="00E07F7F" w:rsidP="005A5A82">
      <w:pPr>
        <w:pStyle w:val="NoSpacing"/>
        <w:spacing w:line="360" w:lineRule="auto"/>
        <w:rPr>
          <w:rFonts w:ascii="Arial" w:hAnsi="Arial" w:cs="Arial"/>
          <w:b/>
          <w:sz w:val="28"/>
        </w:rPr>
      </w:pPr>
      <w:r>
        <w:rPr>
          <w:rFonts w:ascii="Arial" w:hAnsi="Arial" w:cs="Arial"/>
          <w:b/>
          <w:sz w:val="28"/>
        </w:rPr>
        <w:t>Original Research</w:t>
      </w:r>
    </w:p>
    <w:p w14:paraId="40CA3195" w14:textId="184249F5" w:rsidR="005A5A82" w:rsidRPr="005A5A82" w:rsidRDefault="005A5A82" w:rsidP="005A5A82">
      <w:pPr>
        <w:pStyle w:val="NoSpacing"/>
        <w:spacing w:line="360" w:lineRule="auto"/>
        <w:rPr>
          <w:rFonts w:ascii="Arial" w:hAnsi="Arial" w:cs="Arial"/>
          <w:b/>
          <w:sz w:val="28"/>
        </w:rPr>
      </w:pPr>
      <w:r w:rsidRPr="005A5A82">
        <w:rPr>
          <w:rFonts w:ascii="Arial" w:hAnsi="Arial" w:cs="Arial"/>
          <w:b/>
          <w:sz w:val="28"/>
        </w:rPr>
        <w:t>Predictors of tuberculosis treatment success under the DOT</w:t>
      </w:r>
      <w:r w:rsidR="004B54C3" w:rsidRPr="005A5A82">
        <w:rPr>
          <w:rFonts w:ascii="Arial" w:hAnsi="Arial" w:cs="Arial"/>
          <w:b/>
          <w:sz w:val="28"/>
        </w:rPr>
        <w:t xml:space="preserve">S </w:t>
      </w:r>
      <w:r w:rsidRPr="005A5A82">
        <w:rPr>
          <w:rFonts w:ascii="Arial" w:hAnsi="Arial" w:cs="Arial"/>
          <w:b/>
          <w:sz w:val="28"/>
        </w:rPr>
        <w:t>program in N</w:t>
      </w:r>
      <w:r w:rsidR="00E07F7F">
        <w:rPr>
          <w:rFonts w:ascii="Arial" w:hAnsi="Arial" w:cs="Arial"/>
          <w:b/>
          <w:sz w:val="28"/>
        </w:rPr>
        <w:t>amibia</w:t>
      </w:r>
    </w:p>
    <w:p w14:paraId="27DCE803" w14:textId="77777777" w:rsidR="005A5A82" w:rsidRPr="005A5A82" w:rsidRDefault="005A5A82" w:rsidP="005A5A82">
      <w:pPr>
        <w:pStyle w:val="NoSpacing"/>
        <w:spacing w:line="360" w:lineRule="auto"/>
        <w:rPr>
          <w:rFonts w:ascii="Arial" w:hAnsi="Arial" w:cs="Arial"/>
        </w:rPr>
      </w:pPr>
    </w:p>
    <w:p w14:paraId="60BD8E7C" w14:textId="4665A058" w:rsidR="005A5A82" w:rsidRPr="005A5A82" w:rsidRDefault="005A5A82" w:rsidP="005A5A82">
      <w:pPr>
        <w:pStyle w:val="NoSpacing"/>
        <w:spacing w:line="360" w:lineRule="auto"/>
        <w:rPr>
          <w:rFonts w:ascii="Arial" w:hAnsi="Arial" w:cs="Arial"/>
        </w:rPr>
      </w:pPr>
      <w:r w:rsidRPr="005A5A82">
        <w:rPr>
          <w:rFonts w:ascii="Arial" w:hAnsi="Arial" w:cs="Arial"/>
        </w:rPr>
        <w:t>Dan Kibuule</w:t>
      </w:r>
      <w:r w:rsidRPr="005A5A82">
        <w:rPr>
          <w:rFonts w:ascii="Arial" w:hAnsi="Arial" w:cs="Arial"/>
          <w:vertAlign w:val="superscript"/>
        </w:rPr>
        <w:t>1</w:t>
      </w:r>
      <w:r w:rsidRPr="005A5A82">
        <w:rPr>
          <w:rFonts w:ascii="Arial" w:hAnsi="Arial" w:cs="Arial"/>
        </w:rPr>
        <w:t>, Roger K Verbeeck</w:t>
      </w:r>
      <w:r w:rsidRPr="005A5A82">
        <w:rPr>
          <w:rFonts w:ascii="Arial" w:hAnsi="Arial" w:cs="Arial"/>
          <w:vertAlign w:val="superscript"/>
        </w:rPr>
        <w:t>1</w:t>
      </w:r>
      <w:r w:rsidRPr="005A5A82">
        <w:rPr>
          <w:rFonts w:ascii="Arial" w:hAnsi="Arial" w:cs="Arial"/>
        </w:rPr>
        <w:t xml:space="preserve">, </w:t>
      </w:r>
      <w:proofErr w:type="spellStart"/>
      <w:r w:rsidRPr="005A5A82">
        <w:rPr>
          <w:rFonts w:ascii="Arial" w:hAnsi="Arial" w:cs="Arial"/>
        </w:rPr>
        <w:t>Ruswa</w:t>
      </w:r>
      <w:proofErr w:type="spellEnd"/>
      <w:r w:rsidRPr="005A5A82">
        <w:rPr>
          <w:rFonts w:ascii="Arial" w:hAnsi="Arial" w:cs="Arial"/>
        </w:rPr>
        <w:t xml:space="preserve"> Nunurai</w:t>
      </w:r>
      <w:r w:rsidRPr="005A5A82">
        <w:rPr>
          <w:rFonts w:ascii="Arial" w:hAnsi="Arial" w:cs="Arial"/>
          <w:vertAlign w:val="superscript"/>
        </w:rPr>
        <w:t>2</w:t>
      </w:r>
      <w:r w:rsidRPr="005A5A82">
        <w:rPr>
          <w:rFonts w:ascii="Arial" w:hAnsi="Arial" w:cs="Arial"/>
        </w:rPr>
        <w:t xml:space="preserve">, Farai </w:t>
      </w:r>
      <w:proofErr w:type="spellStart"/>
      <w:r w:rsidRPr="005A5A82">
        <w:rPr>
          <w:rFonts w:ascii="Arial" w:hAnsi="Arial" w:cs="Arial"/>
        </w:rPr>
        <w:t>Mavungha</w:t>
      </w:r>
      <w:proofErr w:type="spellEnd"/>
      <w:r w:rsidRPr="005A5A82">
        <w:rPr>
          <w:rFonts w:ascii="Arial" w:hAnsi="Arial" w:cs="Arial"/>
        </w:rPr>
        <w:t xml:space="preserve"> </w:t>
      </w:r>
      <w:r w:rsidRPr="005A5A82">
        <w:rPr>
          <w:rFonts w:ascii="Arial" w:hAnsi="Arial" w:cs="Arial"/>
          <w:vertAlign w:val="superscript"/>
        </w:rPr>
        <w:t>2</w:t>
      </w:r>
      <w:r w:rsidRPr="005A5A82">
        <w:rPr>
          <w:rFonts w:ascii="Arial" w:hAnsi="Arial" w:cs="Arial"/>
        </w:rPr>
        <w:t>, Albertina Thomas</w:t>
      </w:r>
      <w:r w:rsidRPr="005A5A82">
        <w:rPr>
          <w:rFonts w:ascii="Arial" w:hAnsi="Arial" w:cs="Arial"/>
          <w:vertAlign w:val="superscript"/>
        </w:rPr>
        <w:t>2</w:t>
      </w:r>
      <w:r w:rsidRPr="005A5A82">
        <w:rPr>
          <w:rFonts w:ascii="Arial" w:hAnsi="Arial" w:cs="Arial"/>
        </w:rPr>
        <w:t xml:space="preserve">, </w:t>
      </w:r>
      <w:proofErr w:type="spellStart"/>
      <w:r w:rsidRPr="005A5A82">
        <w:rPr>
          <w:rFonts w:ascii="Arial" w:hAnsi="Arial" w:cs="Arial"/>
        </w:rPr>
        <w:t>Amutenya</w:t>
      </w:r>
      <w:proofErr w:type="spellEnd"/>
      <w:r w:rsidRPr="005A5A82">
        <w:rPr>
          <w:rFonts w:ascii="Arial" w:hAnsi="Arial" w:cs="Arial"/>
        </w:rPr>
        <w:t xml:space="preserve"> Amutenya</w:t>
      </w:r>
      <w:r w:rsidRPr="005A5A82">
        <w:rPr>
          <w:rFonts w:ascii="Arial" w:hAnsi="Arial" w:cs="Arial"/>
          <w:vertAlign w:val="superscript"/>
        </w:rPr>
        <w:t>2</w:t>
      </w:r>
      <w:r w:rsidRPr="005A5A82">
        <w:rPr>
          <w:rFonts w:ascii="Arial" w:hAnsi="Arial" w:cs="Arial"/>
        </w:rPr>
        <w:t xml:space="preserve">, </w:t>
      </w:r>
      <w:proofErr w:type="spellStart"/>
      <w:r w:rsidRPr="005A5A82">
        <w:rPr>
          <w:rFonts w:ascii="Arial" w:hAnsi="Arial" w:cs="Arial"/>
        </w:rPr>
        <w:t>Guna</w:t>
      </w:r>
      <w:proofErr w:type="spellEnd"/>
      <w:r w:rsidRPr="005A5A82">
        <w:rPr>
          <w:rFonts w:ascii="Arial" w:hAnsi="Arial" w:cs="Arial"/>
        </w:rPr>
        <w:t xml:space="preserve"> Gunther</w:t>
      </w:r>
      <w:r w:rsidRPr="005A5A82">
        <w:rPr>
          <w:rFonts w:ascii="Arial" w:hAnsi="Arial" w:cs="Arial"/>
          <w:vertAlign w:val="superscript"/>
        </w:rPr>
        <w:t>3</w:t>
      </w:r>
      <w:r w:rsidRPr="005A5A82">
        <w:rPr>
          <w:rFonts w:ascii="Arial" w:hAnsi="Arial" w:cs="Arial"/>
        </w:rPr>
        <w:t>, Ette Ene</w:t>
      </w:r>
      <w:r w:rsidRPr="005A5A82">
        <w:rPr>
          <w:rFonts w:ascii="Arial" w:hAnsi="Arial" w:cs="Arial"/>
          <w:vertAlign w:val="superscript"/>
        </w:rPr>
        <w:t>4</w:t>
      </w:r>
      <w:r w:rsidRPr="005A5A82">
        <w:rPr>
          <w:rFonts w:ascii="Arial" w:hAnsi="Arial" w:cs="Arial"/>
        </w:rPr>
        <w:t>, Brian Godman</w:t>
      </w:r>
      <w:r w:rsidR="00E07F7F">
        <w:rPr>
          <w:rFonts w:ascii="Arial" w:hAnsi="Arial" w:cs="Arial"/>
          <w:vertAlign w:val="superscript"/>
        </w:rPr>
        <w:t>5,6,7,8</w:t>
      </w:r>
      <w:r w:rsidRPr="005A5A82">
        <w:rPr>
          <w:rFonts w:ascii="Arial" w:hAnsi="Arial" w:cs="Arial"/>
        </w:rPr>
        <w:t xml:space="preserve">, </w:t>
      </w:r>
      <w:proofErr w:type="spellStart"/>
      <w:r w:rsidRPr="005A5A82">
        <w:rPr>
          <w:rFonts w:ascii="Arial" w:hAnsi="Arial" w:cs="Arial"/>
        </w:rPr>
        <w:t>Timonthy</w:t>
      </w:r>
      <w:proofErr w:type="spellEnd"/>
      <w:r w:rsidRPr="005A5A82">
        <w:rPr>
          <w:rFonts w:ascii="Arial" w:hAnsi="Arial" w:cs="Arial"/>
        </w:rPr>
        <w:t xml:space="preserve"> Rennie</w:t>
      </w:r>
      <w:r w:rsidRPr="005A5A82">
        <w:rPr>
          <w:rFonts w:ascii="Arial" w:hAnsi="Arial" w:cs="Arial"/>
          <w:vertAlign w:val="superscript"/>
        </w:rPr>
        <w:t>1</w:t>
      </w:r>
    </w:p>
    <w:p w14:paraId="63100B41" w14:textId="77777777" w:rsidR="005A5A82" w:rsidRPr="005A5A82" w:rsidRDefault="005A5A82" w:rsidP="005A5A82">
      <w:pPr>
        <w:pStyle w:val="NoSpacing"/>
        <w:spacing w:line="360" w:lineRule="auto"/>
        <w:rPr>
          <w:rFonts w:ascii="Arial" w:hAnsi="Arial" w:cs="Arial"/>
        </w:rPr>
      </w:pPr>
    </w:p>
    <w:p w14:paraId="798C9F24" w14:textId="77777777" w:rsidR="005A5A82" w:rsidRPr="005A5A82" w:rsidRDefault="005A5A82" w:rsidP="005A5A82">
      <w:pPr>
        <w:pStyle w:val="NoSpacing"/>
        <w:spacing w:line="360" w:lineRule="auto"/>
        <w:rPr>
          <w:rFonts w:ascii="Arial" w:hAnsi="Arial" w:cs="Arial"/>
        </w:rPr>
      </w:pPr>
      <w:r w:rsidRPr="005A5A82">
        <w:rPr>
          <w:rFonts w:ascii="Arial" w:hAnsi="Arial" w:cs="Arial"/>
          <w:vertAlign w:val="superscript"/>
        </w:rPr>
        <w:t>1</w:t>
      </w:r>
      <w:r w:rsidRPr="005A5A82">
        <w:rPr>
          <w:rFonts w:ascii="Arial" w:hAnsi="Arial" w:cs="Arial"/>
        </w:rPr>
        <w:t>School of Pharmacy, Faculty of Health Sciences, University of Namibia, Windhoek, Namibia</w:t>
      </w:r>
    </w:p>
    <w:p w14:paraId="22C222D0" w14:textId="77777777" w:rsidR="005A5A82" w:rsidRPr="005A5A82" w:rsidRDefault="005A5A82" w:rsidP="005A5A82">
      <w:pPr>
        <w:pStyle w:val="NoSpacing"/>
        <w:spacing w:line="360" w:lineRule="auto"/>
        <w:rPr>
          <w:rStyle w:val="Hyperlink"/>
          <w:rFonts w:ascii="Arial" w:eastAsiaTheme="minorEastAsia" w:hAnsi="Arial" w:cs="Arial"/>
        </w:rPr>
      </w:pPr>
      <w:r w:rsidRPr="005A5A82">
        <w:rPr>
          <w:rFonts w:ascii="Arial" w:hAnsi="Arial" w:cs="Arial"/>
          <w:vertAlign w:val="superscript"/>
        </w:rPr>
        <w:t>2</w:t>
      </w:r>
      <w:r w:rsidRPr="005A5A82">
        <w:rPr>
          <w:rFonts w:ascii="Arial" w:hAnsi="Arial" w:cs="Arial"/>
        </w:rPr>
        <w:t xml:space="preserve">National Tuberculosis and Leprosy </w:t>
      </w:r>
      <w:proofErr w:type="spellStart"/>
      <w:r w:rsidRPr="005A5A82">
        <w:rPr>
          <w:rFonts w:ascii="Arial" w:hAnsi="Arial" w:cs="Arial"/>
        </w:rPr>
        <w:t>Programme</w:t>
      </w:r>
      <w:proofErr w:type="spellEnd"/>
      <w:r w:rsidRPr="005A5A82">
        <w:rPr>
          <w:rFonts w:ascii="Arial" w:hAnsi="Arial" w:cs="Arial"/>
        </w:rPr>
        <w:t>, Ministry of Health and Social Services, Windhoek, Namibia</w:t>
      </w:r>
    </w:p>
    <w:p w14:paraId="0CBE4D6C" w14:textId="77777777" w:rsidR="005A5A82" w:rsidRPr="005A5A82" w:rsidRDefault="005A5A82" w:rsidP="005A5A82">
      <w:pPr>
        <w:pStyle w:val="NoSpacing"/>
        <w:spacing w:line="360" w:lineRule="auto"/>
        <w:rPr>
          <w:rFonts w:ascii="Arial" w:hAnsi="Arial" w:cs="Arial"/>
        </w:rPr>
      </w:pPr>
      <w:r w:rsidRPr="005A5A82">
        <w:rPr>
          <w:rFonts w:ascii="Arial" w:hAnsi="Arial" w:cs="Arial"/>
          <w:vertAlign w:val="superscript"/>
        </w:rPr>
        <w:t>3</w:t>
      </w:r>
      <w:r w:rsidRPr="005A5A82">
        <w:rPr>
          <w:rFonts w:ascii="Arial" w:hAnsi="Arial" w:cs="Arial"/>
        </w:rPr>
        <w:t xml:space="preserve">Tuberculosis Clinic, Ministry of Health and Social Services, Intermediate Hospital: </w:t>
      </w:r>
      <w:proofErr w:type="spellStart"/>
      <w:r w:rsidRPr="005A5A82">
        <w:rPr>
          <w:rFonts w:ascii="Arial" w:hAnsi="Arial" w:cs="Arial"/>
        </w:rPr>
        <w:t>Katurua</w:t>
      </w:r>
      <w:proofErr w:type="spellEnd"/>
      <w:r w:rsidRPr="005A5A82">
        <w:rPr>
          <w:rFonts w:ascii="Arial" w:hAnsi="Arial" w:cs="Arial"/>
        </w:rPr>
        <w:t>, Windhoek, Namibia</w:t>
      </w:r>
    </w:p>
    <w:p w14:paraId="7BACE320" w14:textId="77777777" w:rsidR="005A5A82" w:rsidRPr="005A5A82" w:rsidRDefault="005A5A82" w:rsidP="005A5A82">
      <w:pPr>
        <w:pStyle w:val="NoSpacing"/>
        <w:spacing w:line="360" w:lineRule="auto"/>
        <w:rPr>
          <w:rFonts w:ascii="Arial" w:hAnsi="Arial" w:cs="Arial"/>
        </w:rPr>
      </w:pPr>
      <w:r w:rsidRPr="005A5A82">
        <w:rPr>
          <w:rFonts w:ascii="Arial" w:hAnsi="Arial" w:cs="Arial"/>
          <w:vertAlign w:val="superscript"/>
        </w:rPr>
        <w:t>4</w:t>
      </w:r>
      <w:r w:rsidRPr="005A5A82">
        <w:rPr>
          <w:rFonts w:ascii="Arial" w:hAnsi="Arial" w:cs="Arial"/>
        </w:rPr>
        <w:t xml:space="preserve">Anoixis Corporation, Natick, MA, USA </w:t>
      </w:r>
    </w:p>
    <w:p w14:paraId="329239FD" w14:textId="77777777" w:rsidR="005A5A82" w:rsidRPr="005A5A82" w:rsidRDefault="005A5A82" w:rsidP="005A5A82">
      <w:pPr>
        <w:pStyle w:val="NoSpacing"/>
        <w:spacing w:line="360" w:lineRule="auto"/>
        <w:rPr>
          <w:rStyle w:val="Hyperlink"/>
          <w:rFonts w:ascii="Arial" w:eastAsiaTheme="minorEastAsia" w:hAnsi="Arial" w:cs="Arial"/>
        </w:rPr>
      </w:pPr>
      <w:r w:rsidRPr="005A5A82">
        <w:rPr>
          <w:rFonts w:ascii="Arial" w:hAnsi="Arial" w:cs="Arial"/>
          <w:vertAlign w:val="superscript"/>
        </w:rPr>
        <w:t>5</w:t>
      </w:r>
      <w:r w:rsidRPr="005A5A82">
        <w:rPr>
          <w:rFonts w:ascii="Arial" w:hAnsi="Arial" w:cs="Arial"/>
        </w:rPr>
        <w:t xml:space="preserve">Department of Laboratory Medicine, Division of Clinical Pharmacology, Karolinska </w:t>
      </w:r>
      <w:proofErr w:type="spellStart"/>
      <w:r w:rsidRPr="005A5A82">
        <w:rPr>
          <w:rFonts w:ascii="Arial" w:hAnsi="Arial" w:cs="Arial"/>
        </w:rPr>
        <w:t>Institutet</w:t>
      </w:r>
      <w:proofErr w:type="spellEnd"/>
      <w:r w:rsidRPr="005A5A82">
        <w:rPr>
          <w:rFonts w:ascii="Arial" w:hAnsi="Arial" w:cs="Arial"/>
        </w:rPr>
        <w:t>, Karolinska University Hospital Huddinge, Stockholm, Sweden</w:t>
      </w:r>
    </w:p>
    <w:p w14:paraId="2EC76006" w14:textId="77777777" w:rsidR="005A5A82" w:rsidRPr="005A5A82" w:rsidRDefault="005A5A82" w:rsidP="005A5A82">
      <w:pPr>
        <w:pStyle w:val="NoSpacing"/>
        <w:spacing w:line="360" w:lineRule="auto"/>
        <w:rPr>
          <w:rFonts w:ascii="Arial" w:hAnsi="Arial" w:cs="Arial"/>
        </w:rPr>
      </w:pPr>
      <w:r w:rsidRPr="005A5A82">
        <w:rPr>
          <w:rFonts w:ascii="Arial" w:hAnsi="Arial" w:cs="Arial"/>
          <w:b/>
          <w:vertAlign w:val="superscript"/>
        </w:rPr>
        <w:t>6</w:t>
      </w:r>
      <w:r w:rsidRPr="005A5A82">
        <w:rPr>
          <w:rFonts w:ascii="Arial" w:hAnsi="Arial" w:cs="Arial"/>
        </w:rPr>
        <w:t xml:space="preserve">Strathclyde Institute of Pharmacy and Biomedical Sciences, University of Strathclyde, Glasgow, UK </w:t>
      </w:r>
    </w:p>
    <w:p w14:paraId="31BB9A1A" w14:textId="77777777" w:rsidR="005A5A82" w:rsidRPr="005A5A82" w:rsidRDefault="005A5A82" w:rsidP="005A5A82">
      <w:pPr>
        <w:pStyle w:val="NoSpacing"/>
        <w:spacing w:line="360" w:lineRule="auto"/>
        <w:rPr>
          <w:rFonts w:ascii="Arial" w:hAnsi="Arial" w:cs="Arial"/>
        </w:rPr>
      </w:pPr>
      <w:r w:rsidRPr="005A5A82">
        <w:rPr>
          <w:rFonts w:ascii="Arial" w:hAnsi="Arial" w:cs="Arial"/>
          <w:vertAlign w:val="superscript"/>
        </w:rPr>
        <w:t>7</w:t>
      </w:r>
      <w:r w:rsidRPr="005A5A82">
        <w:rPr>
          <w:rFonts w:ascii="Arial" w:hAnsi="Arial" w:cs="Arial"/>
        </w:rPr>
        <w:t xml:space="preserve">Health Economics Centre, Liverpool University Management School, Liverpool, UK </w:t>
      </w:r>
    </w:p>
    <w:p w14:paraId="05139BB5" w14:textId="77777777" w:rsidR="005A5A82" w:rsidRPr="005A5A82" w:rsidRDefault="005A5A82" w:rsidP="005A5A82">
      <w:pPr>
        <w:pStyle w:val="NoSpacing"/>
        <w:spacing w:line="360" w:lineRule="auto"/>
        <w:rPr>
          <w:rFonts w:ascii="Arial" w:hAnsi="Arial" w:cs="Arial"/>
        </w:rPr>
      </w:pPr>
      <w:r w:rsidRPr="005A5A82">
        <w:rPr>
          <w:rFonts w:ascii="Arial" w:eastAsia="Calibri" w:hAnsi="Arial" w:cs="Arial"/>
          <w:vertAlign w:val="superscript"/>
          <w:lang w:eastAsia="en-GB"/>
        </w:rPr>
        <w:t>8</w:t>
      </w:r>
      <w:r w:rsidRPr="005A5A82">
        <w:rPr>
          <w:rFonts w:ascii="Arial" w:eastAsia="Calibri" w:hAnsi="Arial" w:cs="Arial"/>
          <w:lang w:eastAsia="en-GB"/>
        </w:rPr>
        <w:t>Department</w:t>
      </w:r>
      <w:r w:rsidRPr="005A5A82">
        <w:rPr>
          <w:rFonts w:ascii="Arial" w:hAnsi="Arial" w:cs="Arial"/>
        </w:rPr>
        <w:t xml:space="preserve"> of Public Health Pharmacy and Management, School of Pharmacy, </w:t>
      </w:r>
      <w:proofErr w:type="spellStart"/>
      <w:r w:rsidRPr="005A5A82">
        <w:rPr>
          <w:rFonts w:ascii="Arial" w:hAnsi="Arial" w:cs="Arial"/>
        </w:rPr>
        <w:t>Sefako</w:t>
      </w:r>
      <w:proofErr w:type="spellEnd"/>
      <w:r w:rsidRPr="005A5A82">
        <w:rPr>
          <w:rFonts w:ascii="Arial" w:hAnsi="Arial" w:cs="Arial"/>
        </w:rPr>
        <w:t xml:space="preserve"> </w:t>
      </w:r>
      <w:proofErr w:type="spellStart"/>
      <w:r w:rsidRPr="005A5A82">
        <w:rPr>
          <w:rFonts w:ascii="Arial" w:hAnsi="Arial" w:cs="Arial"/>
        </w:rPr>
        <w:t>Makgatho</w:t>
      </w:r>
      <w:proofErr w:type="spellEnd"/>
      <w:r w:rsidRPr="005A5A82">
        <w:rPr>
          <w:rFonts w:ascii="Arial" w:hAnsi="Arial" w:cs="Arial"/>
        </w:rPr>
        <w:t xml:space="preserve"> Health Sciences University, </w:t>
      </w:r>
      <w:r w:rsidRPr="005A5A82">
        <w:rPr>
          <w:rFonts w:ascii="Arial" w:eastAsia="Calibri" w:hAnsi="Arial" w:cs="Arial"/>
          <w:lang w:eastAsia="en-GB"/>
        </w:rPr>
        <w:t xml:space="preserve">Ga-Rankuwa, Pretoria, </w:t>
      </w:r>
      <w:r w:rsidRPr="005A5A82">
        <w:rPr>
          <w:rFonts w:ascii="Arial" w:hAnsi="Arial" w:cs="Arial"/>
        </w:rPr>
        <w:t xml:space="preserve">South Africa </w:t>
      </w:r>
    </w:p>
    <w:p w14:paraId="5C493470" w14:textId="77777777" w:rsidR="005A5A82" w:rsidRPr="005A5A82" w:rsidRDefault="005A5A82" w:rsidP="005A5A82">
      <w:pPr>
        <w:pStyle w:val="NoSpacing"/>
        <w:spacing w:line="360" w:lineRule="auto"/>
        <w:rPr>
          <w:rFonts w:ascii="Arial" w:hAnsi="Arial" w:cs="Arial"/>
        </w:rPr>
      </w:pPr>
    </w:p>
    <w:p w14:paraId="7F6D83AD" w14:textId="77777777" w:rsidR="005A5A82" w:rsidRPr="005A5A82" w:rsidRDefault="005A5A82" w:rsidP="005A5A82">
      <w:pPr>
        <w:pStyle w:val="NoSpacing"/>
        <w:spacing w:line="360" w:lineRule="auto"/>
        <w:rPr>
          <w:rFonts w:ascii="Arial" w:hAnsi="Arial" w:cs="Arial"/>
          <w:b/>
        </w:rPr>
      </w:pPr>
      <w:r w:rsidRPr="005A5A82">
        <w:rPr>
          <w:rFonts w:ascii="Arial" w:hAnsi="Arial" w:cs="Arial"/>
          <w:b/>
        </w:rPr>
        <w:t xml:space="preserve">Correspondence: </w:t>
      </w:r>
    </w:p>
    <w:p w14:paraId="27617FA2" w14:textId="77777777" w:rsidR="005A5A82" w:rsidRPr="005A5A82" w:rsidRDefault="005A5A82" w:rsidP="005A5A82">
      <w:pPr>
        <w:pStyle w:val="NoSpacing"/>
        <w:spacing w:line="360" w:lineRule="auto"/>
        <w:rPr>
          <w:rFonts w:ascii="Arial" w:hAnsi="Arial" w:cs="Arial"/>
        </w:rPr>
      </w:pPr>
      <w:r w:rsidRPr="005A5A82">
        <w:rPr>
          <w:rFonts w:ascii="Arial" w:hAnsi="Arial" w:cs="Arial"/>
        </w:rPr>
        <w:t>Brian Godman</w:t>
      </w:r>
    </w:p>
    <w:p w14:paraId="626A2006" w14:textId="77777777" w:rsidR="005A5A82" w:rsidRPr="005A5A82" w:rsidRDefault="005A5A82" w:rsidP="005A5A82">
      <w:pPr>
        <w:pStyle w:val="NoSpacing"/>
        <w:spacing w:line="360" w:lineRule="auto"/>
        <w:rPr>
          <w:rFonts w:ascii="Arial" w:hAnsi="Arial" w:cs="Arial"/>
        </w:rPr>
      </w:pPr>
      <w:r w:rsidRPr="005A5A82">
        <w:rPr>
          <w:rFonts w:ascii="Arial" w:hAnsi="Arial" w:cs="Arial"/>
        </w:rPr>
        <w:t xml:space="preserve">Strathclyde Institute of Pharmacy and Biomedical Sciences, University of Strathclyde, Glasgow G4 0RE, United Kingdom. </w:t>
      </w:r>
    </w:p>
    <w:p w14:paraId="1C5B6C89" w14:textId="77777777" w:rsidR="005A5A82" w:rsidRPr="005A5A82" w:rsidRDefault="005A5A82" w:rsidP="005A5A82">
      <w:pPr>
        <w:pStyle w:val="NoSpacing"/>
        <w:spacing w:line="360" w:lineRule="auto"/>
        <w:rPr>
          <w:rFonts w:ascii="Arial" w:hAnsi="Arial" w:cs="Arial"/>
        </w:rPr>
      </w:pPr>
      <w:r w:rsidRPr="005A5A82">
        <w:rPr>
          <w:rFonts w:ascii="Arial" w:hAnsi="Arial" w:cs="Arial"/>
        </w:rPr>
        <w:t xml:space="preserve">Email: </w:t>
      </w:r>
      <w:hyperlink r:id="rId8" w:history="1">
        <w:r w:rsidRPr="005A5A82">
          <w:rPr>
            <w:rStyle w:val="Hyperlink"/>
            <w:rFonts w:ascii="Arial" w:eastAsiaTheme="minorEastAsia" w:hAnsi="Arial" w:cs="Arial"/>
          </w:rPr>
          <w:t>Brian.godman@strath.ac.uk</w:t>
        </w:r>
      </w:hyperlink>
      <w:r w:rsidRPr="005A5A82">
        <w:rPr>
          <w:rFonts w:ascii="Arial" w:hAnsi="Arial" w:cs="Arial"/>
        </w:rPr>
        <w:t xml:space="preserve">. </w:t>
      </w:r>
    </w:p>
    <w:p w14:paraId="7A5F7BE3" w14:textId="77777777" w:rsidR="005A5A82" w:rsidRPr="005A5A82" w:rsidRDefault="005A5A82" w:rsidP="005A5A82">
      <w:pPr>
        <w:pStyle w:val="NoSpacing"/>
        <w:spacing w:line="360" w:lineRule="auto"/>
        <w:rPr>
          <w:rFonts w:ascii="Arial" w:hAnsi="Arial" w:cs="Arial"/>
        </w:rPr>
      </w:pPr>
      <w:r w:rsidRPr="005A5A82">
        <w:rPr>
          <w:rFonts w:ascii="Arial" w:hAnsi="Arial" w:cs="Arial"/>
        </w:rPr>
        <w:t>Telephone: +44-141-548-3825.</w:t>
      </w:r>
    </w:p>
    <w:p w14:paraId="3C20B58A" w14:textId="77777777" w:rsidR="005A5A82" w:rsidRPr="005A5A82" w:rsidRDefault="005A5A82" w:rsidP="005A5A82">
      <w:pPr>
        <w:pStyle w:val="NoSpacing"/>
        <w:spacing w:line="360" w:lineRule="auto"/>
        <w:rPr>
          <w:rFonts w:ascii="Arial" w:hAnsi="Arial" w:cs="Arial"/>
        </w:rPr>
      </w:pPr>
      <w:r w:rsidRPr="005A5A82">
        <w:rPr>
          <w:rFonts w:ascii="Arial" w:hAnsi="Arial" w:cs="Arial"/>
        </w:rPr>
        <w:t xml:space="preserve">Fax: +44-141-552-2562 </w:t>
      </w:r>
    </w:p>
    <w:p w14:paraId="4DE1558F" w14:textId="77777777" w:rsidR="005A5A82" w:rsidRPr="00E07F7F" w:rsidRDefault="005A5A82" w:rsidP="005A5A82">
      <w:pPr>
        <w:pStyle w:val="NoSpacing"/>
        <w:spacing w:line="360" w:lineRule="auto"/>
        <w:rPr>
          <w:rFonts w:ascii="Arial" w:hAnsi="Arial" w:cs="Arial"/>
          <w:i/>
        </w:rPr>
      </w:pPr>
      <w:r w:rsidRPr="00E07F7F">
        <w:rPr>
          <w:rFonts w:ascii="Arial" w:hAnsi="Arial" w:cs="Arial"/>
          <w:i/>
        </w:rPr>
        <w:t>Or</w:t>
      </w:r>
    </w:p>
    <w:p w14:paraId="589C3467" w14:textId="77777777" w:rsidR="005A5A82" w:rsidRPr="005A5A82" w:rsidRDefault="005A5A82" w:rsidP="005A5A82">
      <w:pPr>
        <w:pStyle w:val="NoSpacing"/>
        <w:spacing w:line="360" w:lineRule="auto"/>
        <w:rPr>
          <w:rFonts w:ascii="Arial" w:hAnsi="Arial" w:cs="Arial"/>
        </w:rPr>
      </w:pPr>
      <w:r w:rsidRPr="005A5A82">
        <w:rPr>
          <w:rFonts w:ascii="Arial" w:hAnsi="Arial" w:cs="Arial"/>
        </w:rPr>
        <w:t xml:space="preserve">Division of Clinical Pharmacology, Karolinska Institute, Karolinska University Hospital Huddinge, SE-141 86, Stockholm, Sweden. </w:t>
      </w:r>
    </w:p>
    <w:p w14:paraId="7B932B01" w14:textId="77777777" w:rsidR="005A5A82" w:rsidRPr="005A5A82" w:rsidRDefault="005A5A82" w:rsidP="005A5A82">
      <w:pPr>
        <w:pStyle w:val="NoSpacing"/>
        <w:spacing w:line="360" w:lineRule="auto"/>
        <w:rPr>
          <w:rFonts w:ascii="Arial" w:hAnsi="Arial" w:cs="Arial"/>
        </w:rPr>
      </w:pPr>
      <w:r w:rsidRPr="005A5A82">
        <w:rPr>
          <w:rFonts w:ascii="Arial" w:hAnsi="Arial" w:cs="Arial"/>
        </w:rPr>
        <w:t xml:space="preserve">Email: </w:t>
      </w:r>
      <w:hyperlink r:id="rId9" w:history="1">
        <w:r w:rsidRPr="005A5A82">
          <w:rPr>
            <w:rStyle w:val="Hyperlink"/>
            <w:rFonts w:ascii="Arial" w:eastAsiaTheme="minorEastAsia" w:hAnsi="Arial" w:cs="Arial"/>
          </w:rPr>
          <w:t>Brian.Godman@ki.se</w:t>
        </w:r>
      </w:hyperlink>
      <w:r w:rsidRPr="005A5A82">
        <w:rPr>
          <w:rFonts w:ascii="Arial" w:hAnsi="Arial" w:cs="Arial"/>
        </w:rPr>
        <w:t xml:space="preserve">. </w:t>
      </w:r>
    </w:p>
    <w:p w14:paraId="57E5D287" w14:textId="77777777" w:rsidR="005A5A82" w:rsidRPr="005A5A82" w:rsidRDefault="005A5A82" w:rsidP="005A5A82">
      <w:pPr>
        <w:pStyle w:val="NoSpacing"/>
        <w:spacing w:line="360" w:lineRule="auto"/>
        <w:rPr>
          <w:rFonts w:ascii="Arial" w:hAnsi="Arial" w:cs="Arial"/>
        </w:rPr>
      </w:pPr>
      <w:r w:rsidRPr="005A5A82">
        <w:rPr>
          <w:rFonts w:ascii="Arial" w:hAnsi="Arial" w:cs="Arial"/>
        </w:rPr>
        <w:t xml:space="preserve">Telephone: +46-8-58581068. </w:t>
      </w:r>
    </w:p>
    <w:p w14:paraId="26CA66FA" w14:textId="77777777" w:rsidR="005A5A82" w:rsidRPr="005A5A82" w:rsidRDefault="005A5A82" w:rsidP="005A5A82">
      <w:pPr>
        <w:pStyle w:val="NoSpacing"/>
        <w:spacing w:line="360" w:lineRule="auto"/>
        <w:rPr>
          <w:rFonts w:ascii="Arial" w:hAnsi="Arial" w:cs="Arial"/>
        </w:rPr>
      </w:pPr>
      <w:r w:rsidRPr="005A5A82">
        <w:rPr>
          <w:rFonts w:ascii="Arial" w:hAnsi="Arial" w:cs="Arial"/>
        </w:rPr>
        <w:t>Fax: +46-8-59581070</w:t>
      </w:r>
    </w:p>
    <w:p w14:paraId="6D189282" w14:textId="77777777" w:rsidR="005A5A82" w:rsidRPr="005A5A82" w:rsidRDefault="005A5A82">
      <w:pPr>
        <w:spacing w:after="160" w:line="259" w:lineRule="auto"/>
        <w:rPr>
          <w:rFonts w:ascii="Arial" w:eastAsia="Times New Roman" w:hAnsi="Arial" w:cs="Arial"/>
          <w:b/>
        </w:rPr>
      </w:pPr>
      <w:r w:rsidRPr="005A5A82">
        <w:rPr>
          <w:rFonts w:ascii="Arial" w:hAnsi="Arial" w:cs="Arial"/>
          <w:b/>
        </w:rPr>
        <w:br w:type="page"/>
      </w:r>
    </w:p>
    <w:p w14:paraId="494AFD70" w14:textId="3DDD47CF" w:rsidR="00CB62E5" w:rsidRPr="005A5A82" w:rsidRDefault="002D4DCF" w:rsidP="005A5A82">
      <w:pPr>
        <w:pStyle w:val="NoSpacing"/>
        <w:spacing w:line="360" w:lineRule="auto"/>
        <w:rPr>
          <w:rFonts w:ascii="Arial" w:hAnsi="Arial" w:cs="Arial"/>
          <w:b/>
          <w:sz w:val="28"/>
        </w:rPr>
      </w:pPr>
      <w:r w:rsidRPr="005A5A82">
        <w:rPr>
          <w:rFonts w:ascii="Arial" w:hAnsi="Arial" w:cs="Arial"/>
          <w:b/>
          <w:sz w:val="28"/>
        </w:rPr>
        <w:lastRenderedPageBreak/>
        <w:t>Abstract</w:t>
      </w:r>
      <w:r w:rsidR="00CB62E5" w:rsidRPr="005A5A82">
        <w:rPr>
          <w:rFonts w:ascii="Arial" w:hAnsi="Arial" w:cs="Arial"/>
          <w:b/>
          <w:sz w:val="28"/>
        </w:rPr>
        <w:t xml:space="preserve"> </w:t>
      </w:r>
    </w:p>
    <w:p w14:paraId="0B9F55CC" w14:textId="1D25E907" w:rsidR="003C2D5F" w:rsidRPr="005A5A82" w:rsidRDefault="001D65A8" w:rsidP="005A5A82">
      <w:pPr>
        <w:pStyle w:val="NoSpacing"/>
        <w:spacing w:line="360" w:lineRule="auto"/>
        <w:rPr>
          <w:rFonts w:ascii="Arial" w:hAnsi="Arial" w:cs="Arial"/>
        </w:rPr>
      </w:pPr>
      <w:bookmarkStart w:id="0" w:name="_Hlk516589902"/>
      <w:r w:rsidRPr="005A5A82">
        <w:rPr>
          <w:rFonts w:ascii="Arial" w:hAnsi="Arial" w:cs="Arial"/>
          <w:b/>
          <w:i/>
        </w:rPr>
        <w:t>Objectives</w:t>
      </w:r>
      <w:r w:rsidR="002D4DCF" w:rsidRPr="005A5A82">
        <w:rPr>
          <w:rFonts w:ascii="Arial" w:hAnsi="Arial" w:cs="Arial"/>
          <w:b/>
          <w:i/>
        </w:rPr>
        <w:t>:</w:t>
      </w:r>
      <w:r w:rsidR="002D4DCF" w:rsidRPr="005A5A82">
        <w:rPr>
          <w:rFonts w:ascii="Arial" w:hAnsi="Arial" w:cs="Arial"/>
        </w:rPr>
        <w:t xml:space="preserve"> Optimal treatment success rates are critical to end tuberculosis in Namibia. Despite the scale-up of high quality DOTS in Namibia, treatment success falls</w:t>
      </w:r>
      <w:r w:rsidR="002D4DCF" w:rsidRPr="005A5A82">
        <w:rPr>
          <w:rFonts w:ascii="Arial" w:hAnsi="Arial" w:cs="Arial"/>
          <w:lang w:val="en-ZA"/>
        </w:rPr>
        <w:t xml:space="preserve"> short of the global target of 90%. Consequently, the objective of this study was to ascertain t</w:t>
      </w:r>
      <w:r w:rsidR="002D4DCF" w:rsidRPr="005A5A82">
        <w:rPr>
          <w:rFonts w:ascii="Arial" w:hAnsi="Arial" w:cs="Arial"/>
        </w:rPr>
        <w:t>he predictors of treatment success rates under DOTS in Namibia to provide future direction.</w:t>
      </w:r>
    </w:p>
    <w:p w14:paraId="093320A8" w14:textId="192410A1" w:rsidR="003C2D5F" w:rsidRPr="005A5A82" w:rsidRDefault="002D4DCF" w:rsidP="005A5A82">
      <w:pPr>
        <w:pStyle w:val="NoSpacing"/>
        <w:spacing w:line="360" w:lineRule="auto"/>
        <w:rPr>
          <w:rFonts w:ascii="Arial" w:hAnsi="Arial" w:cs="Arial"/>
        </w:rPr>
      </w:pPr>
      <w:r w:rsidRPr="005A5A82">
        <w:rPr>
          <w:rFonts w:ascii="Arial" w:hAnsi="Arial" w:cs="Arial"/>
          <w:b/>
          <w:i/>
        </w:rPr>
        <w:t>Method</w:t>
      </w:r>
      <w:r w:rsidR="001D65A8" w:rsidRPr="005A5A82">
        <w:rPr>
          <w:rFonts w:ascii="Arial" w:hAnsi="Arial" w:cs="Arial"/>
          <w:b/>
          <w:i/>
        </w:rPr>
        <w:t>s</w:t>
      </w:r>
      <w:r w:rsidRPr="005A5A82">
        <w:rPr>
          <w:rFonts w:ascii="Arial" w:hAnsi="Arial" w:cs="Arial"/>
          <w:b/>
          <w:i/>
        </w:rPr>
        <w:t>:</w:t>
      </w:r>
      <w:r w:rsidRPr="005A5A82">
        <w:rPr>
          <w:rFonts w:ascii="Arial" w:hAnsi="Arial" w:cs="Arial"/>
        </w:rPr>
        <w:t xml:space="preserve"> A nation-wide comparative analysis of predictors of treatment success was undertaken. Tuberculosis cases in the electronic tuberculosis register were retrospectively reviewed over a 10-year period, 2004-2016. The patient, programmatic, clinical and treatment predictors of treatment success were determined by multivariate logistic regression modeling using R software. </w:t>
      </w:r>
    </w:p>
    <w:p w14:paraId="0D3BB3B2" w14:textId="77777777" w:rsidR="004B54C3" w:rsidRDefault="002D4DCF" w:rsidP="005A5A82">
      <w:pPr>
        <w:pStyle w:val="NoSpacing"/>
        <w:spacing w:line="360" w:lineRule="auto"/>
        <w:rPr>
          <w:rFonts w:ascii="Arial" w:hAnsi="Arial" w:cs="Arial"/>
        </w:rPr>
      </w:pPr>
      <w:r w:rsidRPr="005A5A82">
        <w:rPr>
          <w:rFonts w:ascii="Arial" w:hAnsi="Arial" w:cs="Arial"/>
          <w:b/>
          <w:i/>
        </w:rPr>
        <w:t>Results:</w:t>
      </w:r>
      <w:r w:rsidRPr="005A5A82">
        <w:rPr>
          <w:rFonts w:ascii="Arial" w:hAnsi="Arial" w:cs="Arial"/>
        </w:rPr>
        <w:t xml:space="preserve"> 104,603 TB cases were registered at 300 DOTS sites in 37 districts. The 10-year period treatment success rate was 80%, and varied by region (</w:t>
      </w:r>
      <w:r w:rsidRPr="005A5A82">
        <w:rPr>
          <w:rFonts w:ascii="Arial" w:hAnsi="Arial" w:cs="Arial"/>
          <w:shd w:val="clear" w:color="auto" w:fill="FFFFFF"/>
        </w:rPr>
        <w:t>77.2%-89.2%)</w:t>
      </w:r>
      <w:r w:rsidRPr="005A5A82">
        <w:rPr>
          <w:rFonts w:ascii="Arial" w:hAnsi="Arial" w:cs="Arial"/>
        </w:rPr>
        <w:t xml:space="preserve">. The patient’s sex and age were not significant predictors of treatment success. The independent predictors for treatment success </w:t>
      </w:r>
      <w:r w:rsidR="00123D71" w:rsidRPr="005A5A82">
        <w:rPr>
          <w:rFonts w:ascii="Arial" w:hAnsi="Arial" w:cs="Arial"/>
        </w:rPr>
        <w:t xml:space="preserve">as </w:t>
      </w:r>
      <w:r w:rsidRPr="005A5A82">
        <w:rPr>
          <w:rFonts w:ascii="Arial" w:hAnsi="Arial" w:cs="Arial"/>
        </w:rPr>
        <w:t>were: Region of DOTS implementation (p=0.001)</w:t>
      </w:r>
      <w:r w:rsidR="00C46E74" w:rsidRPr="005A5A82">
        <w:rPr>
          <w:rFonts w:ascii="Arial" w:hAnsi="Arial" w:cs="Arial"/>
        </w:rPr>
        <w:t>,</w:t>
      </w:r>
      <w:r w:rsidRPr="005A5A82">
        <w:rPr>
          <w:rFonts w:ascii="Arial" w:hAnsi="Arial" w:cs="Arial"/>
        </w:rPr>
        <w:t xml:space="preserve"> type of DOT supporter (p&lt;0.001), sputum conversion at 2 months (p=0.013)</w:t>
      </w:r>
      <w:r w:rsidR="00123D71" w:rsidRPr="005A5A82">
        <w:rPr>
          <w:rFonts w:ascii="Arial" w:hAnsi="Arial" w:cs="Arial"/>
        </w:rPr>
        <w:t>,</w:t>
      </w:r>
      <w:r w:rsidR="00C26E51" w:rsidRPr="005A5A82">
        <w:rPr>
          <w:rFonts w:ascii="Arial" w:hAnsi="Arial" w:cs="Arial"/>
        </w:rPr>
        <w:t xml:space="preserve"> DOT </w:t>
      </w:r>
      <w:r w:rsidR="007334F6" w:rsidRPr="005A5A82">
        <w:rPr>
          <w:rFonts w:ascii="Arial" w:hAnsi="Arial" w:cs="Arial"/>
        </w:rPr>
        <w:t>regimen (p&lt;0.001)</w:t>
      </w:r>
      <w:r w:rsidR="00123D71" w:rsidRPr="005A5A82">
        <w:rPr>
          <w:rFonts w:ascii="Arial" w:hAnsi="Arial" w:cs="Arial"/>
        </w:rPr>
        <w:t xml:space="preserve">, </w:t>
      </w:r>
      <w:r w:rsidRPr="005A5A82">
        <w:rPr>
          <w:rFonts w:ascii="Arial" w:hAnsi="Arial" w:cs="Arial"/>
        </w:rPr>
        <w:t xml:space="preserve">cotrimoxazole prophylaxis </w:t>
      </w:r>
      <w:r w:rsidR="00123D71" w:rsidRPr="005A5A82">
        <w:rPr>
          <w:rFonts w:ascii="Arial" w:hAnsi="Arial" w:cs="Arial"/>
        </w:rPr>
        <w:t>(</w:t>
      </w:r>
      <w:r w:rsidRPr="005A5A82">
        <w:rPr>
          <w:rFonts w:ascii="Arial" w:hAnsi="Arial" w:cs="Arial"/>
        </w:rPr>
        <w:t>p=0.002)</w:t>
      </w:r>
      <w:r w:rsidR="00123D71" w:rsidRPr="005A5A82">
        <w:rPr>
          <w:rFonts w:ascii="Arial" w:hAnsi="Arial" w:cs="Arial"/>
        </w:rPr>
        <w:t xml:space="preserve"> and</w:t>
      </w:r>
      <w:r w:rsidRPr="005A5A82">
        <w:rPr>
          <w:rFonts w:ascii="Arial" w:hAnsi="Arial" w:cs="Arial"/>
        </w:rPr>
        <w:t xml:space="preserve"> HIV co-infection </w:t>
      </w:r>
      <w:r w:rsidR="00123D71" w:rsidRPr="005A5A82">
        <w:rPr>
          <w:rFonts w:ascii="Arial" w:hAnsi="Arial" w:cs="Arial"/>
        </w:rPr>
        <w:t>(</w:t>
      </w:r>
      <w:r w:rsidRPr="005A5A82">
        <w:rPr>
          <w:rFonts w:ascii="Arial" w:hAnsi="Arial" w:cs="Arial"/>
        </w:rPr>
        <w:t xml:space="preserve">p=0.001). </w:t>
      </w:r>
    </w:p>
    <w:p w14:paraId="3C5A9769" w14:textId="78D13719" w:rsidR="002D4DCF" w:rsidRPr="005A5A82" w:rsidRDefault="002D4DCF" w:rsidP="005A5A82">
      <w:pPr>
        <w:pStyle w:val="NoSpacing"/>
        <w:spacing w:line="360" w:lineRule="auto"/>
        <w:rPr>
          <w:rFonts w:ascii="Arial" w:hAnsi="Arial" w:cs="Arial"/>
          <w:highlight w:val="yellow"/>
          <w:lang w:val="en-ZA"/>
        </w:rPr>
      </w:pPr>
      <w:r w:rsidRPr="004B54C3">
        <w:rPr>
          <w:rFonts w:ascii="Arial" w:hAnsi="Arial" w:cs="Arial"/>
          <w:b/>
          <w:i/>
        </w:rPr>
        <w:t>Conclusion:</w:t>
      </w:r>
      <w:r w:rsidRPr="004B54C3">
        <w:rPr>
          <w:rFonts w:ascii="Arial" w:hAnsi="Arial" w:cs="Arial"/>
          <w:b/>
        </w:rPr>
        <w:t xml:space="preserve"> </w:t>
      </w:r>
      <w:r w:rsidRPr="005A5A82">
        <w:rPr>
          <w:rFonts w:ascii="Arial" w:hAnsi="Arial" w:cs="Arial"/>
          <w:lang w:val="en-ZA"/>
        </w:rPr>
        <w:t>Targeted programmatic, clinical and treatment interventions are required to enhance DOTS treatment success in Namibia. These are now ongoing.</w:t>
      </w:r>
    </w:p>
    <w:bookmarkEnd w:id="0"/>
    <w:p w14:paraId="086E2AF3" w14:textId="3E686021" w:rsidR="00CB62E5" w:rsidRDefault="00CB62E5" w:rsidP="005A5A82">
      <w:pPr>
        <w:pStyle w:val="NoSpacing"/>
        <w:spacing w:line="360" w:lineRule="auto"/>
        <w:rPr>
          <w:rFonts w:ascii="Arial" w:hAnsi="Arial" w:cs="Arial"/>
          <w:highlight w:val="yellow"/>
        </w:rPr>
      </w:pPr>
    </w:p>
    <w:p w14:paraId="453CAD53" w14:textId="6F2137B7" w:rsidR="004B54C3" w:rsidRPr="004B54C3" w:rsidRDefault="004B54C3" w:rsidP="005A5A82">
      <w:pPr>
        <w:pStyle w:val="NoSpacing"/>
        <w:spacing w:line="360" w:lineRule="auto"/>
        <w:rPr>
          <w:rFonts w:ascii="Arial" w:hAnsi="Arial" w:cs="Arial"/>
        </w:rPr>
      </w:pPr>
      <w:r w:rsidRPr="004B54C3">
        <w:rPr>
          <w:rFonts w:ascii="Arial" w:hAnsi="Arial" w:cs="Arial"/>
          <w:b/>
        </w:rPr>
        <w:t>Keywords</w:t>
      </w:r>
      <w:r>
        <w:rPr>
          <w:rFonts w:ascii="Arial" w:hAnsi="Arial" w:cs="Arial"/>
          <w:b/>
        </w:rPr>
        <w:t xml:space="preserve">: </w:t>
      </w:r>
      <w:r>
        <w:rPr>
          <w:rFonts w:ascii="Arial" w:hAnsi="Arial" w:cs="Arial"/>
        </w:rPr>
        <w:t>DOTS program, TB, predictors, Effectiveness</w:t>
      </w:r>
      <w:r w:rsidRPr="004B54C3">
        <w:rPr>
          <w:rFonts w:ascii="Arial" w:hAnsi="Arial" w:cs="Arial"/>
        </w:rPr>
        <w:t>, Outcomes</w:t>
      </w:r>
    </w:p>
    <w:p w14:paraId="6E045522" w14:textId="3742F403" w:rsidR="00751E80" w:rsidRPr="00751E80" w:rsidRDefault="00751E80" w:rsidP="005A5A82">
      <w:pPr>
        <w:pStyle w:val="NoSpacing"/>
        <w:spacing w:line="360" w:lineRule="auto"/>
        <w:rPr>
          <w:rFonts w:ascii="Arial" w:hAnsi="Arial" w:cs="Arial"/>
        </w:rPr>
      </w:pPr>
    </w:p>
    <w:p w14:paraId="142EA3D9" w14:textId="77777777" w:rsidR="00751E80" w:rsidRPr="00751E80" w:rsidRDefault="00751E80" w:rsidP="005A5A82">
      <w:pPr>
        <w:pStyle w:val="NoSpacing"/>
        <w:spacing w:line="360" w:lineRule="auto"/>
        <w:rPr>
          <w:rFonts w:ascii="Arial" w:hAnsi="Arial" w:cs="Arial"/>
        </w:rPr>
      </w:pPr>
      <w:r w:rsidRPr="00751E80">
        <w:rPr>
          <w:rFonts w:ascii="Arial" w:hAnsi="Arial" w:cs="Arial"/>
        </w:rPr>
        <w:t>(Accepted for Publication Expert Review of Respiratory Therapy – please keep Confidential)</w:t>
      </w:r>
    </w:p>
    <w:p w14:paraId="1E97D7E8" w14:textId="725A7B07" w:rsidR="00751E80" w:rsidRDefault="00751E80" w:rsidP="005A5A82">
      <w:pPr>
        <w:pStyle w:val="NoSpacing"/>
        <w:spacing w:line="360" w:lineRule="auto"/>
        <w:rPr>
          <w:rFonts w:ascii="Arial" w:hAnsi="Arial" w:cs="Arial"/>
          <w:b/>
        </w:rPr>
      </w:pPr>
      <w:r>
        <w:rPr>
          <w:rFonts w:ascii="Arial" w:hAnsi="Arial" w:cs="Arial"/>
          <w:b/>
        </w:rPr>
        <w:t xml:space="preserve"> </w:t>
      </w:r>
    </w:p>
    <w:p w14:paraId="4BB1F020" w14:textId="5CD18C68" w:rsidR="00CB62E5" w:rsidRPr="005A5A82" w:rsidRDefault="002D4DCF" w:rsidP="005A5A82">
      <w:pPr>
        <w:pStyle w:val="NoSpacing"/>
        <w:spacing w:line="360" w:lineRule="auto"/>
        <w:rPr>
          <w:rFonts w:ascii="Arial" w:hAnsi="Arial" w:cs="Arial"/>
          <w:b/>
          <w:lang w:val="en-ZA"/>
        </w:rPr>
      </w:pPr>
      <w:r w:rsidRPr="005A5A82">
        <w:rPr>
          <w:rFonts w:ascii="Arial" w:hAnsi="Arial" w:cs="Arial"/>
          <w:b/>
        </w:rPr>
        <w:t xml:space="preserve">1. </w:t>
      </w:r>
      <w:r w:rsidR="00CB62E5" w:rsidRPr="005A5A82">
        <w:rPr>
          <w:rFonts w:ascii="Arial" w:hAnsi="Arial" w:cs="Arial"/>
          <w:b/>
          <w:lang w:val="en-ZA"/>
        </w:rPr>
        <w:t>I</w:t>
      </w:r>
      <w:r w:rsidR="004B54C3" w:rsidRPr="005A5A82">
        <w:rPr>
          <w:rFonts w:ascii="Arial" w:hAnsi="Arial" w:cs="Arial"/>
          <w:b/>
          <w:lang w:val="en-ZA"/>
        </w:rPr>
        <w:t>ntroduction</w:t>
      </w:r>
    </w:p>
    <w:p w14:paraId="089226F0" w14:textId="77777777" w:rsidR="002D4DCF" w:rsidRPr="005A5A82" w:rsidRDefault="002D4DCF" w:rsidP="005A5A82">
      <w:pPr>
        <w:pStyle w:val="NoSpacing"/>
        <w:spacing w:line="360" w:lineRule="auto"/>
        <w:rPr>
          <w:rFonts w:ascii="Arial" w:hAnsi="Arial" w:cs="Arial"/>
          <w:lang w:val="en-ZA"/>
        </w:rPr>
      </w:pPr>
    </w:p>
    <w:p w14:paraId="0A5472D7" w14:textId="423F015E" w:rsidR="002D4DCF" w:rsidRPr="005A5A82" w:rsidRDefault="00CB62E5" w:rsidP="005A5A82">
      <w:pPr>
        <w:pStyle w:val="NoSpacing"/>
        <w:spacing w:line="360" w:lineRule="auto"/>
        <w:rPr>
          <w:rFonts w:ascii="Arial" w:hAnsi="Arial" w:cs="Arial"/>
        </w:rPr>
      </w:pPr>
      <w:r w:rsidRPr="005A5A82">
        <w:rPr>
          <w:rFonts w:ascii="Arial" w:hAnsi="Arial" w:cs="Arial"/>
          <w:lang w:val="en-ZA"/>
        </w:rPr>
        <w:t>Tuberculosis (TB) is the leading cause of death worldwide from an infectious disease</w:t>
      </w:r>
      <w:r w:rsidRPr="005A5A82">
        <w:rPr>
          <w:rFonts w:ascii="Arial" w:hAnsi="Arial" w:cs="Arial"/>
          <w:lang w:val="en-ZA"/>
        </w:rPr>
        <w:fldChar w:fldCharType="begin" w:fldLock="1"/>
      </w:r>
      <w:r w:rsidRPr="005A5A82">
        <w:rPr>
          <w:rFonts w:ascii="Arial" w:hAnsi="Arial" w:cs="Arial"/>
          <w:lang w:val="en-ZA"/>
        </w:rPr>
        <w:instrText>ADDIN CSL_CITATION { "citationItems" : [ { "id" : "ITEM-1", "itemData" : { "author" : [ { "dropping-particle" : "", "family" : "Republic of Namibia Ministry of Health and Social Services", "given" : "", "non-dropping-particle" : "", "parse-names" : false, "suffix" : "" } ], "id" : "ITEM-1", "issue" : "March", "issued" : { "date-parts" : [ [ "2011" ] ] }, "number-of-pages" : "1-218", "publisher-place" : "W", "title" : "National Guidelines for the Management of Tuberculosis, Third Edition", "type" : "report" }, "uris" : [ "http://www.mendeley.com/documents/?uuid=5929b526-5328-4a6c-9a59-e0c6baf3d3da" ] }, { "id" : "ITEM-2", "itemData" : { "DOI" : "10.1016/S0140-6736(06)68383-9", "ISBN" : "1474-547X (Electronic)\\n0140-6736 (Linking)", "ISSN" : "01406736", "PMID" : "16546541", "abstract" : "Rapid scale-up of antiretroviral treatment programmes is happening in Africa, driven by international advocacy and policy directives and supported by unprecedented donor funding and technical assistance. This welcome development offers hope to millions of HIV-infected Africans, among whom tuberculosis is the major cause of serious illness and death. Little in the way of HIV diagnosis or care was previously offered to patients with tuberculosis, by either national tuberculosis or AIDS control programmes, with tuberculosis services focused exclusively on diagnosis and treatment of rising numbers of patients. Tuberculosis control in Africa has yet to adapt to the new climate of antiretroviral availability. Many barriers exist, from drug interactions to historic differences in the way that tuberculosis and HIV are perceived, but failure to successfully integrate HIV and tuberculosis control will threaten the viability of both programmes. Here, we review tuberculosis epidemiology in Africa and policy implications of HIV/AIDS treatment scale-up.", "author" : [ { "dropping-particle" : "", "family" : "Corbett", "given" : "Elizabeth L.", "non-dropping-particle" : "", "parse-names" : false, "suffix" : "" }, { "dropping-particle" : "", "family" : "Marston", "given" : "Barbara", "non-dropping-particle" : "", "parse-names" : false, "suffix" : "" }, { "dropping-particle" : "", "family" : "Churchyard", "given" : "Gavin J.", "non-dropping-particle" : "", "parse-names" : false, "suffix" : "" }, { "dropping-particle" : "", "family" : "Cock", "given" : "Kevin M.", "non-dropping-particle" : "De", "parse-names" : false, "suffix" : "" } ], "container-title" : "Lancet", "id" : "ITEM-2", "issue" : "9514", "issued" : { "date-parts" : [ [ "2006" ] ] }, "page" : "926-937", "title" : "Tuberculosis in sub-Saharan Africa: Opportunities, challenges, and change in the era of antiretroviral treatment", "type" : "article", "volume" : "367" }, "uris" : [ "http://www.mendeley.com/documents/?uuid=9e1dd65e-a5c9-437b-a983-d24586cbe179" ] }, { "id" : "ITEM-3", "itemData" : { "DOI" : "10.1016/S0140-6736(10)62173-3", "ISBN" : "1474-547X (Electronic)\\r0140-6736 (Linking)", "ISSN" : "1474-547X", "PMID" : "21420161", "abstract" : "Tuberculosis results in an estimated 1\u00b77 million deaths each year and the worldwide number of new cases (more than 9 million) is higher than at any other time in history. 22 low-income and middle-income countries account for more than 80% of the active cases in the world. Due to the devastating effect of HIV on susceptibility to tuberculosis, sub-Saharan Africa has been disproportionately affected and accounts for four of every five cases of HIV-associated tuberculosis. In many regions highly endemic for tuberculosis, diagnosis continues to rely on century-old sputum microscopy; there is no vaccine with adequate effectiveness and tuberculosis treatment regimens are protracted and have a risk of toxic effects. Increasing rates of drug-resistant tuberculosis in eastern Europe, Asia, and sub-Saharan Africa now threaten to undermine the gains made by worldwide tuberculosis control programmes. Moreover, our fundamental understanding of the pathogenesis of this disease is inadequate. However, increased investment has allowed basic science and translational and applied research to produce new data, leading to promising progress in the development of improved tuberculosis diagnostics, biomarkers of disease activity, drugs, and vaccines. The growing scientific momentum must be accompanied by much greater investment and political commitment to meet this huge persisting challenge to public health. Our Seminar presents current perspectives on the scale of the epidemic, the pathogen and the host response, present and emerging methods for disease control (including diagnostics, drugs, biomarkers, and vaccines), and the ongoing challenge of tuberculosis control in adults in the 21st century.", "author" : [ { "dropping-particle" : "", "family" : "Lawn", "given" : "Stephen D", "non-dropping-particle" : "", "parse-names" : false, "suffix" : "" }, { "dropping-particle" : "", "family" : "Zumla", "given" : "Alimuddin I", "non-dropping-particle" : "", "parse-names" : false, "suffix" : "" } ], "container-title" : "Lancet", "id" : "ITEM-3", "issue" : "9785", "issued" : { "date-parts" : [ [ "2011" ] ] }, "page" : "57-72", "title" : "Tuberculosis.", "type" : "article-journal", "volume" : "378" }, "uris" : [ "http://www.mendeley.com/documents/?uuid=14799429-2a08-4de0-9e7a-6398740d6ff4" ] } ], "mendeley" : { "formattedCitation" : "&lt;sup&gt;1\u20133&lt;/sup&gt;", "plainTextFormattedCitation" : "1\u20133", "previouslyFormattedCitation" : "&lt;sup&gt;1\u20133&lt;/sup&gt;" }, "properties" : { "noteIndex" : 0 }, "schema" : "https://github.com/citation-style-language/schema/raw/master/csl-citation.json" }</w:instrText>
      </w:r>
      <w:r w:rsidRPr="005A5A82">
        <w:rPr>
          <w:rFonts w:ascii="Arial" w:hAnsi="Arial" w:cs="Arial"/>
          <w:lang w:val="en-ZA"/>
        </w:rPr>
        <w:fldChar w:fldCharType="separate"/>
      </w:r>
      <w:r w:rsidRPr="005A5A82">
        <w:rPr>
          <w:rFonts w:ascii="Arial" w:hAnsi="Arial" w:cs="Arial"/>
          <w:noProof/>
          <w:vertAlign w:val="superscript"/>
          <w:lang w:val="en-ZA"/>
        </w:rPr>
        <w:t>1–3</w:t>
      </w:r>
      <w:r w:rsidRPr="005A5A82">
        <w:rPr>
          <w:rFonts w:ascii="Arial" w:hAnsi="Arial" w:cs="Arial"/>
          <w:lang w:val="en-ZA"/>
        </w:rPr>
        <w:fldChar w:fldCharType="end"/>
      </w:r>
      <w:r w:rsidRPr="005A5A82">
        <w:rPr>
          <w:rFonts w:ascii="Arial" w:hAnsi="Arial" w:cs="Arial"/>
          <w:lang w:val="en-ZA"/>
        </w:rPr>
        <w:t>. In 2015 alone, the WHO estimated that TB killed a</w:t>
      </w:r>
      <w:r w:rsidR="002D4DCF" w:rsidRPr="005A5A82">
        <w:rPr>
          <w:rFonts w:ascii="Arial" w:hAnsi="Arial" w:cs="Arial"/>
          <w:lang w:val="en-ZA"/>
        </w:rPr>
        <w:t>pproximately</w:t>
      </w:r>
      <w:r w:rsidR="00401C34">
        <w:rPr>
          <w:rFonts w:ascii="Arial" w:hAnsi="Arial" w:cs="Arial"/>
          <w:lang w:val="en-ZA"/>
        </w:rPr>
        <w:t xml:space="preserve"> </w:t>
      </w:r>
      <w:r w:rsidRPr="005A5A82">
        <w:rPr>
          <w:rFonts w:ascii="Arial" w:hAnsi="Arial" w:cs="Arial"/>
          <w:lang w:val="en-ZA"/>
        </w:rPr>
        <w:t>1.8 million people globally; 95% of these deaths occurred in developing countries such as Namibia</w:t>
      </w:r>
      <w:r w:rsidRPr="005A5A82">
        <w:rPr>
          <w:rFonts w:ascii="Arial" w:hAnsi="Arial" w:cs="Arial"/>
          <w:lang w:val="en-ZA"/>
        </w:rPr>
        <w:fldChar w:fldCharType="begin" w:fldLock="1"/>
      </w:r>
      <w:r w:rsidRPr="005A5A82">
        <w:rPr>
          <w:rFonts w:ascii="Arial" w:hAnsi="Arial" w:cs="Arial"/>
          <w:lang w:val="en-ZA"/>
        </w:rPr>
        <w:instrText>ADDIN CSL_CITATION { "citationItems" : [ { "id" : "ITEM-1", "itemData" : { "abstract" : "Discussion paper initially prepared in April 2015 to facilitate feedback, and finalized after the June 2015 meeting of WHO\u2019s Strategic and Technical Advisory Group for TB (STAG-TB).", "author" : [ { "dropping-particle" : "", "family" : "WHO", "given" : "", "non-dropping-particle" : "", "parse-names" : false, "suffix" : "" } ], "container-title" : "WHO press", "id" : "ITEM-1", "issue" : "April", "issued" : { "date-parts" : [ [ "2015" ] ] }, "page" : "19", "title" : "Use of high burden country lists for TB by WHO in the post-2015 era", "type" : "article-journal" }, "uris" : [ "http://www.mendeley.com/documents/?uuid=4f2c7961-36f6-4812-88cd-d07578eb6ee9" ] } ], "mendeley" : { "formattedCitation" : "&lt;sup&gt;4&lt;/sup&gt;", "plainTextFormattedCitation" : "4", "previouslyFormattedCitation" : "&lt;sup&gt;4&lt;/sup&gt;" }, "properties" : { "noteIndex" : 0 }, "schema" : "https://github.com/citation-style-language/schema/raw/master/csl-citation.json" }</w:instrText>
      </w:r>
      <w:r w:rsidRPr="005A5A82">
        <w:rPr>
          <w:rFonts w:ascii="Arial" w:hAnsi="Arial" w:cs="Arial"/>
          <w:lang w:val="en-ZA"/>
        </w:rPr>
        <w:fldChar w:fldCharType="separate"/>
      </w:r>
      <w:r w:rsidRPr="005A5A82">
        <w:rPr>
          <w:rFonts w:ascii="Arial" w:hAnsi="Arial" w:cs="Arial"/>
          <w:noProof/>
          <w:vertAlign w:val="superscript"/>
          <w:lang w:val="en-ZA"/>
        </w:rPr>
        <w:t>4</w:t>
      </w:r>
      <w:r w:rsidRPr="005A5A82">
        <w:rPr>
          <w:rFonts w:ascii="Arial" w:hAnsi="Arial" w:cs="Arial"/>
          <w:lang w:val="en-ZA"/>
        </w:rPr>
        <w:fldChar w:fldCharType="end"/>
      </w:r>
      <w:r w:rsidRPr="005A5A82">
        <w:rPr>
          <w:rFonts w:ascii="Arial" w:hAnsi="Arial" w:cs="Arial"/>
          <w:lang w:val="en-ZA"/>
        </w:rPr>
        <w:t>.  However, TB can be cured</w:t>
      </w:r>
      <w:r w:rsidRPr="005A5A82">
        <w:rPr>
          <w:rFonts w:ascii="Arial" w:hAnsi="Arial" w:cs="Arial"/>
          <w:lang w:val="en-ZA"/>
        </w:rPr>
        <w:fldChar w:fldCharType="begin" w:fldLock="1"/>
      </w:r>
      <w:r w:rsidRPr="005A5A82">
        <w:rPr>
          <w:rFonts w:ascii="Arial" w:hAnsi="Arial" w:cs="Arial"/>
          <w:lang w:val="en-ZA"/>
        </w:rPr>
        <w:instrText>ADDIN CSL_CITATION { "citationItems" : [ { "id" : "ITEM-1", "itemData" : { "DOI" : "10.2165/00128413-200615310-00002", "ISBN" : "9789241546676", "ISSN" : "11738324", "PMID" : "1173832412", "abstract" : "Since the development of the DOTS strategy WHO and partners have worked on complementary policies and strategies to address the remaining major constraints to achievement of global TB control targets. These include expanding access to diagnosis and treatment through community TB care and public--private mix (PPM) approaches aimed at engaging all care providers -- state and non-state -- in DOTS implementation. Innovative mechanisms such as the Global Drug Facility and the Green Light Committee have been developed to improve access to quality-assured and affordable drugs in resource-poor settings. The collaborative activities that need to be implemented by TB and HIV/AIDS control programmes have been defined and strategies for managing multidrug-resistant TB (MDR-TB) have been developed and tested. Impact assessment is being pursued as a means of evaluating progress towards the MDGs. New partnerships and academic research initiatives for development of new tools are beginning to produce results and several new diagnostics drugs and candidate vaccines are in the pipeline. (excerpt)", "author" : [ { "dropping-particle" : "", "family" : "WHO", "given" : "", "non-dropping-particle" : "", "parse-names" : false, "suffix" : "" } ], "container-title" : "WHO report", "id" : "ITEM-1", "issued" : { "date-parts" : [ [ "2006" ] ] }, "page" : "22", "title" : "The Stop TB Strategy: building on and enhancing DOTS to meet the TB-related Millennium Development Goals.", "type" : "article-journal" }, "uris" : [ "http://www.mendeley.com/documents/?uuid=c5ead1f1-0ca4-4fa2-abe8-af922315fe0e" ] }, { "id" : "ITEM-2", "itemData" : { "DOI" : "10.1001/jama.297.4.380.ABSTRACT", "author" : [ { "dropping-particle" : "", "family" : "Randomized", "given" : "A Cluster", "non-dropping-particle" : "", "parse-names" : false, "suffix" : "" }, { "dropping-particle" : "", "family" : "Trial", "given" : "Controlled", "non-dropping-particle" : "", "parse-names" : false, "suffix" : "" } ], "id" : "ITEM-2", "issue" : "January 2005", "issued" : { "date-parts" : [ [ "2015" ] ] }, "page" : "1-21", "title" : "Effectiveness of a Strategy to Improve Adherence to Tuberculosis Treatment in a Resource \u00ad Poor Setting", "type" : "article-journal", "volume" : "297" }, "uris" : [ "http://www.mendeley.com/documents/?uuid=9468afe4-06de-4222-90c0-e3fa7d3298d6" ] }, { "id" : "ITEM-3", "itemData" : { "ISBN" : "WHO/CDS/CPC/TB/99.270", "abstract" : "A Guide to Understanding the WHO-recommended TB Control Strategy Known as DOTS WORLD HEALTH ORGANIZATION 1999 2 What is DOTS? A Guide to Understanding the WHO-recommended TB Control Strategy Known as DOTS Writing Committee:", "author" : [ { "dropping-particle" : "", "family" : "World Health Organization", "given" : "", "non-dropping-particle" : "", "parse-names" : false, "suffix" : "" } ], "container-title" : "Prevention and Control", "id" : "ITEM-3", "issued" : { "date-parts" : [ [ "1999" ] ] }, "number-of-pages" : "1-39", "title" : "What is DOTS ? A Guide to Understanding the WHO-recommended TB Control Strategy Known as DOTS", "type" : "report" }, "uris" : [ "http://www.mendeley.com/documents/?uuid=1a7d668d-1536-41b9-bbe5-1c5cf71e0fda" ] }, { "id" : "ITEM-4", "itemData" : { "DOI" : "S0042-96862002000300008 [pii]", "ISBN" : "0042-9686 (Print)\\r0042-9686 (Linking)", "ISSN" : "00429686", "PMID" : "11984608", "abstract" : "Tuberculosis is among the top ten causes of global mortality and affects low-income countries in particular. This paper examines, through a literature review, the impact of tuberculosis control measures on tuberculosis mortality and transmission, and constraints to scaling-up. It also provides estimates of the effectiveness of various interventions using a model proposed by Styblo. It concludes that treatment of smear-positive tuberculosis using the WHO directly observed treatment, short-course (DOTS) strategy has by far the highest impact. While BCG immunization reduces childhood tuberculosis mortality, its impact on tuberculosis transmission is probably minimal. Under specific conditions, an additional impact on mortality and transmission can be expected through treatment of smear-negative cases, intensification of case-finding for smear-positive tuberculosis, and preventive therapy among individuals with dual tuberculosis-HIV infection. Of these interventions, DOTS is the most cost-effective at around US$ 5-40 per disability-adjusted life year (DALY) gained. The cost for BCG immunization is likely to be under US$ 50 per DALY gained. Treatment of smear-negative patients has a cost per DALY gained of up to US$ 100 in low-income countries, and up to US$ 400 in middle-income settings. Other interventions, such as preventive therapy for HIV-positive individuals, appear to be less cost-effective. The major constraint to scaling up DOTS is lack of political commitment, resulting in shortages of funding and human resources for tuberculosis control. However, in recent years there have been encouraging signs of increasing political commitment. Other constraints are related to involvement of the private sector, health sector reform, management capacity of tuberculosis programmes, treatment delivery, and drug supply. Global tuberculosis control could benefit strongly from technical innovation, including the development of a vaccine giving good protection against smear-positive pulmonary tuberculosis in adults; simpler and shorter drug regimens for treatment of tuberculosis disease and infection; and improved diagnostics for tuberculosis infection and disease.", "author" : [ { "dropping-particle" : "", "family" : "Borgdorff", "given" : "Martien W.", "non-dropping-particle" : "", "parse-names" : false, "suffix" : "" }, { "dropping-particle" : "", "family" : "Floyd", "given" : "Katherine", "non-dropping-particle" : "", "parse-names" : false, "suffix" : "" }, { "dropping-particle" : "", "family" : "Broekmans", "given" : "Jaap F.", "non-dropping-particle" : "", "parse-names" : false, "suffix" : "" } ], "container-title" : "Bulletin of the World Health Organization", "id" : "ITEM-4", "issue" : "3", "issued" : { "date-parts" : [ [ "2002" ] ] }, "note" : "Burden of TB in LMIC\n\nDOTS has the highest impact", "page" : "217-227", "title" : "Interventions to reduce tuberculosis mortality and transmission in low- and middle-income countries", "type" : "article-journal", "volume" : "80" }, "uris" : [ "http://www.mendeley.com/documents/?uuid=c22ed1ae-98a8-4626-8b48-116ed5a48f4b" ] } ], "mendeley" : { "formattedCitation" : "&lt;sup&gt;5\u20138&lt;/sup&gt;", "plainTextFormattedCitation" : "5\u20138", "previouslyFormattedCitation" : "&lt;sup&gt;5\u20138&lt;/sup&gt;" }, "properties" : { "noteIndex" : 0 }, "schema" : "https://github.com/citation-style-language/schema/raw/master/csl-citation.json" }</w:instrText>
      </w:r>
      <w:r w:rsidRPr="005A5A82">
        <w:rPr>
          <w:rFonts w:ascii="Arial" w:hAnsi="Arial" w:cs="Arial"/>
          <w:lang w:val="en-ZA"/>
        </w:rPr>
        <w:fldChar w:fldCharType="separate"/>
      </w:r>
      <w:r w:rsidRPr="005A5A82">
        <w:rPr>
          <w:rFonts w:ascii="Arial" w:hAnsi="Arial" w:cs="Arial"/>
          <w:noProof/>
          <w:vertAlign w:val="superscript"/>
          <w:lang w:val="en-ZA"/>
        </w:rPr>
        <w:t>5–8</w:t>
      </w:r>
      <w:r w:rsidRPr="005A5A82">
        <w:rPr>
          <w:rFonts w:ascii="Arial" w:hAnsi="Arial" w:cs="Arial"/>
          <w:lang w:val="en-ZA"/>
        </w:rPr>
        <w:fldChar w:fldCharType="end"/>
      </w:r>
      <w:r w:rsidRPr="005A5A82">
        <w:rPr>
          <w:rFonts w:ascii="Arial" w:hAnsi="Arial" w:cs="Arial"/>
          <w:lang w:val="en-ZA"/>
        </w:rPr>
        <w:t xml:space="preserve">, and the </w:t>
      </w:r>
      <w:r w:rsidRPr="005A5A82">
        <w:rPr>
          <w:rFonts w:ascii="Arial" w:hAnsi="Arial" w:cs="Arial"/>
        </w:rPr>
        <w:t>W</w:t>
      </w:r>
      <w:r w:rsidR="00F521E5" w:rsidRPr="005A5A82">
        <w:rPr>
          <w:rFonts w:ascii="Arial" w:hAnsi="Arial" w:cs="Arial"/>
        </w:rPr>
        <w:t xml:space="preserve">orld </w:t>
      </w:r>
      <w:r w:rsidRPr="005A5A82">
        <w:rPr>
          <w:rFonts w:ascii="Arial" w:hAnsi="Arial" w:cs="Arial"/>
        </w:rPr>
        <w:t>H</w:t>
      </w:r>
      <w:r w:rsidR="00F521E5" w:rsidRPr="005A5A82">
        <w:rPr>
          <w:rFonts w:ascii="Arial" w:hAnsi="Arial" w:cs="Arial"/>
        </w:rPr>
        <w:t xml:space="preserve">ealth </w:t>
      </w:r>
      <w:proofErr w:type="spellStart"/>
      <w:r w:rsidRPr="005A5A82">
        <w:rPr>
          <w:rFonts w:ascii="Arial" w:hAnsi="Arial" w:cs="Arial"/>
        </w:rPr>
        <w:t>O</w:t>
      </w:r>
      <w:r w:rsidR="00F521E5" w:rsidRPr="005A5A82">
        <w:rPr>
          <w:rFonts w:ascii="Arial" w:hAnsi="Arial" w:cs="Arial"/>
        </w:rPr>
        <w:t>rganisation</w:t>
      </w:r>
      <w:proofErr w:type="spellEnd"/>
      <w:r w:rsidR="00F521E5" w:rsidRPr="005A5A82">
        <w:rPr>
          <w:rFonts w:ascii="Arial" w:hAnsi="Arial" w:cs="Arial"/>
        </w:rPr>
        <w:t xml:space="preserve"> (WHO)</w:t>
      </w:r>
      <w:r w:rsidRPr="005A5A82">
        <w:rPr>
          <w:rFonts w:ascii="Arial" w:hAnsi="Arial" w:cs="Arial"/>
        </w:rPr>
        <w:t xml:space="preserve"> and the U</w:t>
      </w:r>
      <w:r w:rsidR="00F521E5" w:rsidRPr="005A5A82">
        <w:rPr>
          <w:rFonts w:ascii="Arial" w:hAnsi="Arial" w:cs="Arial"/>
        </w:rPr>
        <w:t xml:space="preserve">nited </w:t>
      </w:r>
      <w:r w:rsidRPr="005A5A82">
        <w:rPr>
          <w:rFonts w:ascii="Arial" w:hAnsi="Arial" w:cs="Arial"/>
        </w:rPr>
        <w:t>N</w:t>
      </w:r>
      <w:r w:rsidR="00F521E5" w:rsidRPr="005A5A82">
        <w:rPr>
          <w:rFonts w:ascii="Arial" w:hAnsi="Arial" w:cs="Arial"/>
        </w:rPr>
        <w:t>ations</w:t>
      </w:r>
      <w:r w:rsidRPr="005A5A82">
        <w:rPr>
          <w:rFonts w:ascii="Arial" w:hAnsi="Arial" w:cs="Arial"/>
        </w:rPr>
        <w:t xml:space="preserve"> Sustainable Development Goals (SDGs) for 2030 calls for a 90% reduction in deaths and an 80% reduction in incidence rates by 2030 versus 2015</w:t>
      </w:r>
      <w:r w:rsidRPr="005A5A82">
        <w:rPr>
          <w:rFonts w:ascii="Arial" w:hAnsi="Arial" w:cs="Arial"/>
        </w:rPr>
        <w:fldChar w:fldCharType="begin" w:fldLock="1"/>
      </w:r>
      <w:r w:rsidRPr="005A5A82">
        <w:rPr>
          <w:rFonts w:ascii="Arial" w:hAnsi="Arial" w:cs="Arial"/>
        </w:rPr>
        <w:instrText>ADDIN CSL_CITATION { "citationItems" : [ { "id" : "ITEM-1", "itemData" : { "author" : [ { "dropping-particle" : "", "family" : "WHO", "given" : "", "non-dropping-particle" : "", "parse-names" : false, "suffix" : "" } ], "id" : "ITEM-1", "issued" : { "date-parts" : [ [ "2016" ] ] }, "number-of-pages" : "URL: http://apps.who.int/iris/bitstream/10665/2504", "title" : "GLOBAL TUBERCULOSIS REPORT", "type" : "report" }, "uris" : [ "http://www.mendeley.com/documents/?uuid=2dac8b1f-ea25-404a-86fb-d9bff7517fc8" ] }, { "id" : "ITEM-2", "itemData" : { "author" : [ { "dropping-particle" : "", "family" : "S", "given" : "Tanday", "non-dropping-particle" : "", "parse-names" : false, "suffix" : "" } ], "container-title" : "The Lancet Respiratory medicine.", "id" : "ITEM-2", "issued" : { "date-parts" : [ [ "2017" ] ] }, "title" : "Will we ever eliminate tuberculosis, the voiceless disease?", "type" : "article-journal" }, "uris" : [ "http://www.mendeley.com/documents/?uuid=46741c2b-fb01-4e05-b852-c35e0bb6d524" ] } ], "mendeley" : { "formattedCitation" : "&lt;sup&gt;9,10&lt;/sup&gt;", "plainTextFormattedCitation" : "9,10", "previouslyFormattedCitation" : "&lt;sup&gt;9,10&lt;/sup&gt;" }, "properties" : { "noteIndex" : 0 }, "schema" : "https://github.com/citation-style-language/schema/raw/master/csl-citation.json" }</w:instrText>
      </w:r>
      <w:r w:rsidRPr="005A5A82">
        <w:rPr>
          <w:rFonts w:ascii="Arial" w:hAnsi="Arial" w:cs="Arial"/>
        </w:rPr>
        <w:fldChar w:fldCharType="separate"/>
      </w:r>
      <w:r w:rsidRPr="005A5A82">
        <w:rPr>
          <w:rFonts w:ascii="Arial" w:hAnsi="Arial" w:cs="Arial"/>
          <w:noProof/>
          <w:vertAlign w:val="superscript"/>
        </w:rPr>
        <w:t>9,10</w:t>
      </w:r>
      <w:r w:rsidRPr="005A5A82">
        <w:rPr>
          <w:rFonts w:ascii="Arial" w:hAnsi="Arial" w:cs="Arial"/>
        </w:rPr>
        <w:fldChar w:fldCharType="end"/>
      </w:r>
      <w:r w:rsidRPr="005A5A82">
        <w:rPr>
          <w:rFonts w:ascii="Arial" w:hAnsi="Arial" w:cs="Arial"/>
        </w:rPr>
        <w:t>.  The SDGs use treatment success rates (TSR</w:t>
      </w:r>
      <w:r w:rsidR="00AE2092" w:rsidRPr="005A5A82">
        <w:rPr>
          <w:rFonts w:ascii="Arial" w:hAnsi="Arial" w:cs="Arial"/>
        </w:rPr>
        <w:t>),</w:t>
      </w:r>
      <w:r w:rsidRPr="005A5A82">
        <w:rPr>
          <w:rFonts w:ascii="Arial" w:hAnsi="Arial" w:cs="Arial"/>
        </w:rPr>
        <w:t xml:space="preserve"> i.e. proportion of patients that are cure or complete treatment</w:t>
      </w:r>
      <w:r w:rsidR="00AE2092" w:rsidRPr="005A5A82">
        <w:rPr>
          <w:rFonts w:ascii="Arial" w:hAnsi="Arial" w:cs="Arial"/>
        </w:rPr>
        <w:t>,</w:t>
      </w:r>
      <w:r w:rsidRPr="005A5A82">
        <w:rPr>
          <w:rFonts w:ascii="Arial" w:hAnsi="Arial" w:cs="Arial"/>
        </w:rPr>
        <w:t xml:space="preserve"> and the case detection rate (CDR</w:t>
      </w:r>
      <w:r w:rsidR="00AE2092" w:rsidRPr="005A5A82">
        <w:rPr>
          <w:rFonts w:ascii="Arial" w:hAnsi="Arial" w:cs="Arial"/>
        </w:rPr>
        <w:t>)</w:t>
      </w:r>
      <w:r w:rsidRPr="005A5A82">
        <w:rPr>
          <w:rFonts w:ascii="Arial" w:hAnsi="Arial" w:cs="Arial"/>
        </w:rPr>
        <w:t>, i.e</w:t>
      </w:r>
      <w:r w:rsidR="003C0E85" w:rsidRPr="005A5A82">
        <w:rPr>
          <w:rFonts w:ascii="Arial" w:hAnsi="Arial" w:cs="Arial"/>
        </w:rPr>
        <w:t>.</w:t>
      </w:r>
      <w:r w:rsidRPr="005A5A82">
        <w:rPr>
          <w:rFonts w:ascii="Arial" w:hAnsi="Arial" w:cs="Arial"/>
        </w:rPr>
        <w:t xml:space="preserve"> </w:t>
      </w:r>
      <w:r w:rsidRPr="005A5A82">
        <w:rPr>
          <w:rStyle w:val="ilfuvd"/>
          <w:rFonts w:ascii="Arial" w:hAnsi="Arial" w:cs="Arial"/>
        </w:rPr>
        <w:t xml:space="preserve">the percentage of TB </w:t>
      </w:r>
      <w:r w:rsidRPr="005A5A82">
        <w:rPr>
          <w:rStyle w:val="ilfuvd"/>
          <w:rFonts w:ascii="Arial" w:hAnsi="Arial" w:cs="Arial"/>
          <w:bCs/>
        </w:rPr>
        <w:t>cases</w:t>
      </w:r>
      <w:r w:rsidRPr="005A5A82">
        <w:rPr>
          <w:rStyle w:val="ilfuvd"/>
          <w:rFonts w:ascii="Arial" w:hAnsi="Arial" w:cs="Arial"/>
        </w:rPr>
        <w:t xml:space="preserve"> notified against the estimated number </w:t>
      </w:r>
      <w:r w:rsidRPr="005A5A82">
        <w:rPr>
          <w:rStyle w:val="ilfuvd"/>
          <w:rFonts w:ascii="Arial" w:hAnsi="Arial" w:cs="Arial"/>
          <w:bCs/>
        </w:rPr>
        <w:t>cases</w:t>
      </w:r>
      <w:r w:rsidRPr="005A5A82">
        <w:rPr>
          <w:rStyle w:val="ilfuvd"/>
          <w:rFonts w:ascii="Arial" w:hAnsi="Arial" w:cs="Arial"/>
        </w:rPr>
        <w:t xml:space="preserve"> for that year</w:t>
      </w:r>
      <w:r w:rsidR="00AE2092" w:rsidRPr="005A5A82">
        <w:rPr>
          <w:rFonts w:ascii="Arial" w:hAnsi="Arial" w:cs="Arial"/>
        </w:rPr>
        <w:t>,</w:t>
      </w:r>
      <w:r w:rsidRPr="005A5A82">
        <w:rPr>
          <w:rFonts w:ascii="Arial" w:hAnsi="Arial" w:cs="Arial"/>
        </w:rPr>
        <w:t xml:space="preserve"> as yardsticks for the control of TB. </w:t>
      </w:r>
    </w:p>
    <w:p w14:paraId="2607DB3C" w14:textId="77777777" w:rsidR="002D4DCF" w:rsidRPr="005A5A82" w:rsidRDefault="002D4DCF" w:rsidP="005A5A82">
      <w:pPr>
        <w:pStyle w:val="NoSpacing"/>
        <w:spacing w:line="360" w:lineRule="auto"/>
        <w:rPr>
          <w:rFonts w:ascii="Arial" w:hAnsi="Arial" w:cs="Arial"/>
        </w:rPr>
      </w:pPr>
    </w:p>
    <w:p w14:paraId="0FEEF1C9" w14:textId="25E9A83D" w:rsidR="002D4DCF" w:rsidRPr="005A5A82" w:rsidRDefault="00CB62E5" w:rsidP="005A5A82">
      <w:pPr>
        <w:pStyle w:val="NoSpacing"/>
        <w:spacing w:line="360" w:lineRule="auto"/>
        <w:rPr>
          <w:rFonts w:ascii="Arial" w:hAnsi="Arial" w:cs="Arial"/>
        </w:rPr>
      </w:pPr>
      <w:r w:rsidRPr="005A5A82">
        <w:rPr>
          <w:rFonts w:ascii="Arial" w:hAnsi="Arial" w:cs="Arial"/>
        </w:rPr>
        <w:lastRenderedPageBreak/>
        <w:t>Global initiatives have expanded DOTS (i.e</w:t>
      </w:r>
      <w:r w:rsidR="003C0E85" w:rsidRPr="005A5A82">
        <w:rPr>
          <w:rFonts w:ascii="Arial" w:hAnsi="Arial" w:cs="Arial"/>
        </w:rPr>
        <w:t>.</w:t>
      </w:r>
      <w:r w:rsidRPr="005A5A82">
        <w:rPr>
          <w:rFonts w:ascii="Arial" w:hAnsi="Arial" w:cs="Arial"/>
        </w:rPr>
        <w:t xml:space="preserve"> Directly Observed Therapy Short-course strategy) services and markedly improved CDR and TSR in </w:t>
      </w:r>
      <w:r w:rsidR="008C6AC2" w:rsidRPr="005A5A82">
        <w:rPr>
          <w:rFonts w:ascii="Arial" w:hAnsi="Arial" w:cs="Arial"/>
        </w:rPr>
        <w:t>l</w:t>
      </w:r>
      <w:r w:rsidRPr="005A5A82">
        <w:rPr>
          <w:rFonts w:ascii="Arial" w:hAnsi="Arial" w:cs="Arial"/>
        </w:rPr>
        <w:t xml:space="preserve">ower and </w:t>
      </w:r>
      <w:r w:rsidR="008C6AC2" w:rsidRPr="005A5A82">
        <w:rPr>
          <w:rFonts w:ascii="Arial" w:hAnsi="Arial" w:cs="Arial"/>
        </w:rPr>
        <w:t>m</w:t>
      </w:r>
      <w:r w:rsidRPr="005A5A82">
        <w:rPr>
          <w:rFonts w:ascii="Arial" w:hAnsi="Arial" w:cs="Arial"/>
        </w:rPr>
        <w:t xml:space="preserve">iddle </w:t>
      </w:r>
      <w:r w:rsidR="008C6AC2" w:rsidRPr="005A5A82">
        <w:rPr>
          <w:rFonts w:ascii="Arial" w:hAnsi="Arial" w:cs="Arial"/>
        </w:rPr>
        <w:t>i</w:t>
      </w:r>
      <w:r w:rsidRPr="005A5A82">
        <w:rPr>
          <w:rFonts w:ascii="Arial" w:hAnsi="Arial" w:cs="Arial"/>
        </w:rPr>
        <w:t xml:space="preserve">ncome </w:t>
      </w:r>
      <w:r w:rsidR="008C6AC2" w:rsidRPr="005A5A82">
        <w:rPr>
          <w:rFonts w:ascii="Arial" w:hAnsi="Arial" w:cs="Arial"/>
        </w:rPr>
        <w:t>c</w:t>
      </w:r>
      <w:r w:rsidRPr="005A5A82">
        <w:rPr>
          <w:rFonts w:ascii="Arial" w:hAnsi="Arial" w:cs="Arial"/>
        </w:rPr>
        <w:t>ountries (LMIC</w:t>
      </w:r>
      <w:r w:rsidR="008C6AC2" w:rsidRPr="005A5A82">
        <w:rPr>
          <w:rFonts w:ascii="Arial" w:hAnsi="Arial" w:cs="Arial"/>
        </w:rPr>
        <w:t>s</w:t>
      </w:r>
      <w:r w:rsidRPr="005A5A82">
        <w:rPr>
          <w:rFonts w:ascii="Arial" w:hAnsi="Arial" w:cs="Arial"/>
        </w:rPr>
        <w:t>) including Namibia</w:t>
      </w:r>
      <w:r w:rsidRPr="005A5A82">
        <w:rPr>
          <w:rFonts w:ascii="Arial" w:hAnsi="Arial" w:cs="Arial"/>
          <w:lang w:val="en-ZA"/>
        </w:rPr>
        <w:fldChar w:fldCharType="begin" w:fldLock="1"/>
      </w:r>
      <w:r w:rsidRPr="005A5A82">
        <w:rPr>
          <w:rFonts w:ascii="Arial" w:hAnsi="Arial" w:cs="Arial"/>
          <w:lang w:val="en-ZA"/>
        </w:rPr>
        <w:instrText>ADDIN CSL_CITATION { "citationItems" : [ { "id" : "ITEM-1", "itemData" : { "DOI" : "http://dx.doi.org/10.2174/1874279301307010023", "ISBN" : "1874-2793", "ISSN" : "1874-2793", "PMID" : "2013386677", "abstract" : "Namibia is among the five countries worstly affected by tuberculosis (TB) with a notification rate of 465/100,000 in 2011. This paper describes how the National Tuberculosis Leprosy Program (NTLP) developed from a poorly performing TB control program in 2002 into a well performing program in 2011. The program achieved 85% treatment success for new sputum-positive patients, high coverage and performance on TB/Human Immunodeficiency Virus (HIV) collaborative program activities, and institution of Programmatic Management of Drug-Resistant Tuberculosis (PMDT) where this was absent before. Provision of significant short- and long-term technical assistance provided by KNCV Tuberculosis Foundation (KNCV) in the period 2002-2011 was catalytic in leveraging a total of U$ 80million of external funding in a stepwise approach balanced with absorption capacity, in combination with national policy review and support for its implementation on the basis of two consecutive costed national strategic plans. The technical assistance by KNCV, in partnership with other international technical agencies for specialized areas, proved to work very well in this context where Namibian human resources and funding for TB control were initially limited and the Ministry of Health and Social Services (MoHSS) welcomed extensive technical assistance. \u00a9 van Gorkom et al.; Licensee Bentham Open.", "author" : [ { "dropping-particle" : "", "family" : "Gorkom", "given" : "J", "non-dropping-particle" : "van", "parse-names" : false, "suffix" : "" }, { "dropping-particle" : "", "family" : "Mavhunga", "given" : "F", "non-dropping-particle" : "", "parse-names" : false, "suffix" : "" }, { "dropping-particle" : "", "family" : "Omer", "given" : "O A", "non-dropping-particle" : "", "parse-names" : false, "suffix" : "" }, { "dropping-particle" : "", "family" : "Kutwa", "given" : "A", "non-dropping-particle" : "", "parse-names" : false, "suffix" : "" }, { "dropping-particle" : "", "family" : "Zezai", "given" : "A", "non-dropping-particle" : "", "parse-names" : false, "suffix" : "" }, { "dropping-particle" : "", "family" : "Ruswa", "given" : "N", "non-dropping-particle" : "", "parse-names" : false, "suffix" : "" }, { "dropping-particle" : "", "family" : "Dhliwayo", "given" : "P", "non-dropping-particle" : "", "parse-names" : false, "suffix" : "" }, { "dropping-particle" : "", "family" : "Sawadogo", "given" : "S", "non-dropping-particle" : "", "parse-names" : false, "suffix" : "" }, { "dropping-particle" : "", "family" : "Schreuder", "given" : "B", "non-dropping-particle" : "", "parse-names" : false, "suffix" : "" }, { "dropping-particle" : "", "family" : "Indongo", "given" : "R", "non-dropping-particle" : "", "parse-names" : false, "suffix" : "" }, { "dropping-particle" : "", "family" : "Shihepo", "given" : "E", "non-dropping-particle" : "", "parse-names" : false, "suffix" : "" } ], "container-title" : "Open Infectious Diseases Journal", "id" : "ITEM-1", "issue" : "SPEC ISS1", "issued" : { "date-parts" : [ [ "2013" ] ] }, "page" : "23-29", "title" : "TB control in Namibia 2002-2011: Progress and technical assistance", "type" : "article-journal", "volume" : "7" }, "uris" : [ "http://www.mendeley.com/documents/?uuid=98cd4920-1ad1-436a-a732-1982afaf1036" ] }, { "id" : "ITEM-2", "itemData" : { "DOI" : "10.1136/bmj.38645.660093.68", "ISBN" : "1756-1833", "ISSN" : "1756-1833", "PMID" : "16282379", "abstract" : "OBJECTIVE: To assess the costs and health effects of tuberculosis control interventions in Africa and South East Asia in the context of the millennium development goals. DESIGN: Cost effectiveness analysis based on an epidemiological model. SETTING: Analyses undertaken for two regions classified by WHO according to their epidemiological grouping-Afr-E, countries in sub-Saharan Africa with very high adult and high child mortality, and Sear-D, countries in South East Asia with high adult and high child mortality. DATA SOURCES: Published studies, costing databases, expert opinion. MAIN OUTCOME MEASURES: Costs per disability adjusted life year (DALY) averted in 2000 international dollars (dollarsInt). RESULTS: Treatment of new cases of smear-positive tuberculosis in DOTS programmes cost dollarsInt6-8 per DALY averted in Afr-E and dollarsInt7 per DALY averted in Sear-D at coverage levels of 50-95%. In Afr-E, adding treatment of smear-negative and extra-pulmonary cases at a coverage level of 95% cost dollarsInt95 per DALY averted; the addition of DOTS-Plus treatment for multidrug resistant cases cost dollarsInt123. In Sear-D, these costs were dollarsInt52 and dollarsInt226, respectively. The full combination of interventions could reduce prevalence and mortality by over 50% in Sear-D between 1990 and 2010, and by almost 50% between 2000 and 2010 in Afr-E. CONCLUSIONS: DOTS treatment of new smear-positive cases is the first priority in tuberculosis control, including in countries with high HIV prevalence. DOTS treatment of smear-negative and extra-pulmonary cases and DOTS-Plus treatment of multidrug resistant cases are also highly cost effective. To achieve the millennium development goal for tuberculosis control, substantial extra investment is needed to increase case finding and implement interventions on a wider scale.", "author" : [ { "dropping-particle" : "", "family" : "Baltussen", "given" : "Rob", "non-dropping-particle" : "", "parse-names" : false, "suffix" : "" }, { "dropping-particle" : "", "family" : "Floyd", "given" : "Katherine", "non-dropping-particle" : "", "parse-names" : false, "suffix" : "" }, { "dropping-particle" : "", "family" : "Dye", "given" : "Christopher", "non-dropping-particle" : "", "parse-names" : false, "suffix" : "" } ], "container-title" : "BMJ (Clinical research ed.)", "id" : "ITEM-2", "issue" : "7529", "issued" : { "date-parts" : [ [ "2005" ] ] }, "page" : "1364", "title" : "Cost effectiveness analysis of strategies for tuberculosis control in developing countries.", "type" : "article-journal", "volume" : "331" }, "uris" : [ "http://www.mendeley.com/documents/?uuid=ced8851c-b4ed-48d2-888d-f91eccf89a12" ] }, { "id" : "ITEM-3", "itemData" : { "author" : [ { "dropping-particle" : "", "family" : "Republic of Namibia Ministry of Health and Social Services", "given" : "", "non-dropping-particle" : "", "parse-names" : false, "suffix" : "" } ], "id" : "ITEM-3", "issued" : { "date-parts" : [ [ "2015" ] ] }, "number-of-pages" : "2014-2015", "publisher-place" : "Windhoek", "title" : "Republic of Namibia Ministry of Health and Social Services National Tuberculosis and Leprosy Programme Annual Report : 2014-2015", "type" : "report" }, "uris" : [ "http://www.mendeley.com/documents/?uuid=be03e11b-41b2-47c4-989a-b5f20132ca0f" ] }, { "id" : "ITEM-4", "itemData" : { "DOI" : "10.1377/hlthaff.28.4.w730", "ISBN" : "0278-2715", "ISSN" : "02782715", "PMID" : "19567413", "abstract" : "The Global Plan to Stop TB calls for significant financial resources to meet the Millennium Development Goals for tuberculosis. However, it is unclear whether the economic benefits of TB control exceed the costs. Using an epidemiological model, we find that the economic benefits of the Global Plan relative to sustained DOTS (a commonly used treatment method) were unambiguously greater than the incremental costs in all nine high-burden countries in Africa and in Afghanistan, Pakistan, and Russia. Benefit-cost ratios of sustaining DOTS at current levels relative to having no DOTS exceeded 1 in all twenty-two high-burden, TB-endemic countries and sub-Saharan Africa.", "author" : [ { "dropping-particle" : "", "family" : "Laxminarayan", "given" : "Ramanan", "non-dropping-particle" : "", "parse-names" : false, "suffix" : "" }, { "dropping-particle" : "", "family" : "Klein", "given" : "Eili Y.", "non-dropping-particle" : "", "parse-names" : false, "suffix" : "" }, { "dropping-particle" : "", "family" : "Darley", "given" : "Sarah", "non-dropping-particle" : "", "parse-names" : false, "suffix" : "" }, { "dropping-particle" : "", "family" : "Adeyi", "given" : "Olusoji", "non-dropping-particle" : "", "parse-names" : false, "suffix" : "" } ], "container-title" : "Health Affairs", "id" : "ITEM-4", "issue" : "4", "issued" : { "date-parts" : [ [ "2009" ] ] }, "title" : "Global investments in TB control: Economic benefits", "type" : "article-journal", "volume" : "28" }, "uris" : [ "http://www.mendeley.com/documents/?uuid=486beda0-1678-4389-b7ff-db7bd5df13ff" ] }, { "id" : "ITEM-5", "itemData" : { "author" : [ { "dropping-particle" : "", "family" : "Ministry of Health and Social Services", "given" : "", "non-dropping-particle" : "", "parse-names" : false, "suffix" : "" } ], "id" : "ITEM-5", "issued" : { "date-parts" : [ [ "2015" ] ] }, "number-of-pages" : "1-8", "title" : "National Tuberculosis and Leprosy Programme Summary Report 2014-15", "type" : "report" }, "uris" : [ "http://www.mendeley.com/documents/?uuid=1638b76f-1c06-4653-b0fe-da753c1cb90f" ] } ], "mendeley" : { "formattedCitation" : "&lt;sup&gt;11\u201315&lt;/sup&gt;", "plainTextFormattedCitation" : "11\u201315", "previouslyFormattedCitation" : "&lt;sup&gt;11\u201315&lt;/sup&gt;" }, "properties" : { "noteIndex" : 0 }, "schema" : "https://github.com/citation-style-language/schema/raw/master/csl-citation.json" }</w:instrText>
      </w:r>
      <w:r w:rsidRPr="005A5A82">
        <w:rPr>
          <w:rFonts w:ascii="Arial" w:hAnsi="Arial" w:cs="Arial"/>
          <w:lang w:val="en-ZA"/>
        </w:rPr>
        <w:fldChar w:fldCharType="separate"/>
      </w:r>
      <w:r w:rsidRPr="005A5A82">
        <w:rPr>
          <w:rFonts w:ascii="Arial" w:hAnsi="Arial" w:cs="Arial"/>
          <w:noProof/>
          <w:vertAlign w:val="superscript"/>
          <w:lang w:val="en-ZA"/>
        </w:rPr>
        <w:t>11–15</w:t>
      </w:r>
      <w:r w:rsidRPr="005A5A82">
        <w:rPr>
          <w:rFonts w:ascii="Arial" w:hAnsi="Arial" w:cs="Arial"/>
          <w:lang w:val="en-ZA"/>
        </w:rPr>
        <w:fldChar w:fldCharType="end"/>
      </w:r>
      <w:r w:rsidRPr="005A5A82">
        <w:rPr>
          <w:rFonts w:ascii="Arial" w:hAnsi="Arial" w:cs="Arial"/>
          <w:lang w:val="en-ZA"/>
        </w:rPr>
        <w:t>. Nevertheless, although TB incidence rates have been decreasing across countries, Namibia remains a high TB burdened country</w:t>
      </w:r>
      <w:r w:rsidRPr="005A5A82">
        <w:rPr>
          <w:rFonts w:ascii="Arial" w:hAnsi="Arial" w:cs="Arial"/>
          <w:lang w:val="en-ZA"/>
        </w:rPr>
        <w:fldChar w:fldCharType="begin" w:fldLock="1"/>
      </w:r>
      <w:r w:rsidRPr="005A5A82">
        <w:rPr>
          <w:rFonts w:ascii="Arial" w:hAnsi="Arial" w:cs="Arial"/>
          <w:lang w:val="en-ZA"/>
        </w:rPr>
        <w:instrText>ADDIN CSL_CITATION { "citationItems" : [ { "id" : "ITEM-1", "itemData" : { "abstract" : "Discussion paper initially prepared in April 2015 to facilitate feedback, and finalized after the June 2015 meeting of WHO\u2019s Strategic and Technical Advisory Group for TB (STAG-TB).", "author" : [ { "dropping-particle" : "", "family" : "WHO", "given" : "", "non-dropping-particle" : "", "parse-names" : false, "suffix" : "" } ], "container-title" : "WHO press", "id" : "ITEM-1", "issue" : "April", "issued" : { "date-parts" : [ [ "2015" ] ] }, "page" : "19", "title" : "Use of high burden country lists for TB by WHO in the post-2015 era", "type" : "article-journal" }, "uris" : [ "http://www.mendeley.com/documents/?uuid=4f2c7961-36f6-4812-88cd-d07578eb6ee9" ] } ], "mendeley" : { "formattedCitation" : "&lt;sup&gt;4&lt;/sup&gt;", "plainTextFormattedCitation" : "4", "previouslyFormattedCitation" : "&lt;sup&gt;4&lt;/sup&gt;" }, "properties" : { "noteIndex" : 0 }, "schema" : "https://github.com/citation-style-language/schema/raw/master/csl-citation.json" }</w:instrText>
      </w:r>
      <w:r w:rsidRPr="005A5A82">
        <w:rPr>
          <w:rFonts w:ascii="Arial" w:hAnsi="Arial" w:cs="Arial"/>
          <w:lang w:val="en-ZA"/>
        </w:rPr>
        <w:fldChar w:fldCharType="separate"/>
      </w:r>
      <w:r w:rsidRPr="005A5A82">
        <w:rPr>
          <w:rFonts w:ascii="Arial" w:hAnsi="Arial" w:cs="Arial"/>
          <w:noProof/>
          <w:vertAlign w:val="superscript"/>
          <w:lang w:val="en-ZA"/>
        </w:rPr>
        <w:t>4</w:t>
      </w:r>
      <w:r w:rsidRPr="005A5A82">
        <w:rPr>
          <w:rFonts w:ascii="Arial" w:hAnsi="Arial" w:cs="Arial"/>
          <w:lang w:val="en-ZA"/>
        </w:rPr>
        <w:fldChar w:fldCharType="end"/>
      </w:r>
      <w:r w:rsidRPr="005A5A82">
        <w:rPr>
          <w:rFonts w:ascii="Arial" w:hAnsi="Arial" w:cs="Arial"/>
          <w:lang w:val="en-ZA"/>
        </w:rPr>
        <w:t>. In addition,</w:t>
      </w:r>
      <w:r w:rsidRPr="005A5A82">
        <w:rPr>
          <w:rFonts w:ascii="Arial" w:hAnsi="Arial" w:cs="Arial"/>
        </w:rPr>
        <w:t xml:space="preserve"> despite the 100% scale-up of high quality and community-based Directly Observed Treatment (DOT), Namibia still falls short of the national and global targets for TSR of 95%</w:t>
      </w:r>
      <w:r w:rsidRPr="005A5A82">
        <w:rPr>
          <w:rFonts w:ascii="Arial" w:hAnsi="Arial" w:cs="Arial"/>
          <w:lang w:val="en-ZA"/>
        </w:rPr>
        <w:fldChar w:fldCharType="begin" w:fldLock="1"/>
      </w:r>
      <w:r w:rsidRPr="005A5A82">
        <w:rPr>
          <w:rFonts w:ascii="Arial" w:hAnsi="Arial" w:cs="Arial"/>
          <w:lang w:val="en-ZA"/>
        </w:rPr>
        <w:instrText>ADDIN CSL_CITATION { "citationItems" : [ { "id" : "ITEM-1", "itemData" : { "author" : [ { "dropping-particle" : "", "family" : "Republic of Namibia Ministry of Health and Social Services", "given" : "", "non-dropping-particle" : "", "parse-names" : false, "suffix" : "" } ], "id" : "ITEM-1", "issued" : { "date-parts" : [ [ "2015" ] ] }, "number-of-pages" : "2014-2015", "publisher-place" : "Windhoek", "title" : "Republic of Namibia Ministry of Health and Social Services National Tuberculosis and Leprosy Programme Annual Report : 2014-2015", "type" : "report" }, "uris" : [ "http://www.mendeley.com/documents/?uuid=be03e11b-41b2-47c4-989a-b5f20132ca0f" ] }, { "id" : "ITEM-2", "itemData" : { "URL" : "http://www.who.int/mediacentre/factsheets/fs104/en/", "abstract" : "WHO fact sheet on tuberculosis (TB): includes key facts, definition, global impact, treatment, HIV and TB, multidrug-resistant TB and WHO response.", "author" : [ { "dropping-particle" : "", "family" : "WHO", "given" : "", "non-dropping-particle" : "", "parse-names" : false, "suffix" : "" } ], "container-title" : "WHO", "id" : "ITEM-2", "issued" : { "date-parts" : [ [ "2016" ] ] }, "title" : "WHO | Tuberculosis", "type" : "webpage" }, "uris" : [ "http://www.mendeley.com/documents/?uuid=7a593c0f-38f0-439e-9288-9f74489658d7" ] } ], "mendeley" : { "formattedCitation" : "&lt;sup&gt;13,16&lt;/sup&gt;", "plainTextFormattedCitation" : "13,16", "previouslyFormattedCitation" : "&lt;sup&gt;13,16&lt;/sup&gt;" }, "properties" : { "noteIndex" : 0 }, "schema" : "https://github.com/citation-style-language/schema/raw/master/csl-citation.json" }</w:instrText>
      </w:r>
      <w:r w:rsidRPr="005A5A82">
        <w:rPr>
          <w:rFonts w:ascii="Arial" w:hAnsi="Arial" w:cs="Arial"/>
          <w:lang w:val="en-ZA"/>
        </w:rPr>
        <w:fldChar w:fldCharType="separate"/>
      </w:r>
      <w:r w:rsidRPr="005A5A82">
        <w:rPr>
          <w:rFonts w:ascii="Arial" w:hAnsi="Arial" w:cs="Arial"/>
          <w:noProof/>
          <w:vertAlign w:val="superscript"/>
          <w:lang w:val="en-ZA"/>
        </w:rPr>
        <w:t>13,16</w:t>
      </w:r>
      <w:r w:rsidRPr="005A5A82">
        <w:rPr>
          <w:rFonts w:ascii="Arial" w:hAnsi="Arial" w:cs="Arial"/>
          <w:lang w:val="en-ZA"/>
        </w:rPr>
        <w:fldChar w:fldCharType="end"/>
      </w:r>
      <w:r w:rsidRPr="005A5A82">
        <w:rPr>
          <w:rFonts w:ascii="Arial" w:hAnsi="Arial" w:cs="Arial"/>
        </w:rPr>
        <w:t xml:space="preserve">. Recent analysis suggests that TSR in Namibia have reached a maximum of less than 95% global bench mark, and </w:t>
      </w:r>
      <w:r w:rsidRPr="005A5A82">
        <w:rPr>
          <w:rFonts w:ascii="Arial" w:hAnsi="Arial" w:cs="Arial"/>
          <w:lang w:val="en-ZA"/>
        </w:rPr>
        <w:t>improvements have been marginal in the past decade</w:t>
      </w:r>
      <w:r w:rsidRPr="005A5A82">
        <w:rPr>
          <w:rFonts w:ascii="Arial" w:hAnsi="Arial" w:cs="Arial"/>
          <w:lang w:val="en-ZA"/>
        </w:rPr>
        <w:fldChar w:fldCharType="begin" w:fldLock="1"/>
      </w:r>
      <w:r w:rsidRPr="005A5A82">
        <w:rPr>
          <w:rFonts w:ascii="Arial" w:hAnsi="Arial" w:cs="Arial"/>
          <w:lang w:val="en-ZA"/>
        </w:rPr>
        <w:instrText>ADDIN CSL_CITATION { "citationItems" : [ { "id" : "ITEM-1", "itemData" : { "DOI" : "ISBN 978 92 4 156539 4", "ISBN" : "9789241565394", "ISSN" : "0893-8512", "PMID" : "12857778", "abstract" : "The Sustainable Development Goals (SDGs) for 2030 were adopted by the United Nations in 2015. One of the targets is to end the global TB epidemic. The WHO End TB Strategy, approved by the World Health Assembly in 2014, calls for a 90% reduction in TB deaths and an 80% reduction in the TB incidence rate by 2030, compared with 2015. This global TB report is the first to be produced in the era of the SDGs and the End TB Strategy. It provides an assessment of the TB epidemic and progress in TB diagnosis, treatment and prevention efforts, as well as an overview of TB-specific financing and research. It also discusses the broader agenda of universal health coverage, social protection and other SDGs that have an impact on health. Data were available for 202 countries and territories that account for over 99% of the world\u2019s population and TB cases. Abbreviations -- Acknowledgements -- Executive summary -- Chapter 1. Introduction -- Chapter 2. A new era of global TB monitoring -- Chapter 3. TB disease burden -- Chapter 4. Diagnosis and treatment: TB, HIV-associated TB and drug-resistant TB -- Chapter 5. TB prevention services -- Chapter 6. Universal health coverage, social protection and addressing social determinants: implications for TB -- Chapter 7. TB financing -- Chapter 8. TB research and development -- Annexes -- 1. Access to the WHO global TB database -- 2. Country profiles for 30 high TB burden countries -- 3. Regional profiles for 6 WHO regions -- 4. TB burden estimates, notifications and treatment outcomes for individual countries and terriroties, WHO regions and the world.", "author" : [ { "dropping-particle" : "", "family" : "World Health Organization", "given" : "World Health", "non-dropping-particle" : "", "parse-names" : false, "suffix" : "" } ], "container-title" : "WHO", "id" : "ITEM-1", "issued" : { "date-parts" : [ [ "2016" ] ] }, "number-of-pages" : "201", "title" : "Global tuberculosis report 2016", "type" : "book" }, "uris" : [ "http://www.mendeley.com/documents/?uuid=1b3a15b8-994e-4708-8009-13b5fd9e5e7e" ] }, { "id" : "ITEM-2", "itemData" : { "author" : [ { "dropping-particle" : "", "family" : "Ministry of Health and Social Services", "given" : "", "non-dropping-particle" : "", "parse-names" : false, "suffix" : "" } ], "id" : "ITEM-2", "issued" : { "date-parts" : [ [ "2015" ] ] }, "number-of-pages" : "1-8", "title" : "National Tuberculosis and Leprosy Programme Summary Report 2014-15", "type" : "report" }, "uris" : [ "http://www.mendeley.com/documents/?uuid=1638b76f-1c06-4653-b0fe-da753c1cb90f" ] }, { "id" : "ITEM-3", "itemData" : { "DOI" : "http://dx.doi.org/10.2174/1874279301307010023", "ISBN" : "1874-2793", "ISSN" : "1874-2793", "PMID" : "2013386677", "abstract" : "Namibia is among the five countries worstly affected by tuberculosis (TB) with a notification rate of 465/100,000 in 2011. This paper describes how the National Tuberculosis Leprosy Program (NTLP) developed from a poorly performing TB control program in 2002 into a well performing program in 2011. The program achieved 85% treatment success for new sputum-positive patients, high coverage and performance on TB/Human Immunodeficiency Virus (HIV) collaborative program activities, and institution of Programmatic Management of Drug-Resistant Tuberculosis (PMDT) where this was absent before. Provision of significant short- and long-term technical assistance provided by KNCV Tuberculosis Foundation (KNCV) in the period 2002-2011 was catalytic in leveraging a total of U$ 80million of external funding in a stepwise approach balanced with absorption capacity, in combination with national policy review and support for its implementation on the basis of two consecutive costed national strategic plans. The technical assistance by KNCV, in partnership with other international technical agencies for specialized areas, proved to work very well in this context where Namibian human resources and funding for TB control were initially limited and the Ministry of Health and Social Services (MoHSS) welcomed extensive technical assistance. \u00a9 van Gorkom et al.; Licensee Bentham Open.", "author" : [ { "dropping-particle" : "", "family" : "Gorkom", "given" : "J", "non-dropping-particle" : "van", "parse-names" : false, "suffix" : "" }, { "dropping-particle" : "", "family" : "Mavhunga", "given" : "F", "non-dropping-particle" : "", "parse-names" : false, "suffix" : "" }, { "dropping-particle" : "", "family" : "Omer", "given" : "O A", "non-dropping-particle" : "", "parse-names" : false, "suffix" : "" }, { "dropping-particle" : "", "family" : "Kutwa", "given" : "A", "non-dropping-particle" : "", "parse-names" : false, "suffix" : "" }, { "dropping-particle" : "", "family" : "Zezai", "given" : "A", "non-dropping-particle" : "", "parse-names" : false, "suffix" : "" }, { "dropping-particle" : "", "family" : "Ruswa", "given" : "N", "non-dropping-particle" : "", "parse-names" : false, "suffix" : "" }, { "dropping-particle" : "", "family" : "Dhliwayo", "given" : "P", "non-dropping-particle" : "", "parse-names" : false, "suffix" : "" }, { "dropping-particle" : "", "family" : "Sawadogo", "given" : "S", "non-dropping-particle" : "", "parse-names" : false, "suffix" : "" }, { "dropping-particle" : "", "family" : "Schreuder", "given" : "B", "non-dropping-particle" : "", "parse-names" : false, "suffix" : "" }, { "dropping-particle" : "", "family" : "Indongo", "given" : "R", "non-dropping-particle" : "", "parse-names" : false, "suffix" : "" }, { "dropping-particle" : "", "family" : "Shihepo", "given" : "E", "non-dropping-particle" : "", "parse-names" : false, "suffix" : "" } ], "container-title" : "Open Infectious Diseases Journal", "id" : "ITEM-3", "issue" : "SPEC ISS1", "issued" : { "date-parts" : [ [ "2013" ] ] }, "page" : "23-29", "title" : "TB control in Namibia 2002-2011: Progress and technical assistance", "type" : "article-journal", "volume" : "7" }, "uris" : [ "http://www.mendeley.com/documents/?uuid=98cd4920-1ad1-436a-a732-1982afaf1036" ] } ], "mendeley" : { "formattedCitation" : "&lt;sup&gt;11,15,17&lt;/sup&gt;", "plainTextFormattedCitation" : "11,15,17", "previouslyFormattedCitation" : "&lt;sup&gt;11,15,17&lt;/sup&gt;" }, "properties" : { "noteIndex" : 0 }, "schema" : "https://github.com/citation-style-language/schema/raw/master/csl-citation.json" }</w:instrText>
      </w:r>
      <w:r w:rsidRPr="005A5A82">
        <w:rPr>
          <w:rFonts w:ascii="Arial" w:hAnsi="Arial" w:cs="Arial"/>
          <w:lang w:val="en-ZA"/>
        </w:rPr>
        <w:fldChar w:fldCharType="separate"/>
      </w:r>
      <w:r w:rsidRPr="005A5A82">
        <w:rPr>
          <w:rFonts w:ascii="Arial" w:hAnsi="Arial" w:cs="Arial"/>
          <w:noProof/>
          <w:vertAlign w:val="superscript"/>
          <w:lang w:val="en-ZA"/>
        </w:rPr>
        <w:t>11,15,17</w:t>
      </w:r>
      <w:r w:rsidRPr="005A5A82">
        <w:rPr>
          <w:rFonts w:ascii="Arial" w:hAnsi="Arial" w:cs="Arial"/>
          <w:lang w:val="en-ZA"/>
        </w:rPr>
        <w:fldChar w:fldCharType="end"/>
      </w:r>
      <w:r w:rsidRPr="005A5A82">
        <w:rPr>
          <w:rFonts w:ascii="Arial" w:hAnsi="Arial" w:cs="Arial"/>
          <w:lang w:val="en-ZA"/>
        </w:rPr>
        <w:t>. TSR are even lower among the retreatment and smear negative cases</w:t>
      </w:r>
      <w:r w:rsidRPr="005A5A82">
        <w:rPr>
          <w:rFonts w:ascii="Arial" w:hAnsi="Arial" w:cs="Arial"/>
          <w:lang w:val="en-ZA"/>
        </w:rPr>
        <w:fldChar w:fldCharType="begin" w:fldLock="1"/>
      </w:r>
      <w:r w:rsidRPr="005A5A82">
        <w:rPr>
          <w:rFonts w:ascii="Arial" w:hAnsi="Arial" w:cs="Arial"/>
          <w:lang w:val="en-ZA"/>
        </w:rPr>
        <w:instrText>ADDIN CSL_CITATION { "citationItems" : [ { "id" : "ITEM-1", "itemData" : { "ISSN" : "16825055", "author" : [ { "dropping-particle" : "", "family" : "Studies", "given" : "Health", "non-dropping-particle" : "", "parse-names" : false, "suffix" : "" }, { "dropping-particle" : "", "family" : "Ehlers", "given" : "Unisa", "non-dropping-particle" : "", "parse-names" : false, "suffix" : "" }, { "dropping-particle" : "", "family" : "Unisa", "given" : "Health Studies", "non-dropping-particle" : "", "parse-names" : false, "suffix" : "" } ], "id" : "ITEM-1", "issue" : "1", "issued" : { "date-parts" : [ [ "0" ] ] }, "page" : "59-72", "title" : "Factors associated with community-based tb care in the omaheke region, namibia", "type" : "article-journal", "volume" : "9" }, "uris" : [ "http://www.mendeley.com/documents/?uuid=5b7344ac-728a-493e-9aed-9d29f4a8e1d5" ] } ], "mendeley" : { "formattedCitation" : "&lt;sup&gt;18&lt;/sup&gt;", "plainTextFormattedCitation" : "18", "previouslyFormattedCitation" : "&lt;sup&gt;18&lt;/sup&gt;" }, "properties" : { "noteIndex" : 0 }, "schema" : "https://github.com/citation-style-language/schema/raw/master/csl-citation.json" }</w:instrText>
      </w:r>
      <w:r w:rsidRPr="005A5A82">
        <w:rPr>
          <w:rFonts w:ascii="Arial" w:hAnsi="Arial" w:cs="Arial"/>
          <w:lang w:val="en-ZA"/>
        </w:rPr>
        <w:fldChar w:fldCharType="separate"/>
      </w:r>
      <w:r w:rsidRPr="005A5A82">
        <w:rPr>
          <w:rFonts w:ascii="Arial" w:hAnsi="Arial" w:cs="Arial"/>
          <w:noProof/>
          <w:vertAlign w:val="superscript"/>
          <w:lang w:val="en-ZA"/>
        </w:rPr>
        <w:t>1</w:t>
      </w:r>
      <w:r w:rsidR="002D4DCF" w:rsidRPr="005A5A82">
        <w:rPr>
          <w:rFonts w:ascii="Arial" w:hAnsi="Arial" w:cs="Arial"/>
          <w:noProof/>
          <w:vertAlign w:val="superscript"/>
          <w:lang w:val="en-ZA"/>
        </w:rPr>
        <w:t>3,1</w:t>
      </w:r>
      <w:r w:rsidRPr="005A5A82">
        <w:rPr>
          <w:rFonts w:ascii="Arial" w:hAnsi="Arial" w:cs="Arial"/>
          <w:noProof/>
          <w:vertAlign w:val="superscript"/>
          <w:lang w:val="en-ZA"/>
        </w:rPr>
        <w:t>8</w:t>
      </w:r>
      <w:r w:rsidRPr="005A5A82">
        <w:rPr>
          <w:rFonts w:ascii="Arial" w:hAnsi="Arial" w:cs="Arial"/>
          <w:lang w:val="en-ZA"/>
        </w:rPr>
        <w:fldChar w:fldCharType="end"/>
      </w:r>
      <w:r w:rsidRPr="005A5A82">
        <w:rPr>
          <w:rFonts w:ascii="Arial" w:hAnsi="Arial" w:cs="Arial"/>
          <w:lang w:val="en-ZA"/>
        </w:rPr>
        <w:t xml:space="preserve">. </w:t>
      </w:r>
      <w:r w:rsidR="002D4DCF" w:rsidRPr="005A5A82">
        <w:rPr>
          <w:rFonts w:ascii="Arial" w:hAnsi="Arial" w:cs="Arial"/>
          <w:lang w:val="en-ZA"/>
        </w:rPr>
        <w:t>Consequently, t</w:t>
      </w:r>
      <w:r w:rsidRPr="005A5A82">
        <w:rPr>
          <w:rFonts w:ascii="Arial" w:hAnsi="Arial" w:cs="Arial"/>
          <w:lang w:val="en-ZA"/>
        </w:rPr>
        <w:t>he</w:t>
      </w:r>
      <w:r w:rsidR="008C6AC2" w:rsidRPr="005A5A82">
        <w:rPr>
          <w:rFonts w:ascii="Arial" w:hAnsi="Arial" w:cs="Arial"/>
          <w:lang w:val="en-ZA"/>
        </w:rPr>
        <w:t>se</w:t>
      </w:r>
      <w:r w:rsidRPr="005A5A82">
        <w:rPr>
          <w:rFonts w:ascii="Arial" w:hAnsi="Arial" w:cs="Arial"/>
          <w:lang w:val="en-ZA"/>
        </w:rPr>
        <w:t xml:space="preserve"> sub-optimal treatment success rates are a major concern towards eliminating TB in Namibia. Moreover, stagnation in TSR in Namibia in the past decade (2004-2015) coincides with the rising burden of drug resistant tuberculosis (DR-TB)</w:t>
      </w:r>
      <w:r w:rsidRPr="005A5A82">
        <w:rPr>
          <w:rFonts w:ascii="Arial" w:hAnsi="Arial" w:cs="Arial"/>
          <w:lang w:val="en-ZA"/>
        </w:rPr>
        <w:fldChar w:fldCharType="begin" w:fldLock="1"/>
      </w:r>
      <w:r w:rsidRPr="005A5A82">
        <w:rPr>
          <w:rFonts w:ascii="Arial" w:hAnsi="Arial" w:cs="Arial"/>
          <w:lang w:val="en-ZA"/>
        </w:rPr>
        <w:instrText>ADDIN CSL_CITATION { "citationItems" : [ { "id" : "ITEM-1", "itemData" : { "abstract" : "In 2015, there were an estimated 480 000 new cases of multidrug-resistant TB (MDR-TB) and an additional 100 000 people with rifampicin-resistant TB (RR-TB) who were also newly eligible for MDR-TB treatment. Drug resistance surveillance data show that 3.9% of new and 21% of previously treated TB cases were estimated to have had rifampicin- or multidrug-resistant tuberculosis (MDR/RR-TB) in 2015. As in 2014, MDR-TB accounts for 3.3% of new TB cases. MDR/RR-TB caused 250 000 deaths in 2015. Most cases and deaths occurred in Asia. About 9.5% of MDR-TB cases have additional drugresistance, extensively drug-resistant TB (XDR-TB). To date, 117 countries worldwide have reported at least one XDR-TB case. A total of 125 000 patients were enrolled on MDR-TB treatment in 2015 (up from 111 000 cases in 2014). This however represents only about 22% of incident MDR/RR-TB cases in 2015. The gap between detected MDR/RR-TB cases and enrolments on treatment appears to have narrowed globally over time. Over 7000 XDR-TB patients were started on treatment in 2015. Only 52% of the MDR/RR-TB patients who started treatment in 2013 were successfully treated, while 17% of patients died and in 9% of patients their treatment failed (22% were lost to follow up or not evaluated). The treatment success rate in XDR-TB patients was only 26%", "author" : [ { "dropping-particle" : "", "family" : "WHO", "given" : "", "non-dropping-particle" : "", "parse-names" : false, "suffix" : "" } ], "container-title" : "Burden, Global Treatment, Enrollment O N Mdr-tb Outcomes, Treatment", "id" : "ITEM-1", "issued" : { "date-parts" : [ [ "2016" ] ] }, "page" : "2015-2016", "title" : "MDR-TB", "type" : "article-journal" }, "uris" : [ "http://www.mendeley.com/documents/?uuid=5004cad6-fa5f-4d7e-9d07-4fb8620f4908" ] } ], "mendeley" : { "formattedCitation" : "&lt;sup&gt;19&lt;/sup&gt;", "plainTextFormattedCitation" : "19", "previouslyFormattedCitation" : "&lt;sup&gt;19&lt;/sup&gt;" }, "properties" : { "noteIndex" : 0 }, "schema" : "https://github.com/citation-style-language/schema/raw/master/csl-citation.json" }</w:instrText>
      </w:r>
      <w:r w:rsidRPr="005A5A82">
        <w:rPr>
          <w:rFonts w:ascii="Arial" w:hAnsi="Arial" w:cs="Arial"/>
          <w:lang w:val="en-ZA"/>
        </w:rPr>
        <w:fldChar w:fldCharType="separate"/>
      </w:r>
      <w:r w:rsidRPr="005A5A82">
        <w:rPr>
          <w:rFonts w:ascii="Arial" w:hAnsi="Arial" w:cs="Arial"/>
          <w:noProof/>
          <w:vertAlign w:val="superscript"/>
          <w:lang w:val="en-ZA"/>
        </w:rPr>
        <w:t>19</w:t>
      </w:r>
      <w:r w:rsidRPr="005A5A82">
        <w:rPr>
          <w:rFonts w:ascii="Arial" w:hAnsi="Arial" w:cs="Arial"/>
          <w:lang w:val="en-ZA"/>
        </w:rPr>
        <w:fldChar w:fldCharType="end"/>
      </w:r>
      <w:r w:rsidRPr="005A5A82">
        <w:rPr>
          <w:rFonts w:ascii="Arial" w:hAnsi="Arial" w:cs="Arial"/>
          <w:lang w:val="en-ZA"/>
        </w:rPr>
        <w:t xml:space="preserve">. Evidence in Namibia and other LMICs suggests that current DOTS strategies are not comprehensive enough to “End TB” by 2035 </w:t>
      </w:r>
      <w:r w:rsidRPr="005A5A82">
        <w:rPr>
          <w:rFonts w:ascii="Arial" w:hAnsi="Arial" w:cs="Arial"/>
          <w:lang w:val="en-ZA"/>
        </w:rPr>
        <w:fldChar w:fldCharType="begin" w:fldLock="1"/>
      </w:r>
      <w:r w:rsidRPr="005A5A82">
        <w:rPr>
          <w:rFonts w:ascii="Arial" w:hAnsi="Arial" w:cs="Arial"/>
          <w:lang w:val="en-ZA"/>
        </w:rPr>
        <w:instrText>ADDIN CSL_CITATION { "citationItems" : [ { "id" : "ITEM-1", "itemData" : { "DOI" : "http://dx.doi.org/10.2174/1874279301307010023", "ISBN" : "1874-2793", "ISSN" : "1874-2793", "PMID" : "2013386677", "abstract" : "Namibia is among the five countries worstly affected by tuberculosis (TB) with a notification rate of 465/100,000 in 2011. This paper describes how the National Tuberculosis Leprosy Program (NTLP) developed from a poorly performing TB control program in 2002 into a well performing program in 2011. The program achieved 85% treatment success for new sputum-positive patients, high coverage and performance on TB/Human Immunodeficiency Virus (HIV) collaborative program activities, and institution of Programmatic Management of Drug-Resistant Tuberculosis (PMDT) where this was absent before. Provision of significant short- and long-term technical assistance provided by KNCV Tuberculosis Foundation (KNCV) in the period 2002-2011 was catalytic in leveraging a total of U$ 80million of external funding in a stepwise approach balanced with absorption capacity, in combination with national policy review and support for its implementation on the basis of two consecutive costed national strategic plans. The technical assistance by KNCV, in partnership with other international technical agencies for specialized areas, proved to work very well in this context where Namibian human resources and funding for TB control were initially limited and the Ministry of Health and Social Services (MoHSS) welcomed extensive technical assistance. \u00a9 van Gorkom et al.; Licensee Bentham Open.", "author" : [ { "dropping-particle" : "", "family" : "Gorkom", "given" : "J", "non-dropping-particle" : "van", "parse-names" : false, "suffix" : "" }, { "dropping-particle" : "", "family" : "Mavhunga", "given" : "F", "non-dropping-particle" : "", "parse-names" : false, "suffix" : "" }, { "dropping-particle" : "", "family" : "Omer", "given" : "O A", "non-dropping-particle" : "", "parse-names" : false, "suffix" : "" }, { "dropping-particle" : "", "family" : "Kutwa", "given" : "A", "non-dropping-particle" : "", "parse-names" : false, "suffix" : "" }, { "dropping-particle" : "", "family" : "Zezai", "given" : "A", "non-dropping-particle" : "", "parse-names" : false, "suffix" : "" }, { "dropping-particle" : "", "family" : "Ruswa", "given" : "N", "non-dropping-particle" : "", "parse-names" : false, "suffix" : "" }, { "dropping-particle" : "", "family" : "Dhliwayo", "given" : "P", "non-dropping-particle" : "", "parse-names" : false, "suffix" : "" }, { "dropping-particle" : "", "family" : "Sawadogo", "given" : "S", "non-dropping-particle" : "", "parse-names" : false, "suffix" : "" }, { "dropping-particle" : "", "family" : "Schreuder", "given" : "B", "non-dropping-particle" : "", "parse-names" : false, "suffix" : "" }, { "dropping-particle" : "", "family" : "Indongo", "given" : "R", "non-dropping-particle" : "", "parse-names" : false, "suffix" : "" }, { "dropping-particle" : "", "family" : "Shihepo", "given" : "E", "non-dropping-particle" : "", "parse-names" : false, "suffix" : "" } ], "container-title" : "Open Infectious Diseases Journal", "id" : "ITEM-1", "issue" : "SPEC ISS1", "issued" : { "date-parts" : [ [ "2013" ] ] }, "page" : "23-29", "title" : "TB control in Namibia 2002-2011: Progress and technical assistance", "type" : "article-journal", "volume" : "7" }, "uris" : [ "http://www.mendeley.com/documents/?uuid=98cd4920-1ad1-436a-a732-1982afaf1036" ] }, { "id" : "ITEM-2", "itemData" : { "DOI" : "10.1016/j.ijnurstu.2008.09.013", "ISBN" : "1873-491X (Electronic)\\r0020-7489 (Linking)", "ISSN" : "00207489", "PMID" : "18995854", "abstract" : "Background: Tuberculosis (TB) remains a widespread healthcare problem in Africa, although it can be cured within 6-8 months' effective treatment. However, many patients fail to adhere to TB treatment, resulting in failure to get cured and the possible development of multi-drug resistant TB (MDR TB). A community-based TB treatment programme, was started in the Omaheke region of Namibia during 2002. The efficacy of this community-based TB programme, compared to the standard hospital- and clinic-based TB treatment, was unknown. Objectives: The major objectives were to compare TB treatment outcomes for patients who used the community-based TB with those who chose the clinic/self-administered TB treatment option; and to identify advantages and disadvantages of community-based TB care as experienced by patients who had completed their community-based TB treatment. Design: A quasi-experimental study design was used to compare TB patients' treatment outcomes using checklists and exit interviews. Setting: The study was conducted in the Omaheke region of Namibia. Participants: TB patients (n = 332) who were hospitalised during the study period participated in the study. Methods: An analytic cohort prospective design was used to do follow-up visits, and complete checklists, of 332 TB patients. Structured exit interviews were conducted with 101 TB patients who had completed their community-based TB treatment. Results: Enhanced knowledge of TB patients improved their participation in community-based TB care. A family member was the most convenient, acceptable and accessible directly observed treatment (DOT) supervisor for 72.8% of the participants. A statistically significant difference in cure rates between community-based and the clinic/self-administered groups was found (??2 11.78; p ??? 0.05; and RR = 1.35; p = 0.05). The major advantages of community-based TB treatment included the ability to continue with one's daily activities during treatment and the saving of time and money. The major disadvantages included that the clinics ran out of TB drug supplies, patients did not always have food to eat after taking their pills and they could not get sufficient rest because they had to continue doing their daily chores. Conclusions: TB patients on the community-based TB treatment option had better cure rates than those on clinic/self-administered TB treatment (although it cannot be inferred that the community-based treatment caused the improved cure rates, because the\u2026", "author" : [ { "dropping-particle" : "", "family" : "Zvavamwe", "given" : "Zimbisayi", "non-dropping-particle" : "", "parse-names" : false, "suffix" : "" }, { "dropping-particle" : "", "family" : "Ehlers", "given" : "Valerie J.", "non-dropping-particle" : "", "parse-names" : false, "suffix" : "" } ], "container-title" : "International Journal of Nursing Studies", "id" : "ITEM-2", "issue" : "3", "issued" : { "date-parts" : [ [ "2009" ] ] }, "page" : "302-309", "title" : "Experiences of a community-based tuberculosis treatment programme in Namibia: A comparative cohort study", "type" : "article-journal", "volume" : "46" }, "uris" : [ "http://www.mendeley.com/documents/?uuid=f514d702-973e-40ff-b717-759ff112a1cb" ] }, { "id" : "ITEM-3", "itemData" : { "DOI" : "10.1016/j.ijmyco.2014.07.009", "ISBN" : "2212-5531\\r2212-554X", "ISSN" : "2212554X", "PMID" : "2014979186", "abstract" : "Setting: Namibia faces a high burden of tuberculosis (TB) and HIV-infection. In 2011, 50% of the TB patients were co-infected with HIV. While all patients co-infected with TB and HIV are eligible for antiretroviral treatment (ART), only 54% were reported to have received ART according to national data. Objective: To explore the perspective of healthcare professionals on barriers to access to ART for HIV-positive TB patients. Design: Nine semi-structured qualitative interviews were conducted with healthcare professionals from TB and HIV services in Windhoek in 2012 to investigate access barriers to ART for HIV-positive TB patients in Namibia. Results: Many barriers known from other African countries were also present in Namibia. The barriers rated as most important were: staff shortage (health system level); limited training (healthcare worker level); and fear of stigma and discrimination (patient/community level). Direct treatment costs and limited availability of antiretroviral medication were not observed as barriers. Interference with TB treatment and ART by some Pentecostal churches was revealed as an important barrier that has not yet received sufficient attention. Conclusion: The study identified access barriers to ART for HIV-positive TB patients and their relevance in Namibia. The findings provide evidence for tailored interventions to increase ART-uptake among HIV-positive TB patients.", "author" : [ { "dropping-particle" : "", "family" : "Seeling", "given" : "Stefanie", "non-dropping-particle" : "", "parse-names" : false, "suffix" : "" }, { "dropping-particle" : "", "family" : "Mavhunga", "given" : "Farai", "non-dropping-particle" : "", "parse-names" : false, "suffix" : "" }, { "dropping-particle" : "", "family" : "Thomas", "given" : "Albertina", "non-dropping-particle" : "", "parse-names" : false, "suffix" : "" }, { "dropping-particle" : "", "family" : "Adelberger", "given" : "Bettina", "non-dropping-particle" : "", "parse-names" : false, "suffix" : "" }, { "dropping-particle" : "", "family" : "Ulrichs", "given" : "Timo", "non-dropping-particle" : "", "parse-names" : false, "suffix" : "" } ], "container-title" : "International Journal of Mycobacteriology", "id" : "ITEM-3", "issue" : "4", "issued" : { "date-parts" : [ [ "2014" ] ] }, "page" : "268-275", "title" : "Barriers to access to antiretroviral treatment for HIV-positive tuberculosis patients in Windhoek, Namibia", "type" : "article-journal", "volume" : "3" }, "uris" : [ "http://www.mendeley.com/documents/?uuid=40caa65f-3e3b-4f2f-a2b9-c8a90b2e8b94" ] }, { "id" : "ITEM-4", "itemData" : { "DOI" : "10.1016/S0140-6736(05)74812-1", "ISBN" : "1474-547X (Electronic)\\n0140-6736 (Linking)", "ISSN" : "01406736", "PMID" : "15811457", "abstract" : "Background: Directly observed therapy (DOTS) is the main strategy for prevention and control of tuberculosis worldwide. However, its effect on tuberculosis transmission in populations with moderate rates of drug-resistant disease is not known. Methods: This population-based prospective study in southern Mexico between March, 1995, and February, 2000, was based on passive case finding and detection of acid-fast bacilli in sputum samples to diagnose pulmonary tuberculosis. We also used cultures, drug-susceptibility testing, bacterial genotyping, and monitoring of treatment outcomes. Findings: We enrolled 436 patients; the HIV seroprevalence rate was 2%. We used three indicators to monitor continuing tuberculosis transmission: the incidence rate of pulmonary tuberculosis, which decreased by 54\u00b74% between 1995 and 2000, from 42\u00b71 to 19\u00b72 per 105 population (p=0\u00b700048); the percentage of clustered pulmonary tuberculosis cases, which decreased by 62\u00b76% from 22% to 8% (p=0\u00b702); and the rate of primary drug resistance, which decreased by 84\u00b70% from 9\u00b74 to 1\u00b75 per 105 population (p=0\u00b7004). Rates of multidrug-resistant (MDR) tuberculosis also decreased (p&lt;0\u00b70001). The case-fatality ratio was 12% for MDR tuberculosis (five of 41), 7% for strains resistant to at least one drug after exclusion of MDR (four of 55), and 3% for pansusceptible strains (nine of 272). There were 13 treatment failures (11%) in 1995 and one (2%) in 2000 (p=0\u00b7012). Interpretation: Even in settings with moderate rates of MDR tuberculosis, DOTS can rapidly reduce the transmission and incidence of both drug-susceptible and drug-resistant tuberculosis. However, further interventions, such as drug-susceptibility testing and standardised or individualised treatment regimens, are needed to reduce mortality rates for MDR tuberculosis.", "author" : [ { "dropping-particle" : "", "family" : "DeRiemer", "given" : "Kathryn", "non-dropping-particle" : "", "parse-names" : false, "suffix" : "" }, { "dropping-particle" : "", "family" : "Garc\u00eda-Garc\u00eda", "given" : "Lourdes", "non-dropping-particle" : "", "parse-names" : false, "suffix" : "" }, { "dropping-particle" : "", "family" : "Bobadilla-del-Valle", "given" : "Miriam", "non-dropping-particle" : "", "parse-names" : false, "suffix" : "" }, { "dropping-particle" : "", "family" : "Palacios-Mart\u00ednez", "given" : "Manuel", "non-dropping-particle" : "", "parse-names" : false, "suffix" : "" }, { "dropping-particle" : "", "family" : "Mart\u00ednez-Gamboa", "given" : "Areli", "non-dropping-particle" : "", "parse-names" : false, "suffix" : "" }, { "dropping-particle" : "", "family" : "Small", "given" : "Peter M.", "non-dropping-particle" : "", "parse-names" : false, "suffix" : "" }, { "dropping-particle" : "", "family" : "Sifuentes-Osornio", "given" : "Jos\u00e9", "non-dropping-particle" : "", "parse-names" : false, "suffix" : "" }, { "dropping-particle" : "", "family" : "Ponce-De-Le\u00f3n", "given" : "Alfredo", "non-dropping-particle" : "", "parse-names" : false, "suffix" : "" } ], "container-title" : "Lancet", "id" : "ITEM-4", "issue" : "9466", "issued" : { "date-parts" : [ [ "2005" ] ] }, "page" : "1239-1245", "title" : "Does DOTS work in populations with drug-resistant tuberculosis?", "type" : "article-journal", "volume" : "365" }, "uris" : [ "http://www.mendeley.com/documents/?uuid=849619ea-b321-47d9-ad80-4a396e8cf050" ] }, { "id" : "ITEM-5", "itemData" : { "DOI" : "10.1016/S0140-6736(06)68383-9", "ISBN" : "1474-547X (Electronic)\\n0140-6736 (Linking)", "ISSN" : "01406736", "PMID" : "16546541", "abstract" : "Rapid scale-up of antiretroviral treatment programmes is happening in Africa, driven by international advocacy and policy directives and supported by unprecedented donor funding and technical assistance. This welcome development offers hope to millions of HIV-infected Africans, among whom tuberculosis is the major cause of serious illness and death. Little in the way of HIV diagnosis or care was previously offered to patients with tuberculosis, by either national tuberculosis or AIDS control programmes, with tuberculosis services focused exclusively on diagnosis and treatment of rising numbers of patients. Tuberculosis control in Africa has yet to adapt to the new climate of antiretroviral availability. Many barriers exist, from drug interactions to historic differences in the way that tuberculosis and HIV are perceived, but failure to successfully integrate HIV and tuberculosis control will threaten the viability of both programmes. Here, we review tuberculosis epidemiology in Africa and policy implications of HIV/AIDS treatment scale-up.", "author" : [ { "dropping-particle" : "", "family" : "Corbett", "given" : "Elizabeth L.", "non-dropping-particle" : "", "parse-names" : false, "suffix" : "" }, { "dropping-particle" : "", "family" : "Marston", "given" : "Barbara", "non-dropping-particle" : "", "parse-names" : false, "suffix" : "" }, { "dropping-particle" : "", "family" : "Churchyard", "given" : "Gavin J.", "non-dropping-particle" : "", "parse-names" : false, "suffix" : "" }, { "dropping-particle" : "", "family" : "Cock", "given" : "Kevin M.", "non-dropping-particle" : "De", "parse-names" : false, "suffix" : "" } ], "container-title" : "Lancet", "id" : "ITEM-5", "issue" : "9514", "issued" : { "date-parts" : [ [ "2006" ] ] }, "page" : "926-937", "title" : "Tuberculosis in sub-Saharan Africa: Opportunities, challenges, and change in the era of antiretroviral treatment", "type" : "article", "volume" : "367" }, "uris" : [ "http://www.mendeley.com/documents/?uuid=9e1dd65e-a5c9-437b-a983-d24586cbe179" ] }, { "id" : "ITEM-6", "itemData" : { "DOI" : "10.1186/s12916-015-0341-4", "ISBN" : "1291601503", "ISSN" : "1741-7015", "PMID" : "25896465", "abstract" : "BACKGROUND: In the last 20 years, China ramped up a DOTS (directly observed treatment, short-course)-based tuberculosis (TB) control program with 80% population coverage, achieving the 2015 Millennium Development Goal of a 50% reduction in TB prevalence and mortality. Recently, the World Health Organization developed the End TB Strategy, with an overall goal of a 90% reduction in TB incidence and a 95% reduction in TB deaths from 2015-2035. As the TB burden shifts to older individuals and China's overall population ages, it is unclear if maintaining the current DOTS strategy will be sufficient for China to reach the global targets.\\n\\nMETHODS: We developed an individual-based computational model of TB transmission, implementing realistic age demographics and fitting to country-level data of age-dependent prevalence over time. We explored the trajectory of TB burden if the DOTS strategy is maintained or if new interventions are introduced using currently available and soon-to-be-available tools. These interventions include increasing population coverage of DOTS, reducing time to treatment, increasing treatment success, and active case finding among elders &gt; 65 years old. We also considered preventative therapy in latently infected elders, a strategy limited by resource constraints and the risk of adverse events.\\n\\nRESULTS: Maintenance of the DOTS strategy reduces TB incidence and mortality by 42% (95% credible interval, 27-59%) and 41% (5-64%), respectively, between 2015 and 2035. A combination of all feasible interventions nears the 2035 mortality target, reducing TB incidence and mortality by 59% (50-76%) and 83% (73-94%). Addition of preventative therapy for elders would enable China to nearly reach both the incidence and mortality targets, reducing incidence and mortality by 84% (78-93%) and 92% (86-98%).\\n\\nCONCLUSIONS: The current decline in incidence is driven by two factors: maintaining a low level of new infections in young individuals and the aging out of older latently infected individuals who contribute incidence due to reactivation disease. While further reducing the level of new infections has a modest effect on burden, interventions that limit reactivation have a greater impact on TB burden. Tools that make preventative therapy more feasible on a large scale and in elders will help China achieve the global targets.", "author" : [ { "dropping-particle" : "", "family" : "Huynh", "given" : "Grace H", "non-dropping-particle" : "", "parse-names" : false, "suffix" : "" }, { "dropping-particle" : "", "family" : "Klein", "given" : "Daniel J", "non-dropping-particle" : "", "parse-names" : false, "suffix" : "" }, { "dropping-particle" : "", "family" : "Chin", "given" : "Daniel P", "non-dropping-particle" : "", "parse-names" : false, "suffix" : "" }, { "dropping-particle" : "", "family" : "Wagner", "given" : "Bradley G", "non-dropping-particle" : "", "parse-names" : false, "suffix" : "" }, { "dropping-particle" : "", "family" : "Eckhoff", "given" : "Philip A", "non-dropping-particle" : "", "parse-names" : false, "suffix" : "" }, { "dropping-particle" : "", "family" : "Liu", "given" : "Renzhong", "non-dropping-particle" : "", "parse-names" : false, "suffix" : "" }, { "dropping-particle" : "", "family" : "Wang", "given" : "Lixia", "non-dropping-particle" : "", "parse-names" : false, "suffix" : "" } ], "container-title" : "BMC medicine", "id" : "ITEM-6", "issue" : "1", "issued" : { "date-parts" : [ [ "2015" ] ] }, "note" : "Challenges whether current DOTS strategies may end TB in China", "page" : "88", "publisher" : "???", "title" : "Tuberculosis control strategies to reach the 2035 global targets in China: the role of changing demographics and reactivation disease.", "type" : "article-journal", "volume" : "13" }, "uris" : [ "http://www.mendeley.com/documents/?uuid=2f284594-3d77-4e33-94b0-ab459975c56d" ] }, { "id" : "ITEM-7", "itemData" : { "DOI" : "10.1016/S2214-109X(13)70153-0", "ISBN" : "2214-109X", "ISSN" : "2214109X", "PMID" : "25104625", "abstract" : "On Oct 1, 2013, WHO and global partners launched a roadmap to end tuberculosis deaths in children worldwide.1 The roadmap identifies key actions that must be taken, including increased and targeted research, partnerships between key stakeholders, and strategic economic investment. The roadmap also shows the crucial lack of global emphasis on tuberculosis prevention and treatment for one of the most vulnerable populations. This intervention comes at a pivotal juncture because rates of drug-resistant tuberculosis have been increasing worldwide, particularly in the WHO European Region, with severe implications for child tuberculosis morbidity and mortality.\\nGlobally, children younger than 15 years account for about 6% of the 8\u00b76 million cases of tuberculosis, and about 5% of the 1\u00b74 million deaths that occur annually from the disease.2, 3 Children have been traditionally viewed to pose less of a risk for transmission than adults because they often have paucibacillary disease, which is also harder to diagnose with sputum smear microscopy, culture, and molecular tests.4 If tuberculosis is undetected and untreated, children are at high risk of death, especially in the context of multidrug-resistant and extensively drug-resistant tuberculosis. 15 of the 27 countries with a high burden of multidrug-resistant and extensively drug-resistant tuberculosis worldwide are in the WHO European Region,2 with 99% of the regional disease burden in 18 high-priority countries (Armenia, Azerbaijan, Belarus, Bulgaria, Estonia, Georgia, Kazakhstan, Kyrgyzstan, Latvia, Lithuania, Moldova, Romania, Russia, Tajikistan, Turkey, Turkmenistan, Ukraine, and Uzbekistan).5 6% of the total estimated incidence of new and relapsed tuberculosis cases occurred in these countries (376 200 cases),2, 5 in 2011, an estimated 23 000 children had tuberculosis, of whom nearly 5000 are estimated to have had multidrug-resistant or extensively drug-resistant disease. These estimates contrast sharply with the fewer than 1000 cases of childhood tuberculosis that were detected and reported in these countries.2, 5\\nIn response to the alarming increase in multidrug-resistant and extensively drug-resistant tuberculosis in the WHO European Region, in 2011 the Consolidated Action Plan to Prevent and Combat Multidrug and Extensively Drug Resistant Tuberculosis (2011\u201415) was endorsed by the sixty-first Regional Committee for Europe, and implemented in all 53 member states.6, 7 The plan includes essential miles\u2026", "author" : [ { "dropping-particle" : "", "family" : "Acosta", "given" : "Colleen D.", "non-dropping-particle" : "", "parse-names" : false, "suffix" : "" }, { "dropping-particle" : "", "family" : "Rusovich", "given" : "Valiantsin", "non-dropping-particle" : "", "parse-names" : false, "suffix" : "" }, { "dropping-particle" : "", "family" : "Harries", "given" : "Anthony D.", "non-dropping-particle" : "", "parse-names" : false, "suffix" : "" }, { "dropping-particle" : "", "family" : "Ahmedov", "given" : "Sevim", "non-dropping-particle" : "", "parse-names" : false, "suffix" : "" }, { "dropping-particle" : "", "family" : "Boom", "given" : "Martin", "non-dropping-particle" : "van den", "parse-names" : false, "suffix" : "" }, { "dropping-particle" : "", "family" : "Dara", "given" : "Masoud", "non-dropping-particle" : "", "parse-names" : false, "suffix" : "" } ], "container-title" : "The Lancet Global Health", "id" : "ITEM-7", "issue" : "1", "issued" : { "date-parts" : [ [ "2014" ] ] }, "title" : "A new roadmap for childhood tuberculosis", "type" : "article", "volume" : "2" }, "uris" : [ "http://www.mendeley.com/documents/?uuid=542b3e83-1b21-4d56-a6f8-adf3881f70ee" ] } ], "mendeley" : { "formattedCitation" : "&lt;sup&gt;2,11,20\u201324&lt;/sup&gt;", "plainTextFormattedCitation" : "2,11,20\u201324", "previouslyFormattedCitation" : "&lt;sup&gt;2,11,20\u201324&lt;/sup&gt;" }, "properties" : { "noteIndex" : 0 }, "schema" : "https://github.com/citation-style-language/schema/raw/master/csl-citation.json" }</w:instrText>
      </w:r>
      <w:r w:rsidRPr="005A5A82">
        <w:rPr>
          <w:rFonts w:ascii="Arial" w:hAnsi="Arial" w:cs="Arial"/>
          <w:lang w:val="en-ZA"/>
        </w:rPr>
        <w:fldChar w:fldCharType="separate"/>
      </w:r>
      <w:r w:rsidRPr="005A5A82">
        <w:rPr>
          <w:rFonts w:ascii="Arial" w:hAnsi="Arial" w:cs="Arial"/>
          <w:noProof/>
          <w:vertAlign w:val="superscript"/>
          <w:lang w:val="en-ZA"/>
        </w:rPr>
        <w:t>2,11,20–24</w:t>
      </w:r>
      <w:r w:rsidRPr="005A5A82">
        <w:rPr>
          <w:rFonts w:ascii="Arial" w:hAnsi="Arial" w:cs="Arial"/>
          <w:lang w:val="en-ZA"/>
        </w:rPr>
        <w:fldChar w:fldCharType="end"/>
      </w:r>
      <w:r w:rsidRPr="005A5A82">
        <w:rPr>
          <w:rFonts w:ascii="Arial" w:hAnsi="Arial" w:cs="Arial"/>
          <w:lang w:val="en-ZA"/>
        </w:rPr>
        <w:t xml:space="preserve">. </w:t>
      </w:r>
    </w:p>
    <w:p w14:paraId="0D4B895B" w14:textId="77777777" w:rsidR="002D4DCF" w:rsidRPr="005A5A82" w:rsidRDefault="002D4DCF" w:rsidP="005A5A82">
      <w:pPr>
        <w:pStyle w:val="NoSpacing"/>
        <w:spacing w:line="360" w:lineRule="auto"/>
        <w:rPr>
          <w:rFonts w:ascii="Arial" w:hAnsi="Arial" w:cs="Arial"/>
          <w:lang w:val="en-ZA"/>
        </w:rPr>
      </w:pPr>
    </w:p>
    <w:p w14:paraId="7F2258A4" w14:textId="70DA914A" w:rsidR="00CB62E5" w:rsidRPr="005A5A82" w:rsidRDefault="00CB62E5" w:rsidP="005A5A82">
      <w:pPr>
        <w:pStyle w:val="NoSpacing"/>
        <w:spacing w:line="360" w:lineRule="auto"/>
        <w:rPr>
          <w:rFonts w:ascii="Arial" w:hAnsi="Arial" w:cs="Arial"/>
        </w:rPr>
      </w:pPr>
      <w:r w:rsidRPr="005A5A82">
        <w:rPr>
          <w:rFonts w:ascii="Arial" w:hAnsi="Arial" w:cs="Arial"/>
          <w:lang w:val="en-ZA"/>
        </w:rPr>
        <w:t>However, there are conflicting reports on the impact of the various risk-factors in different populations</w:t>
      </w:r>
      <w:r w:rsidR="002D4DCF" w:rsidRPr="005A5A82">
        <w:rPr>
          <w:rFonts w:ascii="Arial" w:hAnsi="Arial" w:cs="Arial"/>
          <w:lang w:val="en-ZA"/>
        </w:rPr>
        <w:t xml:space="preserve"> including </w:t>
      </w:r>
      <w:r w:rsidRPr="005A5A82">
        <w:rPr>
          <w:rFonts w:ascii="Arial" w:hAnsi="Arial" w:cs="Arial"/>
          <w:lang w:val="en-ZA"/>
        </w:rPr>
        <w:t>pharmacokinetic variability , socio-demographic</w:t>
      </w:r>
      <w:r w:rsidR="002D4DCF" w:rsidRPr="005A5A82">
        <w:rPr>
          <w:rFonts w:ascii="Arial" w:hAnsi="Arial" w:cs="Arial"/>
          <w:lang w:val="en-ZA"/>
        </w:rPr>
        <w:t>s</w:t>
      </w:r>
      <w:r w:rsidRPr="005A5A82">
        <w:rPr>
          <w:rFonts w:ascii="Arial" w:hAnsi="Arial" w:cs="Arial"/>
          <w:lang w:val="en-ZA"/>
        </w:rPr>
        <w:t xml:space="preserve"> and baseline clinical characteristics</w:t>
      </w:r>
      <w:r w:rsidRPr="005A5A82">
        <w:rPr>
          <w:rFonts w:ascii="Arial" w:hAnsi="Arial" w:cs="Arial"/>
          <w:lang w:val="en-ZA"/>
        </w:rPr>
        <w:fldChar w:fldCharType="begin" w:fldLock="1"/>
      </w:r>
      <w:r w:rsidRPr="005A5A82">
        <w:rPr>
          <w:rFonts w:ascii="Arial" w:hAnsi="Arial" w:cs="Arial"/>
          <w:lang w:val="en-ZA"/>
        </w:rPr>
        <w:instrText>ADDIN CSL_CITATION { "citationItems" : [ { "id" : "ITEM-1", "itemData" : { "DOI" : "10.1371/journal.pone.0074023", "ISBN" : "1932-6203; 1932-6203", "ISSN" : "19326203", "PMID" : "24040151", "abstract" : "IntroductionThe existing diagnostic algorithms for sputum smear-negative tuberculosis (TB) are complicated, time-consuming, and often difficult to implement. The decision to initiate TB treatment in resource-limited countries is often largely based on clinical predictors. We sought to determine the clinical predictors and accuracy of empiric TB treatment initiation in HIV-infected sputum smear-negative TB suspects using sputum culture as a reference standard.SettingOut-patient HIV-TB integrated urban clinic in Kampala, Uganda.MethodsHIV-infected TB suspects were screened using sputum smear microscopy, and mycobacterial sputum liquid and solid cultures were performed. Smear results were made available to the clinician who made a clinical decision on empiric TB treatment initiation for sputum smear-negative patients. Clinic records were reviewed for patients whose sputum smears were negative to collect data on socio-demographics, TB symptomatology, chest X-ray findings, CD4 cell counts and TB treatment initiation.ResultsOf 253 smear-negative TB suspects, 56% (142/253) were females, median age 38 IQR (31\u201344) years, with a median CD4 cell count of 291 IQR (150\u2013482) cells/mm3. Of the 85 (33.6%) smear-negative patients empirically initiated on TB treatment, 35.3% (n\u200a=\u200a30) were sputum culture positive compared to only 18 (10.7%) of the 168 untreated patients (p&lt;0.001). Abnormal chest X-ray [aOR 10.18, 95% CI (3.14\u201333.00), p&lt;0.001] and advanced HIV clinical stage [aOR 3.92, 95% CI (1.20\u201312.85), p\u200a=\u200a0.024] were significantly associated with empiric TB treatment initiation. The sensitivity and specificity of empiric TB treatment initiation in the diagnosis of TB in HIV-infected patients after negative smear microscopy was 62.5% and 73.7% respectively.ConclusionIn resource-limited settings, clinically advanced HIV and abnormal chest X-ray significantly predict a clinical decision to empirically initiate TB treatment in smear-negative HIV-infected patients. Empiric TB treatment initiation correlates poorly with TB cultures. Affordable, accurate and rapid point-of-care diagnostics are needed in resource-limited settings to more accurately determine which HIV-infected TB suspects have smear-negative TB.", "author" : [ { "dropping-particle" : "", "family" : "Nakiyingi", "given" : "Lydia", "non-dropping-particle" : "", "parse-names" : false, "suffix" : "" }, { "dropping-particle" : "", "family" : "Bwanika", "given" : "John Mark", "non-dropping-particle" : "", "parse-names" : false, "suffix" : "" }, { "dropping-particle" : "", "family" : "Kirenga", "given" : "Bruce", "non-dropping-particle" : "", "parse-names" : false, "suffix" : "" }, { "dropping-particle" : "", "family" : "Nakanjako", "given" : "Damalie", "non-dropping-particle" : "", "parse-names" : false, "suffix" : "" }, { "dropping-particle" : "", "family" : "Katabira", "given" : "Catherine", "non-dropping-particle" : "", "parse-names" : false, "suffix" : "" }, { "dropping-particle" : "", "family" : "Lubega", "given" : "Gloria", "non-dropping-particle" : "", "parse-names" : false, "suffix" : "" }, { "dropping-particle" : "", "family" : "Sempa", "given" : "Joseph", "non-dropping-particle" : "", "parse-names" : false, "suffix" : "" }, { "dropping-particle" : "", "family" : "Nyesiga", "given" : "Barnabas", "non-dropping-particle" : "", "parse-names" : false, "suffix" : "" }, { "dropping-particle" : "", "family" : "Albert", "given" : "Heidi", "non-dropping-particle" : "", "parse-names" : false, "suffix" : "" }, { "dropping-particle" : "", "family" : "Manabe", "given" : "Yukari C.", "non-dropping-particle" : "", "parse-names" : false, "suffix" : "" } ], "container-title" : "PLoS ONE", "id" : "ITEM-1", "issue" : "9", "issued" : { "date-parts" : [ [ "2013" ] ] }, "title" : "Clinical Predictors and Accuracy of Empiric Tuberculosis Treatment among Sputum Smear-Negative HIV-Infected Adult TB Suspects in Uganda", "type" : "article", "volume" : "8" }, "uris" : [ "http://www.mendeley.com/documents/?uuid=153b4dd7-7bf7-4ad1-8f06-c5e54d2efc75" ] }, { "id" : "ITEM-2", "itemData" : { "DOI" : "10.4314/ahs.v11i3.70079", "ISBN" : "1680-6905", "ISSN" : "16806905", "PMID" : "22135634", "abstract" : "INTRODUCTION Early identification of Tuberculosis (TB) treatment failure using cost effective means is urgently needed in developing nations. The study set out to describe affordable predictors of TB treatment failure in an African setting. OBJECTIVE To determine the predictors of treatment failure among patients with sputum smear positive pulmonary TB at Mulago hospital. The study was carried out in the TB clinic of Mulago hospital Kampala, Uganda. This was an unmatched case control study where fifty patients with a diagnosis of TB treatment failure (cases) and 100 patients declared cured after completing anti TB treatment (controls) were recruited into the study. Cases were compared with controls to determine predictors of treatment failure. RESULTS Significant predictors of treatment failure in this study included a positive sputum smear at 2 months of TB treatment (OR 20.63, 95%CI 5.42- 78.41) and poor adherence to anti TB treatment (OR 14.59, 95%CI 3.04-70.15). CONCLUSION This study identified a treatment related and a simple laboratory predictor of TB treatment failure in Mulago hospital which may be used in resource limited settings for early recognition of those at risk and early intervention.", "author" : [ { "dropping-particle" : "", "family" : "Namukwaya", "given" : "E.", "non-dropping-particle" : "", "parse-names" : false, "suffix" : "" }, { "dropping-particle" : "", "family" : "Nakwagala", "given" : "F. N.", "non-dropping-particle" : "", "parse-names" : false, "suffix" : "" }, { "dropping-particle" : "", "family" : "Mulekya", "given" : "F.", "non-dropping-particle" : "", "parse-names" : false, "suffix" : "" }, { "dropping-particle" : "", "family" : "Mayanja-Kizza", "given" : "H.", "non-dropping-particle" : "", "parse-names" : false, "suffix" : "" }, { "dropping-particle" : "", "family" : "Mugerwa", "given" : "R.", "non-dropping-particle" : "", "parse-names" : false, "suffix" : "" } ], "container-title" : "African Health Sciences", "id" : "ITEM-2", "issue" : "SPEC. ISSUE", "issued" : { "date-parts" : [ [ "2011" ] ] }, "title" : "Predictors of treatment failure among pulmonary tuberculosis patients in mulago hospital, Uganda", "type" : "article-journal", "volume" : "11" }, "uris" : [ "http://www.mendeley.com/documents/?uuid=851595d2-24db-4351-afba-b9cf278a6707" ] }, { "id" : "ITEM-3", "itemData" : { "DOI" : "10.5588/ijtld.10.0352", "ISBN" : "1027-3719", "ISSN" : "1027-3719", "PMID" : "21496360", "abstract" : "BACKGROUND: Despite effective anti-tuberculosis chemotherapy, case-fatality rates of up to 25% are described in both industrialised and resource-poor settings. An understanding of the factors predisposing to poor outcome may allow the development of adjunctive treatment strategies or closer clinical monitoring in high-risk individuals. OBJECTIVES: To describe the definitions and timing of deaths due to tuberculosis (TB), and the reported range of risk factors for death. METHODS: All electronically available studies investigating risk factors for death in TB patients from 1966 to 2010 were analysed. Included were peer-reviewed reports of cohort, case control or cross-sectional studies with the primary objective of determination of quantitative effect estimates of the relationship between risk factors and death in adults treated for TB. Many studies were limited by their retrospective design, reliance on data from registries and charts, and risk of reporting bias. RESULTS: Most studies reported risk factors for all-cause mortality throughout anti-tuberculosis treatment. In the context of high TB incidence and human immunodeficiency virus (HIV) prevalence, risk factors for death are HIV positivity, advancing immunosuppression, smear-negative disease and malnutrition. In regions of low TB incidence and HIV prevalence, risk factors include non-infective comorbidities, sputum smear-positive disease and alcohol and substance misuse. CONCLUSIONS: There remains a need for prospective clinical studies, particularly with a focus on deaths occurring during the first months of anti-tuberculosis treatment. Qualitative research should be used to further explore the relationship between sex and health-seeking behaviour, and to optimise delivery of health care to socially marginalised groups. \u00a9 2011 The Union.", "author" : [ { "dropping-particle" : "", "family" : "Waitt", "given" : "C J", "non-dropping-particle" : "", "parse-names" : false, "suffix" : "" }, { "dropping-particle" : "", "family" : "Squire", "given" : "S B", "non-dropping-particle" : "", "parse-names" : false, "suffix" : "" }, { "dropping-particle" : "", "family" : "C.J.", "given" : "Waitt", "non-dropping-particle" : "", "parse-names" : false, "suffix" : "" }, { "dropping-particle" : "", "family" : "S.B.", "given" : "Squire", "non-dropping-particle" : "", "parse-names" : false, "suffix" : "" } ], "container-title" : "International Journal of Tuberculosis and Lung Disease", "id" : "ITEM-3", "issue" : "7", "issued" : { "date-parts" : [ [ "2011" ] ] }, "page" : "871-885", "title" : "A systematic review of risk factors for death in adults during and after tuberculosis treatment", "type" : "article-journal", "volume" : "15" }, "uris" : [ "http://www.mendeley.com/documents/?uuid=14f2b161-32c8-4020-a094-629314543798" ] } ], "mendeley" : { "formattedCitation" : "&lt;sup&gt;25\u201327&lt;/sup&gt;", "plainTextFormattedCitation" : "25\u201327", "previouslyFormattedCitation" : "&lt;sup&gt;25\u201327&lt;/sup&gt;" }, "properties" : { "noteIndex" : 0 }, "schema" : "https://github.com/citation-style-language/schema/raw/master/csl-citation.json" }</w:instrText>
      </w:r>
      <w:r w:rsidRPr="005A5A82">
        <w:rPr>
          <w:rFonts w:ascii="Arial" w:hAnsi="Arial" w:cs="Arial"/>
          <w:lang w:val="en-ZA"/>
        </w:rPr>
        <w:fldChar w:fldCharType="separate"/>
      </w:r>
      <w:r w:rsidRPr="005A5A82">
        <w:rPr>
          <w:rFonts w:ascii="Arial" w:hAnsi="Arial" w:cs="Arial"/>
          <w:noProof/>
          <w:vertAlign w:val="superscript"/>
          <w:lang w:val="en-ZA"/>
        </w:rPr>
        <w:t>25–27</w:t>
      </w:r>
      <w:r w:rsidRPr="005A5A82">
        <w:rPr>
          <w:rFonts w:ascii="Arial" w:hAnsi="Arial" w:cs="Arial"/>
          <w:lang w:val="en-ZA"/>
        </w:rPr>
        <w:fldChar w:fldCharType="end"/>
      </w:r>
      <w:r w:rsidRPr="005A5A82">
        <w:rPr>
          <w:rFonts w:ascii="Arial" w:hAnsi="Arial" w:cs="Arial"/>
          <w:lang w:val="en-ZA"/>
        </w:rPr>
        <w:t>.To date, the magnitude and impact of these risk factors on treatment outcomes has not been systematically evaluated in Namibian and other LMIC</w:t>
      </w:r>
      <w:r w:rsidR="008C6AC2" w:rsidRPr="005A5A82">
        <w:rPr>
          <w:rFonts w:ascii="Arial" w:hAnsi="Arial" w:cs="Arial"/>
          <w:lang w:val="en-ZA"/>
        </w:rPr>
        <w:t>s</w:t>
      </w:r>
      <w:r w:rsidRPr="005A5A82">
        <w:rPr>
          <w:rFonts w:ascii="Arial" w:hAnsi="Arial" w:cs="Arial"/>
          <w:lang w:val="en-ZA"/>
        </w:rPr>
        <w:t xml:space="preserve"> where the burden of TB remains high</w:t>
      </w:r>
      <w:r w:rsidRPr="005A5A82">
        <w:rPr>
          <w:rFonts w:ascii="Arial" w:hAnsi="Arial" w:cs="Arial"/>
          <w:lang w:val="en-ZA"/>
        </w:rPr>
        <w:fldChar w:fldCharType="begin" w:fldLock="1"/>
      </w:r>
      <w:r w:rsidRPr="005A5A82">
        <w:rPr>
          <w:rFonts w:ascii="Arial" w:hAnsi="Arial" w:cs="Arial"/>
          <w:lang w:val="en-ZA"/>
        </w:rPr>
        <w:instrText>ADDIN CSL_CITATION { "citationItems" : [ { "id" : "ITEM-1", "itemData" : { "author" : [ { "dropping-particle" : "", "family" : "WHO", "given" : "", "non-dropping-particle" : "", "parse-names" : false, "suffix" : "" } ], "id" : "ITEM-1", "issued" : { "date-parts" : [ [ "2016" ] ] }, "number-of-pages" : "URL: http://apps.who.int/iris/bitstream/10665/2504", "title" : "GLOBAL TUBERCULOSIS REPORT", "type" : "report" }, "uris" : [ "http://www.mendeley.com/documents/?uuid=2dac8b1f-ea25-404a-86fb-d9bff7517fc8" ] } ], "mendeley" : { "formattedCitation" : "&lt;sup&gt;9&lt;/sup&gt;", "plainTextFormattedCitation" : "9", "previouslyFormattedCitation" : "&lt;sup&gt;9&lt;/sup&gt;" }, "properties" : { "noteIndex" : 0 }, "schema" : "https://github.com/citation-style-language/schema/raw/master/csl-citation.json" }</w:instrText>
      </w:r>
      <w:r w:rsidRPr="005A5A82">
        <w:rPr>
          <w:rFonts w:ascii="Arial" w:hAnsi="Arial" w:cs="Arial"/>
          <w:lang w:val="en-ZA"/>
        </w:rPr>
        <w:fldChar w:fldCharType="separate"/>
      </w:r>
      <w:r w:rsidRPr="005A5A82">
        <w:rPr>
          <w:rFonts w:ascii="Arial" w:hAnsi="Arial" w:cs="Arial"/>
          <w:noProof/>
          <w:vertAlign w:val="superscript"/>
          <w:lang w:val="en-ZA"/>
        </w:rPr>
        <w:t>9</w:t>
      </w:r>
      <w:r w:rsidRPr="005A5A82">
        <w:rPr>
          <w:rFonts w:ascii="Arial" w:hAnsi="Arial" w:cs="Arial"/>
          <w:lang w:val="en-ZA"/>
        </w:rPr>
        <w:fldChar w:fldCharType="end"/>
      </w:r>
      <w:r w:rsidRPr="005A5A82">
        <w:rPr>
          <w:rFonts w:ascii="Arial" w:hAnsi="Arial" w:cs="Arial"/>
          <w:lang w:val="en-ZA"/>
        </w:rPr>
        <w:t xml:space="preserve">. </w:t>
      </w:r>
      <w:r w:rsidR="002D4DCF" w:rsidRPr="005A5A82">
        <w:rPr>
          <w:rFonts w:ascii="Arial" w:hAnsi="Arial" w:cs="Arial"/>
          <w:lang w:val="en-ZA"/>
        </w:rPr>
        <w:t>In view of this, the objective of this study was to ascertain t</w:t>
      </w:r>
      <w:r w:rsidR="002D4DCF" w:rsidRPr="005A5A82">
        <w:rPr>
          <w:rFonts w:ascii="Arial" w:hAnsi="Arial" w:cs="Arial"/>
        </w:rPr>
        <w:t>he predictors of treatment success rates under DOT</w:t>
      </w:r>
      <w:r w:rsidR="002D4DCF" w:rsidRPr="005A5A82">
        <w:rPr>
          <w:rFonts w:ascii="Arial" w:hAnsi="Arial" w:cs="Arial"/>
          <w:color w:val="000000" w:themeColor="text1"/>
        </w:rPr>
        <w:t>S</w:t>
      </w:r>
      <w:r w:rsidR="002D4DCF" w:rsidRPr="005A5A82">
        <w:rPr>
          <w:rFonts w:ascii="Arial" w:hAnsi="Arial" w:cs="Arial"/>
        </w:rPr>
        <w:t xml:space="preserve"> in Namibia to provide future direction</w:t>
      </w:r>
    </w:p>
    <w:p w14:paraId="39BDD2B8" w14:textId="77777777" w:rsidR="004B54C3" w:rsidRPr="005A5A82" w:rsidRDefault="004B54C3" w:rsidP="005A5A82">
      <w:pPr>
        <w:pStyle w:val="NoSpacing"/>
        <w:spacing w:line="360" w:lineRule="auto"/>
        <w:rPr>
          <w:rFonts w:ascii="Arial" w:hAnsi="Arial" w:cs="Arial"/>
          <w:lang w:val="en-ZA"/>
        </w:rPr>
      </w:pPr>
    </w:p>
    <w:p w14:paraId="5E7E8167" w14:textId="6B34BEC3" w:rsidR="00CB62E5" w:rsidRPr="005A5A82" w:rsidRDefault="002D4DCF" w:rsidP="005A5A82">
      <w:pPr>
        <w:pStyle w:val="NoSpacing"/>
        <w:spacing w:line="360" w:lineRule="auto"/>
        <w:rPr>
          <w:rFonts w:ascii="Arial" w:hAnsi="Arial" w:cs="Arial"/>
          <w:b/>
          <w:lang w:val="en-ZA"/>
        </w:rPr>
      </w:pPr>
      <w:r w:rsidRPr="005A5A82">
        <w:rPr>
          <w:rFonts w:ascii="Arial" w:hAnsi="Arial" w:cs="Arial"/>
          <w:b/>
          <w:lang w:val="en-ZA"/>
        </w:rPr>
        <w:t xml:space="preserve">2. </w:t>
      </w:r>
      <w:r w:rsidR="00CB62E5" w:rsidRPr="005A5A82">
        <w:rPr>
          <w:rFonts w:ascii="Arial" w:hAnsi="Arial" w:cs="Arial"/>
          <w:b/>
          <w:lang w:val="en-ZA"/>
        </w:rPr>
        <w:t>M</w:t>
      </w:r>
      <w:r w:rsidR="004B54C3" w:rsidRPr="005A5A82">
        <w:rPr>
          <w:rFonts w:ascii="Arial" w:hAnsi="Arial" w:cs="Arial"/>
          <w:b/>
          <w:lang w:val="en-ZA"/>
        </w:rPr>
        <w:t>ethods</w:t>
      </w:r>
    </w:p>
    <w:p w14:paraId="7E0E14C6" w14:textId="5441F2DF" w:rsidR="00CB62E5" w:rsidRPr="005A5A82" w:rsidRDefault="002D4DCF" w:rsidP="005A5A82">
      <w:pPr>
        <w:pStyle w:val="NoSpacing"/>
        <w:spacing w:line="360" w:lineRule="auto"/>
        <w:rPr>
          <w:rFonts w:ascii="Arial" w:hAnsi="Arial" w:cs="Arial"/>
          <w:b/>
          <w:i/>
        </w:rPr>
      </w:pPr>
      <w:r w:rsidRPr="005A5A82">
        <w:rPr>
          <w:rFonts w:ascii="Arial" w:hAnsi="Arial" w:cs="Arial"/>
          <w:b/>
          <w:i/>
        </w:rPr>
        <w:t xml:space="preserve">2.1 </w:t>
      </w:r>
      <w:r w:rsidR="00CB62E5" w:rsidRPr="005A5A82">
        <w:rPr>
          <w:rFonts w:ascii="Arial" w:hAnsi="Arial" w:cs="Arial"/>
          <w:b/>
          <w:i/>
        </w:rPr>
        <w:t>Study design and population</w:t>
      </w:r>
    </w:p>
    <w:p w14:paraId="25819A6A" w14:textId="77777777" w:rsidR="002D4DCF" w:rsidRPr="005A5A82" w:rsidRDefault="002D4DCF" w:rsidP="005A5A82">
      <w:pPr>
        <w:pStyle w:val="NoSpacing"/>
        <w:spacing w:line="360" w:lineRule="auto"/>
        <w:rPr>
          <w:rFonts w:ascii="Arial" w:hAnsi="Arial" w:cs="Arial"/>
          <w:i/>
        </w:rPr>
      </w:pPr>
    </w:p>
    <w:p w14:paraId="3FC6BF6D" w14:textId="77777777" w:rsidR="002D4DCF" w:rsidRPr="005A5A82" w:rsidRDefault="00CB62E5" w:rsidP="005A5A82">
      <w:pPr>
        <w:pStyle w:val="NoSpacing"/>
        <w:spacing w:line="360" w:lineRule="auto"/>
        <w:rPr>
          <w:rFonts w:ascii="Arial" w:hAnsi="Arial" w:cs="Arial"/>
        </w:rPr>
      </w:pPr>
      <w:r w:rsidRPr="005A5A82">
        <w:rPr>
          <w:rFonts w:ascii="Arial" w:hAnsi="Arial" w:cs="Arial"/>
        </w:rPr>
        <w:t xml:space="preserve">A retrospective comparative analysis was carried out to determine the predictors of DOT treatment success and cure/treatment completion rates among cohorts of TB cases initiated on first-line regimens. The study subjects were all new and retreatment cases registered in the national electronic TB register (ETR) of Namibia between the third quarter of 2004/Q3 and first quarter of 2016/Q1. </w:t>
      </w:r>
    </w:p>
    <w:p w14:paraId="19BD98FB" w14:textId="77777777" w:rsidR="002D4DCF" w:rsidRPr="005A5A82" w:rsidRDefault="002D4DCF" w:rsidP="005A5A82">
      <w:pPr>
        <w:pStyle w:val="NoSpacing"/>
        <w:spacing w:line="360" w:lineRule="auto"/>
        <w:rPr>
          <w:rFonts w:ascii="Arial" w:hAnsi="Arial" w:cs="Arial"/>
        </w:rPr>
      </w:pPr>
    </w:p>
    <w:p w14:paraId="6FF7A83C" w14:textId="5986A436" w:rsidR="002D4DCF" w:rsidRPr="005A5A82" w:rsidRDefault="00CB62E5" w:rsidP="005A5A82">
      <w:pPr>
        <w:pStyle w:val="NoSpacing"/>
        <w:spacing w:line="360" w:lineRule="auto"/>
        <w:rPr>
          <w:rFonts w:ascii="Arial" w:hAnsi="Arial" w:cs="Arial"/>
        </w:rPr>
      </w:pPr>
      <w:r w:rsidRPr="005A5A82">
        <w:rPr>
          <w:rFonts w:ascii="Arial" w:hAnsi="Arial" w:cs="Arial"/>
        </w:rPr>
        <w:t>In Namibia, high quality DOTS services that include DOT are accessible at all public health facilities</w:t>
      </w:r>
      <w:r w:rsidR="008C6AC2" w:rsidRPr="005A5A82">
        <w:rPr>
          <w:rFonts w:ascii="Arial" w:hAnsi="Arial" w:cs="Arial"/>
        </w:rPr>
        <w:t xml:space="preserve">, </w:t>
      </w:r>
      <w:r w:rsidRPr="005A5A82">
        <w:rPr>
          <w:rFonts w:ascii="Arial" w:hAnsi="Arial" w:cs="Arial"/>
        </w:rPr>
        <w:t>i.e</w:t>
      </w:r>
      <w:r w:rsidR="002D4DCF" w:rsidRPr="005A5A82">
        <w:rPr>
          <w:rFonts w:ascii="Arial" w:hAnsi="Arial" w:cs="Arial"/>
        </w:rPr>
        <w:t>.</w:t>
      </w:r>
      <w:r w:rsidRPr="005A5A82">
        <w:rPr>
          <w:rFonts w:ascii="Arial" w:hAnsi="Arial" w:cs="Arial"/>
        </w:rPr>
        <w:t xml:space="preserve"> </w:t>
      </w:r>
      <w:proofErr w:type="gramStart"/>
      <w:r w:rsidRPr="005A5A82">
        <w:rPr>
          <w:rFonts w:ascii="Arial" w:hAnsi="Arial" w:cs="Arial"/>
        </w:rPr>
        <w:t>facility based</w:t>
      </w:r>
      <w:proofErr w:type="gramEnd"/>
      <w:r w:rsidR="008C6AC2" w:rsidRPr="005A5A82">
        <w:rPr>
          <w:rFonts w:ascii="Arial" w:hAnsi="Arial" w:cs="Arial"/>
        </w:rPr>
        <w:t xml:space="preserve"> DOT (</w:t>
      </w:r>
      <w:r w:rsidRPr="005A5A82">
        <w:rPr>
          <w:rFonts w:ascii="Arial" w:hAnsi="Arial" w:cs="Arial"/>
        </w:rPr>
        <w:t>FB-DOTS) or in all communities</w:t>
      </w:r>
      <w:r w:rsidR="008C6AC2" w:rsidRPr="005A5A82">
        <w:rPr>
          <w:rFonts w:ascii="Arial" w:hAnsi="Arial" w:cs="Arial"/>
        </w:rPr>
        <w:t xml:space="preserve">, </w:t>
      </w:r>
      <w:r w:rsidRPr="005A5A82">
        <w:rPr>
          <w:rFonts w:ascii="Arial" w:hAnsi="Arial" w:cs="Arial"/>
        </w:rPr>
        <w:t>i.e</w:t>
      </w:r>
      <w:r w:rsidR="002D4DCF" w:rsidRPr="005A5A82">
        <w:rPr>
          <w:rFonts w:ascii="Arial" w:hAnsi="Arial" w:cs="Arial"/>
        </w:rPr>
        <w:t>.</w:t>
      </w:r>
      <w:r w:rsidRPr="005A5A82">
        <w:rPr>
          <w:rFonts w:ascii="Arial" w:hAnsi="Arial" w:cs="Arial"/>
        </w:rPr>
        <w:t xml:space="preserve"> community based</w:t>
      </w:r>
      <w:r w:rsidR="008C6AC2" w:rsidRPr="005A5A82">
        <w:rPr>
          <w:rFonts w:ascii="Arial" w:hAnsi="Arial" w:cs="Arial"/>
        </w:rPr>
        <w:t xml:space="preserve"> DOT (</w:t>
      </w:r>
      <w:r w:rsidRPr="005A5A82">
        <w:rPr>
          <w:rFonts w:ascii="Arial" w:hAnsi="Arial" w:cs="Arial"/>
        </w:rPr>
        <w:t>CB-DOTS) in all the14 geographical regions of Namibia. The FB-DOTS services can be accessed across all levels of care</w:t>
      </w:r>
      <w:r w:rsidR="002D4DCF" w:rsidRPr="005A5A82">
        <w:rPr>
          <w:rFonts w:ascii="Arial" w:hAnsi="Arial" w:cs="Arial"/>
        </w:rPr>
        <w:t xml:space="preserve">. These include </w:t>
      </w:r>
      <w:r w:rsidRPr="005A5A82">
        <w:rPr>
          <w:rFonts w:ascii="Arial" w:hAnsi="Arial" w:cs="Arial"/>
        </w:rPr>
        <w:t xml:space="preserve">primary health care (health centers and clinics) as well as at district, regional and referral hospitals. On the other hand, CB-DOTS services are provided by </w:t>
      </w:r>
      <w:r w:rsidR="0052413E" w:rsidRPr="005A5A82">
        <w:rPr>
          <w:rFonts w:ascii="Arial" w:hAnsi="Arial" w:cs="Arial"/>
        </w:rPr>
        <w:t>CB-</w:t>
      </w:r>
      <w:r w:rsidRPr="005A5A82">
        <w:rPr>
          <w:rFonts w:ascii="Arial" w:hAnsi="Arial" w:cs="Arial"/>
        </w:rPr>
        <w:t>DOTS workers that include DOT supervisor</w:t>
      </w:r>
      <w:r w:rsidR="002D4DCF" w:rsidRPr="005A5A82">
        <w:rPr>
          <w:rFonts w:ascii="Arial" w:hAnsi="Arial" w:cs="Arial"/>
        </w:rPr>
        <w:t>s</w:t>
      </w:r>
      <w:r w:rsidRPr="005A5A82">
        <w:rPr>
          <w:rFonts w:ascii="Arial" w:hAnsi="Arial" w:cs="Arial"/>
        </w:rPr>
        <w:t>, DOT Nurse</w:t>
      </w:r>
      <w:r w:rsidR="002D4DCF" w:rsidRPr="005A5A82">
        <w:rPr>
          <w:rFonts w:ascii="Arial" w:hAnsi="Arial" w:cs="Arial"/>
        </w:rPr>
        <w:t>s</w:t>
      </w:r>
      <w:r w:rsidRPr="005A5A82">
        <w:rPr>
          <w:rFonts w:ascii="Arial" w:hAnsi="Arial" w:cs="Arial"/>
        </w:rPr>
        <w:t xml:space="preserve"> and </w:t>
      </w:r>
      <w:r w:rsidRPr="005A5A82">
        <w:rPr>
          <w:rFonts w:ascii="Arial" w:hAnsi="Arial" w:cs="Arial"/>
        </w:rPr>
        <w:lastRenderedPageBreak/>
        <w:t>DOT supporters who directly observe TB treatment</w:t>
      </w:r>
      <w:r w:rsidR="002D4DCF" w:rsidRPr="005A5A82">
        <w:rPr>
          <w:rFonts w:ascii="Arial" w:hAnsi="Arial" w:cs="Arial"/>
        </w:rPr>
        <w:t xml:space="preserve">. They </w:t>
      </w:r>
      <w:r w:rsidR="0052413E" w:rsidRPr="005A5A82">
        <w:rPr>
          <w:rFonts w:ascii="Arial" w:hAnsi="Arial" w:cs="Arial"/>
        </w:rPr>
        <w:t xml:space="preserve">also </w:t>
      </w:r>
      <w:r w:rsidRPr="005A5A82">
        <w:rPr>
          <w:rFonts w:ascii="Arial" w:hAnsi="Arial" w:cs="Arial"/>
        </w:rPr>
        <w:t>include health facility nurse</w:t>
      </w:r>
      <w:r w:rsidR="002D4DCF" w:rsidRPr="005A5A82">
        <w:rPr>
          <w:rFonts w:ascii="Arial" w:hAnsi="Arial" w:cs="Arial"/>
        </w:rPr>
        <w:t>s</w:t>
      </w:r>
      <w:r w:rsidRPr="005A5A82">
        <w:rPr>
          <w:rFonts w:ascii="Arial" w:hAnsi="Arial" w:cs="Arial"/>
        </w:rPr>
        <w:t xml:space="preserve">, work-place peers, and </w:t>
      </w:r>
      <w:proofErr w:type="gramStart"/>
      <w:r w:rsidRPr="005A5A82">
        <w:rPr>
          <w:rFonts w:ascii="Arial" w:hAnsi="Arial" w:cs="Arial"/>
        </w:rPr>
        <w:t>community based</w:t>
      </w:r>
      <w:proofErr w:type="gramEnd"/>
      <w:r w:rsidRPr="005A5A82">
        <w:rPr>
          <w:rFonts w:ascii="Arial" w:hAnsi="Arial" w:cs="Arial"/>
        </w:rPr>
        <w:t xml:space="preserve"> workers</w:t>
      </w:r>
      <w:r w:rsidR="002D4DCF" w:rsidRPr="005A5A82">
        <w:rPr>
          <w:rFonts w:ascii="Arial" w:hAnsi="Arial" w:cs="Arial"/>
        </w:rPr>
        <w:t xml:space="preserve"> as well as </w:t>
      </w:r>
      <w:r w:rsidRPr="005A5A82">
        <w:rPr>
          <w:rFonts w:ascii="Arial" w:hAnsi="Arial" w:cs="Arial"/>
        </w:rPr>
        <w:t>guardians (family/neighbor/relative) and any other</w:t>
      </w:r>
      <w:r w:rsidR="002D4DCF" w:rsidRPr="005A5A82">
        <w:rPr>
          <w:rFonts w:ascii="Arial" w:hAnsi="Arial" w:cs="Arial"/>
        </w:rPr>
        <w:t xml:space="preserve">s </w:t>
      </w:r>
      <w:r w:rsidRPr="005A5A82">
        <w:rPr>
          <w:rFonts w:ascii="Arial" w:hAnsi="Arial" w:cs="Arial"/>
        </w:rPr>
        <w:t xml:space="preserve">preferred by the patient. </w:t>
      </w:r>
    </w:p>
    <w:p w14:paraId="4B05C4AE" w14:textId="77777777" w:rsidR="002D4DCF" w:rsidRPr="005A5A82" w:rsidRDefault="002D4DCF" w:rsidP="005A5A82">
      <w:pPr>
        <w:pStyle w:val="NoSpacing"/>
        <w:spacing w:line="360" w:lineRule="auto"/>
        <w:rPr>
          <w:rFonts w:ascii="Arial" w:hAnsi="Arial" w:cs="Arial"/>
        </w:rPr>
      </w:pPr>
    </w:p>
    <w:p w14:paraId="16D29236" w14:textId="0AFDF0A6" w:rsidR="00CB62E5" w:rsidRPr="005A5A82" w:rsidRDefault="00CB62E5" w:rsidP="005A5A82">
      <w:pPr>
        <w:pStyle w:val="NoSpacing"/>
        <w:spacing w:line="360" w:lineRule="auto"/>
        <w:rPr>
          <w:rFonts w:ascii="Arial" w:hAnsi="Arial" w:cs="Arial"/>
        </w:rPr>
      </w:pPr>
      <w:r w:rsidRPr="005A5A82">
        <w:rPr>
          <w:rFonts w:ascii="Arial" w:hAnsi="Arial" w:cs="Arial"/>
        </w:rPr>
        <w:t xml:space="preserve">DOT regimens are initiated at a health facility and supported either by community and/or </w:t>
      </w:r>
      <w:proofErr w:type="gramStart"/>
      <w:r w:rsidRPr="005A5A82">
        <w:rPr>
          <w:rFonts w:ascii="Arial" w:hAnsi="Arial" w:cs="Arial"/>
        </w:rPr>
        <w:t>facility based</w:t>
      </w:r>
      <w:proofErr w:type="gramEnd"/>
      <w:r w:rsidRPr="005A5A82">
        <w:rPr>
          <w:rFonts w:ascii="Arial" w:hAnsi="Arial" w:cs="Arial"/>
        </w:rPr>
        <w:t xml:space="preserve"> providers. Data on patient and clinical covariates and treatment outcomes for each patient is recorded on TB treatment cards. The data on treatment outcomes is subsequently aggregated into health facility, district and regional TB registers/ETR and reported every quarter. The National Tuberculosis and Leprosy Programme (NTLP) compiles the annual TB treatment outcomes from the regional quarterly reports.   </w:t>
      </w:r>
    </w:p>
    <w:p w14:paraId="445FA374" w14:textId="77777777" w:rsidR="00123D71" w:rsidRPr="005A5A82" w:rsidRDefault="00123D71" w:rsidP="005A5A82">
      <w:pPr>
        <w:pStyle w:val="NoSpacing"/>
        <w:spacing w:line="360" w:lineRule="auto"/>
        <w:rPr>
          <w:rFonts w:ascii="Arial" w:hAnsi="Arial" w:cs="Arial"/>
        </w:rPr>
      </w:pPr>
    </w:p>
    <w:p w14:paraId="273FD818" w14:textId="7F132BC3" w:rsidR="00CB62E5" w:rsidRPr="005A5A82" w:rsidRDefault="00123D71" w:rsidP="005A5A82">
      <w:pPr>
        <w:pStyle w:val="NoSpacing"/>
        <w:spacing w:line="360" w:lineRule="auto"/>
        <w:rPr>
          <w:rFonts w:ascii="Arial" w:hAnsi="Arial" w:cs="Arial"/>
          <w:b/>
        </w:rPr>
      </w:pPr>
      <w:r w:rsidRPr="005A5A82">
        <w:rPr>
          <w:rFonts w:ascii="Arial" w:hAnsi="Arial" w:cs="Arial"/>
          <w:b/>
        </w:rPr>
        <w:t>2.</w:t>
      </w:r>
      <w:r w:rsidR="00607601" w:rsidRPr="005A5A82">
        <w:rPr>
          <w:rFonts w:ascii="Arial" w:hAnsi="Arial" w:cs="Arial"/>
          <w:b/>
        </w:rPr>
        <w:t>2</w:t>
      </w:r>
      <w:r w:rsidRPr="005A5A82">
        <w:rPr>
          <w:rFonts w:ascii="Arial" w:hAnsi="Arial" w:cs="Arial"/>
          <w:b/>
        </w:rPr>
        <w:t xml:space="preserve"> Tuberculosis DOTS program in Namibia</w:t>
      </w:r>
    </w:p>
    <w:p w14:paraId="7FAD98D1" w14:textId="79F8E55B" w:rsidR="00123D71" w:rsidRPr="005A5A82" w:rsidRDefault="00B305E5" w:rsidP="005A5A82">
      <w:pPr>
        <w:pStyle w:val="Default"/>
        <w:spacing w:line="360" w:lineRule="auto"/>
        <w:rPr>
          <w:rFonts w:ascii="Arial" w:hAnsi="Arial" w:cs="Arial"/>
          <w:color w:val="auto"/>
          <w:sz w:val="22"/>
          <w:szCs w:val="22"/>
          <w:lang w:val="en-ZA"/>
        </w:rPr>
      </w:pPr>
      <w:r w:rsidRPr="005A5A82">
        <w:rPr>
          <w:rFonts w:ascii="Arial" w:hAnsi="Arial" w:cs="Arial"/>
          <w:color w:val="auto"/>
          <w:sz w:val="22"/>
          <w:szCs w:val="22"/>
        </w:rPr>
        <w:t xml:space="preserve">In Namibia, </w:t>
      </w:r>
      <w:r w:rsidR="00F521E5" w:rsidRPr="005A5A82">
        <w:rPr>
          <w:rFonts w:ascii="Arial" w:hAnsi="Arial" w:cs="Arial"/>
          <w:color w:val="auto"/>
          <w:sz w:val="22"/>
          <w:szCs w:val="22"/>
        </w:rPr>
        <w:t>TB</w:t>
      </w:r>
      <w:r w:rsidRPr="005A5A82">
        <w:rPr>
          <w:rFonts w:ascii="Arial" w:hAnsi="Arial" w:cs="Arial"/>
          <w:color w:val="auto"/>
          <w:sz w:val="22"/>
          <w:szCs w:val="22"/>
        </w:rPr>
        <w:t xml:space="preserve"> is managed using the W</w:t>
      </w:r>
      <w:r w:rsidR="00F521E5" w:rsidRPr="005A5A82">
        <w:rPr>
          <w:rFonts w:ascii="Arial" w:hAnsi="Arial" w:cs="Arial"/>
          <w:color w:val="auto"/>
          <w:sz w:val="22"/>
          <w:szCs w:val="22"/>
        </w:rPr>
        <w:t>HO</w:t>
      </w:r>
      <w:r w:rsidRPr="005A5A82">
        <w:rPr>
          <w:rFonts w:ascii="Arial" w:hAnsi="Arial" w:cs="Arial"/>
          <w:color w:val="auto"/>
          <w:sz w:val="22"/>
          <w:szCs w:val="22"/>
        </w:rPr>
        <w:t xml:space="preserve"> DOTS at health facilities (FB-DOTS) and </w:t>
      </w:r>
      <w:r w:rsidR="00F521E5" w:rsidRPr="005A5A82">
        <w:rPr>
          <w:rFonts w:ascii="Arial" w:hAnsi="Arial" w:cs="Arial"/>
          <w:color w:val="auto"/>
          <w:sz w:val="22"/>
          <w:szCs w:val="22"/>
        </w:rPr>
        <w:t xml:space="preserve">at the </w:t>
      </w:r>
      <w:r w:rsidRPr="005A5A82">
        <w:rPr>
          <w:rFonts w:ascii="Arial" w:hAnsi="Arial" w:cs="Arial"/>
          <w:color w:val="auto"/>
          <w:sz w:val="22"/>
          <w:szCs w:val="22"/>
        </w:rPr>
        <w:t>community level (CB-DOTS)</w:t>
      </w:r>
      <w:r w:rsidR="00123D71" w:rsidRPr="005A5A82">
        <w:rPr>
          <w:rFonts w:ascii="Arial" w:hAnsi="Arial" w:cs="Arial"/>
          <w:color w:val="auto"/>
          <w:sz w:val="22"/>
          <w:szCs w:val="22"/>
        </w:rPr>
        <w:t xml:space="preserve"> </w:t>
      </w:r>
      <w:r w:rsidRPr="005A5A82">
        <w:rPr>
          <w:rFonts w:ascii="Arial" w:hAnsi="Arial" w:cs="Arial"/>
          <w:color w:val="auto"/>
          <w:sz w:val="22"/>
          <w:szCs w:val="22"/>
        </w:rPr>
        <w:t xml:space="preserve">implemented by NTLP. </w:t>
      </w:r>
      <w:r w:rsidR="00123D71" w:rsidRPr="005A5A82">
        <w:rPr>
          <w:rFonts w:ascii="Arial" w:hAnsi="Arial" w:cs="Arial"/>
          <w:color w:val="auto"/>
          <w:sz w:val="22"/>
          <w:szCs w:val="22"/>
        </w:rPr>
        <w:t xml:space="preserve">Namibia achieved a country-wide DOTS coverage at all public health </w:t>
      </w:r>
      <w:r w:rsidRPr="005A5A82">
        <w:rPr>
          <w:rFonts w:ascii="Arial" w:hAnsi="Arial" w:cs="Arial"/>
          <w:color w:val="auto"/>
          <w:sz w:val="22"/>
          <w:szCs w:val="22"/>
        </w:rPr>
        <w:t>facilities</w:t>
      </w:r>
      <w:r w:rsidR="00F521E5" w:rsidRPr="005A5A82">
        <w:rPr>
          <w:rFonts w:ascii="Arial" w:hAnsi="Arial" w:cs="Arial"/>
          <w:color w:val="auto"/>
          <w:sz w:val="22"/>
          <w:szCs w:val="22"/>
        </w:rPr>
        <w:t>,</w:t>
      </w:r>
      <w:r w:rsidRPr="005A5A82">
        <w:rPr>
          <w:rFonts w:ascii="Arial" w:hAnsi="Arial" w:cs="Arial"/>
          <w:color w:val="auto"/>
          <w:sz w:val="22"/>
          <w:szCs w:val="22"/>
        </w:rPr>
        <w:t xml:space="preserve"> that</w:t>
      </w:r>
      <w:r w:rsidR="00123D71" w:rsidRPr="005A5A82">
        <w:rPr>
          <w:rFonts w:ascii="Arial" w:hAnsi="Arial" w:cs="Arial"/>
          <w:color w:val="auto"/>
          <w:sz w:val="22"/>
          <w:szCs w:val="22"/>
        </w:rPr>
        <w:t xml:space="preserve"> is 42 hospitals, 34 health centers and 244 clinics</w:t>
      </w:r>
      <w:r w:rsidR="00F521E5" w:rsidRPr="005A5A82">
        <w:rPr>
          <w:rFonts w:ascii="Arial" w:hAnsi="Arial" w:cs="Arial"/>
          <w:color w:val="auto"/>
          <w:sz w:val="22"/>
          <w:szCs w:val="22"/>
        </w:rPr>
        <w:t>,</w:t>
      </w:r>
      <w:r w:rsidR="00123D71" w:rsidRPr="005A5A82">
        <w:rPr>
          <w:rFonts w:ascii="Arial" w:hAnsi="Arial" w:cs="Arial"/>
          <w:color w:val="auto"/>
          <w:sz w:val="22"/>
          <w:szCs w:val="22"/>
        </w:rPr>
        <w:t xml:space="preserve"> by 1996. Nonetheless, in 2004 </w:t>
      </w:r>
      <w:r w:rsidRPr="005A5A82">
        <w:rPr>
          <w:rFonts w:ascii="Arial" w:hAnsi="Arial" w:cs="Arial"/>
          <w:color w:val="auto"/>
          <w:sz w:val="22"/>
          <w:szCs w:val="22"/>
        </w:rPr>
        <w:t xml:space="preserve">the country </w:t>
      </w:r>
      <w:r w:rsidR="00123D71" w:rsidRPr="005A5A82">
        <w:rPr>
          <w:rFonts w:ascii="Arial" w:hAnsi="Arial" w:cs="Arial"/>
          <w:color w:val="auto"/>
          <w:sz w:val="22"/>
          <w:szCs w:val="22"/>
        </w:rPr>
        <w:t xml:space="preserve">reported </w:t>
      </w:r>
      <w:r w:rsidR="007E7BE2" w:rsidRPr="005A5A82">
        <w:rPr>
          <w:rFonts w:ascii="Arial" w:hAnsi="Arial" w:cs="Arial"/>
          <w:color w:val="auto"/>
          <w:sz w:val="22"/>
          <w:szCs w:val="22"/>
        </w:rPr>
        <w:t xml:space="preserve">the </w:t>
      </w:r>
      <w:r w:rsidRPr="005A5A82">
        <w:rPr>
          <w:rFonts w:ascii="Arial" w:hAnsi="Arial" w:cs="Arial"/>
          <w:color w:val="auto"/>
          <w:sz w:val="22"/>
          <w:szCs w:val="22"/>
        </w:rPr>
        <w:t xml:space="preserve">highest </w:t>
      </w:r>
      <w:r w:rsidR="007E7BE2" w:rsidRPr="005A5A82">
        <w:rPr>
          <w:rFonts w:ascii="Arial" w:hAnsi="Arial" w:cs="Arial"/>
          <w:color w:val="auto"/>
          <w:sz w:val="22"/>
          <w:szCs w:val="22"/>
        </w:rPr>
        <w:t xml:space="preserve">case notification rate, </w:t>
      </w:r>
      <w:r w:rsidRPr="005A5A82">
        <w:rPr>
          <w:rFonts w:ascii="Arial" w:hAnsi="Arial" w:cs="Arial"/>
          <w:color w:val="auto"/>
          <w:sz w:val="22"/>
          <w:szCs w:val="22"/>
        </w:rPr>
        <w:t xml:space="preserve">lowest TSR </w:t>
      </w:r>
      <w:r w:rsidR="007E7BE2" w:rsidRPr="005A5A82">
        <w:rPr>
          <w:rFonts w:ascii="Arial" w:hAnsi="Arial" w:cs="Arial"/>
          <w:color w:val="auto"/>
          <w:sz w:val="22"/>
          <w:szCs w:val="22"/>
        </w:rPr>
        <w:t xml:space="preserve">for tuberculosis </w:t>
      </w:r>
      <w:r w:rsidRPr="005A5A82">
        <w:rPr>
          <w:rFonts w:ascii="Arial" w:hAnsi="Arial" w:cs="Arial"/>
          <w:color w:val="auto"/>
          <w:sz w:val="22"/>
          <w:szCs w:val="22"/>
        </w:rPr>
        <w:t xml:space="preserve">as well as </w:t>
      </w:r>
      <w:r w:rsidR="00151892">
        <w:rPr>
          <w:rFonts w:ascii="Arial" w:hAnsi="Arial" w:cs="Arial"/>
          <w:color w:val="auto"/>
          <w:sz w:val="22"/>
          <w:szCs w:val="22"/>
        </w:rPr>
        <w:t xml:space="preserve">the </w:t>
      </w:r>
      <w:r w:rsidR="00123D71" w:rsidRPr="005A5A82">
        <w:rPr>
          <w:rFonts w:ascii="Arial" w:hAnsi="Arial" w:cs="Arial"/>
          <w:color w:val="auto"/>
          <w:sz w:val="22"/>
          <w:szCs w:val="22"/>
        </w:rPr>
        <w:t>emergenc</w:t>
      </w:r>
      <w:r w:rsidRPr="005A5A82">
        <w:rPr>
          <w:rFonts w:ascii="Arial" w:hAnsi="Arial" w:cs="Arial"/>
          <w:color w:val="auto"/>
          <w:sz w:val="22"/>
          <w:szCs w:val="22"/>
        </w:rPr>
        <w:t>e of drug resistant TB (DR-TB)</w:t>
      </w:r>
      <w:r w:rsidR="00123D71" w:rsidRPr="005A5A82">
        <w:rPr>
          <w:rFonts w:ascii="Arial" w:hAnsi="Arial" w:cs="Arial"/>
          <w:color w:val="auto"/>
          <w:sz w:val="22"/>
          <w:szCs w:val="22"/>
        </w:rPr>
        <w:t>.</w:t>
      </w:r>
      <w:r w:rsidR="004A6A02" w:rsidRPr="005A5A82">
        <w:rPr>
          <w:rFonts w:ascii="Arial" w:hAnsi="Arial" w:cs="Arial"/>
          <w:color w:val="auto"/>
          <w:sz w:val="22"/>
          <w:szCs w:val="22"/>
        </w:rPr>
        <w:t xml:space="preserve"> </w:t>
      </w:r>
      <w:r w:rsidR="00383D73" w:rsidRPr="005A5A82">
        <w:rPr>
          <w:rFonts w:ascii="Arial" w:hAnsi="Arial" w:cs="Arial"/>
          <w:color w:val="auto"/>
          <w:sz w:val="22"/>
          <w:szCs w:val="22"/>
        </w:rPr>
        <w:t>Consequently</w:t>
      </w:r>
      <w:r w:rsidR="004A6A02" w:rsidRPr="005A5A82">
        <w:rPr>
          <w:rFonts w:ascii="Arial" w:hAnsi="Arial" w:cs="Arial"/>
          <w:color w:val="auto"/>
          <w:sz w:val="22"/>
          <w:szCs w:val="22"/>
        </w:rPr>
        <w:t xml:space="preserve"> i</w:t>
      </w:r>
      <w:r w:rsidR="00151892">
        <w:rPr>
          <w:rFonts w:ascii="Arial" w:hAnsi="Arial" w:cs="Arial"/>
          <w:color w:val="auto"/>
          <w:sz w:val="22"/>
          <w:szCs w:val="22"/>
        </w:rPr>
        <w:t>n</w:t>
      </w:r>
      <w:r w:rsidR="004A6A02" w:rsidRPr="005A5A82">
        <w:rPr>
          <w:rFonts w:ascii="Arial" w:hAnsi="Arial" w:cs="Arial"/>
          <w:color w:val="auto"/>
          <w:sz w:val="22"/>
          <w:szCs w:val="22"/>
        </w:rPr>
        <w:t xml:space="preserve"> 2004, a </w:t>
      </w:r>
      <w:r w:rsidR="00123D71" w:rsidRPr="005A5A82">
        <w:rPr>
          <w:rFonts w:ascii="Arial" w:hAnsi="Arial" w:cs="Arial"/>
          <w:color w:val="auto"/>
          <w:sz w:val="22"/>
          <w:szCs w:val="22"/>
          <w:lang w:val="en-ZA"/>
        </w:rPr>
        <w:t>CB-DOTS strategy</w:t>
      </w:r>
      <w:r w:rsidR="00E60EB6" w:rsidRPr="005A5A82">
        <w:rPr>
          <w:rFonts w:ascii="Arial" w:hAnsi="Arial" w:cs="Arial"/>
          <w:color w:val="auto"/>
          <w:sz w:val="22"/>
          <w:szCs w:val="22"/>
          <w:lang w:val="en-ZA"/>
        </w:rPr>
        <w:t xml:space="preserve"> was </w:t>
      </w:r>
      <w:r w:rsidR="00123D71" w:rsidRPr="005A5A82">
        <w:rPr>
          <w:rFonts w:ascii="Arial" w:hAnsi="Arial" w:cs="Arial"/>
          <w:color w:val="auto"/>
          <w:sz w:val="22"/>
          <w:szCs w:val="22"/>
          <w:lang w:val="en-ZA"/>
        </w:rPr>
        <w:t xml:space="preserve">designed to </w:t>
      </w:r>
      <w:r w:rsidR="007E7BE2" w:rsidRPr="005A5A82">
        <w:rPr>
          <w:rFonts w:ascii="Arial" w:hAnsi="Arial" w:cs="Arial"/>
          <w:color w:val="auto"/>
          <w:sz w:val="22"/>
          <w:szCs w:val="22"/>
          <w:lang w:val="en-ZA"/>
        </w:rPr>
        <w:t xml:space="preserve">improve </w:t>
      </w:r>
      <w:r w:rsidR="00123D71" w:rsidRPr="005A5A82">
        <w:rPr>
          <w:rFonts w:ascii="Arial" w:hAnsi="Arial" w:cs="Arial"/>
          <w:color w:val="auto"/>
          <w:sz w:val="22"/>
          <w:szCs w:val="22"/>
          <w:lang w:val="en-ZA"/>
        </w:rPr>
        <w:t>TSR</w:t>
      </w:r>
      <w:r w:rsidR="007E7BE2" w:rsidRPr="005A5A82">
        <w:rPr>
          <w:rFonts w:ascii="Arial" w:hAnsi="Arial" w:cs="Arial"/>
          <w:color w:val="auto"/>
          <w:sz w:val="22"/>
          <w:szCs w:val="22"/>
          <w:lang w:val="en-ZA"/>
        </w:rPr>
        <w:t xml:space="preserve"> from </w:t>
      </w:r>
      <w:r w:rsidR="007E7BE2" w:rsidRPr="005A5A82">
        <w:rPr>
          <w:rFonts w:ascii="Arial" w:hAnsi="Arial" w:cs="Arial"/>
          <w:bCs/>
          <w:color w:val="auto"/>
          <w:sz w:val="22"/>
          <w:szCs w:val="22"/>
        </w:rPr>
        <w:t>65% to 85% by 2009 and to 90% by 2015</w:t>
      </w:r>
      <w:r w:rsidR="007E7BE2" w:rsidRPr="005A5A82">
        <w:rPr>
          <w:rFonts w:ascii="Arial" w:hAnsi="Arial" w:cs="Arial"/>
          <w:color w:val="auto"/>
          <w:sz w:val="22"/>
          <w:szCs w:val="22"/>
          <w:lang w:val="en-ZA"/>
        </w:rPr>
        <w:t xml:space="preserve">, among other TB indicators under </w:t>
      </w:r>
      <w:r w:rsidR="00E60EB6" w:rsidRPr="005A5A82">
        <w:rPr>
          <w:rFonts w:ascii="Arial" w:hAnsi="Arial" w:cs="Arial"/>
          <w:color w:val="auto"/>
          <w:sz w:val="22"/>
          <w:szCs w:val="22"/>
          <w:lang w:val="en-ZA"/>
        </w:rPr>
        <w:t xml:space="preserve">the </w:t>
      </w:r>
      <w:r w:rsidR="00123D71" w:rsidRPr="005A5A82">
        <w:rPr>
          <w:rFonts w:ascii="Arial" w:hAnsi="Arial" w:cs="Arial"/>
          <w:color w:val="auto"/>
          <w:sz w:val="22"/>
          <w:szCs w:val="22"/>
          <w:lang w:val="en-ZA"/>
        </w:rPr>
        <w:t xml:space="preserve">first and second medium term plans (MTP-I, </w:t>
      </w:r>
      <w:r w:rsidR="00123D71" w:rsidRPr="005A5A82">
        <w:rPr>
          <w:rFonts w:ascii="Arial" w:hAnsi="Arial" w:cs="Arial"/>
          <w:color w:val="auto"/>
          <w:sz w:val="22"/>
          <w:szCs w:val="22"/>
        </w:rPr>
        <w:t>2004-2009; MTP-II, 2010-2015</w:t>
      </w:r>
      <w:r w:rsidR="00123D71" w:rsidRPr="005A5A82">
        <w:rPr>
          <w:rFonts w:ascii="Arial" w:hAnsi="Arial" w:cs="Arial"/>
          <w:color w:val="auto"/>
          <w:sz w:val="22"/>
          <w:szCs w:val="22"/>
          <w:lang w:val="en-ZA"/>
        </w:rPr>
        <w:t>) for Tuberculosis and Leprosy</w:t>
      </w:r>
      <w:r w:rsidR="007E7BE2" w:rsidRPr="005A5A82">
        <w:rPr>
          <w:rFonts w:ascii="Arial" w:hAnsi="Arial" w:cs="Arial"/>
          <w:color w:val="auto"/>
          <w:sz w:val="22"/>
          <w:szCs w:val="22"/>
          <w:lang w:val="en-ZA"/>
        </w:rPr>
        <w:t xml:space="preserve">. </w:t>
      </w:r>
      <w:r w:rsidR="00123D71" w:rsidRPr="005A5A82">
        <w:rPr>
          <w:rFonts w:ascii="Arial" w:hAnsi="Arial" w:cs="Arial"/>
          <w:bCs/>
          <w:color w:val="auto"/>
          <w:sz w:val="22"/>
          <w:szCs w:val="22"/>
        </w:rPr>
        <w:t xml:space="preserve">CB-DOTS </w:t>
      </w:r>
      <w:r w:rsidR="00383D73" w:rsidRPr="005A5A82">
        <w:rPr>
          <w:rFonts w:ascii="Arial" w:hAnsi="Arial" w:cs="Arial"/>
          <w:bCs/>
          <w:color w:val="auto"/>
          <w:sz w:val="22"/>
          <w:szCs w:val="22"/>
        </w:rPr>
        <w:t xml:space="preserve">was </w:t>
      </w:r>
      <w:r w:rsidR="00123D71" w:rsidRPr="005A5A82">
        <w:rPr>
          <w:rFonts w:ascii="Arial" w:hAnsi="Arial" w:cs="Arial"/>
          <w:bCs/>
          <w:color w:val="auto"/>
          <w:sz w:val="22"/>
          <w:szCs w:val="22"/>
        </w:rPr>
        <w:t>implement</w:t>
      </w:r>
      <w:r w:rsidR="00F67F59" w:rsidRPr="005A5A82">
        <w:rPr>
          <w:rFonts w:ascii="Arial" w:hAnsi="Arial" w:cs="Arial"/>
          <w:bCs/>
          <w:color w:val="auto"/>
          <w:sz w:val="22"/>
          <w:szCs w:val="22"/>
        </w:rPr>
        <w:t xml:space="preserve">ed in all districts in partnership </w:t>
      </w:r>
      <w:r w:rsidR="00383D73" w:rsidRPr="005A5A82">
        <w:rPr>
          <w:rFonts w:ascii="Arial" w:hAnsi="Arial" w:cs="Arial"/>
          <w:bCs/>
          <w:color w:val="auto"/>
          <w:sz w:val="22"/>
          <w:szCs w:val="22"/>
        </w:rPr>
        <w:t>with</w:t>
      </w:r>
      <w:r w:rsidR="00F67F59" w:rsidRPr="005A5A82">
        <w:rPr>
          <w:rFonts w:ascii="Arial" w:hAnsi="Arial" w:cs="Arial"/>
          <w:bCs/>
          <w:color w:val="auto"/>
          <w:sz w:val="22"/>
          <w:szCs w:val="22"/>
        </w:rPr>
        <w:t xml:space="preserve"> NTLP</w:t>
      </w:r>
      <w:r w:rsidR="007B5BB9" w:rsidRPr="005A5A82">
        <w:rPr>
          <w:rFonts w:ascii="Arial" w:hAnsi="Arial" w:cs="Arial"/>
          <w:bCs/>
          <w:color w:val="auto"/>
          <w:sz w:val="22"/>
          <w:szCs w:val="22"/>
        </w:rPr>
        <w:t xml:space="preserve"> and</w:t>
      </w:r>
      <w:r w:rsidR="00F67F59" w:rsidRPr="005A5A82">
        <w:rPr>
          <w:rFonts w:ascii="Arial" w:hAnsi="Arial" w:cs="Arial"/>
          <w:bCs/>
          <w:color w:val="auto"/>
          <w:sz w:val="22"/>
          <w:szCs w:val="22"/>
        </w:rPr>
        <w:t xml:space="preserve"> </w:t>
      </w:r>
      <w:r w:rsidR="00123D71" w:rsidRPr="005A5A82">
        <w:rPr>
          <w:rFonts w:ascii="Arial" w:hAnsi="Arial" w:cs="Arial"/>
          <w:bCs/>
          <w:color w:val="auto"/>
          <w:sz w:val="22"/>
          <w:szCs w:val="22"/>
        </w:rPr>
        <w:t xml:space="preserve">community-based </w:t>
      </w:r>
      <w:r w:rsidR="00F67F59" w:rsidRPr="005A5A82">
        <w:rPr>
          <w:rFonts w:ascii="Arial" w:hAnsi="Arial" w:cs="Arial"/>
          <w:bCs/>
          <w:color w:val="auto"/>
          <w:sz w:val="22"/>
          <w:szCs w:val="22"/>
        </w:rPr>
        <w:t>HIV/TB organizations</w:t>
      </w:r>
      <w:r w:rsidR="00123D71" w:rsidRPr="005A5A82">
        <w:rPr>
          <w:rFonts w:ascii="Arial" w:hAnsi="Arial" w:cs="Arial"/>
          <w:bCs/>
          <w:color w:val="auto"/>
          <w:sz w:val="22"/>
          <w:szCs w:val="22"/>
        </w:rPr>
        <w:t xml:space="preserve"> (CBOs)</w:t>
      </w:r>
      <w:r w:rsidR="007B5BB9" w:rsidRPr="005A5A82">
        <w:rPr>
          <w:rFonts w:ascii="Arial" w:hAnsi="Arial" w:cs="Arial"/>
          <w:bCs/>
          <w:color w:val="auto"/>
          <w:sz w:val="22"/>
          <w:szCs w:val="22"/>
        </w:rPr>
        <w:t>,</w:t>
      </w:r>
      <w:r w:rsidR="00123D71" w:rsidRPr="005A5A82">
        <w:rPr>
          <w:rFonts w:ascii="Arial" w:hAnsi="Arial" w:cs="Arial"/>
          <w:bCs/>
          <w:color w:val="auto"/>
          <w:sz w:val="22"/>
          <w:szCs w:val="22"/>
        </w:rPr>
        <w:t xml:space="preserve"> pav</w:t>
      </w:r>
      <w:r w:rsidR="00383D73" w:rsidRPr="005A5A82">
        <w:rPr>
          <w:rFonts w:ascii="Arial" w:hAnsi="Arial" w:cs="Arial"/>
          <w:bCs/>
          <w:color w:val="auto"/>
          <w:sz w:val="22"/>
          <w:szCs w:val="22"/>
        </w:rPr>
        <w:t>ing the</w:t>
      </w:r>
      <w:r w:rsidR="00123D71" w:rsidRPr="005A5A82">
        <w:rPr>
          <w:rFonts w:ascii="Arial" w:hAnsi="Arial" w:cs="Arial"/>
          <w:bCs/>
          <w:color w:val="auto"/>
          <w:sz w:val="22"/>
          <w:szCs w:val="22"/>
        </w:rPr>
        <w:t xml:space="preserve"> way for </w:t>
      </w:r>
      <w:r w:rsidR="00F67F59" w:rsidRPr="005A5A82">
        <w:rPr>
          <w:rFonts w:ascii="Arial" w:hAnsi="Arial" w:cs="Arial"/>
          <w:bCs/>
          <w:color w:val="auto"/>
          <w:sz w:val="22"/>
          <w:szCs w:val="22"/>
        </w:rPr>
        <w:t>standardized regimens</w:t>
      </w:r>
      <w:r w:rsidR="007B5BB9" w:rsidRPr="005A5A82">
        <w:rPr>
          <w:rFonts w:ascii="Arial" w:hAnsi="Arial" w:cs="Arial"/>
          <w:bCs/>
          <w:color w:val="auto"/>
          <w:sz w:val="22"/>
          <w:szCs w:val="22"/>
        </w:rPr>
        <w:t>, which were</w:t>
      </w:r>
      <w:r w:rsidR="00383D73" w:rsidRPr="005A5A82">
        <w:rPr>
          <w:rFonts w:ascii="Arial" w:hAnsi="Arial" w:cs="Arial"/>
          <w:bCs/>
          <w:color w:val="auto"/>
          <w:sz w:val="22"/>
          <w:szCs w:val="22"/>
        </w:rPr>
        <w:t xml:space="preserve"> </w:t>
      </w:r>
      <w:r w:rsidR="00123D71" w:rsidRPr="005A5A82">
        <w:rPr>
          <w:rFonts w:ascii="Arial" w:hAnsi="Arial" w:cs="Arial"/>
          <w:color w:val="auto"/>
          <w:sz w:val="22"/>
          <w:szCs w:val="22"/>
        </w:rPr>
        <w:t>Fixed-Dose Combination (FDC) drugs for first-line tuberculosis treatment</w:t>
      </w:r>
      <w:r w:rsidR="007B5BB9" w:rsidRPr="005A5A82">
        <w:rPr>
          <w:rFonts w:ascii="Arial" w:hAnsi="Arial" w:cs="Arial"/>
          <w:color w:val="auto"/>
          <w:sz w:val="22"/>
          <w:szCs w:val="22"/>
        </w:rPr>
        <w:t>,</w:t>
      </w:r>
      <w:r w:rsidR="00F67F59" w:rsidRPr="005A5A82">
        <w:rPr>
          <w:rFonts w:ascii="Arial" w:hAnsi="Arial" w:cs="Arial"/>
          <w:color w:val="auto"/>
          <w:sz w:val="22"/>
          <w:szCs w:val="22"/>
        </w:rPr>
        <w:t xml:space="preserve"> </w:t>
      </w:r>
      <w:r w:rsidR="007B5BB9" w:rsidRPr="005A5A82">
        <w:rPr>
          <w:rFonts w:ascii="Arial" w:hAnsi="Arial" w:cs="Arial"/>
          <w:color w:val="auto"/>
          <w:sz w:val="22"/>
          <w:szCs w:val="22"/>
        </w:rPr>
        <w:t xml:space="preserve">the </w:t>
      </w:r>
      <w:r w:rsidR="00123D71" w:rsidRPr="005A5A82">
        <w:rPr>
          <w:rFonts w:ascii="Arial" w:hAnsi="Arial" w:cs="Arial"/>
          <w:color w:val="auto"/>
          <w:sz w:val="22"/>
          <w:szCs w:val="22"/>
        </w:rPr>
        <w:t xml:space="preserve">revision of </w:t>
      </w:r>
      <w:r w:rsidR="00F67F59" w:rsidRPr="005A5A82">
        <w:rPr>
          <w:rFonts w:ascii="Arial" w:hAnsi="Arial" w:cs="Arial"/>
          <w:color w:val="auto"/>
          <w:sz w:val="22"/>
          <w:szCs w:val="22"/>
        </w:rPr>
        <w:t>national</w:t>
      </w:r>
      <w:r w:rsidR="00123D71" w:rsidRPr="005A5A82">
        <w:rPr>
          <w:rFonts w:ascii="Arial" w:hAnsi="Arial" w:cs="Arial"/>
          <w:color w:val="auto"/>
          <w:sz w:val="22"/>
          <w:szCs w:val="22"/>
        </w:rPr>
        <w:t xml:space="preserve"> guidelines </w:t>
      </w:r>
      <w:r w:rsidR="00F67F59" w:rsidRPr="005A5A82">
        <w:rPr>
          <w:rFonts w:ascii="Arial" w:hAnsi="Arial" w:cs="Arial"/>
          <w:color w:val="auto"/>
          <w:sz w:val="22"/>
          <w:szCs w:val="22"/>
        </w:rPr>
        <w:t>for</w:t>
      </w:r>
      <w:r w:rsidR="00123D71" w:rsidRPr="005A5A82">
        <w:rPr>
          <w:rFonts w:ascii="Arial" w:hAnsi="Arial" w:cs="Arial"/>
          <w:color w:val="auto"/>
          <w:sz w:val="22"/>
          <w:szCs w:val="22"/>
        </w:rPr>
        <w:t xml:space="preserve"> case management </w:t>
      </w:r>
      <w:r w:rsidR="00F67F59" w:rsidRPr="005A5A82">
        <w:rPr>
          <w:rFonts w:ascii="Arial" w:hAnsi="Arial" w:cs="Arial"/>
          <w:color w:val="auto"/>
          <w:sz w:val="22"/>
          <w:szCs w:val="22"/>
        </w:rPr>
        <w:t xml:space="preserve">of tuberculosis and the ETR </w:t>
      </w:r>
      <w:r w:rsidR="00123D71" w:rsidRPr="005A5A82">
        <w:rPr>
          <w:rFonts w:ascii="Arial" w:hAnsi="Arial" w:cs="Arial"/>
          <w:color w:val="auto"/>
          <w:sz w:val="22"/>
          <w:szCs w:val="22"/>
        </w:rPr>
        <w:t xml:space="preserve">to </w:t>
      </w:r>
      <w:r w:rsidR="00F67F59" w:rsidRPr="005A5A82">
        <w:rPr>
          <w:rFonts w:ascii="Arial" w:hAnsi="Arial" w:cs="Arial"/>
          <w:color w:val="auto"/>
          <w:sz w:val="22"/>
          <w:szCs w:val="22"/>
        </w:rPr>
        <w:t>report</w:t>
      </w:r>
      <w:r w:rsidR="00123D71" w:rsidRPr="005A5A82">
        <w:rPr>
          <w:rFonts w:ascii="Arial" w:hAnsi="Arial" w:cs="Arial"/>
          <w:color w:val="auto"/>
          <w:sz w:val="22"/>
          <w:szCs w:val="22"/>
        </w:rPr>
        <w:t xml:space="preserve"> treatment outcomes. </w:t>
      </w:r>
      <w:r w:rsidR="00123D71" w:rsidRPr="005A5A82">
        <w:rPr>
          <w:rFonts w:ascii="Arial" w:hAnsi="Arial" w:cs="Arial"/>
          <w:bCs/>
          <w:color w:val="auto"/>
          <w:sz w:val="22"/>
          <w:szCs w:val="22"/>
        </w:rPr>
        <w:t xml:space="preserve"> </w:t>
      </w:r>
      <w:r w:rsidR="00414DF4" w:rsidRPr="005A5A82">
        <w:rPr>
          <w:rFonts w:ascii="Arial" w:hAnsi="Arial" w:cs="Arial"/>
          <w:bCs/>
          <w:color w:val="auto"/>
          <w:sz w:val="22"/>
          <w:szCs w:val="22"/>
        </w:rPr>
        <w:t>The diagnosis of TB was by microscopy (i.e. positive sputum smear or culture) and/or clinical</w:t>
      </w:r>
      <w:r w:rsidR="007B5BB9" w:rsidRPr="005A5A82">
        <w:rPr>
          <w:rFonts w:ascii="Arial" w:hAnsi="Arial" w:cs="Arial"/>
          <w:bCs/>
          <w:color w:val="auto"/>
          <w:sz w:val="22"/>
          <w:szCs w:val="22"/>
        </w:rPr>
        <w:t xml:space="preserve"> signs</w:t>
      </w:r>
      <w:r w:rsidR="00414DF4" w:rsidRPr="005A5A82">
        <w:rPr>
          <w:rFonts w:ascii="Arial" w:hAnsi="Arial" w:cs="Arial"/>
          <w:bCs/>
          <w:color w:val="auto"/>
          <w:sz w:val="22"/>
          <w:szCs w:val="22"/>
        </w:rPr>
        <w:t xml:space="preserve">. </w:t>
      </w:r>
      <w:r w:rsidR="00F67F59" w:rsidRPr="005A5A82">
        <w:rPr>
          <w:rFonts w:ascii="Arial" w:hAnsi="Arial" w:cs="Arial"/>
          <w:bCs/>
          <w:color w:val="auto"/>
          <w:sz w:val="22"/>
          <w:szCs w:val="22"/>
        </w:rPr>
        <w:t xml:space="preserve">The FDC </w:t>
      </w:r>
      <w:r w:rsidR="00414DF4" w:rsidRPr="005A5A82">
        <w:rPr>
          <w:rFonts w:ascii="Arial" w:hAnsi="Arial" w:cs="Arial"/>
          <w:bCs/>
          <w:color w:val="auto"/>
          <w:sz w:val="22"/>
          <w:szCs w:val="22"/>
        </w:rPr>
        <w:t xml:space="preserve">regimens for drug susceptible TB (DST) for new adult, new pediatric and retreatment cases were </w:t>
      </w:r>
      <w:r w:rsidR="00F67F59" w:rsidRPr="005A5A82">
        <w:rPr>
          <w:rFonts w:ascii="Arial" w:hAnsi="Arial" w:cs="Arial"/>
          <w:bCs/>
          <w:color w:val="auto"/>
          <w:sz w:val="22"/>
          <w:szCs w:val="22"/>
        </w:rPr>
        <w:t>2RHZE/4RHE,</w:t>
      </w:r>
      <w:r w:rsidR="00414DF4" w:rsidRPr="005A5A82">
        <w:rPr>
          <w:rFonts w:ascii="Arial" w:hAnsi="Arial" w:cs="Arial"/>
          <w:bCs/>
          <w:color w:val="auto"/>
          <w:sz w:val="22"/>
          <w:szCs w:val="22"/>
        </w:rPr>
        <w:t xml:space="preserve"> 2RHZ/4RH and 1RHZE/2RHZE/5RHE respectively. </w:t>
      </w:r>
      <w:r w:rsidR="00123D71" w:rsidRPr="005A5A82">
        <w:rPr>
          <w:rFonts w:ascii="Arial" w:hAnsi="Arial" w:cs="Arial"/>
          <w:bCs/>
          <w:color w:val="auto"/>
          <w:sz w:val="22"/>
          <w:szCs w:val="22"/>
        </w:rPr>
        <w:t>A</w:t>
      </w:r>
      <w:r w:rsidR="00123D71" w:rsidRPr="005A5A82">
        <w:rPr>
          <w:rFonts w:ascii="Arial" w:hAnsi="Arial" w:cs="Arial"/>
          <w:color w:val="auto"/>
          <w:sz w:val="22"/>
          <w:szCs w:val="22"/>
        </w:rPr>
        <w:t xml:space="preserve"> team of community-based persons comprising of CHW </w:t>
      </w:r>
      <w:r w:rsidR="007B5BB9" w:rsidRPr="005A5A82">
        <w:rPr>
          <w:rFonts w:ascii="Arial" w:hAnsi="Arial" w:cs="Arial"/>
          <w:color w:val="auto"/>
          <w:sz w:val="22"/>
          <w:szCs w:val="22"/>
        </w:rPr>
        <w:t xml:space="preserve">(community healthcare workers), </w:t>
      </w:r>
      <w:r w:rsidR="00123D71" w:rsidRPr="005A5A82">
        <w:rPr>
          <w:rFonts w:ascii="Arial" w:hAnsi="Arial" w:cs="Arial"/>
          <w:color w:val="auto"/>
          <w:sz w:val="22"/>
          <w:szCs w:val="22"/>
        </w:rPr>
        <w:t>i.e</w:t>
      </w:r>
      <w:r w:rsidR="00414DF4" w:rsidRPr="005A5A82">
        <w:rPr>
          <w:rFonts w:ascii="Arial" w:hAnsi="Arial" w:cs="Arial"/>
          <w:color w:val="auto"/>
          <w:sz w:val="22"/>
          <w:szCs w:val="22"/>
        </w:rPr>
        <w:t>.</w:t>
      </w:r>
      <w:r w:rsidR="00123D71" w:rsidRPr="005A5A82">
        <w:rPr>
          <w:rFonts w:ascii="Arial" w:hAnsi="Arial" w:cs="Arial"/>
          <w:color w:val="auto"/>
          <w:sz w:val="22"/>
          <w:szCs w:val="22"/>
        </w:rPr>
        <w:t xml:space="preserve"> </w:t>
      </w:r>
      <w:r w:rsidR="00383D73" w:rsidRPr="005A5A82">
        <w:rPr>
          <w:rFonts w:ascii="Arial" w:hAnsi="Arial" w:cs="Arial"/>
          <w:color w:val="auto"/>
          <w:sz w:val="22"/>
          <w:szCs w:val="22"/>
        </w:rPr>
        <w:t>CB</w:t>
      </w:r>
      <w:r w:rsidR="00123D71" w:rsidRPr="005A5A82">
        <w:rPr>
          <w:rFonts w:ascii="Arial" w:hAnsi="Arial" w:cs="Arial"/>
          <w:color w:val="auto"/>
          <w:sz w:val="22"/>
          <w:szCs w:val="22"/>
        </w:rPr>
        <w:t xml:space="preserve">-DOT supervisors and </w:t>
      </w:r>
      <w:r w:rsidR="00383D73" w:rsidRPr="005A5A82">
        <w:rPr>
          <w:rFonts w:ascii="Arial" w:hAnsi="Arial" w:cs="Arial"/>
          <w:color w:val="auto"/>
          <w:sz w:val="22"/>
          <w:szCs w:val="22"/>
        </w:rPr>
        <w:t>FB-DOT supervisors</w:t>
      </w:r>
      <w:r w:rsidR="00123D71" w:rsidRPr="005A5A82">
        <w:rPr>
          <w:rFonts w:ascii="Arial" w:hAnsi="Arial" w:cs="Arial"/>
          <w:color w:val="auto"/>
          <w:sz w:val="22"/>
          <w:szCs w:val="22"/>
        </w:rPr>
        <w:t xml:space="preserve"> and DOT nurses, DOT field promoters, and </w:t>
      </w:r>
      <w:r w:rsidR="00383D73" w:rsidRPr="005A5A82">
        <w:rPr>
          <w:rFonts w:ascii="Arial" w:hAnsi="Arial" w:cs="Arial"/>
          <w:color w:val="auto"/>
          <w:sz w:val="22"/>
          <w:szCs w:val="22"/>
        </w:rPr>
        <w:t>CB</w:t>
      </w:r>
      <w:r w:rsidR="00123D71" w:rsidRPr="005A5A82">
        <w:rPr>
          <w:rFonts w:ascii="Arial" w:hAnsi="Arial" w:cs="Arial"/>
          <w:color w:val="auto"/>
          <w:sz w:val="22"/>
          <w:szCs w:val="22"/>
        </w:rPr>
        <w:t>-DOT supporters implement</w:t>
      </w:r>
      <w:r w:rsidR="00151892">
        <w:rPr>
          <w:rFonts w:ascii="Arial" w:hAnsi="Arial" w:cs="Arial"/>
          <w:color w:val="auto"/>
          <w:sz w:val="22"/>
          <w:szCs w:val="22"/>
        </w:rPr>
        <w:t>ed</w:t>
      </w:r>
      <w:r w:rsidR="00123D71" w:rsidRPr="005A5A82">
        <w:rPr>
          <w:rFonts w:ascii="Arial" w:hAnsi="Arial" w:cs="Arial"/>
          <w:color w:val="auto"/>
          <w:sz w:val="22"/>
          <w:szCs w:val="22"/>
        </w:rPr>
        <w:t xml:space="preserve"> the CB-DOTS </w:t>
      </w:r>
      <w:proofErr w:type="spellStart"/>
      <w:r w:rsidR="00123D71" w:rsidRPr="005A5A82">
        <w:rPr>
          <w:rFonts w:ascii="Arial" w:hAnsi="Arial" w:cs="Arial"/>
          <w:color w:val="auto"/>
          <w:sz w:val="22"/>
          <w:szCs w:val="22"/>
        </w:rPr>
        <w:t>programme</w:t>
      </w:r>
      <w:proofErr w:type="spellEnd"/>
      <w:r w:rsidR="00123D71" w:rsidRPr="005A5A82">
        <w:rPr>
          <w:rFonts w:ascii="Arial" w:hAnsi="Arial" w:cs="Arial"/>
          <w:color w:val="auto"/>
          <w:sz w:val="22"/>
          <w:szCs w:val="22"/>
        </w:rPr>
        <w:t xml:space="preserve"> at each health district unit. The DOT-supporters such as family/relatives or workplace peers or CHW</w:t>
      </w:r>
      <w:r w:rsidR="007B5BB9" w:rsidRPr="005A5A82">
        <w:rPr>
          <w:rFonts w:ascii="Arial" w:hAnsi="Arial" w:cs="Arial"/>
          <w:color w:val="auto"/>
          <w:sz w:val="22"/>
          <w:szCs w:val="22"/>
        </w:rPr>
        <w:t>s</w:t>
      </w:r>
      <w:r w:rsidR="00123D71" w:rsidRPr="005A5A82">
        <w:rPr>
          <w:rFonts w:ascii="Arial" w:hAnsi="Arial" w:cs="Arial"/>
          <w:color w:val="auto"/>
          <w:sz w:val="22"/>
          <w:szCs w:val="22"/>
        </w:rPr>
        <w:t xml:space="preserve"> directly observe the administration of the TB-medication at community DOT points, households and workplaces. </w:t>
      </w:r>
      <w:r w:rsidR="007B5BB9" w:rsidRPr="005A5A82">
        <w:rPr>
          <w:rFonts w:ascii="Arial" w:hAnsi="Arial" w:cs="Arial"/>
          <w:color w:val="auto"/>
          <w:sz w:val="22"/>
          <w:szCs w:val="22"/>
        </w:rPr>
        <w:t xml:space="preserve">In addition, </w:t>
      </w:r>
      <w:r w:rsidR="00123D71" w:rsidRPr="005A5A82">
        <w:rPr>
          <w:rFonts w:ascii="Arial" w:hAnsi="Arial" w:cs="Arial"/>
          <w:color w:val="auto"/>
          <w:sz w:val="22"/>
          <w:szCs w:val="22"/>
        </w:rPr>
        <w:t xml:space="preserve">the quality of CB-DOTS was enhanced through </w:t>
      </w:r>
      <w:r w:rsidR="00151892">
        <w:rPr>
          <w:rFonts w:ascii="Arial" w:hAnsi="Arial" w:cs="Arial"/>
          <w:color w:val="auto"/>
          <w:sz w:val="22"/>
          <w:szCs w:val="22"/>
        </w:rPr>
        <w:t>(</w:t>
      </w:r>
      <w:proofErr w:type="spellStart"/>
      <w:r w:rsidR="00151892">
        <w:rPr>
          <w:rFonts w:ascii="Arial" w:hAnsi="Arial" w:cs="Arial"/>
          <w:color w:val="auto"/>
          <w:sz w:val="22"/>
          <w:szCs w:val="22"/>
        </w:rPr>
        <w:t>i</w:t>
      </w:r>
      <w:proofErr w:type="spellEnd"/>
      <w:r w:rsidR="00151892">
        <w:rPr>
          <w:rFonts w:ascii="Arial" w:hAnsi="Arial" w:cs="Arial"/>
          <w:color w:val="auto"/>
          <w:sz w:val="22"/>
          <w:szCs w:val="22"/>
        </w:rPr>
        <w:t xml:space="preserve">) </w:t>
      </w:r>
      <w:r w:rsidR="007B5BB9" w:rsidRPr="005A5A82">
        <w:rPr>
          <w:rFonts w:ascii="Arial" w:hAnsi="Arial" w:cs="Arial"/>
          <w:color w:val="auto"/>
          <w:sz w:val="22"/>
          <w:szCs w:val="22"/>
        </w:rPr>
        <w:t xml:space="preserve">the </w:t>
      </w:r>
      <w:r w:rsidR="00123D71" w:rsidRPr="005A5A82">
        <w:rPr>
          <w:rFonts w:ascii="Arial" w:hAnsi="Arial" w:cs="Arial"/>
          <w:color w:val="auto"/>
          <w:sz w:val="22"/>
          <w:szCs w:val="22"/>
        </w:rPr>
        <w:t xml:space="preserve">scale up </w:t>
      </w:r>
      <w:r w:rsidR="00123D71" w:rsidRPr="005A5A82">
        <w:rPr>
          <w:rStyle w:val="A0"/>
          <w:rFonts w:ascii="Arial" w:hAnsi="Arial" w:cs="Arial"/>
          <w:color w:val="auto"/>
          <w:sz w:val="22"/>
          <w:szCs w:val="22"/>
        </w:rPr>
        <w:t>quality assured bacteriology laboratories</w:t>
      </w:r>
      <w:r w:rsidR="00383D73" w:rsidRPr="005A5A82">
        <w:rPr>
          <w:rStyle w:val="A0"/>
          <w:rFonts w:ascii="Arial" w:hAnsi="Arial" w:cs="Arial"/>
          <w:color w:val="auto"/>
          <w:sz w:val="22"/>
          <w:szCs w:val="22"/>
        </w:rPr>
        <w:t>,</w:t>
      </w:r>
      <w:r w:rsidR="00123D71" w:rsidRPr="005A5A82">
        <w:rPr>
          <w:rStyle w:val="A0"/>
          <w:rFonts w:ascii="Arial" w:hAnsi="Arial" w:cs="Arial"/>
          <w:color w:val="auto"/>
          <w:sz w:val="22"/>
          <w:szCs w:val="22"/>
        </w:rPr>
        <w:t xml:space="preserve"> </w:t>
      </w:r>
      <w:r w:rsidR="00383D73" w:rsidRPr="005A5A82">
        <w:rPr>
          <w:rStyle w:val="A0"/>
          <w:rFonts w:ascii="Arial" w:hAnsi="Arial" w:cs="Arial"/>
          <w:color w:val="auto"/>
          <w:sz w:val="22"/>
          <w:szCs w:val="22"/>
        </w:rPr>
        <w:t xml:space="preserve">up </w:t>
      </w:r>
      <w:r w:rsidR="00123D71" w:rsidRPr="005A5A82">
        <w:rPr>
          <w:rStyle w:val="A0"/>
          <w:rFonts w:ascii="Arial" w:hAnsi="Arial" w:cs="Arial"/>
          <w:color w:val="auto"/>
          <w:sz w:val="22"/>
          <w:szCs w:val="22"/>
        </w:rPr>
        <w:t>from 30 (1 lab per 67,000 people) in 2004 to 36</w:t>
      </w:r>
      <w:r w:rsidR="000149C0" w:rsidRPr="005A5A82">
        <w:rPr>
          <w:rStyle w:val="A0"/>
          <w:rFonts w:ascii="Arial" w:hAnsi="Arial" w:cs="Arial"/>
          <w:color w:val="auto"/>
          <w:sz w:val="22"/>
          <w:szCs w:val="22"/>
        </w:rPr>
        <w:t xml:space="preserve"> </w:t>
      </w:r>
      <w:r w:rsidR="00123D71" w:rsidRPr="005A5A82">
        <w:rPr>
          <w:rStyle w:val="A0"/>
          <w:rFonts w:ascii="Arial" w:hAnsi="Arial" w:cs="Arial"/>
          <w:color w:val="auto"/>
          <w:sz w:val="22"/>
          <w:szCs w:val="22"/>
        </w:rPr>
        <w:t xml:space="preserve">in 2015 to increase case detection, </w:t>
      </w:r>
      <w:r w:rsidR="00151892">
        <w:rPr>
          <w:rStyle w:val="A0"/>
          <w:rFonts w:ascii="Arial" w:hAnsi="Arial" w:cs="Arial"/>
          <w:color w:val="auto"/>
          <w:sz w:val="22"/>
          <w:szCs w:val="22"/>
        </w:rPr>
        <w:t>(ii) the production of a</w:t>
      </w:r>
      <w:r w:rsidR="00123D71" w:rsidRPr="005A5A82">
        <w:rPr>
          <w:rStyle w:val="A0"/>
          <w:rFonts w:ascii="Arial" w:hAnsi="Arial" w:cs="Arial"/>
          <w:color w:val="auto"/>
          <w:sz w:val="22"/>
          <w:szCs w:val="22"/>
        </w:rPr>
        <w:t xml:space="preserve"> CB-DOTS training manual and </w:t>
      </w:r>
      <w:r w:rsidR="00383D73" w:rsidRPr="005A5A82">
        <w:rPr>
          <w:rStyle w:val="A0"/>
          <w:rFonts w:ascii="Arial" w:hAnsi="Arial" w:cs="Arial"/>
          <w:color w:val="auto"/>
          <w:sz w:val="22"/>
          <w:szCs w:val="22"/>
        </w:rPr>
        <w:t xml:space="preserve">the </w:t>
      </w:r>
      <w:r w:rsidR="00123D71" w:rsidRPr="005A5A82">
        <w:rPr>
          <w:rStyle w:val="A0"/>
          <w:rFonts w:ascii="Arial" w:hAnsi="Arial" w:cs="Arial"/>
          <w:color w:val="auto"/>
          <w:sz w:val="22"/>
          <w:szCs w:val="22"/>
        </w:rPr>
        <w:t xml:space="preserve">WHO guideline for TB treatment supporters to standardize treatment with supervision and </w:t>
      </w:r>
      <w:r w:rsidR="00123D71" w:rsidRPr="005A5A82">
        <w:rPr>
          <w:rStyle w:val="A0"/>
          <w:rFonts w:ascii="Arial" w:hAnsi="Arial" w:cs="Arial"/>
          <w:color w:val="auto"/>
          <w:sz w:val="22"/>
          <w:szCs w:val="22"/>
        </w:rPr>
        <w:lastRenderedPageBreak/>
        <w:t xml:space="preserve">patient support, </w:t>
      </w:r>
      <w:r w:rsidR="00151892">
        <w:rPr>
          <w:rStyle w:val="A0"/>
          <w:rFonts w:ascii="Arial" w:hAnsi="Arial" w:cs="Arial"/>
          <w:color w:val="auto"/>
          <w:sz w:val="22"/>
          <w:szCs w:val="22"/>
        </w:rPr>
        <w:t xml:space="preserve">(iii) </w:t>
      </w:r>
      <w:r w:rsidR="00123D71" w:rsidRPr="005A5A82">
        <w:rPr>
          <w:rStyle w:val="A0"/>
          <w:rFonts w:ascii="Arial" w:hAnsi="Arial" w:cs="Arial"/>
          <w:color w:val="auto"/>
          <w:sz w:val="22"/>
          <w:szCs w:val="22"/>
        </w:rPr>
        <w:t xml:space="preserve">a system for effective supply and management of TB drugs as well as </w:t>
      </w:r>
      <w:r w:rsidR="00151892">
        <w:rPr>
          <w:rStyle w:val="A0"/>
          <w:rFonts w:ascii="Arial" w:hAnsi="Arial" w:cs="Arial"/>
          <w:color w:val="auto"/>
          <w:sz w:val="22"/>
          <w:szCs w:val="22"/>
        </w:rPr>
        <w:t xml:space="preserve">(iv) </w:t>
      </w:r>
      <w:r w:rsidR="00123D71" w:rsidRPr="005A5A82">
        <w:rPr>
          <w:rStyle w:val="A0"/>
          <w:rFonts w:ascii="Arial" w:hAnsi="Arial" w:cs="Arial"/>
          <w:color w:val="auto"/>
          <w:sz w:val="22"/>
          <w:szCs w:val="22"/>
        </w:rPr>
        <w:t>a monitoring and evaluation system for effective measurement</w:t>
      </w:r>
      <w:r w:rsidR="00123D71" w:rsidRPr="005A5A82">
        <w:rPr>
          <w:rFonts w:ascii="Arial" w:hAnsi="Arial" w:cs="Arial"/>
          <w:color w:val="auto"/>
          <w:sz w:val="22"/>
          <w:szCs w:val="22"/>
        </w:rPr>
        <w:t xml:space="preserve">. </w:t>
      </w:r>
      <w:r w:rsidR="00123D71" w:rsidRPr="005A5A82">
        <w:rPr>
          <w:rStyle w:val="A0"/>
          <w:rFonts w:ascii="Arial" w:hAnsi="Arial" w:cs="Arial"/>
          <w:b/>
          <w:bCs/>
          <w:color w:val="auto"/>
          <w:sz w:val="22"/>
          <w:szCs w:val="22"/>
        </w:rPr>
        <w:t xml:space="preserve"> </w:t>
      </w:r>
    </w:p>
    <w:p w14:paraId="17634EA1" w14:textId="77777777" w:rsidR="00123D71" w:rsidRPr="005A5A82" w:rsidRDefault="00123D71" w:rsidP="005A5A82">
      <w:pPr>
        <w:pStyle w:val="NoSpacing"/>
        <w:spacing w:line="360" w:lineRule="auto"/>
        <w:rPr>
          <w:rFonts w:ascii="Arial" w:hAnsi="Arial" w:cs="Arial"/>
        </w:rPr>
      </w:pPr>
    </w:p>
    <w:p w14:paraId="5751C637" w14:textId="531DCAAF" w:rsidR="00CB62E5" w:rsidRPr="005A5A82" w:rsidRDefault="002D4DCF" w:rsidP="005A5A82">
      <w:pPr>
        <w:pStyle w:val="NoSpacing"/>
        <w:spacing w:line="360" w:lineRule="auto"/>
        <w:rPr>
          <w:rFonts w:ascii="Arial" w:hAnsi="Arial" w:cs="Arial"/>
          <w:b/>
          <w:i/>
        </w:rPr>
      </w:pPr>
      <w:r w:rsidRPr="005A5A82">
        <w:rPr>
          <w:rFonts w:ascii="Arial" w:hAnsi="Arial" w:cs="Arial"/>
          <w:b/>
          <w:i/>
        </w:rPr>
        <w:t>2.</w:t>
      </w:r>
      <w:r w:rsidR="00607601" w:rsidRPr="005A5A82">
        <w:rPr>
          <w:rFonts w:ascii="Arial" w:hAnsi="Arial" w:cs="Arial"/>
          <w:b/>
          <w:i/>
        </w:rPr>
        <w:t>3</w:t>
      </w:r>
      <w:r w:rsidRPr="005A5A82">
        <w:rPr>
          <w:rFonts w:ascii="Arial" w:hAnsi="Arial" w:cs="Arial"/>
          <w:b/>
          <w:i/>
        </w:rPr>
        <w:t xml:space="preserve"> </w:t>
      </w:r>
      <w:r w:rsidR="00CB62E5" w:rsidRPr="005A5A82">
        <w:rPr>
          <w:rFonts w:ascii="Arial" w:hAnsi="Arial" w:cs="Arial"/>
          <w:b/>
          <w:i/>
        </w:rPr>
        <w:t>Data and statistical analysis</w:t>
      </w:r>
    </w:p>
    <w:p w14:paraId="11AC61EF" w14:textId="5C83DC47" w:rsidR="000149C0" w:rsidRPr="005A5A82" w:rsidRDefault="00CB62E5" w:rsidP="005A5A82">
      <w:pPr>
        <w:pStyle w:val="NoSpacing"/>
        <w:spacing w:line="360" w:lineRule="auto"/>
        <w:rPr>
          <w:rFonts w:ascii="Arial" w:hAnsi="Arial" w:cs="Arial"/>
        </w:rPr>
      </w:pPr>
      <w:r w:rsidRPr="005A5A82">
        <w:rPr>
          <w:rFonts w:ascii="Arial" w:hAnsi="Arial" w:cs="Arial"/>
        </w:rPr>
        <w:t>The main outcome of the study is the treatment success</w:t>
      </w:r>
      <w:r w:rsidR="00151892">
        <w:rPr>
          <w:rFonts w:ascii="Arial" w:hAnsi="Arial" w:cs="Arial"/>
        </w:rPr>
        <w:t>,</w:t>
      </w:r>
      <w:r w:rsidRPr="005A5A82">
        <w:rPr>
          <w:rFonts w:ascii="Arial" w:hAnsi="Arial" w:cs="Arial"/>
        </w:rPr>
        <w:t xml:space="preserve"> which refers to the proportion of TB cases registered under DOTS between 2004-2015 that successfully completed treatment, whether with bacteriological evidence of success (cured, i.e</w:t>
      </w:r>
      <w:r w:rsidR="00685864" w:rsidRPr="005A5A82">
        <w:rPr>
          <w:rFonts w:ascii="Arial" w:hAnsi="Arial" w:cs="Arial"/>
        </w:rPr>
        <w:t>.</w:t>
      </w:r>
      <w:r w:rsidRPr="005A5A82">
        <w:rPr>
          <w:rFonts w:ascii="Arial" w:hAnsi="Arial" w:cs="Arial"/>
        </w:rPr>
        <w:t xml:space="preserve"> smear negative at 5 months) or without (treatment completed)</w:t>
      </w:r>
      <w:r w:rsidRPr="005A5A82">
        <w:rPr>
          <w:rFonts w:ascii="Arial" w:hAnsi="Arial" w:cs="Arial"/>
        </w:rPr>
        <w:fldChar w:fldCharType="begin" w:fldLock="1"/>
      </w:r>
      <w:r w:rsidRPr="005A5A82">
        <w:rPr>
          <w:rFonts w:ascii="Arial" w:hAnsi="Arial" w:cs="Arial"/>
        </w:rPr>
        <w:instrText>ADDIN CSL_CITATION { "citationItems" : [ { "id" : "ITEM-1", "itemData" : { "author" : [ { "dropping-particle" : "", "family" : "WHO", "given" : "", "non-dropping-particle" : "", "parse-names" : false, "suffix" : "" } ], "id" : "ITEM-1", "issued" : { "date-parts" : [ [ "2017" ] ] }, "number-of-pages" : "Available at URL: http://www.euro.who.int/__data/a", "title" : "Best practices in prevention, control and care for drug resistant tuberculosis", "type" : "report" }, "uris" : [ "http://www.mendeley.com/documents/?uuid=b19e5fe7-3d5a-4115-a9c6-0d0ab83f82fa" ] }, { "id" : "ITEM-2", "itemData" : { "author" : [ { "dropping-particle" : "", "family" : "MoHSS", "given" : "", "non-dropping-particle" : "", "parse-names" : false, "suffix" : "" } ], "id" : "ITEM-2", "issued" : { "date-parts" : [ [ "2015" ] ] }, "title" : "Republic of Namibia Ministry of Health and Social Services National Tuberculosis and Leprosy Programme Annual Report : 2014-2015", "type" : "report" }, "uris" : [ "http://www.mendeley.com/documents/?uuid=13fe6e21-d85b-3e42-8c74-7e0de353fe19" ] } ], "mendeley" : { "formattedCitation" : "&lt;sup&gt;28,29&lt;/sup&gt;", "plainTextFormattedCitation" : "28,29", "previouslyFormattedCitation" : "&lt;sup&gt;28,29&lt;/sup&gt;" }, "properties" : { "noteIndex" : 0 }, "schema" : "https://github.com/citation-style-language/schema/raw/master/csl-citation.json" }</w:instrText>
      </w:r>
      <w:r w:rsidRPr="005A5A82">
        <w:rPr>
          <w:rFonts w:ascii="Arial" w:hAnsi="Arial" w:cs="Arial"/>
        </w:rPr>
        <w:fldChar w:fldCharType="separate"/>
      </w:r>
      <w:r w:rsidRPr="005A5A82">
        <w:rPr>
          <w:rFonts w:ascii="Arial" w:hAnsi="Arial" w:cs="Arial"/>
          <w:noProof/>
          <w:vertAlign w:val="superscript"/>
        </w:rPr>
        <w:t>28,29</w:t>
      </w:r>
      <w:r w:rsidRPr="005A5A82">
        <w:rPr>
          <w:rFonts w:ascii="Arial" w:hAnsi="Arial" w:cs="Arial"/>
        </w:rPr>
        <w:fldChar w:fldCharType="end"/>
      </w:r>
      <w:r w:rsidR="00685864" w:rsidRPr="005A5A82">
        <w:rPr>
          <w:rFonts w:ascii="Arial" w:hAnsi="Arial" w:cs="Arial"/>
        </w:rPr>
        <w:t>.</w:t>
      </w:r>
      <w:r w:rsidR="00BF3EA2" w:rsidRPr="005A5A82">
        <w:rPr>
          <w:rFonts w:ascii="Arial" w:hAnsi="Arial" w:cs="Arial"/>
        </w:rPr>
        <w:t xml:space="preserve"> Treatment success for extra pulmonary tuberculosis (EPTB) in Namibia is mainly determined by treatment completion and/or negative microscopy and biopsy results.</w:t>
      </w:r>
      <w:r w:rsidR="00685864" w:rsidRPr="005A5A82">
        <w:rPr>
          <w:rFonts w:ascii="Arial" w:hAnsi="Arial" w:cs="Arial"/>
        </w:rPr>
        <w:t xml:space="preserve"> </w:t>
      </w:r>
      <w:r w:rsidRPr="005A5A82">
        <w:rPr>
          <w:rFonts w:ascii="Arial" w:hAnsi="Arial" w:cs="Arial"/>
        </w:rPr>
        <w:t xml:space="preserve">An unsuccessful outcome in this study referred to TB cases recorded as loss-to-follow-up (LTFU), transferred out, failed treatment or died. </w:t>
      </w:r>
      <w:r w:rsidR="005B036E" w:rsidRPr="005A5A82">
        <w:rPr>
          <w:rFonts w:ascii="Arial" w:hAnsi="Arial" w:cs="Arial"/>
        </w:rPr>
        <w:t xml:space="preserve">Cases of DR-TB are hospitalized and managed according to </w:t>
      </w:r>
      <w:r w:rsidR="003F7129" w:rsidRPr="005A5A82">
        <w:rPr>
          <w:rFonts w:ascii="Arial" w:hAnsi="Arial" w:cs="Arial"/>
        </w:rPr>
        <w:t xml:space="preserve">the </w:t>
      </w:r>
      <w:r w:rsidR="005B036E" w:rsidRPr="005A5A82">
        <w:rPr>
          <w:rFonts w:ascii="Arial" w:hAnsi="Arial" w:cs="Arial"/>
        </w:rPr>
        <w:t>treatment guidelines for DR-TB</w:t>
      </w:r>
      <w:r w:rsidR="003F7129" w:rsidRPr="005A5A82">
        <w:rPr>
          <w:rFonts w:ascii="Arial" w:hAnsi="Arial" w:cs="Arial"/>
        </w:rPr>
        <w:t>,</w:t>
      </w:r>
      <w:r w:rsidR="005B036E" w:rsidRPr="005A5A82">
        <w:rPr>
          <w:rFonts w:ascii="Arial" w:hAnsi="Arial" w:cs="Arial"/>
        </w:rPr>
        <w:t xml:space="preserve"> which</w:t>
      </w:r>
      <w:r w:rsidR="009E5E9D" w:rsidRPr="005A5A82">
        <w:rPr>
          <w:rFonts w:ascii="Arial" w:hAnsi="Arial" w:cs="Arial"/>
        </w:rPr>
        <w:t xml:space="preserve"> comprise</w:t>
      </w:r>
      <w:r w:rsidR="005B036E" w:rsidRPr="005A5A82">
        <w:rPr>
          <w:rFonts w:ascii="Arial" w:hAnsi="Arial" w:cs="Arial"/>
        </w:rPr>
        <w:t xml:space="preserve"> at least five second line anti-tuberculosis </w:t>
      </w:r>
      <w:r w:rsidR="000149C0" w:rsidRPr="005A5A82">
        <w:rPr>
          <w:rFonts w:ascii="Arial" w:hAnsi="Arial" w:cs="Arial"/>
        </w:rPr>
        <w:t>medicines</w:t>
      </w:r>
      <w:r w:rsidR="005B036E" w:rsidRPr="005A5A82">
        <w:rPr>
          <w:rFonts w:ascii="Arial" w:hAnsi="Arial" w:cs="Arial"/>
        </w:rPr>
        <w:t>.</w:t>
      </w:r>
      <w:r w:rsidR="000149C0" w:rsidRPr="005A5A82">
        <w:rPr>
          <w:rFonts w:ascii="Arial" w:hAnsi="Arial" w:cs="Arial"/>
        </w:rPr>
        <w:t xml:space="preserve"> </w:t>
      </w:r>
      <w:r w:rsidR="000149C0" w:rsidRPr="005A5A82">
        <w:rPr>
          <w:rFonts w:ascii="Arial" w:hAnsi="Arial" w:cs="Arial"/>
          <w:shd w:val="clear" w:color="auto" w:fill="FFFFFF"/>
        </w:rPr>
        <w:t>These include levofloxacin, PASA, ethionamide, kanamycin, pyrazinamide, clofazimine, and capreomycin for 12-18 months of treatment.</w:t>
      </w:r>
    </w:p>
    <w:p w14:paraId="31CDC7C8" w14:textId="77777777" w:rsidR="00685864" w:rsidRPr="005A5A82" w:rsidRDefault="00685864" w:rsidP="005A5A82">
      <w:pPr>
        <w:pStyle w:val="NoSpacing"/>
        <w:spacing w:line="360" w:lineRule="auto"/>
        <w:rPr>
          <w:rFonts w:ascii="Arial" w:hAnsi="Arial" w:cs="Arial"/>
        </w:rPr>
      </w:pPr>
    </w:p>
    <w:p w14:paraId="7DD667D7" w14:textId="21A90018" w:rsidR="00267017" w:rsidRPr="005A5A82" w:rsidRDefault="00CB62E5" w:rsidP="005A5A82">
      <w:pPr>
        <w:pStyle w:val="NoSpacing"/>
        <w:spacing w:line="360" w:lineRule="auto"/>
        <w:rPr>
          <w:rFonts w:ascii="Arial" w:hAnsi="Arial" w:cs="Arial"/>
        </w:rPr>
      </w:pPr>
      <w:r w:rsidRPr="005A5A82">
        <w:rPr>
          <w:rFonts w:ascii="Arial" w:hAnsi="Arial" w:cs="Arial"/>
        </w:rPr>
        <w:t>Patient level data on treatment outcomes and covariates including: patient demographics, clinical (i.e</w:t>
      </w:r>
      <w:r w:rsidR="005306AB" w:rsidRPr="005A5A82">
        <w:rPr>
          <w:rFonts w:ascii="Arial" w:hAnsi="Arial" w:cs="Arial"/>
        </w:rPr>
        <w:t>.</w:t>
      </w:r>
      <w:r w:rsidRPr="005A5A82">
        <w:rPr>
          <w:rFonts w:ascii="Arial" w:hAnsi="Arial" w:cs="Arial"/>
        </w:rPr>
        <w:t xml:space="preserve"> disease and laboratory), programmatic (i.e</w:t>
      </w:r>
      <w:r w:rsidR="005306AB" w:rsidRPr="005A5A82">
        <w:rPr>
          <w:rFonts w:ascii="Arial" w:hAnsi="Arial" w:cs="Arial"/>
        </w:rPr>
        <w:t>.</w:t>
      </w:r>
      <w:r w:rsidRPr="005A5A82">
        <w:rPr>
          <w:rFonts w:ascii="Arial" w:hAnsi="Arial" w:cs="Arial"/>
        </w:rPr>
        <w:t xml:space="preserve"> Facility type, DOTS support, MTP strategy), treatment regimen and treatment outcomes were abstracted from the national ETR by the principal research team. </w:t>
      </w:r>
    </w:p>
    <w:p w14:paraId="21C4B909" w14:textId="77777777" w:rsidR="00267017" w:rsidRPr="005A5A82" w:rsidRDefault="00267017" w:rsidP="005A5A82">
      <w:pPr>
        <w:pStyle w:val="NoSpacing"/>
        <w:spacing w:line="360" w:lineRule="auto"/>
        <w:rPr>
          <w:rFonts w:ascii="Arial" w:hAnsi="Arial" w:cs="Arial"/>
        </w:rPr>
      </w:pPr>
    </w:p>
    <w:p w14:paraId="5508201E" w14:textId="5A389A72" w:rsidR="00267017" w:rsidRPr="005A5A82" w:rsidRDefault="00CB62E5" w:rsidP="005A5A82">
      <w:pPr>
        <w:pStyle w:val="NoSpacing"/>
        <w:spacing w:line="360" w:lineRule="auto"/>
        <w:rPr>
          <w:rFonts w:ascii="Arial" w:hAnsi="Arial" w:cs="Arial"/>
        </w:rPr>
      </w:pPr>
      <w:r w:rsidRPr="005A5A82">
        <w:rPr>
          <w:rFonts w:ascii="Arial" w:hAnsi="Arial" w:cs="Arial"/>
        </w:rPr>
        <w:t xml:space="preserve">Data were retrospectively abstracted over 10-year review period (2004/Q3 and 2016/Q1), which coincides with the scale-up to high quality </w:t>
      </w:r>
      <w:r w:rsidR="0052413E" w:rsidRPr="005A5A82">
        <w:rPr>
          <w:rFonts w:ascii="Arial" w:hAnsi="Arial" w:cs="Arial"/>
        </w:rPr>
        <w:t>CB-</w:t>
      </w:r>
      <w:r w:rsidRPr="005A5A82">
        <w:rPr>
          <w:rFonts w:ascii="Arial" w:hAnsi="Arial" w:cs="Arial"/>
        </w:rPr>
        <w:t xml:space="preserve">DOTS services in 2005 under the first and second medium term plans for TB and leprosy in Namibia. The bacteriological assessment of sputum smears was </w:t>
      </w:r>
      <w:r w:rsidR="00267017" w:rsidRPr="005A5A82">
        <w:rPr>
          <w:rFonts w:ascii="Arial" w:hAnsi="Arial" w:cs="Arial"/>
        </w:rPr>
        <w:t>undertaken</w:t>
      </w:r>
      <w:r w:rsidRPr="005A5A82">
        <w:rPr>
          <w:rFonts w:ascii="Arial" w:hAnsi="Arial" w:cs="Arial"/>
        </w:rPr>
        <w:t xml:space="preserve"> at three time points, i.e. baseline, at completion of the intensive TB treatment (i.e</w:t>
      </w:r>
      <w:r w:rsidR="00267017" w:rsidRPr="005A5A82">
        <w:rPr>
          <w:rFonts w:ascii="Arial" w:hAnsi="Arial" w:cs="Arial"/>
        </w:rPr>
        <w:t>.</w:t>
      </w:r>
      <w:r w:rsidRPr="005A5A82">
        <w:rPr>
          <w:rFonts w:ascii="Arial" w:hAnsi="Arial" w:cs="Arial"/>
        </w:rPr>
        <w:t xml:space="preserve"> at 2 or 3 months) and at the completion of TB treatment (i.e</w:t>
      </w:r>
      <w:r w:rsidR="00267017" w:rsidRPr="005A5A82">
        <w:rPr>
          <w:rFonts w:ascii="Arial" w:hAnsi="Arial" w:cs="Arial"/>
        </w:rPr>
        <w:t>.</w:t>
      </w:r>
      <w:r w:rsidRPr="005A5A82">
        <w:rPr>
          <w:rFonts w:ascii="Arial" w:hAnsi="Arial" w:cs="Arial"/>
        </w:rPr>
        <w:t xml:space="preserve"> at 6 – 8 months). The bacteriological assessment of smears was undertaken by the National Institute of Pathology (NIP), a WHO accredited laboratory that services all DOTS sites in Namibia. The bacteriological results from </w:t>
      </w:r>
      <w:r w:rsidR="0052413E" w:rsidRPr="005A5A82">
        <w:rPr>
          <w:rFonts w:ascii="Arial" w:hAnsi="Arial" w:cs="Arial"/>
        </w:rPr>
        <w:t xml:space="preserve">the </w:t>
      </w:r>
      <w:r w:rsidRPr="005A5A82">
        <w:rPr>
          <w:rFonts w:ascii="Arial" w:hAnsi="Arial" w:cs="Arial"/>
        </w:rPr>
        <w:t xml:space="preserve">NIP are </w:t>
      </w:r>
      <w:r w:rsidR="00267017" w:rsidRPr="005A5A82">
        <w:rPr>
          <w:rFonts w:ascii="Arial" w:hAnsi="Arial" w:cs="Arial"/>
        </w:rPr>
        <w:t xml:space="preserve">subsequently </w:t>
      </w:r>
      <w:r w:rsidRPr="005A5A82">
        <w:rPr>
          <w:rFonts w:ascii="Arial" w:hAnsi="Arial" w:cs="Arial"/>
        </w:rPr>
        <w:t xml:space="preserve">validated by the facility, district and regional TB care teams. Data on treatment outcomes and covariates were exported to RStudio software for statistical analysis. </w:t>
      </w:r>
      <w:r w:rsidRPr="005A5A82">
        <w:rPr>
          <w:rFonts w:ascii="Arial" w:hAnsi="Arial" w:cs="Arial"/>
          <w:shd w:val="clear" w:color="auto" w:fill="FFFFFF"/>
        </w:rPr>
        <w:t>Cases of drug resistant tuberculosis and/or missing data on the treatment outcome and/or the covariates of interest</w:t>
      </w:r>
      <w:r w:rsidR="005924B2" w:rsidRPr="005A5A82">
        <w:rPr>
          <w:rFonts w:ascii="Arial" w:hAnsi="Arial" w:cs="Arial"/>
          <w:shd w:val="clear" w:color="auto" w:fill="FFFFFF"/>
        </w:rPr>
        <w:t xml:space="preserve">, </w:t>
      </w:r>
      <w:r w:rsidRPr="005A5A82">
        <w:rPr>
          <w:rFonts w:ascii="Arial" w:hAnsi="Arial" w:cs="Arial"/>
          <w:shd w:val="clear" w:color="auto" w:fill="FFFFFF"/>
        </w:rPr>
        <w:t>i.e. demographic, clinical and treatment and programmatic records</w:t>
      </w:r>
      <w:r w:rsidR="005924B2" w:rsidRPr="005A5A82">
        <w:rPr>
          <w:rFonts w:ascii="Arial" w:hAnsi="Arial" w:cs="Arial"/>
          <w:shd w:val="clear" w:color="auto" w:fill="FFFFFF"/>
        </w:rPr>
        <w:t>,</w:t>
      </w:r>
      <w:r w:rsidRPr="005A5A82">
        <w:rPr>
          <w:rFonts w:ascii="Arial" w:hAnsi="Arial" w:cs="Arial"/>
          <w:shd w:val="clear" w:color="auto" w:fill="FFFFFF"/>
        </w:rPr>
        <w:t xml:space="preserve"> were excluded from analysis</w:t>
      </w:r>
      <w:r w:rsidRPr="005A5A82">
        <w:rPr>
          <w:rFonts w:ascii="Arial" w:hAnsi="Arial" w:cs="Arial"/>
        </w:rPr>
        <w:t>.</w:t>
      </w:r>
    </w:p>
    <w:p w14:paraId="2622A0DC" w14:textId="77777777" w:rsidR="00267017" w:rsidRPr="005A5A82" w:rsidRDefault="00267017" w:rsidP="005A5A82">
      <w:pPr>
        <w:pStyle w:val="NoSpacing"/>
        <w:spacing w:line="360" w:lineRule="auto"/>
        <w:rPr>
          <w:rFonts w:ascii="Arial" w:hAnsi="Arial" w:cs="Arial"/>
          <w:shd w:val="clear" w:color="auto" w:fill="FFFFFF"/>
        </w:rPr>
      </w:pPr>
    </w:p>
    <w:p w14:paraId="523C507B" w14:textId="33C4F61E" w:rsidR="00CB62E5" w:rsidRPr="005A5A82" w:rsidRDefault="00CB62E5" w:rsidP="005A5A82">
      <w:pPr>
        <w:pStyle w:val="NoSpacing"/>
        <w:spacing w:line="360" w:lineRule="auto"/>
        <w:rPr>
          <w:rFonts w:ascii="Arial" w:hAnsi="Arial" w:cs="Arial"/>
        </w:rPr>
      </w:pPr>
      <w:r w:rsidRPr="005A5A82">
        <w:rPr>
          <w:rFonts w:ascii="Arial" w:hAnsi="Arial" w:cs="Arial"/>
          <w:shd w:val="clear" w:color="auto" w:fill="FFFFFF"/>
        </w:rPr>
        <w:t>The association between patient, programmatic, clinical and treatment covariates with treatment success was determined using bivariate analysis using crude odd ratios (</w:t>
      </w:r>
      <w:proofErr w:type="spellStart"/>
      <w:r w:rsidRPr="005A5A82">
        <w:rPr>
          <w:rFonts w:ascii="Arial" w:hAnsi="Arial" w:cs="Arial"/>
          <w:shd w:val="clear" w:color="auto" w:fill="FFFFFF"/>
        </w:rPr>
        <w:t>cOR</w:t>
      </w:r>
      <w:proofErr w:type="spellEnd"/>
      <w:r w:rsidRPr="005A5A82">
        <w:rPr>
          <w:rFonts w:ascii="Arial" w:hAnsi="Arial" w:cs="Arial"/>
          <w:shd w:val="clear" w:color="auto" w:fill="FFFFFF"/>
        </w:rPr>
        <w:t xml:space="preserve">) or </w:t>
      </w:r>
      <w:r w:rsidRPr="005A5A82">
        <w:rPr>
          <w:rFonts w:ascii="Arial" w:hAnsi="Arial" w:cs="Arial"/>
          <w:shd w:val="clear" w:color="auto" w:fill="FFFFFF"/>
        </w:rPr>
        <w:lastRenderedPageBreak/>
        <w:t>Chi-squared test (</w:t>
      </w:r>
      <w:r w:rsidRPr="005A5A82">
        <w:rPr>
          <w:rFonts w:ascii="Arial" w:hAnsi="Arial" w:cs="Arial"/>
        </w:rPr>
        <w:sym w:font="Symbol" w:char="0063"/>
      </w:r>
      <w:r w:rsidRPr="005A5A82">
        <w:rPr>
          <w:rFonts w:ascii="Arial" w:hAnsi="Arial" w:cs="Arial"/>
          <w:vertAlign w:val="superscript"/>
        </w:rPr>
        <w:t>2</w:t>
      </w:r>
      <w:r w:rsidRPr="005A5A82">
        <w:rPr>
          <w:rFonts w:ascii="Arial" w:hAnsi="Arial" w:cs="Arial"/>
          <w:shd w:val="clear" w:color="auto" w:fill="FFFFFF"/>
        </w:rPr>
        <w:t>). The independent predictors for treatment success were subsequently determined using adjusted odds ratios (</w:t>
      </w:r>
      <w:proofErr w:type="spellStart"/>
      <w:r w:rsidRPr="005A5A82">
        <w:rPr>
          <w:rFonts w:ascii="Arial" w:hAnsi="Arial" w:cs="Arial"/>
          <w:shd w:val="clear" w:color="auto" w:fill="FFFFFF"/>
        </w:rPr>
        <w:t>aOR</w:t>
      </w:r>
      <w:proofErr w:type="spellEnd"/>
      <w:r w:rsidRPr="005A5A82">
        <w:rPr>
          <w:rFonts w:ascii="Arial" w:hAnsi="Arial" w:cs="Arial"/>
          <w:shd w:val="clear" w:color="auto" w:fill="FFFFFF"/>
        </w:rPr>
        <w:t>) using multivariate logistic regression to control for confounders for treatment outcomes. The predictors of treatment success are presented as odds ratio (</w:t>
      </w:r>
      <w:proofErr w:type="spellStart"/>
      <w:r w:rsidRPr="005A5A82">
        <w:rPr>
          <w:rFonts w:ascii="Arial" w:hAnsi="Arial" w:cs="Arial"/>
          <w:shd w:val="clear" w:color="auto" w:fill="FFFFFF"/>
        </w:rPr>
        <w:t>aOR</w:t>
      </w:r>
      <w:proofErr w:type="spellEnd"/>
      <w:r w:rsidRPr="005A5A82">
        <w:rPr>
          <w:rFonts w:ascii="Arial" w:hAnsi="Arial" w:cs="Arial"/>
          <w:shd w:val="clear" w:color="auto" w:fill="FFFFFF"/>
        </w:rPr>
        <w:t>) with a 95% Confidence Interval and at a level of significance α=0.05.</w:t>
      </w:r>
    </w:p>
    <w:p w14:paraId="6EE85DC4" w14:textId="77777777" w:rsidR="00CB62E5" w:rsidRPr="005A5A82" w:rsidRDefault="00CB62E5" w:rsidP="005A5A82">
      <w:pPr>
        <w:pStyle w:val="NoSpacing"/>
        <w:spacing w:line="360" w:lineRule="auto"/>
        <w:rPr>
          <w:rFonts w:ascii="Arial" w:hAnsi="Arial" w:cs="Arial"/>
          <w:shd w:val="clear" w:color="auto" w:fill="FFFFFF"/>
        </w:rPr>
      </w:pPr>
    </w:p>
    <w:p w14:paraId="6362154C" w14:textId="38F57E8E" w:rsidR="00CB62E5" w:rsidRPr="005A5A82" w:rsidRDefault="00267017" w:rsidP="005A5A82">
      <w:pPr>
        <w:pStyle w:val="NoSpacing"/>
        <w:spacing w:line="360" w:lineRule="auto"/>
        <w:rPr>
          <w:rFonts w:ascii="Arial" w:hAnsi="Arial" w:cs="Arial"/>
          <w:b/>
          <w:i/>
        </w:rPr>
      </w:pPr>
      <w:r w:rsidRPr="005A5A82">
        <w:rPr>
          <w:rFonts w:ascii="Arial" w:hAnsi="Arial" w:cs="Arial"/>
          <w:b/>
          <w:i/>
        </w:rPr>
        <w:t>2.</w:t>
      </w:r>
      <w:r w:rsidR="00607601" w:rsidRPr="005A5A82">
        <w:rPr>
          <w:rFonts w:ascii="Arial" w:hAnsi="Arial" w:cs="Arial"/>
          <w:b/>
          <w:i/>
        </w:rPr>
        <w:t>4</w:t>
      </w:r>
      <w:r w:rsidRPr="005A5A82">
        <w:rPr>
          <w:rFonts w:ascii="Arial" w:hAnsi="Arial" w:cs="Arial"/>
          <w:b/>
          <w:i/>
        </w:rPr>
        <w:t xml:space="preserve"> </w:t>
      </w:r>
      <w:r w:rsidR="00CB62E5" w:rsidRPr="005A5A82">
        <w:rPr>
          <w:rFonts w:ascii="Arial" w:hAnsi="Arial" w:cs="Arial"/>
          <w:b/>
          <w:i/>
        </w:rPr>
        <w:t>Ethics</w:t>
      </w:r>
    </w:p>
    <w:p w14:paraId="2B2F946A" w14:textId="77777777" w:rsidR="00CB62E5" w:rsidRPr="005A5A82" w:rsidRDefault="00CB62E5" w:rsidP="005A5A82">
      <w:pPr>
        <w:pStyle w:val="NoSpacing"/>
        <w:spacing w:line="360" w:lineRule="auto"/>
        <w:rPr>
          <w:rFonts w:ascii="Arial" w:hAnsi="Arial" w:cs="Arial"/>
        </w:rPr>
      </w:pPr>
      <w:r w:rsidRPr="005A5A82">
        <w:rPr>
          <w:rFonts w:ascii="Arial" w:hAnsi="Arial" w:cs="Arial"/>
        </w:rPr>
        <w:t>The study was approved by the Research and Ethics Committee of the University of Namibia and the Ministry of Health and Social Services (</w:t>
      </w:r>
      <w:proofErr w:type="spellStart"/>
      <w:r w:rsidRPr="005A5A82">
        <w:rPr>
          <w:rFonts w:ascii="Arial" w:hAnsi="Arial" w:cs="Arial"/>
        </w:rPr>
        <w:t>MoHSS</w:t>
      </w:r>
      <w:proofErr w:type="spellEnd"/>
      <w:r w:rsidRPr="005A5A82">
        <w:rPr>
          <w:rFonts w:ascii="Arial" w:hAnsi="Arial" w:cs="Arial"/>
        </w:rPr>
        <w:t xml:space="preserve">). The approvals provided for waiver for a written informed consent from the individual TB cases whose records were included from the </w:t>
      </w:r>
      <w:proofErr w:type="spellStart"/>
      <w:r w:rsidRPr="005A5A82">
        <w:rPr>
          <w:rFonts w:ascii="Arial" w:hAnsi="Arial" w:cs="Arial"/>
        </w:rPr>
        <w:t>eTR</w:t>
      </w:r>
      <w:proofErr w:type="spellEnd"/>
      <w:r w:rsidRPr="005A5A82">
        <w:rPr>
          <w:rFonts w:ascii="Arial" w:hAnsi="Arial" w:cs="Arial"/>
        </w:rPr>
        <w:t xml:space="preserve"> data base.  In order to maintain confidentiality, data were cleaned and coded to remove any patient specific identifiers such as names and hospital numbers prior to analysis.</w:t>
      </w:r>
    </w:p>
    <w:p w14:paraId="5B5D61ED" w14:textId="77777777" w:rsidR="00CB62E5" w:rsidRPr="005A5A82" w:rsidRDefault="00CB62E5" w:rsidP="005A5A82">
      <w:pPr>
        <w:pStyle w:val="NoSpacing"/>
        <w:spacing w:line="360" w:lineRule="auto"/>
        <w:rPr>
          <w:rFonts w:ascii="Arial" w:hAnsi="Arial" w:cs="Arial"/>
          <w:lang w:val="en-ZA"/>
        </w:rPr>
      </w:pPr>
    </w:p>
    <w:p w14:paraId="28829C83" w14:textId="3D0C0DBF" w:rsidR="00CB62E5" w:rsidRPr="005A5A82" w:rsidRDefault="00267017" w:rsidP="005A5A82">
      <w:pPr>
        <w:pStyle w:val="NoSpacing"/>
        <w:spacing w:line="360" w:lineRule="auto"/>
        <w:rPr>
          <w:rFonts w:ascii="Arial" w:hAnsi="Arial" w:cs="Arial"/>
          <w:b/>
          <w:lang w:val="en-ZA"/>
        </w:rPr>
      </w:pPr>
      <w:r w:rsidRPr="005A5A82">
        <w:rPr>
          <w:rFonts w:ascii="Arial" w:hAnsi="Arial" w:cs="Arial"/>
          <w:b/>
          <w:lang w:val="en-ZA"/>
        </w:rPr>
        <w:t xml:space="preserve">3. </w:t>
      </w:r>
      <w:r w:rsidR="00CB62E5" w:rsidRPr="005A5A82">
        <w:rPr>
          <w:rFonts w:ascii="Arial" w:hAnsi="Arial" w:cs="Arial"/>
          <w:b/>
          <w:lang w:val="en-ZA"/>
        </w:rPr>
        <w:t>R</w:t>
      </w:r>
      <w:r w:rsidR="004B54C3" w:rsidRPr="005A5A82">
        <w:rPr>
          <w:rFonts w:ascii="Arial" w:hAnsi="Arial" w:cs="Arial"/>
          <w:b/>
          <w:lang w:val="en-ZA"/>
        </w:rPr>
        <w:t>esults</w:t>
      </w:r>
    </w:p>
    <w:p w14:paraId="78274F5C" w14:textId="77777777" w:rsidR="00267017" w:rsidRPr="005A5A82" w:rsidRDefault="00267017" w:rsidP="005A5A82">
      <w:pPr>
        <w:pStyle w:val="NoSpacing"/>
        <w:spacing w:line="360" w:lineRule="auto"/>
        <w:rPr>
          <w:rFonts w:ascii="Arial" w:hAnsi="Arial" w:cs="Arial"/>
        </w:rPr>
      </w:pPr>
    </w:p>
    <w:p w14:paraId="0DD861EC" w14:textId="67406D7B" w:rsidR="001A03E4" w:rsidRPr="005A5A82" w:rsidRDefault="00CB62E5" w:rsidP="005A5A82">
      <w:pPr>
        <w:pStyle w:val="NoSpacing"/>
        <w:spacing w:line="360" w:lineRule="auto"/>
        <w:rPr>
          <w:rFonts w:ascii="Arial" w:hAnsi="Arial" w:cs="Arial"/>
        </w:rPr>
      </w:pPr>
      <w:r w:rsidRPr="005A5A82">
        <w:rPr>
          <w:rFonts w:ascii="Arial" w:hAnsi="Arial" w:cs="Arial"/>
        </w:rPr>
        <w:t xml:space="preserve">During the </w:t>
      </w:r>
      <w:r w:rsidR="00267017" w:rsidRPr="005A5A82">
        <w:rPr>
          <w:rFonts w:ascii="Arial" w:hAnsi="Arial" w:cs="Arial"/>
        </w:rPr>
        <w:t>study</w:t>
      </w:r>
      <w:r w:rsidRPr="005A5A82">
        <w:rPr>
          <w:rFonts w:ascii="Arial" w:hAnsi="Arial" w:cs="Arial"/>
        </w:rPr>
        <w:t xml:space="preserve"> period (2004/ Q3–2016/Q1),</w:t>
      </w:r>
      <w:r w:rsidR="00B50EBD" w:rsidRPr="005A5A82">
        <w:rPr>
          <w:rFonts w:ascii="Arial" w:hAnsi="Arial" w:cs="Arial"/>
        </w:rPr>
        <w:t xml:space="preserve"> out of the 104,604 TB cases registered, 1 was excluded due to missing data on outcome and covariates</w:t>
      </w:r>
      <w:r w:rsidR="001A03E4" w:rsidRPr="005A5A82">
        <w:rPr>
          <w:rFonts w:ascii="Arial" w:hAnsi="Arial" w:cs="Arial"/>
        </w:rPr>
        <w:t xml:space="preserve"> (Figure 1).</w:t>
      </w:r>
      <w:r w:rsidR="00B50EBD" w:rsidRPr="005A5A82">
        <w:rPr>
          <w:rFonts w:ascii="Arial" w:hAnsi="Arial" w:cs="Arial"/>
        </w:rPr>
        <w:t xml:space="preserve"> </w:t>
      </w:r>
      <w:r w:rsidR="001A03E4" w:rsidRPr="005A5A82">
        <w:rPr>
          <w:rFonts w:ascii="Arial" w:hAnsi="Arial" w:cs="Arial"/>
        </w:rPr>
        <w:t xml:space="preserve">27747 patients </w:t>
      </w:r>
      <w:r w:rsidR="00B50EBD" w:rsidRPr="005A5A82">
        <w:rPr>
          <w:rFonts w:ascii="Arial" w:hAnsi="Arial" w:cs="Arial"/>
        </w:rPr>
        <w:t xml:space="preserve">had an outcome recorded as unavailable and were excluded from the bivariate and multivariate analysis and 2974 cases </w:t>
      </w:r>
      <w:r w:rsidR="001A03E4" w:rsidRPr="005A5A82">
        <w:rPr>
          <w:rFonts w:ascii="Arial" w:hAnsi="Arial" w:cs="Arial"/>
        </w:rPr>
        <w:t xml:space="preserve">eventually </w:t>
      </w:r>
      <w:r w:rsidR="00B50EBD" w:rsidRPr="005A5A82">
        <w:rPr>
          <w:rFonts w:ascii="Arial" w:hAnsi="Arial" w:cs="Arial"/>
        </w:rPr>
        <w:t xml:space="preserve">met the criteria for </w:t>
      </w:r>
      <w:r w:rsidR="003D54D0" w:rsidRPr="005A5A82">
        <w:rPr>
          <w:rFonts w:ascii="Arial" w:hAnsi="Arial" w:cs="Arial"/>
        </w:rPr>
        <w:t xml:space="preserve">multivariate analysis for all covariates </w:t>
      </w:r>
      <w:r w:rsidR="001A03E4" w:rsidRPr="005A5A82">
        <w:rPr>
          <w:rFonts w:ascii="Arial" w:hAnsi="Arial" w:cs="Arial"/>
        </w:rPr>
        <w:t xml:space="preserve">and were </w:t>
      </w:r>
      <w:r w:rsidR="003D54D0" w:rsidRPr="005A5A82">
        <w:rPr>
          <w:rFonts w:ascii="Arial" w:hAnsi="Arial" w:cs="Arial"/>
        </w:rPr>
        <w:t>entered in the model</w:t>
      </w:r>
      <w:r w:rsidR="001A03E4" w:rsidRPr="005A5A82">
        <w:rPr>
          <w:rFonts w:ascii="Arial" w:hAnsi="Arial" w:cs="Arial"/>
        </w:rPr>
        <w:t xml:space="preserve"> (Figure 1)</w:t>
      </w:r>
      <w:r w:rsidR="00B50EBD" w:rsidRPr="005A5A82">
        <w:rPr>
          <w:rFonts w:ascii="Arial" w:hAnsi="Arial" w:cs="Arial"/>
        </w:rPr>
        <w:t xml:space="preserve">. </w:t>
      </w:r>
    </w:p>
    <w:p w14:paraId="6E1B8A30" w14:textId="77777777" w:rsidR="001A03E4" w:rsidRPr="005A5A82" w:rsidRDefault="001A03E4" w:rsidP="005A5A82">
      <w:pPr>
        <w:pStyle w:val="NoSpacing"/>
        <w:spacing w:line="360" w:lineRule="auto"/>
        <w:rPr>
          <w:rFonts w:ascii="Arial" w:hAnsi="Arial" w:cs="Arial"/>
        </w:rPr>
      </w:pPr>
    </w:p>
    <w:p w14:paraId="3030C838" w14:textId="77777777" w:rsidR="00751E80" w:rsidRDefault="00751E80">
      <w:pPr>
        <w:spacing w:after="160" w:line="259" w:lineRule="auto"/>
        <w:rPr>
          <w:rFonts w:ascii="Arial" w:eastAsia="Times New Roman" w:hAnsi="Arial" w:cs="Arial"/>
        </w:rPr>
      </w:pPr>
      <w:r>
        <w:rPr>
          <w:rFonts w:ascii="Arial" w:hAnsi="Arial" w:cs="Arial"/>
        </w:rPr>
        <w:br w:type="page"/>
      </w:r>
    </w:p>
    <w:p w14:paraId="37926967" w14:textId="60BC3B03" w:rsidR="001A03E4" w:rsidRDefault="00751E80" w:rsidP="005A5A82">
      <w:pPr>
        <w:pStyle w:val="NoSpacing"/>
        <w:spacing w:line="360" w:lineRule="auto"/>
        <w:rPr>
          <w:rFonts w:ascii="Arial" w:hAnsi="Arial" w:cs="Arial"/>
        </w:rPr>
      </w:pPr>
      <w:r>
        <w:rPr>
          <w:rFonts w:ascii="Arial" w:hAnsi="Arial" w:cs="Arial"/>
        </w:rPr>
        <w:lastRenderedPageBreak/>
        <w:t>Figure 1 – Flow chart for inclusion criteria of TB cases</w:t>
      </w:r>
    </w:p>
    <w:p w14:paraId="4CA6D0CB" w14:textId="4320E9F5" w:rsidR="00751E80" w:rsidRPr="005A5A82" w:rsidRDefault="00751E80" w:rsidP="005A5A82">
      <w:pPr>
        <w:pStyle w:val="NoSpacing"/>
        <w:spacing w:line="360" w:lineRule="auto"/>
        <w:rPr>
          <w:rFonts w:ascii="Arial" w:hAnsi="Arial" w:cs="Arial"/>
        </w:rPr>
      </w:pPr>
      <w:r w:rsidRPr="00751E80">
        <w:rPr>
          <w:rFonts w:ascii="Arial" w:hAnsi="Arial" w:cs="Arial"/>
          <w:noProof/>
        </w:rPr>
        <w:drawing>
          <wp:inline distT="0" distB="0" distL="0" distR="0" wp14:anchorId="59280B96" wp14:editId="04A4D8E1">
            <wp:extent cx="5210175" cy="600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6000750"/>
                    </a:xfrm>
                    <a:prstGeom prst="rect">
                      <a:avLst/>
                    </a:prstGeom>
                    <a:noFill/>
                    <a:ln>
                      <a:noFill/>
                    </a:ln>
                  </pic:spPr>
                </pic:pic>
              </a:graphicData>
            </a:graphic>
          </wp:inline>
        </w:drawing>
      </w:r>
    </w:p>
    <w:p w14:paraId="22E0BC38" w14:textId="77777777" w:rsidR="001A03E4" w:rsidRPr="005A5A82" w:rsidRDefault="001A03E4" w:rsidP="005A5A82">
      <w:pPr>
        <w:pStyle w:val="NoSpacing"/>
        <w:spacing w:line="360" w:lineRule="auto"/>
        <w:rPr>
          <w:rFonts w:ascii="Arial" w:hAnsi="Arial" w:cs="Arial"/>
        </w:rPr>
      </w:pPr>
    </w:p>
    <w:p w14:paraId="073D4C3B" w14:textId="2034C11A" w:rsidR="00267017" w:rsidRPr="005A5A82" w:rsidRDefault="001A03E4" w:rsidP="005A5A82">
      <w:pPr>
        <w:pStyle w:val="NoSpacing"/>
        <w:spacing w:line="360" w:lineRule="auto"/>
        <w:rPr>
          <w:rFonts w:ascii="Arial" w:hAnsi="Arial" w:cs="Arial"/>
        </w:rPr>
      </w:pPr>
      <w:r w:rsidRPr="005A5A82">
        <w:rPr>
          <w:rFonts w:ascii="Arial" w:hAnsi="Arial" w:cs="Arial"/>
        </w:rPr>
        <w:t>Overall</w:t>
      </w:r>
      <w:r w:rsidR="009E5E9D" w:rsidRPr="005A5A82">
        <w:rPr>
          <w:rFonts w:ascii="Arial" w:hAnsi="Arial" w:cs="Arial"/>
        </w:rPr>
        <w:t>,</w:t>
      </w:r>
      <w:r w:rsidR="003D54D0" w:rsidRPr="005A5A82">
        <w:rPr>
          <w:rFonts w:ascii="Arial" w:hAnsi="Arial" w:cs="Arial"/>
        </w:rPr>
        <w:t xml:space="preserve"> </w:t>
      </w:r>
      <w:r w:rsidR="00CB62E5" w:rsidRPr="005A5A82">
        <w:rPr>
          <w:rFonts w:ascii="Arial" w:hAnsi="Arial" w:cs="Arial"/>
        </w:rPr>
        <w:t xml:space="preserve">a total 104,603 TB cases were registered at 300 DOTS sites in 37 districts in all 14 regions of Namibia. This gives an average of 2,226 (range: 1500 – 3500) cases registered every quarter. The majority of the cases were registered at primary health care facilities (78.9%), predominantly at health centers (62.8%) (Table 1). </w:t>
      </w:r>
    </w:p>
    <w:p w14:paraId="4B0BAFAD" w14:textId="2908D6FF" w:rsidR="00267017" w:rsidRPr="005A5A82" w:rsidRDefault="00267017" w:rsidP="005A5A82">
      <w:pPr>
        <w:pStyle w:val="NoSpacing"/>
        <w:spacing w:line="360" w:lineRule="auto"/>
        <w:rPr>
          <w:rFonts w:ascii="Arial" w:hAnsi="Arial" w:cs="Arial"/>
        </w:rPr>
      </w:pPr>
    </w:p>
    <w:p w14:paraId="7AB7C0F5" w14:textId="77777777" w:rsidR="00751E80" w:rsidRDefault="00751E80">
      <w:pPr>
        <w:spacing w:after="160" w:line="259" w:lineRule="auto"/>
        <w:rPr>
          <w:rFonts w:ascii="Arial" w:hAnsi="Arial" w:cs="Arial"/>
          <w:b/>
          <w:sz w:val="20"/>
          <w:szCs w:val="20"/>
        </w:rPr>
      </w:pPr>
      <w:r>
        <w:rPr>
          <w:rFonts w:ascii="Arial" w:hAnsi="Arial" w:cs="Arial"/>
          <w:b/>
          <w:sz w:val="20"/>
          <w:szCs w:val="20"/>
        </w:rPr>
        <w:br w:type="page"/>
      </w:r>
    </w:p>
    <w:p w14:paraId="5D867AA0" w14:textId="4E8FB8F7" w:rsidR="00751E80" w:rsidRPr="003C7378" w:rsidRDefault="00751E80" w:rsidP="00751E80">
      <w:pPr>
        <w:rPr>
          <w:rFonts w:ascii="Arial" w:hAnsi="Arial" w:cs="Arial"/>
          <w:b/>
          <w:sz w:val="20"/>
          <w:szCs w:val="20"/>
        </w:rPr>
      </w:pPr>
      <w:r w:rsidRPr="003C7378">
        <w:rPr>
          <w:rFonts w:ascii="Arial" w:hAnsi="Arial" w:cs="Arial"/>
          <w:b/>
          <w:sz w:val="20"/>
          <w:szCs w:val="20"/>
        </w:rPr>
        <w:lastRenderedPageBreak/>
        <w:t xml:space="preserve">Table 1: </w:t>
      </w:r>
      <w:r>
        <w:rPr>
          <w:rFonts w:ascii="Arial" w:hAnsi="Arial" w:cs="Arial"/>
          <w:b/>
          <w:sz w:val="20"/>
          <w:szCs w:val="20"/>
        </w:rPr>
        <w:t xml:space="preserve">Univariate analysis of </w:t>
      </w:r>
      <w:r w:rsidRPr="003C7378">
        <w:rPr>
          <w:rFonts w:ascii="Arial" w:hAnsi="Arial" w:cs="Arial"/>
          <w:b/>
          <w:sz w:val="20"/>
          <w:szCs w:val="20"/>
        </w:rPr>
        <w:t xml:space="preserve">covariates </w:t>
      </w:r>
      <w:r>
        <w:rPr>
          <w:rFonts w:ascii="Arial" w:hAnsi="Arial" w:cs="Arial"/>
          <w:b/>
          <w:sz w:val="20"/>
          <w:szCs w:val="20"/>
        </w:rPr>
        <w:t>with</w:t>
      </w:r>
      <w:r w:rsidRPr="003C7378">
        <w:rPr>
          <w:rFonts w:ascii="Arial" w:hAnsi="Arial" w:cs="Arial"/>
          <w:b/>
          <w:sz w:val="20"/>
          <w:szCs w:val="20"/>
        </w:rPr>
        <w:t xml:space="preserve"> treatment outcome (n=</w:t>
      </w:r>
      <w:r>
        <w:rPr>
          <w:rFonts w:ascii="Arial" w:hAnsi="Arial" w:cs="Arial"/>
          <w:b/>
          <w:sz w:val="20"/>
          <w:szCs w:val="20"/>
        </w:rPr>
        <w:t>76,856</w:t>
      </w:r>
      <w:r w:rsidRPr="003C7378">
        <w:rPr>
          <w:rFonts w:ascii="Arial" w:hAnsi="Arial" w:cs="Arial"/>
          <w:b/>
          <w:sz w:val="20"/>
          <w:szCs w:val="20"/>
        </w:rPr>
        <w:t>)</w:t>
      </w:r>
    </w:p>
    <w:tbl>
      <w:tblPr>
        <w:tblStyle w:val="LightShading1"/>
        <w:tblW w:w="5327" w:type="pct"/>
        <w:tblInd w:w="-522" w:type="dxa"/>
        <w:shd w:val="clear" w:color="auto" w:fill="FFFFFF" w:themeFill="background1"/>
        <w:tblLayout w:type="fixed"/>
        <w:tblLook w:val="04A0" w:firstRow="1" w:lastRow="0" w:firstColumn="1" w:lastColumn="0" w:noHBand="0" w:noVBand="1"/>
      </w:tblPr>
      <w:tblGrid>
        <w:gridCol w:w="2408"/>
        <w:gridCol w:w="1581"/>
        <w:gridCol w:w="1681"/>
        <w:gridCol w:w="1458"/>
        <w:gridCol w:w="667"/>
        <w:gridCol w:w="1027"/>
        <w:gridCol w:w="794"/>
      </w:tblGrid>
      <w:tr w:rsidR="00751E80" w:rsidRPr="006F36B0" w14:paraId="1EADE1AA" w14:textId="77777777" w:rsidTr="00A46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Merge w:val="restart"/>
            <w:tcBorders>
              <w:top w:val="single" w:sz="18" w:space="0" w:color="auto"/>
            </w:tcBorders>
            <w:shd w:val="clear" w:color="auto" w:fill="FFFFFF" w:themeFill="background1"/>
          </w:tcPr>
          <w:p w14:paraId="0B1B36FA" w14:textId="77777777" w:rsidR="00751E80" w:rsidRPr="006F36B0" w:rsidRDefault="00751E80" w:rsidP="00A46E4A">
            <w:pPr>
              <w:rPr>
                <w:rFonts w:ascii="Arial" w:hAnsi="Arial" w:cs="Arial"/>
                <w:sz w:val="18"/>
                <w:szCs w:val="18"/>
              </w:rPr>
            </w:pPr>
            <w:r w:rsidRPr="006F36B0">
              <w:rPr>
                <w:rFonts w:ascii="Arial" w:hAnsi="Arial" w:cs="Arial"/>
                <w:sz w:val="18"/>
                <w:szCs w:val="18"/>
              </w:rPr>
              <w:t>Characteristic</w:t>
            </w:r>
          </w:p>
        </w:tc>
        <w:tc>
          <w:tcPr>
            <w:tcW w:w="822" w:type="pct"/>
            <w:vMerge w:val="restart"/>
            <w:tcBorders>
              <w:top w:val="single" w:sz="18" w:space="0" w:color="auto"/>
            </w:tcBorders>
            <w:shd w:val="clear" w:color="auto" w:fill="FFFFFF" w:themeFill="background1"/>
          </w:tcPr>
          <w:p w14:paraId="2E18C90C" w14:textId="77777777" w:rsidR="00751E80" w:rsidRPr="006F36B0" w:rsidRDefault="00751E80" w:rsidP="00A46E4A">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Total (%)</w:t>
            </w:r>
          </w:p>
          <w:p w14:paraId="07E59BFE" w14:textId="77777777" w:rsidR="00751E80" w:rsidRPr="006F36B0" w:rsidRDefault="00751E80" w:rsidP="00A46E4A">
            <w:pP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highlight w:val="yellow"/>
              </w:rPr>
            </w:pPr>
          </w:p>
        </w:tc>
        <w:tc>
          <w:tcPr>
            <w:tcW w:w="1632" w:type="pct"/>
            <w:gridSpan w:val="2"/>
            <w:tcBorders>
              <w:top w:val="single" w:sz="18" w:space="0" w:color="auto"/>
            </w:tcBorders>
            <w:shd w:val="clear" w:color="auto" w:fill="FFFFFF" w:themeFill="background1"/>
          </w:tcPr>
          <w:p w14:paraId="0E9E0F75" w14:textId="77777777" w:rsidR="00751E80" w:rsidRPr="006F36B0" w:rsidRDefault="00751E80" w:rsidP="00A46E4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Treatment outcome (%)</w:t>
            </w:r>
          </w:p>
        </w:tc>
        <w:tc>
          <w:tcPr>
            <w:tcW w:w="347" w:type="pct"/>
            <w:vMerge w:val="restart"/>
            <w:tcBorders>
              <w:top w:val="single" w:sz="18" w:space="0" w:color="auto"/>
            </w:tcBorders>
            <w:shd w:val="clear" w:color="auto" w:fill="FFFFFF" w:themeFill="background1"/>
          </w:tcPr>
          <w:p w14:paraId="60C3A71C" w14:textId="77777777" w:rsidR="00751E80" w:rsidRPr="006F36B0" w:rsidRDefault="00751E80" w:rsidP="00A46E4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auto"/>
                <w:sz w:val="18"/>
                <w:szCs w:val="18"/>
              </w:rPr>
              <w:sym w:font="Symbol" w:char="0063"/>
            </w:r>
            <w:r w:rsidRPr="006F36B0">
              <w:rPr>
                <w:rFonts w:ascii="Arial" w:hAnsi="Arial" w:cs="Arial"/>
                <w:color w:val="auto"/>
                <w:sz w:val="18"/>
                <w:szCs w:val="18"/>
                <w:vertAlign w:val="superscript"/>
              </w:rPr>
              <w:t>2</w:t>
            </w:r>
          </w:p>
          <w:p w14:paraId="4CEED26F" w14:textId="77777777" w:rsidR="00751E80" w:rsidRPr="006F36B0" w:rsidRDefault="00751E80" w:rsidP="00A46E4A">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 xml:space="preserve"> </w:t>
            </w:r>
          </w:p>
        </w:tc>
        <w:tc>
          <w:tcPr>
            <w:tcW w:w="534" w:type="pct"/>
            <w:vMerge w:val="restart"/>
            <w:tcBorders>
              <w:top w:val="single" w:sz="18" w:space="0" w:color="auto"/>
            </w:tcBorders>
            <w:shd w:val="clear" w:color="auto" w:fill="FFFFFF" w:themeFill="background1"/>
          </w:tcPr>
          <w:p w14:paraId="010BD06F" w14:textId="77777777" w:rsidR="00751E80" w:rsidRPr="006F36B0" w:rsidRDefault="00751E80" w:rsidP="00A46E4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Cramer’s</w:t>
            </w:r>
          </w:p>
          <w:p w14:paraId="3D47D936" w14:textId="77777777" w:rsidR="00751E80" w:rsidRPr="006F36B0" w:rsidRDefault="00751E80" w:rsidP="00A46E4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V</w:t>
            </w:r>
          </w:p>
        </w:tc>
        <w:tc>
          <w:tcPr>
            <w:tcW w:w="413" w:type="pct"/>
            <w:vMerge w:val="restart"/>
            <w:tcBorders>
              <w:top w:val="single" w:sz="18" w:space="0" w:color="auto"/>
            </w:tcBorders>
            <w:shd w:val="clear" w:color="auto" w:fill="FFFFFF" w:themeFill="background1"/>
          </w:tcPr>
          <w:p w14:paraId="0864D0E0" w14:textId="77777777" w:rsidR="00751E80" w:rsidRPr="006F36B0" w:rsidRDefault="00751E80" w:rsidP="00A46E4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sidRPr="006F36B0">
              <w:rPr>
                <w:rFonts w:ascii="Arial" w:hAnsi="Arial" w:cs="Arial"/>
                <w:sz w:val="18"/>
                <w:szCs w:val="18"/>
              </w:rPr>
              <w:t>p-value</w:t>
            </w:r>
          </w:p>
        </w:tc>
      </w:tr>
      <w:tr w:rsidR="00751E80" w:rsidRPr="006F36B0" w14:paraId="1AE060A0" w14:textId="77777777" w:rsidTr="00A46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vMerge/>
            <w:tcBorders>
              <w:top w:val="single" w:sz="8" w:space="0" w:color="000000" w:themeColor="text1"/>
              <w:bottom w:val="single" w:sz="18" w:space="0" w:color="000000" w:themeColor="text1"/>
            </w:tcBorders>
            <w:shd w:val="clear" w:color="auto" w:fill="FFFFFF" w:themeFill="background1"/>
          </w:tcPr>
          <w:p w14:paraId="0FB70AC1" w14:textId="77777777" w:rsidR="00751E80" w:rsidRPr="006F36B0" w:rsidRDefault="00751E80" w:rsidP="00A46E4A">
            <w:pPr>
              <w:rPr>
                <w:rFonts w:ascii="Arial" w:hAnsi="Arial" w:cs="Arial"/>
                <w:sz w:val="18"/>
                <w:szCs w:val="18"/>
              </w:rPr>
            </w:pPr>
          </w:p>
        </w:tc>
        <w:tc>
          <w:tcPr>
            <w:tcW w:w="822" w:type="pct"/>
            <w:vMerge/>
            <w:tcBorders>
              <w:top w:val="single" w:sz="8" w:space="0" w:color="000000" w:themeColor="text1"/>
              <w:bottom w:val="single" w:sz="18" w:space="0" w:color="000000" w:themeColor="text1"/>
            </w:tcBorders>
            <w:shd w:val="clear" w:color="auto" w:fill="FFFFFF" w:themeFill="background1"/>
          </w:tcPr>
          <w:p w14:paraId="7C245957"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874" w:type="pct"/>
            <w:tcBorders>
              <w:top w:val="single" w:sz="8" w:space="0" w:color="000000" w:themeColor="text1"/>
              <w:bottom w:val="single" w:sz="18" w:space="0" w:color="000000" w:themeColor="text1"/>
            </w:tcBorders>
            <w:shd w:val="clear" w:color="auto" w:fill="FFFFFF" w:themeFill="background1"/>
          </w:tcPr>
          <w:p w14:paraId="19844689"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36B0">
              <w:rPr>
                <w:rFonts w:ascii="Arial" w:hAnsi="Arial" w:cs="Arial"/>
                <w:b/>
                <w:sz w:val="18"/>
                <w:szCs w:val="18"/>
              </w:rPr>
              <w:t>Successful</w:t>
            </w:r>
          </w:p>
        </w:tc>
        <w:tc>
          <w:tcPr>
            <w:tcW w:w="758" w:type="pct"/>
            <w:tcBorders>
              <w:top w:val="single" w:sz="8" w:space="0" w:color="000000" w:themeColor="text1"/>
              <w:bottom w:val="single" w:sz="18" w:space="0" w:color="000000" w:themeColor="text1"/>
            </w:tcBorders>
            <w:shd w:val="clear" w:color="auto" w:fill="FFFFFF" w:themeFill="background1"/>
          </w:tcPr>
          <w:p w14:paraId="0292A6DA"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F36B0">
              <w:rPr>
                <w:rFonts w:ascii="Arial" w:hAnsi="Arial" w:cs="Arial"/>
                <w:b/>
                <w:sz w:val="18"/>
                <w:szCs w:val="18"/>
              </w:rPr>
              <w:t>Unsuccessful</w:t>
            </w:r>
          </w:p>
        </w:tc>
        <w:tc>
          <w:tcPr>
            <w:tcW w:w="347" w:type="pct"/>
            <w:vMerge/>
            <w:tcBorders>
              <w:top w:val="single" w:sz="8" w:space="0" w:color="000000" w:themeColor="text1"/>
              <w:bottom w:val="single" w:sz="18" w:space="0" w:color="000000" w:themeColor="text1"/>
            </w:tcBorders>
            <w:shd w:val="clear" w:color="auto" w:fill="FFFFFF" w:themeFill="background1"/>
          </w:tcPr>
          <w:p w14:paraId="4F17ABB2"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34" w:type="pct"/>
            <w:vMerge/>
            <w:tcBorders>
              <w:top w:val="single" w:sz="8" w:space="0" w:color="000000" w:themeColor="text1"/>
              <w:bottom w:val="single" w:sz="18" w:space="0" w:color="000000" w:themeColor="text1"/>
            </w:tcBorders>
            <w:shd w:val="clear" w:color="auto" w:fill="FFFFFF" w:themeFill="background1"/>
          </w:tcPr>
          <w:p w14:paraId="5A22B5D7"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413" w:type="pct"/>
            <w:vMerge/>
            <w:tcBorders>
              <w:top w:val="single" w:sz="8" w:space="0" w:color="000000" w:themeColor="text1"/>
              <w:bottom w:val="single" w:sz="18" w:space="0" w:color="000000" w:themeColor="text1"/>
            </w:tcBorders>
            <w:shd w:val="clear" w:color="auto" w:fill="FFFFFF" w:themeFill="background1"/>
          </w:tcPr>
          <w:p w14:paraId="00A6D259"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751E80" w:rsidRPr="006F36B0" w14:paraId="6BABE72A" w14:textId="77777777" w:rsidTr="00A46E4A">
        <w:tc>
          <w:tcPr>
            <w:cnfStyle w:val="001000000000" w:firstRow="0" w:lastRow="0" w:firstColumn="1" w:lastColumn="0" w:oddVBand="0" w:evenVBand="0" w:oddHBand="0" w:evenHBand="0" w:firstRowFirstColumn="0" w:firstRowLastColumn="0" w:lastRowFirstColumn="0" w:lastRowLastColumn="0"/>
            <w:tcW w:w="1252" w:type="pct"/>
            <w:tcBorders>
              <w:top w:val="single" w:sz="18" w:space="0" w:color="000000" w:themeColor="text1"/>
              <w:bottom w:val="single" w:sz="8" w:space="0" w:color="000000" w:themeColor="text1"/>
              <w:right w:val="nil"/>
            </w:tcBorders>
            <w:shd w:val="clear" w:color="auto" w:fill="FFFFFF" w:themeFill="background1"/>
          </w:tcPr>
          <w:p w14:paraId="2CE787C2" w14:textId="77777777" w:rsidR="00751E80" w:rsidRPr="006F36B0" w:rsidRDefault="00751E80" w:rsidP="00A46E4A">
            <w:pPr>
              <w:rPr>
                <w:rFonts w:ascii="Arial" w:hAnsi="Arial" w:cs="Arial"/>
                <w:sz w:val="18"/>
                <w:szCs w:val="18"/>
              </w:rPr>
            </w:pPr>
            <w:r w:rsidRPr="006F36B0">
              <w:rPr>
                <w:rFonts w:ascii="Arial" w:hAnsi="Arial" w:cs="Arial"/>
                <w:sz w:val="18"/>
                <w:szCs w:val="18"/>
              </w:rPr>
              <w:t>Regions</w:t>
            </w:r>
          </w:p>
          <w:p w14:paraId="494FF435" w14:textId="77777777" w:rsidR="00751E80" w:rsidRPr="006F36B0" w:rsidRDefault="00751E80" w:rsidP="00A46E4A">
            <w:pPr>
              <w:rPr>
                <w:rFonts w:ascii="Arial" w:hAnsi="Arial" w:cs="Arial"/>
                <w:b w:val="0"/>
                <w:sz w:val="18"/>
                <w:szCs w:val="18"/>
              </w:rPr>
            </w:pPr>
            <w:proofErr w:type="spellStart"/>
            <w:r w:rsidRPr="006F36B0">
              <w:rPr>
                <w:rFonts w:ascii="Arial" w:hAnsi="Arial" w:cs="Arial"/>
                <w:b w:val="0"/>
                <w:sz w:val="18"/>
                <w:szCs w:val="18"/>
              </w:rPr>
              <w:t>Khomas</w:t>
            </w:r>
            <w:proofErr w:type="spellEnd"/>
          </w:p>
          <w:p w14:paraId="1B586578" w14:textId="77777777" w:rsidR="00751E80" w:rsidRPr="006F36B0" w:rsidRDefault="00751E80" w:rsidP="00A46E4A">
            <w:pPr>
              <w:rPr>
                <w:rFonts w:ascii="Arial" w:hAnsi="Arial" w:cs="Arial"/>
                <w:b w:val="0"/>
                <w:sz w:val="18"/>
                <w:szCs w:val="18"/>
              </w:rPr>
            </w:pPr>
            <w:proofErr w:type="spellStart"/>
            <w:r w:rsidRPr="006F36B0">
              <w:rPr>
                <w:rFonts w:ascii="Arial" w:hAnsi="Arial" w:cs="Arial"/>
                <w:b w:val="0"/>
                <w:sz w:val="18"/>
                <w:szCs w:val="18"/>
              </w:rPr>
              <w:t>Erongo</w:t>
            </w:r>
            <w:proofErr w:type="spellEnd"/>
          </w:p>
          <w:p w14:paraId="29395E0C" w14:textId="77777777" w:rsidR="00751E80" w:rsidRPr="006F36B0" w:rsidRDefault="00751E80" w:rsidP="00A46E4A">
            <w:pPr>
              <w:rPr>
                <w:rFonts w:ascii="Arial" w:hAnsi="Arial" w:cs="Arial"/>
                <w:b w:val="0"/>
                <w:sz w:val="18"/>
                <w:szCs w:val="18"/>
              </w:rPr>
            </w:pPr>
            <w:proofErr w:type="spellStart"/>
            <w:r w:rsidRPr="006F36B0">
              <w:rPr>
                <w:rFonts w:ascii="Arial" w:hAnsi="Arial" w:cs="Arial"/>
                <w:b w:val="0"/>
                <w:sz w:val="18"/>
                <w:szCs w:val="18"/>
              </w:rPr>
              <w:t>Ohangwena</w:t>
            </w:r>
            <w:proofErr w:type="spellEnd"/>
          </w:p>
          <w:p w14:paraId="18D9C7B5" w14:textId="77777777" w:rsidR="00751E80" w:rsidRPr="006F36B0" w:rsidRDefault="00751E80" w:rsidP="00A46E4A">
            <w:pPr>
              <w:rPr>
                <w:rFonts w:ascii="Arial" w:hAnsi="Arial" w:cs="Arial"/>
                <w:b w:val="0"/>
                <w:sz w:val="18"/>
                <w:szCs w:val="18"/>
              </w:rPr>
            </w:pPr>
            <w:proofErr w:type="spellStart"/>
            <w:r w:rsidRPr="006F36B0">
              <w:rPr>
                <w:rFonts w:ascii="Arial" w:hAnsi="Arial" w:cs="Arial"/>
                <w:b w:val="0"/>
                <w:sz w:val="18"/>
                <w:szCs w:val="18"/>
              </w:rPr>
              <w:t>Oshikoto</w:t>
            </w:r>
            <w:proofErr w:type="spellEnd"/>
          </w:p>
          <w:p w14:paraId="75CF19F5" w14:textId="77777777" w:rsidR="00751E80" w:rsidRPr="006F36B0" w:rsidRDefault="00751E80" w:rsidP="00A46E4A">
            <w:pPr>
              <w:rPr>
                <w:rFonts w:ascii="Arial" w:hAnsi="Arial" w:cs="Arial"/>
                <w:b w:val="0"/>
                <w:sz w:val="18"/>
                <w:szCs w:val="18"/>
              </w:rPr>
            </w:pPr>
            <w:proofErr w:type="spellStart"/>
            <w:r w:rsidRPr="006F36B0">
              <w:rPr>
                <w:rFonts w:ascii="Arial" w:hAnsi="Arial" w:cs="Arial"/>
                <w:b w:val="0"/>
                <w:sz w:val="18"/>
                <w:szCs w:val="18"/>
              </w:rPr>
              <w:t>Kavango</w:t>
            </w:r>
            <w:proofErr w:type="spellEnd"/>
            <w:r w:rsidRPr="006F36B0">
              <w:rPr>
                <w:rFonts w:ascii="Arial" w:hAnsi="Arial" w:cs="Arial"/>
                <w:b w:val="0"/>
                <w:sz w:val="18"/>
                <w:szCs w:val="18"/>
              </w:rPr>
              <w:t xml:space="preserve"> West</w:t>
            </w:r>
          </w:p>
          <w:p w14:paraId="2523B67B" w14:textId="77777777" w:rsidR="00751E80" w:rsidRPr="006F36B0" w:rsidRDefault="00751E80" w:rsidP="00A46E4A">
            <w:pPr>
              <w:rPr>
                <w:rFonts w:ascii="Arial" w:hAnsi="Arial" w:cs="Arial"/>
                <w:b w:val="0"/>
                <w:sz w:val="18"/>
                <w:szCs w:val="18"/>
              </w:rPr>
            </w:pPr>
            <w:proofErr w:type="spellStart"/>
            <w:r w:rsidRPr="006F36B0">
              <w:rPr>
                <w:rFonts w:ascii="Arial" w:hAnsi="Arial" w:cs="Arial"/>
                <w:b w:val="0"/>
                <w:sz w:val="18"/>
                <w:szCs w:val="18"/>
              </w:rPr>
              <w:t>Karas</w:t>
            </w:r>
            <w:proofErr w:type="spellEnd"/>
          </w:p>
          <w:p w14:paraId="661C4481" w14:textId="77777777" w:rsidR="00751E80" w:rsidRPr="006F36B0" w:rsidRDefault="00751E80" w:rsidP="00A46E4A">
            <w:pPr>
              <w:rPr>
                <w:rFonts w:ascii="Arial" w:hAnsi="Arial" w:cs="Arial"/>
                <w:b w:val="0"/>
                <w:sz w:val="18"/>
                <w:szCs w:val="18"/>
              </w:rPr>
            </w:pPr>
            <w:proofErr w:type="spellStart"/>
            <w:r w:rsidRPr="006F36B0">
              <w:rPr>
                <w:rFonts w:ascii="Arial" w:hAnsi="Arial" w:cs="Arial"/>
                <w:b w:val="0"/>
                <w:sz w:val="18"/>
                <w:szCs w:val="18"/>
              </w:rPr>
              <w:t>Otjozondjupa</w:t>
            </w:r>
            <w:proofErr w:type="spellEnd"/>
          </w:p>
          <w:p w14:paraId="657CEF10"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Omaheke</w:t>
            </w:r>
          </w:p>
          <w:p w14:paraId="04EC2FBA"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Zambezi</w:t>
            </w:r>
          </w:p>
          <w:p w14:paraId="73EFB029" w14:textId="77777777" w:rsidR="00751E80" w:rsidRPr="006F36B0" w:rsidRDefault="00751E80" w:rsidP="00A46E4A">
            <w:pPr>
              <w:rPr>
                <w:rFonts w:ascii="Arial" w:hAnsi="Arial" w:cs="Arial"/>
                <w:b w:val="0"/>
                <w:sz w:val="18"/>
                <w:szCs w:val="18"/>
              </w:rPr>
            </w:pPr>
            <w:proofErr w:type="spellStart"/>
            <w:r w:rsidRPr="006F36B0">
              <w:rPr>
                <w:rFonts w:ascii="Arial" w:hAnsi="Arial" w:cs="Arial"/>
                <w:b w:val="0"/>
                <w:sz w:val="18"/>
                <w:szCs w:val="18"/>
              </w:rPr>
              <w:t>Hardap</w:t>
            </w:r>
            <w:proofErr w:type="spellEnd"/>
          </w:p>
          <w:p w14:paraId="4D45FA92"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Kunene</w:t>
            </w:r>
          </w:p>
          <w:p w14:paraId="10AA9F9D" w14:textId="77777777" w:rsidR="00751E80" w:rsidRPr="006F36B0" w:rsidRDefault="00751E80" w:rsidP="00A46E4A">
            <w:pPr>
              <w:rPr>
                <w:rFonts w:ascii="Arial" w:hAnsi="Arial" w:cs="Arial"/>
                <w:b w:val="0"/>
                <w:sz w:val="18"/>
                <w:szCs w:val="18"/>
              </w:rPr>
            </w:pPr>
            <w:proofErr w:type="spellStart"/>
            <w:r w:rsidRPr="006F36B0">
              <w:rPr>
                <w:rFonts w:ascii="Arial" w:hAnsi="Arial" w:cs="Arial"/>
                <w:b w:val="0"/>
                <w:sz w:val="18"/>
                <w:szCs w:val="18"/>
              </w:rPr>
              <w:t>Kavango</w:t>
            </w:r>
            <w:proofErr w:type="spellEnd"/>
            <w:r w:rsidRPr="006F36B0">
              <w:rPr>
                <w:rFonts w:ascii="Arial" w:hAnsi="Arial" w:cs="Arial"/>
                <w:b w:val="0"/>
                <w:sz w:val="18"/>
                <w:szCs w:val="18"/>
              </w:rPr>
              <w:t xml:space="preserve"> East</w:t>
            </w:r>
          </w:p>
          <w:p w14:paraId="7CBA0513"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Oshana</w:t>
            </w:r>
          </w:p>
          <w:p w14:paraId="0761AF34" w14:textId="77777777" w:rsidR="00751E80" w:rsidRPr="006F36B0" w:rsidRDefault="00751E80" w:rsidP="00A46E4A">
            <w:pPr>
              <w:rPr>
                <w:rFonts w:ascii="Arial" w:hAnsi="Arial" w:cs="Arial"/>
                <w:sz w:val="18"/>
                <w:szCs w:val="18"/>
              </w:rPr>
            </w:pPr>
            <w:proofErr w:type="spellStart"/>
            <w:r w:rsidRPr="006F36B0">
              <w:rPr>
                <w:rFonts w:ascii="Arial" w:hAnsi="Arial" w:cs="Arial"/>
                <w:b w:val="0"/>
                <w:sz w:val="18"/>
                <w:szCs w:val="18"/>
              </w:rPr>
              <w:t>Omusati</w:t>
            </w:r>
            <w:proofErr w:type="spellEnd"/>
          </w:p>
        </w:tc>
        <w:tc>
          <w:tcPr>
            <w:tcW w:w="822" w:type="pct"/>
            <w:tcBorders>
              <w:top w:val="single" w:sz="18" w:space="0" w:color="000000" w:themeColor="text1"/>
              <w:left w:val="nil"/>
              <w:bottom w:val="single" w:sz="8" w:space="0" w:color="000000" w:themeColor="text1"/>
              <w:right w:val="nil"/>
            </w:tcBorders>
            <w:shd w:val="clear" w:color="auto" w:fill="FFFFFF" w:themeFill="background1"/>
          </w:tcPr>
          <w:p w14:paraId="498B16C3"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F36B0">
              <w:rPr>
                <w:rFonts w:ascii="Arial" w:hAnsi="Arial" w:cs="Arial"/>
                <w:b/>
                <w:color w:val="000000"/>
                <w:sz w:val="18"/>
                <w:szCs w:val="18"/>
              </w:rPr>
              <w:t>N=76856</w:t>
            </w:r>
          </w:p>
          <w:p w14:paraId="77F50B81"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15378(20.0)</w:t>
            </w:r>
          </w:p>
          <w:p w14:paraId="0EC75DCF"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9480</w:t>
            </w:r>
            <w:r w:rsidRPr="006F36B0">
              <w:rPr>
                <w:rFonts w:ascii="Arial" w:hAnsi="Arial" w:cs="Arial"/>
                <w:sz w:val="18"/>
                <w:szCs w:val="18"/>
              </w:rPr>
              <w:t xml:space="preserve"> (12.3)</w:t>
            </w:r>
          </w:p>
          <w:p w14:paraId="1166911D"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7520</w:t>
            </w:r>
            <w:r w:rsidRPr="006F36B0">
              <w:rPr>
                <w:rFonts w:ascii="Arial" w:hAnsi="Arial" w:cs="Arial"/>
                <w:sz w:val="18"/>
                <w:szCs w:val="18"/>
              </w:rPr>
              <w:t xml:space="preserve"> (9.8)</w:t>
            </w:r>
          </w:p>
          <w:p w14:paraId="26D9C0E1"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7355</w:t>
            </w:r>
            <w:r w:rsidRPr="006F36B0">
              <w:rPr>
                <w:rFonts w:ascii="Arial" w:hAnsi="Arial" w:cs="Arial"/>
                <w:sz w:val="18"/>
                <w:szCs w:val="18"/>
              </w:rPr>
              <w:t xml:space="preserve"> (9.6)</w:t>
            </w:r>
          </w:p>
          <w:p w14:paraId="0AC94C30"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5595</w:t>
            </w:r>
            <w:r w:rsidRPr="006F36B0">
              <w:rPr>
                <w:rFonts w:ascii="Arial" w:hAnsi="Arial" w:cs="Arial"/>
                <w:sz w:val="18"/>
                <w:szCs w:val="18"/>
              </w:rPr>
              <w:t xml:space="preserve"> (7.3)</w:t>
            </w:r>
          </w:p>
          <w:p w14:paraId="677C75BF"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4888</w:t>
            </w:r>
            <w:r w:rsidRPr="006F36B0">
              <w:rPr>
                <w:rFonts w:ascii="Arial" w:hAnsi="Arial" w:cs="Arial"/>
                <w:sz w:val="18"/>
                <w:szCs w:val="18"/>
              </w:rPr>
              <w:t xml:space="preserve"> (6.4)</w:t>
            </w:r>
          </w:p>
          <w:p w14:paraId="2CBE15F3"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4638</w:t>
            </w:r>
            <w:r w:rsidRPr="006F36B0">
              <w:rPr>
                <w:rFonts w:ascii="Arial" w:hAnsi="Arial" w:cs="Arial"/>
                <w:sz w:val="18"/>
                <w:szCs w:val="18"/>
              </w:rPr>
              <w:t xml:space="preserve"> (6.0)</w:t>
            </w:r>
          </w:p>
          <w:p w14:paraId="135CE4E5"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3219</w:t>
            </w:r>
            <w:r w:rsidRPr="006F36B0">
              <w:rPr>
                <w:rFonts w:ascii="Arial" w:hAnsi="Arial" w:cs="Arial"/>
                <w:sz w:val="18"/>
                <w:szCs w:val="18"/>
              </w:rPr>
              <w:t xml:space="preserve"> (4.2)</w:t>
            </w:r>
          </w:p>
          <w:p w14:paraId="6DC5E1F5"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3057</w:t>
            </w:r>
            <w:r w:rsidRPr="006F36B0">
              <w:rPr>
                <w:rFonts w:ascii="Arial" w:hAnsi="Arial" w:cs="Arial"/>
                <w:sz w:val="18"/>
                <w:szCs w:val="18"/>
              </w:rPr>
              <w:t xml:space="preserve"> (4.0)</w:t>
            </w:r>
          </w:p>
          <w:p w14:paraId="5B7A59C1"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3069</w:t>
            </w:r>
            <w:r w:rsidRPr="006F36B0">
              <w:rPr>
                <w:rFonts w:ascii="Arial" w:hAnsi="Arial" w:cs="Arial"/>
                <w:sz w:val="18"/>
                <w:szCs w:val="18"/>
              </w:rPr>
              <w:t xml:space="preserve"> (4.0)</w:t>
            </w:r>
          </w:p>
          <w:p w14:paraId="7FD234B9"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2456</w:t>
            </w:r>
            <w:r w:rsidRPr="006F36B0">
              <w:rPr>
                <w:rFonts w:ascii="Arial" w:hAnsi="Arial" w:cs="Arial"/>
                <w:sz w:val="18"/>
                <w:szCs w:val="18"/>
              </w:rPr>
              <w:t xml:space="preserve"> (3.2)</w:t>
            </w:r>
          </w:p>
          <w:p w14:paraId="3E3DA7D3"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1538</w:t>
            </w:r>
            <w:r w:rsidRPr="006F36B0">
              <w:rPr>
                <w:rFonts w:ascii="Arial" w:hAnsi="Arial" w:cs="Arial"/>
                <w:sz w:val="18"/>
                <w:szCs w:val="18"/>
              </w:rPr>
              <w:t xml:space="preserve"> (2.0)</w:t>
            </w:r>
          </w:p>
          <w:p w14:paraId="5E5C24FD"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6F36B0">
              <w:rPr>
                <w:rFonts w:ascii="Arial" w:hAnsi="Arial" w:cs="Arial"/>
                <w:color w:val="000000"/>
                <w:sz w:val="18"/>
                <w:szCs w:val="18"/>
              </w:rPr>
              <w:t xml:space="preserve">1858 </w:t>
            </w:r>
            <w:r w:rsidRPr="006F36B0">
              <w:rPr>
                <w:rFonts w:ascii="Arial" w:hAnsi="Arial" w:cs="Arial"/>
                <w:sz w:val="18"/>
                <w:szCs w:val="18"/>
              </w:rPr>
              <w:t>(2.4)</w:t>
            </w:r>
          </w:p>
          <w:p w14:paraId="1003E7DD"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6F36B0">
              <w:rPr>
                <w:rFonts w:ascii="Arial" w:hAnsi="Arial" w:cs="Arial"/>
                <w:color w:val="000000"/>
                <w:sz w:val="18"/>
                <w:szCs w:val="18"/>
              </w:rPr>
              <w:t xml:space="preserve">6805 </w:t>
            </w:r>
            <w:r w:rsidRPr="006F36B0">
              <w:rPr>
                <w:rFonts w:ascii="Arial" w:hAnsi="Arial" w:cs="Arial"/>
                <w:sz w:val="18"/>
                <w:szCs w:val="18"/>
              </w:rPr>
              <w:t>(8.9)</w:t>
            </w:r>
          </w:p>
        </w:tc>
        <w:tc>
          <w:tcPr>
            <w:tcW w:w="874" w:type="pct"/>
            <w:tcBorders>
              <w:top w:val="single" w:sz="18" w:space="0" w:color="000000" w:themeColor="text1"/>
              <w:left w:val="nil"/>
              <w:bottom w:val="single" w:sz="8" w:space="0" w:color="000000" w:themeColor="text1"/>
              <w:right w:val="nil"/>
            </w:tcBorders>
            <w:shd w:val="clear" w:color="auto" w:fill="FFFFFF" w:themeFill="background1"/>
          </w:tcPr>
          <w:p w14:paraId="00E2B69F"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6F36B0">
              <w:rPr>
                <w:rFonts w:ascii="Arial" w:hAnsi="Arial" w:cs="Arial"/>
                <w:b/>
                <w:color w:val="000000" w:themeColor="text1"/>
                <w:sz w:val="18"/>
                <w:szCs w:val="18"/>
              </w:rPr>
              <w:t>61338(79.8)</w:t>
            </w:r>
          </w:p>
          <w:p w14:paraId="1484A11F"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12105(78.7)</w:t>
            </w:r>
          </w:p>
          <w:p w14:paraId="3F25CDF2"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7588 (80.0)</w:t>
            </w:r>
          </w:p>
          <w:p w14:paraId="285A9E49"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5903 (78.5)</w:t>
            </w:r>
          </w:p>
          <w:p w14:paraId="37771EC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5885 (80.0)</w:t>
            </w:r>
          </w:p>
          <w:p w14:paraId="6FE3897C"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4335 (77.5)</w:t>
            </w:r>
          </w:p>
          <w:p w14:paraId="071E3CCE"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3859 (78.9)</w:t>
            </w:r>
          </w:p>
          <w:p w14:paraId="2E0F6DE6"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3698 (79.7)</w:t>
            </w:r>
          </w:p>
          <w:p w14:paraId="20F7D9D6"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2822 (87.7)</w:t>
            </w:r>
          </w:p>
          <w:p w14:paraId="5F6CB2F1"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2726 (89.2)</w:t>
            </w:r>
          </w:p>
          <w:p w14:paraId="6819BD56"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2522 (82.2)</w:t>
            </w:r>
          </w:p>
          <w:p w14:paraId="3E817AC3"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1897 (77.2)</w:t>
            </w:r>
          </w:p>
          <w:p w14:paraId="084F619C"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1135 (78.7)</w:t>
            </w:r>
          </w:p>
          <w:p w14:paraId="68605E2F"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1508 (81.2%)</w:t>
            </w:r>
          </w:p>
          <w:p w14:paraId="540A19F9"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5355 (78.7%)</w:t>
            </w:r>
          </w:p>
        </w:tc>
        <w:tc>
          <w:tcPr>
            <w:tcW w:w="758" w:type="pct"/>
            <w:tcBorders>
              <w:top w:val="single" w:sz="18" w:space="0" w:color="000000" w:themeColor="text1"/>
              <w:left w:val="nil"/>
              <w:bottom w:val="single" w:sz="8" w:space="0" w:color="000000" w:themeColor="text1"/>
              <w:right w:val="nil"/>
            </w:tcBorders>
            <w:shd w:val="clear" w:color="auto" w:fill="FFFFFF" w:themeFill="background1"/>
          </w:tcPr>
          <w:p w14:paraId="22934AB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rPr>
            </w:pPr>
            <w:r w:rsidRPr="006F36B0">
              <w:rPr>
                <w:rFonts w:ascii="Arial" w:hAnsi="Arial" w:cs="Arial"/>
                <w:b/>
                <w:color w:val="000000" w:themeColor="text1"/>
                <w:sz w:val="18"/>
                <w:szCs w:val="18"/>
              </w:rPr>
              <w:t>15518(20.2)</w:t>
            </w:r>
          </w:p>
          <w:p w14:paraId="07A504A1"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3273(21.3)</w:t>
            </w:r>
          </w:p>
          <w:p w14:paraId="60AF3AE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1892 (20.0)</w:t>
            </w:r>
          </w:p>
          <w:p w14:paraId="3D7476E8"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1617 (21.5)</w:t>
            </w:r>
          </w:p>
          <w:p w14:paraId="38026FD5"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1470 (20.0)</w:t>
            </w:r>
          </w:p>
          <w:p w14:paraId="50891824"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1260 (22.5)</w:t>
            </w:r>
          </w:p>
          <w:p w14:paraId="36700E25"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1029 (21.1)</w:t>
            </w:r>
          </w:p>
          <w:p w14:paraId="03DB7EF5"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9402 (0.30)</w:t>
            </w:r>
          </w:p>
          <w:p w14:paraId="16A2247E"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397 (12.3)</w:t>
            </w:r>
          </w:p>
          <w:p w14:paraId="655EC50C"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331 (10.8)</w:t>
            </w:r>
          </w:p>
          <w:p w14:paraId="7FBA3DF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547 (17.8)</w:t>
            </w:r>
          </w:p>
          <w:p w14:paraId="26E7259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559 (22.8)</w:t>
            </w:r>
          </w:p>
          <w:p w14:paraId="0C98C514"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403 (26.2)</w:t>
            </w:r>
          </w:p>
          <w:p w14:paraId="5BCD59D8"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350 18.8%</w:t>
            </w:r>
          </w:p>
          <w:p w14:paraId="6FFC9B8B"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145021.3%</w:t>
            </w:r>
          </w:p>
        </w:tc>
        <w:tc>
          <w:tcPr>
            <w:tcW w:w="347" w:type="pct"/>
            <w:tcBorders>
              <w:top w:val="single" w:sz="18" w:space="0" w:color="000000" w:themeColor="text1"/>
              <w:left w:val="nil"/>
              <w:bottom w:val="single" w:sz="8" w:space="0" w:color="000000" w:themeColor="text1"/>
              <w:right w:val="nil"/>
            </w:tcBorders>
            <w:shd w:val="clear" w:color="auto" w:fill="FFFFFF" w:themeFill="background1"/>
          </w:tcPr>
          <w:p w14:paraId="48E808C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08A66A22"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393.3</w:t>
            </w:r>
          </w:p>
        </w:tc>
        <w:tc>
          <w:tcPr>
            <w:tcW w:w="534" w:type="pct"/>
            <w:tcBorders>
              <w:top w:val="single" w:sz="18" w:space="0" w:color="000000" w:themeColor="text1"/>
              <w:left w:val="nil"/>
              <w:bottom w:val="single" w:sz="8" w:space="0" w:color="000000" w:themeColor="text1"/>
              <w:right w:val="nil"/>
            </w:tcBorders>
            <w:shd w:val="clear" w:color="auto" w:fill="FFFFFF" w:themeFill="background1"/>
          </w:tcPr>
          <w:p w14:paraId="73423CAA"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F1E4D4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0.07</w:t>
            </w:r>
          </w:p>
        </w:tc>
        <w:tc>
          <w:tcPr>
            <w:tcW w:w="413" w:type="pct"/>
            <w:tcBorders>
              <w:top w:val="single" w:sz="18" w:space="0" w:color="000000" w:themeColor="text1"/>
              <w:left w:val="nil"/>
              <w:bottom w:val="single" w:sz="8" w:space="0" w:color="000000" w:themeColor="text1"/>
            </w:tcBorders>
            <w:shd w:val="clear" w:color="auto" w:fill="FFFFFF" w:themeFill="background1"/>
          </w:tcPr>
          <w:p w14:paraId="5888737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05C1822F"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179E16F4" w14:textId="77777777" w:rsidTr="00A46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3CD028E6" w14:textId="77777777" w:rsidR="00751E80" w:rsidRPr="006F36B0" w:rsidRDefault="00751E80" w:rsidP="00A46E4A">
            <w:pPr>
              <w:rPr>
                <w:rFonts w:ascii="Arial" w:hAnsi="Arial" w:cs="Arial"/>
                <w:sz w:val="18"/>
                <w:szCs w:val="18"/>
              </w:rPr>
            </w:pPr>
            <w:r w:rsidRPr="006F36B0">
              <w:rPr>
                <w:rFonts w:ascii="Arial" w:hAnsi="Arial" w:cs="Arial"/>
                <w:sz w:val="18"/>
                <w:szCs w:val="18"/>
              </w:rPr>
              <w:t>MTP period</w:t>
            </w:r>
          </w:p>
          <w:p w14:paraId="18BDD619"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MTP-I</w:t>
            </w:r>
          </w:p>
          <w:p w14:paraId="45CB4F0E" w14:textId="77777777" w:rsidR="00751E80" w:rsidRPr="006F36B0" w:rsidRDefault="00751E80" w:rsidP="00A46E4A">
            <w:pPr>
              <w:rPr>
                <w:rFonts w:ascii="Arial" w:hAnsi="Arial" w:cs="Arial"/>
                <w:sz w:val="18"/>
                <w:szCs w:val="18"/>
              </w:rPr>
            </w:pPr>
            <w:r w:rsidRPr="006F36B0">
              <w:rPr>
                <w:rFonts w:ascii="Arial" w:hAnsi="Arial" w:cs="Arial"/>
                <w:b w:val="0"/>
                <w:sz w:val="18"/>
                <w:szCs w:val="18"/>
              </w:rPr>
              <w:t>MTP-II</w:t>
            </w:r>
          </w:p>
        </w:tc>
        <w:tc>
          <w:tcPr>
            <w:tcW w:w="822" w:type="pct"/>
            <w:tcBorders>
              <w:top w:val="single" w:sz="8" w:space="0" w:color="000000" w:themeColor="text1"/>
              <w:bottom w:val="single" w:sz="8" w:space="0" w:color="000000" w:themeColor="text1"/>
            </w:tcBorders>
            <w:shd w:val="clear" w:color="auto" w:fill="FFFFFF" w:themeFill="background1"/>
          </w:tcPr>
          <w:p w14:paraId="23A49AFD"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p>
          <w:p w14:paraId="7CDA99A6"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36657</w:t>
            </w:r>
          </w:p>
          <w:p w14:paraId="694568EB"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6F36B0">
              <w:rPr>
                <w:rFonts w:ascii="Arial" w:hAnsi="Arial" w:cs="Arial"/>
                <w:sz w:val="18"/>
                <w:szCs w:val="18"/>
              </w:rPr>
              <w:t>40199</w:t>
            </w:r>
          </w:p>
        </w:tc>
        <w:tc>
          <w:tcPr>
            <w:tcW w:w="874" w:type="pct"/>
            <w:tcBorders>
              <w:top w:val="single" w:sz="8" w:space="0" w:color="000000" w:themeColor="text1"/>
              <w:bottom w:val="single" w:sz="8" w:space="0" w:color="000000" w:themeColor="text1"/>
            </w:tcBorders>
            <w:shd w:val="clear" w:color="auto" w:fill="FFFFFF" w:themeFill="background1"/>
          </w:tcPr>
          <w:p w14:paraId="26D6E3B4"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1CEA2C30"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28766(78.5)</w:t>
            </w:r>
          </w:p>
          <w:p w14:paraId="5EADDEF7"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32572(81.0)</w:t>
            </w:r>
          </w:p>
        </w:tc>
        <w:tc>
          <w:tcPr>
            <w:tcW w:w="758" w:type="pct"/>
            <w:tcBorders>
              <w:top w:val="single" w:sz="8" w:space="0" w:color="000000" w:themeColor="text1"/>
              <w:bottom w:val="single" w:sz="8" w:space="0" w:color="000000" w:themeColor="text1"/>
            </w:tcBorders>
            <w:shd w:val="clear" w:color="auto" w:fill="FFFFFF" w:themeFill="background1"/>
          </w:tcPr>
          <w:p w14:paraId="4F4F860B"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38D6257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7891(21.5)</w:t>
            </w:r>
          </w:p>
          <w:p w14:paraId="0A674AE7"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7627(19.0)</w:t>
            </w:r>
          </w:p>
        </w:tc>
        <w:tc>
          <w:tcPr>
            <w:tcW w:w="347" w:type="pct"/>
            <w:tcBorders>
              <w:top w:val="single" w:sz="8" w:space="0" w:color="000000" w:themeColor="text1"/>
              <w:bottom w:val="single" w:sz="8" w:space="0" w:color="000000" w:themeColor="text1"/>
            </w:tcBorders>
            <w:shd w:val="clear" w:color="auto" w:fill="FFFFFF" w:themeFill="background1"/>
          </w:tcPr>
          <w:p w14:paraId="37B13425"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42A3A1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77.6</w:t>
            </w:r>
          </w:p>
        </w:tc>
        <w:tc>
          <w:tcPr>
            <w:tcW w:w="534" w:type="pct"/>
            <w:tcBorders>
              <w:top w:val="single" w:sz="8" w:space="0" w:color="000000" w:themeColor="text1"/>
              <w:bottom w:val="single" w:sz="8" w:space="0" w:color="000000" w:themeColor="text1"/>
            </w:tcBorders>
            <w:shd w:val="clear" w:color="auto" w:fill="FFFFFF" w:themeFill="background1"/>
          </w:tcPr>
          <w:p w14:paraId="03029B16"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604469A"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0.03</w:t>
            </w:r>
          </w:p>
        </w:tc>
        <w:tc>
          <w:tcPr>
            <w:tcW w:w="413" w:type="pct"/>
            <w:tcBorders>
              <w:top w:val="single" w:sz="8" w:space="0" w:color="000000" w:themeColor="text1"/>
              <w:bottom w:val="single" w:sz="8" w:space="0" w:color="000000" w:themeColor="text1"/>
            </w:tcBorders>
            <w:shd w:val="clear" w:color="auto" w:fill="FFFFFF" w:themeFill="background1"/>
          </w:tcPr>
          <w:p w14:paraId="3D1550D9"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75CB6993"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3CF5328D" w14:textId="77777777" w:rsidTr="00A46E4A">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right w:val="nil"/>
            </w:tcBorders>
            <w:shd w:val="clear" w:color="auto" w:fill="FFFFFF" w:themeFill="background1"/>
          </w:tcPr>
          <w:p w14:paraId="26E34D82" w14:textId="77777777" w:rsidR="00751E80" w:rsidRPr="006F36B0" w:rsidRDefault="00751E80" w:rsidP="00A46E4A">
            <w:pPr>
              <w:rPr>
                <w:rFonts w:ascii="Arial" w:hAnsi="Arial" w:cs="Arial"/>
                <w:sz w:val="18"/>
                <w:szCs w:val="18"/>
              </w:rPr>
            </w:pPr>
            <w:r>
              <w:rPr>
                <w:rFonts w:ascii="Arial" w:hAnsi="Arial" w:cs="Arial"/>
                <w:sz w:val="18"/>
                <w:szCs w:val="18"/>
              </w:rPr>
              <w:t>DOT f</w:t>
            </w:r>
            <w:r w:rsidRPr="006F36B0">
              <w:rPr>
                <w:rFonts w:ascii="Arial" w:hAnsi="Arial" w:cs="Arial"/>
                <w:sz w:val="18"/>
                <w:szCs w:val="18"/>
              </w:rPr>
              <w:t>acility level</w:t>
            </w:r>
          </w:p>
          <w:p w14:paraId="792136E9"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Hospital</w:t>
            </w:r>
          </w:p>
          <w:p w14:paraId="0A447BD0"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Health Center</w:t>
            </w:r>
          </w:p>
          <w:p w14:paraId="004E9516" w14:textId="77777777" w:rsidR="00751E80" w:rsidRPr="006F36B0" w:rsidRDefault="00751E80" w:rsidP="00A46E4A">
            <w:pPr>
              <w:rPr>
                <w:rFonts w:ascii="Arial" w:hAnsi="Arial" w:cs="Arial"/>
                <w:sz w:val="18"/>
                <w:szCs w:val="18"/>
              </w:rPr>
            </w:pPr>
            <w:r w:rsidRPr="006F36B0">
              <w:rPr>
                <w:rFonts w:ascii="Arial" w:hAnsi="Arial" w:cs="Arial"/>
                <w:b w:val="0"/>
                <w:sz w:val="18"/>
                <w:szCs w:val="18"/>
              </w:rPr>
              <w:t>Clinic</w:t>
            </w:r>
          </w:p>
        </w:tc>
        <w:tc>
          <w:tcPr>
            <w:tcW w:w="822" w:type="pct"/>
            <w:tcBorders>
              <w:top w:val="single" w:sz="8" w:space="0" w:color="000000" w:themeColor="text1"/>
              <w:left w:val="nil"/>
              <w:bottom w:val="single" w:sz="8" w:space="0" w:color="000000" w:themeColor="text1"/>
              <w:right w:val="nil"/>
            </w:tcBorders>
            <w:shd w:val="clear" w:color="auto" w:fill="FFFFFF" w:themeFill="background1"/>
          </w:tcPr>
          <w:p w14:paraId="61BA1B25"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3BB05673"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16189</w:t>
            </w:r>
            <w:r w:rsidRPr="006F36B0">
              <w:rPr>
                <w:rFonts w:ascii="Arial" w:hAnsi="Arial" w:cs="Arial"/>
                <w:sz w:val="18"/>
                <w:szCs w:val="18"/>
              </w:rPr>
              <w:t xml:space="preserve"> (16.1)</w:t>
            </w:r>
          </w:p>
          <w:p w14:paraId="76F1533D"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12378</w:t>
            </w:r>
            <w:r w:rsidRPr="006F36B0">
              <w:rPr>
                <w:rFonts w:ascii="Arial" w:hAnsi="Arial" w:cs="Arial"/>
                <w:sz w:val="18"/>
                <w:szCs w:val="18"/>
              </w:rPr>
              <w:t xml:space="preserve"> (16.1)</w:t>
            </w:r>
          </w:p>
          <w:p w14:paraId="231346B8"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6F36B0">
              <w:rPr>
                <w:rFonts w:ascii="Arial" w:hAnsi="Arial" w:cs="Arial"/>
                <w:color w:val="000000"/>
                <w:sz w:val="18"/>
                <w:szCs w:val="18"/>
              </w:rPr>
              <w:t>48289</w:t>
            </w:r>
            <w:r w:rsidRPr="006F36B0">
              <w:rPr>
                <w:rFonts w:ascii="Arial" w:hAnsi="Arial" w:cs="Arial"/>
                <w:sz w:val="18"/>
                <w:szCs w:val="18"/>
              </w:rPr>
              <w:t xml:space="preserve"> (62.8)</w:t>
            </w:r>
          </w:p>
        </w:tc>
        <w:tc>
          <w:tcPr>
            <w:tcW w:w="874" w:type="pct"/>
            <w:tcBorders>
              <w:top w:val="single" w:sz="8" w:space="0" w:color="000000" w:themeColor="text1"/>
              <w:left w:val="nil"/>
              <w:bottom w:val="single" w:sz="8" w:space="0" w:color="000000" w:themeColor="text1"/>
              <w:right w:val="nil"/>
            </w:tcBorders>
            <w:shd w:val="clear" w:color="auto" w:fill="FFFFFF" w:themeFill="background1"/>
          </w:tcPr>
          <w:p w14:paraId="358CC88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74F69C8A"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12348(76.3)</w:t>
            </w:r>
          </w:p>
          <w:p w14:paraId="33E059B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9750(78.8)</w:t>
            </w:r>
          </w:p>
          <w:p w14:paraId="40DF6806"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39240(81.3)</w:t>
            </w:r>
          </w:p>
        </w:tc>
        <w:tc>
          <w:tcPr>
            <w:tcW w:w="758" w:type="pct"/>
            <w:tcBorders>
              <w:top w:val="single" w:sz="8" w:space="0" w:color="000000" w:themeColor="text1"/>
              <w:left w:val="nil"/>
              <w:bottom w:val="single" w:sz="8" w:space="0" w:color="000000" w:themeColor="text1"/>
              <w:right w:val="nil"/>
            </w:tcBorders>
            <w:shd w:val="clear" w:color="auto" w:fill="FFFFFF" w:themeFill="background1"/>
          </w:tcPr>
          <w:p w14:paraId="55A68924"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70E8178C"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3841(23.7)</w:t>
            </w:r>
          </w:p>
          <w:p w14:paraId="12DC3E2A"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2628(21.2)</w:t>
            </w:r>
          </w:p>
          <w:p w14:paraId="26497EBE"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9049(18.7)</w:t>
            </w:r>
          </w:p>
        </w:tc>
        <w:tc>
          <w:tcPr>
            <w:tcW w:w="347" w:type="pct"/>
            <w:tcBorders>
              <w:top w:val="single" w:sz="8" w:space="0" w:color="000000" w:themeColor="text1"/>
              <w:left w:val="nil"/>
              <w:bottom w:val="single" w:sz="8" w:space="0" w:color="000000" w:themeColor="text1"/>
              <w:right w:val="nil"/>
            </w:tcBorders>
            <w:shd w:val="clear" w:color="auto" w:fill="FFFFFF" w:themeFill="background1"/>
          </w:tcPr>
          <w:p w14:paraId="6C8FFC5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14:paraId="6ACF793A"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197.0</w:t>
            </w:r>
          </w:p>
        </w:tc>
        <w:tc>
          <w:tcPr>
            <w:tcW w:w="534" w:type="pct"/>
            <w:tcBorders>
              <w:top w:val="single" w:sz="8" w:space="0" w:color="000000" w:themeColor="text1"/>
              <w:left w:val="nil"/>
              <w:bottom w:val="single" w:sz="8" w:space="0" w:color="000000" w:themeColor="text1"/>
              <w:right w:val="nil"/>
            </w:tcBorders>
            <w:shd w:val="clear" w:color="auto" w:fill="FFFFFF" w:themeFill="background1"/>
          </w:tcPr>
          <w:p w14:paraId="346AA32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A00E29B"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0.05</w:t>
            </w:r>
          </w:p>
        </w:tc>
        <w:tc>
          <w:tcPr>
            <w:tcW w:w="413" w:type="pct"/>
            <w:tcBorders>
              <w:top w:val="single" w:sz="8" w:space="0" w:color="000000" w:themeColor="text1"/>
              <w:left w:val="nil"/>
              <w:bottom w:val="single" w:sz="8" w:space="0" w:color="000000" w:themeColor="text1"/>
            </w:tcBorders>
            <w:shd w:val="clear" w:color="auto" w:fill="FFFFFF" w:themeFill="background1"/>
          </w:tcPr>
          <w:p w14:paraId="0F02484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659C6C57"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5A1A8A8E" w14:textId="77777777" w:rsidTr="00A46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25A1291C" w14:textId="77777777" w:rsidR="00751E80" w:rsidRPr="006F36B0" w:rsidRDefault="00751E80" w:rsidP="00A46E4A">
            <w:pPr>
              <w:rPr>
                <w:rFonts w:ascii="Arial" w:hAnsi="Arial" w:cs="Arial"/>
                <w:sz w:val="18"/>
                <w:szCs w:val="18"/>
              </w:rPr>
            </w:pPr>
            <w:r w:rsidRPr="006F36B0">
              <w:rPr>
                <w:rFonts w:ascii="Arial" w:hAnsi="Arial" w:cs="Arial"/>
                <w:sz w:val="18"/>
                <w:szCs w:val="18"/>
              </w:rPr>
              <w:t xml:space="preserve">TB registration status </w:t>
            </w:r>
          </w:p>
          <w:p w14:paraId="32B2E180"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 xml:space="preserve">Previously registered </w:t>
            </w:r>
          </w:p>
          <w:p w14:paraId="1381CC89" w14:textId="77777777" w:rsidR="00751E80" w:rsidRPr="006F36B0" w:rsidRDefault="00751E80" w:rsidP="00A46E4A">
            <w:pPr>
              <w:rPr>
                <w:rFonts w:ascii="Arial" w:hAnsi="Arial" w:cs="Arial"/>
                <w:sz w:val="18"/>
                <w:szCs w:val="18"/>
              </w:rPr>
            </w:pPr>
            <w:r w:rsidRPr="006F36B0">
              <w:rPr>
                <w:rFonts w:ascii="Arial" w:hAnsi="Arial" w:cs="Arial"/>
                <w:b w:val="0"/>
                <w:sz w:val="18"/>
                <w:szCs w:val="18"/>
              </w:rPr>
              <w:t>Patient not registered</w:t>
            </w:r>
          </w:p>
        </w:tc>
        <w:tc>
          <w:tcPr>
            <w:tcW w:w="822" w:type="pct"/>
            <w:tcBorders>
              <w:top w:val="single" w:sz="8" w:space="0" w:color="000000" w:themeColor="text1"/>
              <w:bottom w:val="single" w:sz="8" w:space="0" w:color="000000" w:themeColor="text1"/>
            </w:tcBorders>
            <w:shd w:val="clear" w:color="auto" w:fill="FFFFFF" w:themeFill="background1"/>
          </w:tcPr>
          <w:p w14:paraId="75905FDC"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14:paraId="3EBA6EB0"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169</w:t>
            </w:r>
            <w:r w:rsidRPr="006F36B0">
              <w:rPr>
                <w:rFonts w:ascii="Arial" w:hAnsi="Arial" w:cs="Arial"/>
                <w:sz w:val="18"/>
                <w:szCs w:val="18"/>
              </w:rPr>
              <w:t xml:space="preserve"> (0.23)</w:t>
            </w:r>
          </w:p>
          <w:p w14:paraId="113521D8"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6F36B0">
              <w:rPr>
                <w:rFonts w:ascii="Arial" w:hAnsi="Arial" w:cs="Arial"/>
                <w:color w:val="000000"/>
                <w:sz w:val="18"/>
                <w:szCs w:val="18"/>
              </w:rPr>
              <w:t>76687</w:t>
            </w:r>
            <w:r w:rsidRPr="006F36B0">
              <w:rPr>
                <w:rFonts w:ascii="Arial" w:hAnsi="Arial" w:cs="Arial"/>
                <w:sz w:val="18"/>
                <w:szCs w:val="18"/>
              </w:rPr>
              <w:t xml:space="preserve"> (98.8)</w:t>
            </w:r>
          </w:p>
        </w:tc>
        <w:tc>
          <w:tcPr>
            <w:tcW w:w="874" w:type="pct"/>
            <w:tcBorders>
              <w:top w:val="single" w:sz="8" w:space="0" w:color="000000" w:themeColor="text1"/>
              <w:bottom w:val="single" w:sz="8" w:space="0" w:color="000000" w:themeColor="text1"/>
            </w:tcBorders>
            <w:shd w:val="clear" w:color="auto" w:fill="FFFFFF" w:themeFill="background1"/>
          </w:tcPr>
          <w:p w14:paraId="3E600F05"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062D0B76"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33(19.5)</w:t>
            </w:r>
          </w:p>
          <w:p w14:paraId="091D5CC7"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61305(79.9)</w:t>
            </w:r>
          </w:p>
        </w:tc>
        <w:tc>
          <w:tcPr>
            <w:tcW w:w="758" w:type="pct"/>
            <w:tcBorders>
              <w:top w:val="single" w:sz="8" w:space="0" w:color="000000" w:themeColor="text1"/>
              <w:bottom w:val="single" w:sz="8" w:space="0" w:color="000000" w:themeColor="text1"/>
            </w:tcBorders>
            <w:shd w:val="clear" w:color="auto" w:fill="FFFFFF" w:themeFill="background1"/>
          </w:tcPr>
          <w:p w14:paraId="467CE688"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40A4B7A3"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136(80.5)</w:t>
            </w:r>
          </w:p>
          <w:p w14:paraId="0A25C5F4"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15382(20.1)</w:t>
            </w:r>
          </w:p>
        </w:tc>
        <w:tc>
          <w:tcPr>
            <w:tcW w:w="347" w:type="pct"/>
            <w:tcBorders>
              <w:top w:val="single" w:sz="8" w:space="0" w:color="000000" w:themeColor="text1"/>
              <w:bottom w:val="single" w:sz="8" w:space="0" w:color="000000" w:themeColor="text1"/>
            </w:tcBorders>
            <w:shd w:val="clear" w:color="auto" w:fill="FFFFFF" w:themeFill="background1"/>
          </w:tcPr>
          <w:p w14:paraId="6627DE08"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27DC22F"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color w:val="000000"/>
                <w:sz w:val="18"/>
                <w:szCs w:val="18"/>
              </w:rPr>
              <w:t>382</w:t>
            </w:r>
          </w:p>
        </w:tc>
        <w:tc>
          <w:tcPr>
            <w:tcW w:w="534" w:type="pct"/>
            <w:tcBorders>
              <w:top w:val="single" w:sz="8" w:space="0" w:color="000000" w:themeColor="text1"/>
              <w:bottom w:val="single" w:sz="8" w:space="0" w:color="000000" w:themeColor="text1"/>
            </w:tcBorders>
            <w:shd w:val="clear" w:color="auto" w:fill="FFFFFF" w:themeFill="background1"/>
          </w:tcPr>
          <w:p w14:paraId="4D8F406B"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BA71D5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0.07</w:t>
            </w:r>
          </w:p>
        </w:tc>
        <w:tc>
          <w:tcPr>
            <w:tcW w:w="413" w:type="pct"/>
            <w:tcBorders>
              <w:top w:val="single" w:sz="8" w:space="0" w:color="000000" w:themeColor="text1"/>
              <w:bottom w:val="single" w:sz="8" w:space="0" w:color="000000" w:themeColor="text1"/>
            </w:tcBorders>
            <w:shd w:val="clear" w:color="auto" w:fill="FFFFFF" w:themeFill="background1"/>
          </w:tcPr>
          <w:p w14:paraId="251C7B1A"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50AB63A5"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06D1EA13" w14:textId="77777777" w:rsidTr="00A46E4A">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47424CB7" w14:textId="77777777" w:rsidR="00751E80" w:rsidRPr="006F36B0" w:rsidRDefault="00751E80" w:rsidP="00A46E4A">
            <w:pPr>
              <w:rPr>
                <w:rFonts w:ascii="Arial" w:hAnsi="Arial" w:cs="Arial"/>
                <w:sz w:val="18"/>
                <w:szCs w:val="18"/>
              </w:rPr>
            </w:pPr>
            <w:r w:rsidRPr="006F36B0">
              <w:rPr>
                <w:rFonts w:ascii="Arial" w:hAnsi="Arial" w:cs="Arial"/>
                <w:sz w:val="18"/>
                <w:szCs w:val="18"/>
              </w:rPr>
              <w:t xml:space="preserve">Gender </w:t>
            </w:r>
          </w:p>
          <w:p w14:paraId="5585EE3B"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Female</w:t>
            </w:r>
          </w:p>
          <w:p w14:paraId="0E1140E7" w14:textId="77777777" w:rsidR="00751E80" w:rsidRPr="006F36B0" w:rsidRDefault="00751E80" w:rsidP="00A46E4A">
            <w:pPr>
              <w:rPr>
                <w:rFonts w:ascii="Arial" w:hAnsi="Arial" w:cs="Arial"/>
                <w:sz w:val="18"/>
                <w:szCs w:val="18"/>
              </w:rPr>
            </w:pPr>
            <w:r w:rsidRPr="006F36B0">
              <w:rPr>
                <w:rFonts w:ascii="Arial" w:hAnsi="Arial" w:cs="Arial"/>
                <w:b w:val="0"/>
                <w:sz w:val="18"/>
                <w:szCs w:val="18"/>
              </w:rPr>
              <w:t>Male</w:t>
            </w:r>
          </w:p>
        </w:tc>
        <w:tc>
          <w:tcPr>
            <w:tcW w:w="822" w:type="pct"/>
            <w:tcBorders>
              <w:top w:val="single" w:sz="8" w:space="0" w:color="000000" w:themeColor="text1"/>
              <w:bottom w:val="single" w:sz="8" w:space="0" w:color="000000" w:themeColor="text1"/>
            </w:tcBorders>
            <w:shd w:val="clear" w:color="auto" w:fill="FFFFFF" w:themeFill="background1"/>
          </w:tcPr>
          <w:p w14:paraId="46F38DDF"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p w14:paraId="08968772"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32556(42.1)</w:t>
            </w:r>
          </w:p>
          <w:p w14:paraId="11D6D551"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6F36B0">
              <w:rPr>
                <w:rFonts w:ascii="Arial" w:hAnsi="Arial" w:cs="Arial"/>
                <w:sz w:val="18"/>
                <w:szCs w:val="18"/>
              </w:rPr>
              <w:t>44300(57.9)</w:t>
            </w:r>
          </w:p>
        </w:tc>
        <w:tc>
          <w:tcPr>
            <w:tcW w:w="874" w:type="pct"/>
            <w:tcBorders>
              <w:top w:val="single" w:sz="8" w:space="0" w:color="000000" w:themeColor="text1"/>
              <w:bottom w:val="single" w:sz="8" w:space="0" w:color="000000" w:themeColor="text1"/>
            </w:tcBorders>
            <w:shd w:val="clear" w:color="auto" w:fill="FFFFFF" w:themeFill="background1"/>
          </w:tcPr>
          <w:p w14:paraId="79C2410A"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2C461AD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26352(80.9)</w:t>
            </w:r>
          </w:p>
          <w:p w14:paraId="187F72E9"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34986(79.0)</w:t>
            </w:r>
          </w:p>
        </w:tc>
        <w:tc>
          <w:tcPr>
            <w:tcW w:w="758" w:type="pct"/>
            <w:tcBorders>
              <w:top w:val="single" w:sz="8" w:space="0" w:color="000000" w:themeColor="text1"/>
              <w:bottom w:val="single" w:sz="8" w:space="0" w:color="000000" w:themeColor="text1"/>
            </w:tcBorders>
            <w:shd w:val="clear" w:color="auto" w:fill="FFFFFF" w:themeFill="background1"/>
          </w:tcPr>
          <w:p w14:paraId="6C6803D9"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6D68864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6204(19.1)</w:t>
            </w:r>
          </w:p>
          <w:p w14:paraId="5DF53C85"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9314(21.0)</w:t>
            </w:r>
          </w:p>
        </w:tc>
        <w:tc>
          <w:tcPr>
            <w:tcW w:w="347" w:type="pct"/>
            <w:tcBorders>
              <w:top w:val="single" w:sz="8" w:space="0" w:color="000000" w:themeColor="text1"/>
              <w:bottom w:val="single" w:sz="8" w:space="0" w:color="000000" w:themeColor="text1"/>
            </w:tcBorders>
            <w:shd w:val="clear" w:color="auto" w:fill="FFFFFF" w:themeFill="background1"/>
          </w:tcPr>
          <w:p w14:paraId="241FA098"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C60BEBC"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45.1</w:t>
            </w:r>
          </w:p>
        </w:tc>
        <w:tc>
          <w:tcPr>
            <w:tcW w:w="534" w:type="pct"/>
            <w:tcBorders>
              <w:top w:val="single" w:sz="8" w:space="0" w:color="000000" w:themeColor="text1"/>
              <w:bottom w:val="single" w:sz="8" w:space="0" w:color="000000" w:themeColor="text1"/>
            </w:tcBorders>
            <w:shd w:val="clear" w:color="auto" w:fill="FFFFFF" w:themeFill="background1"/>
          </w:tcPr>
          <w:p w14:paraId="56821221"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6FE621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0.02</w:t>
            </w:r>
          </w:p>
        </w:tc>
        <w:tc>
          <w:tcPr>
            <w:tcW w:w="413" w:type="pct"/>
            <w:tcBorders>
              <w:top w:val="single" w:sz="8" w:space="0" w:color="000000" w:themeColor="text1"/>
              <w:bottom w:val="single" w:sz="8" w:space="0" w:color="000000" w:themeColor="text1"/>
            </w:tcBorders>
            <w:shd w:val="clear" w:color="auto" w:fill="FFFFFF" w:themeFill="background1"/>
          </w:tcPr>
          <w:p w14:paraId="7806E27A"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3B2B4A65"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53AA6BC5" w14:textId="77777777" w:rsidTr="00A46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3E0D852A" w14:textId="77777777" w:rsidR="00751E80" w:rsidRPr="006F36B0" w:rsidRDefault="00751E80" w:rsidP="00A46E4A">
            <w:pPr>
              <w:rPr>
                <w:rFonts w:ascii="Arial" w:hAnsi="Arial" w:cs="Arial"/>
                <w:sz w:val="18"/>
                <w:szCs w:val="18"/>
              </w:rPr>
            </w:pPr>
            <w:r w:rsidRPr="006F36B0">
              <w:rPr>
                <w:rFonts w:ascii="Arial" w:hAnsi="Arial" w:cs="Arial"/>
                <w:sz w:val="18"/>
                <w:szCs w:val="18"/>
              </w:rPr>
              <w:lastRenderedPageBreak/>
              <w:t>Patient</w:t>
            </w:r>
            <w:r>
              <w:rPr>
                <w:rFonts w:ascii="Arial" w:hAnsi="Arial" w:cs="Arial"/>
                <w:sz w:val="18"/>
                <w:szCs w:val="18"/>
              </w:rPr>
              <w:t>’s</w:t>
            </w:r>
            <w:r w:rsidRPr="006F36B0">
              <w:rPr>
                <w:rFonts w:ascii="Arial" w:hAnsi="Arial" w:cs="Arial"/>
                <w:sz w:val="18"/>
                <w:szCs w:val="18"/>
              </w:rPr>
              <w:t xml:space="preserve"> </w:t>
            </w:r>
            <w:r>
              <w:rPr>
                <w:rFonts w:ascii="Arial" w:hAnsi="Arial" w:cs="Arial"/>
                <w:sz w:val="18"/>
                <w:szCs w:val="18"/>
              </w:rPr>
              <w:t>a</w:t>
            </w:r>
            <w:r w:rsidRPr="006F36B0">
              <w:rPr>
                <w:rFonts w:ascii="Arial" w:hAnsi="Arial" w:cs="Arial"/>
                <w:sz w:val="18"/>
                <w:szCs w:val="18"/>
              </w:rPr>
              <w:t>ge</w:t>
            </w:r>
          </w:p>
          <w:p w14:paraId="27BA60D2"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0 - 04 years</w:t>
            </w:r>
          </w:p>
          <w:p w14:paraId="3421137C"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05 – 14 years</w:t>
            </w:r>
          </w:p>
          <w:p w14:paraId="73F5428D"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15 – 24 years</w:t>
            </w:r>
          </w:p>
          <w:p w14:paraId="23071881"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 xml:space="preserve">25 - 34 years </w:t>
            </w:r>
          </w:p>
          <w:p w14:paraId="6243DB50"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35 - 44 years</w:t>
            </w:r>
          </w:p>
          <w:p w14:paraId="60416CB8"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45 – 54 years</w:t>
            </w:r>
          </w:p>
          <w:p w14:paraId="48F4B4D2"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55 – 64 years</w:t>
            </w:r>
          </w:p>
          <w:p w14:paraId="6EC9BE4B"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65+ years</w:t>
            </w:r>
          </w:p>
        </w:tc>
        <w:tc>
          <w:tcPr>
            <w:tcW w:w="822" w:type="pct"/>
            <w:tcBorders>
              <w:top w:val="single" w:sz="8" w:space="0" w:color="000000" w:themeColor="text1"/>
              <w:bottom w:val="single" w:sz="8" w:space="0" w:color="000000" w:themeColor="text1"/>
            </w:tcBorders>
            <w:shd w:val="clear" w:color="auto" w:fill="FFFFFF" w:themeFill="background1"/>
          </w:tcPr>
          <w:p w14:paraId="4C963390"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highlight w:val="yellow"/>
              </w:rPr>
            </w:pPr>
          </w:p>
          <w:p w14:paraId="3944FFF1"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4878(6.3)</w:t>
            </w:r>
          </w:p>
          <w:p w14:paraId="271B9838"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4167(5.4)</w:t>
            </w:r>
          </w:p>
          <w:p w14:paraId="68AB63C0"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9260(12.1)</w:t>
            </w:r>
          </w:p>
          <w:p w14:paraId="121E9A90"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21942(28.6)</w:t>
            </w:r>
          </w:p>
          <w:p w14:paraId="3B1C49AC"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18558(24)</w:t>
            </w:r>
          </w:p>
          <w:p w14:paraId="474330A3"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9462(12.3)</w:t>
            </w:r>
          </w:p>
          <w:p w14:paraId="77ADBF4B"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4498(5.9)</w:t>
            </w:r>
          </w:p>
          <w:p w14:paraId="5F909788"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6F36B0">
              <w:rPr>
                <w:rFonts w:ascii="Arial" w:hAnsi="Arial" w:cs="Arial"/>
                <w:sz w:val="18"/>
                <w:szCs w:val="18"/>
              </w:rPr>
              <w:t>4091(5.4)</w:t>
            </w:r>
          </w:p>
        </w:tc>
        <w:tc>
          <w:tcPr>
            <w:tcW w:w="874" w:type="pct"/>
            <w:tcBorders>
              <w:top w:val="single" w:sz="8" w:space="0" w:color="000000" w:themeColor="text1"/>
              <w:bottom w:val="single" w:sz="8" w:space="0" w:color="000000" w:themeColor="text1"/>
            </w:tcBorders>
            <w:shd w:val="clear" w:color="auto" w:fill="FFFFFF" w:themeFill="background1"/>
          </w:tcPr>
          <w:p w14:paraId="49121CD7"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56E9352D"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4191(85.9)</w:t>
            </w:r>
          </w:p>
          <w:p w14:paraId="4BA9EDB7"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3729(89.5)</w:t>
            </w:r>
          </w:p>
          <w:p w14:paraId="511174AC"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7766(83.9)</w:t>
            </w:r>
          </w:p>
          <w:p w14:paraId="25B5D99B"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17564(80.0)</w:t>
            </w:r>
          </w:p>
          <w:p w14:paraId="4C69D118"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14467(78.5)</w:t>
            </w:r>
          </w:p>
          <w:p w14:paraId="128771FE"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7292(77.1)</w:t>
            </w:r>
          </w:p>
          <w:p w14:paraId="712CE2CE"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3355(74.6)</w:t>
            </w:r>
          </w:p>
          <w:p w14:paraId="6205E841"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2874(70.3)</w:t>
            </w:r>
          </w:p>
        </w:tc>
        <w:tc>
          <w:tcPr>
            <w:tcW w:w="758" w:type="pct"/>
            <w:tcBorders>
              <w:top w:val="single" w:sz="8" w:space="0" w:color="000000" w:themeColor="text1"/>
              <w:bottom w:val="single" w:sz="8" w:space="0" w:color="000000" w:themeColor="text1"/>
            </w:tcBorders>
            <w:shd w:val="clear" w:color="auto" w:fill="FFFFFF" w:themeFill="background1"/>
          </w:tcPr>
          <w:p w14:paraId="17ABE35A"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383DB017"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687(14.1)</w:t>
            </w:r>
          </w:p>
          <w:p w14:paraId="31992545"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438(10.5)</w:t>
            </w:r>
          </w:p>
          <w:p w14:paraId="5B378369"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1494(16.1)</w:t>
            </w:r>
          </w:p>
          <w:p w14:paraId="7BB92796"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4378(20.0)</w:t>
            </w:r>
          </w:p>
          <w:p w14:paraId="09309A89"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3991(21.5)</w:t>
            </w:r>
          </w:p>
          <w:p w14:paraId="28A522C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2170(22.9)</w:t>
            </w:r>
          </w:p>
          <w:p w14:paraId="62332DAA"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1143(25.4)</w:t>
            </w:r>
          </w:p>
          <w:p w14:paraId="606BADA5"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1217(29.7)</w:t>
            </w:r>
          </w:p>
        </w:tc>
        <w:tc>
          <w:tcPr>
            <w:tcW w:w="347" w:type="pct"/>
            <w:tcBorders>
              <w:top w:val="single" w:sz="8" w:space="0" w:color="000000" w:themeColor="text1"/>
              <w:bottom w:val="single" w:sz="8" w:space="0" w:color="000000" w:themeColor="text1"/>
            </w:tcBorders>
            <w:shd w:val="clear" w:color="auto" w:fill="FFFFFF" w:themeFill="background1"/>
          </w:tcPr>
          <w:p w14:paraId="1DF1797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3CCD079"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822.6</w:t>
            </w:r>
          </w:p>
        </w:tc>
        <w:tc>
          <w:tcPr>
            <w:tcW w:w="534" w:type="pct"/>
            <w:tcBorders>
              <w:top w:val="single" w:sz="8" w:space="0" w:color="000000" w:themeColor="text1"/>
              <w:bottom w:val="single" w:sz="8" w:space="0" w:color="000000" w:themeColor="text1"/>
            </w:tcBorders>
            <w:shd w:val="clear" w:color="auto" w:fill="FFFFFF" w:themeFill="background1"/>
          </w:tcPr>
          <w:p w14:paraId="7366856D"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F198DC6"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0.10</w:t>
            </w:r>
          </w:p>
        </w:tc>
        <w:tc>
          <w:tcPr>
            <w:tcW w:w="413" w:type="pct"/>
            <w:tcBorders>
              <w:top w:val="single" w:sz="8" w:space="0" w:color="000000" w:themeColor="text1"/>
              <w:bottom w:val="single" w:sz="8" w:space="0" w:color="000000" w:themeColor="text1"/>
            </w:tcBorders>
            <w:shd w:val="clear" w:color="auto" w:fill="FFFFFF" w:themeFill="background1"/>
          </w:tcPr>
          <w:p w14:paraId="5260C36A"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65359538"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370C25BD" w14:textId="77777777" w:rsidTr="00A46E4A">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4BF54A05" w14:textId="77777777" w:rsidR="00751E80" w:rsidRPr="006F36B0" w:rsidRDefault="00751E80" w:rsidP="00A46E4A">
            <w:pPr>
              <w:rPr>
                <w:rFonts w:ascii="Arial" w:hAnsi="Arial" w:cs="Arial"/>
                <w:sz w:val="18"/>
                <w:szCs w:val="18"/>
              </w:rPr>
            </w:pPr>
            <w:r w:rsidRPr="006F36B0">
              <w:rPr>
                <w:rFonts w:ascii="Arial" w:hAnsi="Arial" w:cs="Arial"/>
                <w:sz w:val="18"/>
                <w:szCs w:val="18"/>
              </w:rPr>
              <w:t xml:space="preserve">Patient </w:t>
            </w:r>
            <w:r>
              <w:rPr>
                <w:rFonts w:ascii="Arial" w:hAnsi="Arial" w:cs="Arial"/>
                <w:sz w:val="18"/>
                <w:szCs w:val="18"/>
              </w:rPr>
              <w:t>a</w:t>
            </w:r>
            <w:r w:rsidRPr="006F36B0">
              <w:rPr>
                <w:rFonts w:ascii="Arial" w:hAnsi="Arial" w:cs="Arial"/>
                <w:sz w:val="18"/>
                <w:szCs w:val="18"/>
              </w:rPr>
              <w:t>ge</w:t>
            </w:r>
            <w:r>
              <w:rPr>
                <w:rFonts w:ascii="Arial" w:hAnsi="Arial" w:cs="Arial"/>
                <w:sz w:val="18"/>
                <w:szCs w:val="18"/>
              </w:rPr>
              <w:t>d</w:t>
            </w:r>
            <w:r w:rsidRPr="006F36B0">
              <w:rPr>
                <w:rFonts w:ascii="Arial" w:hAnsi="Arial" w:cs="Arial"/>
                <w:sz w:val="18"/>
                <w:szCs w:val="18"/>
              </w:rPr>
              <w:t xml:space="preserve"> &lt; 5 years</w:t>
            </w:r>
          </w:p>
          <w:p w14:paraId="1C257969"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Yes</w:t>
            </w:r>
          </w:p>
          <w:p w14:paraId="64AF7195" w14:textId="77777777" w:rsidR="00751E80" w:rsidRPr="006F36B0" w:rsidRDefault="00751E80" w:rsidP="00A46E4A">
            <w:pPr>
              <w:rPr>
                <w:rFonts w:ascii="Arial" w:hAnsi="Arial" w:cs="Arial"/>
                <w:sz w:val="18"/>
                <w:szCs w:val="18"/>
              </w:rPr>
            </w:pPr>
            <w:r w:rsidRPr="006F36B0">
              <w:rPr>
                <w:rFonts w:ascii="Arial" w:hAnsi="Arial" w:cs="Arial"/>
                <w:b w:val="0"/>
                <w:sz w:val="18"/>
                <w:szCs w:val="18"/>
              </w:rPr>
              <w:t>No</w:t>
            </w:r>
          </w:p>
        </w:tc>
        <w:tc>
          <w:tcPr>
            <w:tcW w:w="822" w:type="pct"/>
            <w:tcBorders>
              <w:top w:val="single" w:sz="8" w:space="0" w:color="000000" w:themeColor="text1"/>
              <w:bottom w:val="single" w:sz="8" w:space="0" w:color="000000" w:themeColor="text1"/>
            </w:tcBorders>
            <w:shd w:val="clear" w:color="auto" w:fill="FFFFFF" w:themeFill="background1"/>
          </w:tcPr>
          <w:p w14:paraId="39A54310"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p>
          <w:p w14:paraId="140A7FCD" w14:textId="77777777" w:rsidR="00751E8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70415(91.6)</w:t>
            </w:r>
          </w:p>
          <w:p w14:paraId="71D59DC8"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6441(8.4)</w:t>
            </w:r>
          </w:p>
        </w:tc>
        <w:tc>
          <w:tcPr>
            <w:tcW w:w="874" w:type="pct"/>
            <w:tcBorders>
              <w:top w:val="single" w:sz="8" w:space="0" w:color="000000" w:themeColor="text1"/>
              <w:bottom w:val="single" w:sz="8" w:space="0" w:color="000000" w:themeColor="text1"/>
            </w:tcBorders>
            <w:shd w:val="clear" w:color="auto" w:fill="FFFFFF" w:themeFill="background1"/>
          </w:tcPr>
          <w:p w14:paraId="2B12F858"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11CE1705"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5596(86.9)</w:t>
            </w:r>
          </w:p>
          <w:p w14:paraId="2A55E67F"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55742(79.2)</w:t>
            </w:r>
          </w:p>
        </w:tc>
        <w:tc>
          <w:tcPr>
            <w:tcW w:w="758" w:type="pct"/>
            <w:tcBorders>
              <w:top w:val="single" w:sz="8" w:space="0" w:color="000000" w:themeColor="text1"/>
              <w:bottom w:val="single" w:sz="8" w:space="0" w:color="000000" w:themeColor="text1"/>
            </w:tcBorders>
            <w:shd w:val="clear" w:color="auto" w:fill="FFFFFF" w:themeFill="background1"/>
          </w:tcPr>
          <w:p w14:paraId="3C785B25"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704D7F71"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845(13.1)</w:t>
            </w:r>
          </w:p>
          <w:p w14:paraId="681F0C8E"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14673(20.8)</w:t>
            </w:r>
          </w:p>
        </w:tc>
        <w:tc>
          <w:tcPr>
            <w:tcW w:w="347" w:type="pct"/>
            <w:tcBorders>
              <w:top w:val="single" w:sz="8" w:space="0" w:color="000000" w:themeColor="text1"/>
              <w:bottom w:val="single" w:sz="8" w:space="0" w:color="000000" w:themeColor="text1"/>
            </w:tcBorders>
            <w:shd w:val="clear" w:color="auto" w:fill="FFFFFF" w:themeFill="background1"/>
          </w:tcPr>
          <w:p w14:paraId="0A31A331"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D4E4F17"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218.2</w:t>
            </w:r>
          </w:p>
        </w:tc>
        <w:tc>
          <w:tcPr>
            <w:tcW w:w="534" w:type="pct"/>
            <w:tcBorders>
              <w:top w:val="single" w:sz="8" w:space="0" w:color="000000" w:themeColor="text1"/>
              <w:bottom w:val="single" w:sz="8" w:space="0" w:color="000000" w:themeColor="text1"/>
            </w:tcBorders>
            <w:shd w:val="clear" w:color="auto" w:fill="FFFFFF" w:themeFill="background1"/>
          </w:tcPr>
          <w:p w14:paraId="303CF95A"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E36BCE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0.05</w:t>
            </w:r>
          </w:p>
        </w:tc>
        <w:tc>
          <w:tcPr>
            <w:tcW w:w="413" w:type="pct"/>
            <w:tcBorders>
              <w:top w:val="single" w:sz="8" w:space="0" w:color="000000" w:themeColor="text1"/>
              <w:bottom w:val="single" w:sz="8" w:space="0" w:color="000000" w:themeColor="text1"/>
            </w:tcBorders>
            <w:shd w:val="clear" w:color="auto" w:fill="FFFFFF" w:themeFill="background1"/>
          </w:tcPr>
          <w:p w14:paraId="04FA91AA"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1BB2D7C3"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54C3E0A2" w14:textId="77777777" w:rsidTr="00A46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68108B97" w14:textId="77777777" w:rsidR="00751E80" w:rsidRPr="006F36B0" w:rsidRDefault="00751E80" w:rsidP="00A46E4A">
            <w:pPr>
              <w:rPr>
                <w:rFonts w:ascii="Arial" w:hAnsi="Arial" w:cs="Arial"/>
                <w:sz w:val="18"/>
                <w:szCs w:val="18"/>
              </w:rPr>
            </w:pPr>
            <w:r w:rsidRPr="006F36B0">
              <w:rPr>
                <w:rFonts w:ascii="Arial" w:hAnsi="Arial" w:cs="Arial"/>
                <w:sz w:val="18"/>
                <w:szCs w:val="18"/>
              </w:rPr>
              <w:t>T</w:t>
            </w:r>
            <w:r>
              <w:rPr>
                <w:rFonts w:ascii="Arial" w:hAnsi="Arial" w:cs="Arial"/>
                <w:sz w:val="18"/>
                <w:szCs w:val="18"/>
              </w:rPr>
              <w:t>reatment category</w:t>
            </w:r>
          </w:p>
          <w:p w14:paraId="5DC80814"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New patient</w:t>
            </w:r>
          </w:p>
          <w:p w14:paraId="5DEADA81" w14:textId="77777777" w:rsidR="00751E80" w:rsidRPr="006F36B0" w:rsidRDefault="00751E80" w:rsidP="00A46E4A">
            <w:pPr>
              <w:rPr>
                <w:rFonts w:ascii="Arial" w:hAnsi="Arial" w:cs="Arial"/>
                <w:sz w:val="18"/>
                <w:szCs w:val="18"/>
              </w:rPr>
            </w:pPr>
            <w:r w:rsidRPr="006F36B0">
              <w:rPr>
                <w:rFonts w:ascii="Arial" w:hAnsi="Arial" w:cs="Arial"/>
                <w:b w:val="0"/>
                <w:sz w:val="18"/>
                <w:szCs w:val="18"/>
              </w:rPr>
              <w:t>Retreatment</w:t>
            </w:r>
          </w:p>
        </w:tc>
        <w:tc>
          <w:tcPr>
            <w:tcW w:w="822" w:type="pct"/>
            <w:tcBorders>
              <w:top w:val="single" w:sz="8" w:space="0" w:color="000000" w:themeColor="text1"/>
              <w:bottom w:val="single" w:sz="8" w:space="0" w:color="000000" w:themeColor="text1"/>
            </w:tcBorders>
            <w:shd w:val="clear" w:color="auto" w:fill="FFFFFF" w:themeFill="background1"/>
          </w:tcPr>
          <w:p w14:paraId="15CD6EA4"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p>
          <w:p w14:paraId="051A5303"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62469(87.6)</w:t>
            </w:r>
          </w:p>
          <w:p w14:paraId="5DEF4DDD"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6F36B0">
              <w:rPr>
                <w:rFonts w:ascii="Arial" w:hAnsi="Arial" w:cs="Arial"/>
                <w:sz w:val="18"/>
                <w:szCs w:val="18"/>
              </w:rPr>
              <w:t>9567(12.4)</w:t>
            </w:r>
          </w:p>
        </w:tc>
        <w:tc>
          <w:tcPr>
            <w:tcW w:w="874" w:type="pct"/>
            <w:tcBorders>
              <w:top w:val="single" w:sz="8" w:space="0" w:color="000000" w:themeColor="text1"/>
              <w:bottom w:val="single" w:sz="8" w:space="0" w:color="000000" w:themeColor="text1"/>
            </w:tcBorders>
            <w:shd w:val="clear" w:color="auto" w:fill="FFFFFF" w:themeFill="background1"/>
          </w:tcPr>
          <w:p w14:paraId="408B04D5"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30452849"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51161(81.9)</w:t>
            </w:r>
          </w:p>
          <w:p w14:paraId="6827483E"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6695(70)</w:t>
            </w:r>
          </w:p>
        </w:tc>
        <w:tc>
          <w:tcPr>
            <w:tcW w:w="758" w:type="pct"/>
            <w:tcBorders>
              <w:top w:val="single" w:sz="8" w:space="0" w:color="000000" w:themeColor="text1"/>
              <w:bottom w:val="single" w:sz="8" w:space="0" w:color="000000" w:themeColor="text1"/>
            </w:tcBorders>
            <w:shd w:val="clear" w:color="auto" w:fill="FFFFFF" w:themeFill="background1"/>
          </w:tcPr>
          <w:p w14:paraId="460B568D"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3C044BDF"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11308(18.1)</w:t>
            </w:r>
          </w:p>
          <w:p w14:paraId="0BDF6C07"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2872(30.0)</w:t>
            </w:r>
          </w:p>
        </w:tc>
        <w:tc>
          <w:tcPr>
            <w:tcW w:w="347" w:type="pct"/>
            <w:tcBorders>
              <w:top w:val="single" w:sz="8" w:space="0" w:color="000000" w:themeColor="text1"/>
              <w:bottom w:val="single" w:sz="8" w:space="0" w:color="000000" w:themeColor="text1"/>
            </w:tcBorders>
            <w:shd w:val="clear" w:color="auto" w:fill="FFFFFF" w:themeFill="background1"/>
          </w:tcPr>
          <w:p w14:paraId="153FFCFF"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2D97BCE"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745.4</w:t>
            </w:r>
          </w:p>
        </w:tc>
        <w:tc>
          <w:tcPr>
            <w:tcW w:w="534" w:type="pct"/>
            <w:tcBorders>
              <w:top w:val="single" w:sz="8" w:space="0" w:color="000000" w:themeColor="text1"/>
              <w:bottom w:val="single" w:sz="8" w:space="0" w:color="000000" w:themeColor="text1"/>
            </w:tcBorders>
            <w:shd w:val="clear" w:color="auto" w:fill="FFFFFF" w:themeFill="background1"/>
          </w:tcPr>
          <w:p w14:paraId="7C6F7E60"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C502255"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0.10</w:t>
            </w:r>
          </w:p>
        </w:tc>
        <w:tc>
          <w:tcPr>
            <w:tcW w:w="413" w:type="pct"/>
            <w:tcBorders>
              <w:top w:val="single" w:sz="8" w:space="0" w:color="000000" w:themeColor="text1"/>
              <w:bottom w:val="single" w:sz="8" w:space="0" w:color="000000" w:themeColor="text1"/>
            </w:tcBorders>
            <w:shd w:val="clear" w:color="auto" w:fill="FFFFFF" w:themeFill="background1"/>
          </w:tcPr>
          <w:p w14:paraId="094201A8"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4446374A"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7AD03928" w14:textId="77777777" w:rsidTr="00A46E4A">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right w:val="nil"/>
            </w:tcBorders>
            <w:shd w:val="clear" w:color="auto" w:fill="FFFFFF" w:themeFill="background1"/>
          </w:tcPr>
          <w:p w14:paraId="798D7D04" w14:textId="77777777" w:rsidR="00751E80" w:rsidRPr="00DC0A91" w:rsidRDefault="00751E80" w:rsidP="00A46E4A">
            <w:pPr>
              <w:rPr>
                <w:rFonts w:ascii="Arial" w:hAnsi="Arial" w:cs="Arial"/>
                <w:sz w:val="18"/>
                <w:szCs w:val="18"/>
              </w:rPr>
            </w:pPr>
            <w:r>
              <w:rPr>
                <w:rFonts w:ascii="Arial" w:hAnsi="Arial" w:cs="Arial"/>
                <w:sz w:val="18"/>
                <w:szCs w:val="18"/>
              </w:rPr>
              <w:t>TB c</w:t>
            </w:r>
            <w:r w:rsidRPr="00DC0A91">
              <w:rPr>
                <w:rFonts w:ascii="Arial" w:hAnsi="Arial" w:cs="Arial"/>
                <w:sz w:val="18"/>
                <w:szCs w:val="18"/>
              </w:rPr>
              <w:t>ase registered</w:t>
            </w:r>
          </w:p>
          <w:p w14:paraId="4401FE4F" w14:textId="77777777" w:rsidR="00751E80" w:rsidRPr="000E01B9" w:rsidRDefault="00751E80" w:rsidP="00A46E4A">
            <w:pPr>
              <w:rPr>
                <w:rFonts w:ascii="Arial" w:hAnsi="Arial" w:cs="Arial"/>
                <w:b w:val="0"/>
                <w:sz w:val="18"/>
                <w:szCs w:val="18"/>
              </w:rPr>
            </w:pPr>
            <w:r w:rsidRPr="000E01B9">
              <w:rPr>
                <w:rFonts w:ascii="Arial" w:hAnsi="Arial" w:cs="Arial"/>
                <w:b w:val="0"/>
                <w:sz w:val="18"/>
                <w:szCs w:val="18"/>
              </w:rPr>
              <w:t>New patient</w:t>
            </w:r>
          </w:p>
          <w:p w14:paraId="1B860048" w14:textId="77777777" w:rsidR="00751E80" w:rsidRPr="000E01B9" w:rsidRDefault="00751E80" w:rsidP="00A46E4A">
            <w:pPr>
              <w:rPr>
                <w:rFonts w:ascii="Arial" w:hAnsi="Arial" w:cs="Arial"/>
                <w:b w:val="0"/>
                <w:sz w:val="18"/>
                <w:szCs w:val="18"/>
              </w:rPr>
            </w:pPr>
            <w:r w:rsidRPr="000E01B9">
              <w:rPr>
                <w:rFonts w:ascii="Arial" w:hAnsi="Arial" w:cs="Arial"/>
                <w:b w:val="0"/>
                <w:sz w:val="18"/>
                <w:szCs w:val="18"/>
              </w:rPr>
              <w:t>Failure</w:t>
            </w:r>
          </w:p>
          <w:p w14:paraId="7EC58CFD" w14:textId="77777777" w:rsidR="00751E80" w:rsidRPr="000E01B9" w:rsidRDefault="00751E80" w:rsidP="00A46E4A">
            <w:pPr>
              <w:rPr>
                <w:rFonts w:ascii="Arial" w:hAnsi="Arial" w:cs="Arial"/>
                <w:b w:val="0"/>
                <w:sz w:val="18"/>
                <w:szCs w:val="18"/>
              </w:rPr>
            </w:pPr>
            <w:r w:rsidRPr="000E01B9">
              <w:rPr>
                <w:rFonts w:ascii="Arial" w:hAnsi="Arial" w:cs="Arial"/>
                <w:b w:val="0"/>
                <w:sz w:val="18"/>
                <w:szCs w:val="18"/>
              </w:rPr>
              <w:t>Previously treated</w:t>
            </w:r>
          </w:p>
          <w:p w14:paraId="7BBEC702" w14:textId="77777777" w:rsidR="00751E80" w:rsidRPr="000E01B9" w:rsidRDefault="00751E80" w:rsidP="00A46E4A">
            <w:pPr>
              <w:rPr>
                <w:rFonts w:ascii="Arial" w:hAnsi="Arial" w:cs="Arial"/>
                <w:b w:val="0"/>
                <w:sz w:val="18"/>
                <w:szCs w:val="18"/>
              </w:rPr>
            </w:pPr>
            <w:r w:rsidRPr="000E01B9">
              <w:rPr>
                <w:rFonts w:ascii="Arial" w:hAnsi="Arial" w:cs="Arial"/>
                <w:b w:val="0"/>
                <w:sz w:val="18"/>
                <w:szCs w:val="18"/>
              </w:rPr>
              <w:t>Readmission</w:t>
            </w:r>
          </w:p>
          <w:p w14:paraId="60E596BA" w14:textId="77777777" w:rsidR="00751E80" w:rsidRPr="000E01B9" w:rsidRDefault="00751E80" w:rsidP="00A46E4A">
            <w:pPr>
              <w:rPr>
                <w:rFonts w:ascii="Arial" w:hAnsi="Arial" w:cs="Arial"/>
                <w:b w:val="0"/>
                <w:sz w:val="18"/>
                <w:szCs w:val="18"/>
              </w:rPr>
            </w:pPr>
            <w:r w:rsidRPr="000E01B9">
              <w:rPr>
                <w:rFonts w:ascii="Arial" w:hAnsi="Arial" w:cs="Arial"/>
                <w:b w:val="0"/>
                <w:sz w:val="18"/>
                <w:szCs w:val="18"/>
              </w:rPr>
              <w:t>Recurrent TB</w:t>
            </w:r>
          </w:p>
          <w:p w14:paraId="62D45946" w14:textId="77777777" w:rsidR="00751E80" w:rsidRPr="006F36B0" w:rsidRDefault="00751E80" w:rsidP="00A46E4A">
            <w:pPr>
              <w:rPr>
                <w:rFonts w:ascii="Arial" w:hAnsi="Arial" w:cs="Arial"/>
                <w:sz w:val="18"/>
                <w:szCs w:val="18"/>
              </w:rPr>
            </w:pPr>
            <w:r w:rsidRPr="000E01B9">
              <w:rPr>
                <w:rFonts w:ascii="Arial" w:hAnsi="Arial" w:cs="Arial"/>
                <w:b w:val="0"/>
                <w:sz w:val="18"/>
                <w:szCs w:val="18"/>
              </w:rPr>
              <w:t>Relapse TB</w:t>
            </w:r>
          </w:p>
        </w:tc>
        <w:tc>
          <w:tcPr>
            <w:tcW w:w="822" w:type="pct"/>
            <w:tcBorders>
              <w:top w:val="single" w:sz="8" w:space="0" w:color="000000" w:themeColor="text1"/>
              <w:left w:val="nil"/>
              <w:bottom w:val="single" w:sz="8" w:space="0" w:color="000000" w:themeColor="text1"/>
              <w:right w:val="nil"/>
            </w:tcBorders>
            <w:shd w:val="clear" w:color="auto" w:fill="FFFFFF" w:themeFill="background1"/>
          </w:tcPr>
          <w:p w14:paraId="0771CE5D"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p w14:paraId="340689E5" w14:textId="77777777" w:rsidR="00751E8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62469(81.3)</w:t>
            </w:r>
          </w:p>
          <w:p w14:paraId="79E4F44C"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675(0.9)</w:t>
            </w:r>
          </w:p>
          <w:p w14:paraId="5F7D0D34"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3508(4.6)</w:t>
            </w:r>
          </w:p>
          <w:p w14:paraId="5B707EFF"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1043(1.4)</w:t>
            </w:r>
          </w:p>
          <w:p w14:paraId="05C4E730"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1313(1.7)</w:t>
            </w:r>
          </w:p>
          <w:p w14:paraId="6DE5DB26"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6F36B0">
              <w:rPr>
                <w:rFonts w:ascii="Arial" w:hAnsi="Arial" w:cs="Arial"/>
                <w:sz w:val="18"/>
                <w:szCs w:val="18"/>
              </w:rPr>
              <w:t>7848(10.2)</w:t>
            </w:r>
          </w:p>
        </w:tc>
        <w:tc>
          <w:tcPr>
            <w:tcW w:w="874" w:type="pct"/>
            <w:tcBorders>
              <w:top w:val="single" w:sz="8" w:space="0" w:color="000000" w:themeColor="text1"/>
              <w:left w:val="nil"/>
              <w:bottom w:val="single" w:sz="8" w:space="0" w:color="000000" w:themeColor="text1"/>
              <w:right w:val="nil"/>
            </w:tcBorders>
            <w:shd w:val="clear" w:color="auto" w:fill="FFFFFF" w:themeFill="background1"/>
          </w:tcPr>
          <w:p w14:paraId="26154248"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189C9934" w14:textId="77777777" w:rsidR="00751E8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51161(81.9)</w:t>
            </w:r>
          </w:p>
          <w:p w14:paraId="4AAE1996"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370(54.8)</w:t>
            </w:r>
          </w:p>
          <w:p w14:paraId="14186417"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2509(71.5)</w:t>
            </w:r>
          </w:p>
          <w:p w14:paraId="06C47C9B"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674(64.6)</w:t>
            </w:r>
          </w:p>
          <w:p w14:paraId="3AED0D44"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974(74.2)</w:t>
            </w:r>
          </w:p>
          <w:p w14:paraId="3322C411"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5650(72.0)</w:t>
            </w:r>
          </w:p>
        </w:tc>
        <w:tc>
          <w:tcPr>
            <w:tcW w:w="758" w:type="pct"/>
            <w:tcBorders>
              <w:top w:val="single" w:sz="8" w:space="0" w:color="000000" w:themeColor="text1"/>
              <w:left w:val="nil"/>
              <w:bottom w:val="single" w:sz="8" w:space="0" w:color="000000" w:themeColor="text1"/>
              <w:right w:val="nil"/>
            </w:tcBorders>
            <w:shd w:val="clear" w:color="auto" w:fill="FFFFFF" w:themeFill="background1"/>
          </w:tcPr>
          <w:p w14:paraId="57C89C43"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461F993F" w14:textId="77777777" w:rsidR="00751E8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11308(18.1)</w:t>
            </w:r>
          </w:p>
          <w:p w14:paraId="4546D6BC"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Pr>
                <w:rFonts w:ascii="Arial" w:hAnsi="Arial" w:cs="Arial"/>
                <w:color w:val="000000" w:themeColor="text1"/>
                <w:sz w:val="18"/>
                <w:szCs w:val="18"/>
              </w:rPr>
              <w:t>305(45.2)</w:t>
            </w:r>
          </w:p>
          <w:p w14:paraId="49A8C3C3"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999(28.5)</w:t>
            </w:r>
          </w:p>
          <w:p w14:paraId="6A6AE508"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369(35.4)</w:t>
            </w:r>
          </w:p>
          <w:p w14:paraId="21E151E7"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339(25.8)</w:t>
            </w:r>
          </w:p>
          <w:p w14:paraId="5C0FD745"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2198(28)</w:t>
            </w:r>
          </w:p>
        </w:tc>
        <w:tc>
          <w:tcPr>
            <w:tcW w:w="347" w:type="pct"/>
            <w:tcBorders>
              <w:top w:val="single" w:sz="8" w:space="0" w:color="000000" w:themeColor="text1"/>
              <w:left w:val="nil"/>
              <w:bottom w:val="single" w:sz="8" w:space="0" w:color="000000" w:themeColor="text1"/>
              <w:right w:val="nil"/>
            </w:tcBorders>
            <w:shd w:val="clear" w:color="auto" w:fill="FFFFFF" w:themeFill="background1"/>
          </w:tcPr>
          <w:p w14:paraId="66C24F6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76DEEE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1053</w:t>
            </w:r>
          </w:p>
        </w:tc>
        <w:tc>
          <w:tcPr>
            <w:tcW w:w="534" w:type="pct"/>
            <w:tcBorders>
              <w:top w:val="single" w:sz="8" w:space="0" w:color="000000" w:themeColor="text1"/>
              <w:left w:val="nil"/>
              <w:bottom w:val="single" w:sz="8" w:space="0" w:color="000000" w:themeColor="text1"/>
              <w:right w:val="nil"/>
            </w:tcBorders>
            <w:shd w:val="clear" w:color="auto" w:fill="FFFFFF" w:themeFill="background1"/>
          </w:tcPr>
          <w:p w14:paraId="5F71DEE4"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E80B0AA"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0.11</w:t>
            </w:r>
          </w:p>
        </w:tc>
        <w:tc>
          <w:tcPr>
            <w:tcW w:w="413" w:type="pct"/>
            <w:tcBorders>
              <w:top w:val="single" w:sz="8" w:space="0" w:color="000000" w:themeColor="text1"/>
              <w:left w:val="nil"/>
              <w:bottom w:val="single" w:sz="8" w:space="0" w:color="000000" w:themeColor="text1"/>
            </w:tcBorders>
            <w:shd w:val="clear" w:color="auto" w:fill="FFFFFF" w:themeFill="background1"/>
          </w:tcPr>
          <w:p w14:paraId="1A062973"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7970E363"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083F402F" w14:textId="77777777" w:rsidTr="00A46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212DBED3" w14:textId="77777777" w:rsidR="00751E80" w:rsidRPr="006F36B0" w:rsidRDefault="00751E80" w:rsidP="00A46E4A">
            <w:pPr>
              <w:rPr>
                <w:rFonts w:ascii="Arial" w:hAnsi="Arial" w:cs="Arial"/>
                <w:sz w:val="18"/>
                <w:szCs w:val="18"/>
              </w:rPr>
            </w:pPr>
            <w:r>
              <w:rPr>
                <w:rFonts w:ascii="Arial" w:hAnsi="Arial" w:cs="Arial"/>
                <w:sz w:val="18"/>
                <w:szCs w:val="18"/>
              </w:rPr>
              <w:t>Baseline sputum smear</w:t>
            </w:r>
          </w:p>
          <w:p w14:paraId="72FE71E7"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 xml:space="preserve">Smear negative </w:t>
            </w:r>
            <w:r>
              <w:rPr>
                <w:rFonts w:ascii="Arial" w:hAnsi="Arial" w:cs="Arial"/>
                <w:b w:val="0"/>
                <w:sz w:val="18"/>
                <w:szCs w:val="18"/>
              </w:rPr>
              <w:t>(</w:t>
            </w:r>
            <w:r w:rsidRPr="006F36B0">
              <w:rPr>
                <w:rFonts w:ascii="Arial" w:hAnsi="Arial" w:cs="Arial"/>
                <w:b w:val="0"/>
                <w:sz w:val="18"/>
                <w:szCs w:val="18"/>
              </w:rPr>
              <w:t>-</w:t>
            </w:r>
            <w:r>
              <w:rPr>
                <w:rFonts w:ascii="Arial" w:hAnsi="Arial" w:cs="Arial"/>
                <w:b w:val="0"/>
                <w:sz w:val="18"/>
                <w:szCs w:val="18"/>
              </w:rPr>
              <w:t>)</w:t>
            </w:r>
          </w:p>
          <w:p w14:paraId="26648F2D"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 xml:space="preserve">Smear positive </w:t>
            </w:r>
            <w:r>
              <w:rPr>
                <w:rFonts w:ascii="Arial" w:hAnsi="Arial" w:cs="Arial"/>
                <w:b w:val="0"/>
                <w:sz w:val="18"/>
                <w:szCs w:val="18"/>
              </w:rPr>
              <w:t>(</w:t>
            </w:r>
            <w:r w:rsidRPr="006F36B0">
              <w:rPr>
                <w:rFonts w:ascii="Arial" w:hAnsi="Arial" w:cs="Arial"/>
                <w:b w:val="0"/>
                <w:sz w:val="18"/>
                <w:szCs w:val="18"/>
              </w:rPr>
              <w:t>+</w:t>
            </w:r>
            <w:r>
              <w:rPr>
                <w:rFonts w:ascii="Arial" w:hAnsi="Arial" w:cs="Arial"/>
                <w:b w:val="0"/>
                <w:sz w:val="18"/>
                <w:szCs w:val="18"/>
              </w:rPr>
              <w:t>)</w:t>
            </w:r>
          </w:p>
          <w:p w14:paraId="7AD56652" w14:textId="77777777" w:rsidR="00751E80" w:rsidRPr="006F36B0" w:rsidRDefault="00751E80" w:rsidP="00A46E4A">
            <w:pPr>
              <w:rPr>
                <w:rFonts w:ascii="Arial" w:hAnsi="Arial" w:cs="Arial"/>
                <w:sz w:val="18"/>
                <w:szCs w:val="18"/>
              </w:rPr>
            </w:pPr>
            <w:r w:rsidRPr="006F36B0">
              <w:rPr>
                <w:rFonts w:ascii="Arial" w:hAnsi="Arial" w:cs="Arial"/>
                <w:b w:val="0"/>
                <w:sz w:val="18"/>
                <w:szCs w:val="18"/>
              </w:rPr>
              <w:t>Smear not done</w:t>
            </w:r>
            <w:r>
              <w:rPr>
                <w:rFonts w:ascii="Arial" w:hAnsi="Arial" w:cs="Arial"/>
                <w:b w:val="0"/>
                <w:sz w:val="18"/>
                <w:szCs w:val="18"/>
              </w:rPr>
              <w:t xml:space="preserve"> </w:t>
            </w:r>
          </w:p>
        </w:tc>
        <w:tc>
          <w:tcPr>
            <w:tcW w:w="822" w:type="pct"/>
            <w:tcBorders>
              <w:top w:val="single" w:sz="8" w:space="0" w:color="000000" w:themeColor="text1"/>
              <w:bottom w:val="single" w:sz="8" w:space="0" w:color="000000" w:themeColor="text1"/>
            </w:tcBorders>
            <w:shd w:val="clear" w:color="auto" w:fill="auto"/>
          </w:tcPr>
          <w:p w14:paraId="67C341BC"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8BDC381"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14453(18.8)</w:t>
            </w:r>
          </w:p>
          <w:p w14:paraId="33020F85"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36358(47.3)</w:t>
            </w:r>
          </w:p>
          <w:p w14:paraId="711A2B1E"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6F36B0">
              <w:rPr>
                <w:rFonts w:ascii="Arial" w:hAnsi="Arial" w:cs="Arial"/>
                <w:sz w:val="18"/>
                <w:szCs w:val="18"/>
              </w:rPr>
              <w:t>26042(33.9)</w:t>
            </w:r>
          </w:p>
        </w:tc>
        <w:tc>
          <w:tcPr>
            <w:tcW w:w="874" w:type="pct"/>
            <w:tcBorders>
              <w:top w:val="single" w:sz="8" w:space="0" w:color="000000" w:themeColor="text1"/>
              <w:bottom w:val="single" w:sz="8" w:space="0" w:color="000000" w:themeColor="text1"/>
            </w:tcBorders>
            <w:shd w:val="clear" w:color="auto" w:fill="FFFFFF" w:themeFill="background1"/>
          </w:tcPr>
          <w:p w14:paraId="13F51AE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3D1502AE"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11544(79.9)</w:t>
            </w:r>
          </w:p>
          <w:p w14:paraId="6A1497FD"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29165(80.2)</w:t>
            </w:r>
          </w:p>
          <w:p w14:paraId="3317A964"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20629(79.2)</w:t>
            </w:r>
          </w:p>
        </w:tc>
        <w:tc>
          <w:tcPr>
            <w:tcW w:w="758" w:type="pct"/>
            <w:tcBorders>
              <w:top w:val="single" w:sz="8" w:space="0" w:color="000000" w:themeColor="text1"/>
              <w:bottom w:val="single" w:sz="8" w:space="0" w:color="000000" w:themeColor="text1"/>
            </w:tcBorders>
            <w:shd w:val="clear" w:color="auto" w:fill="FFFFFF" w:themeFill="background1"/>
          </w:tcPr>
          <w:p w14:paraId="2DCA2B0F"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3FE2AE19"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2909(20.1)</w:t>
            </w:r>
          </w:p>
          <w:p w14:paraId="763DD224"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7193(19.8)</w:t>
            </w:r>
          </w:p>
          <w:p w14:paraId="3CB39FD9"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5416(20.8)</w:t>
            </w:r>
          </w:p>
        </w:tc>
        <w:tc>
          <w:tcPr>
            <w:tcW w:w="347" w:type="pct"/>
            <w:tcBorders>
              <w:top w:val="single" w:sz="8" w:space="0" w:color="000000" w:themeColor="text1"/>
              <w:bottom w:val="single" w:sz="8" w:space="0" w:color="000000" w:themeColor="text1"/>
            </w:tcBorders>
            <w:shd w:val="clear" w:color="auto" w:fill="FFFFFF" w:themeFill="background1"/>
          </w:tcPr>
          <w:p w14:paraId="5208098B"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962FECD"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9.7</w:t>
            </w:r>
          </w:p>
        </w:tc>
        <w:tc>
          <w:tcPr>
            <w:tcW w:w="534" w:type="pct"/>
            <w:tcBorders>
              <w:top w:val="single" w:sz="8" w:space="0" w:color="000000" w:themeColor="text1"/>
              <w:bottom w:val="single" w:sz="8" w:space="0" w:color="000000" w:themeColor="text1"/>
            </w:tcBorders>
            <w:shd w:val="clear" w:color="auto" w:fill="FFFFFF" w:themeFill="background1"/>
          </w:tcPr>
          <w:p w14:paraId="05D5C82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56B62AA"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0.01</w:t>
            </w:r>
          </w:p>
        </w:tc>
        <w:tc>
          <w:tcPr>
            <w:tcW w:w="413" w:type="pct"/>
            <w:tcBorders>
              <w:top w:val="single" w:sz="8" w:space="0" w:color="000000" w:themeColor="text1"/>
              <w:bottom w:val="single" w:sz="8" w:space="0" w:color="000000" w:themeColor="text1"/>
            </w:tcBorders>
            <w:shd w:val="clear" w:color="auto" w:fill="FFFFFF" w:themeFill="background1"/>
          </w:tcPr>
          <w:p w14:paraId="33B51B4E"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45E54971"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0.008*</w:t>
            </w:r>
          </w:p>
        </w:tc>
      </w:tr>
      <w:tr w:rsidR="00751E80" w:rsidRPr="006F36B0" w14:paraId="34FD676B" w14:textId="77777777" w:rsidTr="00A46E4A">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7D8DED2A" w14:textId="77777777" w:rsidR="00751E80" w:rsidRPr="006F36B0" w:rsidRDefault="00751E80" w:rsidP="00A46E4A">
            <w:pPr>
              <w:rPr>
                <w:rFonts w:ascii="Arial" w:hAnsi="Arial" w:cs="Arial"/>
                <w:sz w:val="18"/>
                <w:szCs w:val="18"/>
              </w:rPr>
            </w:pPr>
            <w:r w:rsidRPr="006F36B0">
              <w:rPr>
                <w:rFonts w:ascii="Arial" w:hAnsi="Arial" w:cs="Arial"/>
                <w:sz w:val="18"/>
                <w:szCs w:val="18"/>
              </w:rPr>
              <w:t>Class of smear done</w:t>
            </w:r>
          </w:p>
          <w:p w14:paraId="48D056E6"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EPTB No smear</w:t>
            </w:r>
          </w:p>
          <w:p w14:paraId="7BA28C18"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PTB No smear</w:t>
            </w:r>
          </w:p>
          <w:p w14:paraId="25E56D0E"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 xml:space="preserve">PTB Smear negative </w:t>
            </w:r>
            <w:r>
              <w:rPr>
                <w:rFonts w:ascii="Arial" w:hAnsi="Arial" w:cs="Arial"/>
                <w:b w:val="0"/>
                <w:sz w:val="18"/>
                <w:szCs w:val="18"/>
              </w:rPr>
              <w:t>(</w:t>
            </w:r>
            <w:r w:rsidRPr="006F36B0">
              <w:rPr>
                <w:rFonts w:ascii="Arial" w:hAnsi="Arial" w:cs="Arial"/>
                <w:b w:val="0"/>
                <w:sz w:val="18"/>
                <w:szCs w:val="18"/>
              </w:rPr>
              <w:t>–</w:t>
            </w:r>
            <w:r>
              <w:rPr>
                <w:rFonts w:ascii="Arial" w:hAnsi="Arial" w:cs="Arial"/>
                <w:b w:val="0"/>
                <w:sz w:val="18"/>
                <w:szCs w:val="18"/>
              </w:rPr>
              <w:t>)</w:t>
            </w:r>
          </w:p>
          <w:p w14:paraId="6D958122"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 xml:space="preserve">PTB Smear negative </w:t>
            </w:r>
            <w:r>
              <w:rPr>
                <w:rFonts w:ascii="Arial" w:hAnsi="Arial" w:cs="Arial"/>
                <w:b w:val="0"/>
                <w:sz w:val="18"/>
                <w:szCs w:val="18"/>
              </w:rPr>
              <w:t>(</w:t>
            </w:r>
            <w:r w:rsidRPr="006F36B0">
              <w:rPr>
                <w:rFonts w:ascii="Arial" w:hAnsi="Arial" w:cs="Arial"/>
                <w:b w:val="0"/>
                <w:sz w:val="18"/>
                <w:szCs w:val="18"/>
              </w:rPr>
              <w:t>+</w:t>
            </w:r>
            <w:r>
              <w:rPr>
                <w:rFonts w:ascii="Arial" w:hAnsi="Arial" w:cs="Arial"/>
                <w:b w:val="0"/>
                <w:sz w:val="18"/>
                <w:szCs w:val="18"/>
              </w:rPr>
              <w:t>)</w:t>
            </w:r>
          </w:p>
        </w:tc>
        <w:tc>
          <w:tcPr>
            <w:tcW w:w="822" w:type="pct"/>
            <w:tcBorders>
              <w:top w:val="single" w:sz="8" w:space="0" w:color="000000" w:themeColor="text1"/>
              <w:bottom w:val="single" w:sz="8" w:space="0" w:color="000000" w:themeColor="text1"/>
            </w:tcBorders>
            <w:shd w:val="clear" w:color="auto" w:fill="FFFFFF" w:themeFill="background1"/>
          </w:tcPr>
          <w:p w14:paraId="1B87E765"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p w14:paraId="47C4D2DA"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14733(19.2)</w:t>
            </w:r>
          </w:p>
          <w:p w14:paraId="64D9C1C5"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13457(17.5)</w:t>
            </w:r>
          </w:p>
          <w:p w14:paraId="10EB94D6"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12325(16.0)</w:t>
            </w:r>
          </w:p>
          <w:p w14:paraId="38B9894B"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6F36B0">
              <w:rPr>
                <w:rFonts w:ascii="Arial" w:hAnsi="Arial" w:cs="Arial"/>
                <w:sz w:val="18"/>
                <w:szCs w:val="18"/>
              </w:rPr>
              <w:t>36341(47.3)</w:t>
            </w:r>
          </w:p>
        </w:tc>
        <w:tc>
          <w:tcPr>
            <w:tcW w:w="874" w:type="pct"/>
            <w:tcBorders>
              <w:top w:val="single" w:sz="8" w:space="0" w:color="000000" w:themeColor="text1"/>
              <w:bottom w:val="single" w:sz="8" w:space="0" w:color="000000" w:themeColor="text1"/>
            </w:tcBorders>
            <w:shd w:val="clear" w:color="auto" w:fill="FFFFFF" w:themeFill="background1"/>
          </w:tcPr>
          <w:p w14:paraId="40D4DAE3"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40DE0BBC"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11993(81.4)</w:t>
            </w:r>
          </w:p>
          <w:p w14:paraId="2174F9E6"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10423(77.5)</w:t>
            </w:r>
          </w:p>
          <w:p w14:paraId="1FA3B4CA"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9772(79.3)</w:t>
            </w:r>
          </w:p>
          <w:p w14:paraId="665B60C1"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29150(80.2)</w:t>
            </w:r>
          </w:p>
        </w:tc>
        <w:tc>
          <w:tcPr>
            <w:tcW w:w="758" w:type="pct"/>
            <w:tcBorders>
              <w:top w:val="single" w:sz="8" w:space="0" w:color="000000" w:themeColor="text1"/>
              <w:bottom w:val="single" w:sz="8" w:space="0" w:color="000000" w:themeColor="text1"/>
            </w:tcBorders>
            <w:shd w:val="clear" w:color="auto" w:fill="FFFFFF" w:themeFill="background1"/>
          </w:tcPr>
          <w:p w14:paraId="5A9BAEDE"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219063E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2740(18.6)</w:t>
            </w:r>
          </w:p>
          <w:p w14:paraId="3B563671"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3034(22.5)</w:t>
            </w:r>
          </w:p>
          <w:p w14:paraId="7573617E"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2553(20.7)</w:t>
            </w:r>
          </w:p>
          <w:p w14:paraId="667013CF"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7191(19.8)</w:t>
            </w:r>
          </w:p>
        </w:tc>
        <w:tc>
          <w:tcPr>
            <w:tcW w:w="347" w:type="pct"/>
            <w:tcBorders>
              <w:top w:val="single" w:sz="8" w:space="0" w:color="000000" w:themeColor="text1"/>
              <w:bottom w:val="single" w:sz="8" w:space="0" w:color="000000" w:themeColor="text1"/>
            </w:tcBorders>
            <w:shd w:val="clear" w:color="auto" w:fill="FFFFFF" w:themeFill="background1"/>
          </w:tcPr>
          <w:p w14:paraId="74B4E1E9"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A4B8F32"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75.3</w:t>
            </w:r>
          </w:p>
        </w:tc>
        <w:tc>
          <w:tcPr>
            <w:tcW w:w="534" w:type="pct"/>
            <w:tcBorders>
              <w:top w:val="single" w:sz="8" w:space="0" w:color="000000" w:themeColor="text1"/>
              <w:bottom w:val="single" w:sz="8" w:space="0" w:color="000000" w:themeColor="text1"/>
            </w:tcBorders>
            <w:shd w:val="clear" w:color="auto" w:fill="FFFFFF" w:themeFill="background1"/>
          </w:tcPr>
          <w:p w14:paraId="1FC14C34"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59534F7"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0.03</w:t>
            </w:r>
          </w:p>
        </w:tc>
        <w:tc>
          <w:tcPr>
            <w:tcW w:w="413" w:type="pct"/>
            <w:tcBorders>
              <w:top w:val="single" w:sz="8" w:space="0" w:color="000000" w:themeColor="text1"/>
              <w:bottom w:val="single" w:sz="8" w:space="0" w:color="000000" w:themeColor="text1"/>
            </w:tcBorders>
            <w:shd w:val="clear" w:color="auto" w:fill="FFFFFF" w:themeFill="background1"/>
          </w:tcPr>
          <w:p w14:paraId="581DCBE9"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0A247DDE"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7652116D" w14:textId="77777777" w:rsidTr="00A46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78754F6E" w14:textId="77777777" w:rsidR="00751E80" w:rsidRPr="006F36B0" w:rsidRDefault="00751E80" w:rsidP="00A46E4A">
            <w:pPr>
              <w:rPr>
                <w:rFonts w:ascii="Arial" w:hAnsi="Arial" w:cs="Arial"/>
                <w:sz w:val="18"/>
                <w:szCs w:val="18"/>
              </w:rPr>
            </w:pPr>
            <w:r w:rsidRPr="006F36B0">
              <w:rPr>
                <w:rFonts w:ascii="Arial" w:hAnsi="Arial" w:cs="Arial"/>
                <w:sz w:val="18"/>
                <w:szCs w:val="18"/>
              </w:rPr>
              <w:lastRenderedPageBreak/>
              <w:t>Microscopy (Pre-treatment)</w:t>
            </w:r>
          </w:p>
          <w:p w14:paraId="47752DD0"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Negative -</w:t>
            </w:r>
          </w:p>
          <w:p w14:paraId="756B7254"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Positive +</w:t>
            </w:r>
          </w:p>
          <w:p w14:paraId="360E04B1" w14:textId="77777777" w:rsidR="00751E80" w:rsidRPr="006F36B0" w:rsidRDefault="00751E80" w:rsidP="00A46E4A">
            <w:pPr>
              <w:rPr>
                <w:rFonts w:ascii="Arial" w:hAnsi="Arial" w:cs="Arial"/>
                <w:sz w:val="18"/>
                <w:szCs w:val="18"/>
              </w:rPr>
            </w:pPr>
            <w:r w:rsidRPr="006F36B0">
              <w:rPr>
                <w:rFonts w:ascii="Arial" w:hAnsi="Arial" w:cs="Arial"/>
                <w:b w:val="0"/>
                <w:sz w:val="18"/>
                <w:szCs w:val="18"/>
              </w:rPr>
              <w:t>Missing result</w:t>
            </w:r>
          </w:p>
        </w:tc>
        <w:tc>
          <w:tcPr>
            <w:tcW w:w="822" w:type="pct"/>
            <w:tcBorders>
              <w:top w:val="single" w:sz="8" w:space="0" w:color="000000" w:themeColor="text1"/>
              <w:bottom w:val="single" w:sz="8" w:space="0" w:color="000000" w:themeColor="text1"/>
            </w:tcBorders>
            <w:shd w:val="clear" w:color="auto" w:fill="FFFFFF" w:themeFill="background1"/>
          </w:tcPr>
          <w:p w14:paraId="52D6BDA9"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p>
          <w:p w14:paraId="1336E18D"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p>
          <w:p w14:paraId="3B7799F1"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15971(20.8)</w:t>
            </w:r>
          </w:p>
          <w:p w14:paraId="76598378"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34839(45.3)</w:t>
            </w:r>
          </w:p>
          <w:p w14:paraId="63159963"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r w:rsidRPr="006F36B0">
              <w:rPr>
                <w:rFonts w:ascii="Arial" w:hAnsi="Arial" w:cs="Arial"/>
                <w:sz w:val="18"/>
                <w:szCs w:val="18"/>
              </w:rPr>
              <w:t>26046(33.9)</w:t>
            </w:r>
          </w:p>
        </w:tc>
        <w:tc>
          <w:tcPr>
            <w:tcW w:w="874" w:type="pct"/>
            <w:tcBorders>
              <w:top w:val="single" w:sz="8" w:space="0" w:color="000000" w:themeColor="text1"/>
              <w:bottom w:val="single" w:sz="8" w:space="0" w:color="000000" w:themeColor="text1"/>
            </w:tcBorders>
            <w:shd w:val="clear" w:color="auto" w:fill="FFFFFF" w:themeFill="background1"/>
          </w:tcPr>
          <w:p w14:paraId="4EAA627A"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7990B14B"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3EEE755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12832(80.3)</w:t>
            </w:r>
          </w:p>
          <w:p w14:paraId="5D1793FE"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27876(80.0)</w:t>
            </w:r>
          </w:p>
          <w:p w14:paraId="6C9562DE"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20630(79.2)</w:t>
            </w:r>
          </w:p>
        </w:tc>
        <w:tc>
          <w:tcPr>
            <w:tcW w:w="758" w:type="pct"/>
            <w:tcBorders>
              <w:top w:val="single" w:sz="8" w:space="0" w:color="000000" w:themeColor="text1"/>
              <w:bottom w:val="single" w:sz="8" w:space="0" w:color="000000" w:themeColor="text1"/>
            </w:tcBorders>
            <w:shd w:val="clear" w:color="auto" w:fill="FFFFFF" w:themeFill="background1"/>
          </w:tcPr>
          <w:p w14:paraId="39FED88F"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00C6ADCF"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61069917"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3139(19.7)</w:t>
            </w:r>
          </w:p>
          <w:p w14:paraId="552BFEB7"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6963(20.0)</w:t>
            </w:r>
          </w:p>
          <w:p w14:paraId="13D7A559"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5416(20.8)</w:t>
            </w:r>
          </w:p>
        </w:tc>
        <w:tc>
          <w:tcPr>
            <w:tcW w:w="347" w:type="pct"/>
            <w:tcBorders>
              <w:top w:val="single" w:sz="8" w:space="0" w:color="000000" w:themeColor="text1"/>
              <w:bottom w:val="single" w:sz="8" w:space="0" w:color="000000" w:themeColor="text1"/>
            </w:tcBorders>
            <w:shd w:val="clear" w:color="auto" w:fill="FFFFFF" w:themeFill="background1"/>
          </w:tcPr>
          <w:p w14:paraId="52EF0C44"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7B66ABD"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C29ACEC"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9.6</w:t>
            </w:r>
          </w:p>
        </w:tc>
        <w:tc>
          <w:tcPr>
            <w:tcW w:w="534" w:type="pct"/>
            <w:tcBorders>
              <w:top w:val="single" w:sz="8" w:space="0" w:color="000000" w:themeColor="text1"/>
              <w:bottom w:val="single" w:sz="8" w:space="0" w:color="000000" w:themeColor="text1"/>
            </w:tcBorders>
            <w:shd w:val="clear" w:color="auto" w:fill="FFFFFF" w:themeFill="background1"/>
          </w:tcPr>
          <w:p w14:paraId="15DBD8E4"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E1C5FBF"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191EFB7"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0.01</w:t>
            </w:r>
          </w:p>
        </w:tc>
        <w:tc>
          <w:tcPr>
            <w:tcW w:w="413" w:type="pct"/>
            <w:tcBorders>
              <w:top w:val="single" w:sz="8" w:space="0" w:color="000000" w:themeColor="text1"/>
              <w:bottom w:val="single" w:sz="8" w:space="0" w:color="000000" w:themeColor="text1"/>
            </w:tcBorders>
            <w:shd w:val="clear" w:color="auto" w:fill="FFFFFF" w:themeFill="background1"/>
          </w:tcPr>
          <w:p w14:paraId="26A60457"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4A0154AC"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301A26DF"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0.008*</w:t>
            </w:r>
          </w:p>
        </w:tc>
      </w:tr>
      <w:tr w:rsidR="00751E80" w:rsidRPr="006F36B0" w14:paraId="0D2DAAD9" w14:textId="77777777" w:rsidTr="00A46E4A">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45736953" w14:textId="77777777" w:rsidR="00751E80" w:rsidRPr="006F36B0" w:rsidRDefault="00751E80" w:rsidP="00A46E4A">
            <w:pPr>
              <w:rPr>
                <w:rFonts w:ascii="Arial" w:hAnsi="Arial" w:cs="Arial"/>
                <w:sz w:val="18"/>
                <w:szCs w:val="18"/>
              </w:rPr>
            </w:pPr>
            <w:r w:rsidRPr="006F36B0">
              <w:rPr>
                <w:rFonts w:ascii="Arial" w:hAnsi="Arial" w:cs="Arial"/>
                <w:sz w:val="18"/>
                <w:szCs w:val="18"/>
              </w:rPr>
              <w:t>TB Classification</w:t>
            </w:r>
          </w:p>
          <w:p w14:paraId="779C7030"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EPTB</w:t>
            </w:r>
          </w:p>
          <w:p w14:paraId="4788D5E0" w14:textId="77777777" w:rsidR="00751E80" w:rsidRPr="006F36B0" w:rsidRDefault="00751E80" w:rsidP="00A46E4A">
            <w:pPr>
              <w:rPr>
                <w:rFonts w:ascii="Arial" w:hAnsi="Arial" w:cs="Arial"/>
                <w:sz w:val="18"/>
                <w:szCs w:val="18"/>
              </w:rPr>
            </w:pPr>
            <w:r w:rsidRPr="006F36B0">
              <w:rPr>
                <w:rFonts w:ascii="Arial" w:hAnsi="Arial" w:cs="Arial"/>
                <w:b w:val="0"/>
                <w:sz w:val="18"/>
                <w:szCs w:val="18"/>
              </w:rPr>
              <w:t>PTB</w:t>
            </w:r>
          </w:p>
        </w:tc>
        <w:tc>
          <w:tcPr>
            <w:tcW w:w="822" w:type="pct"/>
            <w:tcBorders>
              <w:top w:val="single" w:sz="8" w:space="0" w:color="000000" w:themeColor="text1"/>
              <w:bottom w:val="single" w:sz="8" w:space="0" w:color="000000" w:themeColor="text1"/>
            </w:tcBorders>
            <w:shd w:val="clear" w:color="auto" w:fill="FFFFFF" w:themeFill="background1"/>
          </w:tcPr>
          <w:p w14:paraId="6781D6B4"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B16998B"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14733(19.2)</w:t>
            </w:r>
          </w:p>
          <w:p w14:paraId="2D0D67C0"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62123(80.8)</w:t>
            </w:r>
          </w:p>
        </w:tc>
        <w:tc>
          <w:tcPr>
            <w:tcW w:w="874" w:type="pct"/>
            <w:tcBorders>
              <w:top w:val="single" w:sz="8" w:space="0" w:color="000000" w:themeColor="text1"/>
              <w:bottom w:val="single" w:sz="8" w:space="0" w:color="000000" w:themeColor="text1"/>
            </w:tcBorders>
            <w:shd w:val="clear" w:color="auto" w:fill="FFFFFF" w:themeFill="background1"/>
          </w:tcPr>
          <w:p w14:paraId="76520D22"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44CED021"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11993(81.4)</w:t>
            </w:r>
          </w:p>
          <w:p w14:paraId="4D1368B7"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49345(79.4)</w:t>
            </w:r>
          </w:p>
        </w:tc>
        <w:tc>
          <w:tcPr>
            <w:tcW w:w="758" w:type="pct"/>
            <w:tcBorders>
              <w:top w:val="single" w:sz="8" w:space="0" w:color="000000" w:themeColor="text1"/>
              <w:bottom w:val="single" w:sz="8" w:space="0" w:color="000000" w:themeColor="text1"/>
            </w:tcBorders>
            <w:shd w:val="clear" w:color="auto" w:fill="FFFFFF" w:themeFill="background1"/>
          </w:tcPr>
          <w:p w14:paraId="7CA50F71"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634E4F85"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2740(18.6)</w:t>
            </w:r>
          </w:p>
          <w:p w14:paraId="4E4D89B1"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12778(20.6)</w:t>
            </w:r>
          </w:p>
        </w:tc>
        <w:tc>
          <w:tcPr>
            <w:tcW w:w="347" w:type="pct"/>
            <w:tcBorders>
              <w:top w:val="single" w:sz="8" w:space="0" w:color="000000" w:themeColor="text1"/>
              <w:bottom w:val="single" w:sz="8" w:space="0" w:color="000000" w:themeColor="text1"/>
            </w:tcBorders>
            <w:shd w:val="clear" w:color="auto" w:fill="FFFFFF" w:themeFill="background1"/>
          </w:tcPr>
          <w:p w14:paraId="0FA8261E"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0CB0612"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28.7</w:t>
            </w:r>
          </w:p>
        </w:tc>
        <w:tc>
          <w:tcPr>
            <w:tcW w:w="534" w:type="pct"/>
            <w:tcBorders>
              <w:top w:val="single" w:sz="8" w:space="0" w:color="000000" w:themeColor="text1"/>
              <w:bottom w:val="single" w:sz="8" w:space="0" w:color="000000" w:themeColor="text1"/>
            </w:tcBorders>
            <w:shd w:val="clear" w:color="auto" w:fill="FFFFFF" w:themeFill="background1"/>
          </w:tcPr>
          <w:p w14:paraId="47B4AAB8"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90627F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0.02</w:t>
            </w:r>
          </w:p>
        </w:tc>
        <w:tc>
          <w:tcPr>
            <w:tcW w:w="413" w:type="pct"/>
            <w:tcBorders>
              <w:top w:val="single" w:sz="8" w:space="0" w:color="000000" w:themeColor="text1"/>
              <w:bottom w:val="single" w:sz="8" w:space="0" w:color="000000" w:themeColor="text1"/>
            </w:tcBorders>
            <w:shd w:val="clear" w:color="auto" w:fill="FFFFFF" w:themeFill="background1"/>
          </w:tcPr>
          <w:p w14:paraId="7C370CE2"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66F62D1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4A203CDF" w14:textId="77777777" w:rsidTr="00A46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2BFFFD3B" w14:textId="77777777" w:rsidR="00751E80" w:rsidRPr="006F36B0" w:rsidRDefault="00751E80" w:rsidP="00A46E4A">
            <w:pPr>
              <w:rPr>
                <w:rFonts w:ascii="Arial" w:hAnsi="Arial" w:cs="Arial"/>
                <w:sz w:val="18"/>
                <w:szCs w:val="18"/>
              </w:rPr>
            </w:pPr>
            <w:r w:rsidRPr="006F36B0">
              <w:rPr>
                <w:rFonts w:ascii="Arial" w:hAnsi="Arial" w:cs="Arial"/>
                <w:sz w:val="18"/>
                <w:szCs w:val="18"/>
              </w:rPr>
              <w:t xml:space="preserve">TB regimen initiated </w:t>
            </w:r>
          </w:p>
          <w:p w14:paraId="16A29555"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2HRZE/4HR (A)</w:t>
            </w:r>
          </w:p>
          <w:p w14:paraId="764789A2"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2HRZE/1HRZE/5HRE (A)</w:t>
            </w:r>
          </w:p>
          <w:p w14:paraId="31780F0D"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2HRZE/1HRZE/5HR (C)</w:t>
            </w:r>
          </w:p>
          <w:p w14:paraId="65E641A8"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2HRZ/4HR (C)</w:t>
            </w:r>
          </w:p>
          <w:p w14:paraId="4D71C55D" w14:textId="77777777" w:rsidR="00751E80" w:rsidRPr="006F36B0" w:rsidRDefault="00751E80" w:rsidP="00A46E4A">
            <w:pPr>
              <w:rPr>
                <w:rFonts w:ascii="Arial" w:hAnsi="Arial" w:cs="Arial"/>
                <w:b w:val="0"/>
                <w:sz w:val="18"/>
                <w:szCs w:val="18"/>
              </w:rPr>
            </w:pPr>
            <w:proofErr w:type="gramStart"/>
            <w:r w:rsidRPr="006F36B0">
              <w:rPr>
                <w:rFonts w:ascii="Arial" w:hAnsi="Arial" w:cs="Arial"/>
                <w:b w:val="0"/>
                <w:sz w:val="18"/>
                <w:szCs w:val="18"/>
              </w:rPr>
              <w:t>Other</w:t>
            </w:r>
            <w:proofErr w:type="gramEnd"/>
            <w:r w:rsidRPr="006F36B0">
              <w:rPr>
                <w:rFonts w:ascii="Arial" w:hAnsi="Arial" w:cs="Arial"/>
                <w:b w:val="0"/>
                <w:sz w:val="18"/>
                <w:szCs w:val="18"/>
              </w:rPr>
              <w:t xml:space="preserve"> regimen</w:t>
            </w:r>
          </w:p>
        </w:tc>
        <w:tc>
          <w:tcPr>
            <w:tcW w:w="822" w:type="pct"/>
            <w:tcBorders>
              <w:top w:val="single" w:sz="8" w:space="0" w:color="000000" w:themeColor="text1"/>
              <w:bottom w:val="single" w:sz="8" w:space="0" w:color="000000" w:themeColor="text1"/>
            </w:tcBorders>
            <w:shd w:val="clear" w:color="auto" w:fill="FFFFFF" w:themeFill="background1"/>
          </w:tcPr>
          <w:p w14:paraId="20AD59E1"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55DBF17"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57238(74.5)</w:t>
            </w:r>
          </w:p>
          <w:p w14:paraId="6878B197"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14006(18.2)</w:t>
            </w:r>
          </w:p>
          <w:p w14:paraId="7941DEB2"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342(0.45)</w:t>
            </w:r>
          </w:p>
          <w:p w14:paraId="6F0941A1"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4914(6.4)</w:t>
            </w:r>
          </w:p>
          <w:p w14:paraId="5127BE24"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356(0.5)</w:t>
            </w:r>
          </w:p>
        </w:tc>
        <w:tc>
          <w:tcPr>
            <w:tcW w:w="874" w:type="pct"/>
            <w:tcBorders>
              <w:top w:val="single" w:sz="8" w:space="0" w:color="000000" w:themeColor="text1"/>
              <w:bottom w:val="single" w:sz="8" w:space="0" w:color="000000" w:themeColor="text1"/>
            </w:tcBorders>
            <w:shd w:val="clear" w:color="auto" w:fill="FFFFFF" w:themeFill="background1"/>
          </w:tcPr>
          <w:p w14:paraId="7CB64045"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76CC850F"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46673(81.5)</w:t>
            </w:r>
          </w:p>
          <w:p w14:paraId="1F19832B"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9883(70.6)</w:t>
            </w:r>
          </w:p>
          <w:p w14:paraId="30C9BFB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288(84.2)</w:t>
            </w:r>
          </w:p>
          <w:p w14:paraId="46CBD68C"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4251(86.5)</w:t>
            </w:r>
          </w:p>
          <w:p w14:paraId="14F28C4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243(68.3)</w:t>
            </w:r>
          </w:p>
        </w:tc>
        <w:tc>
          <w:tcPr>
            <w:tcW w:w="758" w:type="pct"/>
            <w:tcBorders>
              <w:top w:val="single" w:sz="8" w:space="0" w:color="000000" w:themeColor="text1"/>
              <w:bottom w:val="single" w:sz="8" w:space="0" w:color="000000" w:themeColor="text1"/>
            </w:tcBorders>
            <w:shd w:val="clear" w:color="auto" w:fill="FFFFFF" w:themeFill="background1"/>
          </w:tcPr>
          <w:p w14:paraId="37FB79D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457D4FD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10565(18.5)</w:t>
            </w:r>
          </w:p>
          <w:p w14:paraId="736BFFA8"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4123(29.4)</w:t>
            </w:r>
          </w:p>
          <w:p w14:paraId="113BBE1B"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54(15.8)</w:t>
            </w:r>
          </w:p>
          <w:p w14:paraId="3BF8BED7"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663(13.5)</w:t>
            </w:r>
          </w:p>
          <w:p w14:paraId="50BE1E50"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113(31.7)</w:t>
            </w:r>
          </w:p>
        </w:tc>
        <w:tc>
          <w:tcPr>
            <w:tcW w:w="347" w:type="pct"/>
            <w:tcBorders>
              <w:top w:val="single" w:sz="8" w:space="0" w:color="000000" w:themeColor="text1"/>
              <w:bottom w:val="single" w:sz="8" w:space="0" w:color="000000" w:themeColor="text1"/>
            </w:tcBorders>
            <w:shd w:val="clear" w:color="auto" w:fill="FFFFFF" w:themeFill="background1"/>
          </w:tcPr>
          <w:p w14:paraId="289DC598"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7B22C96"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1020</w:t>
            </w:r>
          </w:p>
        </w:tc>
        <w:tc>
          <w:tcPr>
            <w:tcW w:w="534" w:type="pct"/>
            <w:tcBorders>
              <w:top w:val="single" w:sz="8" w:space="0" w:color="000000" w:themeColor="text1"/>
              <w:bottom w:val="single" w:sz="8" w:space="0" w:color="000000" w:themeColor="text1"/>
            </w:tcBorders>
            <w:shd w:val="clear" w:color="auto" w:fill="FFFFFF" w:themeFill="background1"/>
          </w:tcPr>
          <w:p w14:paraId="19656491"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1CFBBA2"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0.12</w:t>
            </w:r>
          </w:p>
        </w:tc>
        <w:tc>
          <w:tcPr>
            <w:tcW w:w="413" w:type="pct"/>
            <w:tcBorders>
              <w:top w:val="single" w:sz="8" w:space="0" w:color="000000" w:themeColor="text1"/>
              <w:bottom w:val="single" w:sz="8" w:space="0" w:color="000000" w:themeColor="text1"/>
            </w:tcBorders>
            <w:shd w:val="clear" w:color="auto" w:fill="FFFFFF" w:themeFill="background1"/>
          </w:tcPr>
          <w:p w14:paraId="795E0F17"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2875CC02"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4939863E" w14:textId="77777777" w:rsidTr="00A46E4A">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51CC102D" w14:textId="77777777" w:rsidR="00751E80" w:rsidRPr="006F36B0" w:rsidRDefault="00751E80" w:rsidP="00A46E4A">
            <w:pPr>
              <w:rPr>
                <w:rFonts w:ascii="Arial" w:hAnsi="Arial" w:cs="Arial"/>
                <w:sz w:val="18"/>
                <w:szCs w:val="18"/>
              </w:rPr>
            </w:pPr>
            <w:r w:rsidRPr="006F36B0">
              <w:rPr>
                <w:rFonts w:ascii="Arial" w:hAnsi="Arial" w:cs="Arial"/>
                <w:sz w:val="18"/>
                <w:szCs w:val="18"/>
              </w:rPr>
              <w:t>DOT</w:t>
            </w:r>
            <w:r>
              <w:rPr>
                <w:rFonts w:ascii="Arial" w:hAnsi="Arial" w:cs="Arial"/>
                <w:sz w:val="18"/>
                <w:szCs w:val="18"/>
              </w:rPr>
              <w:t xml:space="preserve"> supporter/type</w:t>
            </w:r>
          </w:p>
          <w:p w14:paraId="1C956E09"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Guardian (</w:t>
            </w:r>
            <w:proofErr w:type="spellStart"/>
            <w:r w:rsidRPr="006F36B0">
              <w:rPr>
                <w:rFonts w:ascii="Arial" w:hAnsi="Arial" w:cs="Arial"/>
                <w:b w:val="0"/>
                <w:sz w:val="18"/>
                <w:szCs w:val="18"/>
              </w:rPr>
              <w:t>relat</w:t>
            </w:r>
            <w:proofErr w:type="spellEnd"/>
            <w:r w:rsidRPr="006F36B0">
              <w:rPr>
                <w:rFonts w:ascii="Arial" w:hAnsi="Arial" w:cs="Arial"/>
                <w:b w:val="0"/>
                <w:sz w:val="18"/>
                <w:szCs w:val="18"/>
              </w:rPr>
              <w:t>/neigh)</w:t>
            </w:r>
          </w:p>
          <w:p w14:paraId="2BAB0106"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Workplace</w:t>
            </w:r>
          </w:p>
          <w:p w14:paraId="5A530E08"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Health Facility</w:t>
            </w:r>
          </w:p>
          <w:p w14:paraId="3F4E345B"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Community H/Worker</w:t>
            </w:r>
          </w:p>
          <w:p w14:paraId="363B4CAB" w14:textId="77777777" w:rsidR="00751E80" w:rsidRPr="00DC0A91" w:rsidRDefault="00751E80" w:rsidP="00A46E4A">
            <w:pPr>
              <w:rPr>
                <w:rFonts w:ascii="Arial" w:hAnsi="Arial" w:cs="Arial"/>
                <w:b w:val="0"/>
                <w:sz w:val="18"/>
                <w:szCs w:val="18"/>
              </w:rPr>
            </w:pPr>
            <w:r>
              <w:rPr>
                <w:rFonts w:ascii="Arial" w:hAnsi="Arial" w:cs="Arial"/>
                <w:b w:val="0"/>
                <w:sz w:val="18"/>
                <w:szCs w:val="18"/>
              </w:rPr>
              <w:t>Other</w:t>
            </w:r>
          </w:p>
        </w:tc>
        <w:tc>
          <w:tcPr>
            <w:tcW w:w="822" w:type="pct"/>
            <w:tcBorders>
              <w:top w:val="single" w:sz="8" w:space="0" w:color="000000" w:themeColor="text1"/>
              <w:bottom w:val="single" w:sz="8" w:space="0" w:color="000000" w:themeColor="text1"/>
            </w:tcBorders>
            <w:shd w:val="clear" w:color="auto" w:fill="FFFFFF" w:themeFill="background1"/>
          </w:tcPr>
          <w:p w14:paraId="1BF90C26"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C53C0FB"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28546(48.9)</w:t>
            </w:r>
          </w:p>
          <w:p w14:paraId="741F3958"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682(1.2)</w:t>
            </w:r>
          </w:p>
          <w:p w14:paraId="6CE7CED7"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27410(46.9)</w:t>
            </w:r>
          </w:p>
          <w:p w14:paraId="13F70146"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1409(2.4)</w:t>
            </w:r>
          </w:p>
          <w:p w14:paraId="05F894F4"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358(0.6)</w:t>
            </w:r>
          </w:p>
        </w:tc>
        <w:tc>
          <w:tcPr>
            <w:tcW w:w="874" w:type="pct"/>
            <w:tcBorders>
              <w:top w:val="single" w:sz="8" w:space="0" w:color="000000" w:themeColor="text1"/>
              <w:bottom w:val="single" w:sz="8" w:space="0" w:color="000000" w:themeColor="text1"/>
            </w:tcBorders>
            <w:shd w:val="clear" w:color="auto" w:fill="FFFFFF" w:themeFill="background1"/>
          </w:tcPr>
          <w:p w14:paraId="2C7702CC"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6CB321C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23480(82.3)</w:t>
            </w:r>
          </w:p>
          <w:p w14:paraId="2F22B431"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566(83.0)</w:t>
            </w:r>
          </w:p>
          <w:p w14:paraId="616795F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21462(78.2)</w:t>
            </w:r>
          </w:p>
          <w:p w14:paraId="5DF005BB"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1230(87.3)</w:t>
            </w:r>
          </w:p>
          <w:p w14:paraId="5C18C633"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257(71.8)</w:t>
            </w:r>
          </w:p>
        </w:tc>
        <w:tc>
          <w:tcPr>
            <w:tcW w:w="758" w:type="pct"/>
            <w:tcBorders>
              <w:top w:val="single" w:sz="8" w:space="0" w:color="000000" w:themeColor="text1"/>
              <w:bottom w:val="single" w:sz="8" w:space="0" w:color="000000" w:themeColor="text1"/>
            </w:tcBorders>
            <w:shd w:val="clear" w:color="auto" w:fill="FFFFFF" w:themeFill="background1"/>
          </w:tcPr>
          <w:p w14:paraId="3D78889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541DD31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5066(17.7)</w:t>
            </w:r>
          </w:p>
          <w:p w14:paraId="1736F976"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116(17.0)</w:t>
            </w:r>
          </w:p>
          <w:p w14:paraId="330CE5E1"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5948(21.7)</w:t>
            </w:r>
          </w:p>
          <w:p w14:paraId="10DBC38E"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179(12.7)</w:t>
            </w:r>
          </w:p>
          <w:p w14:paraId="59E9D7C1"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101(28.2)</w:t>
            </w:r>
          </w:p>
        </w:tc>
        <w:tc>
          <w:tcPr>
            <w:tcW w:w="347" w:type="pct"/>
            <w:tcBorders>
              <w:top w:val="single" w:sz="8" w:space="0" w:color="000000" w:themeColor="text1"/>
              <w:bottom w:val="single" w:sz="8" w:space="0" w:color="000000" w:themeColor="text1"/>
            </w:tcBorders>
            <w:shd w:val="clear" w:color="auto" w:fill="FFFFFF" w:themeFill="background1"/>
          </w:tcPr>
          <w:p w14:paraId="7B06F7A7"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557BB20"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201.6</w:t>
            </w:r>
          </w:p>
        </w:tc>
        <w:tc>
          <w:tcPr>
            <w:tcW w:w="534" w:type="pct"/>
            <w:tcBorders>
              <w:top w:val="single" w:sz="8" w:space="0" w:color="000000" w:themeColor="text1"/>
              <w:bottom w:val="single" w:sz="8" w:space="0" w:color="000000" w:themeColor="text1"/>
            </w:tcBorders>
            <w:shd w:val="clear" w:color="auto" w:fill="FFFFFF" w:themeFill="background1"/>
          </w:tcPr>
          <w:p w14:paraId="21B2A566"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D800DAC"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0.06</w:t>
            </w:r>
          </w:p>
        </w:tc>
        <w:tc>
          <w:tcPr>
            <w:tcW w:w="413" w:type="pct"/>
            <w:tcBorders>
              <w:top w:val="single" w:sz="8" w:space="0" w:color="000000" w:themeColor="text1"/>
              <w:bottom w:val="single" w:sz="8" w:space="0" w:color="000000" w:themeColor="text1"/>
            </w:tcBorders>
            <w:shd w:val="clear" w:color="auto" w:fill="FFFFFF" w:themeFill="background1"/>
          </w:tcPr>
          <w:p w14:paraId="1499749A"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5E1AE7C0"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52886146" w14:textId="77777777" w:rsidTr="00A46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3EDFDC07" w14:textId="77777777" w:rsidR="00751E80" w:rsidRPr="006F36B0" w:rsidRDefault="00751E80" w:rsidP="00A46E4A">
            <w:pPr>
              <w:rPr>
                <w:rFonts w:ascii="Arial" w:hAnsi="Arial" w:cs="Arial"/>
                <w:sz w:val="18"/>
                <w:szCs w:val="18"/>
              </w:rPr>
            </w:pPr>
            <w:r w:rsidRPr="006F36B0">
              <w:rPr>
                <w:rFonts w:ascii="Arial" w:hAnsi="Arial" w:cs="Arial"/>
                <w:sz w:val="18"/>
                <w:szCs w:val="18"/>
              </w:rPr>
              <w:t>HIV status</w:t>
            </w:r>
          </w:p>
          <w:p w14:paraId="2D08DAC7"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Negative</w:t>
            </w:r>
          </w:p>
          <w:p w14:paraId="47BDBCCA"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Positive</w:t>
            </w:r>
          </w:p>
          <w:p w14:paraId="55006993" w14:textId="77777777" w:rsidR="00751E80" w:rsidRPr="006F36B0" w:rsidRDefault="00751E80" w:rsidP="00A46E4A">
            <w:pPr>
              <w:rPr>
                <w:rFonts w:ascii="Arial" w:hAnsi="Arial" w:cs="Arial"/>
                <w:sz w:val="18"/>
                <w:szCs w:val="18"/>
              </w:rPr>
            </w:pPr>
            <w:r w:rsidRPr="006F36B0">
              <w:rPr>
                <w:rFonts w:ascii="Arial" w:hAnsi="Arial" w:cs="Arial"/>
                <w:b w:val="0"/>
                <w:sz w:val="18"/>
                <w:szCs w:val="18"/>
              </w:rPr>
              <w:t>Unknown</w:t>
            </w:r>
          </w:p>
        </w:tc>
        <w:tc>
          <w:tcPr>
            <w:tcW w:w="822" w:type="pct"/>
            <w:tcBorders>
              <w:top w:val="single" w:sz="8" w:space="0" w:color="000000" w:themeColor="text1"/>
              <w:bottom w:val="single" w:sz="8" w:space="0" w:color="000000" w:themeColor="text1"/>
            </w:tcBorders>
            <w:shd w:val="clear" w:color="auto" w:fill="FFFFFF" w:themeFill="background1"/>
          </w:tcPr>
          <w:p w14:paraId="0BDEFE3A"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highlight w:val="yellow"/>
              </w:rPr>
            </w:pPr>
          </w:p>
          <w:p w14:paraId="04CBB809"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25476(44.0)</w:t>
            </w:r>
          </w:p>
          <w:p w14:paraId="165FF741"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27704(47.9)</w:t>
            </w:r>
          </w:p>
          <w:p w14:paraId="7A9D451D"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4676(8.1)</w:t>
            </w:r>
          </w:p>
        </w:tc>
        <w:tc>
          <w:tcPr>
            <w:tcW w:w="874" w:type="pct"/>
            <w:tcBorders>
              <w:top w:val="single" w:sz="8" w:space="0" w:color="000000" w:themeColor="text1"/>
              <w:bottom w:val="single" w:sz="8" w:space="0" w:color="000000" w:themeColor="text1"/>
            </w:tcBorders>
            <w:shd w:val="clear" w:color="auto" w:fill="FFFFFF" w:themeFill="background1"/>
          </w:tcPr>
          <w:p w14:paraId="7E7154D4"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5CD04D6A"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21752(85.4)</w:t>
            </w:r>
          </w:p>
          <w:p w14:paraId="3E36B3D9"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21243(76.7)</w:t>
            </w:r>
          </w:p>
          <w:p w14:paraId="539E6B97"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3713(79.4)</w:t>
            </w:r>
          </w:p>
        </w:tc>
        <w:tc>
          <w:tcPr>
            <w:tcW w:w="758" w:type="pct"/>
            <w:tcBorders>
              <w:top w:val="single" w:sz="8" w:space="0" w:color="000000" w:themeColor="text1"/>
              <w:bottom w:val="single" w:sz="8" w:space="0" w:color="000000" w:themeColor="text1"/>
            </w:tcBorders>
            <w:shd w:val="clear" w:color="auto" w:fill="FFFFFF" w:themeFill="background1"/>
          </w:tcPr>
          <w:p w14:paraId="7F925EF0"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2D510A49"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3724(14.6)</w:t>
            </w:r>
          </w:p>
          <w:p w14:paraId="190457FB"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6461(23.3)</w:t>
            </w:r>
          </w:p>
          <w:p w14:paraId="56AFFA45"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963(20.6)</w:t>
            </w:r>
          </w:p>
        </w:tc>
        <w:tc>
          <w:tcPr>
            <w:tcW w:w="347" w:type="pct"/>
            <w:tcBorders>
              <w:top w:val="single" w:sz="8" w:space="0" w:color="000000" w:themeColor="text1"/>
              <w:bottom w:val="single" w:sz="8" w:space="0" w:color="000000" w:themeColor="text1"/>
            </w:tcBorders>
            <w:shd w:val="clear" w:color="auto" w:fill="FFFFFF" w:themeFill="background1"/>
          </w:tcPr>
          <w:p w14:paraId="38210AD9"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6AA023E"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652.1</w:t>
            </w:r>
          </w:p>
        </w:tc>
        <w:tc>
          <w:tcPr>
            <w:tcW w:w="534" w:type="pct"/>
            <w:tcBorders>
              <w:top w:val="single" w:sz="8" w:space="0" w:color="000000" w:themeColor="text1"/>
              <w:bottom w:val="single" w:sz="8" w:space="0" w:color="000000" w:themeColor="text1"/>
            </w:tcBorders>
            <w:shd w:val="clear" w:color="auto" w:fill="FFFFFF" w:themeFill="background1"/>
          </w:tcPr>
          <w:p w14:paraId="2324F571"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BE8BFA0"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0.11</w:t>
            </w:r>
          </w:p>
        </w:tc>
        <w:tc>
          <w:tcPr>
            <w:tcW w:w="413" w:type="pct"/>
            <w:tcBorders>
              <w:top w:val="single" w:sz="8" w:space="0" w:color="000000" w:themeColor="text1"/>
              <w:bottom w:val="single" w:sz="8" w:space="0" w:color="000000" w:themeColor="text1"/>
            </w:tcBorders>
            <w:shd w:val="clear" w:color="auto" w:fill="FFFFFF" w:themeFill="background1"/>
          </w:tcPr>
          <w:p w14:paraId="0B0C3339"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6E15B9DE"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3A6FEC86" w14:textId="77777777" w:rsidTr="00A46E4A">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55089C5C" w14:textId="77777777" w:rsidR="00751E80" w:rsidRPr="006F36B0" w:rsidRDefault="00751E80" w:rsidP="00A46E4A">
            <w:pPr>
              <w:rPr>
                <w:rFonts w:ascii="Arial" w:hAnsi="Arial" w:cs="Arial"/>
                <w:sz w:val="18"/>
                <w:szCs w:val="18"/>
              </w:rPr>
            </w:pPr>
            <w:r w:rsidRPr="006F36B0">
              <w:rPr>
                <w:rFonts w:ascii="Arial" w:hAnsi="Arial" w:cs="Arial"/>
                <w:sz w:val="18"/>
                <w:szCs w:val="18"/>
              </w:rPr>
              <w:t>Patient on HAART</w:t>
            </w:r>
          </w:p>
          <w:p w14:paraId="46635EC5"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Yes</w:t>
            </w:r>
          </w:p>
          <w:p w14:paraId="6D37943D" w14:textId="77777777" w:rsidR="00751E80" w:rsidRPr="006F36B0" w:rsidRDefault="00751E80" w:rsidP="00A46E4A">
            <w:pPr>
              <w:rPr>
                <w:rFonts w:ascii="Arial" w:hAnsi="Arial" w:cs="Arial"/>
                <w:sz w:val="18"/>
                <w:szCs w:val="18"/>
              </w:rPr>
            </w:pPr>
            <w:r w:rsidRPr="006F36B0">
              <w:rPr>
                <w:rFonts w:ascii="Arial" w:hAnsi="Arial" w:cs="Arial"/>
                <w:b w:val="0"/>
                <w:sz w:val="18"/>
                <w:szCs w:val="18"/>
              </w:rPr>
              <w:t>No</w:t>
            </w:r>
          </w:p>
        </w:tc>
        <w:tc>
          <w:tcPr>
            <w:tcW w:w="822" w:type="pct"/>
            <w:tcBorders>
              <w:top w:val="single" w:sz="8" w:space="0" w:color="000000" w:themeColor="text1"/>
              <w:bottom w:val="single" w:sz="8" w:space="0" w:color="000000" w:themeColor="text1"/>
            </w:tcBorders>
            <w:shd w:val="clear" w:color="auto" w:fill="FFFFFF" w:themeFill="background1"/>
          </w:tcPr>
          <w:p w14:paraId="083EDEDA"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p w14:paraId="6EF7F9E1"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16741(62.9)</w:t>
            </w:r>
          </w:p>
          <w:p w14:paraId="3A3A1EC8"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9894(37.1)</w:t>
            </w:r>
          </w:p>
        </w:tc>
        <w:tc>
          <w:tcPr>
            <w:tcW w:w="874" w:type="pct"/>
            <w:tcBorders>
              <w:top w:val="single" w:sz="8" w:space="0" w:color="000000" w:themeColor="text1"/>
              <w:bottom w:val="single" w:sz="8" w:space="0" w:color="000000" w:themeColor="text1"/>
            </w:tcBorders>
            <w:shd w:val="clear" w:color="auto" w:fill="FFFFFF" w:themeFill="background1"/>
          </w:tcPr>
          <w:p w14:paraId="62BBA3D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5388558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13184(78.8)</w:t>
            </w:r>
          </w:p>
          <w:p w14:paraId="304501C4"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7713(78.0)</w:t>
            </w:r>
          </w:p>
        </w:tc>
        <w:tc>
          <w:tcPr>
            <w:tcW w:w="758" w:type="pct"/>
            <w:tcBorders>
              <w:top w:val="single" w:sz="8" w:space="0" w:color="000000" w:themeColor="text1"/>
              <w:bottom w:val="single" w:sz="8" w:space="0" w:color="000000" w:themeColor="text1"/>
            </w:tcBorders>
            <w:shd w:val="clear" w:color="auto" w:fill="FFFFFF" w:themeFill="background1"/>
          </w:tcPr>
          <w:p w14:paraId="6261961E"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54C8D58A"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3557(21.2)</w:t>
            </w:r>
          </w:p>
          <w:p w14:paraId="37B4E467"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2181(22)</w:t>
            </w:r>
          </w:p>
        </w:tc>
        <w:tc>
          <w:tcPr>
            <w:tcW w:w="347" w:type="pct"/>
            <w:tcBorders>
              <w:top w:val="single" w:sz="8" w:space="0" w:color="000000" w:themeColor="text1"/>
              <w:bottom w:val="single" w:sz="8" w:space="0" w:color="000000" w:themeColor="text1"/>
            </w:tcBorders>
            <w:shd w:val="clear" w:color="auto" w:fill="FFFFFF" w:themeFill="background1"/>
          </w:tcPr>
          <w:p w14:paraId="31AB1205"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ADF120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2.3</w:t>
            </w:r>
          </w:p>
        </w:tc>
        <w:tc>
          <w:tcPr>
            <w:tcW w:w="534" w:type="pct"/>
            <w:tcBorders>
              <w:top w:val="single" w:sz="8" w:space="0" w:color="000000" w:themeColor="text1"/>
              <w:bottom w:val="single" w:sz="8" w:space="0" w:color="000000" w:themeColor="text1"/>
            </w:tcBorders>
            <w:shd w:val="clear" w:color="auto" w:fill="FFFFFF" w:themeFill="background1"/>
          </w:tcPr>
          <w:p w14:paraId="2AC43419"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40F5F79"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0.01</w:t>
            </w:r>
          </w:p>
        </w:tc>
        <w:tc>
          <w:tcPr>
            <w:tcW w:w="413" w:type="pct"/>
            <w:tcBorders>
              <w:top w:val="single" w:sz="8" w:space="0" w:color="000000" w:themeColor="text1"/>
              <w:bottom w:val="single" w:sz="8" w:space="0" w:color="000000" w:themeColor="text1"/>
            </w:tcBorders>
            <w:shd w:val="clear" w:color="auto" w:fill="FFFFFF" w:themeFill="background1"/>
          </w:tcPr>
          <w:p w14:paraId="1CCE8E3C"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3B334F24"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0.127</w:t>
            </w:r>
          </w:p>
        </w:tc>
      </w:tr>
      <w:tr w:rsidR="00751E80" w:rsidRPr="006F36B0" w14:paraId="7ED054B1" w14:textId="77777777" w:rsidTr="00A46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72D19F5A" w14:textId="77777777" w:rsidR="00751E80" w:rsidRPr="006F36B0" w:rsidRDefault="00751E80" w:rsidP="00A46E4A">
            <w:pPr>
              <w:rPr>
                <w:rFonts w:ascii="Arial" w:hAnsi="Arial" w:cs="Arial"/>
                <w:sz w:val="18"/>
                <w:szCs w:val="18"/>
              </w:rPr>
            </w:pPr>
            <w:r w:rsidRPr="006F36B0">
              <w:rPr>
                <w:rFonts w:ascii="Arial" w:hAnsi="Arial" w:cs="Arial"/>
                <w:sz w:val="18"/>
                <w:szCs w:val="18"/>
              </w:rPr>
              <w:t>HIV IPT exposure</w:t>
            </w:r>
          </w:p>
          <w:p w14:paraId="6EDB3541"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Yes</w:t>
            </w:r>
          </w:p>
          <w:p w14:paraId="6A96FEAA" w14:textId="77777777" w:rsidR="00751E80" w:rsidRPr="006F36B0" w:rsidRDefault="00751E80" w:rsidP="00A46E4A">
            <w:pPr>
              <w:rPr>
                <w:rFonts w:ascii="Arial" w:hAnsi="Arial" w:cs="Arial"/>
                <w:sz w:val="18"/>
                <w:szCs w:val="18"/>
              </w:rPr>
            </w:pPr>
            <w:r w:rsidRPr="006F36B0">
              <w:rPr>
                <w:rFonts w:ascii="Arial" w:hAnsi="Arial" w:cs="Arial"/>
                <w:b w:val="0"/>
                <w:sz w:val="18"/>
                <w:szCs w:val="18"/>
              </w:rPr>
              <w:t>No</w:t>
            </w:r>
          </w:p>
        </w:tc>
        <w:tc>
          <w:tcPr>
            <w:tcW w:w="822" w:type="pct"/>
            <w:tcBorders>
              <w:top w:val="single" w:sz="8" w:space="0" w:color="000000" w:themeColor="text1"/>
              <w:bottom w:val="single" w:sz="8" w:space="0" w:color="000000" w:themeColor="text1"/>
            </w:tcBorders>
            <w:shd w:val="clear" w:color="auto" w:fill="FFFFFF" w:themeFill="background1"/>
          </w:tcPr>
          <w:p w14:paraId="3DB4A9EF"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p w14:paraId="56E7F80F"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338(3.2)</w:t>
            </w:r>
          </w:p>
          <w:p w14:paraId="1C24472B"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10382(96.9)</w:t>
            </w:r>
          </w:p>
        </w:tc>
        <w:tc>
          <w:tcPr>
            <w:tcW w:w="874" w:type="pct"/>
            <w:tcBorders>
              <w:top w:val="single" w:sz="8" w:space="0" w:color="000000" w:themeColor="text1"/>
              <w:bottom w:val="single" w:sz="8" w:space="0" w:color="000000" w:themeColor="text1"/>
            </w:tcBorders>
            <w:shd w:val="clear" w:color="auto" w:fill="FFFFFF" w:themeFill="background1"/>
          </w:tcPr>
          <w:p w14:paraId="36CB0FCB"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2729AA0D"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264(78.1)</w:t>
            </w:r>
          </w:p>
          <w:p w14:paraId="046D7D4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8256(79.5)</w:t>
            </w:r>
          </w:p>
        </w:tc>
        <w:tc>
          <w:tcPr>
            <w:tcW w:w="758" w:type="pct"/>
            <w:tcBorders>
              <w:top w:val="single" w:sz="8" w:space="0" w:color="000000" w:themeColor="text1"/>
              <w:bottom w:val="single" w:sz="8" w:space="0" w:color="000000" w:themeColor="text1"/>
            </w:tcBorders>
            <w:shd w:val="clear" w:color="auto" w:fill="FFFFFF" w:themeFill="background1"/>
          </w:tcPr>
          <w:p w14:paraId="776AF9DB"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5E003F31"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74(21.9)</w:t>
            </w:r>
          </w:p>
          <w:p w14:paraId="4A8525B9"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2126(20.5)</w:t>
            </w:r>
          </w:p>
        </w:tc>
        <w:tc>
          <w:tcPr>
            <w:tcW w:w="347" w:type="pct"/>
            <w:tcBorders>
              <w:top w:val="single" w:sz="8" w:space="0" w:color="000000" w:themeColor="text1"/>
              <w:bottom w:val="single" w:sz="8" w:space="0" w:color="000000" w:themeColor="text1"/>
            </w:tcBorders>
            <w:shd w:val="clear" w:color="auto" w:fill="FFFFFF" w:themeFill="background1"/>
          </w:tcPr>
          <w:p w14:paraId="71050BC3"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9A124B5"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0.4</w:t>
            </w:r>
          </w:p>
        </w:tc>
        <w:tc>
          <w:tcPr>
            <w:tcW w:w="534" w:type="pct"/>
            <w:tcBorders>
              <w:top w:val="single" w:sz="8" w:space="0" w:color="000000" w:themeColor="text1"/>
              <w:bottom w:val="single" w:sz="8" w:space="0" w:color="000000" w:themeColor="text1"/>
            </w:tcBorders>
            <w:shd w:val="clear" w:color="auto" w:fill="FFFFFF" w:themeFill="background1"/>
          </w:tcPr>
          <w:p w14:paraId="660A311B"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00AD497"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0.01</w:t>
            </w:r>
          </w:p>
        </w:tc>
        <w:tc>
          <w:tcPr>
            <w:tcW w:w="413" w:type="pct"/>
            <w:tcBorders>
              <w:top w:val="single" w:sz="8" w:space="0" w:color="000000" w:themeColor="text1"/>
              <w:bottom w:val="single" w:sz="8" w:space="0" w:color="000000" w:themeColor="text1"/>
            </w:tcBorders>
            <w:shd w:val="clear" w:color="auto" w:fill="FFFFFF" w:themeFill="background1"/>
          </w:tcPr>
          <w:p w14:paraId="2A8A8165"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1E92BFAF"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0.526</w:t>
            </w:r>
          </w:p>
        </w:tc>
      </w:tr>
      <w:tr w:rsidR="00751E80" w:rsidRPr="006F36B0" w14:paraId="0BF92BEE" w14:textId="77777777" w:rsidTr="00A46E4A">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194E0C61" w14:textId="77777777" w:rsidR="00751E80" w:rsidRPr="006F36B0" w:rsidRDefault="00751E80" w:rsidP="00A46E4A">
            <w:pPr>
              <w:rPr>
                <w:rFonts w:ascii="Arial" w:hAnsi="Arial" w:cs="Arial"/>
                <w:sz w:val="18"/>
                <w:szCs w:val="18"/>
              </w:rPr>
            </w:pPr>
            <w:r w:rsidRPr="006F36B0">
              <w:rPr>
                <w:rFonts w:ascii="Arial" w:hAnsi="Arial" w:cs="Arial"/>
                <w:sz w:val="18"/>
                <w:szCs w:val="18"/>
              </w:rPr>
              <w:t>HIV CPT exposure</w:t>
            </w:r>
          </w:p>
          <w:p w14:paraId="623DA54D"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lastRenderedPageBreak/>
              <w:t>No</w:t>
            </w:r>
          </w:p>
          <w:p w14:paraId="71FB606C" w14:textId="77777777" w:rsidR="00751E80" w:rsidRPr="006F36B0" w:rsidRDefault="00751E80" w:rsidP="00A46E4A">
            <w:pPr>
              <w:rPr>
                <w:rFonts w:ascii="Arial" w:hAnsi="Arial" w:cs="Arial"/>
                <w:sz w:val="18"/>
                <w:szCs w:val="18"/>
              </w:rPr>
            </w:pPr>
            <w:r w:rsidRPr="006F36B0">
              <w:rPr>
                <w:rFonts w:ascii="Arial" w:hAnsi="Arial" w:cs="Arial"/>
                <w:b w:val="0"/>
                <w:sz w:val="18"/>
                <w:szCs w:val="18"/>
              </w:rPr>
              <w:t>Yes</w:t>
            </w:r>
          </w:p>
        </w:tc>
        <w:tc>
          <w:tcPr>
            <w:tcW w:w="822" w:type="pct"/>
            <w:tcBorders>
              <w:top w:val="single" w:sz="8" w:space="0" w:color="000000" w:themeColor="text1"/>
              <w:bottom w:val="single" w:sz="8" w:space="0" w:color="000000" w:themeColor="text1"/>
            </w:tcBorders>
            <w:shd w:val="clear" w:color="auto" w:fill="FFFFFF" w:themeFill="background1"/>
          </w:tcPr>
          <w:p w14:paraId="53AF0D30"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7D99D150"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lastRenderedPageBreak/>
              <w:t>5065(17.6)</w:t>
            </w:r>
          </w:p>
          <w:p w14:paraId="10FFD2F7"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6F36B0">
              <w:rPr>
                <w:rFonts w:ascii="Arial" w:hAnsi="Arial" w:cs="Arial"/>
                <w:sz w:val="18"/>
                <w:szCs w:val="18"/>
              </w:rPr>
              <w:t>23773(82.4)</w:t>
            </w:r>
          </w:p>
        </w:tc>
        <w:tc>
          <w:tcPr>
            <w:tcW w:w="874" w:type="pct"/>
            <w:tcBorders>
              <w:top w:val="single" w:sz="8" w:space="0" w:color="000000" w:themeColor="text1"/>
              <w:bottom w:val="single" w:sz="8" w:space="0" w:color="000000" w:themeColor="text1"/>
            </w:tcBorders>
            <w:shd w:val="clear" w:color="auto" w:fill="FFFFFF" w:themeFill="background1"/>
          </w:tcPr>
          <w:p w14:paraId="414D0C98"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43E90C45"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lastRenderedPageBreak/>
              <w:t>4103(81.0)</w:t>
            </w:r>
          </w:p>
          <w:p w14:paraId="5E887FDE"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18382(77.3)</w:t>
            </w:r>
          </w:p>
        </w:tc>
        <w:tc>
          <w:tcPr>
            <w:tcW w:w="758" w:type="pct"/>
            <w:tcBorders>
              <w:top w:val="single" w:sz="8" w:space="0" w:color="000000" w:themeColor="text1"/>
              <w:bottom w:val="single" w:sz="8" w:space="0" w:color="000000" w:themeColor="text1"/>
            </w:tcBorders>
            <w:shd w:val="clear" w:color="auto" w:fill="FFFFFF" w:themeFill="background1"/>
          </w:tcPr>
          <w:p w14:paraId="359E4875"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144E7E0F"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lastRenderedPageBreak/>
              <w:t>962(19.0)</w:t>
            </w:r>
          </w:p>
          <w:p w14:paraId="2246B8DA"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5391(22.7)</w:t>
            </w:r>
          </w:p>
        </w:tc>
        <w:tc>
          <w:tcPr>
            <w:tcW w:w="347" w:type="pct"/>
            <w:tcBorders>
              <w:top w:val="single" w:sz="8" w:space="0" w:color="000000" w:themeColor="text1"/>
              <w:bottom w:val="single" w:sz="8" w:space="0" w:color="000000" w:themeColor="text1"/>
            </w:tcBorders>
            <w:shd w:val="clear" w:color="auto" w:fill="FFFFFF" w:themeFill="background1"/>
          </w:tcPr>
          <w:p w14:paraId="0E2E4DE7"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16F4E11"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612B007"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33</w:t>
            </w:r>
          </w:p>
        </w:tc>
        <w:tc>
          <w:tcPr>
            <w:tcW w:w="534" w:type="pct"/>
            <w:tcBorders>
              <w:top w:val="single" w:sz="8" w:space="0" w:color="000000" w:themeColor="text1"/>
              <w:bottom w:val="single" w:sz="8" w:space="0" w:color="000000" w:themeColor="text1"/>
            </w:tcBorders>
            <w:shd w:val="clear" w:color="auto" w:fill="FFFFFF" w:themeFill="background1"/>
          </w:tcPr>
          <w:p w14:paraId="55F7CBD1"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E52F183"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F07E73C"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0.034</w:t>
            </w:r>
          </w:p>
        </w:tc>
        <w:tc>
          <w:tcPr>
            <w:tcW w:w="413" w:type="pct"/>
            <w:tcBorders>
              <w:top w:val="single" w:sz="8" w:space="0" w:color="000000" w:themeColor="text1"/>
              <w:bottom w:val="single" w:sz="8" w:space="0" w:color="000000" w:themeColor="text1"/>
            </w:tcBorders>
            <w:shd w:val="clear" w:color="auto" w:fill="FFFFFF" w:themeFill="background1"/>
          </w:tcPr>
          <w:p w14:paraId="1D3ECEED"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0D9523C1"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2D896BCC"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5A3C5FF0" w14:textId="77777777" w:rsidTr="00A46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7117137D" w14:textId="77777777" w:rsidR="00751E80" w:rsidRPr="006F36B0" w:rsidRDefault="00751E80" w:rsidP="00A46E4A">
            <w:pPr>
              <w:rPr>
                <w:rFonts w:ascii="Arial" w:hAnsi="Arial" w:cs="Arial"/>
                <w:sz w:val="18"/>
                <w:szCs w:val="18"/>
              </w:rPr>
            </w:pPr>
            <w:r w:rsidRPr="006F36B0">
              <w:rPr>
                <w:rFonts w:ascii="Arial" w:hAnsi="Arial" w:cs="Arial"/>
                <w:sz w:val="18"/>
                <w:szCs w:val="18"/>
              </w:rPr>
              <w:lastRenderedPageBreak/>
              <w:t>Developed MDR – TB</w:t>
            </w:r>
          </w:p>
          <w:p w14:paraId="1D538DEF"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Yes</w:t>
            </w:r>
          </w:p>
          <w:p w14:paraId="2978D67A" w14:textId="77777777" w:rsidR="00751E80" w:rsidRPr="006F36B0" w:rsidRDefault="00751E80" w:rsidP="00A46E4A">
            <w:pPr>
              <w:rPr>
                <w:rFonts w:ascii="Arial" w:hAnsi="Arial" w:cs="Arial"/>
                <w:sz w:val="18"/>
                <w:szCs w:val="18"/>
              </w:rPr>
            </w:pPr>
            <w:r w:rsidRPr="006F36B0">
              <w:rPr>
                <w:rFonts w:ascii="Arial" w:hAnsi="Arial" w:cs="Arial"/>
                <w:b w:val="0"/>
                <w:sz w:val="18"/>
                <w:szCs w:val="18"/>
              </w:rPr>
              <w:t>No</w:t>
            </w:r>
          </w:p>
        </w:tc>
        <w:tc>
          <w:tcPr>
            <w:tcW w:w="822" w:type="pct"/>
            <w:tcBorders>
              <w:top w:val="single" w:sz="8" w:space="0" w:color="000000" w:themeColor="text1"/>
              <w:bottom w:val="single" w:sz="8" w:space="0" w:color="000000" w:themeColor="text1"/>
            </w:tcBorders>
            <w:shd w:val="clear" w:color="auto" w:fill="FFFFFF" w:themeFill="background1"/>
          </w:tcPr>
          <w:p w14:paraId="1BC8D932"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3410299"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565(0.6)</w:t>
            </w:r>
          </w:p>
          <w:p w14:paraId="700D5A3B"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76291(99.4)</w:t>
            </w:r>
          </w:p>
        </w:tc>
        <w:tc>
          <w:tcPr>
            <w:tcW w:w="874" w:type="pct"/>
            <w:tcBorders>
              <w:top w:val="single" w:sz="8" w:space="0" w:color="000000" w:themeColor="text1"/>
              <w:bottom w:val="single" w:sz="8" w:space="0" w:color="000000" w:themeColor="text1"/>
            </w:tcBorders>
            <w:shd w:val="clear" w:color="auto" w:fill="FFFFFF" w:themeFill="background1"/>
          </w:tcPr>
          <w:p w14:paraId="4B4B818C"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2AB5A8DC"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w:t>
            </w:r>
          </w:p>
          <w:p w14:paraId="161BC0F6"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61338(80.4)</w:t>
            </w:r>
          </w:p>
        </w:tc>
        <w:tc>
          <w:tcPr>
            <w:tcW w:w="758" w:type="pct"/>
            <w:tcBorders>
              <w:top w:val="single" w:sz="8" w:space="0" w:color="000000" w:themeColor="text1"/>
              <w:bottom w:val="single" w:sz="8" w:space="0" w:color="000000" w:themeColor="text1"/>
            </w:tcBorders>
            <w:shd w:val="clear" w:color="auto" w:fill="FFFFFF" w:themeFill="background1"/>
          </w:tcPr>
          <w:p w14:paraId="41C66A5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73E9942B"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565(100)</w:t>
            </w:r>
          </w:p>
          <w:p w14:paraId="62E6214B"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14953(19.6)</w:t>
            </w:r>
          </w:p>
        </w:tc>
        <w:tc>
          <w:tcPr>
            <w:tcW w:w="347" w:type="pct"/>
            <w:tcBorders>
              <w:top w:val="single" w:sz="8" w:space="0" w:color="000000" w:themeColor="text1"/>
              <w:bottom w:val="single" w:sz="8" w:space="0" w:color="000000" w:themeColor="text1"/>
            </w:tcBorders>
            <w:shd w:val="clear" w:color="auto" w:fill="FFFFFF" w:themeFill="background1"/>
          </w:tcPr>
          <w:p w14:paraId="319814D6"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264205F"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2249.8</w:t>
            </w:r>
          </w:p>
        </w:tc>
        <w:tc>
          <w:tcPr>
            <w:tcW w:w="534" w:type="pct"/>
            <w:tcBorders>
              <w:top w:val="single" w:sz="8" w:space="0" w:color="000000" w:themeColor="text1"/>
              <w:bottom w:val="single" w:sz="8" w:space="0" w:color="000000" w:themeColor="text1"/>
            </w:tcBorders>
            <w:shd w:val="clear" w:color="auto" w:fill="FFFFFF" w:themeFill="background1"/>
          </w:tcPr>
          <w:p w14:paraId="463AB30E"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4F3F20E"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0.17</w:t>
            </w:r>
          </w:p>
        </w:tc>
        <w:tc>
          <w:tcPr>
            <w:tcW w:w="413" w:type="pct"/>
            <w:tcBorders>
              <w:top w:val="single" w:sz="8" w:space="0" w:color="000000" w:themeColor="text1"/>
              <w:bottom w:val="single" w:sz="8" w:space="0" w:color="000000" w:themeColor="text1"/>
            </w:tcBorders>
            <w:shd w:val="clear" w:color="auto" w:fill="FFFFFF" w:themeFill="background1"/>
          </w:tcPr>
          <w:p w14:paraId="2D99F85A"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06D95271"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04061DDC" w14:textId="77777777" w:rsidTr="00A46E4A">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59395E71" w14:textId="77777777" w:rsidR="00751E80" w:rsidRPr="006F36B0" w:rsidRDefault="00751E80" w:rsidP="00A46E4A">
            <w:pPr>
              <w:rPr>
                <w:rFonts w:ascii="Arial" w:hAnsi="Arial" w:cs="Arial"/>
                <w:sz w:val="18"/>
                <w:szCs w:val="18"/>
              </w:rPr>
            </w:pPr>
            <w:r w:rsidRPr="006F36B0">
              <w:rPr>
                <w:rFonts w:ascii="Arial" w:hAnsi="Arial" w:cs="Arial"/>
                <w:sz w:val="18"/>
                <w:szCs w:val="18"/>
              </w:rPr>
              <w:t>Sputum conversion- at 2months</w:t>
            </w:r>
          </w:p>
          <w:p w14:paraId="08E8F03E"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To smear negative -</w:t>
            </w:r>
          </w:p>
          <w:p w14:paraId="6B55302B"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Defaulted</w:t>
            </w:r>
          </w:p>
          <w:p w14:paraId="3E25E3EC"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Died during treat</w:t>
            </w:r>
          </w:p>
          <w:p w14:paraId="4EA5A9C7"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Remained positive +</w:t>
            </w:r>
          </w:p>
          <w:p w14:paraId="446F175A"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Results not available</w:t>
            </w:r>
          </w:p>
          <w:p w14:paraId="74DFAC49"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 xml:space="preserve">Patient transferred </w:t>
            </w:r>
          </w:p>
        </w:tc>
        <w:tc>
          <w:tcPr>
            <w:tcW w:w="822" w:type="pct"/>
            <w:tcBorders>
              <w:top w:val="single" w:sz="8" w:space="0" w:color="000000" w:themeColor="text1"/>
              <w:bottom w:val="single" w:sz="8" w:space="0" w:color="000000" w:themeColor="text1"/>
            </w:tcBorders>
            <w:shd w:val="clear" w:color="auto" w:fill="FFFFFF" w:themeFill="background1"/>
          </w:tcPr>
          <w:p w14:paraId="43E16F7F"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A7F2218"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A4BCD15"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17835(49.2)</w:t>
            </w:r>
          </w:p>
          <w:p w14:paraId="09077AB8"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478(1.3)</w:t>
            </w:r>
          </w:p>
          <w:p w14:paraId="7EFBA162"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1374(3.8)</w:t>
            </w:r>
          </w:p>
          <w:p w14:paraId="166B23D1"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2702(7.5)</w:t>
            </w:r>
          </w:p>
          <w:p w14:paraId="2749BC1B"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13306(36.7)</w:t>
            </w:r>
          </w:p>
          <w:p w14:paraId="52C20D9B"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556(1.5)</w:t>
            </w:r>
          </w:p>
        </w:tc>
        <w:tc>
          <w:tcPr>
            <w:tcW w:w="874" w:type="pct"/>
            <w:tcBorders>
              <w:top w:val="single" w:sz="8" w:space="0" w:color="000000" w:themeColor="text1"/>
              <w:bottom w:val="single" w:sz="8" w:space="0" w:color="000000" w:themeColor="text1"/>
            </w:tcBorders>
            <w:shd w:val="clear" w:color="auto" w:fill="FFFFFF" w:themeFill="background1"/>
          </w:tcPr>
          <w:p w14:paraId="7990DD2E"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458220C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2C313250"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16735(93.8)</w:t>
            </w:r>
          </w:p>
          <w:p w14:paraId="7663F8BB"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w:t>
            </w:r>
          </w:p>
          <w:p w14:paraId="744A1DAF"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w:t>
            </w:r>
          </w:p>
          <w:p w14:paraId="5A61B73C"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1971(72.9)</w:t>
            </w:r>
          </w:p>
          <w:p w14:paraId="71BF71F4"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10460(78.6)</w:t>
            </w:r>
          </w:p>
          <w:p w14:paraId="588392D4"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w:t>
            </w:r>
          </w:p>
        </w:tc>
        <w:tc>
          <w:tcPr>
            <w:tcW w:w="758" w:type="pct"/>
            <w:tcBorders>
              <w:top w:val="single" w:sz="8" w:space="0" w:color="000000" w:themeColor="text1"/>
              <w:bottom w:val="single" w:sz="8" w:space="0" w:color="000000" w:themeColor="text1"/>
            </w:tcBorders>
            <w:shd w:val="clear" w:color="auto" w:fill="FFFFFF" w:themeFill="background1"/>
          </w:tcPr>
          <w:p w14:paraId="4AA4AC27"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2A6D258B"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38460303"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1100(6.2)</w:t>
            </w:r>
          </w:p>
          <w:p w14:paraId="70EE68CC"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478(100)</w:t>
            </w:r>
          </w:p>
          <w:p w14:paraId="05374ABB"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1374(100)</w:t>
            </w:r>
          </w:p>
          <w:p w14:paraId="353A9BB6"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731(27.1)</w:t>
            </w:r>
          </w:p>
          <w:p w14:paraId="24745C4D"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2846(21.4)</w:t>
            </w:r>
          </w:p>
          <w:p w14:paraId="1F05BEE1" w14:textId="77777777" w:rsidR="00751E80" w:rsidRPr="006F36B0" w:rsidRDefault="00751E80" w:rsidP="00A46E4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556(100)</w:t>
            </w:r>
          </w:p>
        </w:tc>
        <w:tc>
          <w:tcPr>
            <w:tcW w:w="347" w:type="pct"/>
            <w:tcBorders>
              <w:top w:val="single" w:sz="8" w:space="0" w:color="000000" w:themeColor="text1"/>
              <w:bottom w:val="single" w:sz="8" w:space="0" w:color="000000" w:themeColor="text1"/>
            </w:tcBorders>
            <w:shd w:val="clear" w:color="auto" w:fill="FFFFFF" w:themeFill="background1"/>
          </w:tcPr>
          <w:p w14:paraId="3A788D76"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DD7CBE6"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AB5FCD7"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12068</w:t>
            </w:r>
          </w:p>
        </w:tc>
        <w:tc>
          <w:tcPr>
            <w:tcW w:w="534" w:type="pct"/>
            <w:tcBorders>
              <w:top w:val="single" w:sz="8" w:space="0" w:color="000000" w:themeColor="text1"/>
              <w:bottom w:val="single" w:sz="8" w:space="0" w:color="000000" w:themeColor="text1"/>
            </w:tcBorders>
            <w:shd w:val="clear" w:color="auto" w:fill="FFFFFF" w:themeFill="background1"/>
          </w:tcPr>
          <w:p w14:paraId="52B1861E"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F7307B5"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AFBB0A6"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F36B0">
              <w:rPr>
                <w:rFonts w:ascii="Arial" w:hAnsi="Arial" w:cs="Arial"/>
                <w:sz w:val="18"/>
                <w:szCs w:val="18"/>
              </w:rPr>
              <w:t>0.58</w:t>
            </w:r>
          </w:p>
        </w:tc>
        <w:tc>
          <w:tcPr>
            <w:tcW w:w="413" w:type="pct"/>
            <w:tcBorders>
              <w:top w:val="single" w:sz="8" w:space="0" w:color="000000" w:themeColor="text1"/>
              <w:bottom w:val="single" w:sz="8" w:space="0" w:color="000000" w:themeColor="text1"/>
            </w:tcBorders>
            <w:shd w:val="clear" w:color="auto" w:fill="FFFFFF" w:themeFill="background1"/>
          </w:tcPr>
          <w:p w14:paraId="24B4C0ED"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4559F7E0"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p>
          <w:p w14:paraId="2787138F"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0.000*</w:t>
            </w:r>
          </w:p>
        </w:tc>
      </w:tr>
      <w:tr w:rsidR="00751E80" w:rsidRPr="006F36B0" w14:paraId="26739B11" w14:textId="77777777" w:rsidTr="00A46E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8" w:space="0" w:color="000000" w:themeColor="text1"/>
            </w:tcBorders>
            <w:shd w:val="clear" w:color="auto" w:fill="FFFFFF" w:themeFill="background1"/>
          </w:tcPr>
          <w:p w14:paraId="79B42A47" w14:textId="77777777" w:rsidR="00751E80" w:rsidRPr="006F36B0" w:rsidRDefault="00751E80" w:rsidP="00A46E4A">
            <w:pPr>
              <w:rPr>
                <w:rFonts w:ascii="Arial" w:hAnsi="Arial" w:cs="Arial"/>
                <w:sz w:val="18"/>
                <w:szCs w:val="18"/>
              </w:rPr>
            </w:pPr>
            <w:r w:rsidRPr="006F36B0">
              <w:rPr>
                <w:rFonts w:ascii="Arial" w:hAnsi="Arial" w:cs="Arial"/>
                <w:sz w:val="18"/>
                <w:szCs w:val="18"/>
              </w:rPr>
              <w:t>Sputum conversion at 3months</w:t>
            </w:r>
          </w:p>
          <w:p w14:paraId="0FC6F030"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To smear negative -</w:t>
            </w:r>
          </w:p>
          <w:p w14:paraId="5DF927CB"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Defaulted</w:t>
            </w:r>
          </w:p>
          <w:p w14:paraId="3A788617"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Died during treat</w:t>
            </w:r>
          </w:p>
          <w:p w14:paraId="3CBCF70C"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Remained positive +</w:t>
            </w:r>
          </w:p>
          <w:p w14:paraId="385E6745" w14:textId="77777777" w:rsidR="00751E80" w:rsidRPr="006F36B0" w:rsidRDefault="00751E80" w:rsidP="00A46E4A">
            <w:pPr>
              <w:rPr>
                <w:rFonts w:ascii="Arial" w:hAnsi="Arial" w:cs="Arial"/>
                <w:b w:val="0"/>
                <w:sz w:val="18"/>
                <w:szCs w:val="18"/>
              </w:rPr>
            </w:pPr>
            <w:r w:rsidRPr="006F36B0">
              <w:rPr>
                <w:rFonts w:ascii="Arial" w:hAnsi="Arial" w:cs="Arial"/>
                <w:b w:val="0"/>
                <w:sz w:val="18"/>
                <w:szCs w:val="18"/>
              </w:rPr>
              <w:t>Results not available</w:t>
            </w:r>
          </w:p>
          <w:p w14:paraId="18AC88BA" w14:textId="77777777" w:rsidR="00751E80" w:rsidRPr="006F36B0" w:rsidRDefault="00751E80" w:rsidP="00A46E4A">
            <w:pPr>
              <w:rPr>
                <w:rFonts w:ascii="Arial" w:hAnsi="Arial" w:cs="Arial"/>
                <w:sz w:val="18"/>
                <w:szCs w:val="18"/>
              </w:rPr>
            </w:pPr>
            <w:r w:rsidRPr="006F36B0">
              <w:rPr>
                <w:rFonts w:ascii="Arial" w:hAnsi="Arial" w:cs="Arial"/>
                <w:b w:val="0"/>
                <w:sz w:val="18"/>
                <w:szCs w:val="18"/>
              </w:rPr>
              <w:t>Patient transferred</w:t>
            </w:r>
          </w:p>
        </w:tc>
        <w:tc>
          <w:tcPr>
            <w:tcW w:w="822" w:type="pct"/>
            <w:tcBorders>
              <w:top w:val="single" w:sz="8" w:space="0" w:color="000000" w:themeColor="text1"/>
              <w:bottom w:val="single" w:sz="8" w:space="0" w:color="000000" w:themeColor="text1"/>
            </w:tcBorders>
            <w:shd w:val="clear" w:color="auto" w:fill="FFFFFF" w:themeFill="background1"/>
          </w:tcPr>
          <w:p w14:paraId="2E060610"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8235A05"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F415339"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25262(69.7)</w:t>
            </w:r>
          </w:p>
          <w:p w14:paraId="482290A4"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712(2.0)</w:t>
            </w:r>
          </w:p>
          <w:p w14:paraId="7113C2BC"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1543(4.3)</w:t>
            </w:r>
          </w:p>
          <w:p w14:paraId="1E229A5D"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2361(6.5)</w:t>
            </w:r>
          </w:p>
          <w:p w14:paraId="3088A333"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5745(15.9)</w:t>
            </w:r>
          </w:p>
          <w:p w14:paraId="04E9A4F6"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628(1.7)</w:t>
            </w:r>
          </w:p>
        </w:tc>
        <w:tc>
          <w:tcPr>
            <w:tcW w:w="874" w:type="pct"/>
            <w:tcBorders>
              <w:top w:val="single" w:sz="8" w:space="0" w:color="000000" w:themeColor="text1"/>
              <w:bottom w:val="single" w:sz="8" w:space="0" w:color="000000" w:themeColor="text1"/>
            </w:tcBorders>
            <w:shd w:val="clear" w:color="auto" w:fill="FFFFFF" w:themeFill="background1"/>
          </w:tcPr>
          <w:p w14:paraId="126A2525"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0D1FC3A0"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16A09A08"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23663(93.7)</w:t>
            </w:r>
          </w:p>
          <w:p w14:paraId="2A41F4A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w:t>
            </w:r>
          </w:p>
          <w:p w14:paraId="3F52A885"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w:t>
            </w:r>
          </w:p>
          <w:p w14:paraId="6117BC99"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1441(61%)</w:t>
            </w:r>
          </w:p>
          <w:p w14:paraId="66AB21F5"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4062(70.7)</w:t>
            </w:r>
          </w:p>
          <w:p w14:paraId="4E428ED1"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w:t>
            </w:r>
          </w:p>
        </w:tc>
        <w:tc>
          <w:tcPr>
            <w:tcW w:w="758" w:type="pct"/>
            <w:tcBorders>
              <w:top w:val="single" w:sz="8" w:space="0" w:color="000000" w:themeColor="text1"/>
              <w:bottom w:val="single" w:sz="8" w:space="0" w:color="000000" w:themeColor="text1"/>
            </w:tcBorders>
            <w:shd w:val="clear" w:color="auto" w:fill="FFFFFF" w:themeFill="background1"/>
          </w:tcPr>
          <w:p w14:paraId="6A6DC775"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1089C40D"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p>
          <w:p w14:paraId="1032D375"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155(6.3)</w:t>
            </w:r>
          </w:p>
          <w:p w14:paraId="08E6F3D8"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712(100)</w:t>
            </w:r>
          </w:p>
          <w:p w14:paraId="1F254BC2"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1543(100)</w:t>
            </w:r>
          </w:p>
          <w:p w14:paraId="74D82458"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920(39)</w:t>
            </w:r>
          </w:p>
          <w:p w14:paraId="22F74021"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1683(29.3)</w:t>
            </w:r>
          </w:p>
          <w:p w14:paraId="0263E4B8" w14:textId="77777777" w:rsidR="00751E80" w:rsidRPr="006F36B0" w:rsidRDefault="00751E80" w:rsidP="00A46E4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8"/>
                <w:szCs w:val="18"/>
              </w:rPr>
            </w:pPr>
            <w:r w:rsidRPr="006F36B0">
              <w:rPr>
                <w:rFonts w:ascii="Arial" w:hAnsi="Arial" w:cs="Arial"/>
                <w:color w:val="000000" w:themeColor="text1"/>
                <w:sz w:val="18"/>
                <w:szCs w:val="18"/>
              </w:rPr>
              <w:t>628(100)</w:t>
            </w:r>
          </w:p>
        </w:tc>
        <w:tc>
          <w:tcPr>
            <w:tcW w:w="347" w:type="pct"/>
            <w:tcBorders>
              <w:top w:val="single" w:sz="8" w:space="0" w:color="000000" w:themeColor="text1"/>
              <w:bottom w:val="single" w:sz="8" w:space="0" w:color="000000" w:themeColor="text1"/>
            </w:tcBorders>
            <w:shd w:val="clear" w:color="auto" w:fill="FFFFFF" w:themeFill="background1"/>
          </w:tcPr>
          <w:p w14:paraId="4D4A1932"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EB56F68"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17FA3E7"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15587</w:t>
            </w:r>
          </w:p>
        </w:tc>
        <w:tc>
          <w:tcPr>
            <w:tcW w:w="534" w:type="pct"/>
            <w:tcBorders>
              <w:top w:val="single" w:sz="8" w:space="0" w:color="000000" w:themeColor="text1"/>
              <w:bottom w:val="single" w:sz="8" w:space="0" w:color="000000" w:themeColor="text1"/>
            </w:tcBorders>
            <w:shd w:val="clear" w:color="auto" w:fill="FFFFFF" w:themeFill="background1"/>
          </w:tcPr>
          <w:p w14:paraId="18BF9476"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8AF278C"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28CD913"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0.66</w:t>
            </w:r>
          </w:p>
        </w:tc>
        <w:tc>
          <w:tcPr>
            <w:tcW w:w="413" w:type="pct"/>
            <w:tcBorders>
              <w:top w:val="single" w:sz="8" w:space="0" w:color="000000" w:themeColor="text1"/>
              <w:bottom w:val="single" w:sz="8" w:space="0" w:color="000000" w:themeColor="text1"/>
            </w:tcBorders>
            <w:shd w:val="clear" w:color="auto" w:fill="FFFFFF" w:themeFill="background1"/>
          </w:tcPr>
          <w:p w14:paraId="30707A5E"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6133CD1"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B110182" w14:textId="77777777" w:rsidR="00751E80" w:rsidRPr="006F36B0" w:rsidRDefault="00751E80" w:rsidP="00A46E4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6B0">
              <w:rPr>
                <w:rFonts w:ascii="Arial" w:hAnsi="Arial" w:cs="Arial"/>
                <w:sz w:val="18"/>
                <w:szCs w:val="18"/>
              </w:rPr>
              <w:t>0</w:t>
            </w:r>
            <w:r w:rsidRPr="006F36B0">
              <w:rPr>
                <w:rFonts w:ascii="Arial" w:hAnsi="Arial" w:cs="Arial"/>
                <w:color w:val="000000" w:themeColor="text1"/>
                <w:sz w:val="18"/>
                <w:szCs w:val="18"/>
              </w:rPr>
              <w:t>.000*</w:t>
            </w:r>
          </w:p>
        </w:tc>
      </w:tr>
      <w:tr w:rsidR="00751E80" w:rsidRPr="006F36B0" w14:paraId="7C483143" w14:textId="77777777" w:rsidTr="00A46E4A">
        <w:tc>
          <w:tcPr>
            <w:cnfStyle w:val="001000000000" w:firstRow="0" w:lastRow="0" w:firstColumn="1" w:lastColumn="0" w:oddVBand="0" w:evenVBand="0" w:oddHBand="0" w:evenHBand="0" w:firstRowFirstColumn="0" w:firstRowLastColumn="0" w:lastRowFirstColumn="0" w:lastRowLastColumn="0"/>
            <w:tcW w:w="1252" w:type="pct"/>
            <w:tcBorders>
              <w:top w:val="single" w:sz="8" w:space="0" w:color="000000" w:themeColor="text1"/>
              <w:bottom w:val="single" w:sz="18" w:space="0" w:color="auto"/>
            </w:tcBorders>
            <w:shd w:val="clear" w:color="auto" w:fill="FFFFFF" w:themeFill="background1"/>
          </w:tcPr>
          <w:p w14:paraId="3C108F8D" w14:textId="77777777" w:rsidR="00751E80" w:rsidRPr="006F36B0" w:rsidRDefault="00751E80" w:rsidP="00A46E4A">
            <w:pPr>
              <w:rPr>
                <w:rFonts w:ascii="Arial" w:hAnsi="Arial" w:cs="Arial"/>
                <w:sz w:val="18"/>
                <w:szCs w:val="18"/>
              </w:rPr>
            </w:pPr>
          </w:p>
        </w:tc>
        <w:tc>
          <w:tcPr>
            <w:tcW w:w="822" w:type="pct"/>
            <w:tcBorders>
              <w:top w:val="single" w:sz="8" w:space="0" w:color="000000" w:themeColor="text1"/>
              <w:bottom w:val="single" w:sz="18" w:space="0" w:color="auto"/>
            </w:tcBorders>
            <w:shd w:val="clear" w:color="auto" w:fill="FFFFFF" w:themeFill="background1"/>
          </w:tcPr>
          <w:p w14:paraId="625FECC9"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874" w:type="pct"/>
            <w:tcBorders>
              <w:top w:val="single" w:sz="8" w:space="0" w:color="000000" w:themeColor="text1"/>
              <w:bottom w:val="single" w:sz="18" w:space="0" w:color="auto"/>
            </w:tcBorders>
            <w:shd w:val="clear" w:color="auto" w:fill="FFFFFF" w:themeFill="background1"/>
          </w:tcPr>
          <w:p w14:paraId="150BCFB0"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758" w:type="pct"/>
            <w:tcBorders>
              <w:top w:val="single" w:sz="8" w:space="0" w:color="000000" w:themeColor="text1"/>
              <w:bottom w:val="single" w:sz="18" w:space="0" w:color="auto"/>
            </w:tcBorders>
            <w:shd w:val="clear" w:color="auto" w:fill="FFFFFF" w:themeFill="background1"/>
          </w:tcPr>
          <w:p w14:paraId="012B3F4D"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347" w:type="pct"/>
            <w:tcBorders>
              <w:top w:val="single" w:sz="8" w:space="0" w:color="000000" w:themeColor="text1"/>
              <w:bottom w:val="single" w:sz="18" w:space="0" w:color="auto"/>
            </w:tcBorders>
            <w:shd w:val="clear" w:color="auto" w:fill="FFFFFF" w:themeFill="background1"/>
          </w:tcPr>
          <w:p w14:paraId="73280E76"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34" w:type="pct"/>
            <w:tcBorders>
              <w:top w:val="single" w:sz="8" w:space="0" w:color="000000" w:themeColor="text1"/>
              <w:bottom w:val="single" w:sz="18" w:space="0" w:color="auto"/>
            </w:tcBorders>
            <w:shd w:val="clear" w:color="auto" w:fill="FFFFFF" w:themeFill="background1"/>
          </w:tcPr>
          <w:p w14:paraId="62BFCC7D"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413" w:type="pct"/>
            <w:tcBorders>
              <w:top w:val="single" w:sz="8" w:space="0" w:color="000000" w:themeColor="text1"/>
              <w:bottom w:val="single" w:sz="18" w:space="0" w:color="auto"/>
            </w:tcBorders>
            <w:shd w:val="clear" w:color="auto" w:fill="FFFFFF" w:themeFill="background1"/>
          </w:tcPr>
          <w:p w14:paraId="7314B3F2" w14:textId="77777777" w:rsidR="00751E80" w:rsidRPr="006F36B0" w:rsidRDefault="00751E80" w:rsidP="00A46E4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7896DC56" w14:textId="77777777" w:rsidR="00751E80" w:rsidRPr="00F83202" w:rsidRDefault="00751E80" w:rsidP="00751E80">
      <w:pPr>
        <w:rPr>
          <w:rFonts w:ascii="Arial" w:hAnsi="Arial" w:cs="Arial"/>
          <w:i/>
          <w:sz w:val="18"/>
          <w:szCs w:val="18"/>
        </w:rPr>
      </w:pPr>
      <w:r w:rsidRPr="00ED571E">
        <w:rPr>
          <w:rFonts w:ascii="Arial" w:hAnsi="Arial" w:cs="Arial"/>
          <w:i/>
          <w:color w:val="000000"/>
          <w:sz w:val="18"/>
          <w:szCs w:val="18"/>
        </w:rPr>
        <w:t xml:space="preserve">* = significant p value by Pearson Chi-Square, * </w:t>
      </w:r>
      <w:r w:rsidRPr="00F83202">
        <w:rPr>
          <w:rFonts w:ascii="Arial" w:hAnsi="Arial" w:cs="Arial"/>
          <w:i/>
          <w:color w:val="000000"/>
          <w:sz w:val="18"/>
          <w:szCs w:val="18"/>
        </w:rPr>
        <w:t xml:space="preserve">= significant p value by Pearson Chi-Square, MTP = </w:t>
      </w:r>
      <w:r w:rsidRPr="00F83202">
        <w:rPr>
          <w:rFonts w:ascii="Arial" w:eastAsiaTheme="minorHAnsi" w:hAnsi="Arial" w:cs="Arial"/>
          <w:i/>
          <w:sz w:val="18"/>
          <w:szCs w:val="18"/>
          <w:lang w:val="en-ZA"/>
        </w:rPr>
        <w:t xml:space="preserve">medium term plans, </w:t>
      </w:r>
      <w:r w:rsidRPr="00F83202">
        <w:rPr>
          <w:rFonts w:ascii="Arial" w:hAnsi="Arial" w:cs="Arial"/>
          <w:i/>
          <w:color w:val="000000"/>
          <w:sz w:val="18"/>
          <w:szCs w:val="18"/>
        </w:rPr>
        <w:t xml:space="preserve">TB= Tuberculosis, EPTB = </w:t>
      </w:r>
      <w:r w:rsidRPr="00F83202">
        <w:rPr>
          <w:rFonts w:ascii="Arial" w:hAnsi="Arial" w:cs="Arial"/>
          <w:i/>
          <w:sz w:val="18"/>
          <w:szCs w:val="18"/>
        </w:rPr>
        <w:t>extra pulmonary tuberculosis, PTB = pulmonary tuberculosis</w:t>
      </w:r>
      <w:r w:rsidRPr="00F83202">
        <w:rPr>
          <w:rFonts w:ascii="Arial" w:hAnsi="Arial" w:cs="Arial"/>
          <w:i/>
          <w:color w:val="000000"/>
          <w:sz w:val="18"/>
          <w:szCs w:val="18"/>
        </w:rPr>
        <w:t xml:space="preserve">, IPT= Isoniazid Prophylaxis Therapy, CPT=cotrimoxazole prophylaxis, MDR-TB = </w:t>
      </w:r>
      <w:r w:rsidRPr="00F83202">
        <w:rPr>
          <w:rFonts w:ascii="Arial" w:hAnsi="Arial" w:cs="Arial"/>
          <w:i/>
          <w:sz w:val="18"/>
          <w:szCs w:val="18"/>
          <w:lang w:val="en-ZA"/>
        </w:rPr>
        <w:t>drug resistant tuberculosis</w:t>
      </w:r>
    </w:p>
    <w:p w14:paraId="1B3594CD" w14:textId="77777777" w:rsidR="00A30CB8" w:rsidRPr="005A5A82" w:rsidRDefault="00A30CB8" w:rsidP="005A5A82">
      <w:pPr>
        <w:pStyle w:val="NoSpacing"/>
        <w:spacing w:line="360" w:lineRule="auto"/>
        <w:rPr>
          <w:rFonts w:ascii="Arial" w:hAnsi="Arial" w:cs="Arial"/>
        </w:rPr>
      </w:pPr>
    </w:p>
    <w:p w14:paraId="0F05E178" w14:textId="1CC4AE11" w:rsidR="00941557" w:rsidRPr="005A5A82" w:rsidRDefault="00CB62E5" w:rsidP="005A5A82">
      <w:pPr>
        <w:pStyle w:val="NoSpacing"/>
        <w:spacing w:line="360" w:lineRule="auto"/>
        <w:rPr>
          <w:rFonts w:ascii="Arial" w:hAnsi="Arial" w:cs="Arial"/>
        </w:rPr>
      </w:pPr>
      <w:r w:rsidRPr="005A5A82">
        <w:rPr>
          <w:rFonts w:ascii="Arial" w:hAnsi="Arial" w:cs="Arial"/>
        </w:rPr>
        <w:t xml:space="preserve">The number of cases registered by district ranged between 262 and 20,368, with districts in urban, coastal or border settings, such as </w:t>
      </w:r>
      <w:proofErr w:type="spellStart"/>
      <w:r w:rsidRPr="005A5A82">
        <w:rPr>
          <w:rFonts w:ascii="Arial" w:hAnsi="Arial" w:cs="Arial"/>
        </w:rPr>
        <w:t>Khomas</w:t>
      </w:r>
      <w:proofErr w:type="spellEnd"/>
      <w:r w:rsidRPr="005A5A82">
        <w:rPr>
          <w:rFonts w:ascii="Arial" w:hAnsi="Arial" w:cs="Arial"/>
        </w:rPr>
        <w:t xml:space="preserve">, </w:t>
      </w:r>
      <w:proofErr w:type="spellStart"/>
      <w:r w:rsidRPr="005A5A82">
        <w:rPr>
          <w:rFonts w:ascii="Arial" w:hAnsi="Arial" w:cs="Arial"/>
        </w:rPr>
        <w:t>Erongo</w:t>
      </w:r>
      <w:proofErr w:type="spellEnd"/>
      <w:r w:rsidRPr="005A5A82">
        <w:rPr>
          <w:rFonts w:ascii="Arial" w:hAnsi="Arial" w:cs="Arial"/>
        </w:rPr>
        <w:t xml:space="preserve"> and </w:t>
      </w:r>
      <w:proofErr w:type="spellStart"/>
      <w:r w:rsidRPr="005A5A82">
        <w:rPr>
          <w:rFonts w:ascii="Arial" w:hAnsi="Arial" w:cs="Arial"/>
        </w:rPr>
        <w:t>Ohangwena</w:t>
      </w:r>
      <w:proofErr w:type="spellEnd"/>
      <w:r w:rsidRPr="005A5A82">
        <w:rPr>
          <w:rFonts w:ascii="Arial" w:hAnsi="Arial" w:cs="Arial"/>
        </w:rPr>
        <w:t xml:space="preserve"> regions, registering higher numbers of TB patients (32.3%). The number of TB cases registered per quarter was significantly higher during the implementation of the first medium term plan for tuberculosis (i.e. MTP-I, 2004-2009) than the second (MTP-II, 2005-2010) (Table 1, Supplement A). Most of the cases were male (57.9%), aged between 25-44 years (52.6%) and about half were co-infected with HIV (47.9%)</w:t>
      </w:r>
      <w:r w:rsidR="00941557" w:rsidRPr="005A5A82">
        <w:rPr>
          <w:rFonts w:ascii="Arial" w:hAnsi="Arial" w:cs="Arial"/>
        </w:rPr>
        <w:t xml:space="preserve">, which is seen as high, with HIV positive </w:t>
      </w:r>
      <w:r w:rsidR="00941557" w:rsidRPr="005A5A82">
        <w:rPr>
          <w:rFonts w:ascii="Arial" w:hAnsi="Arial" w:cs="Arial"/>
        </w:rPr>
        <w:lastRenderedPageBreak/>
        <w:t xml:space="preserve">patients appreciably more likely to have treatment failure </w:t>
      </w:r>
      <w:r w:rsidR="008C59B4" w:rsidRPr="005A5A82">
        <w:rPr>
          <w:rFonts w:ascii="Arial" w:hAnsi="Arial" w:cs="Arial"/>
        </w:rPr>
        <w:t>(p</w:t>
      </w:r>
      <w:r w:rsidR="00133159" w:rsidRPr="005A5A82">
        <w:rPr>
          <w:rFonts w:ascii="Arial" w:hAnsi="Arial" w:cs="Arial"/>
        </w:rPr>
        <w:t>&lt;</w:t>
      </w:r>
      <w:r w:rsidR="008C59B4" w:rsidRPr="005A5A82">
        <w:rPr>
          <w:rFonts w:ascii="Arial" w:hAnsi="Arial" w:cs="Arial"/>
        </w:rPr>
        <w:t>0.000).</w:t>
      </w:r>
      <w:r w:rsidR="006A4AC8" w:rsidRPr="005A5A82">
        <w:rPr>
          <w:rFonts w:ascii="Arial" w:hAnsi="Arial" w:cs="Arial"/>
        </w:rPr>
        <w:t xml:space="preserve"> This was also seen in the multivariate analysis (Table 2).</w:t>
      </w:r>
      <w:r w:rsidR="008C59B4" w:rsidRPr="005A5A82">
        <w:rPr>
          <w:rFonts w:ascii="Arial" w:hAnsi="Arial" w:cs="Arial"/>
        </w:rPr>
        <w:t xml:space="preserve"> However, no difference if </w:t>
      </w:r>
      <w:r w:rsidR="006A4AC8" w:rsidRPr="005A5A82">
        <w:rPr>
          <w:rFonts w:ascii="Arial" w:hAnsi="Arial" w:cs="Arial"/>
        </w:rPr>
        <w:t xml:space="preserve">HIV patients are </w:t>
      </w:r>
      <w:r w:rsidR="008C59B4" w:rsidRPr="005A5A82">
        <w:rPr>
          <w:rFonts w:ascii="Arial" w:hAnsi="Arial" w:cs="Arial"/>
        </w:rPr>
        <w:t>on HAART (p=0.127)</w:t>
      </w:r>
      <w:r w:rsidR="006A4AC8" w:rsidRPr="005A5A82">
        <w:rPr>
          <w:rFonts w:ascii="Arial" w:hAnsi="Arial" w:cs="Arial"/>
        </w:rPr>
        <w:t xml:space="preserve"> (Table 1)</w:t>
      </w:r>
      <w:r w:rsidR="008C59B4" w:rsidRPr="005A5A82">
        <w:rPr>
          <w:rFonts w:ascii="Arial" w:hAnsi="Arial" w:cs="Arial"/>
        </w:rPr>
        <w:t>.</w:t>
      </w:r>
      <w:r w:rsidRPr="005A5A82">
        <w:rPr>
          <w:rFonts w:ascii="Arial" w:hAnsi="Arial" w:cs="Arial"/>
        </w:rPr>
        <w:t xml:space="preserve"> </w:t>
      </w:r>
    </w:p>
    <w:p w14:paraId="4A6DDD28" w14:textId="77777777" w:rsidR="00941557" w:rsidRPr="005A5A82" w:rsidRDefault="00941557" w:rsidP="005A5A82">
      <w:pPr>
        <w:pStyle w:val="NoSpacing"/>
        <w:spacing w:line="360" w:lineRule="auto"/>
        <w:rPr>
          <w:rFonts w:ascii="Arial" w:hAnsi="Arial" w:cs="Arial"/>
        </w:rPr>
      </w:pPr>
    </w:p>
    <w:p w14:paraId="6651AE35" w14:textId="714D75D6" w:rsidR="00267017" w:rsidRPr="005A5A82" w:rsidRDefault="00CB62E5" w:rsidP="005A5A82">
      <w:pPr>
        <w:pStyle w:val="NoSpacing"/>
        <w:spacing w:line="360" w:lineRule="auto"/>
        <w:rPr>
          <w:rFonts w:ascii="Arial" w:hAnsi="Arial" w:cs="Arial"/>
        </w:rPr>
      </w:pPr>
      <w:r w:rsidRPr="005A5A82">
        <w:rPr>
          <w:rFonts w:ascii="Arial" w:hAnsi="Arial" w:cs="Arial"/>
        </w:rPr>
        <w:t xml:space="preserve">Most TB cases were categorized as new (87.6%), i.e. had never received treatment for TB, or had taken treatment for not more than one month, and had pulmonary </w:t>
      </w:r>
      <w:r w:rsidR="00EE4EE8" w:rsidRPr="005A5A82">
        <w:rPr>
          <w:rFonts w:ascii="Arial" w:hAnsi="Arial" w:cs="Arial"/>
        </w:rPr>
        <w:t xml:space="preserve">TB </w:t>
      </w:r>
      <w:r w:rsidRPr="005A5A82">
        <w:rPr>
          <w:rFonts w:ascii="Arial" w:hAnsi="Arial" w:cs="Arial"/>
        </w:rPr>
        <w:t>(PTB, 80.8%) compared to EPTB. One third of the cases did not have sputum smear evaluated (33.9%) at the start of TB treatment. Most patients were initiated on 2RHZE/4RH (74.5%) compared to 2RHZE/4RHE. Guardians (i.e</w:t>
      </w:r>
      <w:r w:rsidR="00267017" w:rsidRPr="005A5A82">
        <w:rPr>
          <w:rFonts w:ascii="Arial" w:hAnsi="Arial" w:cs="Arial"/>
        </w:rPr>
        <w:t>.</w:t>
      </w:r>
      <w:r w:rsidRPr="005A5A82">
        <w:rPr>
          <w:rFonts w:ascii="Arial" w:hAnsi="Arial" w:cs="Arial"/>
        </w:rPr>
        <w:t xml:space="preserve"> family members or relatives) of the TB cases (48.9%) were the main DOT supporters, compared to DOT nurses or workplace peers.</w:t>
      </w:r>
      <w:r w:rsidR="00941557" w:rsidRPr="005A5A82">
        <w:rPr>
          <w:rFonts w:ascii="Arial" w:hAnsi="Arial" w:cs="Arial"/>
        </w:rPr>
        <w:t xml:space="preserve"> </w:t>
      </w:r>
    </w:p>
    <w:p w14:paraId="0065A438" w14:textId="77777777" w:rsidR="00267017" w:rsidRPr="005A5A82" w:rsidRDefault="00267017" w:rsidP="005A5A82">
      <w:pPr>
        <w:pStyle w:val="NoSpacing"/>
        <w:spacing w:line="360" w:lineRule="auto"/>
        <w:rPr>
          <w:rFonts w:ascii="Arial" w:hAnsi="Arial" w:cs="Arial"/>
        </w:rPr>
      </w:pPr>
    </w:p>
    <w:p w14:paraId="194DF798" w14:textId="4E541593" w:rsidR="00267017" w:rsidRPr="005A5A82" w:rsidRDefault="00CB62E5" w:rsidP="005A5A82">
      <w:pPr>
        <w:pStyle w:val="NoSpacing"/>
        <w:spacing w:line="360" w:lineRule="auto"/>
        <w:rPr>
          <w:rFonts w:ascii="Arial" w:hAnsi="Arial" w:cs="Arial"/>
        </w:rPr>
      </w:pPr>
      <w:r w:rsidRPr="005A5A82">
        <w:rPr>
          <w:rFonts w:ascii="Arial" w:hAnsi="Arial" w:cs="Arial"/>
        </w:rPr>
        <w:t>Of the 104,603 TB cases, 73.5% had treatment outcomes registered in the electronic treatment record. The treatment success rate for the review period was 80% (</w:t>
      </w:r>
      <w:r w:rsidRPr="005A5A82">
        <w:rPr>
          <w:rFonts w:ascii="Arial" w:hAnsi="Arial" w:cs="Arial"/>
          <w:shd w:val="clear" w:color="auto" w:fill="FFFFFF"/>
        </w:rPr>
        <w:t>range: 77.2% - 89.2% by region)</w:t>
      </w:r>
      <w:r w:rsidRPr="005A5A82">
        <w:rPr>
          <w:rFonts w:ascii="Arial" w:hAnsi="Arial" w:cs="Arial"/>
        </w:rPr>
        <w:t xml:space="preserve">, which was registered as treatment completion (61.3%) rather than cure (38.7%) (Figure </w:t>
      </w:r>
      <w:r w:rsidR="00CA6035" w:rsidRPr="005A5A82">
        <w:rPr>
          <w:rFonts w:ascii="Arial" w:hAnsi="Arial" w:cs="Arial"/>
        </w:rPr>
        <w:t>2</w:t>
      </w:r>
      <w:r w:rsidRPr="005A5A82">
        <w:rPr>
          <w:rFonts w:ascii="Arial" w:hAnsi="Arial" w:cs="Arial"/>
        </w:rPr>
        <w:t xml:space="preserve">).  Death and LTFU were </w:t>
      </w:r>
      <w:r w:rsidR="005924B2" w:rsidRPr="005A5A82">
        <w:rPr>
          <w:rFonts w:ascii="Arial" w:hAnsi="Arial" w:cs="Arial"/>
        </w:rPr>
        <w:t xml:space="preserve">the </w:t>
      </w:r>
      <w:r w:rsidRPr="005A5A82">
        <w:rPr>
          <w:rFonts w:ascii="Arial" w:hAnsi="Arial" w:cs="Arial"/>
        </w:rPr>
        <w:t>most prevalent unsuccessful treatment outcomes (Table1). The mean TSR was significantly higher among TB cases registered at primary health care (PHC) facilities (i.e</w:t>
      </w:r>
      <w:r w:rsidR="00267017" w:rsidRPr="005A5A82">
        <w:rPr>
          <w:rFonts w:ascii="Arial" w:hAnsi="Arial" w:cs="Arial"/>
        </w:rPr>
        <w:t>.</w:t>
      </w:r>
      <w:r w:rsidRPr="005A5A82">
        <w:rPr>
          <w:rFonts w:ascii="Arial" w:hAnsi="Arial" w:cs="Arial"/>
        </w:rPr>
        <w:t xml:space="preserve"> Health centers, 72.4% and clinics, 74.5%) compared to hospital, 71.4 (</w:t>
      </w:r>
      <w:r w:rsidRPr="005A5A82">
        <w:rPr>
          <w:rFonts w:ascii="Arial" w:hAnsi="Arial" w:cs="Arial"/>
          <w:i/>
        </w:rPr>
        <w:t>p</w:t>
      </w:r>
      <w:r w:rsidRPr="005A5A82">
        <w:rPr>
          <w:rFonts w:ascii="Arial" w:hAnsi="Arial" w:cs="Arial"/>
        </w:rPr>
        <w:t>&lt;0.001). Though the TSR were above 80% in most regions (8/14), no</w:t>
      </w:r>
      <w:r w:rsidR="00267017" w:rsidRPr="005A5A82">
        <w:rPr>
          <w:rFonts w:ascii="Arial" w:hAnsi="Arial" w:cs="Arial"/>
        </w:rPr>
        <w:t xml:space="preserve"> region</w:t>
      </w:r>
      <w:r w:rsidRPr="005A5A82">
        <w:rPr>
          <w:rFonts w:ascii="Arial" w:hAnsi="Arial" w:cs="Arial"/>
        </w:rPr>
        <w:t xml:space="preserve"> achieved the 90% global target for TSR. </w:t>
      </w:r>
      <w:r w:rsidRPr="005A5A82">
        <w:rPr>
          <w:rFonts w:ascii="Arial" w:hAnsi="Arial" w:cs="Arial"/>
          <w:shd w:val="clear" w:color="auto" w:fill="FFFFFF"/>
        </w:rPr>
        <w:t>Only two regions out of 14, Zambezi and Omaheke</w:t>
      </w:r>
      <w:r w:rsidR="00267017" w:rsidRPr="005A5A82">
        <w:rPr>
          <w:rFonts w:ascii="Arial" w:hAnsi="Arial" w:cs="Arial"/>
          <w:shd w:val="clear" w:color="auto" w:fill="FFFFFF"/>
        </w:rPr>
        <w:t>,</w:t>
      </w:r>
      <w:r w:rsidRPr="005A5A82">
        <w:rPr>
          <w:rFonts w:ascii="Arial" w:hAnsi="Arial" w:cs="Arial"/>
          <w:shd w:val="clear" w:color="auto" w:fill="FFFFFF"/>
        </w:rPr>
        <w:t xml:space="preserve"> surpassed the 85% WHO TSR targets </w:t>
      </w:r>
      <w:r w:rsidRPr="005A5A82">
        <w:rPr>
          <w:rFonts w:ascii="Arial" w:hAnsi="Arial" w:cs="Arial"/>
        </w:rPr>
        <w:t xml:space="preserve">(Figure </w:t>
      </w:r>
      <w:r w:rsidR="00CA6035" w:rsidRPr="005A5A82">
        <w:rPr>
          <w:rFonts w:ascii="Arial" w:hAnsi="Arial" w:cs="Arial"/>
        </w:rPr>
        <w:t>3</w:t>
      </w:r>
      <w:r w:rsidRPr="005A5A82">
        <w:rPr>
          <w:rFonts w:ascii="Arial" w:hAnsi="Arial" w:cs="Arial"/>
        </w:rPr>
        <w:t xml:space="preserve">). </w:t>
      </w:r>
    </w:p>
    <w:p w14:paraId="4533B7AC" w14:textId="6C1A0E22" w:rsidR="00A30CB8" w:rsidRPr="005A5A82" w:rsidRDefault="00A30CB8" w:rsidP="005A5A82">
      <w:pPr>
        <w:pStyle w:val="NoSpacing"/>
        <w:spacing w:line="360" w:lineRule="auto"/>
        <w:rPr>
          <w:rFonts w:ascii="Arial" w:hAnsi="Arial" w:cs="Arial"/>
        </w:rPr>
      </w:pPr>
    </w:p>
    <w:p w14:paraId="55AFC75C" w14:textId="77777777" w:rsidR="00751E80" w:rsidRPr="00751E80" w:rsidRDefault="00751E80" w:rsidP="00751E80">
      <w:pPr>
        <w:rPr>
          <w:rFonts w:ascii="Arial" w:hAnsi="Arial" w:cs="Arial"/>
          <w:b/>
          <w:sz w:val="24"/>
          <w:szCs w:val="24"/>
        </w:rPr>
      </w:pPr>
      <w:r w:rsidRPr="00751E80">
        <w:rPr>
          <w:rFonts w:ascii="Arial" w:hAnsi="Arial" w:cs="Arial"/>
          <w:b/>
          <w:sz w:val="24"/>
          <w:szCs w:val="24"/>
        </w:rPr>
        <w:t>Figure 2: Categories of treatment outcomes (n=76856, not evaluated = 27747)</w:t>
      </w:r>
    </w:p>
    <w:p w14:paraId="538000D8" w14:textId="77777777" w:rsidR="00751E80" w:rsidRDefault="00751E80" w:rsidP="00751E80">
      <w:pPr>
        <w:rPr>
          <w:rFonts w:ascii="Arial" w:hAnsi="Arial" w:cs="Arial"/>
          <w:b/>
          <w:sz w:val="24"/>
          <w:szCs w:val="24"/>
        </w:rPr>
      </w:pPr>
      <w:r>
        <w:rPr>
          <w:noProof/>
        </w:rPr>
        <w:drawing>
          <wp:inline distT="0" distB="0" distL="0" distR="0" wp14:anchorId="23A5F7B9" wp14:editId="311D334C">
            <wp:extent cx="5372100" cy="3271837"/>
            <wp:effectExtent l="0" t="0" r="0"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61AB5D" w14:textId="77777777" w:rsidR="00751E80" w:rsidRPr="00751E80" w:rsidRDefault="00751E80" w:rsidP="00751E80">
      <w:pPr>
        <w:rPr>
          <w:rFonts w:ascii="Arial" w:hAnsi="Arial" w:cs="Arial"/>
          <w:b/>
          <w:sz w:val="24"/>
          <w:szCs w:val="24"/>
        </w:rPr>
      </w:pPr>
      <w:r w:rsidRPr="00751E80">
        <w:rPr>
          <w:rFonts w:ascii="Arial" w:hAnsi="Arial" w:cs="Arial"/>
          <w:b/>
          <w:sz w:val="24"/>
          <w:szCs w:val="24"/>
        </w:rPr>
        <w:lastRenderedPageBreak/>
        <w:t>Figure 3: Period prevalence of TB Treatment outcomes by regions in Namibia</w:t>
      </w:r>
    </w:p>
    <w:p w14:paraId="20F7ED46" w14:textId="77777777" w:rsidR="00751E80" w:rsidRDefault="00751E80" w:rsidP="00751E80">
      <w:pPr>
        <w:rPr>
          <w:rFonts w:ascii="Arial" w:hAnsi="Arial" w:cs="Arial"/>
          <w:b/>
          <w:sz w:val="20"/>
          <w:szCs w:val="20"/>
        </w:rPr>
      </w:pPr>
      <w:r>
        <w:rPr>
          <w:noProof/>
        </w:rPr>
        <w:drawing>
          <wp:inline distT="0" distB="0" distL="0" distR="0" wp14:anchorId="4845C233" wp14:editId="37380554">
            <wp:extent cx="5786438" cy="3157537"/>
            <wp:effectExtent l="0" t="0" r="5080" b="50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2564BC7" w14:textId="77777777" w:rsidR="00751E80" w:rsidRPr="00C6749C" w:rsidRDefault="00751E80" w:rsidP="00751E80">
      <w:pPr>
        <w:rPr>
          <w:rFonts w:ascii="Arial" w:hAnsi="Arial" w:cs="Arial"/>
          <w:b/>
          <w:sz w:val="24"/>
          <w:szCs w:val="24"/>
        </w:rPr>
      </w:pPr>
    </w:p>
    <w:p w14:paraId="76506A70" w14:textId="77777777" w:rsidR="00267017" w:rsidRPr="005A5A82" w:rsidRDefault="00267017" w:rsidP="005A5A82">
      <w:pPr>
        <w:pStyle w:val="NoSpacing"/>
        <w:spacing w:line="360" w:lineRule="auto"/>
        <w:rPr>
          <w:rFonts w:ascii="Arial" w:hAnsi="Arial" w:cs="Arial"/>
        </w:rPr>
      </w:pPr>
    </w:p>
    <w:p w14:paraId="564237D0" w14:textId="77777777" w:rsidR="00267017" w:rsidRPr="005A5A82" w:rsidRDefault="00CB62E5" w:rsidP="005A5A82">
      <w:pPr>
        <w:pStyle w:val="NoSpacing"/>
        <w:spacing w:line="360" w:lineRule="auto"/>
        <w:rPr>
          <w:rFonts w:ascii="Arial" w:hAnsi="Arial" w:cs="Arial"/>
        </w:rPr>
      </w:pPr>
      <w:r w:rsidRPr="005A5A82">
        <w:rPr>
          <w:rFonts w:ascii="Arial" w:hAnsi="Arial" w:cs="Arial"/>
        </w:rPr>
        <w:t>Treatment success was statistically significantly (</w:t>
      </w:r>
      <w:r w:rsidRPr="005A5A82">
        <w:rPr>
          <w:rFonts w:ascii="Arial" w:hAnsi="Arial" w:cs="Arial"/>
          <w:i/>
        </w:rPr>
        <w:t>p</w:t>
      </w:r>
      <w:r w:rsidRPr="005A5A82">
        <w:rPr>
          <w:rFonts w:ascii="Arial" w:hAnsi="Arial" w:cs="Arial"/>
        </w:rPr>
        <w:t xml:space="preserve">&lt;0.001) associated with all programmatic, clinical, patient demographic and treatment covariates (Table 1), except for prior exposure to isoniazid prophylactic therapy (IPT, </w:t>
      </w:r>
      <w:r w:rsidRPr="005A5A82">
        <w:rPr>
          <w:rFonts w:ascii="Arial" w:hAnsi="Arial" w:cs="Arial"/>
          <w:i/>
        </w:rPr>
        <w:t>p</w:t>
      </w:r>
      <w:r w:rsidRPr="005A5A82">
        <w:rPr>
          <w:rFonts w:ascii="Arial" w:hAnsi="Arial" w:cs="Arial"/>
        </w:rPr>
        <w:t xml:space="preserve">=0.526) or co-medication with antiretroviral therapy (ART, </w:t>
      </w:r>
      <w:r w:rsidRPr="005A5A82">
        <w:rPr>
          <w:rFonts w:ascii="Arial" w:hAnsi="Arial" w:cs="Arial"/>
          <w:i/>
        </w:rPr>
        <w:t>p</w:t>
      </w:r>
      <w:r w:rsidRPr="005A5A82">
        <w:rPr>
          <w:rFonts w:ascii="Arial" w:hAnsi="Arial" w:cs="Arial"/>
        </w:rPr>
        <w:t>&lt;0.127) (Table 1).</w:t>
      </w:r>
    </w:p>
    <w:p w14:paraId="2A2AED2D" w14:textId="77777777" w:rsidR="00267017" w:rsidRPr="005A5A82" w:rsidRDefault="00267017" w:rsidP="005A5A82">
      <w:pPr>
        <w:pStyle w:val="NoSpacing"/>
        <w:spacing w:line="360" w:lineRule="auto"/>
        <w:rPr>
          <w:rFonts w:ascii="Arial" w:hAnsi="Arial" w:cs="Arial"/>
        </w:rPr>
      </w:pPr>
    </w:p>
    <w:p w14:paraId="05C23808" w14:textId="2316F0B3" w:rsidR="00267017" w:rsidRPr="005A5A82" w:rsidRDefault="00CB62E5" w:rsidP="005A5A82">
      <w:pPr>
        <w:pStyle w:val="NoSpacing"/>
        <w:spacing w:line="360" w:lineRule="auto"/>
        <w:rPr>
          <w:rFonts w:ascii="Arial" w:hAnsi="Arial" w:cs="Arial"/>
        </w:rPr>
      </w:pPr>
      <w:r w:rsidRPr="005A5A82">
        <w:rPr>
          <w:rFonts w:ascii="Arial" w:hAnsi="Arial" w:cs="Arial"/>
        </w:rPr>
        <w:t>A test of the full logistic regression model (Table 2), against a constant only model</w:t>
      </w:r>
      <w:r w:rsidR="00267017" w:rsidRPr="005A5A82">
        <w:rPr>
          <w:rFonts w:ascii="Arial" w:hAnsi="Arial" w:cs="Arial"/>
        </w:rPr>
        <w:t>,</w:t>
      </w:r>
      <w:r w:rsidRPr="005A5A82">
        <w:rPr>
          <w:rFonts w:ascii="Arial" w:hAnsi="Arial" w:cs="Arial"/>
        </w:rPr>
        <w:t xml:space="preserve"> was statistically significant, indicating that the programmatic, clinical, patient and treatment predictors as a set reliably distinguished between successful and unsuccessful treatment outcomes (</w:t>
      </w:r>
      <w:r w:rsidRPr="005A5A82">
        <w:rPr>
          <w:rFonts w:ascii="Arial" w:hAnsi="Arial" w:cs="Arial"/>
        </w:rPr>
        <w:sym w:font="Symbol" w:char="0063"/>
      </w:r>
      <w:r w:rsidRPr="005A5A82">
        <w:rPr>
          <w:rFonts w:ascii="Arial" w:hAnsi="Arial" w:cs="Arial"/>
          <w:vertAlign w:val="superscript"/>
        </w:rPr>
        <w:t xml:space="preserve">2 </w:t>
      </w:r>
      <w:r w:rsidRPr="005A5A82">
        <w:rPr>
          <w:rFonts w:ascii="Arial" w:hAnsi="Arial" w:cs="Arial"/>
        </w:rPr>
        <w:t xml:space="preserve">= 1401.3, </w:t>
      </w:r>
      <w:r w:rsidRPr="005A5A82">
        <w:rPr>
          <w:rFonts w:ascii="Arial" w:hAnsi="Arial" w:cs="Arial"/>
          <w:i/>
        </w:rPr>
        <w:t>p</w:t>
      </w:r>
      <w:r w:rsidRPr="005A5A82">
        <w:rPr>
          <w:rFonts w:ascii="Arial" w:hAnsi="Arial" w:cs="Arial"/>
        </w:rPr>
        <w:t xml:space="preserve">&lt;0.001 with </w:t>
      </w:r>
      <w:r w:rsidRPr="005A5A82">
        <w:rPr>
          <w:rFonts w:ascii="Arial" w:hAnsi="Arial" w:cs="Arial"/>
          <w:i/>
        </w:rPr>
        <w:t>df</w:t>
      </w:r>
      <w:r w:rsidRPr="005A5A82">
        <w:rPr>
          <w:rFonts w:ascii="Arial" w:hAnsi="Arial" w:cs="Arial"/>
        </w:rPr>
        <w:t xml:space="preserve"> = 48). </w:t>
      </w:r>
      <w:r w:rsidRPr="005A5A82">
        <w:rPr>
          <w:rFonts w:ascii="Arial" w:hAnsi="Arial" w:cs="Arial"/>
          <w:shd w:val="clear" w:color="auto" w:fill="FFFFFF" w:themeFill="background1"/>
        </w:rPr>
        <w:t>A good relationship</w:t>
      </w:r>
      <w:r w:rsidRPr="005A5A82">
        <w:rPr>
          <w:rFonts w:ascii="Arial" w:hAnsi="Arial" w:cs="Arial"/>
        </w:rPr>
        <w:t xml:space="preserve"> between prediction and grouping by successful (1) and unsuccessful outcome (0) was indicated by a </w:t>
      </w:r>
      <w:proofErr w:type="spellStart"/>
      <w:r w:rsidRPr="005A5A82">
        <w:rPr>
          <w:rFonts w:ascii="Arial" w:hAnsi="Arial" w:cs="Arial"/>
        </w:rPr>
        <w:t>Nagelkerke’s</w:t>
      </w:r>
      <w:proofErr w:type="spellEnd"/>
      <w:r w:rsidRPr="005A5A82">
        <w:rPr>
          <w:rFonts w:ascii="Arial" w:hAnsi="Arial" w:cs="Arial"/>
        </w:rPr>
        <w:t xml:space="preserve"> R</w:t>
      </w:r>
      <w:r w:rsidRPr="005A5A82">
        <w:rPr>
          <w:rFonts w:ascii="Arial" w:hAnsi="Arial" w:cs="Arial"/>
          <w:vertAlign w:val="superscript"/>
        </w:rPr>
        <w:t>2</w:t>
      </w:r>
      <w:r w:rsidRPr="005A5A82">
        <w:rPr>
          <w:rFonts w:ascii="Arial" w:hAnsi="Arial" w:cs="Arial"/>
        </w:rPr>
        <w:t xml:space="preserve"> score of </w:t>
      </w:r>
      <w:r w:rsidRPr="005A5A82">
        <w:rPr>
          <w:rFonts w:ascii="Arial" w:hAnsi="Arial" w:cs="Arial"/>
          <w:shd w:val="clear" w:color="auto" w:fill="FFFFFF" w:themeFill="background1"/>
        </w:rPr>
        <w:t xml:space="preserve">0.597 </w:t>
      </w:r>
      <w:r w:rsidRPr="005A5A82">
        <w:rPr>
          <w:rFonts w:ascii="Arial" w:hAnsi="Arial" w:cs="Arial"/>
        </w:rPr>
        <w:t xml:space="preserve">as well as a non-significant Hosmer and </w:t>
      </w:r>
      <w:proofErr w:type="spellStart"/>
      <w:r w:rsidRPr="005A5A82">
        <w:rPr>
          <w:rFonts w:ascii="Arial" w:hAnsi="Arial" w:cs="Arial"/>
        </w:rPr>
        <w:t>Lemeshow</w:t>
      </w:r>
      <w:proofErr w:type="spellEnd"/>
      <w:r w:rsidRPr="005A5A82">
        <w:rPr>
          <w:rFonts w:ascii="Arial" w:hAnsi="Arial" w:cs="Arial"/>
        </w:rPr>
        <w:t xml:space="preserve"> Test (</w:t>
      </w:r>
      <w:r w:rsidRPr="005A5A82">
        <w:rPr>
          <w:rFonts w:ascii="Arial" w:hAnsi="Arial" w:cs="Arial"/>
        </w:rPr>
        <w:sym w:font="Symbol" w:char="0063"/>
      </w:r>
      <w:r w:rsidRPr="005A5A82">
        <w:rPr>
          <w:rFonts w:ascii="Arial" w:hAnsi="Arial" w:cs="Arial"/>
          <w:vertAlign w:val="superscript"/>
        </w:rPr>
        <w:t xml:space="preserve">2 </w:t>
      </w:r>
      <w:r w:rsidRPr="005A5A82">
        <w:rPr>
          <w:rFonts w:ascii="Arial" w:hAnsi="Arial" w:cs="Arial"/>
        </w:rPr>
        <w:t xml:space="preserve">= 11.9, </w:t>
      </w:r>
      <w:r w:rsidRPr="005A5A82">
        <w:rPr>
          <w:rFonts w:ascii="Arial" w:hAnsi="Arial" w:cs="Arial"/>
          <w:i/>
        </w:rPr>
        <w:t>p</w:t>
      </w:r>
      <w:r w:rsidRPr="005A5A82">
        <w:rPr>
          <w:rFonts w:ascii="Arial" w:hAnsi="Arial" w:cs="Arial"/>
        </w:rPr>
        <w:t xml:space="preserve">=0.156 with </w:t>
      </w:r>
      <w:r w:rsidRPr="005A5A82">
        <w:rPr>
          <w:rFonts w:ascii="Arial" w:hAnsi="Arial" w:cs="Arial"/>
          <w:i/>
        </w:rPr>
        <w:t>df</w:t>
      </w:r>
      <w:r w:rsidRPr="005A5A82">
        <w:rPr>
          <w:rFonts w:ascii="Arial" w:hAnsi="Arial" w:cs="Arial"/>
        </w:rPr>
        <w:t xml:space="preserve"> = 8). </w:t>
      </w:r>
    </w:p>
    <w:p w14:paraId="421CBAC6" w14:textId="63361D29" w:rsidR="00A30CB8" w:rsidRPr="005A5A82" w:rsidRDefault="00A30CB8" w:rsidP="005A5A82">
      <w:pPr>
        <w:pStyle w:val="NoSpacing"/>
        <w:spacing w:line="360" w:lineRule="auto"/>
        <w:rPr>
          <w:rFonts w:ascii="Arial" w:hAnsi="Arial" w:cs="Arial"/>
        </w:rPr>
      </w:pPr>
    </w:p>
    <w:p w14:paraId="59F470F3" w14:textId="77777777" w:rsidR="00751E80" w:rsidRDefault="00751E80">
      <w:pPr>
        <w:spacing w:after="160" w:line="259" w:lineRule="auto"/>
        <w:rPr>
          <w:rFonts w:ascii="Arial" w:hAnsi="Arial" w:cs="Arial"/>
          <w:b/>
          <w:sz w:val="20"/>
          <w:szCs w:val="20"/>
        </w:rPr>
      </w:pPr>
      <w:r>
        <w:rPr>
          <w:rFonts w:ascii="Arial" w:hAnsi="Arial" w:cs="Arial"/>
          <w:b/>
          <w:sz w:val="20"/>
          <w:szCs w:val="20"/>
        </w:rPr>
        <w:br w:type="page"/>
      </w:r>
    </w:p>
    <w:p w14:paraId="1D961497" w14:textId="6E19418B" w:rsidR="00751E80" w:rsidRPr="00256DC7" w:rsidRDefault="00751E80" w:rsidP="00751E80">
      <w:pPr>
        <w:rPr>
          <w:rFonts w:ascii="Arial" w:hAnsi="Arial" w:cs="Arial"/>
          <w:b/>
          <w:sz w:val="20"/>
          <w:szCs w:val="20"/>
        </w:rPr>
      </w:pPr>
      <w:r w:rsidRPr="00256DC7">
        <w:rPr>
          <w:rFonts w:ascii="Arial" w:hAnsi="Arial" w:cs="Arial"/>
          <w:b/>
          <w:sz w:val="20"/>
          <w:szCs w:val="20"/>
        </w:rPr>
        <w:lastRenderedPageBreak/>
        <w:t>Table 2: Multivariate analysis of predictors of tuberculosis treatment outcomes</w:t>
      </w:r>
    </w:p>
    <w:tbl>
      <w:tblPr>
        <w:tblStyle w:val="TableGrid"/>
        <w:tblW w:w="0" w:type="auto"/>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000" w:firstRow="0" w:lastRow="0" w:firstColumn="0" w:lastColumn="0" w:noHBand="0" w:noVBand="0"/>
      </w:tblPr>
      <w:tblGrid>
        <w:gridCol w:w="4078"/>
        <w:gridCol w:w="737"/>
        <w:gridCol w:w="514"/>
        <w:gridCol w:w="1422"/>
        <w:gridCol w:w="1616"/>
      </w:tblGrid>
      <w:tr w:rsidR="00751E80" w:rsidRPr="00B32F89" w14:paraId="6E4803D3" w14:textId="77777777" w:rsidTr="00A46E4A">
        <w:trPr>
          <w:trHeight w:val="230"/>
        </w:trPr>
        <w:tc>
          <w:tcPr>
            <w:tcW w:w="4078" w:type="dxa"/>
            <w:tcBorders>
              <w:top w:val="single" w:sz="18" w:space="0" w:color="auto"/>
              <w:bottom w:val="single" w:sz="18" w:space="0" w:color="auto"/>
            </w:tcBorders>
            <w:shd w:val="clear" w:color="auto" w:fill="FFFFFF" w:themeFill="background1"/>
          </w:tcPr>
          <w:p w14:paraId="21A0B375" w14:textId="77777777" w:rsidR="00751E80" w:rsidRPr="00B32F89" w:rsidRDefault="00751E80" w:rsidP="00A46E4A">
            <w:pPr>
              <w:autoSpaceDE w:val="0"/>
              <w:autoSpaceDN w:val="0"/>
              <w:adjustRightInd w:val="0"/>
              <w:jc w:val="center"/>
              <w:rPr>
                <w:rFonts w:ascii="Arial" w:hAnsi="Arial" w:cs="Arial"/>
                <w:b/>
                <w:sz w:val="16"/>
                <w:szCs w:val="16"/>
              </w:rPr>
            </w:pPr>
            <w:r w:rsidRPr="00B32F89">
              <w:rPr>
                <w:rFonts w:ascii="Arial" w:hAnsi="Arial" w:cs="Arial"/>
                <w:b/>
                <w:sz w:val="16"/>
                <w:szCs w:val="16"/>
              </w:rPr>
              <w:t>Covariate</w:t>
            </w:r>
          </w:p>
        </w:tc>
        <w:tc>
          <w:tcPr>
            <w:tcW w:w="0" w:type="auto"/>
            <w:tcBorders>
              <w:top w:val="single" w:sz="18" w:space="0" w:color="auto"/>
              <w:bottom w:val="single" w:sz="18" w:space="0" w:color="auto"/>
            </w:tcBorders>
            <w:shd w:val="clear" w:color="auto" w:fill="auto"/>
          </w:tcPr>
          <w:p w14:paraId="2D1157BC" w14:textId="77777777" w:rsidR="00751E80" w:rsidRPr="00B32F89" w:rsidRDefault="00751E80" w:rsidP="00A46E4A">
            <w:pPr>
              <w:autoSpaceDE w:val="0"/>
              <w:autoSpaceDN w:val="0"/>
              <w:adjustRightInd w:val="0"/>
              <w:jc w:val="center"/>
              <w:rPr>
                <w:rFonts w:ascii="Arial" w:hAnsi="Arial" w:cs="Arial"/>
                <w:b/>
                <w:sz w:val="16"/>
                <w:szCs w:val="16"/>
              </w:rPr>
            </w:pPr>
            <w:r w:rsidRPr="00B32F89">
              <w:rPr>
                <w:rFonts w:ascii="Arial" w:hAnsi="Arial" w:cs="Arial"/>
                <w:b/>
                <w:sz w:val="16"/>
                <w:szCs w:val="16"/>
              </w:rPr>
              <w:t>Wald</w:t>
            </w:r>
          </w:p>
        </w:tc>
        <w:tc>
          <w:tcPr>
            <w:tcW w:w="0" w:type="auto"/>
            <w:tcBorders>
              <w:top w:val="single" w:sz="18" w:space="0" w:color="auto"/>
              <w:bottom w:val="single" w:sz="18" w:space="0" w:color="auto"/>
            </w:tcBorders>
            <w:shd w:val="clear" w:color="auto" w:fill="auto"/>
          </w:tcPr>
          <w:p w14:paraId="0D5FA509" w14:textId="77777777" w:rsidR="00751E80" w:rsidRPr="00B32F89" w:rsidRDefault="00751E80" w:rsidP="00A46E4A">
            <w:pPr>
              <w:autoSpaceDE w:val="0"/>
              <w:autoSpaceDN w:val="0"/>
              <w:adjustRightInd w:val="0"/>
              <w:jc w:val="center"/>
              <w:rPr>
                <w:rFonts w:ascii="Arial" w:hAnsi="Arial" w:cs="Arial"/>
                <w:b/>
                <w:sz w:val="16"/>
                <w:szCs w:val="16"/>
              </w:rPr>
            </w:pPr>
            <w:r w:rsidRPr="00B32F89">
              <w:rPr>
                <w:rFonts w:ascii="Arial" w:hAnsi="Arial" w:cs="Arial"/>
                <w:b/>
                <w:sz w:val="16"/>
                <w:szCs w:val="16"/>
              </w:rPr>
              <w:t>df</w:t>
            </w:r>
          </w:p>
        </w:tc>
        <w:tc>
          <w:tcPr>
            <w:tcW w:w="0" w:type="auto"/>
            <w:tcBorders>
              <w:top w:val="single" w:sz="18" w:space="0" w:color="auto"/>
              <w:bottom w:val="single" w:sz="18" w:space="0" w:color="auto"/>
              <w:right w:val="nil"/>
            </w:tcBorders>
            <w:shd w:val="clear" w:color="auto" w:fill="FFFFFF" w:themeFill="background1"/>
          </w:tcPr>
          <w:p w14:paraId="294B06AA" w14:textId="77777777" w:rsidR="00751E80" w:rsidRPr="00B32F89" w:rsidRDefault="00751E80" w:rsidP="00A46E4A">
            <w:pPr>
              <w:autoSpaceDE w:val="0"/>
              <w:autoSpaceDN w:val="0"/>
              <w:adjustRightInd w:val="0"/>
              <w:jc w:val="center"/>
              <w:rPr>
                <w:rFonts w:ascii="Arial" w:hAnsi="Arial" w:cs="Arial"/>
                <w:b/>
                <w:sz w:val="16"/>
                <w:szCs w:val="16"/>
              </w:rPr>
            </w:pPr>
            <w:r w:rsidRPr="00B32F89">
              <w:rPr>
                <w:rFonts w:ascii="Arial" w:hAnsi="Arial" w:cs="Arial"/>
                <w:b/>
                <w:sz w:val="16"/>
                <w:szCs w:val="16"/>
              </w:rPr>
              <w:t>OR (95</w:t>
            </w:r>
            <w:proofErr w:type="gramStart"/>
            <w:r w:rsidRPr="00B32F89">
              <w:rPr>
                <w:rFonts w:ascii="Arial" w:hAnsi="Arial" w:cs="Arial"/>
                <w:b/>
                <w:sz w:val="16"/>
                <w:szCs w:val="16"/>
              </w:rPr>
              <w:t>%,CI</w:t>
            </w:r>
            <w:proofErr w:type="gramEnd"/>
            <w:r w:rsidRPr="00B32F89">
              <w:rPr>
                <w:rFonts w:ascii="Arial" w:hAnsi="Arial" w:cs="Arial"/>
                <w:b/>
                <w:sz w:val="16"/>
                <w:szCs w:val="16"/>
              </w:rPr>
              <w:t>)</w:t>
            </w:r>
          </w:p>
        </w:tc>
        <w:tc>
          <w:tcPr>
            <w:tcW w:w="1616" w:type="dxa"/>
            <w:tcBorders>
              <w:top w:val="single" w:sz="18" w:space="0" w:color="auto"/>
              <w:left w:val="nil"/>
              <w:bottom w:val="single" w:sz="18" w:space="0" w:color="auto"/>
            </w:tcBorders>
            <w:shd w:val="clear" w:color="auto" w:fill="FFFFFF" w:themeFill="background1"/>
          </w:tcPr>
          <w:p w14:paraId="3E4B6AAB" w14:textId="77777777" w:rsidR="00751E80" w:rsidRPr="00B32F89" w:rsidRDefault="00751E80" w:rsidP="00A46E4A">
            <w:pPr>
              <w:autoSpaceDE w:val="0"/>
              <w:autoSpaceDN w:val="0"/>
              <w:adjustRightInd w:val="0"/>
              <w:ind w:right="60"/>
              <w:jc w:val="center"/>
              <w:rPr>
                <w:rFonts w:ascii="Arial" w:hAnsi="Arial" w:cs="Arial"/>
                <w:b/>
                <w:sz w:val="16"/>
                <w:szCs w:val="16"/>
              </w:rPr>
            </w:pPr>
            <w:r w:rsidRPr="00B32F89">
              <w:rPr>
                <w:rFonts w:ascii="Arial" w:hAnsi="Arial" w:cs="Arial"/>
                <w:b/>
                <w:sz w:val="16"/>
                <w:szCs w:val="16"/>
              </w:rPr>
              <w:t>p-value</w:t>
            </w:r>
          </w:p>
        </w:tc>
      </w:tr>
      <w:tr w:rsidR="00751E80" w:rsidRPr="00B32F89" w14:paraId="02C5618F" w14:textId="77777777" w:rsidTr="00A46E4A">
        <w:tc>
          <w:tcPr>
            <w:tcW w:w="0" w:type="auto"/>
            <w:tcBorders>
              <w:top w:val="single" w:sz="18" w:space="0" w:color="auto"/>
              <w:bottom w:val="single" w:sz="4" w:space="0" w:color="000000" w:themeColor="text1"/>
            </w:tcBorders>
          </w:tcPr>
          <w:p w14:paraId="5BC7B075" w14:textId="77777777" w:rsidR="00751E80" w:rsidRPr="00B32F89" w:rsidRDefault="00751E80" w:rsidP="00A46E4A">
            <w:pPr>
              <w:autoSpaceDE w:val="0"/>
              <w:autoSpaceDN w:val="0"/>
              <w:adjustRightInd w:val="0"/>
              <w:ind w:right="60"/>
              <w:rPr>
                <w:rFonts w:ascii="Arial" w:hAnsi="Arial" w:cs="Arial"/>
                <w:b/>
                <w:sz w:val="16"/>
                <w:szCs w:val="16"/>
              </w:rPr>
            </w:pPr>
            <w:r w:rsidRPr="00B32F89">
              <w:rPr>
                <w:rFonts w:ascii="Arial" w:hAnsi="Arial" w:cs="Arial"/>
                <w:b/>
                <w:sz w:val="16"/>
                <w:szCs w:val="16"/>
              </w:rPr>
              <w:t>Medium Term Plan</w:t>
            </w:r>
          </w:p>
          <w:p w14:paraId="16C96D9F"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MTP-I</w:t>
            </w:r>
          </w:p>
          <w:p w14:paraId="487F1C91"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MTP-II</w:t>
            </w:r>
          </w:p>
        </w:tc>
        <w:tc>
          <w:tcPr>
            <w:tcW w:w="0" w:type="auto"/>
            <w:tcBorders>
              <w:top w:val="single" w:sz="18" w:space="0" w:color="auto"/>
              <w:bottom w:val="single" w:sz="4" w:space="0" w:color="000000" w:themeColor="text1"/>
            </w:tcBorders>
            <w:shd w:val="clear" w:color="auto" w:fill="auto"/>
          </w:tcPr>
          <w:p w14:paraId="4F77BC2B"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3F7AA120"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0.3</w:t>
            </w:r>
          </w:p>
        </w:tc>
        <w:tc>
          <w:tcPr>
            <w:tcW w:w="0" w:type="auto"/>
            <w:tcBorders>
              <w:top w:val="single" w:sz="18" w:space="0" w:color="auto"/>
              <w:bottom w:val="single" w:sz="4" w:space="0" w:color="000000" w:themeColor="text1"/>
            </w:tcBorders>
            <w:shd w:val="clear" w:color="auto" w:fill="auto"/>
          </w:tcPr>
          <w:p w14:paraId="5E842ADB"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0F6CF26C"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18" w:space="0" w:color="auto"/>
              <w:bottom w:val="single" w:sz="4" w:space="0" w:color="000000" w:themeColor="text1"/>
              <w:right w:val="nil"/>
            </w:tcBorders>
          </w:tcPr>
          <w:p w14:paraId="619CCB0F"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5726F6A2"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1.1(0.8,1.5)</w:t>
            </w:r>
          </w:p>
          <w:p w14:paraId="0CD08C2E"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1616" w:type="dxa"/>
            <w:tcBorders>
              <w:top w:val="single" w:sz="18" w:space="0" w:color="auto"/>
              <w:left w:val="nil"/>
              <w:bottom w:val="single" w:sz="4" w:space="0" w:color="000000" w:themeColor="text1"/>
            </w:tcBorders>
            <w:shd w:val="clear" w:color="auto" w:fill="FFFFFF" w:themeFill="background1"/>
          </w:tcPr>
          <w:p w14:paraId="379E86B2" w14:textId="77777777" w:rsidR="00751E80" w:rsidRPr="00B32F89" w:rsidRDefault="00751E80" w:rsidP="00A46E4A">
            <w:pPr>
              <w:autoSpaceDE w:val="0"/>
              <w:autoSpaceDN w:val="0"/>
              <w:adjustRightInd w:val="0"/>
              <w:ind w:left="60" w:right="60"/>
              <w:jc w:val="center"/>
              <w:rPr>
                <w:rFonts w:ascii="Arial" w:hAnsi="Arial" w:cs="Arial"/>
                <w:sz w:val="16"/>
                <w:szCs w:val="16"/>
              </w:rPr>
            </w:pPr>
          </w:p>
          <w:p w14:paraId="57A2272A"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0.608</w:t>
            </w:r>
          </w:p>
        </w:tc>
      </w:tr>
      <w:tr w:rsidR="00751E80" w:rsidRPr="00B32F89" w14:paraId="55E0D0F1" w14:textId="77777777" w:rsidTr="00A46E4A">
        <w:trPr>
          <w:trHeight w:val="2789"/>
        </w:trPr>
        <w:tc>
          <w:tcPr>
            <w:tcW w:w="0" w:type="auto"/>
            <w:tcBorders>
              <w:top w:val="single" w:sz="4" w:space="0" w:color="000000" w:themeColor="text1"/>
              <w:bottom w:val="single" w:sz="4" w:space="0" w:color="000000" w:themeColor="text1"/>
            </w:tcBorders>
          </w:tcPr>
          <w:p w14:paraId="693C629E" w14:textId="77777777" w:rsidR="00751E80" w:rsidRPr="00B32F89" w:rsidRDefault="00751E80" w:rsidP="00A46E4A">
            <w:pPr>
              <w:autoSpaceDE w:val="0"/>
              <w:autoSpaceDN w:val="0"/>
              <w:adjustRightInd w:val="0"/>
              <w:ind w:right="60"/>
              <w:rPr>
                <w:rFonts w:ascii="Arial" w:hAnsi="Arial" w:cs="Arial"/>
                <w:b/>
                <w:sz w:val="16"/>
                <w:szCs w:val="16"/>
              </w:rPr>
            </w:pPr>
            <w:r w:rsidRPr="00B32F89">
              <w:rPr>
                <w:rFonts w:ascii="Arial" w:hAnsi="Arial" w:cs="Arial"/>
                <w:b/>
                <w:sz w:val="16"/>
                <w:szCs w:val="16"/>
              </w:rPr>
              <w:t>Region</w:t>
            </w:r>
          </w:p>
          <w:p w14:paraId="4CA04607" w14:textId="77777777" w:rsidR="00751E80" w:rsidRPr="00B32F89" w:rsidRDefault="00751E80" w:rsidP="00A46E4A">
            <w:pPr>
              <w:autoSpaceDE w:val="0"/>
              <w:autoSpaceDN w:val="0"/>
              <w:adjustRightInd w:val="0"/>
              <w:ind w:right="60"/>
              <w:rPr>
                <w:rFonts w:ascii="Arial" w:hAnsi="Arial" w:cs="Arial"/>
                <w:sz w:val="16"/>
                <w:szCs w:val="16"/>
              </w:rPr>
            </w:pPr>
            <w:proofErr w:type="spellStart"/>
            <w:r w:rsidRPr="00B32F89">
              <w:rPr>
                <w:rFonts w:ascii="Arial" w:hAnsi="Arial" w:cs="Arial"/>
                <w:sz w:val="16"/>
                <w:szCs w:val="16"/>
              </w:rPr>
              <w:t>Khomas</w:t>
            </w:r>
            <w:proofErr w:type="spellEnd"/>
          </w:p>
          <w:p w14:paraId="3BAB6A56" w14:textId="77777777" w:rsidR="00751E80" w:rsidRPr="00B32F89" w:rsidRDefault="00751E80" w:rsidP="00A46E4A">
            <w:pPr>
              <w:autoSpaceDE w:val="0"/>
              <w:autoSpaceDN w:val="0"/>
              <w:adjustRightInd w:val="0"/>
              <w:ind w:right="60"/>
              <w:rPr>
                <w:rFonts w:ascii="Arial" w:hAnsi="Arial" w:cs="Arial"/>
                <w:sz w:val="16"/>
                <w:szCs w:val="16"/>
              </w:rPr>
            </w:pPr>
            <w:proofErr w:type="spellStart"/>
            <w:r w:rsidRPr="00B32F89">
              <w:rPr>
                <w:rFonts w:ascii="Arial" w:hAnsi="Arial" w:cs="Arial"/>
                <w:sz w:val="16"/>
                <w:szCs w:val="16"/>
              </w:rPr>
              <w:t>Kavango</w:t>
            </w:r>
            <w:proofErr w:type="spellEnd"/>
            <w:r w:rsidRPr="00B32F89">
              <w:rPr>
                <w:rFonts w:ascii="Arial" w:hAnsi="Arial" w:cs="Arial"/>
                <w:sz w:val="16"/>
                <w:szCs w:val="16"/>
              </w:rPr>
              <w:t xml:space="preserve"> West</w:t>
            </w:r>
          </w:p>
          <w:p w14:paraId="3A1B3F62"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Zambezi</w:t>
            </w:r>
          </w:p>
          <w:p w14:paraId="425B59C9" w14:textId="77777777" w:rsidR="00751E80" w:rsidRPr="00B32F89" w:rsidRDefault="00751E80" w:rsidP="00A46E4A">
            <w:pPr>
              <w:autoSpaceDE w:val="0"/>
              <w:autoSpaceDN w:val="0"/>
              <w:adjustRightInd w:val="0"/>
              <w:ind w:right="60"/>
              <w:rPr>
                <w:rFonts w:ascii="Arial" w:hAnsi="Arial" w:cs="Arial"/>
                <w:sz w:val="16"/>
                <w:szCs w:val="16"/>
              </w:rPr>
            </w:pPr>
            <w:proofErr w:type="spellStart"/>
            <w:r w:rsidRPr="00B32F89">
              <w:rPr>
                <w:rFonts w:ascii="Arial" w:hAnsi="Arial" w:cs="Arial"/>
                <w:sz w:val="16"/>
                <w:szCs w:val="16"/>
              </w:rPr>
              <w:t>Otjozondjupa</w:t>
            </w:r>
            <w:proofErr w:type="spellEnd"/>
          </w:p>
          <w:p w14:paraId="45903CED" w14:textId="77777777" w:rsidR="00751E80" w:rsidRPr="00B32F89" w:rsidRDefault="00751E80" w:rsidP="00A46E4A">
            <w:pPr>
              <w:autoSpaceDE w:val="0"/>
              <w:autoSpaceDN w:val="0"/>
              <w:adjustRightInd w:val="0"/>
              <w:ind w:right="60"/>
              <w:rPr>
                <w:rFonts w:ascii="Arial" w:hAnsi="Arial" w:cs="Arial"/>
                <w:sz w:val="16"/>
                <w:szCs w:val="16"/>
              </w:rPr>
            </w:pPr>
            <w:proofErr w:type="spellStart"/>
            <w:r w:rsidRPr="00B32F89">
              <w:rPr>
                <w:rFonts w:ascii="Arial" w:hAnsi="Arial" w:cs="Arial"/>
                <w:sz w:val="16"/>
                <w:szCs w:val="16"/>
              </w:rPr>
              <w:t>Erongo</w:t>
            </w:r>
            <w:proofErr w:type="spellEnd"/>
          </w:p>
          <w:p w14:paraId="497E1FD2" w14:textId="77777777" w:rsidR="00751E80" w:rsidRPr="00B32F89" w:rsidRDefault="00751E80" w:rsidP="00A46E4A">
            <w:pPr>
              <w:autoSpaceDE w:val="0"/>
              <w:autoSpaceDN w:val="0"/>
              <w:adjustRightInd w:val="0"/>
              <w:ind w:right="60"/>
              <w:rPr>
                <w:rFonts w:ascii="Arial" w:hAnsi="Arial" w:cs="Arial"/>
                <w:sz w:val="16"/>
                <w:szCs w:val="16"/>
              </w:rPr>
            </w:pPr>
            <w:proofErr w:type="spellStart"/>
            <w:r w:rsidRPr="00B32F89">
              <w:rPr>
                <w:rFonts w:ascii="Arial" w:hAnsi="Arial" w:cs="Arial"/>
                <w:sz w:val="16"/>
                <w:szCs w:val="16"/>
              </w:rPr>
              <w:t>Karas</w:t>
            </w:r>
            <w:proofErr w:type="spellEnd"/>
          </w:p>
          <w:p w14:paraId="06979F52" w14:textId="77777777" w:rsidR="00751E80" w:rsidRPr="00B32F89" w:rsidRDefault="00751E80" w:rsidP="00A46E4A">
            <w:pPr>
              <w:autoSpaceDE w:val="0"/>
              <w:autoSpaceDN w:val="0"/>
              <w:adjustRightInd w:val="0"/>
              <w:ind w:right="60"/>
              <w:rPr>
                <w:rFonts w:ascii="Arial" w:hAnsi="Arial" w:cs="Arial"/>
                <w:sz w:val="16"/>
                <w:szCs w:val="16"/>
              </w:rPr>
            </w:pPr>
            <w:proofErr w:type="spellStart"/>
            <w:r w:rsidRPr="00B32F89">
              <w:rPr>
                <w:rFonts w:ascii="Arial" w:hAnsi="Arial" w:cs="Arial"/>
                <w:sz w:val="16"/>
                <w:szCs w:val="16"/>
              </w:rPr>
              <w:t>Hardap</w:t>
            </w:r>
            <w:proofErr w:type="spellEnd"/>
          </w:p>
          <w:p w14:paraId="01C7D313"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Kunene</w:t>
            </w:r>
          </w:p>
          <w:p w14:paraId="69F941E9" w14:textId="77777777" w:rsidR="00751E80" w:rsidRPr="00B32F89" w:rsidRDefault="00751E80" w:rsidP="00A46E4A">
            <w:pPr>
              <w:autoSpaceDE w:val="0"/>
              <w:autoSpaceDN w:val="0"/>
              <w:adjustRightInd w:val="0"/>
              <w:ind w:right="60"/>
              <w:rPr>
                <w:rFonts w:ascii="Arial" w:hAnsi="Arial" w:cs="Arial"/>
                <w:sz w:val="16"/>
                <w:szCs w:val="16"/>
              </w:rPr>
            </w:pPr>
            <w:proofErr w:type="spellStart"/>
            <w:r w:rsidRPr="00B32F89">
              <w:rPr>
                <w:rFonts w:ascii="Arial" w:hAnsi="Arial" w:cs="Arial"/>
                <w:sz w:val="16"/>
                <w:szCs w:val="16"/>
              </w:rPr>
              <w:t>Ohangwena</w:t>
            </w:r>
            <w:proofErr w:type="spellEnd"/>
          </w:p>
          <w:p w14:paraId="1A6288D3"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Omaheke</w:t>
            </w:r>
          </w:p>
          <w:p w14:paraId="5127D6D3" w14:textId="77777777" w:rsidR="00751E80" w:rsidRPr="00B32F89" w:rsidRDefault="00751E80" w:rsidP="00A46E4A">
            <w:pPr>
              <w:autoSpaceDE w:val="0"/>
              <w:autoSpaceDN w:val="0"/>
              <w:adjustRightInd w:val="0"/>
              <w:ind w:right="60"/>
              <w:rPr>
                <w:rFonts w:ascii="Arial" w:hAnsi="Arial" w:cs="Arial"/>
                <w:sz w:val="16"/>
                <w:szCs w:val="16"/>
              </w:rPr>
            </w:pPr>
            <w:proofErr w:type="spellStart"/>
            <w:r w:rsidRPr="00B32F89">
              <w:rPr>
                <w:rFonts w:ascii="Arial" w:hAnsi="Arial" w:cs="Arial"/>
                <w:sz w:val="16"/>
                <w:szCs w:val="16"/>
              </w:rPr>
              <w:t>Oshikoto</w:t>
            </w:r>
            <w:proofErr w:type="spellEnd"/>
          </w:p>
          <w:p w14:paraId="00694422"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Oshana</w:t>
            </w:r>
          </w:p>
          <w:p w14:paraId="616779E8" w14:textId="77777777" w:rsidR="00751E80" w:rsidRPr="00B32F89" w:rsidRDefault="00751E80" w:rsidP="00A46E4A">
            <w:pPr>
              <w:autoSpaceDE w:val="0"/>
              <w:autoSpaceDN w:val="0"/>
              <w:adjustRightInd w:val="0"/>
              <w:ind w:right="60"/>
              <w:rPr>
                <w:rFonts w:ascii="Arial" w:hAnsi="Arial" w:cs="Arial"/>
                <w:sz w:val="16"/>
                <w:szCs w:val="16"/>
              </w:rPr>
            </w:pPr>
            <w:proofErr w:type="spellStart"/>
            <w:r w:rsidRPr="00B32F89">
              <w:rPr>
                <w:rFonts w:ascii="Arial" w:hAnsi="Arial" w:cs="Arial"/>
                <w:sz w:val="16"/>
                <w:szCs w:val="16"/>
              </w:rPr>
              <w:t>Omusati</w:t>
            </w:r>
            <w:proofErr w:type="spellEnd"/>
          </w:p>
          <w:p w14:paraId="59BCA3E8" w14:textId="77777777" w:rsidR="00751E80" w:rsidRPr="00B32F89" w:rsidRDefault="00751E80" w:rsidP="00A46E4A">
            <w:pPr>
              <w:autoSpaceDE w:val="0"/>
              <w:autoSpaceDN w:val="0"/>
              <w:adjustRightInd w:val="0"/>
              <w:ind w:right="60"/>
              <w:rPr>
                <w:rFonts w:ascii="Arial" w:hAnsi="Arial" w:cs="Arial"/>
                <w:sz w:val="16"/>
                <w:szCs w:val="16"/>
              </w:rPr>
            </w:pPr>
            <w:proofErr w:type="spellStart"/>
            <w:r w:rsidRPr="00B32F89">
              <w:rPr>
                <w:rFonts w:ascii="Arial" w:hAnsi="Arial" w:cs="Arial"/>
                <w:sz w:val="16"/>
                <w:szCs w:val="16"/>
              </w:rPr>
              <w:t>Kavango</w:t>
            </w:r>
            <w:proofErr w:type="spellEnd"/>
            <w:r w:rsidRPr="00B32F89">
              <w:rPr>
                <w:rFonts w:ascii="Arial" w:hAnsi="Arial" w:cs="Arial"/>
                <w:sz w:val="16"/>
                <w:szCs w:val="16"/>
              </w:rPr>
              <w:t xml:space="preserve"> East</w:t>
            </w:r>
          </w:p>
        </w:tc>
        <w:tc>
          <w:tcPr>
            <w:tcW w:w="0" w:type="auto"/>
            <w:tcBorders>
              <w:top w:val="single" w:sz="4" w:space="0" w:color="000000" w:themeColor="text1"/>
              <w:bottom w:val="single" w:sz="4" w:space="0" w:color="000000" w:themeColor="text1"/>
            </w:tcBorders>
            <w:shd w:val="clear" w:color="auto" w:fill="auto"/>
          </w:tcPr>
          <w:p w14:paraId="34E8CF5A"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36.0</w:t>
            </w:r>
          </w:p>
          <w:p w14:paraId="626781E4"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2.1</w:t>
            </w:r>
          </w:p>
          <w:p w14:paraId="37EEEBA2"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1.0</w:t>
            </w:r>
          </w:p>
          <w:p w14:paraId="63D27D97"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2.0</w:t>
            </w:r>
          </w:p>
          <w:p w14:paraId="1D28FE99"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6.3</w:t>
            </w:r>
          </w:p>
          <w:p w14:paraId="48BBE6E8"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1.0</w:t>
            </w:r>
          </w:p>
          <w:p w14:paraId="6B963C6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0.5</w:t>
            </w:r>
          </w:p>
          <w:p w14:paraId="7D9736DE"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0.7</w:t>
            </w:r>
          </w:p>
          <w:p w14:paraId="2D20D690"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2.5</w:t>
            </w:r>
          </w:p>
          <w:p w14:paraId="5FD42C26"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2.4</w:t>
            </w:r>
          </w:p>
          <w:p w14:paraId="69AEA5D6"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0.8</w:t>
            </w:r>
          </w:p>
          <w:p w14:paraId="6C1D027E"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0.0</w:t>
            </w:r>
          </w:p>
          <w:p w14:paraId="2FF5905D"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0.4</w:t>
            </w:r>
          </w:p>
          <w:p w14:paraId="7AB00B89"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1.4</w:t>
            </w:r>
          </w:p>
        </w:tc>
        <w:tc>
          <w:tcPr>
            <w:tcW w:w="0" w:type="auto"/>
            <w:tcBorders>
              <w:top w:val="single" w:sz="4" w:space="0" w:color="000000" w:themeColor="text1"/>
              <w:bottom w:val="single" w:sz="4" w:space="0" w:color="000000" w:themeColor="text1"/>
            </w:tcBorders>
            <w:shd w:val="clear" w:color="auto" w:fill="auto"/>
          </w:tcPr>
          <w:p w14:paraId="4EB7791C"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13</w:t>
            </w:r>
          </w:p>
          <w:p w14:paraId="6FAE0834"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027D955A"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26D744E2"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2B7A6BDF"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1289055C"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2D9F488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52AD4B8A"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5D37BC55"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3E40E27E"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5A3DDEE7"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129D29AC"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32547896"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6DA2E8CF"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4" w:space="0" w:color="000000" w:themeColor="text1"/>
              <w:right w:val="nil"/>
            </w:tcBorders>
          </w:tcPr>
          <w:p w14:paraId="1DCA30A2"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70B86BD3"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2.8(0.7, 11.3)</w:t>
            </w:r>
          </w:p>
          <w:p w14:paraId="6E0D6799"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0.8(0.4,1.3)</w:t>
            </w:r>
          </w:p>
          <w:p w14:paraId="134C52CB"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1.5(0.9,2.6)</w:t>
            </w:r>
          </w:p>
          <w:p w14:paraId="7210F31C"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2.8(1.3,6.4)</w:t>
            </w:r>
          </w:p>
          <w:p w14:paraId="0F4B7050"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0.7(0.3,1.7)</w:t>
            </w:r>
          </w:p>
          <w:p w14:paraId="5C205958"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0.7(0.3,1.7)</w:t>
            </w:r>
          </w:p>
          <w:p w14:paraId="60106C38"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0.4(0.0,3.5)</w:t>
            </w:r>
          </w:p>
          <w:p w14:paraId="711485B8"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0.6(0.3,1.1)</w:t>
            </w:r>
          </w:p>
          <w:p w14:paraId="3B5ADAD5"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2.0(0.8,4.9)</w:t>
            </w:r>
          </w:p>
          <w:p w14:paraId="2789E1F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0.7(0.3,1.6)</w:t>
            </w:r>
          </w:p>
          <w:p w14:paraId="6FAD95BE"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125109200</w:t>
            </w:r>
          </w:p>
          <w:p w14:paraId="715686E4"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1.8(0.3,12.5)</w:t>
            </w:r>
          </w:p>
          <w:p w14:paraId="1F81D62F" w14:textId="77777777" w:rsidR="00751E80"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1.4(0.8,2.6)</w:t>
            </w:r>
          </w:p>
          <w:p w14:paraId="53029E91" w14:textId="77777777" w:rsidR="00751E80" w:rsidRPr="00B32F89" w:rsidRDefault="00751E80" w:rsidP="00A46E4A">
            <w:pPr>
              <w:autoSpaceDE w:val="0"/>
              <w:autoSpaceDN w:val="0"/>
              <w:adjustRightInd w:val="0"/>
              <w:ind w:left="60" w:right="60"/>
              <w:jc w:val="right"/>
              <w:rPr>
                <w:rFonts w:ascii="Arial" w:hAnsi="Arial" w:cs="Arial"/>
                <w:sz w:val="16"/>
                <w:szCs w:val="16"/>
              </w:rPr>
            </w:pPr>
            <w:r>
              <w:rPr>
                <w:rFonts w:ascii="Arial" w:hAnsi="Arial" w:cs="Arial"/>
                <w:sz w:val="16"/>
                <w:szCs w:val="16"/>
              </w:rPr>
              <w:t>1</w:t>
            </w:r>
          </w:p>
        </w:tc>
        <w:tc>
          <w:tcPr>
            <w:tcW w:w="1616" w:type="dxa"/>
            <w:tcBorders>
              <w:top w:val="single" w:sz="4" w:space="0" w:color="000000" w:themeColor="text1"/>
              <w:left w:val="nil"/>
              <w:bottom w:val="single" w:sz="4" w:space="0" w:color="000000" w:themeColor="text1"/>
            </w:tcBorders>
          </w:tcPr>
          <w:p w14:paraId="268A042F"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0.001*</w:t>
            </w:r>
          </w:p>
          <w:p w14:paraId="17CF3AF2"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0.147</w:t>
            </w:r>
          </w:p>
          <w:p w14:paraId="04150E6A"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0.324</w:t>
            </w:r>
          </w:p>
          <w:p w14:paraId="36D6AA56"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0.158</w:t>
            </w:r>
          </w:p>
          <w:p w14:paraId="64517710"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0.012*</w:t>
            </w:r>
          </w:p>
          <w:p w14:paraId="24518824"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0.328</w:t>
            </w:r>
          </w:p>
          <w:p w14:paraId="66E0930F"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0.465</w:t>
            </w:r>
          </w:p>
          <w:p w14:paraId="50769950"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0.396</w:t>
            </w:r>
          </w:p>
          <w:p w14:paraId="70E47D5B"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0.112</w:t>
            </w:r>
          </w:p>
          <w:p w14:paraId="08AA1076"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0.121</w:t>
            </w:r>
          </w:p>
          <w:p w14:paraId="7F4630D7"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0.385</w:t>
            </w:r>
          </w:p>
          <w:p w14:paraId="42CCAE3A"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1.000</w:t>
            </w:r>
          </w:p>
          <w:p w14:paraId="4144C64E"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0.540</w:t>
            </w:r>
          </w:p>
          <w:p w14:paraId="06787302"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0.237</w:t>
            </w:r>
          </w:p>
        </w:tc>
      </w:tr>
      <w:tr w:rsidR="00751E80" w:rsidRPr="00B32F89" w14:paraId="67CF0DC5" w14:textId="77777777" w:rsidTr="00A46E4A">
        <w:trPr>
          <w:trHeight w:val="773"/>
        </w:trPr>
        <w:tc>
          <w:tcPr>
            <w:tcW w:w="0" w:type="auto"/>
            <w:tcBorders>
              <w:top w:val="single" w:sz="4" w:space="0" w:color="000000" w:themeColor="text1"/>
              <w:bottom w:val="single" w:sz="4" w:space="0" w:color="000000" w:themeColor="text1"/>
            </w:tcBorders>
          </w:tcPr>
          <w:p w14:paraId="2CBC96C0" w14:textId="77777777" w:rsidR="00751E80" w:rsidRPr="00B32F89" w:rsidRDefault="00751E80" w:rsidP="00A46E4A">
            <w:pPr>
              <w:autoSpaceDE w:val="0"/>
              <w:autoSpaceDN w:val="0"/>
              <w:adjustRightInd w:val="0"/>
              <w:ind w:right="60"/>
              <w:rPr>
                <w:rFonts w:ascii="Arial" w:hAnsi="Arial" w:cs="Arial"/>
                <w:b/>
                <w:sz w:val="16"/>
                <w:szCs w:val="16"/>
              </w:rPr>
            </w:pPr>
            <w:r w:rsidRPr="00B32F89">
              <w:rPr>
                <w:rFonts w:ascii="Arial" w:hAnsi="Arial" w:cs="Arial"/>
                <w:b/>
                <w:sz w:val="16"/>
                <w:szCs w:val="16"/>
              </w:rPr>
              <w:t>Facility level</w:t>
            </w:r>
          </w:p>
          <w:p w14:paraId="59F01E7D"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Hospital</w:t>
            </w:r>
          </w:p>
          <w:p w14:paraId="6BCE79F9"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PHC Clinic</w:t>
            </w:r>
          </w:p>
          <w:p w14:paraId="6B2A3A1E"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Health Center</w:t>
            </w:r>
          </w:p>
        </w:tc>
        <w:tc>
          <w:tcPr>
            <w:tcW w:w="0" w:type="auto"/>
            <w:tcBorders>
              <w:top w:val="single" w:sz="4" w:space="0" w:color="000000" w:themeColor="text1"/>
              <w:bottom w:val="single" w:sz="4" w:space="0" w:color="000000" w:themeColor="text1"/>
            </w:tcBorders>
            <w:shd w:val="clear" w:color="auto" w:fill="auto"/>
          </w:tcPr>
          <w:p w14:paraId="4E048A0F"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1.7</w:t>
            </w:r>
          </w:p>
          <w:p w14:paraId="1F31305A"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1.1</w:t>
            </w:r>
          </w:p>
          <w:p w14:paraId="3D18AA70"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1.6</w:t>
            </w:r>
          </w:p>
        </w:tc>
        <w:tc>
          <w:tcPr>
            <w:tcW w:w="0" w:type="auto"/>
            <w:tcBorders>
              <w:top w:val="single" w:sz="4" w:space="0" w:color="000000" w:themeColor="text1"/>
              <w:bottom w:val="single" w:sz="4" w:space="0" w:color="000000" w:themeColor="text1"/>
            </w:tcBorders>
            <w:shd w:val="clear" w:color="auto" w:fill="auto"/>
          </w:tcPr>
          <w:p w14:paraId="764F57F0"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w:t>
            </w:r>
          </w:p>
          <w:p w14:paraId="5CED767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1CE5A864"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4" w:space="0" w:color="000000" w:themeColor="text1"/>
              <w:right w:val="nil"/>
            </w:tcBorders>
          </w:tcPr>
          <w:p w14:paraId="3179C7EA"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27F72FB4"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1.4(0.8, 2.4)</w:t>
            </w:r>
          </w:p>
          <w:p w14:paraId="50EDE21C" w14:textId="77777777" w:rsidR="00751E80"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1.3(0.9, 2.0)</w:t>
            </w:r>
          </w:p>
          <w:p w14:paraId="51081E38" w14:textId="77777777" w:rsidR="00751E80" w:rsidRPr="00B32F89" w:rsidRDefault="00751E80" w:rsidP="00A46E4A">
            <w:pPr>
              <w:autoSpaceDE w:val="0"/>
              <w:autoSpaceDN w:val="0"/>
              <w:adjustRightInd w:val="0"/>
              <w:ind w:left="60" w:right="60"/>
              <w:jc w:val="right"/>
              <w:rPr>
                <w:rFonts w:ascii="Arial" w:hAnsi="Arial" w:cs="Arial"/>
                <w:sz w:val="16"/>
                <w:szCs w:val="16"/>
              </w:rPr>
            </w:pPr>
            <w:r>
              <w:rPr>
                <w:rFonts w:ascii="Arial" w:hAnsi="Arial" w:cs="Arial"/>
                <w:sz w:val="16"/>
                <w:szCs w:val="16"/>
              </w:rPr>
              <w:t>1</w:t>
            </w:r>
          </w:p>
        </w:tc>
        <w:tc>
          <w:tcPr>
            <w:tcW w:w="1616" w:type="dxa"/>
            <w:tcBorders>
              <w:top w:val="single" w:sz="4" w:space="0" w:color="000000" w:themeColor="text1"/>
              <w:left w:val="nil"/>
              <w:bottom w:val="single" w:sz="4" w:space="0" w:color="000000" w:themeColor="text1"/>
            </w:tcBorders>
          </w:tcPr>
          <w:p w14:paraId="3F7C2036"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0.428</w:t>
            </w:r>
          </w:p>
          <w:p w14:paraId="17EC979A"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0.287</w:t>
            </w:r>
          </w:p>
          <w:p w14:paraId="6A80BC92"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0.211</w:t>
            </w:r>
          </w:p>
        </w:tc>
      </w:tr>
      <w:tr w:rsidR="00751E80" w:rsidRPr="00B32F89" w14:paraId="02E45C49" w14:textId="77777777" w:rsidTr="00A46E4A">
        <w:tc>
          <w:tcPr>
            <w:tcW w:w="0" w:type="auto"/>
            <w:tcBorders>
              <w:top w:val="single" w:sz="4" w:space="0" w:color="000000" w:themeColor="text1"/>
              <w:bottom w:val="single" w:sz="4" w:space="0" w:color="000000" w:themeColor="text1"/>
            </w:tcBorders>
          </w:tcPr>
          <w:p w14:paraId="0D502B84" w14:textId="77777777" w:rsidR="00751E80" w:rsidRPr="00B32F89" w:rsidRDefault="00751E80" w:rsidP="00A46E4A">
            <w:pPr>
              <w:autoSpaceDE w:val="0"/>
              <w:autoSpaceDN w:val="0"/>
              <w:adjustRightInd w:val="0"/>
              <w:ind w:right="60"/>
              <w:rPr>
                <w:rFonts w:ascii="Arial" w:hAnsi="Arial" w:cs="Arial"/>
                <w:b/>
                <w:sz w:val="16"/>
                <w:szCs w:val="16"/>
              </w:rPr>
            </w:pPr>
            <w:r w:rsidRPr="00B32F89">
              <w:rPr>
                <w:rFonts w:ascii="Arial" w:hAnsi="Arial" w:cs="Arial"/>
                <w:b/>
                <w:sz w:val="16"/>
                <w:szCs w:val="16"/>
              </w:rPr>
              <w:t>Patients sex</w:t>
            </w:r>
          </w:p>
          <w:p w14:paraId="57A21E79"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Male</w:t>
            </w:r>
          </w:p>
          <w:p w14:paraId="0177F8A7"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Female</w:t>
            </w:r>
          </w:p>
        </w:tc>
        <w:tc>
          <w:tcPr>
            <w:tcW w:w="0" w:type="auto"/>
            <w:tcBorders>
              <w:top w:val="single" w:sz="4" w:space="0" w:color="000000" w:themeColor="text1"/>
              <w:bottom w:val="single" w:sz="4" w:space="0" w:color="000000" w:themeColor="text1"/>
            </w:tcBorders>
            <w:shd w:val="clear" w:color="auto" w:fill="auto"/>
          </w:tcPr>
          <w:p w14:paraId="728AD956"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53C09AB3"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1.7</w:t>
            </w:r>
          </w:p>
        </w:tc>
        <w:tc>
          <w:tcPr>
            <w:tcW w:w="0" w:type="auto"/>
            <w:tcBorders>
              <w:top w:val="single" w:sz="4" w:space="0" w:color="000000" w:themeColor="text1"/>
              <w:bottom w:val="single" w:sz="4" w:space="0" w:color="000000" w:themeColor="text1"/>
            </w:tcBorders>
            <w:shd w:val="clear" w:color="auto" w:fill="auto"/>
          </w:tcPr>
          <w:p w14:paraId="1EFB9DF8"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35E7FDE0"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4" w:space="0" w:color="000000" w:themeColor="text1"/>
              <w:right w:val="nil"/>
            </w:tcBorders>
          </w:tcPr>
          <w:p w14:paraId="2003387E"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369B0381" w14:textId="77777777" w:rsidR="00751E80"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0.8(0.6,1.1)</w:t>
            </w:r>
          </w:p>
          <w:p w14:paraId="73E23B82" w14:textId="77777777" w:rsidR="00751E80" w:rsidRPr="00A46E4A" w:rsidRDefault="00751E80" w:rsidP="00A46E4A">
            <w:pPr>
              <w:autoSpaceDE w:val="0"/>
              <w:autoSpaceDN w:val="0"/>
              <w:adjustRightInd w:val="0"/>
              <w:ind w:left="60" w:right="60"/>
              <w:jc w:val="right"/>
              <w:rPr>
                <w:rFonts w:ascii="Arial" w:hAnsi="Arial" w:cs="Arial"/>
                <w:sz w:val="16"/>
                <w:szCs w:val="16"/>
              </w:rPr>
            </w:pPr>
            <w:r>
              <w:rPr>
                <w:rFonts w:ascii="Arial" w:hAnsi="Arial" w:cs="Arial"/>
                <w:sz w:val="16"/>
                <w:szCs w:val="16"/>
              </w:rPr>
              <w:t>1</w:t>
            </w:r>
          </w:p>
        </w:tc>
        <w:tc>
          <w:tcPr>
            <w:tcW w:w="1616" w:type="dxa"/>
            <w:tcBorders>
              <w:top w:val="single" w:sz="4" w:space="0" w:color="000000" w:themeColor="text1"/>
              <w:left w:val="nil"/>
              <w:bottom w:val="single" w:sz="4" w:space="0" w:color="000000" w:themeColor="text1"/>
            </w:tcBorders>
          </w:tcPr>
          <w:p w14:paraId="4911EDA7" w14:textId="77777777" w:rsidR="00751E80" w:rsidRPr="00B32F89" w:rsidRDefault="00751E80" w:rsidP="00A46E4A">
            <w:pPr>
              <w:autoSpaceDE w:val="0"/>
              <w:autoSpaceDN w:val="0"/>
              <w:adjustRightInd w:val="0"/>
              <w:ind w:left="60" w:right="60"/>
              <w:jc w:val="center"/>
              <w:rPr>
                <w:rFonts w:ascii="Arial" w:hAnsi="Arial" w:cs="Arial"/>
                <w:sz w:val="16"/>
                <w:szCs w:val="16"/>
              </w:rPr>
            </w:pPr>
          </w:p>
          <w:p w14:paraId="4FD6EA39"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0.197</w:t>
            </w:r>
          </w:p>
        </w:tc>
      </w:tr>
      <w:tr w:rsidR="00751E80" w:rsidRPr="00B32F89" w14:paraId="17849C52" w14:textId="77777777" w:rsidTr="00A46E4A">
        <w:tc>
          <w:tcPr>
            <w:tcW w:w="0" w:type="auto"/>
            <w:tcBorders>
              <w:top w:val="single" w:sz="4" w:space="0" w:color="000000" w:themeColor="text1"/>
              <w:bottom w:val="single" w:sz="4" w:space="0" w:color="000000" w:themeColor="text1"/>
            </w:tcBorders>
          </w:tcPr>
          <w:p w14:paraId="0DB50C41" w14:textId="77777777" w:rsidR="00751E80" w:rsidRPr="00A46E4A" w:rsidRDefault="00751E80" w:rsidP="00A46E4A">
            <w:pPr>
              <w:autoSpaceDE w:val="0"/>
              <w:autoSpaceDN w:val="0"/>
              <w:adjustRightInd w:val="0"/>
              <w:ind w:right="60"/>
              <w:rPr>
                <w:rFonts w:ascii="Arial" w:hAnsi="Arial" w:cs="Arial"/>
                <w:b/>
                <w:sz w:val="16"/>
                <w:szCs w:val="16"/>
              </w:rPr>
            </w:pPr>
            <w:r w:rsidRPr="00A46E4A">
              <w:rPr>
                <w:rFonts w:ascii="Arial" w:hAnsi="Arial" w:cs="Arial"/>
                <w:b/>
                <w:sz w:val="16"/>
                <w:szCs w:val="16"/>
              </w:rPr>
              <w:t>Patient age category</w:t>
            </w:r>
          </w:p>
          <w:p w14:paraId="75A3C1C6"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0 to 04</w:t>
            </w:r>
          </w:p>
          <w:p w14:paraId="264DC78F"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05 to 14</w:t>
            </w:r>
          </w:p>
          <w:p w14:paraId="10ED91E4"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15 to 24</w:t>
            </w:r>
          </w:p>
          <w:p w14:paraId="0502A29C"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25 to 34</w:t>
            </w:r>
          </w:p>
          <w:p w14:paraId="5124F8C9"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35 to 44</w:t>
            </w:r>
          </w:p>
          <w:p w14:paraId="1269271E"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lastRenderedPageBreak/>
              <w:t>45 to 54</w:t>
            </w:r>
          </w:p>
          <w:p w14:paraId="670E532F"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55 to 64</w:t>
            </w:r>
          </w:p>
          <w:p w14:paraId="2B9A0F23" w14:textId="77777777" w:rsidR="00751E80" w:rsidRPr="00B32F89" w:rsidRDefault="00751E80" w:rsidP="00A46E4A">
            <w:pPr>
              <w:autoSpaceDE w:val="0"/>
              <w:autoSpaceDN w:val="0"/>
              <w:adjustRightInd w:val="0"/>
              <w:ind w:right="60"/>
              <w:rPr>
                <w:rFonts w:ascii="Arial" w:hAnsi="Arial" w:cs="Arial"/>
                <w:b/>
                <w:sz w:val="16"/>
                <w:szCs w:val="16"/>
              </w:rPr>
            </w:pPr>
            <w:r w:rsidRPr="00B32F89">
              <w:rPr>
                <w:rFonts w:ascii="Arial" w:hAnsi="Arial" w:cs="Arial"/>
                <w:sz w:val="16"/>
                <w:szCs w:val="16"/>
              </w:rPr>
              <w:t>65+</w:t>
            </w:r>
          </w:p>
        </w:tc>
        <w:tc>
          <w:tcPr>
            <w:tcW w:w="0" w:type="auto"/>
            <w:tcBorders>
              <w:top w:val="single" w:sz="4" w:space="0" w:color="000000" w:themeColor="text1"/>
              <w:bottom w:val="single" w:sz="4" w:space="0" w:color="000000" w:themeColor="text1"/>
            </w:tcBorders>
            <w:shd w:val="clear" w:color="auto" w:fill="auto"/>
          </w:tcPr>
          <w:p w14:paraId="50437C1E"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lastRenderedPageBreak/>
              <w:t>9.7</w:t>
            </w:r>
          </w:p>
          <w:p w14:paraId="47FD72E6"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2.0</w:t>
            </w:r>
          </w:p>
          <w:p w14:paraId="612DBFE3"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1.4</w:t>
            </w:r>
          </w:p>
          <w:p w14:paraId="33275B9B"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2.0</w:t>
            </w:r>
          </w:p>
          <w:p w14:paraId="07F2119E"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3.1</w:t>
            </w:r>
          </w:p>
          <w:p w14:paraId="6C9A98BD"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0.6</w:t>
            </w:r>
          </w:p>
          <w:p w14:paraId="01E2694C"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lastRenderedPageBreak/>
              <w:t>0.3</w:t>
            </w:r>
          </w:p>
          <w:p w14:paraId="65EE4BF8"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3.3</w:t>
            </w:r>
          </w:p>
        </w:tc>
        <w:tc>
          <w:tcPr>
            <w:tcW w:w="0" w:type="auto"/>
            <w:tcBorders>
              <w:top w:val="single" w:sz="4" w:space="0" w:color="000000" w:themeColor="text1"/>
              <w:bottom w:val="single" w:sz="4" w:space="0" w:color="000000" w:themeColor="text1"/>
            </w:tcBorders>
            <w:shd w:val="clear" w:color="auto" w:fill="auto"/>
          </w:tcPr>
          <w:p w14:paraId="01E54E4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lastRenderedPageBreak/>
              <w:t>7</w:t>
            </w:r>
          </w:p>
          <w:p w14:paraId="54F7BFF8"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3F8C7B5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0B63A453"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08A3CC16"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0ED929DC"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3C278370"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lastRenderedPageBreak/>
              <w:t>1</w:t>
            </w:r>
          </w:p>
          <w:p w14:paraId="52EA2119"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4" w:space="0" w:color="000000" w:themeColor="text1"/>
              <w:right w:val="nil"/>
            </w:tcBorders>
          </w:tcPr>
          <w:p w14:paraId="7B04ABDF"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7D428A83"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7.6(0.5,121.6)</w:t>
            </w:r>
          </w:p>
          <w:p w14:paraId="7CC8B135"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2.4(0.6,10.5)</w:t>
            </w:r>
          </w:p>
          <w:p w14:paraId="3A43349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1.6(0.8,3.2)</w:t>
            </w:r>
          </w:p>
          <w:p w14:paraId="3F447152"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1.7(0.9,3.2)</w:t>
            </w:r>
          </w:p>
          <w:p w14:paraId="3FBC3E0A"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1.3(0.7,2.4)</w:t>
            </w:r>
          </w:p>
          <w:p w14:paraId="33A4EB03"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lastRenderedPageBreak/>
              <w:t>1.2(0.6,2.3)</w:t>
            </w:r>
          </w:p>
          <w:p w14:paraId="58D8A2B6"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2.1(0.9,4.4)</w:t>
            </w:r>
          </w:p>
        </w:tc>
        <w:tc>
          <w:tcPr>
            <w:tcW w:w="1616" w:type="dxa"/>
            <w:tcBorders>
              <w:top w:val="single" w:sz="4" w:space="0" w:color="000000" w:themeColor="text1"/>
              <w:left w:val="nil"/>
              <w:bottom w:val="single" w:sz="4" w:space="0" w:color="000000" w:themeColor="text1"/>
            </w:tcBorders>
          </w:tcPr>
          <w:p w14:paraId="09E70B0B"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lastRenderedPageBreak/>
              <w:t>0.206</w:t>
            </w:r>
          </w:p>
          <w:p w14:paraId="7F9F6030"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0.153</w:t>
            </w:r>
          </w:p>
          <w:p w14:paraId="2039FE50"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0.243</w:t>
            </w:r>
          </w:p>
          <w:p w14:paraId="6BDDF3B0"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0.155</w:t>
            </w:r>
          </w:p>
          <w:p w14:paraId="3CDAA2B8"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0.080</w:t>
            </w:r>
          </w:p>
          <w:p w14:paraId="2AA14962"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0.450</w:t>
            </w:r>
          </w:p>
          <w:p w14:paraId="0888F498"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lastRenderedPageBreak/>
              <w:t>0.602</w:t>
            </w:r>
          </w:p>
          <w:p w14:paraId="091C2358"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0.070</w:t>
            </w:r>
          </w:p>
        </w:tc>
      </w:tr>
      <w:tr w:rsidR="00751E80" w:rsidRPr="00B32F89" w14:paraId="19249DC4" w14:textId="77777777" w:rsidTr="00A46E4A">
        <w:tc>
          <w:tcPr>
            <w:tcW w:w="0" w:type="auto"/>
            <w:tcBorders>
              <w:top w:val="single" w:sz="4" w:space="0" w:color="000000" w:themeColor="text1"/>
              <w:bottom w:val="single" w:sz="4" w:space="0" w:color="000000" w:themeColor="text1"/>
            </w:tcBorders>
          </w:tcPr>
          <w:p w14:paraId="556DB5DA" w14:textId="77777777" w:rsidR="00751E80" w:rsidRPr="00B32F89" w:rsidRDefault="00751E80" w:rsidP="00A46E4A">
            <w:pPr>
              <w:autoSpaceDE w:val="0"/>
              <w:autoSpaceDN w:val="0"/>
              <w:adjustRightInd w:val="0"/>
              <w:ind w:right="60"/>
              <w:rPr>
                <w:rFonts w:ascii="Arial" w:hAnsi="Arial" w:cs="Arial"/>
                <w:b/>
                <w:sz w:val="16"/>
                <w:szCs w:val="16"/>
              </w:rPr>
            </w:pPr>
            <w:r w:rsidRPr="00B32F89">
              <w:rPr>
                <w:rFonts w:ascii="Arial" w:hAnsi="Arial" w:cs="Arial"/>
                <w:b/>
                <w:sz w:val="16"/>
                <w:szCs w:val="16"/>
              </w:rPr>
              <w:lastRenderedPageBreak/>
              <w:t>Previously registered</w:t>
            </w:r>
          </w:p>
          <w:p w14:paraId="6CE651A5"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No</w:t>
            </w:r>
          </w:p>
          <w:p w14:paraId="5AD724E5"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Yes</w:t>
            </w:r>
          </w:p>
        </w:tc>
        <w:tc>
          <w:tcPr>
            <w:tcW w:w="0" w:type="auto"/>
            <w:tcBorders>
              <w:top w:val="single" w:sz="4" w:space="0" w:color="000000" w:themeColor="text1"/>
              <w:bottom w:val="single" w:sz="4" w:space="0" w:color="000000" w:themeColor="text1"/>
            </w:tcBorders>
            <w:shd w:val="clear" w:color="auto" w:fill="auto"/>
          </w:tcPr>
          <w:p w14:paraId="0AAF4C12" w14:textId="77777777" w:rsidR="00751E80" w:rsidRDefault="00751E80" w:rsidP="00A46E4A">
            <w:pPr>
              <w:autoSpaceDE w:val="0"/>
              <w:autoSpaceDN w:val="0"/>
              <w:adjustRightInd w:val="0"/>
              <w:ind w:left="60" w:right="60"/>
              <w:jc w:val="right"/>
              <w:rPr>
                <w:rFonts w:ascii="Arial" w:hAnsi="Arial" w:cs="Arial"/>
                <w:sz w:val="16"/>
                <w:szCs w:val="16"/>
              </w:rPr>
            </w:pPr>
          </w:p>
          <w:p w14:paraId="02061114"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0.1</w:t>
            </w:r>
          </w:p>
        </w:tc>
        <w:tc>
          <w:tcPr>
            <w:tcW w:w="0" w:type="auto"/>
            <w:tcBorders>
              <w:top w:val="single" w:sz="4" w:space="0" w:color="000000" w:themeColor="text1"/>
              <w:bottom w:val="single" w:sz="4" w:space="0" w:color="000000" w:themeColor="text1"/>
            </w:tcBorders>
            <w:shd w:val="clear" w:color="auto" w:fill="auto"/>
          </w:tcPr>
          <w:p w14:paraId="3DC9EB22" w14:textId="77777777" w:rsidR="00751E80" w:rsidRDefault="00751E80" w:rsidP="00A46E4A">
            <w:pPr>
              <w:autoSpaceDE w:val="0"/>
              <w:autoSpaceDN w:val="0"/>
              <w:adjustRightInd w:val="0"/>
              <w:ind w:left="60" w:right="60"/>
              <w:jc w:val="right"/>
              <w:rPr>
                <w:rFonts w:ascii="Arial" w:hAnsi="Arial" w:cs="Arial"/>
                <w:sz w:val="16"/>
                <w:szCs w:val="16"/>
              </w:rPr>
            </w:pPr>
          </w:p>
          <w:p w14:paraId="064E3A0B"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4" w:space="0" w:color="000000" w:themeColor="text1"/>
              <w:right w:val="nil"/>
            </w:tcBorders>
          </w:tcPr>
          <w:p w14:paraId="02157571" w14:textId="77777777" w:rsidR="00751E80" w:rsidRDefault="00751E80" w:rsidP="00A46E4A">
            <w:pPr>
              <w:autoSpaceDE w:val="0"/>
              <w:autoSpaceDN w:val="0"/>
              <w:adjustRightInd w:val="0"/>
              <w:ind w:left="60" w:right="60"/>
              <w:jc w:val="right"/>
              <w:rPr>
                <w:rFonts w:ascii="Arial" w:hAnsi="Arial" w:cs="Arial"/>
                <w:sz w:val="16"/>
                <w:szCs w:val="16"/>
              </w:rPr>
            </w:pPr>
          </w:p>
          <w:p w14:paraId="0C47216F" w14:textId="77777777" w:rsidR="00751E80"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0.6(0.0,9.0)</w:t>
            </w:r>
          </w:p>
          <w:p w14:paraId="1FDA4757" w14:textId="77777777" w:rsidR="00751E80" w:rsidRPr="00B32F89" w:rsidRDefault="00751E80" w:rsidP="00A46E4A">
            <w:pPr>
              <w:autoSpaceDE w:val="0"/>
              <w:autoSpaceDN w:val="0"/>
              <w:adjustRightInd w:val="0"/>
              <w:ind w:left="60" w:right="60"/>
              <w:jc w:val="right"/>
              <w:rPr>
                <w:rFonts w:ascii="Arial" w:hAnsi="Arial" w:cs="Arial"/>
                <w:sz w:val="16"/>
                <w:szCs w:val="16"/>
              </w:rPr>
            </w:pPr>
            <w:r>
              <w:rPr>
                <w:rFonts w:ascii="Arial" w:hAnsi="Arial" w:cs="Arial"/>
                <w:sz w:val="16"/>
                <w:szCs w:val="16"/>
              </w:rPr>
              <w:t>1</w:t>
            </w:r>
          </w:p>
        </w:tc>
        <w:tc>
          <w:tcPr>
            <w:tcW w:w="1616" w:type="dxa"/>
            <w:tcBorders>
              <w:top w:val="single" w:sz="4" w:space="0" w:color="000000" w:themeColor="text1"/>
              <w:left w:val="nil"/>
              <w:bottom w:val="single" w:sz="4" w:space="0" w:color="000000" w:themeColor="text1"/>
            </w:tcBorders>
          </w:tcPr>
          <w:p w14:paraId="13EF9EEE" w14:textId="77777777" w:rsidR="00751E80" w:rsidRDefault="00751E80" w:rsidP="00A46E4A">
            <w:pPr>
              <w:autoSpaceDE w:val="0"/>
              <w:autoSpaceDN w:val="0"/>
              <w:adjustRightInd w:val="0"/>
              <w:ind w:left="60" w:right="60"/>
              <w:jc w:val="center"/>
              <w:rPr>
                <w:rFonts w:ascii="Arial" w:hAnsi="Arial" w:cs="Arial"/>
                <w:sz w:val="16"/>
                <w:szCs w:val="16"/>
              </w:rPr>
            </w:pPr>
          </w:p>
          <w:p w14:paraId="6AB0BBE1"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0.726</w:t>
            </w:r>
          </w:p>
        </w:tc>
      </w:tr>
      <w:tr w:rsidR="00751E80" w:rsidRPr="00B32F89" w14:paraId="700C06D2" w14:textId="77777777" w:rsidTr="00A46E4A">
        <w:tc>
          <w:tcPr>
            <w:tcW w:w="0" w:type="auto"/>
            <w:tcBorders>
              <w:top w:val="single" w:sz="4" w:space="0" w:color="000000" w:themeColor="text1"/>
              <w:bottom w:val="single" w:sz="4" w:space="0" w:color="000000" w:themeColor="text1"/>
            </w:tcBorders>
          </w:tcPr>
          <w:p w14:paraId="2CC51D1B" w14:textId="77777777" w:rsidR="00751E80" w:rsidRPr="00B32F89" w:rsidRDefault="00751E80" w:rsidP="00A46E4A">
            <w:pPr>
              <w:autoSpaceDE w:val="0"/>
              <w:autoSpaceDN w:val="0"/>
              <w:adjustRightInd w:val="0"/>
              <w:ind w:right="60"/>
              <w:rPr>
                <w:rFonts w:ascii="Arial" w:hAnsi="Arial" w:cs="Arial"/>
                <w:b/>
                <w:sz w:val="16"/>
                <w:szCs w:val="16"/>
              </w:rPr>
            </w:pPr>
            <w:r w:rsidRPr="00B32F89">
              <w:rPr>
                <w:rFonts w:ascii="Arial" w:hAnsi="Arial" w:cs="Arial"/>
                <w:b/>
                <w:sz w:val="16"/>
                <w:szCs w:val="16"/>
              </w:rPr>
              <w:t>Diagnostic classification</w:t>
            </w:r>
          </w:p>
          <w:p w14:paraId="20FA516E"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Failure</w:t>
            </w:r>
          </w:p>
          <w:p w14:paraId="3E129A6A"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Readmission</w:t>
            </w:r>
          </w:p>
          <w:p w14:paraId="6ABAA9D9" w14:textId="77777777" w:rsidR="00751E80" w:rsidRPr="00B32F89" w:rsidRDefault="00751E80" w:rsidP="00A46E4A">
            <w:pPr>
              <w:autoSpaceDE w:val="0"/>
              <w:autoSpaceDN w:val="0"/>
              <w:adjustRightInd w:val="0"/>
              <w:ind w:right="60"/>
              <w:rPr>
                <w:rFonts w:ascii="Arial" w:hAnsi="Arial" w:cs="Arial"/>
                <w:b/>
                <w:sz w:val="16"/>
                <w:szCs w:val="16"/>
              </w:rPr>
            </w:pPr>
            <w:r w:rsidRPr="00B32F89">
              <w:rPr>
                <w:rFonts w:ascii="Arial" w:hAnsi="Arial" w:cs="Arial"/>
                <w:sz w:val="16"/>
                <w:szCs w:val="16"/>
              </w:rPr>
              <w:t>Relapse</w:t>
            </w:r>
          </w:p>
        </w:tc>
        <w:tc>
          <w:tcPr>
            <w:tcW w:w="0" w:type="auto"/>
            <w:tcBorders>
              <w:top w:val="single" w:sz="4" w:space="0" w:color="000000" w:themeColor="text1"/>
              <w:bottom w:val="single" w:sz="4" w:space="0" w:color="000000" w:themeColor="text1"/>
            </w:tcBorders>
            <w:shd w:val="clear" w:color="auto" w:fill="auto"/>
          </w:tcPr>
          <w:p w14:paraId="1612E5C4"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1.7</w:t>
            </w:r>
          </w:p>
          <w:p w14:paraId="6E05544F"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0.5</w:t>
            </w:r>
          </w:p>
          <w:p w14:paraId="5D805F2C" w14:textId="77777777" w:rsidR="00751E80"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1.3</w:t>
            </w:r>
          </w:p>
        </w:tc>
        <w:tc>
          <w:tcPr>
            <w:tcW w:w="0" w:type="auto"/>
            <w:tcBorders>
              <w:top w:val="single" w:sz="4" w:space="0" w:color="000000" w:themeColor="text1"/>
              <w:bottom w:val="single" w:sz="4" w:space="0" w:color="000000" w:themeColor="text1"/>
            </w:tcBorders>
            <w:shd w:val="clear" w:color="auto" w:fill="auto"/>
          </w:tcPr>
          <w:p w14:paraId="20CFFA38"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w:t>
            </w:r>
          </w:p>
          <w:p w14:paraId="65BF0B03"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6D1655AB" w14:textId="77777777" w:rsidR="00751E80"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4" w:space="0" w:color="000000" w:themeColor="text1"/>
              <w:right w:val="nil"/>
            </w:tcBorders>
          </w:tcPr>
          <w:p w14:paraId="0CE16A53"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3EB8A687"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0.7(0.3,1.8)</w:t>
            </w:r>
          </w:p>
          <w:p w14:paraId="4CD9619C" w14:textId="77777777" w:rsidR="00751E80"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0.6(0.3,1.4)</w:t>
            </w:r>
          </w:p>
          <w:p w14:paraId="4A826BF9" w14:textId="77777777" w:rsidR="00751E80" w:rsidRDefault="00751E80" w:rsidP="00A46E4A">
            <w:pPr>
              <w:autoSpaceDE w:val="0"/>
              <w:autoSpaceDN w:val="0"/>
              <w:adjustRightInd w:val="0"/>
              <w:ind w:left="60" w:right="60"/>
              <w:jc w:val="right"/>
              <w:rPr>
                <w:rFonts w:ascii="Arial" w:hAnsi="Arial" w:cs="Arial"/>
                <w:sz w:val="16"/>
                <w:szCs w:val="16"/>
              </w:rPr>
            </w:pPr>
            <w:r>
              <w:rPr>
                <w:rFonts w:ascii="Arial" w:hAnsi="Arial" w:cs="Arial"/>
                <w:sz w:val="16"/>
                <w:szCs w:val="16"/>
              </w:rPr>
              <w:t>1</w:t>
            </w:r>
          </w:p>
        </w:tc>
        <w:tc>
          <w:tcPr>
            <w:tcW w:w="1616" w:type="dxa"/>
            <w:tcBorders>
              <w:top w:val="single" w:sz="4" w:space="0" w:color="000000" w:themeColor="text1"/>
              <w:left w:val="nil"/>
              <w:bottom w:val="single" w:sz="4" w:space="0" w:color="000000" w:themeColor="text1"/>
            </w:tcBorders>
          </w:tcPr>
          <w:p w14:paraId="0875022E"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0.429</w:t>
            </w:r>
          </w:p>
          <w:p w14:paraId="0BE16692"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0.467</w:t>
            </w:r>
          </w:p>
          <w:p w14:paraId="6128A9EE" w14:textId="77777777" w:rsidR="00751E80"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0.246</w:t>
            </w:r>
          </w:p>
        </w:tc>
      </w:tr>
      <w:tr w:rsidR="00751E80" w:rsidRPr="00B32F89" w14:paraId="3C35E381" w14:textId="77777777" w:rsidTr="00A46E4A">
        <w:tc>
          <w:tcPr>
            <w:tcW w:w="0" w:type="auto"/>
            <w:tcBorders>
              <w:top w:val="single" w:sz="4" w:space="0" w:color="000000" w:themeColor="text1"/>
              <w:bottom w:val="single" w:sz="4" w:space="0" w:color="000000" w:themeColor="text1"/>
            </w:tcBorders>
          </w:tcPr>
          <w:p w14:paraId="186E8DB1"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Pulmonary</w:t>
            </w:r>
          </w:p>
          <w:p w14:paraId="643E8C40"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Lymph Nodes</w:t>
            </w:r>
          </w:p>
          <w:p w14:paraId="4E9761FE" w14:textId="77777777" w:rsidR="00751E80" w:rsidRPr="00B32F89" w:rsidRDefault="00751E80" w:rsidP="00A46E4A">
            <w:pPr>
              <w:autoSpaceDE w:val="0"/>
              <w:autoSpaceDN w:val="0"/>
              <w:adjustRightInd w:val="0"/>
              <w:ind w:right="60"/>
              <w:rPr>
                <w:rFonts w:ascii="Arial" w:hAnsi="Arial" w:cs="Arial"/>
                <w:sz w:val="16"/>
                <w:szCs w:val="16"/>
              </w:rPr>
            </w:pPr>
            <w:proofErr w:type="spellStart"/>
            <w:r w:rsidRPr="00B32F89">
              <w:rPr>
                <w:rFonts w:ascii="Arial" w:hAnsi="Arial" w:cs="Arial"/>
                <w:sz w:val="16"/>
                <w:szCs w:val="16"/>
              </w:rPr>
              <w:t>Miliary</w:t>
            </w:r>
            <w:proofErr w:type="spellEnd"/>
          </w:p>
          <w:p w14:paraId="209738F3"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Other Sites</w:t>
            </w:r>
          </w:p>
          <w:p w14:paraId="6470766D"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Pleura</w:t>
            </w:r>
          </w:p>
          <w:p w14:paraId="497C1D9F" w14:textId="77777777" w:rsidR="00751E80" w:rsidRPr="00B32F89" w:rsidRDefault="00751E80" w:rsidP="00A46E4A">
            <w:pPr>
              <w:autoSpaceDE w:val="0"/>
              <w:autoSpaceDN w:val="0"/>
              <w:adjustRightInd w:val="0"/>
              <w:ind w:right="60"/>
              <w:rPr>
                <w:rFonts w:ascii="Arial" w:hAnsi="Arial" w:cs="Arial"/>
                <w:b/>
                <w:sz w:val="16"/>
                <w:szCs w:val="16"/>
              </w:rPr>
            </w:pPr>
            <w:r w:rsidRPr="00B32F89">
              <w:rPr>
                <w:rFonts w:ascii="Arial" w:hAnsi="Arial" w:cs="Arial"/>
                <w:sz w:val="16"/>
                <w:szCs w:val="16"/>
              </w:rPr>
              <w:t>Bones/Joints</w:t>
            </w:r>
          </w:p>
        </w:tc>
        <w:tc>
          <w:tcPr>
            <w:tcW w:w="0" w:type="auto"/>
            <w:tcBorders>
              <w:top w:val="single" w:sz="4" w:space="0" w:color="000000" w:themeColor="text1"/>
              <w:bottom w:val="single" w:sz="4" w:space="0" w:color="000000" w:themeColor="text1"/>
            </w:tcBorders>
            <w:shd w:val="clear" w:color="auto" w:fill="auto"/>
          </w:tcPr>
          <w:p w14:paraId="3989376D"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0.0</w:t>
            </w:r>
          </w:p>
          <w:p w14:paraId="6020223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0.0</w:t>
            </w:r>
          </w:p>
          <w:p w14:paraId="4BCCAA96"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0.0</w:t>
            </w:r>
          </w:p>
          <w:p w14:paraId="05B90ED8"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0.0</w:t>
            </w:r>
          </w:p>
          <w:p w14:paraId="277B197C"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0.0</w:t>
            </w:r>
          </w:p>
          <w:p w14:paraId="388D798C"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0.0</w:t>
            </w:r>
          </w:p>
        </w:tc>
        <w:tc>
          <w:tcPr>
            <w:tcW w:w="0" w:type="auto"/>
            <w:tcBorders>
              <w:top w:val="single" w:sz="4" w:space="0" w:color="000000" w:themeColor="text1"/>
              <w:bottom w:val="single" w:sz="4" w:space="0" w:color="000000" w:themeColor="text1"/>
            </w:tcBorders>
            <w:shd w:val="clear" w:color="auto" w:fill="auto"/>
          </w:tcPr>
          <w:p w14:paraId="267CBEFC"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5</w:t>
            </w:r>
          </w:p>
          <w:p w14:paraId="1AB79C32"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10EFEB0E"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5F193719"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6563B11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3C8CC419"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4" w:space="0" w:color="000000" w:themeColor="text1"/>
              <w:right w:val="nil"/>
            </w:tcBorders>
          </w:tcPr>
          <w:p w14:paraId="7F4BD4A3"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0.0(0.0,1.0)</w:t>
            </w:r>
          </w:p>
          <w:p w14:paraId="1B295E17"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1.3</w:t>
            </w:r>
          </w:p>
          <w:p w14:paraId="1D0B48FD"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0.4</w:t>
            </w:r>
          </w:p>
          <w:p w14:paraId="54FBC0F7"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0.4</w:t>
            </w:r>
          </w:p>
          <w:p w14:paraId="5926A044"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0.0</w:t>
            </w:r>
          </w:p>
        </w:tc>
        <w:tc>
          <w:tcPr>
            <w:tcW w:w="1616" w:type="dxa"/>
            <w:tcBorders>
              <w:top w:val="single" w:sz="4" w:space="0" w:color="000000" w:themeColor="text1"/>
              <w:left w:val="nil"/>
              <w:bottom w:val="single" w:sz="4" w:space="0" w:color="000000" w:themeColor="text1"/>
            </w:tcBorders>
          </w:tcPr>
          <w:p w14:paraId="39DF370E"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1.000</w:t>
            </w:r>
          </w:p>
          <w:p w14:paraId="434FF292"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0.999</w:t>
            </w:r>
          </w:p>
          <w:p w14:paraId="6D19A6C0"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1.000</w:t>
            </w:r>
          </w:p>
          <w:p w14:paraId="0C1EFA2E"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1.000</w:t>
            </w:r>
          </w:p>
          <w:p w14:paraId="1B7075E1"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1.000</w:t>
            </w:r>
          </w:p>
          <w:p w14:paraId="4466F0EF"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0.999</w:t>
            </w:r>
          </w:p>
        </w:tc>
      </w:tr>
      <w:tr w:rsidR="00751E80" w:rsidRPr="00B32F89" w14:paraId="71A8EE5D" w14:textId="77777777" w:rsidTr="00A46E4A">
        <w:trPr>
          <w:trHeight w:val="1133"/>
        </w:trPr>
        <w:tc>
          <w:tcPr>
            <w:tcW w:w="0" w:type="auto"/>
            <w:tcBorders>
              <w:top w:val="single" w:sz="4" w:space="0" w:color="000000" w:themeColor="text1"/>
              <w:bottom w:val="single" w:sz="4" w:space="0" w:color="000000" w:themeColor="text1"/>
            </w:tcBorders>
          </w:tcPr>
          <w:p w14:paraId="7A65AE2A" w14:textId="77777777" w:rsidR="00751E80" w:rsidRPr="00B32F89" w:rsidRDefault="00751E80" w:rsidP="00A46E4A">
            <w:pPr>
              <w:autoSpaceDE w:val="0"/>
              <w:autoSpaceDN w:val="0"/>
              <w:adjustRightInd w:val="0"/>
              <w:ind w:right="60"/>
              <w:rPr>
                <w:rFonts w:ascii="Arial" w:hAnsi="Arial" w:cs="Arial"/>
                <w:b/>
                <w:sz w:val="16"/>
                <w:szCs w:val="16"/>
              </w:rPr>
            </w:pPr>
            <w:r w:rsidRPr="00B32F89">
              <w:rPr>
                <w:rFonts w:ascii="Arial" w:hAnsi="Arial" w:cs="Arial"/>
                <w:b/>
                <w:sz w:val="16"/>
                <w:szCs w:val="16"/>
              </w:rPr>
              <w:t>DOT Provider</w:t>
            </w:r>
          </w:p>
          <w:p w14:paraId="29D78D73" w14:textId="77777777" w:rsidR="00751E80" w:rsidRPr="00B32F89" w:rsidRDefault="00751E80" w:rsidP="00A46E4A">
            <w:pPr>
              <w:autoSpaceDE w:val="0"/>
              <w:autoSpaceDN w:val="0"/>
              <w:adjustRightInd w:val="0"/>
              <w:ind w:right="60"/>
              <w:jc w:val="both"/>
              <w:rPr>
                <w:rFonts w:ascii="Arial" w:hAnsi="Arial" w:cs="Arial"/>
                <w:sz w:val="16"/>
                <w:szCs w:val="16"/>
              </w:rPr>
            </w:pPr>
            <w:r w:rsidRPr="00B32F89">
              <w:rPr>
                <w:rFonts w:ascii="Arial" w:hAnsi="Arial" w:cs="Arial"/>
                <w:sz w:val="16"/>
                <w:szCs w:val="16"/>
              </w:rPr>
              <w:t>Guardian (relative, neighbor)</w:t>
            </w:r>
          </w:p>
          <w:p w14:paraId="4D5A48EC" w14:textId="77777777" w:rsidR="00751E80" w:rsidRPr="00B32F89" w:rsidRDefault="00751E80" w:rsidP="00A46E4A">
            <w:pPr>
              <w:autoSpaceDE w:val="0"/>
              <w:autoSpaceDN w:val="0"/>
              <w:adjustRightInd w:val="0"/>
              <w:ind w:right="60"/>
              <w:jc w:val="both"/>
              <w:rPr>
                <w:rFonts w:ascii="Arial" w:hAnsi="Arial" w:cs="Arial"/>
                <w:sz w:val="16"/>
                <w:szCs w:val="16"/>
              </w:rPr>
            </w:pPr>
            <w:r w:rsidRPr="00B32F89">
              <w:rPr>
                <w:rFonts w:ascii="Arial" w:hAnsi="Arial" w:cs="Arial"/>
                <w:sz w:val="16"/>
                <w:szCs w:val="16"/>
              </w:rPr>
              <w:t>Workplace</w:t>
            </w:r>
          </w:p>
          <w:p w14:paraId="1BAC5EE7" w14:textId="77777777" w:rsidR="00751E80" w:rsidRPr="00B32F89" w:rsidRDefault="00751E80" w:rsidP="00A46E4A">
            <w:pPr>
              <w:autoSpaceDE w:val="0"/>
              <w:autoSpaceDN w:val="0"/>
              <w:adjustRightInd w:val="0"/>
              <w:ind w:right="60"/>
              <w:jc w:val="both"/>
              <w:rPr>
                <w:rFonts w:ascii="Arial" w:hAnsi="Arial" w:cs="Arial"/>
                <w:sz w:val="16"/>
                <w:szCs w:val="16"/>
              </w:rPr>
            </w:pPr>
            <w:r w:rsidRPr="00B32F89">
              <w:rPr>
                <w:rFonts w:ascii="Arial" w:hAnsi="Arial" w:cs="Arial"/>
                <w:sz w:val="16"/>
                <w:szCs w:val="16"/>
              </w:rPr>
              <w:t>Health Facility</w:t>
            </w:r>
          </w:p>
          <w:p w14:paraId="3EC17D3D" w14:textId="77777777" w:rsidR="00751E80" w:rsidRPr="00B32F89" w:rsidRDefault="00751E80" w:rsidP="00A46E4A">
            <w:pPr>
              <w:autoSpaceDE w:val="0"/>
              <w:autoSpaceDN w:val="0"/>
              <w:adjustRightInd w:val="0"/>
              <w:ind w:right="60"/>
              <w:jc w:val="both"/>
              <w:rPr>
                <w:rFonts w:ascii="Arial" w:hAnsi="Arial" w:cs="Arial"/>
                <w:sz w:val="16"/>
                <w:szCs w:val="16"/>
              </w:rPr>
            </w:pPr>
            <w:r w:rsidRPr="00B32F89">
              <w:rPr>
                <w:rFonts w:ascii="Arial" w:hAnsi="Arial" w:cs="Arial"/>
                <w:sz w:val="16"/>
                <w:szCs w:val="16"/>
              </w:rPr>
              <w:t>Community health worker</w:t>
            </w:r>
          </w:p>
          <w:p w14:paraId="1FEE6547" w14:textId="77777777" w:rsidR="00751E80" w:rsidRPr="00B32F89" w:rsidRDefault="00751E80" w:rsidP="00A46E4A">
            <w:pPr>
              <w:autoSpaceDE w:val="0"/>
              <w:autoSpaceDN w:val="0"/>
              <w:adjustRightInd w:val="0"/>
              <w:ind w:right="60"/>
              <w:jc w:val="both"/>
              <w:rPr>
                <w:rFonts w:ascii="Arial" w:hAnsi="Arial" w:cs="Arial"/>
                <w:sz w:val="16"/>
                <w:szCs w:val="16"/>
              </w:rPr>
            </w:pPr>
            <w:r w:rsidRPr="00B32F89">
              <w:rPr>
                <w:rFonts w:ascii="Arial" w:hAnsi="Arial" w:cs="Arial"/>
                <w:sz w:val="16"/>
                <w:szCs w:val="16"/>
              </w:rPr>
              <w:t>Other</w:t>
            </w:r>
          </w:p>
        </w:tc>
        <w:tc>
          <w:tcPr>
            <w:tcW w:w="0" w:type="auto"/>
            <w:tcBorders>
              <w:top w:val="single" w:sz="4" w:space="0" w:color="000000" w:themeColor="text1"/>
              <w:bottom w:val="single" w:sz="4" w:space="0" w:color="000000" w:themeColor="text1"/>
            </w:tcBorders>
            <w:shd w:val="clear" w:color="auto" w:fill="auto"/>
          </w:tcPr>
          <w:p w14:paraId="17B01FA6"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27.4</w:t>
            </w:r>
          </w:p>
          <w:p w14:paraId="5ABAE863"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25.3</w:t>
            </w:r>
          </w:p>
          <w:p w14:paraId="4F7209F0"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12.8</w:t>
            </w:r>
          </w:p>
          <w:p w14:paraId="64F40C36"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20.4</w:t>
            </w:r>
          </w:p>
          <w:p w14:paraId="01854D29"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10.5</w:t>
            </w:r>
          </w:p>
        </w:tc>
        <w:tc>
          <w:tcPr>
            <w:tcW w:w="0" w:type="auto"/>
            <w:tcBorders>
              <w:top w:val="single" w:sz="4" w:space="0" w:color="000000" w:themeColor="text1"/>
              <w:bottom w:val="single" w:sz="4" w:space="0" w:color="000000" w:themeColor="text1"/>
            </w:tcBorders>
            <w:shd w:val="clear" w:color="auto" w:fill="auto"/>
          </w:tcPr>
          <w:p w14:paraId="71EDD3B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4</w:t>
            </w:r>
          </w:p>
          <w:p w14:paraId="4BDF172D"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4888F1B0"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48ACCCB2"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2835A7C0"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4" w:space="0" w:color="000000" w:themeColor="text1"/>
              <w:right w:val="nil"/>
            </w:tcBorders>
          </w:tcPr>
          <w:p w14:paraId="2D71377C"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6B6A558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10.8(4.3,27.2)</w:t>
            </w:r>
          </w:p>
          <w:p w14:paraId="695F1E50"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25.6(4.3,151.8)</w:t>
            </w:r>
          </w:p>
          <w:p w14:paraId="011AC4FF"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8.6(3.4,22.0)</w:t>
            </w:r>
          </w:p>
          <w:p w14:paraId="7B042D9F"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10.6(2.5,44.4)</w:t>
            </w:r>
          </w:p>
          <w:p w14:paraId="6A57156F"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1616" w:type="dxa"/>
            <w:tcBorders>
              <w:top w:val="single" w:sz="4" w:space="0" w:color="000000" w:themeColor="text1"/>
              <w:left w:val="nil"/>
              <w:bottom w:val="single" w:sz="4" w:space="0" w:color="000000" w:themeColor="text1"/>
            </w:tcBorders>
          </w:tcPr>
          <w:p w14:paraId="29DE45A0"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0.000*</w:t>
            </w:r>
          </w:p>
          <w:p w14:paraId="4F21E018"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0.000*</w:t>
            </w:r>
          </w:p>
          <w:p w14:paraId="619ED1CF"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0.000*</w:t>
            </w:r>
          </w:p>
          <w:p w14:paraId="24E3CAEB"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0.000*</w:t>
            </w:r>
          </w:p>
          <w:p w14:paraId="51EC4F3E"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0.001*</w:t>
            </w:r>
          </w:p>
        </w:tc>
      </w:tr>
      <w:tr w:rsidR="00751E80" w:rsidRPr="00B32F89" w14:paraId="29A7A8A6" w14:textId="77777777" w:rsidTr="00A46E4A">
        <w:trPr>
          <w:trHeight w:val="746"/>
        </w:trPr>
        <w:tc>
          <w:tcPr>
            <w:tcW w:w="0" w:type="auto"/>
            <w:tcBorders>
              <w:top w:val="single" w:sz="4" w:space="0" w:color="000000" w:themeColor="text1"/>
              <w:bottom w:val="single" w:sz="4" w:space="0" w:color="000000" w:themeColor="text1"/>
            </w:tcBorders>
          </w:tcPr>
          <w:p w14:paraId="78CD54C0"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TB regimen initiated</w:t>
            </w:r>
          </w:p>
          <w:p w14:paraId="78394A66"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2 HRZE/4 HR</w:t>
            </w:r>
          </w:p>
          <w:p w14:paraId="48E8269C"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2 HRZES/1 HRZE/5 HRE (Adults)</w:t>
            </w:r>
          </w:p>
          <w:p w14:paraId="0D1E1CBF" w14:textId="77777777" w:rsidR="00751E80" w:rsidRPr="00B32F89" w:rsidRDefault="00751E80" w:rsidP="00A46E4A">
            <w:pPr>
              <w:autoSpaceDE w:val="0"/>
              <w:autoSpaceDN w:val="0"/>
              <w:adjustRightInd w:val="0"/>
              <w:ind w:right="60"/>
              <w:rPr>
                <w:rFonts w:ascii="Arial" w:hAnsi="Arial" w:cs="Arial"/>
                <w:sz w:val="16"/>
                <w:szCs w:val="16"/>
              </w:rPr>
            </w:pPr>
            <w:r w:rsidRPr="00B32F89">
              <w:rPr>
                <w:rFonts w:ascii="Arial" w:hAnsi="Arial" w:cs="Arial"/>
                <w:sz w:val="16"/>
                <w:szCs w:val="16"/>
              </w:rPr>
              <w:t>2 HRZ / 4 HR</w:t>
            </w:r>
          </w:p>
        </w:tc>
        <w:tc>
          <w:tcPr>
            <w:tcW w:w="0" w:type="auto"/>
            <w:tcBorders>
              <w:top w:val="single" w:sz="4" w:space="0" w:color="000000" w:themeColor="text1"/>
              <w:bottom w:val="single" w:sz="4" w:space="0" w:color="000000" w:themeColor="text1"/>
            </w:tcBorders>
            <w:shd w:val="clear" w:color="auto" w:fill="auto"/>
          </w:tcPr>
          <w:p w14:paraId="57417858"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41.7</w:t>
            </w:r>
          </w:p>
          <w:p w14:paraId="05B2A136"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0.9</w:t>
            </w:r>
          </w:p>
          <w:p w14:paraId="30DF54E8"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0.0</w:t>
            </w:r>
          </w:p>
          <w:p w14:paraId="02C91C48"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0.0</w:t>
            </w:r>
          </w:p>
        </w:tc>
        <w:tc>
          <w:tcPr>
            <w:tcW w:w="0" w:type="auto"/>
            <w:tcBorders>
              <w:top w:val="single" w:sz="4" w:space="0" w:color="000000" w:themeColor="text1"/>
              <w:bottom w:val="single" w:sz="4" w:space="0" w:color="000000" w:themeColor="text1"/>
            </w:tcBorders>
            <w:shd w:val="clear" w:color="auto" w:fill="auto"/>
          </w:tcPr>
          <w:p w14:paraId="784E9B05"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3</w:t>
            </w:r>
          </w:p>
          <w:p w14:paraId="7A9DF6BE"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190FC565"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0D147C9A"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4" w:space="0" w:color="000000" w:themeColor="text1"/>
              <w:right w:val="nil"/>
            </w:tcBorders>
          </w:tcPr>
          <w:p w14:paraId="65FCC94E"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2DC3995E"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3.2(0.3,34.5)</w:t>
            </w:r>
          </w:p>
          <w:p w14:paraId="43DF716E"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1.0(0.1,11.1)</w:t>
            </w:r>
          </w:p>
          <w:p w14:paraId="6E0F7155" w14:textId="77777777" w:rsidR="00751E80" w:rsidRPr="00B32F89" w:rsidRDefault="00751E80" w:rsidP="00A46E4A">
            <w:pPr>
              <w:autoSpaceDE w:val="0"/>
              <w:autoSpaceDN w:val="0"/>
              <w:adjustRightInd w:val="0"/>
              <w:ind w:left="60" w:right="60"/>
              <w:jc w:val="right"/>
              <w:rPr>
                <w:rFonts w:ascii="Arial" w:hAnsi="Arial" w:cs="Arial"/>
                <w:sz w:val="16"/>
                <w:szCs w:val="16"/>
              </w:rPr>
            </w:pPr>
            <w:r>
              <w:rPr>
                <w:rFonts w:ascii="Arial" w:hAnsi="Arial" w:cs="Arial"/>
                <w:sz w:val="16"/>
                <w:szCs w:val="16"/>
              </w:rPr>
              <w:t>1</w:t>
            </w:r>
          </w:p>
        </w:tc>
        <w:tc>
          <w:tcPr>
            <w:tcW w:w="1616" w:type="dxa"/>
            <w:tcBorders>
              <w:top w:val="single" w:sz="4" w:space="0" w:color="000000" w:themeColor="text1"/>
              <w:left w:val="nil"/>
              <w:bottom w:val="single" w:sz="4" w:space="0" w:color="000000" w:themeColor="text1"/>
            </w:tcBorders>
          </w:tcPr>
          <w:p w14:paraId="617BCB0E"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0.000*</w:t>
            </w:r>
          </w:p>
          <w:p w14:paraId="6529B79E"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0.333</w:t>
            </w:r>
          </w:p>
          <w:p w14:paraId="0C7618F2"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0.999</w:t>
            </w:r>
          </w:p>
        </w:tc>
      </w:tr>
      <w:tr w:rsidR="00751E80" w:rsidRPr="00B32F89" w14:paraId="522875B7" w14:textId="77777777" w:rsidTr="00A46E4A">
        <w:tc>
          <w:tcPr>
            <w:tcW w:w="0" w:type="auto"/>
            <w:tcBorders>
              <w:top w:val="single" w:sz="4" w:space="0" w:color="000000" w:themeColor="text1"/>
              <w:bottom w:val="single" w:sz="4" w:space="0" w:color="000000" w:themeColor="text1"/>
            </w:tcBorders>
          </w:tcPr>
          <w:p w14:paraId="1FFDACA4" w14:textId="77777777" w:rsidR="00751E80" w:rsidRPr="00B32F89" w:rsidRDefault="00751E80" w:rsidP="00A46E4A">
            <w:pPr>
              <w:autoSpaceDE w:val="0"/>
              <w:autoSpaceDN w:val="0"/>
              <w:adjustRightInd w:val="0"/>
              <w:ind w:left="60" w:right="60"/>
              <w:rPr>
                <w:rFonts w:ascii="Arial" w:hAnsi="Arial" w:cs="Arial"/>
                <w:sz w:val="16"/>
                <w:szCs w:val="16"/>
              </w:rPr>
            </w:pPr>
            <w:r>
              <w:rPr>
                <w:rFonts w:ascii="Arial" w:hAnsi="Arial" w:cs="Arial"/>
                <w:sz w:val="16"/>
                <w:szCs w:val="16"/>
              </w:rPr>
              <w:t xml:space="preserve">Smear </w:t>
            </w:r>
            <w:proofErr w:type="gramStart"/>
            <w:r>
              <w:rPr>
                <w:rFonts w:ascii="Arial" w:hAnsi="Arial" w:cs="Arial"/>
                <w:sz w:val="16"/>
                <w:szCs w:val="16"/>
              </w:rPr>
              <w:t>non conversion</w:t>
            </w:r>
            <w:proofErr w:type="gramEnd"/>
            <w:r>
              <w:rPr>
                <w:rFonts w:ascii="Arial" w:hAnsi="Arial" w:cs="Arial"/>
                <w:sz w:val="16"/>
                <w:szCs w:val="16"/>
              </w:rPr>
              <w:t xml:space="preserve"> </w:t>
            </w:r>
          </w:p>
          <w:p w14:paraId="61D4DC3A" w14:textId="77777777" w:rsidR="00751E80" w:rsidRPr="00B32F89" w:rsidRDefault="00751E80" w:rsidP="00A46E4A">
            <w:pPr>
              <w:autoSpaceDE w:val="0"/>
              <w:autoSpaceDN w:val="0"/>
              <w:adjustRightInd w:val="0"/>
              <w:ind w:left="60" w:right="60"/>
              <w:rPr>
                <w:rFonts w:ascii="Arial" w:hAnsi="Arial" w:cs="Arial"/>
                <w:sz w:val="16"/>
                <w:szCs w:val="16"/>
              </w:rPr>
            </w:pPr>
            <w:r w:rsidRPr="00B32F89">
              <w:rPr>
                <w:rFonts w:ascii="Arial" w:hAnsi="Arial" w:cs="Arial"/>
                <w:sz w:val="16"/>
                <w:szCs w:val="16"/>
              </w:rPr>
              <w:t>Yes</w:t>
            </w:r>
          </w:p>
          <w:p w14:paraId="3E11964E" w14:textId="77777777" w:rsidR="00751E80" w:rsidRPr="00B32F89" w:rsidRDefault="00751E80" w:rsidP="00A46E4A">
            <w:pPr>
              <w:autoSpaceDE w:val="0"/>
              <w:autoSpaceDN w:val="0"/>
              <w:adjustRightInd w:val="0"/>
              <w:ind w:left="60" w:right="60"/>
              <w:rPr>
                <w:rFonts w:ascii="Arial" w:hAnsi="Arial" w:cs="Arial"/>
                <w:sz w:val="16"/>
                <w:szCs w:val="16"/>
              </w:rPr>
            </w:pPr>
            <w:r w:rsidRPr="00B32F89">
              <w:rPr>
                <w:rFonts w:ascii="Arial" w:hAnsi="Arial" w:cs="Arial"/>
                <w:sz w:val="16"/>
                <w:szCs w:val="16"/>
              </w:rPr>
              <w:t>No</w:t>
            </w:r>
          </w:p>
        </w:tc>
        <w:tc>
          <w:tcPr>
            <w:tcW w:w="0" w:type="auto"/>
            <w:tcBorders>
              <w:top w:val="single" w:sz="4" w:space="0" w:color="000000" w:themeColor="text1"/>
              <w:bottom w:val="single" w:sz="4" w:space="0" w:color="000000" w:themeColor="text1"/>
            </w:tcBorders>
            <w:shd w:val="clear" w:color="auto" w:fill="auto"/>
          </w:tcPr>
          <w:p w14:paraId="43C0042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459.1</w:t>
            </w:r>
          </w:p>
        </w:tc>
        <w:tc>
          <w:tcPr>
            <w:tcW w:w="0" w:type="auto"/>
            <w:tcBorders>
              <w:top w:val="single" w:sz="4" w:space="0" w:color="000000" w:themeColor="text1"/>
              <w:bottom w:val="single" w:sz="4" w:space="0" w:color="000000" w:themeColor="text1"/>
            </w:tcBorders>
            <w:shd w:val="clear" w:color="auto" w:fill="auto"/>
          </w:tcPr>
          <w:p w14:paraId="386B3F0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4" w:space="0" w:color="000000" w:themeColor="text1"/>
              <w:right w:val="nil"/>
            </w:tcBorders>
          </w:tcPr>
          <w:p w14:paraId="055CDB1D"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0.02(0.01,0.03)</w:t>
            </w:r>
          </w:p>
          <w:p w14:paraId="564EA187"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1616" w:type="dxa"/>
            <w:tcBorders>
              <w:top w:val="single" w:sz="4" w:space="0" w:color="000000" w:themeColor="text1"/>
              <w:left w:val="nil"/>
              <w:bottom w:val="single" w:sz="4" w:space="0" w:color="000000" w:themeColor="text1"/>
            </w:tcBorders>
          </w:tcPr>
          <w:p w14:paraId="2197A883"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0.000*</w:t>
            </w:r>
          </w:p>
        </w:tc>
      </w:tr>
      <w:tr w:rsidR="00751E80" w:rsidRPr="00B32F89" w14:paraId="36E22EAF" w14:textId="77777777" w:rsidTr="00A46E4A">
        <w:trPr>
          <w:trHeight w:val="746"/>
        </w:trPr>
        <w:tc>
          <w:tcPr>
            <w:tcW w:w="0" w:type="auto"/>
            <w:tcBorders>
              <w:top w:val="single" w:sz="4" w:space="0" w:color="000000" w:themeColor="text1"/>
              <w:bottom w:val="single" w:sz="4" w:space="0" w:color="000000" w:themeColor="text1"/>
            </w:tcBorders>
          </w:tcPr>
          <w:p w14:paraId="7538DC4C" w14:textId="77777777" w:rsidR="00751E80" w:rsidRPr="00B32F89" w:rsidRDefault="00751E80" w:rsidP="00A46E4A">
            <w:pPr>
              <w:autoSpaceDE w:val="0"/>
              <w:autoSpaceDN w:val="0"/>
              <w:adjustRightInd w:val="0"/>
              <w:ind w:left="60" w:right="60"/>
              <w:rPr>
                <w:rFonts w:ascii="Arial" w:hAnsi="Arial" w:cs="Arial"/>
                <w:sz w:val="16"/>
                <w:szCs w:val="16"/>
              </w:rPr>
            </w:pPr>
            <w:r w:rsidRPr="00B32F89">
              <w:rPr>
                <w:rFonts w:ascii="Arial" w:hAnsi="Arial" w:cs="Arial"/>
                <w:sz w:val="16"/>
                <w:szCs w:val="16"/>
              </w:rPr>
              <w:t>Sputum conversion 2 months</w:t>
            </w:r>
          </w:p>
          <w:p w14:paraId="21684240" w14:textId="77777777" w:rsidR="00751E80" w:rsidRPr="00B32F89" w:rsidRDefault="00751E80" w:rsidP="00A46E4A">
            <w:pPr>
              <w:autoSpaceDE w:val="0"/>
              <w:autoSpaceDN w:val="0"/>
              <w:adjustRightInd w:val="0"/>
              <w:ind w:left="60" w:right="60"/>
              <w:rPr>
                <w:rFonts w:ascii="Arial" w:hAnsi="Arial" w:cs="Arial"/>
                <w:sz w:val="16"/>
                <w:szCs w:val="16"/>
              </w:rPr>
            </w:pPr>
            <w:r w:rsidRPr="00B32F89">
              <w:rPr>
                <w:rFonts w:ascii="Arial" w:hAnsi="Arial" w:cs="Arial"/>
                <w:sz w:val="16"/>
                <w:szCs w:val="16"/>
              </w:rPr>
              <w:t>Converted to smear neg</w:t>
            </w:r>
            <w:r>
              <w:rPr>
                <w:rFonts w:ascii="Arial" w:hAnsi="Arial" w:cs="Arial"/>
                <w:sz w:val="16"/>
                <w:szCs w:val="16"/>
              </w:rPr>
              <w:t>ative</w:t>
            </w:r>
          </w:p>
          <w:p w14:paraId="37C267CB" w14:textId="77777777" w:rsidR="00751E80" w:rsidRPr="00B32F89" w:rsidRDefault="00751E80" w:rsidP="00A46E4A">
            <w:pPr>
              <w:autoSpaceDE w:val="0"/>
              <w:autoSpaceDN w:val="0"/>
              <w:adjustRightInd w:val="0"/>
              <w:ind w:left="60" w:right="60"/>
              <w:rPr>
                <w:rFonts w:ascii="Arial" w:hAnsi="Arial" w:cs="Arial"/>
                <w:sz w:val="16"/>
                <w:szCs w:val="16"/>
              </w:rPr>
            </w:pPr>
            <w:r w:rsidRPr="00B32F89">
              <w:rPr>
                <w:rFonts w:ascii="Arial" w:hAnsi="Arial" w:cs="Arial"/>
                <w:sz w:val="16"/>
                <w:szCs w:val="16"/>
              </w:rPr>
              <w:t>Remaining smear pos</w:t>
            </w:r>
            <w:r>
              <w:rPr>
                <w:rFonts w:ascii="Arial" w:hAnsi="Arial" w:cs="Arial"/>
                <w:sz w:val="16"/>
                <w:szCs w:val="16"/>
              </w:rPr>
              <w:t>itive</w:t>
            </w:r>
          </w:p>
          <w:p w14:paraId="3814A8B8" w14:textId="77777777" w:rsidR="00751E80" w:rsidRPr="00B32F89" w:rsidRDefault="00751E80" w:rsidP="00A46E4A">
            <w:pPr>
              <w:autoSpaceDE w:val="0"/>
              <w:autoSpaceDN w:val="0"/>
              <w:adjustRightInd w:val="0"/>
              <w:ind w:left="60" w:right="60"/>
              <w:rPr>
                <w:rFonts w:ascii="Arial" w:hAnsi="Arial" w:cs="Arial"/>
                <w:sz w:val="16"/>
                <w:szCs w:val="16"/>
              </w:rPr>
            </w:pPr>
            <w:proofErr w:type="spellStart"/>
            <w:r w:rsidRPr="00B32F89">
              <w:rPr>
                <w:rFonts w:ascii="Arial" w:hAnsi="Arial" w:cs="Arial"/>
                <w:sz w:val="16"/>
                <w:szCs w:val="16"/>
              </w:rPr>
              <w:t>Defaulted+Died+Transfered+Not</w:t>
            </w:r>
            <w:proofErr w:type="spellEnd"/>
            <w:r w:rsidRPr="00B32F89">
              <w:rPr>
                <w:rFonts w:ascii="Arial" w:hAnsi="Arial" w:cs="Arial"/>
                <w:sz w:val="16"/>
                <w:szCs w:val="16"/>
              </w:rPr>
              <w:t xml:space="preserve"> available</w:t>
            </w:r>
          </w:p>
        </w:tc>
        <w:tc>
          <w:tcPr>
            <w:tcW w:w="0" w:type="auto"/>
            <w:tcBorders>
              <w:top w:val="single" w:sz="4" w:space="0" w:color="000000" w:themeColor="text1"/>
              <w:bottom w:val="single" w:sz="4" w:space="0" w:color="000000" w:themeColor="text1"/>
            </w:tcBorders>
            <w:shd w:val="clear" w:color="auto" w:fill="auto"/>
          </w:tcPr>
          <w:p w14:paraId="0B9969BF"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8.7</w:t>
            </w:r>
          </w:p>
          <w:p w14:paraId="177A822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2.8</w:t>
            </w:r>
          </w:p>
          <w:p w14:paraId="51DEF93D"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7.9</w:t>
            </w:r>
          </w:p>
        </w:tc>
        <w:tc>
          <w:tcPr>
            <w:tcW w:w="0" w:type="auto"/>
            <w:tcBorders>
              <w:top w:val="single" w:sz="4" w:space="0" w:color="000000" w:themeColor="text1"/>
              <w:bottom w:val="single" w:sz="4" w:space="0" w:color="000000" w:themeColor="text1"/>
            </w:tcBorders>
            <w:shd w:val="clear" w:color="auto" w:fill="auto"/>
          </w:tcPr>
          <w:p w14:paraId="720C7D69"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w:t>
            </w:r>
          </w:p>
          <w:p w14:paraId="643426B2"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3FBD56C0"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4" w:space="0" w:color="000000" w:themeColor="text1"/>
              <w:right w:val="nil"/>
            </w:tcBorders>
          </w:tcPr>
          <w:p w14:paraId="5DB5E6A7"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0.7(0.5,1.1)</w:t>
            </w:r>
          </w:p>
          <w:p w14:paraId="265E8BE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0.5(0.3,0.8)</w:t>
            </w:r>
          </w:p>
          <w:p w14:paraId="14291035"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1616" w:type="dxa"/>
            <w:tcBorders>
              <w:top w:val="single" w:sz="4" w:space="0" w:color="000000" w:themeColor="text1"/>
              <w:left w:val="nil"/>
              <w:bottom w:val="single" w:sz="4" w:space="0" w:color="000000" w:themeColor="text1"/>
            </w:tcBorders>
          </w:tcPr>
          <w:p w14:paraId="065F7017"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0.013*</w:t>
            </w:r>
          </w:p>
          <w:p w14:paraId="165BC3A0"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0.092</w:t>
            </w:r>
          </w:p>
          <w:p w14:paraId="596C9D7A"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0.005</w:t>
            </w:r>
          </w:p>
        </w:tc>
      </w:tr>
      <w:tr w:rsidR="00751E80" w:rsidRPr="00B32F89" w14:paraId="37579A3E" w14:textId="77777777" w:rsidTr="00A46E4A">
        <w:tc>
          <w:tcPr>
            <w:tcW w:w="0" w:type="auto"/>
            <w:tcBorders>
              <w:top w:val="single" w:sz="4" w:space="0" w:color="000000" w:themeColor="text1"/>
              <w:bottom w:val="single" w:sz="4" w:space="0" w:color="000000" w:themeColor="text1"/>
            </w:tcBorders>
          </w:tcPr>
          <w:p w14:paraId="1E25AF7E" w14:textId="77777777" w:rsidR="00751E80" w:rsidRPr="00B32F89" w:rsidRDefault="00751E80" w:rsidP="00A46E4A">
            <w:pPr>
              <w:autoSpaceDE w:val="0"/>
              <w:autoSpaceDN w:val="0"/>
              <w:adjustRightInd w:val="0"/>
              <w:ind w:left="60" w:right="60"/>
              <w:rPr>
                <w:rFonts w:ascii="Arial" w:hAnsi="Arial" w:cs="Arial"/>
                <w:b/>
                <w:sz w:val="16"/>
                <w:szCs w:val="16"/>
              </w:rPr>
            </w:pPr>
            <w:r w:rsidRPr="00B32F89">
              <w:rPr>
                <w:rFonts w:ascii="Arial" w:hAnsi="Arial" w:cs="Arial"/>
                <w:b/>
                <w:sz w:val="16"/>
                <w:szCs w:val="16"/>
              </w:rPr>
              <w:lastRenderedPageBreak/>
              <w:t>A</w:t>
            </w:r>
            <w:r>
              <w:rPr>
                <w:rFonts w:ascii="Arial" w:hAnsi="Arial" w:cs="Arial"/>
                <w:b/>
                <w:sz w:val="16"/>
                <w:szCs w:val="16"/>
              </w:rPr>
              <w:t xml:space="preserve">ntiretroviral </w:t>
            </w:r>
            <w:r w:rsidRPr="00B32F89">
              <w:rPr>
                <w:rFonts w:ascii="Arial" w:hAnsi="Arial" w:cs="Arial"/>
                <w:b/>
                <w:sz w:val="16"/>
                <w:szCs w:val="16"/>
              </w:rPr>
              <w:t>Treatment</w:t>
            </w:r>
          </w:p>
          <w:p w14:paraId="26CA25EE" w14:textId="77777777" w:rsidR="00751E80" w:rsidRPr="00B32F89" w:rsidRDefault="00751E80" w:rsidP="00A46E4A">
            <w:pPr>
              <w:autoSpaceDE w:val="0"/>
              <w:autoSpaceDN w:val="0"/>
              <w:adjustRightInd w:val="0"/>
              <w:ind w:left="60" w:right="60"/>
              <w:rPr>
                <w:rFonts w:ascii="Arial" w:hAnsi="Arial" w:cs="Arial"/>
                <w:sz w:val="16"/>
                <w:szCs w:val="16"/>
              </w:rPr>
            </w:pPr>
            <w:r w:rsidRPr="00B32F89">
              <w:rPr>
                <w:rFonts w:ascii="Arial" w:hAnsi="Arial" w:cs="Arial"/>
                <w:sz w:val="16"/>
                <w:szCs w:val="16"/>
              </w:rPr>
              <w:t xml:space="preserve">No </w:t>
            </w:r>
          </w:p>
          <w:p w14:paraId="341DD4EF" w14:textId="77777777" w:rsidR="00751E80" w:rsidRPr="00B32F89" w:rsidRDefault="00751E80" w:rsidP="00A46E4A">
            <w:pPr>
              <w:autoSpaceDE w:val="0"/>
              <w:autoSpaceDN w:val="0"/>
              <w:adjustRightInd w:val="0"/>
              <w:ind w:left="60" w:right="60"/>
              <w:rPr>
                <w:rFonts w:ascii="Arial" w:hAnsi="Arial" w:cs="Arial"/>
                <w:sz w:val="16"/>
                <w:szCs w:val="16"/>
              </w:rPr>
            </w:pPr>
            <w:r w:rsidRPr="00B32F89">
              <w:rPr>
                <w:rFonts w:ascii="Arial" w:hAnsi="Arial" w:cs="Arial"/>
                <w:sz w:val="16"/>
                <w:szCs w:val="16"/>
              </w:rPr>
              <w:t>Yes</w:t>
            </w:r>
          </w:p>
        </w:tc>
        <w:tc>
          <w:tcPr>
            <w:tcW w:w="0" w:type="auto"/>
            <w:tcBorders>
              <w:top w:val="single" w:sz="4" w:space="0" w:color="000000" w:themeColor="text1"/>
              <w:bottom w:val="single" w:sz="4" w:space="0" w:color="000000" w:themeColor="text1"/>
            </w:tcBorders>
            <w:shd w:val="clear" w:color="auto" w:fill="auto"/>
          </w:tcPr>
          <w:p w14:paraId="777E9483"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0.8</w:t>
            </w:r>
          </w:p>
        </w:tc>
        <w:tc>
          <w:tcPr>
            <w:tcW w:w="0" w:type="auto"/>
            <w:tcBorders>
              <w:top w:val="single" w:sz="4" w:space="0" w:color="000000" w:themeColor="text1"/>
              <w:bottom w:val="single" w:sz="4" w:space="0" w:color="000000" w:themeColor="text1"/>
            </w:tcBorders>
            <w:shd w:val="clear" w:color="auto" w:fill="auto"/>
          </w:tcPr>
          <w:p w14:paraId="4E144E90"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4" w:space="0" w:color="000000" w:themeColor="text1"/>
              <w:right w:val="nil"/>
            </w:tcBorders>
          </w:tcPr>
          <w:p w14:paraId="7C16D695"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0.8(0.6,1.2)</w:t>
            </w:r>
          </w:p>
          <w:p w14:paraId="1332FE07"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1616" w:type="dxa"/>
            <w:tcBorders>
              <w:top w:val="single" w:sz="4" w:space="0" w:color="000000" w:themeColor="text1"/>
              <w:left w:val="nil"/>
              <w:bottom w:val="single" w:sz="4" w:space="0" w:color="000000" w:themeColor="text1"/>
            </w:tcBorders>
          </w:tcPr>
          <w:p w14:paraId="26481B9A"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0.363</w:t>
            </w:r>
          </w:p>
        </w:tc>
      </w:tr>
      <w:tr w:rsidR="00751E80" w:rsidRPr="00B32F89" w14:paraId="65326F3C" w14:textId="77777777" w:rsidTr="00A46E4A">
        <w:tc>
          <w:tcPr>
            <w:tcW w:w="0" w:type="auto"/>
            <w:tcBorders>
              <w:top w:val="single" w:sz="4" w:space="0" w:color="000000" w:themeColor="text1"/>
              <w:bottom w:val="single" w:sz="4" w:space="0" w:color="000000" w:themeColor="text1"/>
            </w:tcBorders>
          </w:tcPr>
          <w:p w14:paraId="36C51850" w14:textId="77777777" w:rsidR="00751E80" w:rsidRPr="00B32F89" w:rsidRDefault="00751E80" w:rsidP="00A46E4A">
            <w:pPr>
              <w:autoSpaceDE w:val="0"/>
              <w:autoSpaceDN w:val="0"/>
              <w:adjustRightInd w:val="0"/>
              <w:ind w:left="60" w:right="60"/>
              <w:rPr>
                <w:rFonts w:ascii="Arial" w:hAnsi="Arial" w:cs="Arial"/>
                <w:b/>
                <w:sz w:val="16"/>
                <w:szCs w:val="16"/>
              </w:rPr>
            </w:pPr>
            <w:r w:rsidRPr="00B32F89">
              <w:rPr>
                <w:rFonts w:ascii="Arial" w:hAnsi="Arial" w:cs="Arial"/>
                <w:b/>
                <w:sz w:val="16"/>
                <w:szCs w:val="16"/>
              </w:rPr>
              <w:t>Cotrimoxazole Prophylaxis</w:t>
            </w:r>
          </w:p>
          <w:p w14:paraId="42427C18" w14:textId="77777777" w:rsidR="00751E80" w:rsidRPr="00B32F89" w:rsidRDefault="00751E80" w:rsidP="00A46E4A">
            <w:pPr>
              <w:autoSpaceDE w:val="0"/>
              <w:autoSpaceDN w:val="0"/>
              <w:adjustRightInd w:val="0"/>
              <w:ind w:left="60" w:right="60"/>
              <w:rPr>
                <w:rFonts w:ascii="Arial" w:hAnsi="Arial" w:cs="Arial"/>
                <w:sz w:val="16"/>
                <w:szCs w:val="16"/>
              </w:rPr>
            </w:pPr>
            <w:r w:rsidRPr="00B32F89">
              <w:rPr>
                <w:rFonts w:ascii="Arial" w:hAnsi="Arial" w:cs="Arial"/>
                <w:sz w:val="16"/>
                <w:szCs w:val="16"/>
              </w:rPr>
              <w:t>No</w:t>
            </w:r>
          </w:p>
          <w:p w14:paraId="0B9F860E" w14:textId="77777777" w:rsidR="00751E80" w:rsidRPr="00B32F89" w:rsidRDefault="00751E80" w:rsidP="00A46E4A">
            <w:pPr>
              <w:autoSpaceDE w:val="0"/>
              <w:autoSpaceDN w:val="0"/>
              <w:adjustRightInd w:val="0"/>
              <w:ind w:left="60" w:right="60"/>
              <w:rPr>
                <w:rFonts w:ascii="Arial" w:hAnsi="Arial" w:cs="Arial"/>
                <w:sz w:val="16"/>
                <w:szCs w:val="16"/>
              </w:rPr>
            </w:pPr>
            <w:r w:rsidRPr="00B32F89">
              <w:rPr>
                <w:rFonts w:ascii="Arial" w:hAnsi="Arial" w:cs="Arial"/>
                <w:sz w:val="16"/>
                <w:szCs w:val="16"/>
              </w:rPr>
              <w:t>Yes</w:t>
            </w:r>
          </w:p>
        </w:tc>
        <w:tc>
          <w:tcPr>
            <w:tcW w:w="0" w:type="auto"/>
            <w:tcBorders>
              <w:top w:val="single" w:sz="4" w:space="0" w:color="000000" w:themeColor="text1"/>
              <w:bottom w:val="single" w:sz="4" w:space="0" w:color="000000" w:themeColor="text1"/>
            </w:tcBorders>
            <w:shd w:val="clear" w:color="auto" w:fill="auto"/>
          </w:tcPr>
          <w:p w14:paraId="01E678B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9.6</w:t>
            </w:r>
          </w:p>
        </w:tc>
        <w:tc>
          <w:tcPr>
            <w:tcW w:w="0" w:type="auto"/>
            <w:tcBorders>
              <w:top w:val="single" w:sz="4" w:space="0" w:color="000000" w:themeColor="text1"/>
              <w:bottom w:val="single" w:sz="4" w:space="0" w:color="000000" w:themeColor="text1"/>
            </w:tcBorders>
            <w:shd w:val="clear" w:color="auto" w:fill="auto"/>
          </w:tcPr>
          <w:p w14:paraId="01B0DB39"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4" w:space="0" w:color="000000" w:themeColor="text1"/>
              <w:right w:val="nil"/>
            </w:tcBorders>
          </w:tcPr>
          <w:p w14:paraId="78D6C0AB"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0.4(0.2,0.7)</w:t>
            </w:r>
          </w:p>
          <w:p w14:paraId="61AA6257"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1616" w:type="dxa"/>
            <w:tcBorders>
              <w:top w:val="single" w:sz="4" w:space="0" w:color="000000" w:themeColor="text1"/>
              <w:left w:val="nil"/>
              <w:bottom w:val="single" w:sz="4" w:space="0" w:color="000000" w:themeColor="text1"/>
            </w:tcBorders>
          </w:tcPr>
          <w:p w14:paraId="608B907A"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0.002*</w:t>
            </w:r>
          </w:p>
        </w:tc>
      </w:tr>
      <w:tr w:rsidR="00751E80" w:rsidRPr="00B32F89" w14:paraId="33C9EE28" w14:textId="77777777" w:rsidTr="00A46E4A">
        <w:tc>
          <w:tcPr>
            <w:tcW w:w="0" w:type="auto"/>
            <w:tcBorders>
              <w:top w:val="single" w:sz="4" w:space="0" w:color="000000" w:themeColor="text1"/>
              <w:bottom w:val="single" w:sz="4" w:space="0" w:color="000000" w:themeColor="text1"/>
            </w:tcBorders>
          </w:tcPr>
          <w:p w14:paraId="5AE2459C" w14:textId="77777777" w:rsidR="00751E80" w:rsidRPr="00B32F89" w:rsidRDefault="00751E80" w:rsidP="00A46E4A">
            <w:pPr>
              <w:autoSpaceDE w:val="0"/>
              <w:autoSpaceDN w:val="0"/>
              <w:adjustRightInd w:val="0"/>
              <w:ind w:left="60" w:right="60"/>
              <w:rPr>
                <w:rFonts w:ascii="Arial" w:hAnsi="Arial" w:cs="Arial"/>
                <w:b/>
                <w:sz w:val="16"/>
                <w:szCs w:val="16"/>
              </w:rPr>
            </w:pPr>
            <w:r w:rsidRPr="00B32F89">
              <w:rPr>
                <w:rFonts w:ascii="Arial" w:hAnsi="Arial" w:cs="Arial"/>
                <w:b/>
                <w:sz w:val="16"/>
                <w:szCs w:val="16"/>
              </w:rPr>
              <w:t>IPT (isoniazid) exposure</w:t>
            </w:r>
          </w:p>
          <w:p w14:paraId="35955255" w14:textId="77777777" w:rsidR="00751E80" w:rsidRPr="00B32F89" w:rsidRDefault="00751E80" w:rsidP="00A46E4A">
            <w:pPr>
              <w:autoSpaceDE w:val="0"/>
              <w:autoSpaceDN w:val="0"/>
              <w:adjustRightInd w:val="0"/>
              <w:ind w:left="60" w:right="60"/>
              <w:rPr>
                <w:rFonts w:ascii="Arial" w:hAnsi="Arial" w:cs="Arial"/>
                <w:sz w:val="16"/>
                <w:szCs w:val="16"/>
              </w:rPr>
            </w:pPr>
            <w:r w:rsidRPr="00B32F89">
              <w:rPr>
                <w:rFonts w:ascii="Arial" w:hAnsi="Arial" w:cs="Arial"/>
                <w:sz w:val="16"/>
                <w:szCs w:val="16"/>
              </w:rPr>
              <w:t>No</w:t>
            </w:r>
          </w:p>
          <w:p w14:paraId="3C84467E" w14:textId="77777777" w:rsidR="00751E80" w:rsidRPr="00B32F89" w:rsidRDefault="00751E80" w:rsidP="00A46E4A">
            <w:pPr>
              <w:autoSpaceDE w:val="0"/>
              <w:autoSpaceDN w:val="0"/>
              <w:adjustRightInd w:val="0"/>
              <w:ind w:left="60" w:right="60"/>
              <w:rPr>
                <w:rFonts w:ascii="Arial" w:hAnsi="Arial" w:cs="Arial"/>
                <w:sz w:val="16"/>
                <w:szCs w:val="16"/>
              </w:rPr>
            </w:pPr>
            <w:r w:rsidRPr="00B32F89">
              <w:rPr>
                <w:rFonts w:ascii="Arial" w:hAnsi="Arial" w:cs="Arial"/>
                <w:sz w:val="16"/>
                <w:szCs w:val="16"/>
              </w:rPr>
              <w:t>Yes</w:t>
            </w:r>
          </w:p>
        </w:tc>
        <w:tc>
          <w:tcPr>
            <w:tcW w:w="0" w:type="auto"/>
            <w:tcBorders>
              <w:top w:val="single" w:sz="4" w:space="0" w:color="000000" w:themeColor="text1"/>
              <w:bottom w:val="single" w:sz="4" w:space="0" w:color="000000" w:themeColor="text1"/>
            </w:tcBorders>
            <w:shd w:val="clear" w:color="auto" w:fill="auto"/>
          </w:tcPr>
          <w:p w14:paraId="399131C8"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122F8F9D"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0.5</w:t>
            </w:r>
          </w:p>
        </w:tc>
        <w:tc>
          <w:tcPr>
            <w:tcW w:w="0" w:type="auto"/>
            <w:tcBorders>
              <w:top w:val="single" w:sz="4" w:space="0" w:color="000000" w:themeColor="text1"/>
              <w:bottom w:val="single" w:sz="4" w:space="0" w:color="000000" w:themeColor="text1"/>
            </w:tcBorders>
            <w:shd w:val="clear" w:color="auto" w:fill="auto"/>
          </w:tcPr>
          <w:p w14:paraId="45A5383A"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6E6AD9C4"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4" w:space="0" w:color="000000" w:themeColor="text1"/>
              <w:right w:val="nil"/>
            </w:tcBorders>
          </w:tcPr>
          <w:p w14:paraId="14312619"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3C8F4428"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1.2(0.7,2.6)</w:t>
            </w:r>
          </w:p>
          <w:p w14:paraId="5F367969"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1616" w:type="dxa"/>
            <w:tcBorders>
              <w:top w:val="single" w:sz="4" w:space="0" w:color="000000" w:themeColor="text1"/>
              <w:left w:val="nil"/>
              <w:bottom w:val="single" w:sz="4" w:space="0" w:color="000000" w:themeColor="text1"/>
            </w:tcBorders>
          </w:tcPr>
          <w:p w14:paraId="47DCAAE7" w14:textId="77777777" w:rsidR="00751E80" w:rsidRPr="00B32F89" w:rsidRDefault="00751E80" w:rsidP="00A46E4A">
            <w:pPr>
              <w:autoSpaceDE w:val="0"/>
              <w:autoSpaceDN w:val="0"/>
              <w:adjustRightInd w:val="0"/>
              <w:ind w:left="60" w:right="60"/>
              <w:jc w:val="center"/>
              <w:rPr>
                <w:rFonts w:ascii="Arial" w:hAnsi="Arial" w:cs="Arial"/>
                <w:sz w:val="16"/>
                <w:szCs w:val="16"/>
              </w:rPr>
            </w:pPr>
          </w:p>
          <w:p w14:paraId="7795401F"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0.464</w:t>
            </w:r>
          </w:p>
        </w:tc>
      </w:tr>
      <w:tr w:rsidR="00751E80" w:rsidRPr="00B32F89" w14:paraId="1EEF09C6" w14:textId="77777777" w:rsidTr="00A46E4A">
        <w:trPr>
          <w:trHeight w:val="728"/>
        </w:trPr>
        <w:tc>
          <w:tcPr>
            <w:tcW w:w="0" w:type="auto"/>
            <w:tcBorders>
              <w:top w:val="single" w:sz="4" w:space="0" w:color="000000" w:themeColor="text1"/>
              <w:bottom w:val="single" w:sz="4" w:space="0" w:color="000000" w:themeColor="text1"/>
            </w:tcBorders>
          </w:tcPr>
          <w:p w14:paraId="64C248F9" w14:textId="77777777" w:rsidR="00751E80" w:rsidRPr="00B32F89" w:rsidRDefault="00751E80" w:rsidP="00A46E4A">
            <w:pPr>
              <w:autoSpaceDE w:val="0"/>
              <w:autoSpaceDN w:val="0"/>
              <w:adjustRightInd w:val="0"/>
              <w:ind w:left="60" w:right="60"/>
              <w:rPr>
                <w:rFonts w:ascii="Arial" w:hAnsi="Arial" w:cs="Arial"/>
                <w:b/>
                <w:sz w:val="16"/>
                <w:szCs w:val="16"/>
              </w:rPr>
            </w:pPr>
            <w:r w:rsidRPr="00B32F89">
              <w:rPr>
                <w:rFonts w:ascii="Arial" w:hAnsi="Arial" w:cs="Arial"/>
                <w:b/>
                <w:sz w:val="16"/>
                <w:szCs w:val="16"/>
              </w:rPr>
              <w:t>HIV status</w:t>
            </w:r>
          </w:p>
          <w:p w14:paraId="0C766D80" w14:textId="77777777" w:rsidR="00751E80" w:rsidRPr="00B32F89" w:rsidRDefault="00751E80" w:rsidP="00A46E4A">
            <w:pPr>
              <w:autoSpaceDE w:val="0"/>
              <w:autoSpaceDN w:val="0"/>
              <w:adjustRightInd w:val="0"/>
              <w:ind w:left="60" w:right="60"/>
              <w:rPr>
                <w:rFonts w:ascii="Arial" w:hAnsi="Arial" w:cs="Arial"/>
                <w:sz w:val="16"/>
                <w:szCs w:val="16"/>
              </w:rPr>
            </w:pPr>
            <w:r w:rsidRPr="00B32F89">
              <w:rPr>
                <w:rFonts w:ascii="Arial" w:hAnsi="Arial" w:cs="Arial"/>
                <w:sz w:val="16"/>
                <w:szCs w:val="16"/>
              </w:rPr>
              <w:t>Negative</w:t>
            </w:r>
          </w:p>
          <w:p w14:paraId="36537056" w14:textId="77777777" w:rsidR="00751E80" w:rsidRPr="00B32F89" w:rsidRDefault="00751E80" w:rsidP="00A46E4A">
            <w:pPr>
              <w:autoSpaceDE w:val="0"/>
              <w:autoSpaceDN w:val="0"/>
              <w:adjustRightInd w:val="0"/>
              <w:ind w:left="60" w:right="60"/>
              <w:rPr>
                <w:rFonts w:ascii="Arial" w:hAnsi="Arial" w:cs="Arial"/>
                <w:sz w:val="16"/>
                <w:szCs w:val="16"/>
              </w:rPr>
            </w:pPr>
            <w:r w:rsidRPr="00B32F89">
              <w:rPr>
                <w:rFonts w:ascii="Arial" w:hAnsi="Arial" w:cs="Arial"/>
                <w:sz w:val="16"/>
                <w:szCs w:val="16"/>
              </w:rPr>
              <w:t>Positive</w:t>
            </w:r>
          </w:p>
          <w:p w14:paraId="3A096CDB" w14:textId="77777777" w:rsidR="00751E80" w:rsidRPr="00B32F89" w:rsidRDefault="00751E80" w:rsidP="00A46E4A">
            <w:pPr>
              <w:autoSpaceDE w:val="0"/>
              <w:autoSpaceDN w:val="0"/>
              <w:adjustRightInd w:val="0"/>
              <w:ind w:left="60" w:right="60"/>
              <w:rPr>
                <w:rFonts w:ascii="Arial" w:hAnsi="Arial" w:cs="Arial"/>
                <w:sz w:val="16"/>
                <w:szCs w:val="16"/>
              </w:rPr>
            </w:pPr>
            <w:r w:rsidRPr="00B32F89">
              <w:rPr>
                <w:rFonts w:ascii="Arial" w:hAnsi="Arial" w:cs="Arial"/>
                <w:sz w:val="16"/>
                <w:szCs w:val="16"/>
              </w:rPr>
              <w:t>Unknown</w:t>
            </w:r>
          </w:p>
        </w:tc>
        <w:tc>
          <w:tcPr>
            <w:tcW w:w="0" w:type="auto"/>
            <w:tcBorders>
              <w:top w:val="single" w:sz="4" w:space="0" w:color="000000" w:themeColor="text1"/>
              <w:bottom w:val="single" w:sz="4" w:space="0" w:color="000000" w:themeColor="text1"/>
            </w:tcBorders>
            <w:shd w:val="clear" w:color="auto" w:fill="auto"/>
          </w:tcPr>
          <w:p w14:paraId="16A1F0B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26.1</w:t>
            </w:r>
          </w:p>
          <w:p w14:paraId="5D9B75B0"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0.1</w:t>
            </w:r>
          </w:p>
          <w:p w14:paraId="2FFED467"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12.1</w:t>
            </w:r>
          </w:p>
        </w:tc>
        <w:tc>
          <w:tcPr>
            <w:tcW w:w="0" w:type="auto"/>
            <w:tcBorders>
              <w:top w:val="single" w:sz="4" w:space="0" w:color="000000" w:themeColor="text1"/>
              <w:bottom w:val="single" w:sz="4" w:space="0" w:color="000000" w:themeColor="text1"/>
            </w:tcBorders>
            <w:shd w:val="clear" w:color="auto" w:fill="auto"/>
          </w:tcPr>
          <w:p w14:paraId="5E2749BC"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2</w:t>
            </w:r>
          </w:p>
          <w:p w14:paraId="244494BB"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p w14:paraId="760A7ED4"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4" w:space="0" w:color="000000" w:themeColor="text1"/>
              <w:right w:val="nil"/>
            </w:tcBorders>
          </w:tcPr>
          <w:p w14:paraId="0BB0945D" w14:textId="77777777" w:rsidR="00751E80" w:rsidRPr="00B32F89" w:rsidRDefault="00751E80" w:rsidP="00A46E4A">
            <w:pPr>
              <w:autoSpaceDE w:val="0"/>
              <w:autoSpaceDN w:val="0"/>
              <w:adjustRightInd w:val="0"/>
              <w:ind w:left="60" w:right="60"/>
              <w:jc w:val="right"/>
              <w:rPr>
                <w:rFonts w:ascii="Arial" w:hAnsi="Arial" w:cs="Arial"/>
                <w:sz w:val="16"/>
                <w:szCs w:val="16"/>
              </w:rPr>
            </w:pPr>
          </w:p>
          <w:p w14:paraId="1038655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1.1(0.5,2.2)</w:t>
            </w:r>
          </w:p>
          <w:p w14:paraId="5E938A5F"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0.2(0.1,0.5)</w:t>
            </w:r>
          </w:p>
          <w:p w14:paraId="5D305652"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1</w:t>
            </w:r>
          </w:p>
        </w:tc>
        <w:tc>
          <w:tcPr>
            <w:tcW w:w="1616" w:type="dxa"/>
            <w:tcBorders>
              <w:top w:val="single" w:sz="4" w:space="0" w:color="000000" w:themeColor="text1"/>
              <w:left w:val="nil"/>
              <w:bottom w:val="single" w:sz="4" w:space="0" w:color="000000" w:themeColor="text1"/>
            </w:tcBorders>
          </w:tcPr>
          <w:p w14:paraId="226C72A4"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0.000*</w:t>
            </w:r>
          </w:p>
          <w:p w14:paraId="3576B1CE"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0.813</w:t>
            </w:r>
          </w:p>
          <w:p w14:paraId="258FF677"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0.001*</w:t>
            </w:r>
          </w:p>
        </w:tc>
      </w:tr>
      <w:tr w:rsidR="00751E80" w:rsidRPr="00B32F89" w14:paraId="2CE31544" w14:textId="77777777" w:rsidTr="00A46E4A">
        <w:tc>
          <w:tcPr>
            <w:tcW w:w="0" w:type="auto"/>
            <w:tcBorders>
              <w:top w:val="single" w:sz="4" w:space="0" w:color="000000" w:themeColor="text1"/>
              <w:bottom w:val="single" w:sz="18" w:space="0" w:color="auto"/>
            </w:tcBorders>
          </w:tcPr>
          <w:p w14:paraId="5356C2E6" w14:textId="77777777" w:rsidR="00751E80" w:rsidRPr="00B32F89" w:rsidRDefault="00751E80" w:rsidP="00A46E4A">
            <w:pPr>
              <w:autoSpaceDE w:val="0"/>
              <w:autoSpaceDN w:val="0"/>
              <w:adjustRightInd w:val="0"/>
              <w:ind w:left="60" w:right="60"/>
              <w:rPr>
                <w:rFonts w:ascii="Arial" w:hAnsi="Arial" w:cs="Arial"/>
                <w:sz w:val="16"/>
                <w:szCs w:val="16"/>
              </w:rPr>
            </w:pPr>
            <w:r w:rsidRPr="00B32F89">
              <w:rPr>
                <w:rFonts w:ascii="Arial" w:hAnsi="Arial" w:cs="Arial"/>
                <w:sz w:val="16"/>
                <w:szCs w:val="16"/>
              </w:rPr>
              <w:t>Constant</w:t>
            </w:r>
          </w:p>
        </w:tc>
        <w:tc>
          <w:tcPr>
            <w:tcW w:w="0" w:type="auto"/>
            <w:tcBorders>
              <w:top w:val="single" w:sz="4" w:space="0" w:color="000000" w:themeColor="text1"/>
              <w:bottom w:val="single" w:sz="18" w:space="0" w:color="auto"/>
            </w:tcBorders>
            <w:shd w:val="clear" w:color="auto" w:fill="auto"/>
          </w:tcPr>
          <w:p w14:paraId="427FE6D1"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0.000</w:t>
            </w:r>
          </w:p>
        </w:tc>
        <w:tc>
          <w:tcPr>
            <w:tcW w:w="0" w:type="auto"/>
            <w:tcBorders>
              <w:top w:val="single" w:sz="4" w:space="0" w:color="000000" w:themeColor="text1"/>
              <w:bottom w:val="single" w:sz="18" w:space="0" w:color="auto"/>
            </w:tcBorders>
            <w:shd w:val="clear" w:color="auto" w:fill="auto"/>
          </w:tcPr>
          <w:p w14:paraId="3FC6C408"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1</w:t>
            </w:r>
          </w:p>
        </w:tc>
        <w:tc>
          <w:tcPr>
            <w:tcW w:w="0" w:type="auto"/>
            <w:tcBorders>
              <w:top w:val="single" w:sz="4" w:space="0" w:color="000000" w:themeColor="text1"/>
              <w:bottom w:val="single" w:sz="18" w:space="0" w:color="auto"/>
              <w:right w:val="nil"/>
            </w:tcBorders>
          </w:tcPr>
          <w:p w14:paraId="475B3428" w14:textId="77777777" w:rsidR="00751E80" w:rsidRPr="00B32F89" w:rsidRDefault="00751E80" w:rsidP="00A46E4A">
            <w:pPr>
              <w:autoSpaceDE w:val="0"/>
              <w:autoSpaceDN w:val="0"/>
              <w:adjustRightInd w:val="0"/>
              <w:ind w:left="60" w:right="60"/>
              <w:jc w:val="right"/>
              <w:rPr>
                <w:rFonts w:ascii="Arial" w:hAnsi="Arial" w:cs="Arial"/>
                <w:sz w:val="16"/>
                <w:szCs w:val="16"/>
              </w:rPr>
            </w:pPr>
            <w:r w:rsidRPr="00B32F89">
              <w:rPr>
                <w:rFonts w:ascii="Arial" w:hAnsi="Arial" w:cs="Arial"/>
                <w:sz w:val="16"/>
                <w:szCs w:val="16"/>
              </w:rPr>
              <w:t>0.121</w:t>
            </w:r>
          </w:p>
        </w:tc>
        <w:tc>
          <w:tcPr>
            <w:tcW w:w="1616" w:type="dxa"/>
            <w:tcBorders>
              <w:top w:val="single" w:sz="4" w:space="0" w:color="000000" w:themeColor="text1"/>
              <w:left w:val="nil"/>
              <w:bottom w:val="single" w:sz="18" w:space="0" w:color="auto"/>
            </w:tcBorders>
          </w:tcPr>
          <w:p w14:paraId="10ECC6CA" w14:textId="77777777" w:rsidR="00751E80" w:rsidRPr="00B32F89" w:rsidRDefault="00751E80" w:rsidP="00A46E4A">
            <w:pPr>
              <w:autoSpaceDE w:val="0"/>
              <w:autoSpaceDN w:val="0"/>
              <w:adjustRightInd w:val="0"/>
              <w:ind w:left="60" w:right="60"/>
              <w:jc w:val="center"/>
              <w:rPr>
                <w:rFonts w:ascii="Arial" w:hAnsi="Arial" w:cs="Arial"/>
                <w:sz w:val="16"/>
                <w:szCs w:val="16"/>
              </w:rPr>
            </w:pPr>
            <w:r w:rsidRPr="00B32F89">
              <w:rPr>
                <w:rFonts w:ascii="Arial" w:hAnsi="Arial" w:cs="Arial"/>
                <w:sz w:val="16"/>
                <w:szCs w:val="16"/>
              </w:rPr>
              <w:t>1.000</w:t>
            </w:r>
          </w:p>
          <w:p w14:paraId="6692E835" w14:textId="77777777" w:rsidR="00751E80" w:rsidRPr="00B32F89" w:rsidRDefault="00751E80" w:rsidP="00A46E4A">
            <w:pPr>
              <w:autoSpaceDE w:val="0"/>
              <w:autoSpaceDN w:val="0"/>
              <w:adjustRightInd w:val="0"/>
              <w:ind w:left="60" w:right="60"/>
              <w:jc w:val="center"/>
              <w:rPr>
                <w:rFonts w:ascii="Arial" w:hAnsi="Arial" w:cs="Arial"/>
                <w:sz w:val="16"/>
                <w:szCs w:val="16"/>
              </w:rPr>
            </w:pPr>
          </w:p>
        </w:tc>
      </w:tr>
    </w:tbl>
    <w:p w14:paraId="1EB3ADA4" w14:textId="77777777" w:rsidR="00751E80" w:rsidRPr="00256DC7" w:rsidRDefault="00751E80" w:rsidP="00751E80">
      <w:pPr>
        <w:rPr>
          <w:rFonts w:ascii="Arial" w:hAnsi="Arial" w:cs="Arial"/>
          <w:sz w:val="16"/>
          <w:szCs w:val="16"/>
        </w:rPr>
      </w:pPr>
      <w:r w:rsidRPr="00256DC7">
        <w:rPr>
          <w:rFonts w:ascii="Arial" w:hAnsi="Arial" w:cs="Arial"/>
          <w:color w:val="000000"/>
          <w:sz w:val="16"/>
          <w:szCs w:val="16"/>
        </w:rPr>
        <w:t>a. Variable(s) entered on step 1: M</w:t>
      </w:r>
      <w:r>
        <w:rPr>
          <w:rFonts w:ascii="Arial" w:hAnsi="Arial" w:cs="Arial"/>
          <w:color w:val="000000"/>
          <w:sz w:val="16"/>
          <w:szCs w:val="16"/>
        </w:rPr>
        <w:t xml:space="preserve">edium </w:t>
      </w:r>
      <w:r w:rsidRPr="00256DC7">
        <w:rPr>
          <w:rFonts w:ascii="Arial" w:hAnsi="Arial" w:cs="Arial"/>
          <w:color w:val="000000"/>
          <w:sz w:val="16"/>
          <w:szCs w:val="16"/>
        </w:rPr>
        <w:t>T</w:t>
      </w:r>
      <w:r>
        <w:rPr>
          <w:rFonts w:ascii="Arial" w:hAnsi="Arial" w:cs="Arial"/>
          <w:color w:val="000000"/>
          <w:sz w:val="16"/>
          <w:szCs w:val="16"/>
        </w:rPr>
        <w:t xml:space="preserve">erm </w:t>
      </w:r>
      <w:r w:rsidRPr="00256DC7">
        <w:rPr>
          <w:rFonts w:ascii="Arial" w:hAnsi="Arial" w:cs="Arial"/>
          <w:color w:val="000000"/>
          <w:sz w:val="16"/>
          <w:szCs w:val="16"/>
        </w:rPr>
        <w:t>P</w:t>
      </w:r>
      <w:r>
        <w:rPr>
          <w:rFonts w:ascii="Arial" w:hAnsi="Arial" w:cs="Arial"/>
          <w:color w:val="000000"/>
          <w:sz w:val="16"/>
          <w:szCs w:val="16"/>
        </w:rPr>
        <w:t>lan strategic plan, I or II</w:t>
      </w:r>
      <w:r w:rsidRPr="00256DC7">
        <w:rPr>
          <w:rFonts w:ascii="Arial" w:hAnsi="Arial" w:cs="Arial"/>
          <w:color w:val="000000"/>
          <w:sz w:val="16"/>
          <w:szCs w:val="16"/>
        </w:rPr>
        <w:t xml:space="preserve">, REGION, FACLEVEL, PREVREGT, SEX, REGIMENTYPE, DIAGCLASS, SITEINFECTEDTB, </w:t>
      </w:r>
      <w:proofErr w:type="spellStart"/>
      <w:r w:rsidRPr="00256DC7">
        <w:rPr>
          <w:rFonts w:ascii="Arial" w:hAnsi="Arial" w:cs="Arial"/>
          <w:color w:val="000000"/>
          <w:sz w:val="16"/>
          <w:szCs w:val="16"/>
        </w:rPr>
        <w:t>MDRPatientt</w:t>
      </w:r>
      <w:proofErr w:type="spellEnd"/>
      <w:r w:rsidRPr="00256DC7">
        <w:rPr>
          <w:rFonts w:ascii="Arial" w:hAnsi="Arial" w:cs="Arial"/>
          <w:color w:val="000000"/>
          <w:sz w:val="16"/>
          <w:szCs w:val="16"/>
        </w:rPr>
        <w:t xml:space="preserve">, DOTTYPE, </w:t>
      </w:r>
      <w:proofErr w:type="spellStart"/>
      <w:r w:rsidRPr="00256DC7">
        <w:rPr>
          <w:rFonts w:ascii="Arial" w:hAnsi="Arial" w:cs="Arial"/>
          <w:color w:val="000000"/>
          <w:sz w:val="16"/>
          <w:szCs w:val="16"/>
        </w:rPr>
        <w:t>PtAgegroup</w:t>
      </w:r>
      <w:proofErr w:type="spellEnd"/>
      <w:r w:rsidRPr="00256DC7">
        <w:rPr>
          <w:rFonts w:ascii="Arial" w:hAnsi="Arial" w:cs="Arial"/>
          <w:color w:val="000000"/>
          <w:sz w:val="16"/>
          <w:szCs w:val="16"/>
        </w:rPr>
        <w:t xml:space="preserve">, NOTCONVERTED, SPUTUM2mon, </w:t>
      </w:r>
      <w:proofErr w:type="spellStart"/>
      <w:r w:rsidRPr="00256DC7">
        <w:rPr>
          <w:rFonts w:ascii="Arial" w:hAnsi="Arial" w:cs="Arial"/>
          <w:color w:val="000000"/>
          <w:sz w:val="16"/>
          <w:szCs w:val="16"/>
        </w:rPr>
        <w:t>ARTtreat</w:t>
      </w:r>
      <w:proofErr w:type="spellEnd"/>
      <w:r w:rsidRPr="00256DC7">
        <w:rPr>
          <w:rFonts w:ascii="Arial" w:hAnsi="Arial" w:cs="Arial"/>
          <w:color w:val="000000"/>
          <w:sz w:val="16"/>
          <w:szCs w:val="16"/>
        </w:rPr>
        <w:t xml:space="preserve">, </w:t>
      </w:r>
      <w:proofErr w:type="spellStart"/>
      <w:r w:rsidRPr="00256DC7">
        <w:rPr>
          <w:rFonts w:ascii="Arial" w:hAnsi="Arial" w:cs="Arial"/>
          <w:color w:val="000000"/>
          <w:sz w:val="16"/>
          <w:szCs w:val="16"/>
        </w:rPr>
        <w:t>CPTtherapy</w:t>
      </w:r>
      <w:proofErr w:type="spellEnd"/>
      <w:r w:rsidRPr="00256DC7">
        <w:rPr>
          <w:rFonts w:ascii="Arial" w:hAnsi="Arial" w:cs="Arial"/>
          <w:color w:val="000000"/>
          <w:sz w:val="16"/>
          <w:szCs w:val="16"/>
        </w:rPr>
        <w:t xml:space="preserve">, </w:t>
      </w:r>
      <w:proofErr w:type="spellStart"/>
      <w:r w:rsidRPr="00256DC7">
        <w:rPr>
          <w:rFonts w:ascii="Arial" w:hAnsi="Arial" w:cs="Arial"/>
          <w:color w:val="000000"/>
          <w:sz w:val="16"/>
          <w:szCs w:val="16"/>
        </w:rPr>
        <w:t>IPTrecieved</w:t>
      </w:r>
      <w:proofErr w:type="spellEnd"/>
      <w:r w:rsidRPr="00256DC7">
        <w:rPr>
          <w:rFonts w:ascii="Arial" w:hAnsi="Arial" w:cs="Arial"/>
          <w:color w:val="000000"/>
          <w:sz w:val="16"/>
          <w:szCs w:val="16"/>
        </w:rPr>
        <w:t>, HIVSTATUS.</w:t>
      </w:r>
    </w:p>
    <w:p w14:paraId="2F786EE8" w14:textId="77777777" w:rsidR="00267017" w:rsidRPr="005A5A82" w:rsidRDefault="00267017" w:rsidP="005A5A82">
      <w:pPr>
        <w:pStyle w:val="NoSpacing"/>
        <w:spacing w:line="360" w:lineRule="auto"/>
        <w:rPr>
          <w:rFonts w:ascii="Arial" w:hAnsi="Arial" w:cs="Arial"/>
        </w:rPr>
      </w:pPr>
    </w:p>
    <w:p w14:paraId="49B6878D" w14:textId="1D7DD05A" w:rsidR="00267017" w:rsidRPr="005A5A82" w:rsidRDefault="00CB62E5" w:rsidP="005A5A82">
      <w:pPr>
        <w:pStyle w:val="NoSpacing"/>
        <w:spacing w:line="360" w:lineRule="auto"/>
        <w:rPr>
          <w:rFonts w:ascii="Arial" w:hAnsi="Arial" w:cs="Arial"/>
        </w:rPr>
      </w:pPr>
      <w:r w:rsidRPr="005A5A82">
        <w:rPr>
          <w:rFonts w:ascii="Arial" w:hAnsi="Arial" w:cs="Arial"/>
        </w:rPr>
        <w:t>The prediction success of the model overall was 90.48% with 95.1% for successful treatment outcome and 71.2% for non-successful treatment outcome. The Wald criterion demonstrated consistency between TB treatment success and, the regions of implementation of DOTS in Namibia (</w:t>
      </w:r>
      <w:r w:rsidRPr="005A5A82">
        <w:rPr>
          <w:rFonts w:ascii="Arial" w:hAnsi="Arial" w:cs="Arial"/>
          <w:i/>
        </w:rPr>
        <w:t>p</w:t>
      </w:r>
      <w:r w:rsidRPr="005A5A82">
        <w:rPr>
          <w:rFonts w:ascii="Arial" w:hAnsi="Arial" w:cs="Arial"/>
        </w:rPr>
        <w:t xml:space="preserve">&lt;0.001) – with some regions such as </w:t>
      </w:r>
      <w:proofErr w:type="spellStart"/>
      <w:r w:rsidRPr="005A5A82">
        <w:rPr>
          <w:rFonts w:ascii="Arial" w:hAnsi="Arial" w:cs="Arial"/>
        </w:rPr>
        <w:t>Otjiwarongo</w:t>
      </w:r>
      <w:proofErr w:type="spellEnd"/>
      <w:r w:rsidRPr="005A5A82">
        <w:rPr>
          <w:rFonts w:ascii="Arial" w:hAnsi="Arial" w:cs="Arial"/>
        </w:rPr>
        <w:t xml:space="preserve"> (OR=2.8, 95%CI:1.3,6.4) having significantly higher TSR than others, the first-line TB regimen initiated (</w:t>
      </w:r>
      <w:r w:rsidRPr="005A5A82">
        <w:rPr>
          <w:rFonts w:ascii="Arial" w:hAnsi="Arial" w:cs="Arial"/>
          <w:i/>
        </w:rPr>
        <w:t>p</w:t>
      </w:r>
      <w:r w:rsidRPr="005A5A82">
        <w:rPr>
          <w:rFonts w:ascii="Arial" w:hAnsi="Arial" w:cs="Arial"/>
        </w:rPr>
        <w:t>&lt;0.001), the type of DOT provider (</w:t>
      </w:r>
      <w:r w:rsidRPr="005A5A82">
        <w:rPr>
          <w:rFonts w:ascii="Arial" w:hAnsi="Arial" w:cs="Arial"/>
          <w:i/>
        </w:rPr>
        <w:t>p</w:t>
      </w:r>
      <w:r w:rsidRPr="005A5A82">
        <w:rPr>
          <w:rFonts w:ascii="Arial" w:hAnsi="Arial" w:cs="Arial"/>
        </w:rPr>
        <w:t>&lt;0.001) with TSR being highest for DOT implemented at the workplace (OR=25.6, 95%CI: 4.3, 151.8), non-conversion of sputum at 2 months (OR=0.2, 95%CI: 0.01, 0.03), co-infection with HIV (OR=0.2, 95%CI: 0.01, 0.5) and exposure to cotrimoxazole prophylaxis therapy (</w:t>
      </w:r>
      <w:r w:rsidR="007B6EAE" w:rsidRPr="005A5A82">
        <w:rPr>
          <w:rFonts w:ascii="Arial" w:hAnsi="Arial" w:cs="Arial"/>
        </w:rPr>
        <w:t xml:space="preserve">CPT - </w:t>
      </w:r>
      <w:r w:rsidRPr="005A5A82">
        <w:rPr>
          <w:rFonts w:ascii="Arial" w:hAnsi="Arial" w:cs="Arial"/>
        </w:rPr>
        <w:t xml:space="preserve">OR=0.4, 95%CI: 0.2, 0.7).  </w:t>
      </w:r>
    </w:p>
    <w:p w14:paraId="5CEC4240" w14:textId="77777777" w:rsidR="00267017" w:rsidRPr="005A5A82" w:rsidRDefault="00267017" w:rsidP="005A5A82">
      <w:pPr>
        <w:pStyle w:val="NoSpacing"/>
        <w:spacing w:line="360" w:lineRule="auto"/>
        <w:rPr>
          <w:rFonts w:ascii="Arial" w:hAnsi="Arial" w:cs="Arial"/>
        </w:rPr>
      </w:pPr>
    </w:p>
    <w:p w14:paraId="77912239" w14:textId="7A7B07EF" w:rsidR="00CB62E5" w:rsidRPr="005A5A82" w:rsidRDefault="00CB62E5" w:rsidP="005A5A82">
      <w:pPr>
        <w:pStyle w:val="NoSpacing"/>
        <w:spacing w:line="360" w:lineRule="auto"/>
        <w:rPr>
          <w:rFonts w:ascii="Arial" w:hAnsi="Arial" w:cs="Arial"/>
        </w:rPr>
      </w:pPr>
      <w:r w:rsidRPr="005A5A82">
        <w:rPr>
          <w:rFonts w:ascii="Arial" w:hAnsi="Arial" w:cs="Arial"/>
        </w:rPr>
        <w:t>The patients’ demographics, health facility level and prior TB registration and/or exposure to TB medication or IPT and diagnostic classifications were not significant predictors for treatment outcomes of tuberculosis. The covariates of the region of the DOTS service, HIV coinfection, TB regimen, cotrimoxazole prophylaxis and sputum conversion at 2 months were identified as independent risk factors for successful treatment outcomes for first line regimens (Table 2).</w:t>
      </w:r>
    </w:p>
    <w:p w14:paraId="7382B661" w14:textId="77777777" w:rsidR="00751E80" w:rsidRDefault="00751E80" w:rsidP="005A5A82">
      <w:pPr>
        <w:pStyle w:val="NoSpacing"/>
        <w:spacing w:line="360" w:lineRule="auto"/>
        <w:rPr>
          <w:rFonts w:ascii="Arial" w:hAnsi="Arial" w:cs="Arial"/>
        </w:rPr>
      </w:pPr>
    </w:p>
    <w:p w14:paraId="0AC022A2" w14:textId="119DF312" w:rsidR="00CB62E5" w:rsidRPr="005A5A82" w:rsidRDefault="00267017" w:rsidP="005A5A82">
      <w:pPr>
        <w:pStyle w:val="NoSpacing"/>
        <w:spacing w:line="360" w:lineRule="auto"/>
        <w:rPr>
          <w:rFonts w:ascii="Arial" w:hAnsi="Arial" w:cs="Arial"/>
          <w:b/>
        </w:rPr>
      </w:pPr>
      <w:r w:rsidRPr="005A5A82">
        <w:rPr>
          <w:rFonts w:ascii="Arial" w:hAnsi="Arial" w:cs="Arial"/>
          <w:b/>
        </w:rPr>
        <w:lastRenderedPageBreak/>
        <w:t xml:space="preserve">4. </w:t>
      </w:r>
      <w:r w:rsidR="00CB62E5" w:rsidRPr="005A5A82">
        <w:rPr>
          <w:rFonts w:ascii="Arial" w:hAnsi="Arial" w:cs="Arial"/>
          <w:b/>
        </w:rPr>
        <w:t>D</w:t>
      </w:r>
      <w:r w:rsidR="004B54C3" w:rsidRPr="005A5A82">
        <w:rPr>
          <w:rFonts w:ascii="Arial" w:hAnsi="Arial" w:cs="Arial"/>
          <w:b/>
        </w:rPr>
        <w:t>iscussion</w:t>
      </w:r>
    </w:p>
    <w:p w14:paraId="78A206E7" w14:textId="77777777" w:rsidR="00267017" w:rsidRPr="005A5A82" w:rsidRDefault="00267017" w:rsidP="005A5A82">
      <w:pPr>
        <w:pStyle w:val="NoSpacing"/>
        <w:spacing w:line="360" w:lineRule="auto"/>
        <w:rPr>
          <w:rFonts w:ascii="Arial" w:hAnsi="Arial" w:cs="Arial"/>
          <w:shd w:val="clear" w:color="auto" w:fill="FFFFFF"/>
        </w:rPr>
      </w:pPr>
    </w:p>
    <w:p w14:paraId="07FD4EDC" w14:textId="12C5BB46" w:rsidR="00CB62E5" w:rsidRPr="005A5A82" w:rsidRDefault="00CB62E5" w:rsidP="005A5A82">
      <w:pPr>
        <w:pStyle w:val="NoSpacing"/>
        <w:spacing w:line="360" w:lineRule="auto"/>
        <w:rPr>
          <w:rFonts w:ascii="Arial" w:hAnsi="Arial" w:cs="Arial"/>
          <w:shd w:val="clear" w:color="auto" w:fill="FFFFFF"/>
        </w:rPr>
      </w:pPr>
      <w:r w:rsidRPr="005A5A82">
        <w:rPr>
          <w:rFonts w:ascii="Arial" w:hAnsi="Arial" w:cs="Arial"/>
          <w:shd w:val="clear" w:color="auto" w:fill="FFFFFF"/>
        </w:rPr>
        <w:t xml:space="preserve">The study determined patient, programmatic and diagnostic predictors of treatment success of first-line TB treatment in Namibia (Table 1). The period prevalence of DOTS treatment success in Namibia was 80%, </w:t>
      </w:r>
      <w:r w:rsidR="00267017" w:rsidRPr="005A5A82">
        <w:rPr>
          <w:rFonts w:ascii="Arial" w:hAnsi="Arial" w:cs="Arial"/>
          <w:shd w:val="clear" w:color="auto" w:fill="FFFFFF"/>
        </w:rPr>
        <w:t>which varied</w:t>
      </w:r>
      <w:r w:rsidRPr="005A5A82">
        <w:rPr>
          <w:rFonts w:ascii="Arial" w:hAnsi="Arial" w:cs="Arial"/>
          <w:shd w:val="clear" w:color="auto" w:fill="FFFFFF"/>
        </w:rPr>
        <w:t xml:space="preserve"> across the regions in Namibia</w:t>
      </w:r>
      <w:r w:rsidR="00267017" w:rsidRPr="005A5A82">
        <w:rPr>
          <w:rFonts w:ascii="Arial" w:hAnsi="Arial" w:cs="Arial"/>
          <w:shd w:val="clear" w:color="auto" w:fill="FFFFFF"/>
        </w:rPr>
        <w:t>. However, t</w:t>
      </w:r>
      <w:r w:rsidRPr="005A5A82">
        <w:rPr>
          <w:rFonts w:ascii="Arial" w:hAnsi="Arial" w:cs="Arial"/>
          <w:shd w:val="clear" w:color="auto" w:fill="FFFFFF"/>
        </w:rPr>
        <w:t>his falls short of the global TSR targets to End TB in Namibia.</w:t>
      </w:r>
    </w:p>
    <w:p w14:paraId="1BC715A1" w14:textId="77777777" w:rsidR="00CB62E5" w:rsidRPr="005A5A82" w:rsidRDefault="00CB62E5" w:rsidP="005A5A82">
      <w:pPr>
        <w:pStyle w:val="NoSpacing"/>
        <w:spacing w:line="360" w:lineRule="auto"/>
        <w:rPr>
          <w:rFonts w:ascii="Arial" w:hAnsi="Arial" w:cs="Arial"/>
          <w:shd w:val="clear" w:color="auto" w:fill="FFFFFF"/>
        </w:rPr>
      </w:pPr>
      <w:r w:rsidRPr="005A5A82">
        <w:rPr>
          <w:rFonts w:ascii="Arial" w:hAnsi="Arial" w:cs="Arial"/>
          <w:shd w:val="clear" w:color="auto" w:fill="FFFFFF"/>
        </w:rPr>
        <w:t xml:space="preserve"> </w:t>
      </w:r>
    </w:p>
    <w:p w14:paraId="3F9594CF" w14:textId="63A3AA14" w:rsidR="00CB62E5" w:rsidRPr="005A5A82" w:rsidRDefault="00CB62E5" w:rsidP="005A5A82">
      <w:pPr>
        <w:pStyle w:val="NoSpacing"/>
        <w:spacing w:line="360" w:lineRule="auto"/>
        <w:rPr>
          <w:rFonts w:ascii="Arial" w:hAnsi="Arial" w:cs="Arial"/>
          <w:shd w:val="clear" w:color="auto" w:fill="FFFFFF"/>
        </w:rPr>
      </w:pPr>
      <w:r w:rsidRPr="005A5A82">
        <w:rPr>
          <w:rFonts w:ascii="Arial" w:hAnsi="Arial" w:cs="Arial"/>
          <w:shd w:val="clear" w:color="auto" w:fill="FFFFFF"/>
        </w:rPr>
        <w:t>These findings are consistent with the WHO global tuberculosis reports on in LMIC and Namibia that depict marginal improvements in past five years</w:t>
      </w:r>
      <w:r w:rsidRPr="005A5A82">
        <w:rPr>
          <w:rFonts w:ascii="Arial" w:hAnsi="Arial" w:cs="Arial"/>
          <w:shd w:val="clear" w:color="auto" w:fill="FFFFFF"/>
        </w:rPr>
        <w:fldChar w:fldCharType="begin" w:fldLock="1"/>
      </w:r>
      <w:r w:rsidRPr="005A5A82">
        <w:rPr>
          <w:rFonts w:ascii="Arial" w:hAnsi="Arial" w:cs="Arial"/>
          <w:shd w:val="clear" w:color="auto" w:fill="FFFFFF"/>
        </w:rPr>
        <w:instrText>ADDIN CSL_CITATION { "citationItems" : [ { "id" : "ITEM-1", "itemData" : { "author" : [ { "dropping-particle" : "", "family" : "MoHSS", "given" : "", "non-dropping-particle" : "", "parse-names" : false, "suffix" : "" } ], "id" : "ITEM-1", "issued" : { "date-parts" : [ [ "2015" ] ] }, "title" : "Republic of Namibia Ministry of Health and Social Services National Tuberculosis and Leprosy Programme Annual Report : 2014-2015", "type" : "report" }, "uris" : [ "http://www.mendeley.com/documents/?uuid=13fe6e21-d85b-3e42-8c74-7e0de353fe19" ] }, { "id" : "ITEM-2", "itemData" : { "DOI" : "ISBN 978 92 4 156539 4", "ISBN" : "9789241565394", "ISSN" : "0893-8512", "PMID" : "12857778", "abstract" : "The Sustainable Development Goals (SDGs) for 2030 were adopted by the United Nations in 2015. One of the targets is to end the global TB epidemic. The WHO End TB Strategy, approved by the World Health Assembly in 2014, calls for a 90% reduction in TB deaths and an 80% reduction in the TB incidence rate by 2030, compared with 2015. This global TB report is the first to be produced in the era of the SDGs and the End TB Strategy. It provides an assessment of the TB epidemic and progress in TB diagnosis, treatment and prevention efforts, as well as an overview of TB-specific financing and research. It also discusses the broader agenda of universal health coverage, social protection and other SDGs that have an impact on health. Data were available for 202 countries and territories that account for over 99% of the world\u2019s population and TB cases. Abbreviations -- Acknowledgements -- Executive summary -- Chapter 1. Introduction -- Chapter 2. A new era of global TB monitoring -- Chapter 3. TB disease burden -- Chapter 4. Diagnosis and treatment: TB, HIV-associated TB and drug-resistant TB -- Chapter 5. TB prevention services -- Chapter 6. Universal health coverage, social protection and addressing social determinants: implications for TB -- Chapter 7. TB financing -- Chapter 8. TB research and development -- Annexes -- 1. Access to the WHO global TB database -- 2. Country profiles for 30 high TB burden countries -- 3. Regional profiles for 6 WHO regions -- 4. TB burden estimates, notifications and treatment outcomes for individual countries and terriroties, WHO regions and the world.", "author" : [ { "dropping-particle" : "", "family" : "World Health Organization", "given" : "World Health", "non-dropping-particle" : "", "parse-names" : false, "suffix" : "" } ], "container-title" : "WHO", "id" : "ITEM-2", "issued" : { "date-parts" : [ [ "2016" ] ] }, "number-of-pages" : "201", "title" : "Global tuberculosis report 2016", "type" : "book" }, "uris" : [ "http://www.mendeley.com/documents/?uuid=5c698e1b-fa7e-4776-83a1-b7496da90363" ] } ], "mendeley" : { "formattedCitation" : "&lt;sup&gt;17,29&lt;/sup&gt;", "plainTextFormattedCitation" : "17,29", "previouslyFormattedCitation" : "&lt;sup&gt;17,29&lt;/sup&gt;" }, "properties" : { "noteIndex" : 0 }, "schema" : "https://github.com/citation-style-language/schema/raw/master/csl-citation.json" }</w:instrText>
      </w:r>
      <w:r w:rsidRPr="005A5A82">
        <w:rPr>
          <w:rFonts w:ascii="Arial" w:hAnsi="Arial" w:cs="Arial"/>
          <w:shd w:val="clear" w:color="auto" w:fill="FFFFFF"/>
        </w:rPr>
        <w:fldChar w:fldCharType="separate"/>
      </w:r>
      <w:r w:rsidRPr="005A5A82">
        <w:rPr>
          <w:rFonts w:ascii="Arial" w:hAnsi="Arial" w:cs="Arial"/>
          <w:noProof/>
          <w:shd w:val="clear" w:color="auto" w:fill="FFFFFF"/>
          <w:vertAlign w:val="superscript"/>
        </w:rPr>
        <w:t>17,29</w:t>
      </w:r>
      <w:r w:rsidRPr="005A5A82">
        <w:rPr>
          <w:rFonts w:ascii="Arial" w:hAnsi="Arial" w:cs="Arial"/>
          <w:shd w:val="clear" w:color="auto" w:fill="FFFFFF"/>
        </w:rPr>
        <w:fldChar w:fldCharType="end"/>
      </w:r>
      <w:r w:rsidRPr="005A5A82">
        <w:rPr>
          <w:rFonts w:ascii="Arial" w:hAnsi="Arial" w:cs="Arial"/>
          <w:shd w:val="clear" w:color="auto" w:fill="FFFFFF"/>
        </w:rPr>
        <w:t>.  However, of concern</w:t>
      </w:r>
      <w:r w:rsidR="00267017" w:rsidRPr="005A5A82">
        <w:rPr>
          <w:rFonts w:ascii="Arial" w:hAnsi="Arial" w:cs="Arial"/>
          <w:shd w:val="clear" w:color="auto" w:fill="FFFFFF"/>
        </w:rPr>
        <w:t>,</w:t>
      </w:r>
      <w:r w:rsidRPr="005A5A82">
        <w:rPr>
          <w:rFonts w:ascii="Arial" w:hAnsi="Arial" w:cs="Arial"/>
          <w:shd w:val="clear" w:color="auto" w:fill="FFFFFF"/>
        </w:rPr>
        <w:t xml:space="preserve"> is that majority of the treatment success end points (61%) in Namibia were due to treatment completion rather than cure</w:t>
      </w:r>
      <w:r w:rsidR="00D973DD" w:rsidRPr="005A5A82">
        <w:rPr>
          <w:rFonts w:ascii="Arial" w:hAnsi="Arial" w:cs="Arial"/>
          <w:shd w:val="clear" w:color="auto" w:fill="FFFFFF"/>
        </w:rPr>
        <w:t xml:space="preserve"> (Figure 2)</w:t>
      </w:r>
      <w:r w:rsidRPr="005A5A82">
        <w:rPr>
          <w:rFonts w:ascii="Arial" w:hAnsi="Arial" w:cs="Arial"/>
          <w:shd w:val="clear" w:color="auto" w:fill="FFFFFF"/>
        </w:rPr>
        <w:t>. Previous studies in the Omaheke region in Namibia</w:t>
      </w:r>
      <w:r w:rsidR="00267017" w:rsidRPr="005A5A82">
        <w:rPr>
          <w:rFonts w:ascii="Arial" w:hAnsi="Arial" w:cs="Arial"/>
          <w:shd w:val="clear" w:color="auto" w:fill="FFFFFF"/>
        </w:rPr>
        <w:t>,</w:t>
      </w:r>
      <w:r w:rsidRPr="005A5A82">
        <w:rPr>
          <w:rFonts w:ascii="Arial" w:hAnsi="Arial" w:cs="Arial"/>
          <w:shd w:val="clear" w:color="auto" w:fill="FFFFFF"/>
        </w:rPr>
        <w:t xml:space="preserve"> and in other LMIC</w:t>
      </w:r>
      <w:r w:rsidR="005924B2" w:rsidRPr="005A5A82">
        <w:rPr>
          <w:rFonts w:ascii="Arial" w:hAnsi="Arial" w:cs="Arial"/>
          <w:shd w:val="clear" w:color="auto" w:fill="FFFFFF"/>
        </w:rPr>
        <w:t>s</w:t>
      </w:r>
      <w:r w:rsidRPr="005A5A82">
        <w:rPr>
          <w:rFonts w:ascii="Arial" w:hAnsi="Arial" w:cs="Arial"/>
          <w:shd w:val="clear" w:color="auto" w:fill="FFFFFF"/>
        </w:rPr>
        <w:t xml:space="preserve"> such as Uganda and South Africa</w:t>
      </w:r>
      <w:r w:rsidR="00267017" w:rsidRPr="005A5A82">
        <w:rPr>
          <w:rFonts w:ascii="Arial" w:hAnsi="Arial" w:cs="Arial"/>
          <w:shd w:val="clear" w:color="auto" w:fill="FFFFFF"/>
        </w:rPr>
        <w:t>,</w:t>
      </w:r>
      <w:r w:rsidRPr="005A5A82">
        <w:rPr>
          <w:rFonts w:ascii="Arial" w:hAnsi="Arial" w:cs="Arial"/>
          <w:shd w:val="clear" w:color="auto" w:fill="FFFFFF"/>
        </w:rPr>
        <w:t xml:space="preserve"> suggest that low acceptance and poor implementation of CB-DOTS a</w:t>
      </w:r>
      <w:r w:rsidR="00267017" w:rsidRPr="005A5A82">
        <w:rPr>
          <w:rFonts w:ascii="Arial" w:hAnsi="Arial" w:cs="Arial"/>
          <w:shd w:val="clear" w:color="auto" w:fill="FFFFFF"/>
        </w:rPr>
        <w:t>re due to</w:t>
      </w:r>
      <w:r w:rsidRPr="005A5A82">
        <w:rPr>
          <w:rFonts w:ascii="Arial" w:hAnsi="Arial" w:cs="Arial"/>
          <w:shd w:val="clear" w:color="auto" w:fill="FFFFFF"/>
        </w:rPr>
        <w:t xml:space="preserve"> social, cultural, programmatic factors </w:t>
      </w:r>
      <w:r w:rsidRPr="005A5A82">
        <w:rPr>
          <w:rFonts w:ascii="Arial" w:hAnsi="Arial" w:cs="Arial"/>
          <w:shd w:val="clear" w:color="auto" w:fill="FFFFFF"/>
        </w:rPr>
        <w:fldChar w:fldCharType="begin" w:fldLock="1"/>
      </w:r>
      <w:r w:rsidRPr="005A5A82">
        <w:rPr>
          <w:rFonts w:ascii="Arial" w:hAnsi="Arial" w:cs="Arial"/>
          <w:shd w:val="clear" w:color="auto" w:fill="FFFFFF"/>
        </w:rPr>
        <w:instrText>ADDIN CSL_CITATION { "citationItems" : [ { "id" : "ITEM-1", "itemData" : { "DOI" : "10.1016/j.ijmyco.2014.07.009", "ISBN" : "2212-5531\\r2212-554X", "ISSN" : "2212554X", "PMID" : "2014979186", "abstract" : "Setting: Namibia faces a high burden of tuberculosis (TB) and HIV-infection. In 2011, 50% of the TB patients were co-infected with HIV. While all patients co-infected with TB and HIV are eligible for antiretroviral treatment (ART), only 54% were reported to have received ART according to national data. Objective: To explore the perspective of healthcare professionals on barriers to access to ART for HIV-positive TB patients. Design: Nine semi-structured qualitative interviews were conducted with healthcare professionals from TB and HIV services in Windhoek in 2012 to investigate access barriers to ART for HIV-positive TB patients in Namibia. Results: Many barriers known from other African countries were also present in Namibia. The barriers rated as most important were: staff shortage (health system level); limited training (healthcare worker level); and fear of stigma and discrimination (patient/community level). Direct treatment costs and limited availability of antiretroviral medication were not observed as barriers. Interference with TB treatment and ART by some Pentecostal churches was revealed as an important barrier that has not yet received sufficient attention. Conclusion: The study identified access barriers to ART for HIV-positive TB patients and their relevance in Namibia. The findings provide evidence for tailored interventions to increase ART-uptake among HIV-positive TB patients.", "author" : [ { "dropping-particle" : "", "family" : "Seeling", "given" : "Stefanie", "non-dropping-particle" : "", "parse-names" : false, "suffix" : "" }, { "dropping-particle" : "", "family" : "Mavhunga", "given" : "Farai", "non-dropping-particle" : "", "parse-names" : false, "suffix" : "" }, { "dropping-particle" : "", "family" : "Thomas", "given" : "Albertina", "non-dropping-particle" : "", "parse-names" : false, "suffix" : "" }, { "dropping-particle" : "", "family" : "Adelberger", "given" : "Bettina", "non-dropping-particle" : "", "parse-names" : false, "suffix" : "" }, { "dropping-particle" : "", "family" : "Ulrichs", "given" : "Timo", "non-dropping-particle" : "", "parse-names" : false, "suffix" : "" } ], "container-title" : "International Journal of Mycobacteriology", "id" : "ITEM-1", "issue" : "4", "issued" : { "date-parts" : [ [ "2014" ] ] }, "page" : "268-275", "title" : "Barriers to access to antiretroviral treatment for HIV-positive tuberculosis patients in Windhoek, Namibia", "type" : "article-journal", "volume" : "3" }, "uris" : [ "http://www.mendeley.com/documents/?uuid=40caa65f-3e3b-4f2f-a2b9-c8a90b2e8b94" ] }, { "id" : "ITEM-2", "itemData" : { "DOI" : "10.1371/journal.pone.0042458", "ISBN" : "1291301615", "ISSN" : "19326203", "PMID" : "27430557", "abstract" : "In India, the Revised National TB control programme (RNTCP) offers free diagnosis and treatment for tuberculosis (TB), based on the Directly Observed Treatment Short course (DOTS) strategy. We conducted a qualitative study to explore the experience and consequences of having TB on patients enrolled in DOTS and their caretakers in Tumkur district, located in a southern state of India, Karnataka. We conducted 33 in-depth interviews on a purposive sample of TB patients from three groups: (1) patients who reached RNTCP directly on their own and took DOTS at RNTCP; (2) patients who were referred by private practitioners (PPs) to RNTCP and took DOTS at RNTCP; and (3) patients diagnosed by RNTCP and took DOTS from PPs. Data was analyzed using a thematic approach with the support of NVivo9. The study revealed that TB and DOTS have a large impact on patient\u2019s lives, which is often extended to the family and caretakers. The most vulnerable patients faced the most difficulty in accessing and completing DOTS. The family was the main source of support during patient\u2019s recovery. Patients residing in rural areas and, taking DOTS from the government facilities had to overcome many barriers to adhere to the DOTS therapy, such as long travelling distance to DOTS centers, inconvenient timings and unfavorable attitude of the RNTCP staff, when compared to patients who took DOTS from PPs. Advantages of taking DOTS from PPs cited by the patients were privacy, flexibility in timings, proximity and more immediate access to care. Patients and their family had to cope with stigmatization and fear and financial hardships that surfaced from TB and DOTS. Young patients living in urban areas were more worried about stigmatisation, than elderly patients living in rural areas. Patients who were referred by PPs experienced more financial problems compared to those who reached RNTCP services directly. Our study provided useful information about patient\u2019s needs and expectations while taking DOTS. The development of mechanisms within RNTCP towards patient centered care is needed to enable patients and caretakers cope with disease condition and adhere to DOTS.", "author" : [ { "dropping-particle" : "", "family" : "Kapoor", "given" : "Sunil K.", "non-dropping-particle" : "", "parse-names" : false, "suffix" : "" }, { "dropping-particle" : "", "family" : "Raman", "given" : "A. Venkat", "non-dropping-particle" : "", "parse-names" : false, "suffix" : "" }, { "dropping-particle" : "", "family" : "Sachdeva", "given" : "Kuldeep Singh", "non-dropping-particle" : "", "parse-names" : false, "suffix" : "" }, { "dropping-particle" : "", "family" : "Satyanarayana", "given" : "Srinath", "non-dropping-particle" : "", "parse-names" : false, "suffix" : "" } ], "container-title" : "PLoS ONE", "id" : "ITEM-2", "issue" : "8", "issued" : { "date-parts" : [ [ "2012" ] ] }, "title" : "How did the TB patients reach DOTS services in Delhi? a study of patient treatment seeking behavior", "type" : "article-journal", "volume" : "7" }, "uris" : [ "http://www.mendeley.com/documents/?uuid=5bf9f356-b0f4-44f0-81f6-7a0a5beb0160" ] } ], "mendeley" : { "formattedCitation" : "&lt;sup&gt;21,30&lt;/sup&gt;", "plainTextFormattedCitation" : "21,30", "previouslyFormattedCitation" : "&lt;sup&gt;21,30&lt;/sup&gt;" }, "properties" : { "noteIndex" : 0 }, "schema" : "https://github.com/citation-style-language/schema/raw/master/csl-citation.json" }</w:instrText>
      </w:r>
      <w:r w:rsidRPr="005A5A82">
        <w:rPr>
          <w:rFonts w:ascii="Arial" w:hAnsi="Arial" w:cs="Arial"/>
          <w:shd w:val="clear" w:color="auto" w:fill="FFFFFF"/>
        </w:rPr>
        <w:fldChar w:fldCharType="separate"/>
      </w:r>
      <w:r w:rsidRPr="005A5A82">
        <w:rPr>
          <w:rFonts w:ascii="Arial" w:hAnsi="Arial" w:cs="Arial"/>
          <w:noProof/>
          <w:shd w:val="clear" w:color="auto" w:fill="FFFFFF"/>
          <w:vertAlign w:val="superscript"/>
        </w:rPr>
        <w:t>21,30</w:t>
      </w:r>
      <w:r w:rsidRPr="005A5A82">
        <w:rPr>
          <w:rFonts w:ascii="Arial" w:hAnsi="Arial" w:cs="Arial"/>
          <w:shd w:val="clear" w:color="auto" w:fill="FFFFFF"/>
        </w:rPr>
        <w:fldChar w:fldCharType="end"/>
      </w:r>
      <w:r w:rsidR="00267017" w:rsidRPr="005A5A82">
        <w:rPr>
          <w:rFonts w:ascii="Arial" w:hAnsi="Arial" w:cs="Arial"/>
          <w:shd w:val="clear" w:color="auto" w:fill="FFFFFF"/>
        </w:rPr>
        <w:t xml:space="preserve">. These factors together with </w:t>
      </w:r>
      <w:r w:rsidRPr="005A5A82">
        <w:rPr>
          <w:rFonts w:ascii="Arial" w:hAnsi="Arial" w:cs="Arial"/>
          <w:shd w:val="clear" w:color="auto" w:fill="FFFFFF"/>
        </w:rPr>
        <w:t>access to DOTS services</w:t>
      </w:r>
      <w:r w:rsidRPr="005A5A82">
        <w:rPr>
          <w:rFonts w:ascii="Arial" w:hAnsi="Arial" w:cs="Arial"/>
          <w:shd w:val="clear" w:color="auto" w:fill="FFFFFF"/>
        </w:rPr>
        <w:fldChar w:fldCharType="begin" w:fldLock="1"/>
      </w:r>
      <w:r w:rsidRPr="005A5A82">
        <w:rPr>
          <w:rFonts w:ascii="Arial" w:hAnsi="Arial" w:cs="Arial"/>
          <w:shd w:val="clear" w:color="auto" w:fill="FFFFFF"/>
        </w:rPr>
        <w:instrText>ADDIN CSL_CITATION { "citationItems" : [ { "id" : "ITEM-1", "itemData" : { "DOI" : "10.1016/S0140-6736(15)60570-0", "ISBN" : "1474-547X (Electronic)\\r0140-6736 (Linking)", "ISSN" : "1474547X", "PMID" : "25814376", "abstract" : "The article comments on the World Health Organization's (WHO) End TB Strategy which focuses on the care, prevention and control of tuberculosis (TB) after 2015. Topics discussed include the vision of a zero-TB world, a reduction in TB cases in rich countries through the delivery of adequate TB services and universal health care access, and major barriers to global TB control which include weak health systems, the lack of safer and better drugs and vaccines, poverty and malnutrition.", "author" : [ { "dropping-particle" : "", "family" : "Uplekar", "given" : "Mukund", "non-dropping-particle" : "", "parse-names" : false, "suffix" : "" }, { "dropping-particle" : "", "family" : "Weil", "given" : "Diana", "non-dropping-particle" : "", "parse-names" : false, "suffix" : "" }, { "dropping-particle" : "", "family" : "Lonnroth", "given" : "Knut", "non-dropping-particle" : "", "parse-names" : false, "suffix" : "" }, { "dropping-particle" : "", "family" : "Jaramillo", "given" : "Ernesto", "non-dropping-particle" : "", "parse-names" : false, "suffix" : "" }, { "dropping-particle" : "", "family" : "Lienhardt", "given" : "Christian", "non-dropping-particle" : "", "parse-names" : false, "suffix" : "" }, { "dropping-particle" : "", "family" : "Dias", "given" : "Hannah Monica", "non-dropping-particle" : "", "parse-names" : false, "suffix" : "" }, { "dropping-particle" : "", "family" : "Falzon", "given" : "Dennis", "non-dropping-particle" : "", "parse-names" : false, "suffix" : "" }, { "dropping-particle" : "", "family" : "Floyd", "given" : "Katherine", "non-dropping-particle" : "", "parse-names" : false, "suffix" : "" }, { "dropping-particle" : "", "family" : "Gargioni", "given" : "Giuliano", "non-dropping-particle" : "", "parse-names" : false, "suffix" : "" }, { "dropping-particle" : "", "family" : "Getahun", "given" : "Haileyesus", "non-dropping-particle" : "", "parse-names" : false, "suffix" : "" }, { "dropping-particle" : "", "family" : "Gilpin", "given" : "Christopher", "non-dropping-particle" : "", "parse-names" : false, "suffix" : "" }, { "dropping-particle" : "", "family" : "Glaziou", "given" : "Philippe", "non-dropping-particle" : "", "parse-names" : false, "suffix" : "" }, { "dropping-particle" : "", "family" : "Grzemska", "given" : "Malgorzata", "non-dropping-particle" : "", "parse-names" : false, "suffix" : "" }, { "dropping-particle" : "", "family" : "Mirzayev", "given" : "Fuad", "non-dropping-particle" : "", "parse-names" : false, "suffix" : "" }, { "dropping-particle" : "", "family" : "Nakatani", "given" : "Hiroki", "non-dropping-particle" : "", "parse-names" : false, "suffix" : "" }, { "dropping-particle" : "", "family" : "Raviglione", "given" : "Mario", "non-dropping-particle" : "", "parse-names" : false, "suffix" : "" } ], "container-title" : "The Lancet", "id" : "ITEM-1", "issue" : "9979", "issued" : { "date-parts" : [ [ "2015" ] ] }, "page" : "1799-1801", "title" : "WHO's new end TB strategy", "type" : "article", "volume" : "385" }, "uris" : [ "http://www.mendeley.com/documents/?uuid=ab972af6-9c21-4fe2-93fc-419cac8dc464" ] } ], "mendeley" : { "formattedCitation" : "&lt;sup&gt;31&lt;/sup&gt;", "plainTextFormattedCitation" : "31", "previouslyFormattedCitation" : "&lt;sup&gt;31&lt;/sup&gt;" }, "properties" : { "noteIndex" : 0 }, "schema" : "https://github.com/citation-style-language/schema/raw/master/csl-citation.json" }</w:instrText>
      </w:r>
      <w:r w:rsidRPr="005A5A82">
        <w:rPr>
          <w:rFonts w:ascii="Arial" w:hAnsi="Arial" w:cs="Arial"/>
          <w:shd w:val="clear" w:color="auto" w:fill="FFFFFF"/>
        </w:rPr>
        <w:fldChar w:fldCharType="separate"/>
      </w:r>
      <w:r w:rsidRPr="005A5A82">
        <w:rPr>
          <w:rFonts w:ascii="Arial" w:hAnsi="Arial" w:cs="Arial"/>
          <w:noProof/>
          <w:shd w:val="clear" w:color="auto" w:fill="FFFFFF"/>
          <w:vertAlign w:val="superscript"/>
        </w:rPr>
        <w:t>31</w:t>
      </w:r>
      <w:r w:rsidRPr="005A5A82">
        <w:rPr>
          <w:rFonts w:ascii="Arial" w:hAnsi="Arial" w:cs="Arial"/>
          <w:shd w:val="clear" w:color="auto" w:fill="FFFFFF"/>
        </w:rPr>
        <w:fldChar w:fldCharType="end"/>
      </w:r>
      <w:r w:rsidRPr="005A5A82">
        <w:rPr>
          <w:rFonts w:ascii="Arial" w:hAnsi="Arial" w:cs="Arial"/>
          <w:shd w:val="clear" w:color="auto" w:fill="FFFFFF"/>
        </w:rPr>
        <w:t xml:space="preserve"> </w:t>
      </w:r>
      <w:r w:rsidR="00267017" w:rsidRPr="005A5A82">
        <w:rPr>
          <w:rFonts w:ascii="Arial" w:hAnsi="Arial" w:cs="Arial"/>
          <w:shd w:val="clear" w:color="auto" w:fill="FFFFFF"/>
        </w:rPr>
        <w:t xml:space="preserve">are </w:t>
      </w:r>
      <w:r w:rsidRPr="005A5A82">
        <w:rPr>
          <w:rFonts w:ascii="Arial" w:hAnsi="Arial" w:cs="Arial"/>
          <w:shd w:val="clear" w:color="auto" w:fill="FFFFFF"/>
        </w:rPr>
        <w:t>important drivers of poor TB treatment outcomes</w:t>
      </w:r>
      <w:r w:rsidRPr="005A5A82">
        <w:rPr>
          <w:rFonts w:ascii="Arial" w:hAnsi="Arial" w:cs="Arial"/>
          <w:shd w:val="clear" w:color="auto" w:fill="FFFFFF"/>
        </w:rPr>
        <w:fldChar w:fldCharType="begin" w:fldLock="1"/>
      </w:r>
      <w:r w:rsidRPr="005A5A82">
        <w:rPr>
          <w:rFonts w:ascii="Arial" w:hAnsi="Arial" w:cs="Arial"/>
          <w:shd w:val="clear" w:color="auto" w:fill="FFFFFF"/>
        </w:rPr>
        <w:instrText>ADDIN CSL_CITATION { "citationItems" : [ { "id" : "ITEM-1", "itemData" : { "ISSN" : "16825055", "author" : [ { "dropping-particle" : "", "family" : "Studies", "given" : "Health", "non-dropping-particle" : "", "parse-names" : false, "suffix" : "" }, { "dropping-particle" : "", "family" : "Ehlers", "given" : "Unisa", "non-dropping-particle" : "", "parse-names" : false, "suffix" : "" }, { "dropping-particle" : "", "family" : "Unisa", "given" : "Health Studies", "non-dropping-particle" : "", "parse-names" : false, "suffix" : "" } ], "id" : "ITEM-1", "issue" : "1", "issued" : { "date-parts" : [ [ "0" ] ] }, "page" : "59-72", "title" : "Factors associated with community-based tb care in the omaheke region, namibia", "type" : "article-journal", "volume" : "9" }, "uris" : [ "http://www.mendeley.com/documents/?uuid=5b7344ac-728a-493e-9aed-9d29f4a8e1d5" ] }, { "id" : "ITEM-2", "itemData" : { "DOI" : "10.1016/j.ijnurstu.2008.09.013", "ISBN" : "1873-491X (Electronic)\\r0020-7489 (Linking)", "ISSN" : "00207489", "PMID" : "18995854", "abstract" : "Background: Tuberculosis (TB) remains a widespread healthcare problem in Africa, although it can be cured within 6-8 months' effective treatment. However, many patients fail to adhere to TB treatment, resulting in failure to get cured and the possible development of multi-drug resistant TB (MDR TB). A community-based TB treatment programme, was started in the Omaheke region of Namibia during 2002. The efficacy of this community-based TB programme, compared to the standard hospital- and clinic-based TB treatment, was unknown. Objectives: The major objectives were to compare TB treatment outcomes for patients who used the community-based TB with those who chose the clinic/self-administered TB treatment option; and to identify advantages and disadvantages of community-based TB care as experienced by patients who had completed their community-based TB treatment. Design: A quasi-experimental study design was used to compare TB patients' treatment outcomes using checklists and exit interviews. Setting: The study was conducted in the Omaheke region of Namibia. Participants: TB patients (n = 332) who were hospitalised during the study period participated in the study. Methods: An analytic cohort prospective design was used to do follow-up visits, and complete checklists, of 332 TB patients. Structured exit interviews were conducted with 101 TB patients who had completed their community-based TB treatment. Results: Enhanced knowledge of TB patients improved their participation in community-based TB care. A family member was the most convenient, acceptable and accessible directly observed treatment (DOT) supervisor for 72.8% of the participants. A statistically significant difference in cure rates between community-based and the clinic/self-administered groups was found (??2 11.78; p ??? 0.05; and RR = 1.35; p = 0.05). The major advantages of community-based TB treatment included the ability to continue with one's daily activities during treatment and the saving of time and money. The major disadvantages included that the clinics ran out of TB drug supplies, patients did not always have food to eat after taking their pills and they could not get sufficient rest because they had to continue doing their daily chores. Conclusions: TB patients on the community-based TB treatment option had better cure rates than those on clinic/self-administered TB treatment (although it cannot be inferred that the community-based treatment caused the improved cure rates, because the\u2026", "author" : [ { "dropping-particle" : "", "family" : "Zvavamwe", "given" : "Zimbisayi", "non-dropping-particle" : "", "parse-names" : false, "suffix" : "" }, { "dropping-particle" : "", "family" : "Ehlers", "given" : "Valerie J.", "non-dropping-particle" : "", "parse-names" : false, "suffix" : "" } ], "container-title" : "International Journal of Nursing Studies", "id" : "ITEM-2", "issue" : "3", "issued" : { "date-parts" : [ [ "2009" ] ] }, "page" : "302-309", "title" : "Experiences of a community-based tuberculosis treatment programme in Namibia: A comparative cohort study", "type" : "article-journal", "volume" : "46" }, "uris" : [ "http://www.mendeley.com/documents/?uuid=f514d702-973e-40ff-b717-759ff112a1cb" ] }, { "id" : "ITEM-3", "itemData" : { "author" : [ { "dropping-particle" : "", "family" : "MUJASI", "given" : "PASCHAL NICHOLAS", "non-dropping-particle" : "", "parse-names" : false, "suffix" : "" } ], "id" : "ITEM-3", "issue" : "June", "issued" : { "date-parts" : [ [ "2013" ] ] }, "title" : "Factors Associated With Health Seeking Behaviour of Pulmonary Tuberculosis Patients in Butaleja District in Uganda", "type" : "article-journal" }, "uris" : [ "http://www.mendeley.com/documents/?uuid=e06fccb9-7a41-460b-8fc4-9ba55c54de7b" ] } ], "mendeley" : { "formattedCitation" : "&lt;sup&gt;18,20,32&lt;/sup&gt;", "plainTextFormattedCitation" : "18,20,32", "previouslyFormattedCitation" : "&lt;sup&gt;18,20,32&lt;/sup&gt;" }, "properties" : { "noteIndex" : 0 }, "schema" : "https://github.com/citation-style-language/schema/raw/master/csl-citation.json" }</w:instrText>
      </w:r>
      <w:r w:rsidRPr="005A5A82">
        <w:rPr>
          <w:rFonts w:ascii="Arial" w:hAnsi="Arial" w:cs="Arial"/>
          <w:shd w:val="clear" w:color="auto" w:fill="FFFFFF"/>
        </w:rPr>
        <w:fldChar w:fldCharType="separate"/>
      </w:r>
      <w:r w:rsidRPr="005A5A82">
        <w:rPr>
          <w:rFonts w:ascii="Arial" w:hAnsi="Arial" w:cs="Arial"/>
          <w:noProof/>
          <w:shd w:val="clear" w:color="auto" w:fill="FFFFFF"/>
          <w:vertAlign w:val="superscript"/>
        </w:rPr>
        <w:t>18,20,32</w:t>
      </w:r>
      <w:r w:rsidRPr="005A5A82">
        <w:rPr>
          <w:rFonts w:ascii="Arial" w:hAnsi="Arial" w:cs="Arial"/>
          <w:shd w:val="clear" w:color="auto" w:fill="FFFFFF"/>
        </w:rPr>
        <w:fldChar w:fldCharType="end"/>
      </w:r>
      <w:r w:rsidRPr="005A5A82">
        <w:rPr>
          <w:rFonts w:ascii="Arial" w:hAnsi="Arial" w:cs="Arial"/>
          <w:shd w:val="clear" w:color="auto" w:fill="FFFFFF"/>
        </w:rPr>
        <w:t>. This finding suggests the need to strengthen bacteriological monitoring of patients on treatment across all regions in Namibia to optimize case management, as recommended by the global End TB strategy</w:t>
      </w:r>
      <w:r w:rsidRPr="005A5A82">
        <w:rPr>
          <w:rFonts w:ascii="Arial" w:hAnsi="Arial" w:cs="Arial"/>
          <w:shd w:val="clear" w:color="auto" w:fill="FFFFFF"/>
        </w:rPr>
        <w:fldChar w:fldCharType="begin" w:fldLock="1"/>
      </w:r>
      <w:r w:rsidRPr="005A5A82">
        <w:rPr>
          <w:rFonts w:ascii="Arial" w:hAnsi="Arial" w:cs="Arial"/>
          <w:shd w:val="clear" w:color="auto" w:fill="FFFFFF"/>
        </w:rPr>
        <w:instrText>ADDIN CSL_CITATION { "citationItems" : [ { "id" : "ITEM-1", "itemData" : { "DOI" : "10.1016/S0140-6736(15)60570-0", "ISBN" : "1474-547X (Electronic)\\r0140-6736 (Linking)", "ISSN" : "1474547X", "PMID" : "25814376", "abstract" : "The article comments on the World Health Organization's (WHO) End TB Strategy which focuses on the care, prevention and control of tuberculosis (TB) after 2015. Topics discussed include the vision of a zero-TB world, a reduction in TB cases in rich countries through the delivery of adequate TB services and universal health care access, and major barriers to global TB control which include weak health systems, the lack of safer and better drugs and vaccines, poverty and malnutrition.", "author" : [ { "dropping-particle" : "", "family" : "Uplekar", "given" : "Mukund", "non-dropping-particle" : "", "parse-names" : false, "suffix" : "" }, { "dropping-particle" : "", "family" : "Weil", "given" : "Diana", "non-dropping-particle" : "", "parse-names" : false, "suffix" : "" }, { "dropping-particle" : "", "family" : "Lonnroth", "given" : "Knut", "non-dropping-particle" : "", "parse-names" : false, "suffix" : "" }, { "dropping-particle" : "", "family" : "Jaramillo", "given" : "Ernesto", "non-dropping-particle" : "", "parse-names" : false, "suffix" : "" }, { "dropping-particle" : "", "family" : "Lienhardt", "given" : "Christian", "non-dropping-particle" : "", "parse-names" : false, "suffix" : "" }, { "dropping-particle" : "", "family" : "Dias", "given" : "Hannah Monica", "non-dropping-particle" : "", "parse-names" : false, "suffix" : "" }, { "dropping-particle" : "", "family" : "Falzon", "given" : "Dennis", "non-dropping-particle" : "", "parse-names" : false, "suffix" : "" }, { "dropping-particle" : "", "family" : "Floyd", "given" : "Katherine", "non-dropping-particle" : "", "parse-names" : false, "suffix" : "" }, { "dropping-particle" : "", "family" : "Gargioni", "given" : "Giuliano", "non-dropping-particle" : "", "parse-names" : false, "suffix" : "" }, { "dropping-particle" : "", "family" : "Getahun", "given" : "Haileyesus", "non-dropping-particle" : "", "parse-names" : false, "suffix" : "" }, { "dropping-particle" : "", "family" : "Gilpin", "given" : "Christopher", "non-dropping-particle" : "", "parse-names" : false, "suffix" : "" }, { "dropping-particle" : "", "family" : "Glaziou", "given" : "Philippe", "non-dropping-particle" : "", "parse-names" : false, "suffix" : "" }, { "dropping-particle" : "", "family" : "Grzemska", "given" : "Malgorzata", "non-dropping-particle" : "", "parse-names" : false, "suffix" : "" }, { "dropping-particle" : "", "family" : "Mirzayev", "given" : "Fuad", "non-dropping-particle" : "", "parse-names" : false, "suffix" : "" }, { "dropping-particle" : "", "family" : "Nakatani", "given" : "Hiroki", "non-dropping-particle" : "", "parse-names" : false, "suffix" : "" }, { "dropping-particle" : "", "family" : "Raviglione", "given" : "Mario", "non-dropping-particle" : "", "parse-names" : false, "suffix" : "" } ], "container-title" : "The Lancet", "id" : "ITEM-1", "issue" : "9979", "issued" : { "date-parts" : [ [ "2015" ] ] }, "page" : "1799-1801", "title" : "WHO's new end TB strategy", "type" : "article", "volume" : "385" }, "uris" : [ "http://www.mendeley.com/documents/?uuid=ab972af6-9c21-4fe2-93fc-419cac8dc464" ] } ], "mendeley" : { "formattedCitation" : "&lt;sup&gt;31&lt;/sup&gt;", "plainTextFormattedCitation" : "31", "previouslyFormattedCitation" : "&lt;sup&gt;31&lt;/sup&gt;" }, "properties" : { "noteIndex" : 0 }, "schema" : "https://github.com/citation-style-language/schema/raw/master/csl-citation.json" }</w:instrText>
      </w:r>
      <w:r w:rsidRPr="005A5A82">
        <w:rPr>
          <w:rFonts w:ascii="Arial" w:hAnsi="Arial" w:cs="Arial"/>
          <w:shd w:val="clear" w:color="auto" w:fill="FFFFFF"/>
        </w:rPr>
        <w:fldChar w:fldCharType="separate"/>
      </w:r>
      <w:r w:rsidRPr="005A5A82">
        <w:rPr>
          <w:rFonts w:ascii="Arial" w:hAnsi="Arial" w:cs="Arial"/>
          <w:noProof/>
          <w:shd w:val="clear" w:color="auto" w:fill="FFFFFF"/>
          <w:vertAlign w:val="superscript"/>
        </w:rPr>
        <w:t>31</w:t>
      </w:r>
      <w:r w:rsidRPr="005A5A82">
        <w:rPr>
          <w:rFonts w:ascii="Arial" w:hAnsi="Arial" w:cs="Arial"/>
          <w:shd w:val="clear" w:color="auto" w:fill="FFFFFF"/>
        </w:rPr>
        <w:fldChar w:fldCharType="end"/>
      </w:r>
      <w:r w:rsidRPr="005A5A82">
        <w:rPr>
          <w:rFonts w:ascii="Arial" w:hAnsi="Arial" w:cs="Arial"/>
          <w:shd w:val="clear" w:color="auto" w:fill="FFFFFF"/>
        </w:rPr>
        <w:t xml:space="preserve">. </w:t>
      </w:r>
    </w:p>
    <w:p w14:paraId="5F7448E0" w14:textId="77777777" w:rsidR="00267017" w:rsidRPr="005A5A82" w:rsidRDefault="00267017" w:rsidP="005A5A82">
      <w:pPr>
        <w:pStyle w:val="NoSpacing"/>
        <w:spacing w:line="360" w:lineRule="auto"/>
        <w:rPr>
          <w:rFonts w:ascii="Arial" w:hAnsi="Arial" w:cs="Arial"/>
          <w:shd w:val="clear" w:color="auto" w:fill="FFFFFF"/>
        </w:rPr>
      </w:pPr>
    </w:p>
    <w:p w14:paraId="43B68957" w14:textId="0ACC7907" w:rsidR="00CB62E5" w:rsidRPr="005A5A82" w:rsidRDefault="00CB62E5" w:rsidP="005A5A82">
      <w:pPr>
        <w:pStyle w:val="NoSpacing"/>
        <w:spacing w:line="360" w:lineRule="auto"/>
        <w:rPr>
          <w:rFonts w:ascii="Arial" w:hAnsi="Arial" w:cs="Arial"/>
          <w:shd w:val="clear" w:color="auto" w:fill="FFFFFF"/>
        </w:rPr>
      </w:pPr>
      <w:r w:rsidRPr="005A5A82">
        <w:rPr>
          <w:rFonts w:ascii="Arial" w:hAnsi="Arial" w:cs="Arial"/>
        </w:rPr>
        <w:t xml:space="preserve">This study showed </w:t>
      </w:r>
      <w:r w:rsidR="005924B2" w:rsidRPr="005A5A82">
        <w:rPr>
          <w:rFonts w:ascii="Arial" w:hAnsi="Arial" w:cs="Arial"/>
        </w:rPr>
        <w:t xml:space="preserve">a </w:t>
      </w:r>
      <w:r w:rsidRPr="005A5A82">
        <w:rPr>
          <w:rFonts w:ascii="Arial" w:hAnsi="Arial" w:cs="Arial"/>
        </w:rPr>
        <w:t xml:space="preserve">significant association between TB treatment success and all programmatic, patient </w:t>
      </w:r>
      <w:r w:rsidR="005924B2" w:rsidRPr="005A5A82">
        <w:rPr>
          <w:rFonts w:ascii="Arial" w:hAnsi="Arial" w:cs="Arial"/>
        </w:rPr>
        <w:t xml:space="preserve">demographics </w:t>
      </w:r>
      <w:r w:rsidRPr="005A5A82">
        <w:rPr>
          <w:rFonts w:ascii="Arial" w:hAnsi="Arial" w:cs="Arial"/>
        </w:rPr>
        <w:t xml:space="preserve">such as sex and age, clinical (HIV coinfection, TB diagnosis and sputum conversion at month 2/3 and treatment covariates except IPT and prior ART exposure (Table 1). Similar studies </w:t>
      </w:r>
      <w:r w:rsidR="00267017" w:rsidRPr="005A5A82">
        <w:rPr>
          <w:rFonts w:ascii="Arial" w:hAnsi="Arial" w:cs="Arial"/>
        </w:rPr>
        <w:t xml:space="preserve">in </w:t>
      </w:r>
      <w:r w:rsidRPr="005A5A82">
        <w:rPr>
          <w:rFonts w:ascii="Arial" w:hAnsi="Arial" w:cs="Arial"/>
        </w:rPr>
        <w:t>South Africa</w:t>
      </w:r>
      <w:r w:rsidR="00267017" w:rsidRPr="005A5A82">
        <w:rPr>
          <w:rFonts w:ascii="Arial" w:hAnsi="Arial" w:cs="Arial"/>
        </w:rPr>
        <w:t xml:space="preserve"> and</w:t>
      </w:r>
      <w:r w:rsidRPr="005A5A82">
        <w:rPr>
          <w:rFonts w:ascii="Arial" w:hAnsi="Arial" w:cs="Arial"/>
        </w:rPr>
        <w:t xml:space="preserve"> Uganda</w:t>
      </w:r>
      <w:r w:rsidRPr="005A5A82">
        <w:rPr>
          <w:rFonts w:ascii="Arial" w:hAnsi="Arial" w:cs="Arial"/>
        </w:rPr>
        <w:fldChar w:fldCharType="begin" w:fldLock="1"/>
      </w:r>
      <w:r w:rsidRPr="005A5A82">
        <w:rPr>
          <w:rFonts w:ascii="Arial" w:hAnsi="Arial" w:cs="Arial"/>
        </w:rPr>
        <w:instrText>ADDIN CSL_CITATION { "citationItems" : [ { "id" : "ITEM-1", "itemData" : { "DOI" : "10.4314/ahs.v11i3.70079", "ISBN" : "1680-6905", "ISSN" : "16806905", "PMID" : "22135634", "abstract" : "INTRODUCTION Early identification of Tuberculosis (TB) treatment failure using cost effective means is urgently needed in developing nations. The study set out to describe affordable predictors of TB treatment failure in an African setting. OBJECTIVE To determine the predictors of treatment failure among patients with sputum smear positive pulmonary TB at Mulago hospital. The study was carried out in the TB clinic of Mulago hospital Kampala, Uganda. This was an unmatched case control study where fifty patients with a diagnosis of TB treatment failure (cases) and 100 patients declared cured after completing anti TB treatment (controls) were recruited into the study. Cases were compared with controls to determine predictors of treatment failure. RESULTS Significant predictors of treatment failure in this study included a positive sputum smear at 2 months of TB treatment (OR 20.63, 95%CI 5.42- 78.41) and poor adherence to anti TB treatment (OR 14.59, 95%CI 3.04-70.15). CONCLUSION This study identified a treatment related and a simple laboratory predictor of TB treatment failure in Mulago hospital which may be used in resource limited settings for early recognition of those at risk and early intervention.", "author" : [ { "dropping-particle" : "", "family" : "Namukwaya", "given" : "E.", "non-dropping-particle" : "", "parse-names" : false, "suffix" : "" }, { "dropping-particle" : "", "family" : "Nakwagala", "given" : "F. N.", "non-dropping-particle" : "", "parse-names" : false, "suffix" : "" }, { "dropping-particle" : "", "family" : "Mulekya", "given" : "F.", "non-dropping-particle" : "", "parse-names" : false, "suffix" : "" }, { "dropping-particle" : "", "family" : "Mayanja-Kizza", "given" : "H.", "non-dropping-particle" : "", "parse-names" : false, "suffix" : "" }, { "dropping-particle" : "", "family" : "Mugerwa", "given" : "R.", "non-dropping-particle" : "", "parse-names" : false, "suffix" : "" } ], "container-title" : "African Health Sciences", "id" : "ITEM-1", "issue" : "SPEC. ISSUE", "issued" : { "date-parts" : [ [ "2011" ] ] }, "title" : "Predictors of treatment failure among pulmonary tuberculosis patients in mulago hospital, Uganda", "type" : "article-journal", "volume" : "11" }, "uris" : [ "http://www.mendeley.com/documents/?uuid=851595d2-24db-4351-afba-b9cf278a6707" ] }, { "id" : "ITEM-2", "itemData" : { "DOI" : "10.1371/journal.pone.0074023", "ISBN" : "1932-6203; 1932-6203", "ISSN" : "19326203", "PMID" : "24040151", "abstract" : "IntroductionThe existing diagnostic algorithms for sputum smear-negative tuberculosis (TB) are complicated, time-consuming, and often difficult to implement. The decision to initiate TB treatment in resource-limited countries is often largely based on clinical predictors. We sought to determine the clinical predictors and accuracy of empiric TB treatment initiation in HIV-infected sputum smear-negative TB suspects using sputum culture as a reference standard.SettingOut-patient HIV-TB integrated urban clinic in Kampala, Uganda.MethodsHIV-infected TB suspects were screened using sputum smear microscopy, and mycobacterial sputum liquid and solid cultures were performed. Smear results were made available to the clinician who made a clinical decision on empiric TB treatment initiation for sputum smear-negative patients. Clinic records were reviewed for patients whose sputum smears were negative to collect data on socio-demographics, TB symptomatology, chest X-ray findings, CD4 cell counts and TB treatment initiation.ResultsOf 253 smear-negative TB suspects, 56% (142/253) were females, median age 38 IQR (31\u201344) years, with a median CD4 cell count of 291 IQR (150\u2013482) cells/mm3. Of the 85 (33.6%) smear-negative patients empirically initiated on TB treatment, 35.3% (n\u200a=\u200a30) were sputum culture positive compared to only 18 (10.7%) of the 168 untreated patients (p&lt;0.001). Abnormal chest X-ray [aOR 10.18, 95% CI (3.14\u201333.00), p&lt;0.001] and advanced HIV clinical stage [aOR 3.92, 95% CI (1.20\u201312.85), p\u200a=\u200a0.024] were significantly associated with empiric TB treatment initiation. The sensitivity and specificity of empiric TB treatment initiation in the diagnosis of TB in HIV-infected patients after negative smear microscopy was 62.5% and 73.7% respectively.ConclusionIn resource-limited settings, clinically advanced HIV and abnormal chest X-ray significantly predict a clinical decision to empirically initiate TB treatment in smear-negative HIV-infected patients. Empiric TB treatment initiation correlates poorly with TB cultures. Affordable, accurate and rapid point-of-care diagnostics are needed in resource-limited settings to more accurately determine which HIV-infected TB suspects have smear-negative TB.", "author" : [ { "dropping-particle" : "", "family" : "Nakiyingi", "given" : "Lydia", "non-dropping-particle" : "", "parse-names" : false, "suffix" : "" }, { "dropping-particle" : "", "family" : "Bwanika", "given" : "John Mark", "non-dropping-particle" : "", "parse-names" : false, "suffix" : "" }, { "dropping-particle" : "", "family" : "Kirenga", "given" : "Bruce", "non-dropping-particle" : "", "parse-names" : false, "suffix" : "" }, { "dropping-particle" : "", "family" : "Nakanjako", "given" : "Damalie", "non-dropping-particle" : "", "parse-names" : false, "suffix" : "" }, { "dropping-particle" : "", "family" : "Katabira", "given" : "Catherine", "non-dropping-particle" : "", "parse-names" : false, "suffix" : "" }, { "dropping-particle" : "", "family" : "Lubega", "given" : "Gloria", "non-dropping-particle" : "", "parse-names" : false, "suffix" : "" }, { "dropping-particle" : "", "family" : "Sempa", "given" : "Joseph", "non-dropping-particle" : "", "parse-names" : false, "suffix" : "" }, { "dropping-particle" : "", "family" : "Nyesiga", "given" : "Barnabas", "non-dropping-particle" : "", "parse-names" : false, "suffix" : "" }, { "dropping-particle" : "", "family" : "Albert", "given" : "Heidi", "non-dropping-particle" : "", "parse-names" : false, "suffix" : "" }, { "dropping-particle" : "", "family" : "Manabe", "given" : "Yukari C.", "non-dropping-particle" : "", "parse-names" : false, "suffix" : "" } ], "container-title" : "PLoS ONE", "id" : "ITEM-2", "issue" : "9", "issued" : { "date-parts" : [ [ "2013" ] ] }, "title" : "Clinical Predictors and Accuracy of Empiric Tuberculosis Treatment among Sputum Smear-Negative HIV-Infected Adult TB Suspects in Uganda", "type" : "article", "volume" : "8" }, "uris" : [ "http://www.mendeley.com/documents/?uuid=153b4dd7-7bf7-4ad1-8f06-c5e54d2efc75" ] } ], "mendeley" : { "formattedCitation" : "&lt;sup&gt;25,26&lt;/sup&gt;", "plainTextFormattedCitation" : "25,26", "previouslyFormattedCitation" : "&lt;sup&gt;25,26&lt;/sup&gt;" }, "properties" : { "noteIndex" : 0 }, "schema" : "https://github.com/citation-style-language/schema/raw/master/csl-citation.json" }</w:instrText>
      </w:r>
      <w:r w:rsidRPr="005A5A82">
        <w:rPr>
          <w:rFonts w:ascii="Arial" w:hAnsi="Arial" w:cs="Arial"/>
        </w:rPr>
        <w:fldChar w:fldCharType="separate"/>
      </w:r>
      <w:r w:rsidRPr="005A5A82">
        <w:rPr>
          <w:rFonts w:ascii="Arial" w:hAnsi="Arial" w:cs="Arial"/>
          <w:noProof/>
          <w:vertAlign w:val="superscript"/>
        </w:rPr>
        <w:t>25,26</w:t>
      </w:r>
      <w:r w:rsidRPr="005A5A82">
        <w:rPr>
          <w:rFonts w:ascii="Arial" w:hAnsi="Arial" w:cs="Arial"/>
        </w:rPr>
        <w:fldChar w:fldCharType="end"/>
      </w:r>
      <w:r w:rsidRPr="005A5A82">
        <w:rPr>
          <w:rFonts w:ascii="Arial" w:hAnsi="Arial" w:cs="Arial"/>
        </w:rPr>
        <w:t xml:space="preserve"> have also associated poor treatment outcomes to the male gender, HIV co-infection, diagnostic and the sputum conversion at 2 months as well as the WHO TB regimen used</w:t>
      </w:r>
      <w:r w:rsidRPr="005A5A82">
        <w:rPr>
          <w:rFonts w:ascii="Arial" w:hAnsi="Arial" w:cs="Arial"/>
        </w:rPr>
        <w:fldChar w:fldCharType="begin" w:fldLock="1"/>
      </w:r>
      <w:r w:rsidRPr="005A5A82">
        <w:rPr>
          <w:rFonts w:ascii="Arial" w:hAnsi="Arial" w:cs="Arial"/>
        </w:rPr>
        <w:instrText>ADDIN CSL_CITATION { "citationItems" : [ { "id" : "ITEM-1", "itemData" : { "DOI" : "10.1186/s12889-015-1480-4", "ISSN" : "1471-2458", "PMID" : "25884339", "abstract" : "BACKGROUND: Tuberculosis (TB) programs must invest in a variety of TB specific activities in order to reach ambitious global targets. Uncertainty exists surrounding the potential impact of each of these activities. The objective of our study was to model different interventions and quantify their impact on epidemiologic outcomes and costs from the health system perspective.\\n\\nMETHODS: Decision analysis was used to define the TB patient trajectory within the health system of three different countries. We considered up to seven different interventions that could affect either the natural history of TB, or patient trajectories within the health system. The expected impact of interventions were derived from published studies where possible. Epidemiologic outcomes and associated health system costs were projected for each scenario.\\n\\nRESULTS: With no specific intervention, TB related death rates are high and less than 10% of the population starts on correct treatment. Interventions that either prevent cases or affect all patients with TB disease early in their trajectory are expected to have the biggest impact, regardless of underlying epidemiologic characteristics of the setting. In settings with a private sector, improving diagnosis and appropriate treatment across all sectors is expected to have a major impact on outcomes.\\n\\nCONCLUSION: In all settings, the greatest benefit will come from early diagnosis of all forms of TB. Once this has been achieved more specific interventions, such as those targeting HIV, drug resistance or the private sector can be integrated to increase impact.", "author" : [ { "dropping-particle" : "", "family" : "Oxlade", "given" : "Olivia", "non-dropping-particle" : "", "parse-names" : false, "suffix" : "" }, { "dropping-particle" : "", "family" : "Piatek", "given" : "Amy", "non-dropping-particle" : "", "parse-names" : false, "suffix" : "" }, { "dropping-particle" : "", "family" : "Vincent", "given" : "Cheri", "non-dropping-particle" : "", "parse-names" : false, "suffix" : "" }, { "dropping-particle" : "", "family" : "Menzies", "given" : "Dick", "non-dropping-particle" : "", "parse-names" : false, "suffix" : "" } ], "container-title" : "BMC Public Health", "id" : "ITEM-1", "issue" : "1", "issued" : { "date-parts" : [ [ "2015" ] ] }, "note" : "Call for more activities to End TB\n\nimpact of these activies or interventions in TB programs is unknown\n\nCalls for specific interventions\n\nHIV, drug resistance and private sector", "page" : "141", "title" : "Modeling the impact of tuberculosis interventions on epidemiologic outcomes and health system costs", "type" : "article-journal", "volume" : "15" }, "uris" : [ "http://www.mendeley.com/documents/?uuid=d5137999-854a-4374-864b-dfb18a6cecbe" ] } ], "mendeley" : { "formattedCitation" : "&lt;sup&gt;33&lt;/sup&gt;", "plainTextFormattedCitation" : "33", "previouslyFormattedCitation" : "&lt;sup&gt;33&lt;/sup&gt;" }, "properties" : { "noteIndex" : 0 }, "schema" : "https://github.com/citation-style-language/schema/raw/master/csl-citation.json" }</w:instrText>
      </w:r>
      <w:r w:rsidRPr="005A5A82">
        <w:rPr>
          <w:rFonts w:ascii="Arial" w:hAnsi="Arial" w:cs="Arial"/>
        </w:rPr>
        <w:fldChar w:fldCharType="separate"/>
      </w:r>
      <w:r w:rsidRPr="005A5A82">
        <w:rPr>
          <w:rFonts w:ascii="Arial" w:hAnsi="Arial" w:cs="Arial"/>
          <w:noProof/>
          <w:vertAlign w:val="superscript"/>
        </w:rPr>
        <w:t>33</w:t>
      </w:r>
      <w:r w:rsidRPr="005A5A82">
        <w:rPr>
          <w:rFonts w:ascii="Arial" w:hAnsi="Arial" w:cs="Arial"/>
        </w:rPr>
        <w:fldChar w:fldCharType="end"/>
      </w:r>
      <w:r w:rsidR="00E25378" w:rsidRPr="005A5A82">
        <w:rPr>
          <w:rFonts w:ascii="Arial" w:hAnsi="Arial" w:cs="Arial"/>
        </w:rPr>
        <w:t xml:space="preserve">. In addition, </w:t>
      </w:r>
      <w:r w:rsidRPr="005A5A82">
        <w:rPr>
          <w:rFonts w:ascii="Arial" w:hAnsi="Arial" w:cs="Arial"/>
          <w:shd w:val="clear" w:color="auto" w:fill="FFFFFF"/>
        </w:rPr>
        <w:t>coinfection with HIV and/or diabetes among TB patients</w:t>
      </w:r>
      <w:r w:rsidR="00E25378" w:rsidRPr="005A5A82">
        <w:rPr>
          <w:rFonts w:ascii="Arial" w:hAnsi="Arial" w:cs="Arial"/>
          <w:shd w:val="clear" w:color="auto" w:fill="FFFFFF"/>
        </w:rPr>
        <w:t>,</w:t>
      </w:r>
      <w:r w:rsidRPr="005A5A82">
        <w:rPr>
          <w:rFonts w:ascii="Arial" w:hAnsi="Arial" w:cs="Arial"/>
          <w:shd w:val="clear" w:color="auto" w:fill="FFFFFF"/>
        </w:rPr>
        <w:t xml:space="preserve"> patient related demographic characteristics</w:t>
      </w:r>
      <w:r w:rsidRPr="005A5A82">
        <w:rPr>
          <w:rFonts w:ascii="Arial" w:hAnsi="Arial" w:cs="Arial"/>
          <w:shd w:val="clear" w:color="auto" w:fill="FFFFFF"/>
        </w:rPr>
        <w:fldChar w:fldCharType="begin" w:fldLock="1"/>
      </w:r>
      <w:r w:rsidRPr="005A5A82">
        <w:rPr>
          <w:rFonts w:ascii="Arial" w:hAnsi="Arial" w:cs="Arial"/>
          <w:shd w:val="clear" w:color="auto" w:fill="FFFFFF"/>
        </w:rPr>
        <w:instrText>ADDIN CSL_CITATION { "citationItems" : [ { "id" : "ITEM-1", "itemData" : { "author" : [ { "dropping-particle" : "", "family" : "Sesay", "given" : "Mohamed Lamin", "non-dropping-particle" : "", "parse-names" : false, "suffix" : "" } ], "id" : "ITEM-1", "issued" : { "date-parts" : [ [ "2017" ] ] }, "title" : "Patient Characteristics and Treatment Outcomes Among Tuberculosis Patients in Sierra Leone", "type" : "article-journal" }, "uris" : [ "http://www.mendeley.com/documents/?uuid=dafc5fd1-e36f-476e-98dd-363adf3807f8" ] }, { "id" : "ITEM-2", "itemData" : { "DOI" : "10.1371/journal.pone.0142384", "ISBN" : "1932-6203", "ISSN" : "19326203", "PMID" : "26562787", "abstract" : "PURPOSE: Non-adherence to tuberculosis therapy can lead to drug resistance, prolonged infectiousness, and death; therefore, understanding what causes treatment default is important. Pakistan has one of the highest burdens of tuberculosis in the world, yet there have been no qualitative studies in Pakistan that have specifically examined why default occurs. We conducted a mixed methods study at a tuberculosis clinic in Karachi to understand why patients with drug-susceptible tuberculosis default from treatment, and to identify factors associated with default. Patients attending this clinic pick up medications weekly and undergo family-supported directly observed therapy.\\n\\nMETHODS: In-depth interviews were administered to 21 patients who had defaulted. We also compared patients who defaulted with those who were cured, had completed, or had failed treatment in 2013.\\n\\nRESULTS: Qualitative analyses showed the most common reasons for default were the financial burden of treatment, and medication side effects and beliefs. The influence of finances on other causes of default was also prominent, as was concern about the effect of treatment on family members. In quantitative analysis, of 2120 patients, 301 (14.2%) defaulted. Univariate analysis found that male gender (OR: 1.34, 95% CI: 1.04-1.71), being 35-59 years of age (OR: 1.54, 95% CI: 1.14-2.08), or being 60 years of age or older (OR: 1.84, 95% CI: 1.17-2.88) were associated with default. After adjusting for gender, disease site, and patient category, being 35-59 years of age (aOR: 1.49, 95% CI: 1.10-2.03) or 60 years of age or older (aOR: 1.76, 95% CI: 1.12-2.77) were associated with default.\\n\\nCONCLUSIONS: In multivariate analysis age was the only variable associated with default. This lack of identifiable risk factors and our qualitative findings imply that default is complex and often due to extrinsic and medication-related factors. More tolerable medications, improved side effect management, and innovative cost-reduction measures are needed to reduce default from tuberculosis treatment.", "author" : [ { "dropping-particle" : "", "family" : "Chida", "given" : "Natasha", "non-dropping-particle" : "", "parse-names" : false, "suffix" : "" }, { "dropping-particle" : "", "family" : "Ansari", "given" : "Zara", "non-dropping-particle" : "", "parse-names" : false, "suffix" : "" }, { "dropping-particle" : "", "family" : "Hussain", "given" : "Hamidah", "non-dropping-particle" : "", "parse-names" : false, "suffix" : "" }, { "dropping-particle" : "", "family" : "Jaswal", "given" : "Maria", "non-dropping-particle" : "", "parse-names" : false, "suffix" : "" }, { "dropping-particle" : "", "family" : "Symes", "given" : "Stephen", "non-dropping-particle" : "", "parse-names" : false, "suffix" : "" }, { "dropping-particle" : "", "family" : "Khan", "given" : "Aamir J.", "non-dropping-particle" : "", "parse-names" : false, "suffix" : "" }, { "dropping-particle" : "", "family" : "Mohammed", "given" : "Shama", "non-dropping-particle" : "", "parse-names" : false, "suffix" : "" } ], "container-title" : "PLoS ONE", "id" : "ITEM-2", "issue" : "11", "issued" : { "date-parts" : [ [ "2015" ] ] }, "note" : "Treatment default a major challenge\n\nage a predictor for default rate\n\nRegimens important in reducing poor outcomes such as defaulting due to tolerance", "page" : "1-14", "title" : "Determinants of default from tuberculosis treatment among patients with drug-susceptible tuberculosis in Karachi, Pakistan: A mixed methods: Study", "type" : "article-journal", "volume" : "10" }, "uris" : [ "http://www.mendeley.com/documents/?uuid=e65733ef-3b52-41ef-a4de-9d000d84bc28" ] } ], "mendeley" : { "formattedCitation" : "&lt;sup&gt;34,35&lt;/sup&gt;", "plainTextFormattedCitation" : "34,35", "previouslyFormattedCitation" : "&lt;sup&gt;34,35&lt;/sup&gt;" }, "properties" : { "noteIndex" : 0 }, "schema" : "https://github.com/citation-style-language/schema/raw/master/csl-citation.json" }</w:instrText>
      </w:r>
      <w:r w:rsidRPr="005A5A82">
        <w:rPr>
          <w:rFonts w:ascii="Arial" w:hAnsi="Arial" w:cs="Arial"/>
          <w:shd w:val="clear" w:color="auto" w:fill="FFFFFF"/>
        </w:rPr>
        <w:fldChar w:fldCharType="separate"/>
      </w:r>
      <w:r w:rsidRPr="005A5A82">
        <w:rPr>
          <w:rFonts w:ascii="Arial" w:hAnsi="Arial" w:cs="Arial"/>
          <w:noProof/>
          <w:shd w:val="clear" w:color="auto" w:fill="FFFFFF"/>
          <w:vertAlign w:val="superscript"/>
        </w:rPr>
        <w:t>34,35</w:t>
      </w:r>
      <w:r w:rsidRPr="005A5A82">
        <w:rPr>
          <w:rFonts w:ascii="Arial" w:hAnsi="Arial" w:cs="Arial"/>
          <w:shd w:val="clear" w:color="auto" w:fill="FFFFFF"/>
        </w:rPr>
        <w:fldChar w:fldCharType="end"/>
      </w:r>
      <w:r w:rsidR="00E25378" w:rsidRPr="005A5A82">
        <w:rPr>
          <w:rFonts w:ascii="Arial" w:hAnsi="Arial" w:cs="Arial"/>
          <w:shd w:val="clear" w:color="auto" w:fill="FFFFFF"/>
        </w:rPr>
        <w:t>,</w:t>
      </w:r>
      <w:r w:rsidRPr="005A5A82">
        <w:rPr>
          <w:rFonts w:ascii="Arial" w:hAnsi="Arial" w:cs="Arial"/>
          <w:shd w:val="clear" w:color="auto" w:fill="FFFFFF"/>
        </w:rPr>
        <w:t xml:space="preserve"> </w:t>
      </w:r>
      <w:r w:rsidR="00E25378" w:rsidRPr="005A5A82">
        <w:rPr>
          <w:rFonts w:ascii="Arial" w:hAnsi="Arial" w:cs="Arial"/>
          <w:shd w:val="clear" w:color="auto" w:fill="FFFFFF"/>
        </w:rPr>
        <w:t xml:space="preserve">and </w:t>
      </w:r>
      <w:r w:rsidRPr="005A5A82">
        <w:rPr>
          <w:rFonts w:ascii="Arial" w:hAnsi="Arial" w:cs="Arial"/>
          <w:shd w:val="clear" w:color="auto" w:fill="FFFFFF"/>
        </w:rPr>
        <w:t>pharmacokinetic variability among populations</w:t>
      </w:r>
      <w:r w:rsidRPr="005A5A82">
        <w:rPr>
          <w:rFonts w:ascii="Arial" w:hAnsi="Arial" w:cs="Arial"/>
          <w:shd w:val="clear" w:color="auto" w:fill="FFFFFF"/>
        </w:rPr>
        <w:fldChar w:fldCharType="begin" w:fldLock="1"/>
      </w:r>
      <w:r w:rsidRPr="005A5A82">
        <w:rPr>
          <w:rFonts w:ascii="Arial" w:hAnsi="Arial" w:cs="Arial"/>
          <w:shd w:val="clear" w:color="auto" w:fill="FFFFFF"/>
        </w:rPr>
        <w:instrText>ADDIN CSL_CITATION { "citationItems" : [ { "id" : "ITEM-1", "itemData" : { "DOI" : "10.1007/s00228-016-2083-4", "ISSN" : "14321041", "PMID" : "27305904", "abstract" : "INTRODUCTION Tuberculosis (TB) remains one of the world's deadliest communicable diseases. Although cure rates of the standard four-drug (rifampicin, isoniazid, pyrazinamide, ethambutol) treatment schedule can be as high as 95-98\u00a0% under clinical trial conditions, success rates may be much lower in less well resourced countries. Unsuccessful treatment with these first-line anti-TB drugs may lead to the development of multidrug resistant and extensively drug resistant TB. The intrinsic interindividual variability in the pharmacokinetics (PK) of the first-line anti-TB drugs is further exacerbated by co-morbidities such as HIV infection and diabetes. METHODS Therapeutic drug monitoring has been proposed in an attempt to optimize treatment outcome and reduce the development of drug resistance. Several studies have shown that maximum plasma concentrations (C max), especially of rifampicin and isoniazid, are well below the proposed target C max concentrations in a substantial fraction of patients being treated with the standard four-drug treatment schedule, even though treatment's success rate in these studies was typically at least 85\u00a0%. DISCUSSION The proposed target C max concentrations are based on the concentrations of these agents achieved in healthy volunteers and patients receiving the standard doses. Estimation of C max based on one or two sampling times may not have the necessary accuracy since absorption rate, especially for rifampicin, may be highly variable. In addition, minimum inhibitory concentration (MIC) variability should be taken into account to set clinically meaningful susceptibility breakpoints. Clearly, there is a need to better define the key target PK and pharmacodynamic (PD) parameters for therapeutic drug monitoring (TDM) of the first-line anti-TB drugs to be efficacious, C max (or area under the curve (AUC)) and C max/MIC (or AUC/MIC). CONCLUSION Although TDM of first-line anti-TB drugs has been successfully used in a limited number of specialized centers to improve treatment outcome in slow responders, a better characterization of the target PK and/or PK/PD parameters is in our opinion necessary to make it cost-effective.", "author" : [ { "dropping-particle" : "", "family" : "Verbeeck", "given" : "Roger K.", "non-dropping-particle" : "", "parse-names" : false, "suffix" : "" }, { "dropping-particle" : "", "family" : "G\u00fcnther", "given" : "Gunar", "non-dropping-particle" : "", "parse-names" : false, "suffix" : "" }, { "dropping-particle" : "", "family" : "Kibuule", "given" : "Dan", "non-dropping-particle" : "", "parse-names" : false, "suffix" : "" }, { "dropping-particle" : "", "family" : "Hunter", "given" : "Christian", "non-dropping-particle" : "", "parse-names" : false, "suffix" : "" }, { "dropping-particle" : "", "family" : "Rennie", "given" : "Tim W.", "non-dropping-particle" : "", "parse-names" : false, "suffix" : "" } ], "container-title" : "European Journal of Clinical Pharmacology", "id" : "ITEM-1", "issue" : "8", "issued" : { "date-parts" : [ [ "2016" ] ] }, "page" : "905-916", "title" : "Optimizing treatment outcome of first-line anti-tuberculosis drugs: the role of therapeutic drug monitoring", "type" : "article", "volume" : "72" }, "uris" : [ "http://www.mendeley.com/documents/?uuid=60b85246-50d6-49c8-9f23-e8834e501bca", "http://www.mendeley.com/documents/?uuid=59cd8d37-3770-4e64-a207-4203fcc1b987" ] } ], "mendeley" : { "formattedCitation" : "&lt;sup&gt;36&lt;/sup&gt;", "plainTextFormattedCitation" : "36", "previouslyFormattedCitation" : "&lt;sup&gt;36&lt;/sup&gt;" }, "properties" : { "noteIndex" : 0 }, "schema" : "https://github.com/citation-style-language/schema/raw/master/csl-citation.json" }</w:instrText>
      </w:r>
      <w:r w:rsidRPr="005A5A82">
        <w:rPr>
          <w:rFonts w:ascii="Arial" w:hAnsi="Arial" w:cs="Arial"/>
          <w:shd w:val="clear" w:color="auto" w:fill="FFFFFF"/>
        </w:rPr>
        <w:fldChar w:fldCharType="separate"/>
      </w:r>
      <w:r w:rsidRPr="005A5A82">
        <w:rPr>
          <w:rFonts w:ascii="Arial" w:hAnsi="Arial" w:cs="Arial"/>
          <w:noProof/>
          <w:shd w:val="clear" w:color="auto" w:fill="FFFFFF"/>
          <w:vertAlign w:val="superscript"/>
        </w:rPr>
        <w:t>36</w:t>
      </w:r>
      <w:r w:rsidRPr="005A5A82">
        <w:rPr>
          <w:rFonts w:ascii="Arial" w:hAnsi="Arial" w:cs="Arial"/>
          <w:shd w:val="clear" w:color="auto" w:fill="FFFFFF"/>
        </w:rPr>
        <w:fldChar w:fldCharType="end"/>
      </w:r>
      <w:r w:rsidRPr="005A5A82">
        <w:rPr>
          <w:rFonts w:ascii="Arial" w:hAnsi="Arial" w:cs="Arial"/>
          <w:shd w:val="clear" w:color="auto" w:fill="FFFFFF"/>
        </w:rPr>
        <w:t xml:space="preserve">. In </w:t>
      </w:r>
      <w:proofErr w:type="gramStart"/>
      <w:r w:rsidRPr="005A5A82">
        <w:rPr>
          <w:rFonts w:ascii="Arial" w:hAnsi="Arial" w:cs="Arial"/>
          <w:shd w:val="clear" w:color="auto" w:fill="FFFFFF"/>
        </w:rPr>
        <w:t>addition</w:t>
      </w:r>
      <w:proofErr w:type="gramEnd"/>
      <w:r w:rsidR="00E25378" w:rsidRPr="005A5A82">
        <w:rPr>
          <w:rFonts w:ascii="Arial" w:hAnsi="Arial" w:cs="Arial"/>
          <w:shd w:val="clear" w:color="auto" w:fill="FFFFFF"/>
        </w:rPr>
        <w:t xml:space="preserve"> in</w:t>
      </w:r>
      <w:r w:rsidRPr="005A5A82">
        <w:rPr>
          <w:rFonts w:ascii="Arial" w:hAnsi="Arial" w:cs="Arial"/>
          <w:shd w:val="clear" w:color="auto" w:fill="FFFFFF"/>
        </w:rPr>
        <w:t xml:space="preserve"> this </w:t>
      </w:r>
      <w:r w:rsidRPr="005A5A82">
        <w:rPr>
          <w:rFonts w:ascii="Arial" w:hAnsi="Arial" w:cs="Arial"/>
        </w:rPr>
        <w:t xml:space="preserve">study, poor treatment outcomes were as a result of defaulting of treatment and death. Previous studies have associated high rates of death and defaulting among TB patients to be </w:t>
      </w:r>
      <w:r w:rsidR="00E25378" w:rsidRPr="005A5A82">
        <w:rPr>
          <w:rFonts w:ascii="Arial" w:hAnsi="Arial" w:cs="Arial"/>
        </w:rPr>
        <w:t xml:space="preserve">due to the </w:t>
      </w:r>
      <w:r w:rsidRPr="005A5A82">
        <w:rPr>
          <w:rFonts w:ascii="Arial" w:hAnsi="Arial" w:cs="Arial"/>
        </w:rPr>
        <w:t>inappropriate choice of  TB regimens</w:t>
      </w:r>
      <w:r w:rsidRPr="005A5A82">
        <w:rPr>
          <w:rFonts w:ascii="Arial" w:hAnsi="Arial" w:cs="Arial"/>
        </w:rPr>
        <w:fldChar w:fldCharType="begin" w:fldLock="1"/>
      </w:r>
      <w:r w:rsidRPr="005A5A82">
        <w:rPr>
          <w:rFonts w:ascii="Arial" w:hAnsi="Arial" w:cs="Arial"/>
        </w:rPr>
        <w:instrText>ADDIN CSL_CITATION { "citationItems" : [ { "id" : "ITEM-1", "itemData" : { "DOI" : "10.1371/journal.pone.0045724", "ISBN" : "1932-6203", "ISSN" : "19326203", "PMID" : "23049846", "abstract" : "RATIONALE: High rates of recurrent tuberculosis after successful treatment have been reported from different high burden settings in Sub-Saharan Africa. However, little is known about the rate of smear-positive tuberculosis after treatment default. In particular, it is not known whether or not treatment defaulters continue to be or become again smear-positive and thus pose a potential for transmission of infection to others. OBJECTIVE: To investigate, in a high tuberculosis burden setting, the rate of re-treatment for smear-positive tuberculosis among cases defaulting from standardized treatment compared to successfully treated cases. METHODS: Retrospective cohort study among smear-positive tuberculosis cases treated between 1996 and 2008 in two urban communities in Cape Town, South Africa. Episodes of re-treatment for smear-positive tuberculosis were ascertained via probabilistic record linkage. Survival analysis and Poisson regression were used to compare the rate of smear-positive tuberculosis after treatment default to that after successful treatment. RESULTS: A total of 2,136 smear-positive tuberculosis cases were included in the study. After treatment default, the rate of re-treatment for smear-positive tuberculosis was 6.86 (95% confidence interval [CI]: 5.59-8.41) per 100 person-years compared to 2.09 (95% CI: 1.81-2.41) after cure (adjusted Hazard Ratio [aHR]: 3.97; 95% CI: 3.00-5.26). Among defaulters, the rate was inversely associated with treatment duration and sputum conversion prior to defaulting. Smear grade at start of the index treatment episode (Smear3+: aHR 1.61; 95%CI 1.11-2.33) was independently associated with smear-positive tuberculosis re-treatment, regardless of treatment outcome. CONCLUSIONS: In this high-burden setting, there is a high rate of subsequent smear-positive tuberculosis after treatment default. Treatment defaulters are therefore likely to contribute to the pool of infectious source cases in the community. Our findings underscore the importance of preventing treatment default, as a means of successful tuberculosis control in high-burden settings.", "author" : [ { "dropping-particle" : "", "family" : "Marx", "given" : "Florian M.", "non-dropping-particle" : "", "parse-names" : false, "suffix" : "" }, { "dropping-particle" : "", "family" : "Dunbar", "given" : "Rory", "non-dropping-particle" : "", "parse-names" : false, "suffix" : "" }, { "dropping-particle" : "", "family" : "Enarson", "given" : "Donald A.", "non-dropping-particle" : "", "parse-names" : false, "suffix" : "" }, { "dropping-particle" : "", "family" : "Beyers", "given" : "Nulda", "non-dropping-particle" : "", "parse-names" : false, "suffix" : "" } ], "container-title" : "PLoS ONE", "id" : "ITEM-1", "issue" : "9", "issued" : { "date-parts" : [ [ "2012" ] ] }, "note" : "Poor treatment outcomes more comon in sub-saharan Africa\n\ncontribute to pool need for intrevention to prevent poor outcomes such as defaulting in order to control TB", "page" : "1-9", "title" : "The Rate of Sputum Smear-Positive Tuberculosis after Treatment Default in a High-Burden Setting: A Retrospective Cohort Study", "type" : "article-journal", "volume" : "7" }, "uris" : [ "http://www.mendeley.com/documents/?uuid=178367ba-b101-456f-b516-b49a699b8301" ] } ], "mendeley" : { "formattedCitation" : "&lt;sup&gt;37&lt;/sup&gt;", "plainTextFormattedCitation" : "37", "previouslyFormattedCitation" : "&lt;sup&gt;37&lt;/sup&gt;" }, "properties" : { "noteIndex" : 0 }, "schema" : "https://github.com/citation-style-language/schema/raw/master/csl-citation.json" }</w:instrText>
      </w:r>
      <w:r w:rsidRPr="005A5A82">
        <w:rPr>
          <w:rFonts w:ascii="Arial" w:hAnsi="Arial" w:cs="Arial"/>
        </w:rPr>
        <w:fldChar w:fldCharType="separate"/>
      </w:r>
      <w:r w:rsidRPr="005A5A82">
        <w:rPr>
          <w:rFonts w:ascii="Arial" w:hAnsi="Arial" w:cs="Arial"/>
          <w:noProof/>
          <w:vertAlign w:val="superscript"/>
        </w:rPr>
        <w:t>37</w:t>
      </w:r>
      <w:r w:rsidRPr="005A5A82">
        <w:rPr>
          <w:rFonts w:ascii="Arial" w:hAnsi="Arial" w:cs="Arial"/>
        </w:rPr>
        <w:fldChar w:fldCharType="end"/>
      </w:r>
      <w:r w:rsidR="00E25378" w:rsidRPr="005A5A82">
        <w:rPr>
          <w:rFonts w:ascii="Arial" w:hAnsi="Arial" w:cs="Arial"/>
          <w:vertAlign w:val="superscript"/>
        </w:rPr>
        <w:t>,</w:t>
      </w:r>
      <w:r w:rsidRPr="005A5A82">
        <w:rPr>
          <w:rFonts w:ascii="Arial" w:hAnsi="Arial" w:cs="Arial"/>
        </w:rPr>
        <w:fldChar w:fldCharType="begin" w:fldLock="1"/>
      </w:r>
      <w:r w:rsidRPr="005A5A82">
        <w:rPr>
          <w:rFonts w:ascii="Arial" w:hAnsi="Arial" w:cs="Arial"/>
        </w:rPr>
        <w:instrText>ADDIN CSL_CITATION { "citationItems" : [ { "id" : "ITEM-1", "itemData" : { "ISBN" : "1027-3719 (Print)\\n1027-3719 (Linking)", "ISSN" : "10273719", "PMID" : "9755924", "abstract" : "SETTING: Health centres in The Gambia, West Africa. OBJECTIVES: To identify factors determining the outcome of treatment of adult tuberculosis cases in a Tuberculosis Control Programme using directly observed treatment. DESIGN: Information on the outcome of treatment was collected on all tuberculosis cases registered with the Tuberculosis Control Programme in 1994 and 1995 and treated under supervision by tuberculosis control staff, nurses or village health workers. Treatment outcome was recorded as cured, completed treatment, failed, defaulted or died. Transferred-out patients were traced and their treatment outcome recorded at the health centre where they had last been seen. RESULTS: Data were analysed for 1357 adult smear-positive tuberculosis cases. Sputum smear conversion 2 months after the start of treatment was observed in 90% of smear-positive cases and was more likely to occur if the initial bacterial load in the sputum was low. The total cure rate was 74.6%. Female tuberculosis patients were more likely to achieve cure than males. Adjusting for sex, the cure rate was higher when treatment was provided by tuberculosis control staff in the main health centres rather than by nurses or village health workers at the peripheral level (odds ratio [OR] = 1.60, 95% confidence interval [CI] 1.23-2.09). The absence of sputum smear conversion after 2 months of chemotherapy was associated with defaulting later during treatment (OR = 2.0, 95% CI 1.15-3.57). Adjusting for age and sex, the death rate during treatment was higher in human immunodeficiency virus (HIV) positive than in HIV-negative tuberculosis patients. CONCLUSION: Directly observed treatment is an effective intervention for improving adherence of tuberculosis patients to treatment in a resource-poor country, provided that drugs are effectively delivered to the most peripheral level, and that health staff are adequately trained and regularly supervised. Patients with high bacterial load in initial sputum smears need to be closely supervised, as they are more likely to default from treatment.", "author" : [ { "dropping-particle" : "", "family" : "Lienhardt", "given" : "C.", "non-dropping-particle" : "", "parse-names" : false, "suffix" : "" }, { "dropping-particle" : "", "family" : "Manneh", "given" : "K.", "non-dropping-particle" : "", "parse-names" : false, "suffix" : "" }, { "dropping-particle" : "", "family" : "Bouchier", "given" : "V.", "non-dropping-particle" : "", "parse-names" : false, "suffix" : "" }, { "dropping-particle" : "", "family" : "Lahai", "given" : "G.", "non-dropping-particle" : "", "parse-names" : false, "suffix" : "" }, { "dropping-particle" : "", "family" : "Milligan", "given" : "P. J M", "non-dropping-particle" : "", "parse-names" : false, "suffix" : "" }, { "dropping-particle" : "", "family" : "McAdam", "given" : "K. P W J", "non-dropping-particle" : "", "parse-names" : false, "suffix" : "" } ], "container-title" : "International Journal of Tuberculosis and Lung Disease", "id" : "ITEM-1", "issue" : "9", "issued" : { "date-parts" : [ [ "1998" ] ] }, "page" : "712-718", "title" : "Factors determining the outcome of treatment of adult smear-positive tuberculosis cases in The Gambia", "type" : "article-journal", "volume" : "2" }, "uris" : [ "http://www.mendeley.com/documents/?uuid=0a63e3fd-2a81-4d9e-901f-e03f348f938a" ] } ], "mendeley" : { "formattedCitation" : "&lt;sup&gt;38&lt;/sup&gt;", "plainTextFormattedCitation" : "38", "previouslyFormattedCitation" : "&lt;sup&gt;38&lt;/sup&gt;" }, "properties" : { "noteIndex" : 0 }, "schema" : "https://github.com/citation-style-language/schema/raw/master/csl-citation.json" }</w:instrText>
      </w:r>
      <w:r w:rsidRPr="005A5A82">
        <w:rPr>
          <w:rFonts w:ascii="Arial" w:hAnsi="Arial" w:cs="Arial"/>
        </w:rPr>
        <w:fldChar w:fldCharType="separate"/>
      </w:r>
      <w:r w:rsidRPr="005A5A82">
        <w:rPr>
          <w:rFonts w:ascii="Arial" w:hAnsi="Arial" w:cs="Arial"/>
          <w:noProof/>
          <w:vertAlign w:val="superscript"/>
        </w:rPr>
        <w:t>38</w:t>
      </w:r>
      <w:r w:rsidRPr="005A5A82">
        <w:rPr>
          <w:rFonts w:ascii="Arial" w:hAnsi="Arial" w:cs="Arial"/>
        </w:rPr>
        <w:fldChar w:fldCharType="end"/>
      </w:r>
      <w:r w:rsidRPr="005A5A82">
        <w:rPr>
          <w:rFonts w:ascii="Arial" w:hAnsi="Arial" w:cs="Arial"/>
        </w:rPr>
        <w:t xml:space="preserve">, HIV co-infection </w:t>
      </w:r>
      <w:r w:rsidRPr="005A5A82">
        <w:rPr>
          <w:rFonts w:ascii="Arial" w:hAnsi="Arial" w:cs="Arial"/>
        </w:rPr>
        <w:fldChar w:fldCharType="begin" w:fldLock="1"/>
      </w:r>
      <w:r w:rsidRPr="005A5A82">
        <w:rPr>
          <w:rFonts w:ascii="Arial" w:hAnsi="Arial" w:cs="Arial"/>
        </w:rPr>
        <w:instrText>ADDIN CSL_CITATION { "citationItems" : [ { "id" : "ITEM-1", "itemData" : { "DOI" : "10.1186/s12879-017-2238-7", "ISSN" : "1471-2334", "PMID" : "28178936", "author" : [ { "dropping-particle" : "", "family" : "Sinshaw", "given" : "Yenework", "non-dropping-particle" : "", "parse-names" : false, "suffix" : "" }, { "dropping-particle" : "", "family" : "Alemu", "given" : "Shitaye", "non-dropping-particle" : "", "parse-names" : false, "suffix" : "" }, { "dropping-particle" : "", "family" : "Fekadu", "given" : "Abel", "non-dropping-particle" : "", "parse-names" : false, "suffix" : "" }, { "dropping-particle" : "", "family" : "Gizachew", "given" : "Mucheye", "non-dropping-particle" : "", "parse-names" : false, "suffix" : "" } ], "container-title" : "BMC Infectious Diseases", "id" : "ITEM-1", "issue" : "1", "issued" : { "date-parts" : [ [ "2017" ] ] }, "number-of-pages" : "132", "publisher" : "BMC Infectious Diseases", "title" : "Successful TB treatment outcome and its associated factors among TB/HIV co-infected patients attending Gondar University Referral Hospital, Northwest Ethiopia: an institution based cross-sectional study", "type" : "report", "volume" : "17" }, "uris" : [ "http://www.mendeley.com/documents/?uuid=a411ecc9-c18f-4858-9c4b-c5d1e8f32a5f" ] }, { "id" : "ITEM-2", "itemData" : { "DOI" : "10.1183/09031936.00030612", "ISBN" : "0903-1936", "ISSN" : "1399-3003", "PMID" : "22790913", "abstract" : "Treatment success measured by treatment outcome monitoring (TOM) is a key programmatic output of tuberculosis (TB) control programmes. We performed a systematic literature review on national-level TOM in the 30 European Union (EU)/European Economic Areas (EEA) countries to summarise methods used to collect and report data on TOM. Online reference bibliographic databases PubMed/MEDLINE and EMBASE were searched to identify relevant indexed and non-indexed literature published between January 2000 and August 2010. The search strategy resulted in 615 potentially relevant indexed citations, of which 27 full-text national studies (79 data sets) were included for final analysis. The selected studies were performed in 10 EU/EEA countries and gave a fragmented impression of TOM in the EU/EEA. Publication year, study period, sample size, databases, definitions, variables, patient and outcome categories, and population subgroups varied widely, portraying a very heterogeneous picture. This review confirmed previous reports of considerable heterogeneity in publications of TOM results across EU/EEA countries. PubMed/MEDLINE and EMBASE indexed studies are not a suitable instrument to measure representative TOM results for the 30 EU/EEA countries. Uniform and complete reporting to the centralised European Surveillance System will produce the most timely and reliable results of TB treatment outcomes in the EU/EEA.", "author" : [ { "dropping-particle" : "", "family" : "Hest", "given" : "Rob", "non-dropping-particle" : "van", "parse-names" : false, "suffix" : "" }, { "dropping-particle" : "", "family" : "K\u00f6dm\u00f6n", "given" : "Csaba", "non-dropping-particle" : "", "parse-names" : false, "suffix" : "" }, { "dropping-particle" : "", "family" : "Verver", "given" : "Suzanne", "non-dropping-particle" : "", "parse-names" : false, "suffix" : "" }, { "dropping-particle" : "", "family" : "Erkens", "given" : "Connie G M", "non-dropping-particle" : "", "parse-names" : false, "suffix" : "" }, { "dropping-particle" : "", "family" : "Straetemans", "given" : "Masja", "non-dropping-particle" : "", "parse-names" : false, "suffix" : "" }, { "dropping-particle" : "", "family" : "Manissero", "given" : "Davide", "non-dropping-particle" : "", "parse-names" : false, "suffix" : "" }, { "dropping-particle" : "", "family" : "Vries", "given" : "Gerard", "non-dropping-particle" : "de", "parse-names" : false, "suffix" : "" } ], "container-title" : "The European respiratory journal", "id" : "ITEM-2", "issue" : "3", "issued" : { "date-parts" : [ [ "2013" ] ] }, "note" : "Strategies to improve outcomes and specific", "page" : "635-43", "title" : "Tuberculosis treatment outcome monitoring in European Union countries: systematic review.", "type" : "article-journal", "volume" : "41" }, "uris" : [ "http://www.mendeley.com/documents/?uuid=6522b78e-2ca4-4d87-849d-bce9eb6740b0" ] } ], "mendeley" : { "formattedCitation" : "&lt;sup&gt;39,40&lt;/sup&gt;", "plainTextFormattedCitation" : "39,40", "previouslyFormattedCitation" : "&lt;sup&gt;39,40&lt;/sup&gt;" }, "properties" : { "noteIndex" : 0 }, "schema" : "https://github.com/citation-style-language/schema/raw/master/csl-citation.json" }</w:instrText>
      </w:r>
      <w:r w:rsidRPr="005A5A82">
        <w:rPr>
          <w:rFonts w:ascii="Arial" w:hAnsi="Arial" w:cs="Arial"/>
        </w:rPr>
        <w:fldChar w:fldCharType="separate"/>
      </w:r>
      <w:r w:rsidRPr="005A5A82">
        <w:rPr>
          <w:rFonts w:ascii="Arial" w:hAnsi="Arial" w:cs="Arial"/>
          <w:noProof/>
          <w:vertAlign w:val="superscript"/>
        </w:rPr>
        <w:t>39,40</w:t>
      </w:r>
      <w:r w:rsidRPr="005A5A82">
        <w:rPr>
          <w:rFonts w:ascii="Arial" w:hAnsi="Arial" w:cs="Arial"/>
        </w:rPr>
        <w:fldChar w:fldCharType="end"/>
      </w:r>
      <w:r w:rsidRPr="005A5A82">
        <w:rPr>
          <w:rFonts w:ascii="Arial" w:hAnsi="Arial" w:cs="Arial"/>
        </w:rPr>
        <w:t>, adverse drug effects</w:t>
      </w:r>
      <w:r w:rsidRPr="005A5A82">
        <w:rPr>
          <w:rFonts w:ascii="Arial" w:hAnsi="Arial" w:cs="Arial"/>
        </w:rPr>
        <w:fldChar w:fldCharType="begin" w:fldLock="1"/>
      </w:r>
      <w:r w:rsidRPr="005A5A82">
        <w:rPr>
          <w:rFonts w:ascii="Arial" w:hAnsi="Arial" w:cs="Arial"/>
        </w:rPr>
        <w:instrText>ADDIN CSL_CITATION { "citationItems" : [ { "id" : "ITEM-1", "itemData" : { "DOI" : "10.3343/alm.2017.37.2.97", "ISSN" : "2234-3806", "PMID" : "28028995", "abstract" : "Although tuberculosis is largely a curable disease, it remains a major cause of morbidity and mortality worldwide. Although the standard 6-month treatment regimen is highly effective for drug-susceptible tuberculosis, the use of multiple drugs over long periods of time can cause frequent adverse drug reactions. In addition, some patients with drug-susceptible tuberculosis do not respond adequately to treatment and develop treatment failure and drug resistance. Response to tuberculosis treatment could be affected by multiple factors associated with the host-pathogen interaction including genetic factors and the nutritional status of the host. These factors should be considered for effective tuberculosis control. Therefore, therapeutic drug monitoring (TDM), which is individualized drug dosing guided by serum drug concentrations during treatment, and pharmacogenetics-based personalized dosing guidelines of anti-tuberculosis drugs could reduce the incidence of adverse drug reactions and increase the likelihood of successful treatment outcomes. Moreover, assessment and management of comorbid conditions including nutritional status could improve anti-tuberculosis treatment response.", "author" : [ { "dropping-particle" : "", "family" : "Choi", "given" : "Rihwa", "non-dropping-particle" : "", "parse-names" : false, "suffix" : "" }, { "dropping-particle" : "", "family" : "Jeong", "given" : "Byeong-Ho", "non-dropping-particle" : "", "parse-names" : false, "suffix" : "" }, { "dropping-particle" : "", "family" : "Koh", "given" : "Won-Jung", "non-dropping-particle" : "", "parse-names" : false, "suffix" : "" }, { "dropping-particle" : "", "family" : "Lee", "given" : "Soo-Youn", "non-dropping-particle" : "", "parse-names" : false, "suffix" : "" } ], "container-title" : "Annals of Laboratory Medicine", "id" : "ITEM-1", "issue" : "2", "issued" : { "date-parts" : [ [ "2017" ] ] }, "page" : "97", "title" : "Recommendations for Optimizing Tuberculosis Treatment: Therapeutic Drug Monitoring, Pharmacogenetics, and Nutritional Status Considerations", "type" : "article-journal", "volume" : "37" }, "uris" : [ "http://www.mendeley.com/documents/?uuid=6ef4ede4-b8d1-44ab-91f1-440e2723cad6" ] }, { "id" : "ITEM-2", "itemData" : { "ISBN" : "ISSN 1735-9260", "PMID" : "2014585977", "abstract" : "Background and purpose: Hepatotoxicity and elevated serum aminotransferase is a severe side effect of anti-Tuberculosis therapy and some cases could even develop hepatitis. This study aimed at determining the prevalence of drug induced hepatitis and predisposing factor after anti-Tuberculosis therapy in Razi hospital. Materials and methods: In this cross-sectional study we used the medical records of all confirmed cases of tuberculosis admitted at the infectious disease ward of Ghaemshahr Razi hospital between 2006-2011. Variables included age, sex, type of TB, other medications, basal levels of liver enzymes, enzyme changes during treatment, and co-infection (such as hepatitis B - HIV). The diagnosis of drug induced hepatitis was done with at least five-fold increase of aminotransferase levels. Data was analyzed using SPSS17, chi square tests and Fisher's exact test. Results: Of 230 patients, 56.5% were male. The frequency of pulmonary TB and extra pulmonary TB was 91.7% and 8.3%, respectively. Standard treatment was used in 92.5% of patients with tuberculosis. 23.5% of patients had an underlying disease. Prevalence of drug-induced hepatitis in this study was 9.5%. There was no significant correlation between gender, type of tuberculosis and type of drug treatment with drug-induced hepatitis, but there was a significant relationship between age and drug-induced hepatitis. Conclusion: The results showed that old age was the only significant risk factor for drug-induced hepatitis in the treatment of tuberculosis, hence, elderly patients must be placed under regular clinical and laboratory evaluation.", "author" : [ { "dropping-particle" : "", "family" : "Baboli", "given" : "M T", "non-dropping-particle" : "", "parse-names" : false, "suffix" : "" }, { "dropping-particle" : "", "family" : "Abdolmaleki", "given" : "E Y", "non-dropping-particle" : "", "parse-names" : false, "suffix" : "" }, { "dropping-particle" : "", "family" : "Shirzad", "given" : "M", "non-dropping-particle" : "", "parse-names" : false, "suffix" : "" }, { "dropping-particle" : "", "family" : "Samakoosh", "given" : "M A", "non-dropping-particle" : "", "parse-names" : false, "suffix" : "" }, { "dropping-particle" : "", "family" : "Ghasemian", "given" : "R", "non-dropping-particle" : "", "parse-names" : false, "suffix" : "" } ], "container-title" : "Journal of Mazandaran University of Medical Sciences", "id" : "ITEM-2", "issue" : "109", "issued" : { "date-parts" : [ [ "2014" ] ] }, "page" : "235-240", "title" : "Prevalence of drug-induced hepatitis and its risk factors in the treatment of tuberculosis in TB infected patients attending Razi hospital, 2006-2011. [Persian]", "type" : "article-journal", "volume" : "24" }, "uris" : [ "http://www.mendeley.com/documents/?uuid=722ff17e-df84-40c3-b41f-554ebd9e6e4f" ] }, { "id" : "ITEM-3", "itemData" : { "ISBN" : "1174-2704", "ISSN" : "11742704", "PMID" : "23093894", "abstract" : "UNLABELLED: Objective:Namibia faces a dual burden of HIV/AIDS and tuberculosis (TB). In 2010, HIV prevalence was 18.8%, the TB case notification rate was 634 cases per 100,000 population and the TB/HIV co-infection rate was 58%. There were 372 cases of drug-resistant TB (DR-TB) in 2009. The objective of this study was to assess the prevalence, profile and outcome of adverse events (AEs) associated with treatment of DR-TB and to explore possible influences of HIV disease on the occurrence of adverse events.Methods:This was a cross-sectional descriptive study. After ethical approval, data were collected from treatment records of all patients treated for DR-TB at the study facility between January 2008 and February 2010 using a structured data collection form.\\n\\nRESULTS: A total of 141 adverse events of varying severity were experienced in 90% (53/59) of patients.The TB/HIV co-infection rate was 53% (n=31). The prevalence of gastrointestinal tract adverse events (abdominal pains, constipation, diarrhea, nausea and vomiting) was 64%, tinnitus 45%, joint pain 28%and decreased hearing 25%. Abdominal pains, rash, nausea, decreased hearing and joint pain were more common in HIV infected than in HIV uninfected patients.Conclusions:Adverse events of varying severity are common during treatment of DR-TB, particularly in the intensive phase of therapy. Some adverse events were more prevalent in DR-TB patients co-infected with HIV. The study concludes that the characteristics and risk factors of serious adverse events should be further examined.", "author" : [ { "dropping-particle" : "", "family" : "Sagwa", "given" : "Evans", "non-dropping-particle" : "", "parse-names" : false, "suffix" : "" }, { "dropping-particle" : "", "family" : "Mantel-Teeuwisse", "given" : "Aukje Kaija", "non-dropping-particle" : "", "parse-names" : false, "suffix" : "" }, { "dropping-particle" : "", "family" : "Ruswa", "given" : "Nunurai", "non-dropping-particle" : "", "parse-names" : false, "suffix" : "" }, { "dropping-particle" : "", "family" : "Musasa", "given" : "Jean Paul", "non-dropping-particle" : "", "parse-names" : false, "suffix" : "" }, { "dropping-particle" : "", "family" : "Pal", "given" : "Shanthi", "non-dropping-particle" : "", "parse-names" : false, "suffix" : "" }, { "dropping-particle" : "", "family" : "Dhliwayo", "given" : "Panganai", "non-dropping-particle" : "", "parse-names" : false, "suffix" : "" }, { "dropping-particle" : "", "family" : "Wyk", "given" : "Brian", "non-dropping-particle" : "van", "parse-names" : false, "suffix" : "" } ], "container-title" : "Southern Med Review", "id" : "ITEM-3", "issue" : "1", "issued" : { "date-parts" : [ [ "2012" ] ] }, "page" : "6-13", "title" : "The burden of adverse events during treatment of drug-resistant tuberculosis in Namibia", "type" : "article-journal", "volume" : "5" }, "uris" : [ "http://www.mendeley.com/documents/?uuid=940a7bd4-b4a2-406a-966f-66105959b22f" ] } ], "mendeley" : { "formattedCitation" : "&lt;sup&gt;41\u201343&lt;/sup&gt;", "plainTextFormattedCitation" : "41\u201343", "previouslyFormattedCitation" : "&lt;sup&gt;41\u201343&lt;/sup&gt;" }, "properties" : { "noteIndex" : 0 }, "schema" : "https://github.com/citation-style-language/schema/raw/master/csl-citation.json" }</w:instrText>
      </w:r>
      <w:r w:rsidRPr="005A5A82">
        <w:rPr>
          <w:rFonts w:ascii="Arial" w:hAnsi="Arial" w:cs="Arial"/>
        </w:rPr>
        <w:fldChar w:fldCharType="separate"/>
      </w:r>
      <w:r w:rsidRPr="005A5A82">
        <w:rPr>
          <w:rFonts w:ascii="Arial" w:hAnsi="Arial" w:cs="Arial"/>
          <w:noProof/>
          <w:vertAlign w:val="superscript"/>
        </w:rPr>
        <w:t>41–43</w:t>
      </w:r>
      <w:r w:rsidRPr="005A5A82">
        <w:rPr>
          <w:rFonts w:ascii="Arial" w:hAnsi="Arial" w:cs="Arial"/>
        </w:rPr>
        <w:fldChar w:fldCharType="end"/>
      </w:r>
      <w:r w:rsidRPr="005A5A82">
        <w:rPr>
          <w:rFonts w:ascii="Arial" w:hAnsi="Arial" w:cs="Arial"/>
        </w:rPr>
        <w:t xml:space="preserve"> and the lack of screening and monitoring systems</w:t>
      </w:r>
      <w:r w:rsidRPr="005A5A82">
        <w:rPr>
          <w:rFonts w:ascii="Arial" w:hAnsi="Arial" w:cs="Arial"/>
        </w:rPr>
        <w:fldChar w:fldCharType="begin" w:fldLock="1"/>
      </w:r>
      <w:r w:rsidRPr="005A5A82">
        <w:rPr>
          <w:rFonts w:ascii="Arial" w:hAnsi="Arial" w:cs="Arial"/>
        </w:rPr>
        <w:instrText>ADDIN CSL_CITATION { "citationItems" : [ { "id" : "ITEM-1", "itemData" : { "DOI" : "10.1001/jama.297.4.380.ABSTRACT", "author" : [ { "dropping-particle" : "", "family" : "Randomized", "given" : "A Cluster", "non-dropping-particle" : "", "parse-names" : false, "suffix" : "" }, { "dropping-particle" : "", "family" : "Trial", "given" : "Controlled", "non-dropping-particle" : "", "parse-names" : false, "suffix" : "" } ], "id" : "ITEM-1", "issue" : "January 2005", "issued" : { "date-parts" : [ [ "2015" ] ] }, "page" : "1-21", "title" : "Effectiveness of a Strategy to Improve Adherence to Tuberculosis Treatment in a Resource \u00ad Poor Setting", "type" : "article-journal", "volume" : "297" }, "uris" : [ "http://www.mendeley.com/documents/?uuid=9468afe4-06de-4222-90c0-e3fa7d3298d6" ] }, { "id" : "ITEM-2", "itemData" : { "ISSN" : "16825055", "author" : [ { "dropping-particle" : "", "family" : "Studies", "given" : "Health", "non-dropping-particle" : "", "parse-names" : false, "suffix" : "" }, { "dropping-particle" : "", "family" : "Ehlers", "given" : "Unisa", "non-dropping-particle" : "", "parse-names" : false, "suffix" : "" }, { "dropping-particle" : "", "family" : "Unisa", "given" : "Health Studies", "non-dropping-particle" : "", "parse-names" : false, "suffix" : "" } ], "id" : "ITEM-2", "issue" : "1", "issued" : { "date-parts" : [ [ "0" ] ] }, "page" : "59-72", "title" : "Factors associated with community-based tb care in the omaheke region, namibia", "type" : "article-journal", "volume" : "9" }, "uris" : [ "http://www.mendeley.com/documents/?uuid=5b7344ac-728a-493e-9aed-9d29f4a8e1d5" ] }, { "id" : "ITEM-3", "itemData" : { "DOI" : "10.5588/ijtld.14.0923", "ISBN" : "1815-7920 (Electronic)\r1027-3719 (Linking)", "ISSN" : "10273719", "PMID" : "26260824", "abstract" : "BACKGROUND Although directly observed therapy (DOT) is recommended worldwide for monitoring anti-tuberculosis treatment, transportation and personnel requirements limit its use. OBJECTIVE To evaluate the feasibility and acceptability of 'video DOT' (VDOT), which allows patients to record and transmit medication ingestion via videos watched remotely by health care providers to document adherence. METHODS We conducted a single-arm trial among tuberculosis (TB) patients in San Diego, California, USA, (n = 43) and Tijuana, Mexico (n = 9) to represent high- and low-resource settings. Pre-/post-treatment interviews assessed participant characteristics and experiences. Adherence was defined as the proportion of observed doses to expected doses. RESULTS The mean age was 37 years (range 18-86), 50% were male, and 88% were non-Caucasian. The mean duration of VDOT use was 5.5 months (range 1-11). Adherence was similar in San Diego (93%) and Tijuana (96%). Compared to time on in-person DOT, 92% preferred VDOT, 81% thought VDOT was more confidential, 89% never/rarely had problems recording videos, and 100% would recommend VDOT to others. Seven (13%) participants were returned to in-person DOT and six (12%) additional participants had their phones lost, broken or stolen. CONCLUSIONS VDOT was feasible and acceptable, with high adherence in both high- and low-resource settings. Efficacy and cost-effectiveness studies are needed.", "author" : [ { "dropping-particle" : "", "family" : "Garfein", "given" : "R. S.", "non-dropping-particle" : "", "parse-names" : false, "suffix" : "" }, { "dropping-particle" : "", "family" : "Collins", "given" : "K.", "non-dropping-particle" : "", "parse-names" : false, "suffix" : "" }, { "dropping-particle" : "", "family" : "Mu\u00f1oz", "given" : "F.", "non-dropping-particle" : "", "parse-names" : false, "suffix" : "" }, { "dropping-particle" : "", "family" : "Moser", "given" : "K.", "non-dropping-particle" : "", "parse-names" : false, "suffix" : "" }, { "dropping-particle" : "", "family" : "Cerecer-Callu", "given" : "P.", "non-dropping-particle" : "", "parse-names" : false, "suffix" : "" }, { "dropping-particle" : "", "family" : "Raab", "given" : "F.", "non-dropping-particle" : "", "parse-names" : false, "suffix" : "" }, { "dropping-particle" : "", "family" : "Rios", "given" : "P.", "non-dropping-particle" : "", "parse-names" : false, "suffix" : "" }, { "dropping-particle" : "", "family" : "Flick", "given" : "A.", "non-dropping-particle" : "", "parse-names" : false, "suffix" : "" }, { "dropping-particle" : "", "family" : "Z\u00fa\u00f1iga", "given" : "M. L.", "non-dropping-particle" : "", "parse-names" : false, "suffix" : "" }, { "dropping-particle" : "", "family" : "Cuevas-Mota", "given" : "J.", "non-dropping-particle" : "", "parse-names" : false, "suffix" : "" }, { "dropping-particle" : "", "family" : "Liang", "given" : "K.", "non-dropping-particle" : "", "parse-names" : false, "suffix" : "" }, { "dropping-particle" : "", "family" : "Rangel", "given" : "G.", "non-dropping-particle" : "", "parse-names" : false, "suffix" : "" }, { "dropping-particle" : "", "family" : "Burgos", "given" : "J. L.", "non-dropping-particle" : "", "parse-names" : false, "suffix" : "" }, { "dropping-particle" : "", "family" : "Rodwell", "given" : "T. C.", "non-dropping-particle" : "", "parse-names" : false, "suffix" : "" }, { "dropping-particle" : "", "family" : "Patrick", "given" : "K.", "non-dropping-particle" : "", "parse-names" : false, "suffix" : "" } ], "container-title" : "International Journal of Tuberculosis and Lung Disease", "id" : "ITEM-3", "issue" : "9", "issued" : { "date-parts" : [ [ "2015" ] ] }, "title" : "Feasibility of tuberculosis treatment monitoring by video directly observed therapy: A binational pilot study", "type" : "article-journal", "volume" : "19" }, "uris" : [ "http://www.mendeley.com/documents/?uuid=1adf4970-20b3-3051-a36f-8c53af78dfab" ] }, { "id" : "ITEM-4", "itemData" : { "DOI" : "10.1001/jama.283.19.2537", "ISBN" : "0098-7484 (Print)\\n0098-7484 (Linking)", "ISSN" : "0098-7484", "PMID" : "10815117", "abstract" : "CONTEXT No large-scale study has investigated the impact of multidrug-resistant tuberculosis (TB) on the outcome of standard short-course chemotherapy under routine countrywide TB control program conditions in the World Health Organization's (WHO) directly observed treatment short-course strategy for TB control. OBJECTIVE To assess the results of treatment with first-line drugs for patients enrolled in the WHO and the International Union Against Tuberculosis and Lung Disease's global project on drug-resistance surveillance. DESIGN AND SETTING Retrospective cohort study of patients with TB in the Dominican Republic, Hong Kong Special Administrative Region (People's Republic of China), Italy, Ivanovo Oblast (Russian Federation), the Republic of Korea, and Peru. PATIENTS New and retreatment TB cases who received short-course chemotherapy with isoniazid, rifampicin, pyrazinamide, and either ethambutol or streptomycin between 1994 and 1996. MAIN OUTCOME MEASURE Treatment response according to WHO treatment outcome categories (cured; died; completed, defaulted, or failed treatment; or transferred). RESULTS Of the 6402 culture-positive TB cases evaluated, 5526 (86%) were new cases and 876 (14%) were retreatment cases. A total of 1148 (20.8%) new cases and 390 (44.5%) retreatment cases were drug resistant, including 184 and 169 cases of multidrug-resistant TB, respectively. Of the new cases 4585 (83%) were treated successfully, 138 (2%) died, and 151 (3%) experienced short-course chemotherapy failure. Overall, treatment failure (relative risk [RR], 15.4; 95% confidence interval [CI], 10.6-22.4; P&lt;.001) and mortality (RR, 3.73; 95% CI, 2.13-6.53; P&lt;.001) were higher among new multidrug-resistant TB cases than among new susceptible cases. Even in settings using 100% direct observation, cases with multidrug resistance had a significantly higher failure rate than those who were susceptible (9/94 [10%] vs 8/1410 [0.7%]; RR, 16.9; 95% CI, 6.6-42.7; P&lt;.001). Treatment failure was also higher among patients with any rifampicin resistance (n=115) other than multidrug resistance (RR, 5.48; 95% CI, 3.04-9.87; P&lt;.001), any isoniazid resistance (n=457) other than multidrug resistance (RR, 3. 06; 95% CI, 1.85-5.05; P&lt;.001), and among patients with TB resistant to rifampicin only (n=76) (RR, 5.47; 95% CI, 2.68-11.2; P&lt;.001). Of the retreatment cases, 497 (57%) were treated successfully, 51 (6%) died, and 124 (14%) failed short-course chemotherapy treatment. Failure rates amon\u2026", "author" : [ { "dropping-particle" : "", "family" : "Espinal", "given" : "Marcos A", "non-dropping-particle" : "", "parse-names" : false, "suffix" : "" }, { "dropping-particle" : "", "family" : "Kim", "given" : "Sang Jae", "non-dropping-particle" : "", "parse-names" : false, "suffix" : "" }, { "dropping-particle" : "", "family" : "Suarez", "given" : "Pedro G", "non-dropping-particle" : "", "parse-names" : false, "suffix" : "" }, { "dropping-particle" : "", "family" : "Kam", "given" : "Kai Man", "non-dropping-particle" : "", "parse-names" : false, "suffix" : "" }, { "dropping-particle" : "", "family" : "Khomenko", "given" : "Alexander G", "non-dropping-particle" : "", "parse-names" : false, "suffix" : "" }, { "dropping-particle" : "", "family" : "Migliori", "given" : "Giovanni B", "non-dropping-particle" : "", "parse-names" : false, "suffix" : "" }, { "dropping-particle" : "", "family" : "Ba\u00e9z", "given" : "J", "non-dropping-particle" : "", "parse-names" : false, "suffix" : "" }, { "dropping-particle" : "", "family" : "Kochi", "given" : "A", "non-dropping-particle" : "", "parse-names" : false, "suffix" : "" }, { "dropping-particle" : "", "family" : "Dye", "given" : "Christopher", "non-dropping-particle" : "", "parse-names" : false, "suffix" : "" }, { "dropping-particle" : "", "family" : "Raviglione", "given" : "Mario C", "non-dropping-particle" : "", "parse-names" : false, "suffix" : "" } ], "container-title" : "Jama", "id" : "ITEM-4", "issue" : "19", "issued" : { "date-parts" : [ [ "2000" ] ] }, "page" : "2537-45", "title" : "Standard short-course chemotherapy for drug-resistant tuberculosis: treatment outcomes in 6 countries.", "type" : "article-journal", "volume" : "283" }, "uris" : [ "http://www.mendeley.com/documents/?uuid=ca8381d6-aeb6-482a-9ab0-799d4a98bbce" ] } ], "mendeley" : { "formattedCitation" : "&lt;sup&gt;6,18,44,45&lt;/sup&gt;", "plainTextFormattedCitation" : "6,18,44,45", "previouslyFormattedCitation" : "&lt;sup&gt;6,18,44,45&lt;/sup&gt;" }, "properties" : { "noteIndex" : 0 }, "schema" : "https://github.com/citation-style-language/schema/raw/master/csl-citation.json" }</w:instrText>
      </w:r>
      <w:r w:rsidRPr="005A5A82">
        <w:rPr>
          <w:rFonts w:ascii="Arial" w:hAnsi="Arial" w:cs="Arial"/>
        </w:rPr>
        <w:fldChar w:fldCharType="separate"/>
      </w:r>
      <w:r w:rsidRPr="005A5A82">
        <w:rPr>
          <w:rFonts w:ascii="Arial" w:hAnsi="Arial" w:cs="Arial"/>
          <w:noProof/>
          <w:vertAlign w:val="superscript"/>
        </w:rPr>
        <w:t>6,18,44,45</w:t>
      </w:r>
      <w:r w:rsidRPr="005A5A82">
        <w:rPr>
          <w:rFonts w:ascii="Arial" w:hAnsi="Arial" w:cs="Arial"/>
        </w:rPr>
        <w:fldChar w:fldCharType="end"/>
      </w:r>
      <w:r w:rsidRPr="005A5A82">
        <w:rPr>
          <w:rFonts w:ascii="Arial" w:hAnsi="Arial" w:cs="Arial"/>
        </w:rPr>
        <w:t>.</w:t>
      </w:r>
    </w:p>
    <w:p w14:paraId="4CBFA29A" w14:textId="77777777" w:rsidR="00CB62E5" w:rsidRPr="005A5A82" w:rsidRDefault="00CB62E5" w:rsidP="005A5A82">
      <w:pPr>
        <w:pStyle w:val="NoSpacing"/>
        <w:spacing w:line="360" w:lineRule="auto"/>
        <w:rPr>
          <w:rFonts w:ascii="Arial" w:hAnsi="Arial" w:cs="Arial"/>
        </w:rPr>
      </w:pPr>
    </w:p>
    <w:p w14:paraId="6ECDB92C" w14:textId="614BC61A" w:rsidR="00CB62E5" w:rsidRPr="005A5A82" w:rsidRDefault="00CB62E5" w:rsidP="005A5A82">
      <w:pPr>
        <w:pStyle w:val="NoSpacing"/>
        <w:spacing w:line="360" w:lineRule="auto"/>
        <w:rPr>
          <w:rFonts w:ascii="Arial" w:hAnsi="Arial" w:cs="Arial"/>
          <w:shd w:val="clear" w:color="auto" w:fill="FFFFFF"/>
        </w:rPr>
      </w:pPr>
      <w:r w:rsidRPr="005A5A82">
        <w:rPr>
          <w:rFonts w:ascii="Arial" w:hAnsi="Arial" w:cs="Arial"/>
          <w:shd w:val="clear" w:color="auto" w:fill="FFFFFF"/>
        </w:rPr>
        <w:t xml:space="preserve">A multivariate logistic regression analysis indicated that the patient’s HIV status, TB regimen, the type DOT provider, prior cotrimoxazole prophylaxis, sputum conversion at 2 months and </w:t>
      </w:r>
      <w:r w:rsidR="00E25378" w:rsidRPr="005A5A82">
        <w:rPr>
          <w:rFonts w:ascii="Arial" w:hAnsi="Arial" w:cs="Arial"/>
          <w:shd w:val="clear" w:color="auto" w:fill="FFFFFF"/>
        </w:rPr>
        <w:t xml:space="preserve">the </w:t>
      </w:r>
      <w:r w:rsidRPr="005A5A82">
        <w:rPr>
          <w:rFonts w:ascii="Arial" w:hAnsi="Arial" w:cs="Arial"/>
          <w:shd w:val="clear" w:color="auto" w:fill="FFFFFF"/>
        </w:rPr>
        <w:t xml:space="preserve">region, were significant predictors of </w:t>
      </w:r>
      <w:r w:rsidR="005924B2" w:rsidRPr="005A5A82">
        <w:rPr>
          <w:rFonts w:ascii="Arial" w:hAnsi="Arial" w:cs="Arial"/>
          <w:shd w:val="clear" w:color="auto" w:fill="FFFFFF"/>
        </w:rPr>
        <w:t>TB</w:t>
      </w:r>
      <w:r w:rsidRPr="005A5A82">
        <w:rPr>
          <w:rFonts w:ascii="Arial" w:hAnsi="Arial" w:cs="Arial"/>
          <w:shd w:val="clear" w:color="auto" w:fill="FFFFFF"/>
        </w:rPr>
        <w:t xml:space="preserve"> treatment outcomes (Table 2). Our findings though differ from other studies that found that patient’s demographics including their age</w:t>
      </w:r>
      <w:r w:rsidRPr="005A5A82">
        <w:rPr>
          <w:rFonts w:ascii="Arial" w:hAnsi="Arial" w:cs="Arial"/>
          <w:shd w:val="clear" w:color="auto" w:fill="FFFFFF"/>
        </w:rPr>
        <w:fldChar w:fldCharType="begin" w:fldLock="1"/>
      </w:r>
      <w:r w:rsidRPr="005A5A82">
        <w:rPr>
          <w:rFonts w:ascii="Arial" w:hAnsi="Arial" w:cs="Arial"/>
          <w:shd w:val="clear" w:color="auto" w:fill="FFFFFF"/>
        </w:rPr>
        <w:instrText>ADDIN CSL_CITATION { "citationItems" : [ { "id" : "ITEM-1", "itemData" : { "DOI" : "10.3343/alm.2017.37.2.97", "ISSN" : "2234-3806", "PMID" : "28028995", "abstract" : "Although tuberculosis is largely a curable disease, it remains a major cause of morbidity and mortality worldwide. Although the standard 6-month treatment regimen is highly effective for drug-susceptible tuberculosis, the use of multiple drugs over long periods of time can cause frequent adverse drug reactions. In addition, some patients with drug-susceptible tuberculosis do not respond adequately to treatment and develop treatment failure and drug resistance. Response to tuberculosis treatment could be affected by multiple factors associated with the host-pathogen interaction including genetic factors and the nutritional status of the host. These factors should be considered for effective tuberculosis control. Therefore, therapeutic drug monitoring (TDM), which is individualized drug dosing guided by serum drug concentrations during treatment, and pharmacogenetics-based personalized dosing guidelines of anti-tuberculosis drugs could reduce the incidence of adverse drug reactions and increase the likelihood of successful treatment outcomes. Moreover, assessment and management of comorbid conditions including nutritional status could improve anti-tuberculosis treatment response.", "author" : [ { "dropping-particle" : "", "family" : "Choi", "given" : "Rihwa", "non-dropping-particle" : "", "parse-names" : false, "suffix" : "" }, { "dropping-particle" : "", "family" : "Jeong", "given" : "Byeong-Ho", "non-dropping-particle" : "", "parse-names" : false, "suffix" : "" }, { "dropping-particle" : "", "family" : "Koh", "given" : "Won-Jung", "non-dropping-particle" : "", "parse-names" : false, "suffix" : "" }, { "dropping-particle" : "", "family" : "Lee", "given" : "Soo-Youn", "non-dropping-particle" : "", "parse-names" : false, "suffix" : "" } ], "container-title" : "Annals of Laboratory Medicine", "id" : "ITEM-1", "issue" : "2", "issued" : { "date-parts" : [ [ "2017" ] ] }, "page" : "97", "title" : "Recommendations for Optimizing Tuberculosis Treatment: Therapeutic Drug Monitoring, Pharmacogenetics, and Nutritional Status Considerations", "type" : "article-journal", "volume" : "37" }, "uris" : [ "http://www.mendeley.com/documents/?uuid=6ef4ede4-b8d1-44ab-91f1-440e2723cad6" ] }, { "id" : "ITEM-2", "itemData" : { "DOI" : "10.1186/1471-2458-7-291", "ISBN" : "1471-2458 (Electronic)\\r1471-2458 (Linking)", "ISSN" : "1471-2458", "PMID" : "17935630", "abstract" : "BACKGROUND: We investigated the patient- and treatment-system dependent factors affecting treatment outcome in a two-year cohort of all treated culture-verified pulmonary tuberculosis (TB) cases to establish a basis for improving outcomes. METHODS: Medical records of all cases in 1995 - 1996 were abstracted to assess outcome of treatment. Outcome was divided into three groups: favourable, death and other unfavourable. Predictors of unfavourable outcome were assessed in univariate and multivariate analysis. RESULTS: Among 629 cases a favourable outcome was achieved in 441 (70.1%), 17.2% (108) died and other unfavourable outcome took place in 12.7% (80). Significant independent risk factors for death were male sex, high age, non-HIV -related immunosuppression and any other than a pulmonary specialty being responsible for stopping treatment. History of previous tuberculosis was inversely associated with the risk of death. For other unfavourable treatment outcomes, significant risk factors were pause(s) in treatment, treatment with INH+RIF+EMB/SM, and internal medicine specialty being responsible at the end of the treatment. CONCLUSION: We observed a significant association with unfavourable outcome for the specialty responsible for treatment being other than pulmonary, but not for the volume of cases, which has implications for system arrangements. Poor outcomes associated with immunosuppression and advanced age, with frequent comorbidity, stress a low threshold of suspicion, availability of rapid diagnostics, and early empiric treatment as probable approaches in attempting to improve treatment outcomes in countries with very low incidence of TB.", "author" : [ { "dropping-particle" : "", "family" : "Vasankari", "given" : "T", "non-dropping-particle" : "", "parse-names" : false, "suffix" : "" }, { "dropping-particle" : "", "family" : "Holmstrom", "given" : "P", "non-dropping-particle" : "", "parse-names" : false, "suffix" : "" }, { "dropping-particle" : "", "family" : "Ollgren", "given" : "J", "non-dropping-particle" : "", "parse-names" : false, "suffix" : "" }, { "dropping-particle" : "", "family" : "Liippo", "given" : "K", "non-dropping-particle" : "", "parse-names" : false, "suffix" : "" }, { "dropping-particle" : "", "family" : "Kokki", "given" : "M", "non-dropping-particle" : "", "parse-names" : false, "suffix" : "" }, { "dropping-particle" : "", "family" : "Ruutu", "given" : "P", "non-dropping-particle" : "", "parse-names" : false, "suffix" : "" } ], "container-title" : "BMC public health", "id" : "ITEM-2", "issued" : { "date-parts" : [ [ "2007" ] ] }, "title" : "Risk factors for poor tuberculosis treatment outcome in Finland: a cohort study", "type" : "article-journal" }, "uris" : [ "http://www.mendeley.com/documents/?uuid=e66a424f-c065-302c-8d9b-216c15e9afd5" ] } ], "mendeley" : { "formattedCitation" : "&lt;sup&gt;41,46&lt;/sup&gt;", "plainTextFormattedCitation" : "41,46", "previouslyFormattedCitation" : "&lt;sup&gt;41,46&lt;/sup&gt;" }, "properties" : { "noteIndex" : 0 }, "schema" : "https://github.com/citation-style-language/schema/raw/master/csl-citation.json" }</w:instrText>
      </w:r>
      <w:r w:rsidRPr="005A5A82">
        <w:rPr>
          <w:rFonts w:ascii="Arial" w:hAnsi="Arial" w:cs="Arial"/>
          <w:shd w:val="clear" w:color="auto" w:fill="FFFFFF"/>
        </w:rPr>
        <w:fldChar w:fldCharType="separate"/>
      </w:r>
      <w:r w:rsidRPr="005A5A82">
        <w:rPr>
          <w:rFonts w:ascii="Arial" w:hAnsi="Arial" w:cs="Arial"/>
          <w:noProof/>
          <w:shd w:val="clear" w:color="auto" w:fill="FFFFFF"/>
          <w:vertAlign w:val="superscript"/>
        </w:rPr>
        <w:t>41,46</w:t>
      </w:r>
      <w:r w:rsidRPr="005A5A82">
        <w:rPr>
          <w:rFonts w:ascii="Arial" w:hAnsi="Arial" w:cs="Arial"/>
          <w:shd w:val="clear" w:color="auto" w:fill="FFFFFF"/>
        </w:rPr>
        <w:fldChar w:fldCharType="end"/>
      </w:r>
      <w:r w:rsidRPr="005A5A82">
        <w:rPr>
          <w:rFonts w:ascii="Arial" w:hAnsi="Arial" w:cs="Arial"/>
          <w:shd w:val="clear" w:color="auto" w:fill="FFFFFF"/>
        </w:rPr>
        <w:t xml:space="preserve"> and male-gender</w:t>
      </w:r>
      <w:r w:rsidR="00E25378" w:rsidRPr="005A5A82">
        <w:rPr>
          <w:rFonts w:ascii="Arial" w:hAnsi="Arial" w:cs="Arial"/>
          <w:shd w:val="clear" w:color="auto" w:fill="FFFFFF"/>
          <w:vertAlign w:val="superscript"/>
        </w:rPr>
        <w:t>27,46-</w:t>
      </w:r>
      <w:r w:rsidRPr="005A5A82">
        <w:rPr>
          <w:rFonts w:ascii="Arial" w:hAnsi="Arial" w:cs="Arial"/>
        </w:rPr>
        <w:fldChar w:fldCharType="begin" w:fldLock="1"/>
      </w:r>
      <w:r w:rsidRPr="005A5A82">
        <w:rPr>
          <w:rFonts w:ascii="Arial" w:hAnsi="Arial" w:cs="Arial"/>
        </w:rPr>
        <w:instrText>ADDIN CSL_CITATION { "citationItems" : [ { "id" : "ITEM-1", "itemData" : { "DOI" : "10.1155/2014/202983", "ISBN" : "2090-150X (Print)\\r2090-150X (Linking)", "ISSN" : "2090-150X", "PMID" : "25478222", "abstract" : "Background. Few studies have evaluated the rate of tuberculosis (TB)/human immunodeficiency virus (HIV) coinfection and the determinants of its treatment outcomes in Africa. We aimed to determine the predictors of unsuccessful treatment outcomes in HIV-infected tuberculosis patients in Nigeria. Methods. A retrospective cohort study design was used to assess adult TB/HIV patients who registered for TB treatment in two health facilities in Ebonyi State, Southeast Nigeria, between January 2011 and December 2012. Predictors of unsuccessful treatment outcomes were determined using multivariable logistic regression analysis. Results. Of 1668 TB patients, 342 (20.5%) were HIV coinfected. Of these, 195 (57%) had smear-negative pulmonary TB and 11 (3.2%) had extrapulmonary TB. Overall, 225 (65.8%) patients achieved successful outcomes, while 117 (34.2%) had unsuccessful outcomes. The unsuccessful treatment outcomes were due to \"default\" (9.9%), \"death\" (19%), \"treatment failure\" (1.5%), and \"transferring out\" (3.8%). Independent determinants for unsuccessful outcomes were receiving care at a public facility and noninitiation of antiretroviral therapy. Conclusion. There is need for the reevaluation of the quality of public sector treatment services provided for TB/HIV patients as well as further expansion of TB/HIV collaborative activities in rural areas, and interventions to reduce mortality and default rates among TB/HIV patients are urgently needed in Nigeria.", "author" : [ { "dropping-particle" : "", "family" : "Oshi", "given" : "Daniel Chukwunweolu", "non-dropping-particle" : "", "parse-names" : false, "suffix" : "" }, { "dropping-particle" : "", "family" : "Oshi", "given" : "Sarah Nakalema", "non-dropping-particle" : "", "parse-names" : false, "suffix" : "" }, { "dropping-particle" : "", "family" : "Alobu", "given" : "Isaac", "non-dropping-particle" : "", "parse-names" : false, "suffix" : "" }, { "dropping-particle" : "", "family" : "Ukwaja", "given" : "Kingsley Nnanna", "non-dropping-particle" : "", "parse-names" : false, "suffix" : "" } ], "container-title" : "Tuberculosis research and treatment", "id" : "ITEM-1", "issued" : { "date-parts" : [ [ "2014" ] ] }, "page" : "202983", "title" : "Profile, Outcomes, and Determinants of Unsuccessful Tuberculosis Treatment Outcomes among HIV-Infected Tuberculosis Patients in a Nigerian State.", "type" : "article-journal", "volume" : "2014" }, "uris" : [ "http://www.mendeley.com/documents/?uuid=dc13d125-f25e-49f0-a475-d2750df5678c" ] } ], "mendeley" : { "formattedCitation" : "&lt;sup&gt;49&lt;/sup&gt;", "plainTextFormattedCitation" : "49", "previouslyFormattedCitation" : "&lt;sup&gt;49&lt;/sup&gt;" }, "properties" : { "noteIndex" : 0 }, "schema" : "https://github.com/citation-style-language/schema/raw/master/csl-citation.json" }</w:instrText>
      </w:r>
      <w:r w:rsidRPr="005A5A82">
        <w:rPr>
          <w:rFonts w:ascii="Arial" w:hAnsi="Arial" w:cs="Arial"/>
        </w:rPr>
        <w:fldChar w:fldCharType="separate"/>
      </w:r>
      <w:r w:rsidRPr="005A5A82">
        <w:rPr>
          <w:rFonts w:ascii="Arial" w:hAnsi="Arial" w:cs="Arial"/>
          <w:noProof/>
          <w:vertAlign w:val="superscript"/>
        </w:rPr>
        <w:t>49</w:t>
      </w:r>
      <w:r w:rsidRPr="005A5A82">
        <w:rPr>
          <w:rFonts w:ascii="Arial" w:hAnsi="Arial" w:cs="Arial"/>
        </w:rPr>
        <w:fldChar w:fldCharType="end"/>
      </w:r>
      <w:r w:rsidRPr="005A5A82">
        <w:rPr>
          <w:rFonts w:ascii="Arial" w:hAnsi="Arial" w:cs="Arial"/>
        </w:rPr>
        <w:t>,</w:t>
      </w:r>
      <w:r w:rsidRPr="005A5A82">
        <w:rPr>
          <w:rFonts w:ascii="Arial" w:hAnsi="Arial" w:cs="Arial"/>
          <w:shd w:val="clear" w:color="auto" w:fill="FFFFFF"/>
        </w:rPr>
        <w:t xml:space="preserve"> </w:t>
      </w:r>
      <w:r w:rsidR="00E25378" w:rsidRPr="005A5A82">
        <w:rPr>
          <w:rFonts w:ascii="Arial" w:hAnsi="Arial" w:cs="Arial"/>
          <w:shd w:val="clear" w:color="auto" w:fill="FFFFFF"/>
        </w:rPr>
        <w:t xml:space="preserve">as well as the </w:t>
      </w:r>
      <w:r w:rsidRPr="005A5A82">
        <w:rPr>
          <w:rFonts w:ascii="Arial" w:hAnsi="Arial" w:cs="Arial"/>
          <w:shd w:val="clear" w:color="auto" w:fill="FFFFFF"/>
        </w:rPr>
        <w:t>TB diagnostic category</w:t>
      </w:r>
      <w:r w:rsidR="00E25378" w:rsidRPr="005A5A82">
        <w:rPr>
          <w:rFonts w:ascii="Arial" w:hAnsi="Arial" w:cs="Arial"/>
          <w:shd w:val="clear" w:color="auto" w:fill="FFFFFF"/>
        </w:rPr>
        <w:t>,</w:t>
      </w:r>
      <w:r w:rsidRPr="005A5A82">
        <w:rPr>
          <w:rFonts w:ascii="Arial" w:hAnsi="Arial" w:cs="Arial"/>
          <w:shd w:val="clear" w:color="auto" w:fill="FFFFFF"/>
        </w:rPr>
        <w:t xml:space="preserve"> and level of health facility care</w:t>
      </w:r>
      <w:r w:rsidR="00E25378" w:rsidRPr="005A5A82">
        <w:rPr>
          <w:rFonts w:ascii="Arial" w:hAnsi="Arial" w:cs="Arial"/>
          <w:shd w:val="clear" w:color="auto" w:fill="FFFFFF"/>
        </w:rPr>
        <w:t>,</w:t>
      </w:r>
      <w:r w:rsidRPr="005A5A82">
        <w:rPr>
          <w:rFonts w:ascii="Arial" w:hAnsi="Arial" w:cs="Arial"/>
          <w:shd w:val="clear" w:color="auto" w:fill="FFFFFF"/>
        </w:rPr>
        <w:t xml:space="preserve"> were significant predictors of TSR. However, our findings are similar to others </w:t>
      </w:r>
      <w:r w:rsidRPr="005A5A82">
        <w:rPr>
          <w:rFonts w:ascii="Arial" w:hAnsi="Arial" w:cs="Arial"/>
          <w:shd w:val="clear" w:color="auto" w:fill="FFFFFF"/>
        </w:rPr>
        <w:lastRenderedPageBreak/>
        <w:t xml:space="preserve">that have reported a positive HIV status and sputum non-conversion at month 2 as important risk factors for poor treatment outcomes. </w:t>
      </w:r>
    </w:p>
    <w:p w14:paraId="189A29EE" w14:textId="77777777" w:rsidR="00E25378" w:rsidRPr="005A5A82" w:rsidRDefault="00E25378" w:rsidP="005A5A82">
      <w:pPr>
        <w:pStyle w:val="NoSpacing"/>
        <w:spacing w:line="360" w:lineRule="auto"/>
        <w:rPr>
          <w:rFonts w:ascii="Arial" w:hAnsi="Arial" w:cs="Arial"/>
          <w:shd w:val="clear" w:color="auto" w:fill="FFFFFF"/>
        </w:rPr>
      </w:pPr>
    </w:p>
    <w:p w14:paraId="6545B4E8" w14:textId="7D5BADDE" w:rsidR="00CB62E5" w:rsidRPr="005A5A82" w:rsidRDefault="00CB62E5" w:rsidP="005A5A82">
      <w:pPr>
        <w:pStyle w:val="NoSpacing"/>
        <w:spacing w:line="360" w:lineRule="auto"/>
        <w:rPr>
          <w:rFonts w:ascii="Arial" w:hAnsi="Arial" w:cs="Arial"/>
        </w:rPr>
      </w:pPr>
      <w:r w:rsidRPr="005A5A82">
        <w:rPr>
          <w:rFonts w:ascii="Arial" w:hAnsi="Arial" w:cs="Arial"/>
          <w:shd w:val="clear" w:color="auto" w:fill="FFFFFF"/>
        </w:rPr>
        <w:t xml:space="preserve">This study also gives conflicting reports on the effect of gender on TB treatment success to studies by </w:t>
      </w:r>
      <w:proofErr w:type="spellStart"/>
      <w:r w:rsidRPr="005A5A82">
        <w:rPr>
          <w:rFonts w:ascii="Arial" w:hAnsi="Arial" w:cs="Arial"/>
          <w:shd w:val="clear" w:color="auto" w:fill="FFFFFF"/>
        </w:rPr>
        <w:t>Nakiyingi</w:t>
      </w:r>
      <w:proofErr w:type="spellEnd"/>
      <w:r w:rsidRPr="005A5A82">
        <w:rPr>
          <w:rFonts w:ascii="Arial" w:hAnsi="Arial" w:cs="Arial"/>
          <w:shd w:val="clear" w:color="auto" w:fill="FFFFFF"/>
        </w:rPr>
        <w:t xml:space="preserve"> et al.</w:t>
      </w:r>
      <w:r w:rsidR="00E25378" w:rsidRPr="005A5A82">
        <w:rPr>
          <w:rFonts w:ascii="Arial" w:hAnsi="Arial" w:cs="Arial"/>
          <w:shd w:val="clear" w:color="auto" w:fill="FFFFFF"/>
        </w:rPr>
        <w:t xml:space="preserve"> and others</w:t>
      </w:r>
      <w:r w:rsidRPr="005A5A82">
        <w:rPr>
          <w:rFonts w:ascii="Arial" w:hAnsi="Arial" w:cs="Arial"/>
          <w:shd w:val="clear" w:color="auto" w:fill="FFFFFF"/>
        </w:rPr>
        <w:t xml:space="preserve"> in Uganda that indicated that male patients are at increased risk of poor outcomes </w:t>
      </w:r>
      <w:r w:rsidRPr="005A5A82">
        <w:rPr>
          <w:rFonts w:ascii="Arial" w:hAnsi="Arial" w:cs="Arial"/>
          <w:shd w:val="clear" w:color="auto" w:fill="FFFFFF"/>
        </w:rPr>
        <w:fldChar w:fldCharType="begin" w:fldLock="1"/>
      </w:r>
      <w:r w:rsidRPr="005A5A82">
        <w:rPr>
          <w:rFonts w:ascii="Arial" w:hAnsi="Arial" w:cs="Arial"/>
          <w:shd w:val="clear" w:color="auto" w:fill="FFFFFF"/>
        </w:rPr>
        <w:instrText>ADDIN CSL_CITATION { "citationItems" : [ { "id" : "ITEM-1", "itemData" : { "DOI" : "10.4314/ahs.v11i3.70079", "ISBN" : "1680-6905", "ISSN" : "16806905", "PMID" : "22135634", "abstract" : "INTRODUCTION Early identification of Tuberculosis (TB) treatment failure using cost effective means is urgently needed in developing nations. The study set out to describe affordable predictors of TB treatment failure in an African setting. OBJECTIVE To determine the predictors of treatment failure among patients with sputum smear positive pulmonary TB at Mulago hospital. The study was carried out in the TB clinic of Mulago hospital Kampala, Uganda. This was an unmatched case control study where fifty patients with a diagnosis of TB treatment failure (cases) and 100 patients declared cured after completing anti TB treatment (controls) were recruited into the study. Cases were compared with controls to determine predictors of treatment failure. RESULTS Significant predictors of treatment failure in this study included a positive sputum smear at 2 months of TB treatment (OR 20.63, 95%CI 5.42- 78.41) and poor adherence to anti TB treatment (OR 14.59, 95%CI 3.04-70.15). CONCLUSION This study identified a treatment related and a simple laboratory predictor of TB treatment failure in Mulago hospital which may be used in resource limited settings for early recognition of those at risk and early intervention.", "author" : [ { "dropping-particle" : "", "family" : "Namukwaya", "given" : "E.", "non-dropping-particle" : "", "parse-names" : false, "suffix" : "" }, { "dropping-particle" : "", "family" : "Nakwagala", "given" : "F. N.", "non-dropping-particle" : "", "parse-names" : false, "suffix" : "" }, { "dropping-particle" : "", "family" : "Mulekya", "given" : "F.", "non-dropping-particle" : "", "parse-names" : false, "suffix" : "" }, { "dropping-particle" : "", "family" : "Mayanja-Kizza", "given" : "H.", "non-dropping-particle" : "", "parse-names" : false, "suffix" : "" }, { "dropping-particle" : "", "family" : "Mugerwa", "given" : "R.", "non-dropping-particle" : "", "parse-names" : false, "suffix" : "" } ], "container-title" : "African Health Sciences", "id" : "ITEM-1", "issue" : "SPEC. ISSUE", "issued" : { "date-parts" : [ [ "2011" ] ] }, "title" : "Predictors of treatment failure among pulmonary tuberculosis patients in mulago hospital, Uganda", "type" : "article-journal", "volume" : "11" }, "uris" : [ "http://www.mendeley.com/documents/?uuid=851595d2-24db-4351-afba-b9cf278a6707" ] }, { "id" : "ITEM-2", "itemData" : { "DOI" : "10.1371/journal.pone.0074023", "ISBN" : "1932-6203; 1932-6203", "ISSN" : "19326203", "PMID" : "24040151", "abstract" : "IntroductionThe existing diagnostic algorithms for sputum smear-negative tuberculosis (TB) are complicated, time-consuming, and often difficult to implement. The decision to initiate TB treatment in resource-limited countries is often largely based on clinical predictors. We sought to determine the clinical predictors and accuracy of empiric TB treatment initiation in HIV-infected sputum smear-negative TB suspects using sputum culture as a reference standard.SettingOut-patient HIV-TB integrated urban clinic in Kampala, Uganda.MethodsHIV-infected TB suspects were screened using sputum smear microscopy, and mycobacterial sputum liquid and solid cultures were performed. Smear results were made available to the clinician who made a clinical decision on empiric TB treatment initiation for sputum smear-negative patients. Clinic records were reviewed for patients whose sputum smears were negative to collect data on socio-demographics, TB symptomatology, chest X-ray findings, CD4 cell counts and TB treatment initiation.ResultsOf 253 smear-negative TB suspects, 56% (142/253) were females, median age 38 IQR (31\u201344) years, with a median CD4 cell count of 291 IQR (150\u2013482) cells/mm3. Of the 85 (33.6%) smear-negative patients empirically initiated on TB treatment, 35.3% (n\u200a=\u200a30) were sputum culture positive compared to only 18 (10.7%) of the 168 untreated patients (p&lt;0.001). Abnormal chest X-ray [aOR 10.18, 95% CI (3.14\u201333.00), p&lt;0.001] and advanced HIV clinical stage [aOR 3.92, 95% CI (1.20\u201312.85), p\u200a=\u200a0.024] were significantly associated with empiric TB treatment initiation. The sensitivity and specificity of empiric TB treatment initiation in the diagnosis of TB in HIV-infected patients after negative smear microscopy was 62.5% and 73.7% respectively.ConclusionIn resource-limited settings, clinically advanced HIV and abnormal chest X-ray significantly predict a clinical decision to empirically initiate TB treatment in smear-negative HIV-infected patients. Empiric TB treatment initiation correlates poorly with TB cultures. Affordable, accurate and rapid point-of-care diagnostics are needed in resource-limited settings to more accurately determine which HIV-infected TB suspects have smear-negative TB.", "author" : [ { "dropping-particle" : "", "family" : "Nakiyingi", "given" : "Lydia", "non-dropping-particle" : "", "parse-names" : false, "suffix" : "" }, { "dropping-particle" : "", "family" : "Bwanika", "given" : "John Mark", "non-dropping-particle" : "", "parse-names" : false, "suffix" : "" }, { "dropping-particle" : "", "family" : "Kirenga", "given" : "Bruce", "non-dropping-particle" : "", "parse-names" : false, "suffix" : "" }, { "dropping-particle" : "", "family" : "Nakanjako", "given" : "Damalie", "non-dropping-particle" : "", "parse-names" : false, "suffix" : "" }, { "dropping-particle" : "", "family" : "Katabira", "given" : "Catherine", "non-dropping-particle" : "", "parse-names" : false, "suffix" : "" }, { "dropping-particle" : "", "family" : "Lubega", "given" : "Gloria", "non-dropping-particle" : "", "parse-names" : false, "suffix" : "" }, { "dropping-particle" : "", "family" : "Sempa", "given" : "Joseph", "non-dropping-particle" : "", "parse-names" : false, "suffix" : "" }, { "dropping-particle" : "", "family" : "Nyesiga", "given" : "Barnabas", "non-dropping-particle" : "", "parse-names" : false, "suffix" : "" }, { "dropping-particle" : "", "family" : "Albert", "given" : "Heidi", "non-dropping-particle" : "", "parse-names" : false, "suffix" : "" }, { "dropping-particle" : "", "family" : "Manabe", "given" : "Yukari C.", "non-dropping-particle" : "", "parse-names" : false, "suffix" : "" } ], "container-title" : "PLoS ONE", "id" : "ITEM-2", "issue" : "9", "issued" : { "date-parts" : [ [ "2013" ] ] }, "title" : "Clinical Predictors and Accuracy of Empiric Tuberculosis Treatment among Sputum Smear-Negative HIV-Infected Adult TB Suspects in Uganda", "type" : "article", "volume" : "8" }, "uris" : [ "http://www.mendeley.com/documents/?uuid=153b4dd7-7bf7-4ad1-8f06-c5e54d2efc75" ] } ], "mendeley" : { "formattedCitation" : "&lt;sup&gt;25,26&lt;/sup&gt;", "plainTextFormattedCitation" : "25,26", "previouslyFormattedCitation" : "&lt;sup&gt;25,26&lt;/sup&gt;" }, "properties" : { "noteIndex" : 0 }, "schema" : "https://github.com/citation-style-language/schema/raw/master/csl-citation.json" }</w:instrText>
      </w:r>
      <w:r w:rsidRPr="005A5A82">
        <w:rPr>
          <w:rFonts w:ascii="Arial" w:hAnsi="Arial" w:cs="Arial"/>
          <w:shd w:val="clear" w:color="auto" w:fill="FFFFFF"/>
        </w:rPr>
        <w:fldChar w:fldCharType="separate"/>
      </w:r>
      <w:r w:rsidRPr="005A5A82">
        <w:rPr>
          <w:rFonts w:ascii="Arial" w:hAnsi="Arial" w:cs="Arial"/>
          <w:noProof/>
          <w:shd w:val="clear" w:color="auto" w:fill="FFFFFF"/>
          <w:vertAlign w:val="superscript"/>
        </w:rPr>
        <w:t>25,26</w:t>
      </w:r>
      <w:r w:rsidRPr="005A5A82">
        <w:rPr>
          <w:rFonts w:ascii="Arial" w:hAnsi="Arial" w:cs="Arial"/>
          <w:shd w:val="clear" w:color="auto" w:fill="FFFFFF"/>
        </w:rPr>
        <w:fldChar w:fldCharType="end"/>
      </w:r>
      <w:r w:rsidRPr="005A5A82">
        <w:rPr>
          <w:rFonts w:ascii="Arial" w:hAnsi="Arial" w:cs="Arial"/>
          <w:shd w:val="clear" w:color="auto" w:fill="FFFFFF"/>
        </w:rPr>
        <w:t>. However, in our study, patients who received treatment through a work placed based DOTS care increased their TSR by more than three times compared to other types of DOT providers. The results indicate the importance of optimizing the TB regimens</w:t>
      </w:r>
      <w:r w:rsidRPr="005A5A82">
        <w:rPr>
          <w:rFonts w:ascii="Arial" w:hAnsi="Arial" w:cs="Arial"/>
          <w:shd w:val="clear" w:color="auto" w:fill="FFFFFF"/>
        </w:rPr>
        <w:fldChar w:fldCharType="begin" w:fldLock="1"/>
      </w:r>
      <w:r w:rsidRPr="005A5A82">
        <w:rPr>
          <w:rFonts w:ascii="Arial" w:hAnsi="Arial" w:cs="Arial"/>
          <w:shd w:val="clear" w:color="auto" w:fill="FFFFFF"/>
        </w:rPr>
        <w:instrText>ADDIN CSL_CITATION { "citationItems" : [ { "id" : "ITEM-1", "itemData" : { "DOI" : "10.3343/alm.2017.37.2.97", "ISSN" : "2234-3806", "PMID" : "28028995", "abstract" : "Although tuberculosis is largely a curable disease, it remains a major cause of morbidity and mortality worldwide. Although the standard 6-month treatment regimen is highly effective for drug-susceptible tuberculosis, the use of multiple drugs over long periods of time can cause frequent adverse drug reactions. In addition, some patients with drug-susceptible tuberculosis do not respond adequately to treatment and develop treatment failure and drug resistance. Response to tuberculosis treatment could be affected by multiple factors associated with the host-pathogen interaction including genetic factors and the nutritional status of the host. These factors should be considered for effective tuberculosis control. Therefore, therapeutic drug monitoring (TDM), which is individualized drug dosing guided by serum drug concentrations during treatment, and pharmacogenetics-based personalized dosing guidelines of anti-tuberculosis drugs could reduce the incidence of adverse drug reactions and increase the likelihood of successful treatment outcomes. Moreover, assessment and management of comorbid conditions including nutritional status could improve anti-tuberculosis treatment response.", "author" : [ { "dropping-particle" : "", "family" : "Choi", "given" : "Rihwa", "non-dropping-particle" : "", "parse-names" : false, "suffix" : "" }, { "dropping-particle" : "", "family" : "Jeong", "given" : "Byeong-Ho", "non-dropping-particle" : "", "parse-names" : false, "suffix" : "" }, { "dropping-particle" : "", "family" : "Koh", "given" : "Won-Jung", "non-dropping-particle" : "", "parse-names" : false, "suffix" : "" }, { "dropping-particle" : "", "family" : "Lee", "given" : "Soo-Youn", "non-dropping-particle" : "", "parse-names" : false, "suffix" : "" } ], "container-title" : "Annals of Laboratory Medicine", "id" : "ITEM-1", "issue" : "2", "issued" : { "date-parts" : [ [ "2017" ] ] }, "page" : "97", "title" : "Recommendations for Optimizing Tuberculosis Treatment: Therapeutic Drug Monitoring, Pharmacogenetics, and Nutritional Status Considerations", "type" : "article-journal", "volume" : "37" }, "uris" : [ "http://www.mendeley.com/documents/?uuid=6ef4ede4-b8d1-44ab-91f1-440e2723cad6" ] }, { "id" : "ITEM-2", "itemData" : { "DOI" : "10.1007/s00228-016-2083-4", "ISSN" : "14321041", "PMID" : "27305904", "abstract" : "INTRODUCTION Tuberculosis (TB) remains one of the world's deadliest communicable diseases. Although cure rates of the standard four-drug (rifampicin, isoniazid, pyrazinamide, ethambutol) treatment schedule can be as high as 95-98\u00a0% under clinical trial conditions, success rates may be much lower in less well resourced countries. Unsuccessful treatment with these first-line anti-TB drugs may lead to the development of multidrug resistant and extensively drug resistant TB. The intrinsic interindividual variability in the pharmacokinetics (PK) of the first-line anti-TB drugs is further exacerbated by co-morbidities such as HIV infection and diabetes. METHODS Therapeutic drug monitoring has been proposed in an attempt to optimize treatment outcome and reduce the development of drug resistance. Several studies have shown that maximum plasma concentrations (C max), especially of rifampicin and isoniazid, are well below the proposed target C max concentrations in a substantial fraction of patients being treated with the standard four-drug treatment schedule, even though treatment's success rate in these studies was typically at least 85\u00a0%. DISCUSSION The proposed target C max concentrations are based on the concentrations of these agents achieved in healthy volunteers and patients receiving the standard doses. Estimation of C max based on one or two sampling times may not have the necessary accuracy since absorption rate, especially for rifampicin, may be highly variable. In addition, minimum inhibitory concentration (MIC) variability should be taken into account to set clinically meaningful susceptibility breakpoints. Clearly, there is a need to better define the key target PK and pharmacodynamic (PD) parameters for therapeutic drug monitoring (TDM) of the first-line anti-TB drugs to be efficacious, C max (or area under the curve (AUC)) and C max/MIC (or AUC/MIC). CONCLUSION Although TDM of first-line anti-TB drugs has been successfully used in a limited number of specialized centers to improve treatment outcome in slow responders, a better characterization of the target PK and/or PK/PD parameters is in our opinion necessary to make it cost-effective.", "author" : [ { "dropping-particle" : "", "family" : "Verbeeck", "given" : "Roger K.", "non-dropping-particle" : "", "parse-names" : false, "suffix" : "" }, { "dropping-particle" : "", "family" : "G\u00fcnther", "given" : "Gunar", "non-dropping-particle" : "", "parse-names" : false, "suffix" : "" }, { "dropping-particle" : "", "family" : "Kibuule", "given" : "Dan", "non-dropping-particle" : "", "parse-names" : false, "suffix" : "" }, { "dropping-particle" : "", "family" : "Hunter", "given" : "Christian", "non-dropping-particle" : "", "parse-names" : false, "suffix" : "" }, { "dropping-particle" : "", "family" : "Rennie", "given" : "Tim W.", "non-dropping-particle" : "", "parse-names" : false, "suffix" : "" } ], "container-title" : "European Journal of Clinical Pharmacology", "id" : "ITEM-2", "issue" : "8", "issued" : { "date-parts" : [ [ "2016" ] ] }, "page" : "905-916", "title" : "Optimizing treatment outcome of first-line anti-tuberculosis drugs: the role of therapeutic drug monitoring", "type" : "article", "volume" : "72" }, "uris" : [ "http://www.mendeley.com/documents/?uuid=59cd8d37-3770-4e64-a207-4203fcc1b987" ] }, { "id" : "ITEM-3", "itemData" : { "DOI" : "10.1016/j.ijid.2014.12.001", "ISBN" : "1201-9712", "ISSN" : "12019712", "PMID" : "25809764", "abstract" : "In this article we describe the key role of tuberculosis (TB) treatment, the challenges (mainly the emergence of drug resistance), and the opportunities represented by the correct approach to drug dosage, based on the existing control and elimination strategies. In this context, the role and contribution of therapeutic drug monitoring (TDM) is discussed in detail. Treatment success in multidrug-resistant (MDR) TB cases is low (62%, with 7% failing or relapsing and 9% dying) and in extensively drug-resistant (XDR) TB cases is even lower (40%, with 22% failing or relapsing and 15% dying). The treatment of drug-resistant TB is also more expensive (exceeding \u20ac50\u00a0000 for MDR-TB and \u20ac160\u00a0000 for XDR-TB) and more toxic if compared to that prescribed for drug-susceptible TB. Appropriate dosing of first- and second-line anti-TB drugs can improve the patient's prognosis and lower treatment costs. TDM is based on the measurement of drug concentrations in blood samples collected at appropriate times and subsequent dose adjustment according to the target concentration. The \u2018dried blood spot\u2019 technique offers additional advantages, providing the rationale for discussions regarding a possible future network of selected, quality-controlled reference laboratories for the processing of dried blood spots of difficult-to-treat patients from reference TB clinics around the world.", "author" : [ { "dropping-particle" : "", "family" : "Sotgiu", "given" : "Giovanni", "non-dropping-particle" : "", "parse-names" : false, "suffix" : "" }, { "dropping-particle" : "", "family" : "Alffenaar", "given" : "Jan-Willem C.", "non-dropping-particle" : "", "parse-names" : false, "suffix" : "" }, { "dropping-particle" : "", "family" : "Centis", "given" : "Rosella", "non-dropping-particle" : "", "parse-names" : false, "suffix" : "" }, { "dropping-particle" : "", "family" : "D\u2019Ambrosio", "given" : "Lia", "non-dropping-particle" : "", "parse-names" : false, "suffix" : "" }, { "dropping-particle" : "", "family" : "Spanevello", "given" : "Antonio", "non-dropping-particle" : "", "parse-names" : false, "suffix" : "" }, { "dropping-particle" : "", "family" : "Piana", "given" : "Andrea", "non-dropping-particle" : "", "parse-names" : false, "suffix" : "" }, { "dropping-particle" : "", "family" : "Migliori", "given" : "Giovanni Battista", "non-dropping-particle" : "", "parse-names" : false, "suffix" : "" } ], "container-title" : "International Journal of Infectious Diseases", "id" : "ITEM-3", "issued" : { "date-parts" : [ [ "2015" ] ] }, "page" : "101-104", "title" : "Therapeutic drug monitoring: how to improve drug dosage and patient safety in tuberculosis treatment", "type" : "article-journal", "volume" : "32" }, "uris" : [ "http://www.mendeley.com/documents/?uuid=b952a603-7d26-4148-a4ad-8b10ee7db1ff" ] } ], "mendeley" : { "formattedCitation" : "&lt;sup&gt;36,41,50&lt;/sup&gt;", "plainTextFormattedCitation" : "36,41,50", "previouslyFormattedCitation" : "&lt;sup&gt;36,41,50&lt;/sup&gt;" }, "properties" : { "noteIndex" : 0 }, "schema" : "https://github.com/citation-style-language/schema/raw/master/csl-citation.json" }</w:instrText>
      </w:r>
      <w:r w:rsidRPr="005A5A82">
        <w:rPr>
          <w:rFonts w:ascii="Arial" w:hAnsi="Arial" w:cs="Arial"/>
          <w:shd w:val="clear" w:color="auto" w:fill="FFFFFF"/>
        </w:rPr>
        <w:fldChar w:fldCharType="separate"/>
      </w:r>
      <w:r w:rsidRPr="005A5A82">
        <w:rPr>
          <w:rFonts w:ascii="Arial" w:hAnsi="Arial" w:cs="Arial"/>
          <w:noProof/>
          <w:shd w:val="clear" w:color="auto" w:fill="FFFFFF"/>
          <w:vertAlign w:val="superscript"/>
        </w:rPr>
        <w:t>36,41,50</w:t>
      </w:r>
      <w:r w:rsidRPr="005A5A82">
        <w:rPr>
          <w:rFonts w:ascii="Arial" w:hAnsi="Arial" w:cs="Arial"/>
          <w:shd w:val="clear" w:color="auto" w:fill="FFFFFF"/>
        </w:rPr>
        <w:fldChar w:fldCharType="end"/>
      </w:r>
      <w:r w:rsidRPr="005A5A82">
        <w:rPr>
          <w:rFonts w:ascii="Arial" w:hAnsi="Arial" w:cs="Arial"/>
          <w:shd w:val="clear" w:color="auto" w:fill="FFFFFF"/>
        </w:rPr>
        <w:t xml:space="preserve">, strengthening the support DOTS support system and </w:t>
      </w:r>
      <w:r w:rsidR="00EE4EE8" w:rsidRPr="005A5A82">
        <w:rPr>
          <w:rFonts w:ascii="Arial" w:hAnsi="Arial" w:cs="Arial"/>
          <w:shd w:val="clear" w:color="auto" w:fill="FFFFFF"/>
        </w:rPr>
        <w:t xml:space="preserve">instigating </w:t>
      </w:r>
      <w:r w:rsidRPr="005A5A82">
        <w:rPr>
          <w:rFonts w:ascii="Arial" w:hAnsi="Arial" w:cs="Arial"/>
          <w:shd w:val="clear" w:color="auto" w:fill="FFFFFF"/>
        </w:rPr>
        <w:t>a system to screen and monitor for risk for poor treatment outcomes among patients with HIV co-infection</w:t>
      </w:r>
      <w:r w:rsidR="00E25378" w:rsidRPr="005A5A82">
        <w:rPr>
          <w:rFonts w:ascii="Arial" w:hAnsi="Arial" w:cs="Arial"/>
          <w:shd w:val="clear" w:color="auto" w:fill="FFFFFF"/>
        </w:rPr>
        <w:t>,</w:t>
      </w:r>
      <w:r w:rsidRPr="005A5A82">
        <w:rPr>
          <w:rFonts w:ascii="Arial" w:hAnsi="Arial" w:cs="Arial"/>
          <w:shd w:val="clear" w:color="auto" w:fill="FFFFFF"/>
        </w:rPr>
        <w:t xml:space="preserve"> and prior exposure to cotrimoxazole</w:t>
      </w:r>
      <w:r w:rsidR="00E25378" w:rsidRPr="005A5A82">
        <w:rPr>
          <w:rFonts w:ascii="Arial" w:hAnsi="Arial" w:cs="Arial"/>
          <w:shd w:val="clear" w:color="auto" w:fill="FFFFFF"/>
        </w:rPr>
        <w:t>,</w:t>
      </w:r>
      <w:r w:rsidRPr="005A5A82">
        <w:rPr>
          <w:rFonts w:ascii="Arial" w:hAnsi="Arial" w:cs="Arial"/>
          <w:shd w:val="clear" w:color="auto" w:fill="FFFFFF"/>
        </w:rPr>
        <w:t xml:space="preserve"> to maximize the outcome of DOTS. The regional variation in TSR may be due population related characteristics and/or access and quality of health care at these facilities. </w:t>
      </w:r>
      <w:r w:rsidRPr="005A5A82">
        <w:rPr>
          <w:rFonts w:ascii="Arial" w:hAnsi="Arial" w:cs="Arial"/>
        </w:rPr>
        <w:t xml:space="preserve"> We will be exploring this further in future studies.</w:t>
      </w:r>
    </w:p>
    <w:p w14:paraId="3E3A2616" w14:textId="77777777" w:rsidR="00CB62E5" w:rsidRPr="005A5A82" w:rsidRDefault="00CB62E5" w:rsidP="005A5A82">
      <w:pPr>
        <w:pStyle w:val="NoSpacing"/>
        <w:spacing w:line="360" w:lineRule="auto"/>
        <w:rPr>
          <w:rFonts w:ascii="Arial" w:hAnsi="Arial" w:cs="Arial"/>
        </w:rPr>
      </w:pPr>
    </w:p>
    <w:p w14:paraId="57D3F2DB" w14:textId="4A2BCE0B" w:rsidR="00CB62E5" w:rsidRPr="005A5A82" w:rsidRDefault="00CB62E5" w:rsidP="005A5A82">
      <w:pPr>
        <w:pStyle w:val="NoSpacing"/>
        <w:spacing w:line="360" w:lineRule="auto"/>
        <w:rPr>
          <w:rFonts w:ascii="Arial" w:hAnsi="Arial" w:cs="Arial"/>
          <w:bCs/>
          <w:lang w:val="en-GB"/>
        </w:rPr>
      </w:pPr>
      <w:r w:rsidRPr="005A5A82">
        <w:rPr>
          <w:rFonts w:ascii="Arial" w:hAnsi="Arial" w:cs="Arial"/>
          <w:bCs/>
          <w:lang w:val="en-GB"/>
        </w:rPr>
        <w:t xml:space="preserve">The fact that bacteriological monitoring is not routinely undertaken in 26% of the TB cases may also predispose patients to poor outcomes. There is also a need to establish the HIV status of the patient as a certain proportion of patients were initiated on treatment with unknown status. There is also a need to establish a system for screening for  sub-optimal serum levels of first line regimens as well as pharmacovigilance monitoring </w:t>
      </w:r>
      <w:r w:rsidRPr="005A5A82">
        <w:rPr>
          <w:rFonts w:ascii="Arial" w:hAnsi="Arial" w:cs="Arial"/>
          <w:bCs/>
          <w:lang w:val="en-GB"/>
        </w:rPr>
        <w:fldChar w:fldCharType="begin" w:fldLock="1"/>
      </w:r>
      <w:r w:rsidRPr="005A5A82">
        <w:rPr>
          <w:rFonts w:ascii="Arial" w:hAnsi="Arial" w:cs="Arial"/>
          <w:bCs/>
          <w:lang w:val="en-GB"/>
        </w:rPr>
        <w:instrText>ADDIN CSL_CITATION { "citationItems" : [ { "id" : "ITEM-1", "itemData" : { "DOI" : "10.3343/alm.2017.37.2.97", "ISSN" : "2234-3806", "PMID" : "28028995", "abstract" : "Although tuberculosis is largely a curable disease, it remains a major cause of morbidity and mortality worldwide. Although the standard 6-month treatment regimen is highly effective for drug-susceptible tuberculosis, the use of multiple drugs over long periods of time can cause frequent adverse drug reactions. In addition, some patients with drug-susceptible tuberculosis do not respond adequately to treatment and develop treatment failure and drug resistance. Response to tuberculosis treatment could be affected by multiple factors associated with the host-pathogen interaction including genetic factors and the nutritional status of the host. These factors should be considered for effective tuberculosis control. Therefore, therapeutic drug monitoring (TDM), which is individualized drug dosing guided by serum drug concentrations during treatment, and pharmacogenetics-based personalized dosing guidelines of anti-tuberculosis drugs could reduce the incidence of adverse drug reactions and increase the likelihood of successful treatment outcomes. Moreover, assessment and management of comorbid conditions including nutritional status could improve anti-tuberculosis treatment response.", "author" : [ { "dropping-particle" : "", "family" : "Choi", "given" : "Rihwa", "non-dropping-particle" : "", "parse-names" : false, "suffix" : "" }, { "dropping-particle" : "", "family" : "Jeong", "given" : "Byeong-Ho", "non-dropping-particle" : "", "parse-names" : false, "suffix" : "" }, { "dropping-particle" : "", "family" : "Koh", "given" : "Won-Jung", "non-dropping-particle" : "", "parse-names" : false, "suffix" : "" }, { "dropping-particle" : "", "family" : "Lee", "given" : "Soo-Youn", "non-dropping-particle" : "", "parse-names" : false, "suffix" : "" } ], "container-title" : "Annals of Laboratory Medicine", "id" : "ITEM-1", "issue" : "2", "issued" : { "date-parts" : [ [ "2017" ] ] }, "page" : "97", "title" : "Recommendations for Optimizing Tuberculosis Treatment: Therapeutic Drug Monitoring, Pharmacogenetics, and Nutritional Status Considerations", "type" : "article-journal", "volume" : "37" }, "uris" : [ "http://www.mendeley.com/documents/?uuid=6ef4ede4-b8d1-44ab-91f1-440e2723cad6" ] } ], "mendeley" : { "formattedCitation" : "&lt;sup&gt;41&lt;/sup&gt;", "plainTextFormattedCitation" : "41", "previouslyFormattedCitation" : "&lt;sup&gt;41&lt;/sup&gt;" }, "properties" : { "noteIndex" : 0 }, "schema" : "https://github.com/citation-style-language/schema/raw/master/csl-citation.json" }</w:instrText>
      </w:r>
      <w:r w:rsidRPr="005A5A82">
        <w:rPr>
          <w:rFonts w:ascii="Arial" w:hAnsi="Arial" w:cs="Arial"/>
          <w:bCs/>
          <w:lang w:val="en-GB"/>
        </w:rPr>
        <w:fldChar w:fldCharType="separate"/>
      </w:r>
      <w:r w:rsidRPr="005A5A82">
        <w:rPr>
          <w:rFonts w:ascii="Arial" w:hAnsi="Arial" w:cs="Arial"/>
          <w:bCs/>
          <w:noProof/>
          <w:vertAlign w:val="superscript"/>
          <w:lang w:val="en-GB"/>
        </w:rPr>
        <w:t>41</w:t>
      </w:r>
      <w:r w:rsidRPr="005A5A82">
        <w:rPr>
          <w:rFonts w:ascii="Arial" w:hAnsi="Arial" w:cs="Arial"/>
          <w:bCs/>
          <w:lang w:val="en-GB"/>
        </w:rPr>
        <w:fldChar w:fldCharType="end"/>
      </w:r>
      <w:r w:rsidRPr="005A5A82">
        <w:rPr>
          <w:rFonts w:ascii="Arial" w:hAnsi="Arial" w:cs="Arial"/>
          <w:bCs/>
          <w:lang w:val="en-GB"/>
        </w:rPr>
        <w:t xml:space="preserve"> given concerns with adverse drug reactions</w:t>
      </w:r>
      <w:r w:rsidRPr="005A5A82">
        <w:rPr>
          <w:rFonts w:ascii="Arial" w:hAnsi="Arial" w:cs="Arial"/>
          <w:bCs/>
          <w:lang w:val="en-GB"/>
        </w:rPr>
        <w:fldChar w:fldCharType="begin" w:fldLock="1"/>
      </w:r>
      <w:r w:rsidRPr="005A5A82">
        <w:rPr>
          <w:rFonts w:ascii="Arial" w:hAnsi="Arial" w:cs="Arial"/>
          <w:bCs/>
          <w:lang w:val="en-GB"/>
        </w:rPr>
        <w:instrText>ADDIN CSL_CITATION { "citationItems" : [ { "id" : "ITEM-1", "itemData" : { "author" : [ { "dropping-particle" : "", "family" : "Sagwa E, Mantel-Teeuwisse AK, Ruswa N, Musasa JP, Pal S, Dhliwayo P", "given" : "et al.", "non-dropping-particle" : "", "parse-names" : false, "suffix" : "" } ], "container-title" : "Southern med rev", "id" : "ITEM-1", "issue" : "1", "issued" : { "date-parts" : [ [ "2012" ] ] }, "page" : "6-13", "title" : "The burden of adverse events during treatment of drug-resistant tuberculosis in Namibia.", "type" : "article-journal", "volume" : "5" }, "uris" : [ "http://www.mendeley.com/documents/?uuid=3e2f1473-941e-4976-bcd1-2e45365bf256" ] } ], "mendeley" : { "formattedCitation" : "&lt;sup&gt;51&lt;/sup&gt;", "plainTextFormattedCitation" : "51" }, "properties" : { "noteIndex" : 0 }, "schema" : "https://github.com/citation-style-language/schema/raw/master/csl-citation.json" }</w:instrText>
      </w:r>
      <w:r w:rsidRPr="005A5A82">
        <w:rPr>
          <w:rFonts w:ascii="Arial" w:hAnsi="Arial" w:cs="Arial"/>
          <w:bCs/>
          <w:lang w:val="en-GB"/>
        </w:rPr>
        <w:fldChar w:fldCharType="separate"/>
      </w:r>
      <w:r w:rsidRPr="005A5A82">
        <w:rPr>
          <w:rFonts w:ascii="Arial" w:hAnsi="Arial" w:cs="Arial"/>
          <w:bCs/>
          <w:noProof/>
          <w:vertAlign w:val="superscript"/>
          <w:lang w:val="en-GB"/>
        </w:rPr>
        <w:t>43</w:t>
      </w:r>
      <w:r w:rsidRPr="005A5A82">
        <w:rPr>
          <w:rFonts w:ascii="Arial" w:hAnsi="Arial" w:cs="Arial"/>
          <w:bCs/>
          <w:lang w:val="en-GB"/>
        </w:rPr>
        <w:fldChar w:fldCharType="end"/>
      </w:r>
      <w:r w:rsidR="00E25378" w:rsidRPr="005A5A82">
        <w:rPr>
          <w:rFonts w:ascii="Arial" w:hAnsi="Arial" w:cs="Arial"/>
          <w:bCs/>
          <w:lang w:val="en-GB"/>
        </w:rPr>
        <w:t xml:space="preserve">. The objective being </w:t>
      </w:r>
      <w:r w:rsidRPr="005A5A82">
        <w:rPr>
          <w:rFonts w:ascii="Arial" w:hAnsi="Arial" w:cs="Arial"/>
          <w:bCs/>
          <w:lang w:val="en-GB"/>
        </w:rPr>
        <w:t xml:space="preserve">to make appropriate dosage adjustments to improve outcomes. Several studies have shown that up to 75% of the patients do not achieve optimal drug levels and adjustments of doses will improve outcomes.  </w:t>
      </w:r>
    </w:p>
    <w:p w14:paraId="7918A5BB" w14:textId="77777777" w:rsidR="00CB62E5" w:rsidRPr="005A5A82" w:rsidRDefault="00CB62E5" w:rsidP="005A5A82">
      <w:pPr>
        <w:pStyle w:val="NoSpacing"/>
        <w:spacing w:line="360" w:lineRule="auto"/>
        <w:rPr>
          <w:rFonts w:ascii="Arial" w:hAnsi="Arial" w:cs="Arial"/>
          <w:bCs/>
          <w:lang w:val="en-GB"/>
        </w:rPr>
      </w:pPr>
    </w:p>
    <w:p w14:paraId="419ADF89" w14:textId="6002AE01" w:rsidR="00CB62E5" w:rsidRPr="005A5A82" w:rsidRDefault="00CB62E5" w:rsidP="005A5A82">
      <w:pPr>
        <w:pStyle w:val="NoSpacing"/>
        <w:spacing w:line="360" w:lineRule="auto"/>
        <w:rPr>
          <w:rFonts w:ascii="Arial" w:hAnsi="Arial" w:cs="Arial"/>
          <w:lang w:val="en-GB" w:eastAsia="en-GB"/>
        </w:rPr>
      </w:pPr>
      <w:r w:rsidRPr="005A5A82">
        <w:rPr>
          <w:rFonts w:ascii="Arial" w:hAnsi="Arial" w:cs="Arial"/>
        </w:rPr>
        <w:t>Our findings are also different from a number of other studies that show favourable treatment outcomes among patients on ART and IPT and CPT.</w:t>
      </w:r>
      <w:r w:rsidRPr="005A5A82">
        <w:rPr>
          <w:rFonts w:ascii="Arial" w:hAnsi="Arial" w:cs="Arial"/>
          <w:lang w:val="en-GB" w:eastAsia="en-GB"/>
        </w:rPr>
        <w:t xml:space="preserve"> These differences may be due to the fact that our study was of a retrospective design that utilized national wide routine data compared to RCTs were the conditions of the study are controlled. The regional variation in TSR potentially indicates the heterogeneity of our study population that may have effects on the TSR. We also plan to follow this up in future research studies as the rationale will provide additional guidance on ways to further improve treatment outcomes in Namibia.</w:t>
      </w:r>
    </w:p>
    <w:p w14:paraId="6D7E541F" w14:textId="77777777" w:rsidR="00CB62E5" w:rsidRPr="005A5A82" w:rsidRDefault="00CB62E5" w:rsidP="005A5A82">
      <w:pPr>
        <w:pStyle w:val="NoSpacing"/>
        <w:spacing w:line="360" w:lineRule="auto"/>
        <w:rPr>
          <w:rFonts w:ascii="Arial" w:hAnsi="Arial" w:cs="Arial"/>
          <w:lang w:val="en-GB" w:eastAsia="en-GB"/>
        </w:rPr>
      </w:pPr>
    </w:p>
    <w:p w14:paraId="226E22CC" w14:textId="5F9701C0" w:rsidR="00CB62E5" w:rsidRPr="005A5A82" w:rsidRDefault="00CB62E5" w:rsidP="005A5A82">
      <w:pPr>
        <w:pStyle w:val="NoSpacing"/>
        <w:spacing w:line="360" w:lineRule="auto"/>
        <w:rPr>
          <w:rFonts w:ascii="Arial" w:hAnsi="Arial" w:cs="Arial"/>
          <w:shd w:val="clear" w:color="auto" w:fill="FFFFFF"/>
        </w:rPr>
      </w:pPr>
      <w:r w:rsidRPr="005A5A82">
        <w:rPr>
          <w:rFonts w:ascii="Arial" w:hAnsi="Arial" w:cs="Arial"/>
          <w:shd w:val="clear" w:color="auto" w:fill="FFFFFF"/>
        </w:rPr>
        <w:t>We accept this study has a number of limitations. The principal one includes the retrospective design where the accuracy of the data collected cannot be validated and there were missing data on several covariates</w:t>
      </w:r>
      <w:r w:rsidR="00D172F1" w:rsidRPr="005A5A82">
        <w:rPr>
          <w:rFonts w:ascii="Arial" w:hAnsi="Arial" w:cs="Arial"/>
          <w:shd w:val="clear" w:color="auto" w:fill="FFFFFF"/>
        </w:rPr>
        <w:t xml:space="preserve"> </w:t>
      </w:r>
      <w:r w:rsidR="009E5E9D" w:rsidRPr="005A5A82">
        <w:rPr>
          <w:rFonts w:ascii="Arial" w:hAnsi="Arial" w:cs="Arial"/>
          <w:shd w:val="clear" w:color="auto" w:fill="FFFFFF"/>
        </w:rPr>
        <w:t>including possible</w:t>
      </w:r>
      <w:r w:rsidR="00D172F1" w:rsidRPr="005A5A82">
        <w:rPr>
          <w:rFonts w:ascii="Arial" w:hAnsi="Arial" w:cs="Arial"/>
          <w:shd w:val="clear" w:color="auto" w:fill="FFFFFF"/>
        </w:rPr>
        <w:t xml:space="preserve"> adverse drug reactions and </w:t>
      </w:r>
      <w:r w:rsidR="009E5E9D" w:rsidRPr="005A5A82">
        <w:rPr>
          <w:rFonts w:ascii="Arial" w:hAnsi="Arial" w:cs="Arial"/>
          <w:shd w:val="clear" w:color="auto" w:fill="FFFFFF"/>
        </w:rPr>
        <w:t xml:space="preserve">the </w:t>
      </w:r>
      <w:r w:rsidR="00D172F1" w:rsidRPr="005A5A82">
        <w:rPr>
          <w:rFonts w:ascii="Arial" w:hAnsi="Arial" w:cs="Arial"/>
          <w:shd w:val="clear" w:color="auto" w:fill="FFFFFF"/>
        </w:rPr>
        <w:t>type of ART regimen</w:t>
      </w:r>
      <w:r w:rsidRPr="005A5A82">
        <w:rPr>
          <w:rFonts w:ascii="Arial" w:hAnsi="Arial" w:cs="Arial"/>
          <w:shd w:val="clear" w:color="auto" w:fill="FFFFFF"/>
        </w:rPr>
        <w:t xml:space="preserve">. </w:t>
      </w:r>
      <w:r w:rsidR="00AB0A60" w:rsidRPr="005A5A82">
        <w:rPr>
          <w:rFonts w:ascii="Arial" w:hAnsi="Arial" w:cs="Arial"/>
          <w:shd w:val="clear" w:color="auto" w:fill="FFFFFF"/>
        </w:rPr>
        <w:t xml:space="preserve">We will </w:t>
      </w:r>
      <w:r w:rsidR="00AB3D11" w:rsidRPr="005A5A82">
        <w:rPr>
          <w:rFonts w:ascii="Arial" w:hAnsi="Arial" w:cs="Arial"/>
          <w:shd w:val="clear" w:color="auto" w:fill="FFFFFF"/>
        </w:rPr>
        <w:t xml:space="preserve">be undertaking a separate study to investigate the side-effects of treatment regimens </w:t>
      </w:r>
      <w:r w:rsidR="00AB0A60" w:rsidRPr="005A5A82">
        <w:rPr>
          <w:rFonts w:ascii="Arial" w:hAnsi="Arial" w:cs="Arial"/>
          <w:shd w:val="clear" w:color="auto" w:fill="FFFFFF"/>
        </w:rPr>
        <w:t>a</w:t>
      </w:r>
      <w:r w:rsidR="00AB3D11" w:rsidRPr="005A5A82">
        <w:rPr>
          <w:rFonts w:ascii="Arial" w:hAnsi="Arial" w:cs="Arial"/>
          <w:shd w:val="clear" w:color="auto" w:fill="FFFFFF"/>
        </w:rPr>
        <w:t xml:space="preserve">s well as </w:t>
      </w:r>
      <w:r w:rsidR="00AB0A60" w:rsidRPr="005A5A82">
        <w:rPr>
          <w:rFonts w:ascii="Arial" w:hAnsi="Arial" w:cs="Arial"/>
          <w:shd w:val="clear" w:color="auto" w:fill="FFFFFF"/>
        </w:rPr>
        <w:t xml:space="preserve">undertaking a separate analysis of MDR-TB cases. </w:t>
      </w:r>
      <w:r w:rsidRPr="005A5A82">
        <w:rPr>
          <w:rFonts w:ascii="Arial" w:hAnsi="Arial" w:cs="Arial"/>
          <w:shd w:val="clear" w:color="auto" w:fill="FFFFFF"/>
        </w:rPr>
        <w:t xml:space="preserve">However, the study gives a true reflection of </w:t>
      </w:r>
      <w:r w:rsidR="00E25378" w:rsidRPr="005A5A82">
        <w:rPr>
          <w:rFonts w:ascii="Arial" w:hAnsi="Arial" w:cs="Arial"/>
          <w:shd w:val="clear" w:color="auto" w:fill="FFFFFF"/>
        </w:rPr>
        <w:t xml:space="preserve">current </w:t>
      </w:r>
      <w:r w:rsidRPr="005A5A82">
        <w:rPr>
          <w:rFonts w:ascii="Arial" w:hAnsi="Arial" w:cs="Arial"/>
          <w:shd w:val="clear" w:color="auto" w:fill="FFFFFF"/>
        </w:rPr>
        <w:t xml:space="preserve">routine </w:t>
      </w:r>
      <w:r w:rsidR="00E25378" w:rsidRPr="005A5A82">
        <w:rPr>
          <w:rFonts w:ascii="Arial" w:hAnsi="Arial" w:cs="Arial"/>
          <w:shd w:val="clear" w:color="auto" w:fill="FFFFFF"/>
        </w:rPr>
        <w:t xml:space="preserve">clinical </w:t>
      </w:r>
      <w:r w:rsidRPr="005A5A82">
        <w:rPr>
          <w:rFonts w:ascii="Arial" w:hAnsi="Arial" w:cs="Arial"/>
          <w:shd w:val="clear" w:color="auto" w:fill="FFFFFF"/>
        </w:rPr>
        <w:t xml:space="preserve">practice in Namibia </w:t>
      </w:r>
      <w:r w:rsidR="00E25378" w:rsidRPr="005A5A82">
        <w:rPr>
          <w:rFonts w:ascii="Arial" w:hAnsi="Arial" w:cs="Arial"/>
          <w:shd w:val="clear" w:color="auto" w:fill="FFFFFF"/>
        </w:rPr>
        <w:t xml:space="preserve">for </w:t>
      </w:r>
      <w:r w:rsidR="00E25378" w:rsidRPr="005A5A82">
        <w:rPr>
          <w:rFonts w:ascii="Arial" w:hAnsi="Arial" w:cs="Arial"/>
          <w:shd w:val="clear" w:color="auto" w:fill="FFFFFF"/>
        </w:rPr>
        <w:lastRenderedPageBreak/>
        <w:t xml:space="preserve">these patients </w:t>
      </w:r>
      <w:r w:rsidRPr="005A5A82">
        <w:rPr>
          <w:rFonts w:ascii="Arial" w:hAnsi="Arial" w:cs="Arial"/>
          <w:shd w:val="clear" w:color="auto" w:fill="FFFFFF"/>
        </w:rPr>
        <w:t>and describes the limitations of the current DOTS interventions using national wide data aggregated over a 10-year period. As a result, we believe that our findings are important in providing evidence which can guide efforts to improve treatment outcomes among patients at risk of poor outcomes, which Namibia is already starting to review in its third strategic plan.</w:t>
      </w:r>
    </w:p>
    <w:p w14:paraId="7639B78F" w14:textId="230C1B9A" w:rsidR="00CB62E5" w:rsidRDefault="00CB62E5" w:rsidP="005A5A82">
      <w:pPr>
        <w:pStyle w:val="NoSpacing"/>
        <w:spacing w:line="360" w:lineRule="auto"/>
        <w:rPr>
          <w:rFonts w:ascii="Arial" w:hAnsi="Arial" w:cs="Arial"/>
          <w:shd w:val="clear" w:color="auto" w:fill="FFFFFF"/>
        </w:rPr>
      </w:pPr>
    </w:p>
    <w:p w14:paraId="228B9F1D" w14:textId="2A6C6E9D" w:rsidR="00E07F7F" w:rsidRPr="00E07F7F" w:rsidRDefault="00E07F7F" w:rsidP="005A5A82">
      <w:pPr>
        <w:pStyle w:val="NoSpacing"/>
        <w:spacing w:line="360" w:lineRule="auto"/>
        <w:rPr>
          <w:rFonts w:ascii="Arial" w:hAnsi="Arial" w:cs="Arial"/>
          <w:b/>
          <w:shd w:val="clear" w:color="auto" w:fill="FFFFFF"/>
        </w:rPr>
      </w:pPr>
      <w:r>
        <w:rPr>
          <w:rFonts w:ascii="Arial" w:hAnsi="Arial" w:cs="Arial"/>
          <w:b/>
          <w:shd w:val="clear" w:color="auto" w:fill="FFFFFF"/>
        </w:rPr>
        <w:t>Author contributions</w:t>
      </w:r>
    </w:p>
    <w:p w14:paraId="3E88C5A4" w14:textId="517A64A7" w:rsidR="00E07F7F" w:rsidRPr="00151892" w:rsidRDefault="00151892" w:rsidP="00151892">
      <w:pPr>
        <w:rPr>
          <w:rFonts w:ascii="Arial" w:hAnsi="Arial" w:cs="Arial"/>
        </w:rPr>
      </w:pPr>
      <w:r w:rsidRPr="001678BE">
        <w:rPr>
          <w:rFonts w:ascii="Arial" w:hAnsi="Arial" w:cs="Arial"/>
        </w:rPr>
        <w:t xml:space="preserve">DK, RKV, RN, FM, AT, AA, GG, EE and TR help devise the study; DK, GG and EE undertook the data collection and initial analysis; DK, RKV, BBG and TR produced the first manuscript. All authors contributed to successive drafts as well as the update. All authors approved the final paper. </w:t>
      </w:r>
    </w:p>
    <w:p w14:paraId="240FEF7D" w14:textId="2ACACD3C" w:rsidR="00E07F7F" w:rsidRDefault="00E07F7F" w:rsidP="005A5A82">
      <w:pPr>
        <w:pStyle w:val="NoSpacing"/>
        <w:spacing w:line="360" w:lineRule="auto"/>
        <w:rPr>
          <w:rFonts w:ascii="Arial" w:hAnsi="Arial" w:cs="Arial"/>
          <w:b/>
          <w:shd w:val="clear" w:color="auto" w:fill="FFFFFF"/>
        </w:rPr>
      </w:pPr>
      <w:r>
        <w:rPr>
          <w:rFonts w:ascii="Arial" w:hAnsi="Arial" w:cs="Arial"/>
          <w:b/>
          <w:shd w:val="clear" w:color="auto" w:fill="FFFFFF"/>
        </w:rPr>
        <w:t>Funding</w:t>
      </w:r>
    </w:p>
    <w:p w14:paraId="413036C9" w14:textId="000D9826" w:rsidR="00E07F7F" w:rsidRPr="00E07F7F" w:rsidRDefault="00E07F7F" w:rsidP="005A5A82">
      <w:pPr>
        <w:pStyle w:val="NoSpacing"/>
        <w:spacing w:line="360" w:lineRule="auto"/>
        <w:rPr>
          <w:rFonts w:ascii="Arial" w:hAnsi="Arial" w:cs="Arial"/>
          <w:shd w:val="clear" w:color="auto" w:fill="FFFFFF"/>
        </w:rPr>
      </w:pPr>
      <w:r>
        <w:rPr>
          <w:rFonts w:ascii="Arial" w:hAnsi="Arial" w:cs="Arial"/>
          <w:shd w:val="clear" w:color="auto" w:fill="FFFFFF"/>
        </w:rPr>
        <w:t xml:space="preserve">This paper was not funded. </w:t>
      </w:r>
    </w:p>
    <w:p w14:paraId="46C21D50" w14:textId="77777777" w:rsidR="00E07F7F" w:rsidRDefault="00E07F7F" w:rsidP="005A5A82">
      <w:pPr>
        <w:pStyle w:val="NoSpacing"/>
        <w:spacing w:line="360" w:lineRule="auto"/>
        <w:rPr>
          <w:rFonts w:ascii="Arial" w:hAnsi="Arial" w:cs="Arial"/>
          <w:shd w:val="clear" w:color="auto" w:fill="FFFFFF"/>
        </w:rPr>
      </w:pPr>
    </w:p>
    <w:p w14:paraId="77312460" w14:textId="77777777" w:rsidR="00E07F7F" w:rsidRPr="003162EB" w:rsidRDefault="00E07F7F" w:rsidP="00E07F7F">
      <w:pPr>
        <w:rPr>
          <w:rFonts w:ascii="Arial" w:hAnsi="Arial" w:cs="Arial"/>
          <w:b/>
        </w:rPr>
      </w:pPr>
      <w:r w:rsidRPr="003162EB">
        <w:rPr>
          <w:rFonts w:ascii="Arial" w:hAnsi="Arial" w:cs="Arial"/>
          <w:b/>
        </w:rPr>
        <w:t>Declaration of interest</w:t>
      </w:r>
    </w:p>
    <w:p w14:paraId="334D6911" w14:textId="548AD7F1" w:rsidR="00E07F7F" w:rsidRDefault="00E07F7F" w:rsidP="00E07F7F">
      <w:pPr>
        <w:pStyle w:val="NoSpacing"/>
        <w:spacing w:line="360" w:lineRule="auto"/>
        <w:rPr>
          <w:rFonts w:ascii="Arial" w:hAnsi="Arial" w:cs="Arial"/>
        </w:rPr>
      </w:pPr>
      <w:r w:rsidRPr="003043C3">
        <w:rPr>
          <w:rFonts w:ascii="Arial" w:hAnsi="Arial" w:cs="Arial"/>
        </w:rPr>
        <w:t>E</w:t>
      </w:r>
      <w:r>
        <w:rPr>
          <w:rFonts w:ascii="Arial" w:hAnsi="Arial" w:cs="Arial"/>
        </w:rPr>
        <w:t>.</w:t>
      </w:r>
      <w:r w:rsidRPr="003043C3">
        <w:rPr>
          <w:rFonts w:ascii="Arial" w:hAnsi="Arial" w:cs="Arial"/>
        </w:rPr>
        <w:t xml:space="preserve"> </w:t>
      </w:r>
      <w:proofErr w:type="spellStart"/>
      <w:r w:rsidRPr="003043C3">
        <w:rPr>
          <w:rFonts w:ascii="Arial" w:hAnsi="Arial" w:cs="Arial"/>
        </w:rPr>
        <w:t>Ene</w:t>
      </w:r>
      <w:proofErr w:type="spellEnd"/>
      <w:r>
        <w:rPr>
          <w:rFonts w:ascii="Arial" w:hAnsi="Arial" w:cs="Arial"/>
        </w:rPr>
        <w:t xml:space="preserve"> is an employee of the</w:t>
      </w:r>
      <w:r w:rsidRPr="003043C3">
        <w:rPr>
          <w:rFonts w:ascii="Arial" w:hAnsi="Arial" w:cs="Arial"/>
        </w:rPr>
        <w:t xml:space="preserve"> </w:t>
      </w:r>
      <w:proofErr w:type="spellStart"/>
      <w:r w:rsidRPr="003043C3">
        <w:rPr>
          <w:rFonts w:ascii="Arial" w:hAnsi="Arial" w:cs="Arial"/>
          <w:color w:val="000000"/>
        </w:rPr>
        <w:t>Anoixis</w:t>
      </w:r>
      <w:proofErr w:type="spellEnd"/>
      <w:r w:rsidRPr="003043C3">
        <w:rPr>
          <w:rFonts w:ascii="Arial" w:hAnsi="Arial" w:cs="Arial"/>
          <w:color w:val="000000"/>
        </w:rPr>
        <w:t xml:space="preserve"> Corporation</w:t>
      </w:r>
      <w:r w:rsidRPr="003043C3">
        <w:rPr>
          <w:rFonts w:ascii="Arial" w:hAnsi="Arial" w:cs="Arial"/>
        </w:rPr>
        <w:t>. In addition, R</w:t>
      </w:r>
      <w:r>
        <w:rPr>
          <w:rFonts w:ascii="Arial" w:hAnsi="Arial" w:cs="Arial"/>
        </w:rPr>
        <w:t>.</w:t>
      </w:r>
      <w:r w:rsidRPr="003043C3">
        <w:rPr>
          <w:rFonts w:ascii="Arial" w:hAnsi="Arial" w:cs="Arial"/>
        </w:rPr>
        <w:t xml:space="preserve"> </w:t>
      </w:r>
      <w:proofErr w:type="spellStart"/>
      <w:r w:rsidRPr="003043C3">
        <w:rPr>
          <w:rFonts w:ascii="Arial" w:hAnsi="Arial" w:cs="Arial"/>
        </w:rPr>
        <w:t>Nunurai</w:t>
      </w:r>
      <w:proofErr w:type="spellEnd"/>
      <w:r w:rsidRPr="003043C3">
        <w:rPr>
          <w:rFonts w:ascii="Arial" w:hAnsi="Arial" w:cs="Arial"/>
        </w:rPr>
        <w:t>, F</w:t>
      </w:r>
      <w:r>
        <w:rPr>
          <w:rFonts w:ascii="Arial" w:hAnsi="Arial" w:cs="Arial"/>
        </w:rPr>
        <w:t xml:space="preserve">. </w:t>
      </w:r>
      <w:proofErr w:type="spellStart"/>
      <w:r>
        <w:rPr>
          <w:rFonts w:ascii="Arial" w:hAnsi="Arial" w:cs="Arial"/>
        </w:rPr>
        <w:t>Mavungha</w:t>
      </w:r>
      <w:proofErr w:type="spellEnd"/>
      <w:r w:rsidRPr="003043C3">
        <w:rPr>
          <w:rFonts w:ascii="Arial" w:hAnsi="Arial" w:cs="Arial"/>
        </w:rPr>
        <w:t>, A</w:t>
      </w:r>
      <w:r>
        <w:rPr>
          <w:rFonts w:ascii="Arial" w:hAnsi="Arial" w:cs="Arial"/>
        </w:rPr>
        <w:t>.</w:t>
      </w:r>
      <w:r w:rsidRPr="003043C3">
        <w:rPr>
          <w:rFonts w:ascii="Arial" w:hAnsi="Arial" w:cs="Arial"/>
        </w:rPr>
        <w:t xml:space="preserve"> Thomas, R</w:t>
      </w:r>
      <w:r>
        <w:rPr>
          <w:rFonts w:ascii="Arial" w:hAnsi="Arial" w:cs="Arial"/>
        </w:rPr>
        <w:t>.</w:t>
      </w:r>
      <w:r w:rsidRPr="003043C3">
        <w:rPr>
          <w:rFonts w:ascii="Arial" w:hAnsi="Arial" w:cs="Arial"/>
        </w:rPr>
        <w:t xml:space="preserve"> </w:t>
      </w:r>
      <w:proofErr w:type="spellStart"/>
      <w:r w:rsidRPr="003043C3">
        <w:rPr>
          <w:rFonts w:ascii="Arial" w:hAnsi="Arial" w:cs="Arial"/>
        </w:rPr>
        <w:t>Amutenya</w:t>
      </w:r>
      <w:proofErr w:type="spellEnd"/>
      <w:r w:rsidRPr="003043C3">
        <w:rPr>
          <w:rFonts w:ascii="Arial" w:hAnsi="Arial" w:cs="Arial"/>
        </w:rPr>
        <w:t xml:space="preserve"> and G</w:t>
      </w:r>
      <w:r>
        <w:rPr>
          <w:rFonts w:ascii="Arial" w:hAnsi="Arial" w:cs="Arial"/>
        </w:rPr>
        <w:t>.</w:t>
      </w:r>
      <w:r w:rsidRPr="003043C3">
        <w:rPr>
          <w:rFonts w:ascii="Arial" w:hAnsi="Arial" w:cs="Arial"/>
        </w:rPr>
        <w:t xml:space="preserve"> Gunther </w:t>
      </w:r>
      <w:r>
        <w:rPr>
          <w:rFonts w:ascii="Arial" w:hAnsi="Arial" w:cs="Arial"/>
        </w:rPr>
        <w:t>are employees of the</w:t>
      </w:r>
      <w:r w:rsidRPr="003043C3">
        <w:rPr>
          <w:rFonts w:ascii="Arial" w:hAnsi="Arial" w:cs="Arial"/>
        </w:rPr>
        <w:t xml:space="preserve"> Ministry of Health and Social Sciences in Namibia for the TB </w:t>
      </w:r>
      <w:proofErr w:type="spellStart"/>
      <w:r w:rsidRPr="003043C3">
        <w:rPr>
          <w:rFonts w:ascii="Arial" w:hAnsi="Arial" w:cs="Arial"/>
        </w:rPr>
        <w:t>programme</w:t>
      </w:r>
      <w:proofErr w:type="spellEnd"/>
      <w:r w:rsidRPr="003043C3">
        <w:rPr>
          <w:rFonts w:ascii="Arial" w:hAnsi="Arial" w:cs="Arial"/>
        </w:rPr>
        <w:t>.</w:t>
      </w:r>
      <w:r w:rsidR="009149E9">
        <w:rPr>
          <w:rFonts w:ascii="Arial" w:hAnsi="Arial" w:cs="Arial"/>
        </w:rPr>
        <w:t xml:space="preserve"> </w:t>
      </w:r>
      <w:r w:rsidRPr="003162EB">
        <w:rPr>
          <w:rFonts w:ascii="Arial" w:hAnsi="Arial" w:cs="Arial"/>
        </w:rPr>
        <w:t xml:space="preserve">The authors have </w:t>
      </w:r>
      <w:r>
        <w:rPr>
          <w:rFonts w:ascii="Arial" w:hAnsi="Arial" w:cs="Arial"/>
        </w:rPr>
        <w:t>no</w:t>
      </w:r>
      <w:r w:rsidRPr="003162EB">
        <w:rPr>
          <w:rFonts w:ascii="Arial" w:hAnsi="Arial" w:cs="Arial"/>
        </w:rPr>
        <w:t xml:space="preserve"> other</w:t>
      </w:r>
      <w:r>
        <w:rPr>
          <w:rFonts w:ascii="Arial" w:hAnsi="Arial" w:cs="Arial"/>
        </w:rPr>
        <w:t xml:space="preserve"> </w:t>
      </w:r>
      <w:r w:rsidRPr="003162EB">
        <w:rPr>
          <w:rFonts w:ascii="Arial" w:hAnsi="Arial" w:cs="Arial"/>
        </w:rPr>
        <w:t>relevant affiliations or financial involvement with any organization or entity with a financial interest in or financial conflict with the subject matter or materials discussed in the manuscript apart from those disclosed</w:t>
      </w:r>
      <w:r>
        <w:rPr>
          <w:rFonts w:ascii="Arial" w:hAnsi="Arial" w:cs="Arial"/>
        </w:rPr>
        <w:t>.</w:t>
      </w:r>
    </w:p>
    <w:p w14:paraId="3BC4841F" w14:textId="77777777" w:rsidR="00E07F7F" w:rsidRDefault="00E07F7F" w:rsidP="00E07F7F">
      <w:pPr>
        <w:rPr>
          <w:rFonts w:ascii="Arial" w:hAnsi="Arial" w:cs="Arial"/>
          <w:b/>
        </w:rPr>
      </w:pPr>
    </w:p>
    <w:p w14:paraId="7D0D7605" w14:textId="77777777" w:rsidR="00E07F7F" w:rsidRDefault="00E07F7F" w:rsidP="00E07F7F">
      <w:pPr>
        <w:rPr>
          <w:rFonts w:ascii="Arial" w:hAnsi="Arial" w:cs="Arial"/>
          <w:b/>
        </w:rPr>
      </w:pPr>
      <w:r>
        <w:rPr>
          <w:rFonts w:ascii="Arial" w:hAnsi="Arial" w:cs="Arial"/>
          <w:b/>
        </w:rPr>
        <w:t>Reviewer disclosures</w:t>
      </w:r>
    </w:p>
    <w:p w14:paraId="08759914" w14:textId="794339C4" w:rsidR="00E07F7F" w:rsidRPr="00CF232C" w:rsidRDefault="00E07F7F" w:rsidP="00E07F7F">
      <w:pPr>
        <w:rPr>
          <w:rFonts w:ascii="Arial" w:hAnsi="Arial" w:cs="Arial"/>
        </w:rPr>
      </w:pPr>
      <w:r w:rsidRPr="00CF232C">
        <w:rPr>
          <w:rFonts w:ascii="Arial" w:hAnsi="Arial" w:cs="Arial"/>
        </w:rPr>
        <w:t>Peer reviewers on this manuscript have no relevant financial or other relationships to disclose</w:t>
      </w:r>
      <w:r>
        <w:rPr>
          <w:rFonts w:ascii="Arial" w:hAnsi="Arial" w:cs="Arial"/>
          <w:b/>
        </w:rPr>
        <w:t>.</w:t>
      </w:r>
    </w:p>
    <w:p w14:paraId="0D970F43" w14:textId="77777777" w:rsidR="00E07F7F" w:rsidRPr="005A5A82" w:rsidRDefault="00E07F7F" w:rsidP="005A5A82">
      <w:pPr>
        <w:pStyle w:val="NoSpacing"/>
        <w:spacing w:line="360" w:lineRule="auto"/>
        <w:rPr>
          <w:rFonts w:ascii="Arial" w:hAnsi="Arial" w:cs="Arial"/>
          <w:shd w:val="clear" w:color="auto" w:fill="FFFFFF"/>
        </w:rPr>
      </w:pPr>
    </w:p>
    <w:p w14:paraId="1F43E5C8" w14:textId="77777777" w:rsidR="00CB62E5" w:rsidRPr="005A5A82" w:rsidRDefault="00CB62E5" w:rsidP="005A5A82">
      <w:pPr>
        <w:pStyle w:val="NoSpacing"/>
        <w:spacing w:line="360" w:lineRule="auto"/>
        <w:rPr>
          <w:rFonts w:ascii="Arial" w:hAnsi="Arial" w:cs="Arial"/>
          <w:b/>
          <w:bCs/>
          <w:i/>
        </w:rPr>
      </w:pPr>
      <w:r w:rsidRPr="005A5A82">
        <w:rPr>
          <w:rFonts w:ascii="Arial" w:hAnsi="Arial" w:cs="Arial"/>
          <w:b/>
          <w:bCs/>
          <w:i/>
        </w:rPr>
        <w:t>Acknowledgements</w:t>
      </w:r>
    </w:p>
    <w:p w14:paraId="47EEFC05" w14:textId="3914B577" w:rsidR="00CB62E5" w:rsidRDefault="00CB62E5" w:rsidP="005A5A82">
      <w:pPr>
        <w:pStyle w:val="NoSpacing"/>
        <w:spacing w:line="360" w:lineRule="auto"/>
        <w:rPr>
          <w:rFonts w:ascii="Arial" w:hAnsi="Arial" w:cs="Arial"/>
          <w:bCs/>
          <w:highlight w:val="yellow"/>
        </w:rPr>
      </w:pPr>
      <w:r w:rsidRPr="005A5A82">
        <w:rPr>
          <w:rFonts w:ascii="Arial" w:hAnsi="Arial" w:cs="Arial"/>
        </w:rPr>
        <w:t xml:space="preserve">The authors wish to acknowledge the assistance rendered by the staff at the National Tuberculosis and Leprosy Programme, Ministry of Health and Social Services in accessing of the data from TB registers. </w:t>
      </w:r>
    </w:p>
    <w:p w14:paraId="0A6B9254" w14:textId="77777777" w:rsidR="00E07F7F" w:rsidRDefault="00E07F7F">
      <w:pPr>
        <w:spacing w:after="160" w:line="259" w:lineRule="auto"/>
        <w:rPr>
          <w:rFonts w:ascii="Arial" w:eastAsia="Times New Roman" w:hAnsi="Arial" w:cs="Arial"/>
          <w:bCs/>
          <w:highlight w:val="yellow"/>
        </w:rPr>
      </w:pPr>
      <w:bookmarkStart w:id="1" w:name="_Hlk516588442"/>
      <w:r>
        <w:rPr>
          <w:rFonts w:ascii="Arial" w:eastAsia="Times New Roman" w:hAnsi="Arial" w:cs="Arial"/>
          <w:b/>
          <w:highlight w:val="yellow"/>
        </w:rPr>
        <w:br w:type="page"/>
      </w:r>
    </w:p>
    <w:p w14:paraId="613D5E0E" w14:textId="2C7B1F46" w:rsidR="00CB62E5" w:rsidRPr="004B54C3" w:rsidRDefault="00CB62E5" w:rsidP="005A5A82">
      <w:pPr>
        <w:pStyle w:val="Heading1"/>
        <w:spacing w:line="360" w:lineRule="auto"/>
        <w:rPr>
          <w:rFonts w:ascii="Arial" w:hAnsi="Arial" w:cs="Arial"/>
          <w:sz w:val="28"/>
          <w:szCs w:val="22"/>
        </w:rPr>
      </w:pPr>
      <w:r w:rsidRPr="004B54C3">
        <w:rPr>
          <w:rFonts w:ascii="Arial" w:hAnsi="Arial" w:cs="Arial"/>
          <w:sz w:val="28"/>
          <w:szCs w:val="22"/>
        </w:rPr>
        <w:lastRenderedPageBreak/>
        <w:t>R</w:t>
      </w:r>
      <w:r w:rsidR="004B54C3" w:rsidRPr="004B54C3">
        <w:rPr>
          <w:rFonts w:ascii="Arial" w:hAnsi="Arial" w:cs="Arial"/>
          <w:sz w:val="28"/>
          <w:szCs w:val="22"/>
        </w:rPr>
        <w:t>eferences</w:t>
      </w:r>
    </w:p>
    <w:p w14:paraId="30A87143" w14:textId="77777777" w:rsidR="004B54C3" w:rsidRPr="003162EB" w:rsidRDefault="004B54C3" w:rsidP="004B54C3">
      <w:pPr>
        <w:rPr>
          <w:rFonts w:ascii="Arial" w:hAnsi="Arial" w:cs="Arial"/>
        </w:rPr>
      </w:pPr>
      <w:bookmarkStart w:id="2" w:name="_Hlk516597316"/>
      <w:r w:rsidRPr="003162EB">
        <w:rPr>
          <w:rFonts w:ascii="Arial" w:hAnsi="Arial" w:cs="Arial"/>
        </w:rPr>
        <w:t>Papers of special note have been highlighted as:</w:t>
      </w:r>
    </w:p>
    <w:p w14:paraId="490DF17A" w14:textId="77777777" w:rsidR="004B54C3" w:rsidRPr="003162EB" w:rsidRDefault="004B54C3" w:rsidP="004B54C3">
      <w:pPr>
        <w:rPr>
          <w:rFonts w:ascii="Arial" w:hAnsi="Arial" w:cs="Arial"/>
        </w:rPr>
      </w:pPr>
      <w:r w:rsidRPr="003162EB">
        <w:rPr>
          <w:rFonts w:ascii="Arial" w:hAnsi="Arial" w:cs="Arial"/>
        </w:rPr>
        <w:t>* of interest</w:t>
      </w:r>
    </w:p>
    <w:p w14:paraId="36F5C2DE" w14:textId="77777777" w:rsidR="004B54C3" w:rsidRPr="003162EB" w:rsidRDefault="004B54C3" w:rsidP="004B54C3">
      <w:pPr>
        <w:rPr>
          <w:rFonts w:ascii="Arial" w:hAnsi="Arial" w:cs="Arial"/>
        </w:rPr>
      </w:pPr>
      <w:r w:rsidRPr="003162EB">
        <w:rPr>
          <w:rFonts w:ascii="Arial" w:hAnsi="Arial" w:cs="Arial"/>
        </w:rPr>
        <w:t>** of considerable interest</w:t>
      </w:r>
    </w:p>
    <w:p w14:paraId="0A4E3BEC" w14:textId="5B995A74"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rPr>
        <w:fldChar w:fldCharType="begin" w:fldLock="1"/>
      </w:r>
      <w:r w:rsidRPr="005A5A82">
        <w:rPr>
          <w:rFonts w:ascii="Arial" w:hAnsi="Arial" w:cs="Arial"/>
        </w:rPr>
        <w:instrText xml:space="preserve">ADDIN Mendeley Bibliography CSL_BIBLIOGRAPHY </w:instrText>
      </w:r>
      <w:r w:rsidRPr="005A5A82">
        <w:rPr>
          <w:rFonts w:ascii="Arial" w:hAnsi="Arial" w:cs="Arial"/>
        </w:rPr>
        <w:fldChar w:fldCharType="separate"/>
      </w:r>
      <w:r w:rsidRPr="005A5A82">
        <w:rPr>
          <w:rFonts w:ascii="Arial" w:hAnsi="Arial" w:cs="Arial"/>
          <w:noProof/>
        </w:rPr>
        <w:t xml:space="preserve">1. </w:t>
      </w:r>
      <w:r w:rsidRPr="005A5A82">
        <w:rPr>
          <w:rFonts w:ascii="Arial" w:hAnsi="Arial" w:cs="Arial"/>
          <w:noProof/>
        </w:rPr>
        <w:tab/>
        <w:t xml:space="preserve">Republic of Namibia Ministry of Health and Social Services. </w:t>
      </w:r>
      <w:r w:rsidRPr="005A5A82">
        <w:rPr>
          <w:rFonts w:ascii="Arial" w:hAnsi="Arial" w:cs="Arial"/>
          <w:iCs/>
          <w:noProof/>
        </w:rPr>
        <w:t>National Guidelines for the Management of Tuberculosis, Third Edition</w:t>
      </w:r>
      <w:r w:rsidRPr="005A5A82">
        <w:rPr>
          <w:rFonts w:ascii="Arial" w:hAnsi="Arial" w:cs="Arial"/>
          <w:noProof/>
        </w:rPr>
        <w:t>. 2011.</w:t>
      </w:r>
      <w:r w:rsidR="00563A9E" w:rsidRPr="005A5A82">
        <w:rPr>
          <w:rFonts w:ascii="Arial" w:hAnsi="Arial" w:cs="Arial"/>
          <w:noProof/>
        </w:rPr>
        <w:t xml:space="preserve"> Available at URL: http://www.who.int/hiv/pub/guidelines/namibia_tb.pdf</w:t>
      </w:r>
    </w:p>
    <w:p w14:paraId="765D715F" w14:textId="17F06811"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2. </w:t>
      </w:r>
      <w:r w:rsidRPr="005A5A82">
        <w:rPr>
          <w:rFonts w:ascii="Arial" w:hAnsi="Arial" w:cs="Arial"/>
          <w:noProof/>
        </w:rPr>
        <w:tab/>
        <w:t xml:space="preserve">Corbett EL, Marston B, Churchyard GJ, De Cock KM. Tuberculosis in sub-Saharan Africa: Opportunities, challenges, and change in the era of antiretroviral treatment. </w:t>
      </w:r>
      <w:r w:rsidRPr="005A5A82">
        <w:rPr>
          <w:rFonts w:ascii="Arial" w:hAnsi="Arial" w:cs="Arial"/>
          <w:iCs/>
          <w:noProof/>
        </w:rPr>
        <w:t>Lancet</w:t>
      </w:r>
      <w:r w:rsidRPr="005A5A82">
        <w:rPr>
          <w:rFonts w:ascii="Arial" w:hAnsi="Arial" w:cs="Arial"/>
          <w:noProof/>
        </w:rPr>
        <w:t xml:space="preserve">. 2006;367(9514):926-937. </w:t>
      </w:r>
    </w:p>
    <w:p w14:paraId="79D342E4" w14:textId="2D473DB7"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3. </w:t>
      </w:r>
      <w:r w:rsidRPr="005A5A82">
        <w:rPr>
          <w:rFonts w:ascii="Arial" w:hAnsi="Arial" w:cs="Arial"/>
          <w:noProof/>
        </w:rPr>
        <w:tab/>
        <w:t xml:space="preserve">Lawn SD, Zumla AI. Tuberculosis. </w:t>
      </w:r>
      <w:r w:rsidRPr="005A5A82">
        <w:rPr>
          <w:rFonts w:ascii="Arial" w:hAnsi="Arial" w:cs="Arial"/>
          <w:iCs/>
          <w:noProof/>
        </w:rPr>
        <w:t>Lancet</w:t>
      </w:r>
      <w:r w:rsidRPr="005A5A82">
        <w:rPr>
          <w:rFonts w:ascii="Arial" w:hAnsi="Arial" w:cs="Arial"/>
          <w:noProof/>
        </w:rPr>
        <w:t>. 2011;378(9785):57-72</w:t>
      </w:r>
    </w:p>
    <w:p w14:paraId="38BA2EEC" w14:textId="31BD7460"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4. </w:t>
      </w:r>
      <w:r w:rsidRPr="005A5A82">
        <w:rPr>
          <w:rFonts w:ascii="Arial" w:hAnsi="Arial" w:cs="Arial"/>
          <w:noProof/>
        </w:rPr>
        <w:tab/>
        <w:t>WHO. Use of high burden country lists for TB by WHO in the post-2015 era.</w:t>
      </w:r>
      <w:r w:rsidR="00D208E3" w:rsidRPr="005A5A82">
        <w:rPr>
          <w:rFonts w:ascii="Arial" w:hAnsi="Arial" w:cs="Arial"/>
          <w:noProof/>
        </w:rPr>
        <w:t xml:space="preserve"> </w:t>
      </w:r>
      <w:r w:rsidRPr="005A5A82">
        <w:rPr>
          <w:rFonts w:ascii="Arial" w:hAnsi="Arial" w:cs="Arial"/>
          <w:noProof/>
        </w:rPr>
        <w:t>2015</w:t>
      </w:r>
      <w:r w:rsidR="00D208E3" w:rsidRPr="005A5A82">
        <w:rPr>
          <w:rFonts w:ascii="Arial" w:hAnsi="Arial" w:cs="Arial"/>
          <w:noProof/>
        </w:rPr>
        <w:t>. Available at URL: http://www.who.int/tb/publications/global_report/high_tb_burdencountrylists2016-2020summary.pdf</w:t>
      </w:r>
    </w:p>
    <w:p w14:paraId="4C2657DF" w14:textId="7ED59A52" w:rsidR="000149C0" w:rsidRPr="005A5A82" w:rsidRDefault="000149C0"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*Key reference discussing the extent of TB across countries</w:t>
      </w:r>
    </w:p>
    <w:p w14:paraId="59A6E495" w14:textId="5B41535C"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5. </w:t>
      </w:r>
      <w:r w:rsidRPr="005A5A82">
        <w:rPr>
          <w:rFonts w:ascii="Arial" w:hAnsi="Arial" w:cs="Arial"/>
          <w:noProof/>
        </w:rPr>
        <w:tab/>
      </w:r>
      <w:r w:rsidRPr="005A5A82">
        <w:rPr>
          <w:rFonts w:ascii="Arial" w:hAnsi="Arial" w:cs="Arial"/>
          <w:noProof/>
          <w:vertAlign w:val="superscript"/>
        </w:rPr>
        <w:t xml:space="preserve"> </w:t>
      </w:r>
      <w:r w:rsidRPr="005A5A82">
        <w:rPr>
          <w:rFonts w:ascii="Arial" w:hAnsi="Arial" w:cs="Arial"/>
          <w:noProof/>
        </w:rPr>
        <w:t>WHO. The Stop TB Strategy: building on and enhancing DOTS to meet the TB-related Millennium Development Goals.</w:t>
      </w:r>
      <w:r w:rsidR="00D208E3" w:rsidRPr="005A5A82">
        <w:rPr>
          <w:rFonts w:ascii="Arial" w:hAnsi="Arial" w:cs="Arial"/>
          <w:noProof/>
        </w:rPr>
        <w:t xml:space="preserve"> 2006. Available at URL: http://apps.who.int/iris/bitstream/handle/10665/69241/WHO_HTM_STB_2006.368_eng.pdf?sequence=1&amp;isAllowed=y</w:t>
      </w:r>
    </w:p>
    <w:p w14:paraId="729C0197" w14:textId="4FE01B0A"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6. </w:t>
      </w:r>
      <w:r w:rsidRPr="005A5A82">
        <w:rPr>
          <w:rFonts w:ascii="Arial" w:hAnsi="Arial" w:cs="Arial"/>
          <w:noProof/>
        </w:rPr>
        <w:tab/>
      </w:r>
      <w:r w:rsidR="00D208E3" w:rsidRPr="005A5A82">
        <w:rPr>
          <w:rFonts w:ascii="Arial" w:hAnsi="Arial" w:cs="Arial"/>
          <w:noProof/>
        </w:rPr>
        <w:t>Thiam S, LeFevre AM, Hane F, Ndiaye A, Ba F, Fielding KL, et al</w:t>
      </w:r>
      <w:r w:rsidRPr="005A5A82">
        <w:rPr>
          <w:rFonts w:ascii="Arial" w:hAnsi="Arial" w:cs="Arial"/>
          <w:noProof/>
        </w:rPr>
        <w:t xml:space="preserve">. </w:t>
      </w:r>
      <w:r w:rsidR="00D208E3" w:rsidRPr="005A5A82">
        <w:rPr>
          <w:rFonts w:ascii="Arial" w:hAnsi="Arial" w:cs="Arial"/>
          <w:noProof/>
        </w:rPr>
        <w:t>Effectiveness of a strategy to improve adherence to tuberculosis treatment in a resource-poor setting: a cluster randomized controlled trial. Jama. 2007;297(4):380-6</w:t>
      </w:r>
    </w:p>
    <w:p w14:paraId="65F5F969" w14:textId="75C7D224"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7. </w:t>
      </w:r>
      <w:r w:rsidRPr="005A5A82">
        <w:rPr>
          <w:rFonts w:ascii="Arial" w:hAnsi="Arial" w:cs="Arial"/>
          <w:noProof/>
        </w:rPr>
        <w:tab/>
        <w:t xml:space="preserve">World Health Organization. </w:t>
      </w:r>
      <w:r w:rsidRPr="005A5A82">
        <w:rPr>
          <w:rFonts w:ascii="Arial" w:hAnsi="Arial" w:cs="Arial"/>
          <w:iCs/>
          <w:noProof/>
        </w:rPr>
        <w:t>What Is DOTS ? A Guide to Understanding the WHO-Recommended TB Control Strategy Known as DOTS</w:t>
      </w:r>
      <w:r w:rsidRPr="005A5A82">
        <w:rPr>
          <w:rFonts w:ascii="Arial" w:hAnsi="Arial" w:cs="Arial"/>
          <w:noProof/>
        </w:rPr>
        <w:t>.</w:t>
      </w:r>
      <w:r w:rsidR="00D208E3" w:rsidRPr="005A5A82">
        <w:rPr>
          <w:rFonts w:ascii="Arial" w:hAnsi="Arial" w:cs="Arial"/>
          <w:noProof/>
        </w:rPr>
        <w:t xml:space="preserve"> </w:t>
      </w:r>
      <w:r w:rsidRPr="005A5A82">
        <w:rPr>
          <w:rFonts w:ascii="Arial" w:hAnsi="Arial" w:cs="Arial"/>
          <w:noProof/>
        </w:rPr>
        <w:t>1999.</w:t>
      </w:r>
      <w:r w:rsidR="00D208E3" w:rsidRPr="005A5A82">
        <w:rPr>
          <w:rFonts w:ascii="Arial" w:hAnsi="Arial" w:cs="Arial"/>
          <w:noProof/>
        </w:rPr>
        <w:t xml:space="preserve"> Available at URL: http://apps.who.int/iris/bitstream/handle/10665/65979/WHO_CDS_CPC_TB_99.270.pdf?sequence=1&amp;isAllowed=y</w:t>
      </w:r>
    </w:p>
    <w:p w14:paraId="286E1F37" w14:textId="70F7AA4F"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8. </w:t>
      </w:r>
      <w:r w:rsidRPr="005A5A82">
        <w:rPr>
          <w:rFonts w:ascii="Arial" w:hAnsi="Arial" w:cs="Arial"/>
          <w:noProof/>
        </w:rPr>
        <w:tab/>
        <w:t xml:space="preserve">Borgdorff MW, Floyd K, Broekmans JF. Interventions to reduce tuberculosis mortality and transmission in low- and middle-income countries. </w:t>
      </w:r>
      <w:r w:rsidRPr="005A5A82">
        <w:rPr>
          <w:rFonts w:ascii="Arial" w:hAnsi="Arial" w:cs="Arial"/>
          <w:iCs/>
          <w:noProof/>
        </w:rPr>
        <w:t>Bull World Health Organ</w:t>
      </w:r>
      <w:r w:rsidRPr="005A5A82">
        <w:rPr>
          <w:rFonts w:ascii="Arial" w:hAnsi="Arial" w:cs="Arial"/>
          <w:noProof/>
        </w:rPr>
        <w:t>. 2002;80(3):217-227.</w:t>
      </w:r>
    </w:p>
    <w:p w14:paraId="23B0544E" w14:textId="50FF2BCA"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9. </w:t>
      </w:r>
      <w:r w:rsidRPr="005A5A82">
        <w:rPr>
          <w:rFonts w:ascii="Arial" w:hAnsi="Arial" w:cs="Arial"/>
          <w:noProof/>
        </w:rPr>
        <w:tab/>
        <w:t xml:space="preserve">WHO. </w:t>
      </w:r>
      <w:r w:rsidRPr="005A5A82">
        <w:rPr>
          <w:rFonts w:ascii="Arial" w:hAnsi="Arial" w:cs="Arial"/>
          <w:iCs/>
          <w:noProof/>
        </w:rPr>
        <w:t>GLOBAL TUBERCULOSIS REPORT</w:t>
      </w:r>
      <w:r w:rsidRPr="005A5A82">
        <w:rPr>
          <w:rFonts w:ascii="Arial" w:hAnsi="Arial" w:cs="Arial"/>
          <w:noProof/>
        </w:rPr>
        <w:t>.</w:t>
      </w:r>
      <w:r w:rsidR="00D208E3" w:rsidRPr="005A5A82">
        <w:rPr>
          <w:rFonts w:ascii="Arial" w:hAnsi="Arial" w:cs="Arial"/>
          <w:noProof/>
        </w:rPr>
        <w:t xml:space="preserve"> </w:t>
      </w:r>
      <w:r w:rsidRPr="005A5A82">
        <w:rPr>
          <w:rFonts w:ascii="Arial" w:hAnsi="Arial" w:cs="Arial"/>
          <w:noProof/>
        </w:rPr>
        <w:t>2016.</w:t>
      </w:r>
      <w:r w:rsidR="00D208E3" w:rsidRPr="005A5A82">
        <w:rPr>
          <w:rFonts w:ascii="Arial" w:hAnsi="Arial" w:cs="Arial"/>
          <w:noProof/>
        </w:rPr>
        <w:t xml:space="preserve"> Available at URL: </w:t>
      </w:r>
      <w:r w:rsidR="00D208E3" w:rsidRPr="005A5A82">
        <w:rPr>
          <w:rFonts w:ascii="Arial" w:hAnsi="Arial" w:cs="Arial"/>
          <w:noProof/>
        </w:rPr>
        <w:lastRenderedPageBreak/>
        <w:t>http://apps.who.int/medicinedocs/documents/s23098en/s23098en.pdf</w:t>
      </w:r>
    </w:p>
    <w:p w14:paraId="683FC902" w14:textId="565BE352" w:rsidR="000149C0" w:rsidRPr="005A5A82" w:rsidRDefault="000149C0"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*Key WHO update discussing the extent of TB across countries</w:t>
      </w:r>
    </w:p>
    <w:p w14:paraId="3E9EE736" w14:textId="497C4700"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10. </w:t>
      </w:r>
      <w:r w:rsidRPr="005A5A82">
        <w:rPr>
          <w:rFonts w:ascii="Arial" w:hAnsi="Arial" w:cs="Arial"/>
          <w:noProof/>
        </w:rPr>
        <w:tab/>
        <w:t>T</w:t>
      </w:r>
      <w:r w:rsidR="00D208E3" w:rsidRPr="005A5A82">
        <w:rPr>
          <w:rFonts w:ascii="Arial" w:hAnsi="Arial" w:cs="Arial"/>
          <w:noProof/>
        </w:rPr>
        <w:t>anday S</w:t>
      </w:r>
      <w:r w:rsidRPr="005A5A82">
        <w:rPr>
          <w:rFonts w:ascii="Arial" w:hAnsi="Arial" w:cs="Arial"/>
          <w:noProof/>
        </w:rPr>
        <w:t xml:space="preserve">. Will we ever eliminate tuberculosis, the voiceless disease? </w:t>
      </w:r>
      <w:r w:rsidRPr="005A5A82">
        <w:rPr>
          <w:rFonts w:ascii="Arial" w:hAnsi="Arial" w:cs="Arial"/>
          <w:iCs/>
          <w:noProof/>
        </w:rPr>
        <w:t>Lancet Respir Med</w:t>
      </w:r>
      <w:r w:rsidRPr="005A5A82">
        <w:rPr>
          <w:rFonts w:ascii="Arial" w:hAnsi="Arial" w:cs="Arial"/>
          <w:noProof/>
        </w:rPr>
        <w:t>. 2017.</w:t>
      </w:r>
      <w:r w:rsidR="00405A93" w:rsidRPr="005A5A82">
        <w:rPr>
          <w:rFonts w:ascii="Arial" w:hAnsi="Arial" w:cs="Arial"/>
          <w:noProof/>
        </w:rPr>
        <w:t xml:space="preserve"> Mar 15</w:t>
      </w:r>
    </w:p>
    <w:p w14:paraId="7118E944" w14:textId="72916DAD"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11. </w:t>
      </w:r>
      <w:r w:rsidRPr="005A5A82">
        <w:rPr>
          <w:rFonts w:ascii="Arial" w:hAnsi="Arial" w:cs="Arial"/>
          <w:noProof/>
        </w:rPr>
        <w:tab/>
        <w:t xml:space="preserve">van Gorkom J, Mavhunga F, Omer OA, et al. TB control in Namibia 2002-2011: Progress and technical assistance. </w:t>
      </w:r>
      <w:r w:rsidRPr="005A5A82">
        <w:rPr>
          <w:rFonts w:ascii="Arial" w:hAnsi="Arial" w:cs="Arial"/>
          <w:iCs/>
          <w:noProof/>
        </w:rPr>
        <w:t>Open Infect Dis J</w:t>
      </w:r>
      <w:r w:rsidRPr="005A5A82">
        <w:rPr>
          <w:rFonts w:ascii="Arial" w:hAnsi="Arial" w:cs="Arial"/>
          <w:noProof/>
        </w:rPr>
        <w:t>. 2013;7(SPEC ISS1):23-29</w:t>
      </w:r>
    </w:p>
    <w:p w14:paraId="502988F9" w14:textId="76B47A3D" w:rsidR="000149C0" w:rsidRPr="005A5A82" w:rsidRDefault="000149C0"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*Good paper outlining progress in TB control in Namibia in recent years</w:t>
      </w:r>
    </w:p>
    <w:p w14:paraId="63B9D00F" w14:textId="5C57A06E"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12. </w:t>
      </w:r>
      <w:r w:rsidRPr="005A5A82">
        <w:rPr>
          <w:rFonts w:ascii="Arial" w:hAnsi="Arial" w:cs="Arial"/>
          <w:noProof/>
        </w:rPr>
        <w:tab/>
        <w:t xml:space="preserve">Baltussen R, Floyd K, Dye C. Cost effectiveness analysis of strategies for tuberculosis control in developing countries. </w:t>
      </w:r>
      <w:r w:rsidRPr="005A5A82">
        <w:rPr>
          <w:rFonts w:ascii="Arial" w:hAnsi="Arial" w:cs="Arial"/>
          <w:iCs/>
          <w:noProof/>
        </w:rPr>
        <w:t>BMJ</w:t>
      </w:r>
      <w:r w:rsidRPr="005A5A82">
        <w:rPr>
          <w:rFonts w:ascii="Arial" w:hAnsi="Arial" w:cs="Arial"/>
          <w:noProof/>
        </w:rPr>
        <w:t>. 2005;331(7529):1364</w:t>
      </w:r>
    </w:p>
    <w:p w14:paraId="6A6FC11D" w14:textId="2EDDF3D7"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13. </w:t>
      </w:r>
      <w:r w:rsidRPr="005A5A82">
        <w:rPr>
          <w:rFonts w:ascii="Arial" w:hAnsi="Arial" w:cs="Arial"/>
          <w:noProof/>
        </w:rPr>
        <w:tab/>
        <w:t xml:space="preserve">Republic of Namibia Ministry of Health and Social Services. </w:t>
      </w:r>
      <w:r w:rsidRPr="005A5A82">
        <w:rPr>
          <w:rFonts w:ascii="Arial" w:hAnsi="Arial" w:cs="Arial"/>
          <w:iCs/>
          <w:noProof/>
        </w:rPr>
        <w:t>Republic of Namibia Ministry of Health and Social Services National Tuberculosis and Leprosy Programme Annual Report : 2014-2015</w:t>
      </w:r>
      <w:r w:rsidRPr="005A5A82">
        <w:rPr>
          <w:rFonts w:ascii="Arial" w:hAnsi="Arial" w:cs="Arial"/>
          <w:noProof/>
        </w:rPr>
        <w:t>. Windhoek; 2015.</w:t>
      </w:r>
    </w:p>
    <w:p w14:paraId="13E04CCF" w14:textId="61A6303D" w:rsidR="000149C0" w:rsidRPr="005A5A82" w:rsidRDefault="000149C0"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*Good update documenting approaches in Namibia to help treat TB</w:t>
      </w:r>
    </w:p>
    <w:p w14:paraId="5C50646D" w14:textId="5FF9156B"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14. </w:t>
      </w:r>
      <w:r w:rsidRPr="005A5A82">
        <w:rPr>
          <w:rFonts w:ascii="Arial" w:hAnsi="Arial" w:cs="Arial"/>
          <w:noProof/>
        </w:rPr>
        <w:tab/>
        <w:t xml:space="preserve">Laxminarayan R, Klein EY, Darley S, Adeyi O. Global investments in TB control: Economic benefits. </w:t>
      </w:r>
      <w:r w:rsidRPr="005A5A82">
        <w:rPr>
          <w:rFonts w:ascii="Arial" w:hAnsi="Arial" w:cs="Arial"/>
          <w:iCs/>
          <w:noProof/>
        </w:rPr>
        <w:t>Health Aff</w:t>
      </w:r>
      <w:r w:rsidRPr="005A5A82">
        <w:rPr>
          <w:rFonts w:ascii="Arial" w:hAnsi="Arial" w:cs="Arial"/>
          <w:noProof/>
        </w:rPr>
        <w:t>. 2009;28(4)</w:t>
      </w:r>
      <w:r w:rsidR="00405A93" w:rsidRPr="005A5A82">
        <w:rPr>
          <w:rFonts w:ascii="Arial" w:hAnsi="Arial" w:cs="Arial"/>
          <w:color w:val="000000"/>
        </w:rPr>
        <w:t>:w730-42</w:t>
      </w:r>
    </w:p>
    <w:p w14:paraId="1329A336" w14:textId="1CF830C4"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15. </w:t>
      </w:r>
      <w:r w:rsidRPr="005A5A82">
        <w:rPr>
          <w:rFonts w:ascii="Arial" w:hAnsi="Arial" w:cs="Arial"/>
          <w:noProof/>
        </w:rPr>
        <w:tab/>
        <w:t xml:space="preserve">Ministry of Health and Social Services. </w:t>
      </w:r>
      <w:r w:rsidRPr="005A5A82">
        <w:rPr>
          <w:rFonts w:ascii="Arial" w:hAnsi="Arial" w:cs="Arial"/>
          <w:iCs/>
          <w:noProof/>
        </w:rPr>
        <w:t>National Tuberculosis and Leprosy Programme Summary Report 2014-15</w:t>
      </w:r>
      <w:r w:rsidRPr="005A5A82">
        <w:rPr>
          <w:rFonts w:ascii="Arial" w:hAnsi="Arial" w:cs="Arial"/>
          <w:noProof/>
        </w:rPr>
        <w:t>.</w:t>
      </w:r>
      <w:r w:rsidR="00AB3568" w:rsidRPr="005A5A82">
        <w:rPr>
          <w:rFonts w:ascii="Arial" w:hAnsi="Arial" w:cs="Arial"/>
          <w:noProof/>
        </w:rPr>
        <w:t xml:space="preserve"> </w:t>
      </w:r>
      <w:r w:rsidRPr="005A5A82">
        <w:rPr>
          <w:rFonts w:ascii="Arial" w:hAnsi="Arial" w:cs="Arial"/>
          <w:noProof/>
        </w:rPr>
        <w:t>2015.</w:t>
      </w:r>
    </w:p>
    <w:p w14:paraId="3F66FA87" w14:textId="1A2D864E"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16. </w:t>
      </w:r>
      <w:r w:rsidRPr="005A5A82">
        <w:rPr>
          <w:rFonts w:ascii="Arial" w:hAnsi="Arial" w:cs="Arial"/>
          <w:noProof/>
        </w:rPr>
        <w:tab/>
        <w:t xml:space="preserve">WHO. WHO | Tuberculosis. WHO. </w:t>
      </w:r>
      <w:r w:rsidR="00AB3568" w:rsidRPr="005A5A82">
        <w:rPr>
          <w:rFonts w:ascii="Arial" w:hAnsi="Arial" w:cs="Arial"/>
          <w:noProof/>
        </w:rPr>
        <w:t xml:space="preserve">2016. Avaulable at URL: </w:t>
      </w:r>
      <w:r w:rsidRPr="005A5A82">
        <w:rPr>
          <w:rFonts w:ascii="Arial" w:hAnsi="Arial" w:cs="Arial"/>
          <w:noProof/>
        </w:rPr>
        <w:t xml:space="preserve">http://www.who.int/mediacentre/factsheets/fs104/en/. </w:t>
      </w:r>
    </w:p>
    <w:p w14:paraId="6CA5D173" w14:textId="3D8DB9F1"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17. </w:t>
      </w:r>
      <w:r w:rsidRPr="005A5A82">
        <w:rPr>
          <w:rFonts w:ascii="Arial" w:hAnsi="Arial" w:cs="Arial"/>
          <w:noProof/>
        </w:rPr>
        <w:tab/>
        <w:t xml:space="preserve">World Health Organization. </w:t>
      </w:r>
      <w:r w:rsidRPr="005A5A82">
        <w:rPr>
          <w:rFonts w:ascii="Arial" w:hAnsi="Arial" w:cs="Arial"/>
          <w:iCs/>
          <w:noProof/>
        </w:rPr>
        <w:t>Global Tuberculosis Report 2016</w:t>
      </w:r>
      <w:r w:rsidRPr="005A5A82">
        <w:rPr>
          <w:rFonts w:ascii="Arial" w:hAnsi="Arial" w:cs="Arial"/>
          <w:noProof/>
        </w:rPr>
        <w:t>.</w:t>
      </w:r>
    </w:p>
    <w:p w14:paraId="306122C3" w14:textId="77777777"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18. </w:t>
      </w:r>
      <w:r w:rsidRPr="005A5A82">
        <w:rPr>
          <w:rFonts w:ascii="Arial" w:hAnsi="Arial" w:cs="Arial"/>
          <w:noProof/>
        </w:rPr>
        <w:tab/>
        <w:t>Studies H, Ehlers U, Unisa HS. Factors associated with community-based TB care in the omaheke region, Namibia. 9(1):59-72.</w:t>
      </w:r>
    </w:p>
    <w:p w14:paraId="197F6198" w14:textId="6D2637DF"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19. </w:t>
      </w:r>
      <w:r w:rsidRPr="005A5A82">
        <w:rPr>
          <w:rFonts w:ascii="Arial" w:hAnsi="Arial" w:cs="Arial"/>
          <w:noProof/>
        </w:rPr>
        <w:tab/>
        <w:t>WHO. MDR-TB</w:t>
      </w:r>
      <w:r w:rsidR="00AB3568" w:rsidRPr="005A5A82">
        <w:rPr>
          <w:rFonts w:ascii="Arial" w:hAnsi="Arial" w:cs="Arial"/>
          <w:noProof/>
        </w:rPr>
        <w:t>. Available at URL: http://www.who.int/tb/challenges/mdr/MDR-RR_TB_factsheet_2017.pdf</w:t>
      </w:r>
      <w:r w:rsidRPr="005A5A82">
        <w:rPr>
          <w:rFonts w:ascii="Arial" w:hAnsi="Arial" w:cs="Arial"/>
          <w:noProof/>
        </w:rPr>
        <w:t>.</w:t>
      </w:r>
    </w:p>
    <w:p w14:paraId="46CFB406" w14:textId="10EC1625"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20. </w:t>
      </w:r>
      <w:r w:rsidRPr="005A5A82">
        <w:rPr>
          <w:rFonts w:ascii="Arial" w:hAnsi="Arial" w:cs="Arial"/>
          <w:noProof/>
        </w:rPr>
        <w:tab/>
        <w:t xml:space="preserve">Zvavamwe Z, Ehlers VJ. Experiences of a community-based tuberculosis treatment programme in Namibia: A comparative cohort study. </w:t>
      </w:r>
      <w:r w:rsidRPr="005A5A82">
        <w:rPr>
          <w:rFonts w:ascii="Arial" w:hAnsi="Arial" w:cs="Arial"/>
          <w:iCs/>
          <w:noProof/>
        </w:rPr>
        <w:t>Int J Nurs Stud</w:t>
      </w:r>
      <w:r w:rsidRPr="005A5A82">
        <w:rPr>
          <w:rFonts w:ascii="Arial" w:hAnsi="Arial" w:cs="Arial"/>
          <w:noProof/>
        </w:rPr>
        <w:t>. 2009;46(3):302-309</w:t>
      </w:r>
    </w:p>
    <w:p w14:paraId="293A1FAD" w14:textId="4C062E5A"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21. </w:t>
      </w:r>
      <w:r w:rsidRPr="005A5A82">
        <w:rPr>
          <w:rFonts w:ascii="Arial" w:hAnsi="Arial" w:cs="Arial"/>
          <w:noProof/>
        </w:rPr>
        <w:tab/>
        <w:t xml:space="preserve">Seeling S, Mavhunga F, Thomas A, Adelberger B, Ulrichs T. Barriers to access to antiretroviral treatment for HIV-positive tuberculosis patients in Windhoek, Namibia. </w:t>
      </w:r>
      <w:r w:rsidRPr="005A5A82">
        <w:rPr>
          <w:rFonts w:ascii="Arial" w:hAnsi="Arial" w:cs="Arial"/>
          <w:iCs/>
          <w:noProof/>
        </w:rPr>
        <w:lastRenderedPageBreak/>
        <w:t>Int J Mycobacteriology</w:t>
      </w:r>
      <w:r w:rsidRPr="005A5A82">
        <w:rPr>
          <w:rFonts w:ascii="Arial" w:hAnsi="Arial" w:cs="Arial"/>
          <w:noProof/>
        </w:rPr>
        <w:t xml:space="preserve">. 2014;3(4):268-275. </w:t>
      </w:r>
    </w:p>
    <w:p w14:paraId="35DDECFD" w14:textId="720B2D46"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22. </w:t>
      </w:r>
      <w:r w:rsidRPr="005A5A82">
        <w:rPr>
          <w:rFonts w:ascii="Arial" w:hAnsi="Arial" w:cs="Arial"/>
          <w:noProof/>
        </w:rPr>
        <w:tab/>
        <w:t xml:space="preserve">DeRiemer K, García-García L, Bobadilla-del-Valle M, et al. Does DOTS work in populations with drug-resistant tuberculosis? </w:t>
      </w:r>
      <w:r w:rsidRPr="005A5A82">
        <w:rPr>
          <w:rFonts w:ascii="Arial" w:hAnsi="Arial" w:cs="Arial"/>
          <w:iCs/>
          <w:noProof/>
        </w:rPr>
        <w:t>Lancet</w:t>
      </w:r>
      <w:r w:rsidRPr="005A5A82">
        <w:rPr>
          <w:rFonts w:ascii="Arial" w:hAnsi="Arial" w:cs="Arial"/>
          <w:noProof/>
        </w:rPr>
        <w:t>. 2005;365(9466):1239-1245.</w:t>
      </w:r>
    </w:p>
    <w:p w14:paraId="1DD98825" w14:textId="7BB54CCD"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23. </w:t>
      </w:r>
      <w:r w:rsidRPr="005A5A82">
        <w:rPr>
          <w:rFonts w:ascii="Arial" w:hAnsi="Arial" w:cs="Arial"/>
          <w:noProof/>
        </w:rPr>
        <w:tab/>
        <w:t xml:space="preserve">Huynh GH, Klein DJ, Chin DP, et al. Tuberculosis control strategies to reach the 2035 global targets in China: the role of changing demographics and reactivation disease. </w:t>
      </w:r>
      <w:r w:rsidRPr="005A5A82">
        <w:rPr>
          <w:rFonts w:ascii="Arial" w:hAnsi="Arial" w:cs="Arial"/>
          <w:iCs/>
          <w:noProof/>
        </w:rPr>
        <w:t>BMC Med</w:t>
      </w:r>
      <w:r w:rsidRPr="005A5A82">
        <w:rPr>
          <w:rFonts w:ascii="Arial" w:hAnsi="Arial" w:cs="Arial"/>
          <w:noProof/>
        </w:rPr>
        <w:t>. 2015;13(1):88.</w:t>
      </w:r>
    </w:p>
    <w:p w14:paraId="3D48ABF0" w14:textId="014B87CA"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24. </w:t>
      </w:r>
      <w:r w:rsidRPr="005A5A82">
        <w:rPr>
          <w:rFonts w:ascii="Arial" w:hAnsi="Arial" w:cs="Arial"/>
          <w:noProof/>
        </w:rPr>
        <w:tab/>
        <w:t xml:space="preserve">Acosta CD, Rusovich V, Harries AD, Ahmedov S, van den Boom M, Dara M. A new roadmap for childhood tuberculosis. </w:t>
      </w:r>
      <w:r w:rsidRPr="005A5A82">
        <w:rPr>
          <w:rFonts w:ascii="Arial" w:hAnsi="Arial" w:cs="Arial"/>
          <w:iCs/>
          <w:noProof/>
        </w:rPr>
        <w:t>Lancet Glob Heal</w:t>
      </w:r>
      <w:r w:rsidRPr="005A5A82">
        <w:rPr>
          <w:rFonts w:ascii="Arial" w:hAnsi="Arial" w:cs="Arial"/>
          <w:noProof/>
        </w:rPr>
        <w:t>. 2014;2(1)</w:t>
      </w:r>
      <w:r w:rsidR="00AB3568" w:rsidRPr="005A5A82">
        <w:rPr>
          <w:rFonts w:ascii="Arial" w:hAnsi="Arial" w:cs="Arial"/>
          <w:color w:val="000000"/>
        </w:rPr>
        <w:t>:e15-7</w:t>
      </w:r>
    </w:p>
    <w:p w14:paraId="27F8EE61" w14:textId="59F0E7D6"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25. </w:t>
      </w:r>
      <w:r w:rsidRPr="005A5A82">
        <w:rPr>
          <w:rFonts w:ascii="Arial" w:hAnsi="Arial" w:cs="Arial"/>
          <w:noProof/>
        </w:rPr>
        <w:tab/>
        <w:t xml:space="preserve">Nakiyingi L, Bwanika JM, Kirenga B, et al. Clinical Predictors and Accuracy of Empiric Tuberculosis Treatment among Sputum Smear-Negative HIV-Infected Adult TB Suspects in Uganda. </w:t>
      </w:r>
      <w:r w:rsidRPr="005A5A82">
        <w:rPr>
          <w:rFonts w:ascii="Arial" w:hAnsi="Arial" w:cs="Arial"/>
          <w:iCs/>
          <w:noProof/>
        </w:rPr>
        <w:t>PLoS One</w:t>
      </w:r>
      <w:r w:rsidRPr="005A5A82">
        <w:rPr>
          <w:rFonts w:ascii="Arial" w:hAnsi="Arial" w:cs="Arial"/>
          <w:noProof/>
        </w:rPr>
        <w:t xml:space="preserve">. 2013;8(9). </w:t>
      </w:r>
    </w:p>
    <w:p w14:paraId="13DDD110" w14:textId="1986914A"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26. </w:t>
      </w:r>
      <w:r w:rsidRPr="005A5A82">
        <w:rPr>
          <w:rFonts w:ascii="Arial" w:hAnsi="Arial" w:cs="Arial"/>
          <w:noProof/>
        </w:rPr>
        <w:tab/>
        <w:t xml:space="preserve">Namukwaya E, Nakwagala FN, Mulekya F, Mayanja-Kizza H, Mugerwa R. Predictors of treatment failure among pulmonary tuberculosis patients in mulago hospital, Uganda. </w:t>
      </w:r>
      <w:r w:rsidRPr="005A5A82">
        <w:rPr>
          <w:rFonts w:ascii="Arial" w:hAnsi="Arial" w:cs="Arial"/>
          <w:iCs/>
          <w:noProof/>
        </w:rPr>
        <w:t>Afr Health</w:t>
      </w:r>
      <w:r w:rsidR="00AB3568" w:rsidRPr="005A5A82">
        <w:rPr>
          <w:rFonts w:ascii="Arial" w:hAnsi="Arial" w:cs="Arial"/>
          <w:iCs/>
          <w:noProof/>
        </w:rPr>
        <w:t xml:space="preserve"> Sci. </w:t>
      </w:r>
      <w:r w:rsidR="00AB3568" w:rsidRPr="005A5A82">
        <w:rPr>
          <w:rFonts w:ascii="Arial" w:hAnsi="Arial" w:cs="Arial"/>
          <w:color w:val="000000"/>
          <w:shd w:val="clear" w:color="auto" w:fill="FFFFFF"/>
        </w:rPr>
        <w:t>2011;11 Suppl 1:S105-11</w:t>
      </w:r>
    </w:p>
    <w:p w14:paraId="3FAA13C7" w14:textId="0CE2FC6F"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27. </w:t>
      </w:r>
      <w:r w:rsidRPr="005A5A82">
        <w:rPr>
          <w:rFonts w:ascii="Arial" w:hAnsi="Arial" w:cs="Arial"/>
          <w:noProof/>
        </w:rPr>
        <w:tab/>
        <w:t xml:space="preserve">Waitt CJ, Squire SB, C.J. W, S.B. S. A systematic review of risk factors for death in adults during and after tuberculosis treatment. </w:t>
      </w:r>
      <w:r w:rsidRPr="005A5A82">
        <w:rPr>
          <w:rFonts w:ascii="Arial" w:hAnsi="Arial" w:cs="Arial"/>
          <w:iCs/>
          <w:noProof/>
        </w:rPr>
        <w:t>Int J Tuberc Lung Dis</w:t>
      </w:r>
      <w:r w:rsidRPr="005A5A82">
        <w:rPr>
          <w:rFonts w:ascii="Arial" w:hAnsi="Arial" w:cs="Arial"/>
          <w:noProof/>
        </w:rPr>
        <w:t xml:space="preserve">. 2011;15(7):871-885. </w:t>
      </w:r>
    </w:p>
    <w:p w14:paraId="7AC57F46" w14:textId="412AEC7E"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28. </w:t>
      </w:r>
      <w:r w:rsidRPr="005A5A82">
        <w:rPr>
          <w:rFonts w:ascii="Arial" w:hAnsi="Arial" w:cs="Arial"/>
          <w:noProof/>
        </w:rPr>
        <w:tab/>
        <w:t xml:space="preserve">WHO. </w:t>
      </w:r>
      <w:r w:rsidRPr="005A5A82">
        <w:rPr>
          <w:rFonts w:ascii="Arial" w:hAnsi="Arial" w:cs="Arial"/>
          <w:iCs/>
          <w:noProof/>
        </w:rPr>
        <w:t>Best Practices in Prevention, Control and Care for Drug Resistant Tuberculosis</w:t>
      </w:r>
      <w:r w:rsidRPr="005A5A82">
        <w:rPr>
          <w:rFonts w:ascii="Arial" w:hAnsi="Arial" w:cs="Arial"/>
          <w:noProof/>
        </w:rPr>
        <w:t>.</w:t>
      </w:r>
      <w:r w:rsidR="00EC26FF" w:rsidRPr="005A5A82">
        <w:rPr>
          <w:rFonts w:ascii="Arial" w:hAnsi="Arial" w:cs="Arial"/>
          <w:noProof/>
        </w:rPr>
        <w:t xml:space="preserve"> </w:t>
      </w:r>
      <w:r w:rsidRPr="005A5A82">
        <w:rPr>
          <w:rFonts w:ascii="Arial" w:hAnsi="Arial" w:cs="Arial"/>
          <w:noProof/>
        </w:rPr>
        <w:t>2017.</w:t>
      </w:r>
      <w:r w:rsidR="00EC26FF" w:rsidRPr="005A5A82">
        <w:rPr>
          <w:rFonts w:ascii="Arial" w:hAnsi="Arial" w:cs="Arial"/>
          <w:noProof/>
        </w:rPr>
        <w:t>Available at URL: http://www.euro.who.int/__data/assets/pdf_file/0020/216650/Best-practices-in-prevention,control-and-care-for-drugresistant-tuberculosis-Eng.pdf</w:t>
      </w:r>
    </w:p>
    <w:p w14:paraId="05B0934C" w14:textId="6B11D366"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29. </w:t>
      </w:r>
      <w:r w:rsidRPr="005A5A82">
        <w:rPr>
          <w:rFonts w:ascii="Arial" w:hAnsi="Arial" w:cs="Arial"/>
          <w:noProof/>
        </w:rPr>
        <w:tab/>
        <w:t xml:space="preserve">MoHSS. </w:t>
      </w:r>
      <w:r w:rsidRPr="005A5A82">
        <w:rPr>
          <w:rFonts w:ascii="Arial" w:hAnsi="Arial" w:cs="Arial"/>
          <w:iCs/>
          <w:noProof/>
        </w:rPr>
        <w:t>Republic of Namibia Ministry of Health and Social Services National Tuberculosis and Leprosy Programme Annual Report : 2014-2015</w:t>
      </w:r>
      <w:r w:rsidRPr="005A5A82">
        <w:rPr>
          <w:rFonts w:ascii="Arial" w:hAnsi="Arial" w:cs="Arial"/>
          <w:noProof/>
        </w:rPr>
        <w:t>.</w:t>
      </w:r>
      <w:r w:rsidR="00EC26FF" w:rsidRPr="005A5A82">
        <w:rPr>
          <w:rFonts w:ascii="Arial" w:hAnsi="Arial" w:cs="Arial"/>
          <w:noProof/>
        </w:rPr>
        <w:t xml:space="preserve"> </w:t>
      </w:r>
      <w:r w:rsidRPr="005A5A82">
        <w:rPr>
          <w:rFonts w:ascii="Arial" w:hAnsi="Arial" w:cs="Arial"/>
          <w:noProof/>
        </w:rPr>
        <w:t>2015.</w:t>
      </w:r>
    </w:p>
    <w:p w14:paraId="620F8F9E" w14:textId="5DF15118"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30. </w:t>
      </w:r>
      <w:r w:rsidRPr="005A5A82">
        <w:rPr>
          <w:rFonts w:ascii="Arial" w:hAnsi="Arial" w:cs="Arial"/>
          <w:noProof/>
        </w:rPr>
        <w:tab/>
        <w:t xml:space="preserve">Kapoor SK, Raman AV, Sachdeva KS, Satyanarayana S. How did the TB patients reach DOTS services in Delhi? a study of patient treatment seeking behavior. </w:t>
      </w:r>
      <w:r w:rsidRPr="005A5A82">
        <w:rPr>
          <w:rFonts w:ascii="Arial" w:hAnsi="Arial" w:cs="Arial"/>
          <w:iCs/>
          <w:noProof/>
        </w:rPr>
        <w:t>PLoS One</w:t>
      </w:r>
      <w:r w:rsidRPr="005A5A82">
        <w:rPr>
          <w:rFonts w:ascii="Arial" w:hAnsi="Arial" w:cs="Arial"/>
          <w:noProof/>
        </w:rPr>
        <w:t>. 2012;7(8)</w:t>
      </w:r>
    </w:p>
    <w:p w14:paraId="0A058568" w14:textId="4984B4B0"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31. </w:t>
      </w:r>
      <w:r w:rsidRPr="005A5A82">
        <w:rPr>
          <w:rFonts w:ascii="Arial" w:hAnsi="Arial" w:cs="Arial"/>
          <w:noProof/>
        </w:rPr>
        <w:tab/>
        <w:t xml:space="preserve">Uplekar M, Weil D, Lonnroth K, et al. WHO’s new end TB strategy. </w:t>
      </w:r>
      <w:r w:rsidRPr="005A5A82">
        <w:rPr>
          <w:rFonts w:ascii="Arial" w:hAnsi="Arial" w:cs="Arial"/>
          <w:iCs/>
          <w:noProof/>
        </w:rPr>
        <w:t>Lancet</w:t>
      </w:r>
      <w:r w:rsidRPr="005A5A82">
        <w:rPr>
          <w:rFonts w:ascii="Arial" w:hAnsi="Arial" w:cs="Arial"/>
          <w:noProof/>
        </w:rPr>
        <w:t xml:space="preserve">. 2015;385(9979):1799-1801. </w:t>
      </w:r>
    </w:p>
    <w:p w14:paraId="03148D4C" w14:textId="4E851B20" w:rsidR="000149C0" w:rsidRPr="005A5A82" w:rsidRDefault="000149C0"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 Good paper outlining potential strategies to eradicate TB </w:t>
      </w:r>
    </w:p>
    <w:p w14:paraId="10DB9491" w14:textId="27B0CE87"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32. </w:t>
      </w:r>
      <w:r w:rsidRPr="005A5A82">
        <w:rPr>
          <w:rFonts w:ascii="Arial" w:hAnsi="Arial" w:cs="Arial"/>
          <w:noProof/>
        </w:rPr>
        <w:tab/>
        <w:t>MUJASI PN</w:t>
      </w:r>
      <w:r w:rsidR="00EC26FF" w:rsidRPr="005A5A82">
        <w:rPr>
          <w:rFonts w:ascii="Arial" w:hAnsi="Arial" w:cs="Arial"/>
          <w:noProof/>
        </w:rPr>
        <w:t xml:space="preserve">, Matlakala MC </w:t>
      </w:r>
      <w:r w:rsidRPr="005A5A82">
        <w:rPr>
          <w:rFonts w:ascii="Arial" w:hAnsi="Arial" w:cs="Arial"/>
          <w:noProof/>
        </w:rPr>
        <w:t xml:space="preserve">Factors Associated With Health Seeking Behaviour of </w:t>
      </w:r>
      <w:r w:rsidRPr="005A5A82">
        <w:rPr>
          <w:rFonts w:ascii="Arial" w:hAnsi="Arial" w:cs="Arial"/>
          <w:noProof/>
        </w:rPr>
        <w:lastRenderedPageBreak/>
        <w:t xml:space="preserve">Pulmonary Tuberculosis Patients in Butaleja District in Uganda. </w:t>
      </w:r>
      <w:r w:rsidR="00EC26FF" w:rsidRPr="005A5A82">
        <w:rPr>
          <w:rFonts w:ascii="Arial" w:hAnsi="Arial" w:cs="Arial"/>
          <w:noProof/>
        </w:rPr>
        <w:t>African Journal for Physical Health Education, Recreation and Dance. 2014;20(3):841-57</w:t>
      </w:r>
    </w:p>
    <w:p w14:paraId="52DF317A" w14:textId="6877ECE9"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33. </w:t>
      </w:r>
      <w:r w:rsidRPr="005A5A82">
        <w:rPr>
          <w:rFonts w:ascii="Arial" w:hAnsi="Arial" w:cs="Arial"/>
          <w:noProof/>
        </w:rPr>
        <w:tab/>
        <w:t xml:space="preserve">Oxlade O, Piatek A, Vincent C, Menzies D. Modeling the impact of tuberculosis interventions on epidemiologic outcomes and health system costs. </w:t>
      </w:r>
      <w:r w:rsidRPr="005A5A82">
        <w:rPr>
          <w:rFonts w:ascii="Arial" w:hAnsi="Arial" w:cs="Arial"/>
          <w:iCs/>
          <w:noProof/>
        </w:rPr>
        <w:t>BMC Public Health</w:t>
      </w:r>
      <w:r w:rsidRPr="005A5A82">
        <w:rPr>
          <w:rFonts w:ascii="Arial" w:hAnsi="Arial" w:cs="Arial"/>
          <w:noProof/>
        </w:rPr>
        <w:t>. 2015;15(1):141.</w:t>
      </w:r>
    </w:p>
    <w:p w14:paraId="5779F501" w14:textId="6858ED30"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34. </w:t>
      </w:r>
      <w:r w:rsidRPr="005A5A82">
        <w:rPr>
          <w:rFonts w:ascii="Arial" w:hAnsi="Arial" w:cs="Arial"/>
          <w:noProof/>
        </w:rPr>
        <w:tab/>
        <w:t>Sesay ML. Patient Characteristics and Treatment Outcomes Among Tuberculosis Patients in Sierra Leone. 2017.</w:t>
      </w:r>
      <w:r w:rsidR="00EC26FF" w:rsidRPr="005A5A82">
        <w:rPr>
          <w:rFonts w:ascii="Arial" w:hAnsi="Arial" w:cs="Arial"/>
          <w:noProof/>
        </w:rPr>
        <w:t xml:space="preserve"> Available at URL: https://scholarworks.waldenu.edu/cgi/viewcontent.cgi?article=4680&amp;context=dissertations</w:t>
      </w:r>
    </w:p>
    <w:p w14:paraId="7CB8FF7A" w14:textId="369035D0"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35. </w:t>
      </w:r>
      <w:r w:rsidRPr="005A5A82">
        <w:rPr>
          <w:rFonts w:ascii="Arial" w:hAnsi="Arial" w:cs="Arial"/>
          <w:noProof/>
        </w:rPr>
        <w:tab/>
        <w:t xml:space="preserve">Chida N, Ansari Z, Hussain H, et al. Determinants of default from tuberculosis treatment among patients with drug-susceptible tuberculosis in Karachi, Pakistan: A mixed methods: Study. </w:t>
      </w:r>
      <w:r w:rsidRPr="005A5A82">
        <w:rPr>
          <w:rFonts w:ascii="Arial" w:hAnsi="Arial" w:cs="Arial"/>
          <w:iCs/>
          <w:noProof/>
        </w:rPr>
        <w:t>PLoS One</w:t>
      </w:r>
      <w:r w:rsidRPr="005A5A82">
        <w:rPr>
          <w:rFonts w:ascii="Arial" w:hAnsi="Arial" w:cs="Arial"/>
          <w:noProof/>
        </w:rPr>
        <w:t xml:space="preserve">. 2015;10(11):1-14. </w:t>
      </w:r>
    </w:p>
    <w:p w14:paraId="602DDC89" w14:textId="4044F0FD"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36. </w:t>
      </w:r>
      <w:r w:rsidRPr="005A5A82">
        <w:rPr>
          <w:rFonts w:ascii="Arial" w:hAnsi="Arial" w:cs="Arial"/>
          <w:noProof/>
        </w:rPr>
        <w:tab/>
        <w:t xml:space="preserve">Verbeeck RK, Günther G, Kibuule D, Hunter C, Rennie TW. Optimizing treatment outcome of first-line anti-tuberculosis drugs: the role of therapeutic drug monitoring. </w:t>
      </w:r>
      <w:r w:rsidRPr="005A5A82">
        <w:rPr>
          <w:rFonts w:ascii="Arial" w:hAnsi="Arial" w:cs="Arial"/>
          <w:iCs/>
          <w:noProof/>
        </w:rPr>
        <w:t>Eur J Clin Pharmacol</w:t>
      </w:r>
      <w:r w:rsidRPr="005A5A82">
        <w:rPr>
          <w:rFonts w:ascii="Arial" w:hAnsi="Arial" w:cs="Arial"/>
          <w:noProof/>
        </w:rPr>
        <w:t>. 2016;72(8):905-916.</w:t>
      </w:r>
    </w:p>
    <w:p w14:paraId="5A725F4A" w14:textId="606A280F"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37. </w:t>
      </w:r>
      <w:r w:rsidRPr="005A5A82">
        <w:rPr>
          <w:rFonts w:ascii="Arial" w:hAnsi="Arial" w:cs="Arial"/>
          <w:noProof/>
        </w:rPr>
        <w:tab/>
        <w:t xml:space="preserve">Marx FM, Dunbar R, Enarson DA, Beyers N. The Rate of Sputum Smear-Positive Tuberculosis after Treatment Default in a High-Burden Setting: A Retrospective Cohort Study. </w:t>
      </w:r>
      <w:r w:rsidRPr="005A5A82">
        <w:rPr>
          <w:rFonts w:ascii="Arial" w:hAnsi="Arial" w:cs="Arial"/>
          <w:iCs/>
          <w:noProof/>
        </w:rPr>
        <w:t>PLoS One</w:t>
      </w:r>
      <w:r w:rsidRPr="005A5A82">
        <w:rPr>
          <w:rFonts w:ascii="Arial" w:hAnsi="Arial" w:cs="Arial"/>
          <w:noProof/>
        </w:rPr>
        <w:t xml:space="preserve">. 2012;7(9):1-9. </w:t>
      </w:r>
    </w:p>
    <w:p w14:paraId="70BE8CD2" w14:textId="1B5BC0D4"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38. </w:t>
      </w:r>
      <w:r w:rsidRPr="005A5A82">
        <w:rPr>
          <w:rFonts w:ascii="Arial" w:hAnsi="Arial" w:cs="Arial"/>
          <w:noProof/>
        </w:rPr>
        <w:tab/>
        <w:t xml:space="preserve">Lienhardt C, Manneh K, Bouchier V, Lahai G, Milligan PJM, McAdam KPWJ. Factors determining the outcome of treatment of adult smear-positive tuberculosis cases in The Gambia. </w:t>
      </w:r>
      <w:r w:rsidRPr="005A5A82">
        <w:rPr>
          <w:rFonts w:ascii="Arial" w:hAnsi="Arial" w:cs="Arial"/>
          <w:iCs/>
          <w:noProof/>
        </w:rPr>
        <w:t>Int J Tuberc Lung Dis</w:t>
      </w:r>
      <w:r w:rsidRPr="005A5A82">
        <w:rPr>
          <w:rFonts w:ascii="Arial" w:hAnsi="Arial" w:cs="Arial"/>
          <w:noProof/>
        </w:rPr>
        <w:t>. 1998;2(9):712-718.</w:t>
      </w:r>
    </w:p>
    <w:p w14:paraId="592D468E" w14:textId="73B5B207"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39. </w:t>
      </w:r>
      <w:r w:rsidRPr="005A5A82">
        <w:rPr>
          <w:rFonts w:ascii="Arial" w:hAnsi="Arial" w:cs="Arial"/>
          <w:noProof/>
        </w:rPr>
        <w:tab/>
        <w:t xml:space="preserve">Sinshaw Y, Alemu S, Fekadu A, Gizachew M. </w:t>
      </w:r>
      <w:r w:rsidRPr="005A5A82">
        <w:rPr>
          <w:rFonts w:ascii="Arial" w:hAnsi="Arial" w:cs="Arial"/>
          <w:iCs/>
          <w:noProof/>
        </w:rPr>
        <w:t>Successful TB Treatment Outcome and Its Associated Factors among TB/HIV Co-Infected Patients Attending Gondar University Referral Hospital, Northwest Ethiopia: An Institution Based Cross-Sectional Study</w:t>
      </w:r>
      <w:r w:rsidRPr="005A5A82">
        <w:rPr>
          <w:rFonts w:ascii="Arial" w:hAnsi="Arial" w:cs="Arial"/>
          <w:noProof/>
        </w:rPr>
        <w:t xml:space="preserve">. Vol 17. </w:t>
      </w:r>
      <w:hyperlink r:id="rId13" w:tooltip="BMC infectious diseases." w:history="1">
        <w:r w:rsidR="00EC26FF" w:rsidRPr="005A5A82">
          <w:rPr>
            <w:rStyle w:val="Hyperlink"/>
            <w:rFonts w:ascii="Arial" w:hAnsi="Arial" w:cs="Arial"/>
            <w:color w:val="333333"/>
          </w:rPr>
          <w:t>BMC Infect Dis.</w:t>
        </w:r>
      </w:hyperlink>
      <w:r w:rsidR="00EC26FF" w:rsidRPr="005A5A82">
        <w:rPr>
          <w:rFonts w:ascii="Arial" w:hAnsi="Arial" w:cs="Arial"/>
          <w:color w:val="000000"/>
        </w:rPr>
        <w:t xml:space="preserve"> 2017;17(1):132</w:t>
      </w:r>
    </w:p>
    <w:p w14:paraId="38F88F93" w14:textId="1C7BAD4F"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40. </w:t>
      </w:r>
      <w:r w:rsidRPr="005A5A82">
        <w:rPr>
          <w:rFonts w:ascii="Arial" w:hAnsi="Arial" w:cs="Arial"/>
          <w:noProof/>
        </w:rPr>
        <w:tab/>
        <w:t xml:space="preserve">van Hest R, Ködmön C, Verver S, et al. Tuberculosis treatment outcome monitoring in European Union countries: systematic review. </w:t>
      </w:r>
      <w:r w:rsidRPr="005A5A82">
        <w:rPr>
          <w:rFonts w:ascii="Arial" w:hAnsi="Arial" w:cs="Arial"/>
          <w:iCs/>
          <w:noProof/>
        </w:rPr>
        <w:t>Eur Respir J</w:t>
      </w:r>
      <w:r w:rsidRPr="005A5A82">
        <w:rPr>
          <w:rFonts w:ascii="Arial" w:hAnsi="Arial" w:cs="Arial"/>
          <w:noProof/>
        </w:rPr>
        <w:t xml:space="preserve">. 2013;41(3):635-643. </w:t>
      </w:r>
    </w:p>
    <w:p w14:paraId="32A8DA03" w14:textId="059C547E"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41. </w:t>
      </w:r>
      <w:r w:rsidRPr="005A5A82">
        <w:rPr>
          <w:rFonts w:ascii="Arial" w:hAnsi="Arial" w:cs="Arial"/>
          <w:noProof/>
        </w:rPr>
        <w:tab/>
        <w:t xml:space="preserve">Choi R, Jeong B-H, Koh W-J, Lee S-Y. Recommendations for Optimizing Tuberculosis Treatment: Therapeutic Drug Monitoring, Pharmacogenetics, and Nutritional Status Considerations. </w:t>
      </w:r>
      <w:r w:rsidRPr="005A5A82">
        <w:rPr>
          <w:rFonts w:ascii="Arial" w:hAnsi="Arial" w:cs="Arial"/>
          <w:iCs/>
          <w:noProof/>
        </w:rPr>
        <w:t>Ann Lab Med</w:t>
      </w:r>
      <w:r w:rsidRPr="005A5A82">
        <w:rPr>
          <w:rFonts w:ascii="Arial" w:hAnsi="Arial" w:cs="Arial"/>
          <w:noProof/>
        </w:rPr>
        <w:t>. 2017;37(2):97. d</w:t>
      </w:r>
    </w:p>
    <w:p w14:paraId="596217F9" w14:textId="251184EF" w:rsidR="000149C0" w:rsidRPr="005A5A82" w:rsidRDefault="000149C0"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*Good paper to help improve care of patients with TB</w:t>
      </w:r>
    </w:p>
    <w:p w14:paraId="12C0763E" w14:textId="77777777"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lastRenderedPageBreak/>
        <w:t xml:space="preserve">42. </w:t>
      </w:r>
      <w:r w:rsidRPr="005A5A82">
        <w:rPr>
          <w:rFonts w:ascii="Arial" w:hAnsi="Arial" w:cs="Arial"/>
          <w:noProof/>
        </w:rPr>
        <w:tab/>
        <w:t xml:space="preserve">Baboli MT, Abdolmaleki EY, Shirzad M, Samakoosh MA, Ghasemian R. Prevalence of drug-induced hepatitis and its risk factors in the treatment of tuberculosis in TB infected patients attending Razi hospital, 2006-2011. [Persian]. </w:t>
      </w:r>
      <w:r w:rsidRPr="005A5A82">
        <w:rPr>
          <w:rFonts w:ascii="Arial" w:hAnsi="Arial" w:cs="Arial"/>
          <w:iCs/>
          <w:noProof/>
        </w:rPr>
        <w:t>J Maz Univ Med Sci</w:t>
      </w:r>
      <w:r w:rsidRPr="005A5A82">
        <w:rPr>
          <w:rFonts w:ascii="Arial" w:hAnsi="Arial" w:cs="Arial"/>
          <w:noProof/>
        </w:rPr>
        <w:t>. 2014;24(109):235-240.</w:t>
      </w:r>
    </w:p>
    <w:p w14:paraId="7C84D122" w14:textId="492FAFCF"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43. </w:t>
      </w:r>
      <w:r w:rsidRPr="005A5A82">
        <w:rPr>
          <w:rFonts w:ascii="Arial" w:hAnsi="Arial" w:cs="Arial"/>
          <w:noProof/>
        </w:rPr>
        <w:tab/>
        <w:t xml:space="preserve">Sagwa E, Mantel-Teeuwisse AK, Ruswa N, et al. The burden of adverse events during treatment of drug-resistant tuberculosis in Namibia. </w:t>
      </w:r>
      <w:r w:rsidRPr="005A5A82">
        <w:rPr>
          <w:rFonts w:ascii="Arial" w:hAnsi="Arial" w:cs="Arial"/>
          <w:iCs/>
          <w:noProof/>
        </w:rPr>
        <w:t>South Med Rev</w:t>
      </w:r>
      <w:r w:rsidRPr="005A5A82">
        <w:rPr>
          <w:rFonts w:ascii="Arial" w:hAnsi="Arial" w:cs="Arial"/>
          <w:noProof/>
        </w:rPr>
        <w:t>. 2012;5(1):6-13.</w:t>
      </w:r>
    </w:p>
    <w:p w14:paraId="45787C9A" w14:textId="3FE9AAC4" w:rsidR="007E07FB" w:rsidRPr="005A5A82" w:rsidRDefault="007E07FB"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**Interesting paper outlining the nature and extent of ADRs furing treatment of patients with drug-resistant TB in Namibia</w:t>
      </w:r>
    </w:p>
    <w:p w14:paraId="0E57F06D" w14:textId="6B77A332"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44. </w:t>
      </w:r>
      <w:r w:rsidRPr="005A5A82">
        <w:rPr>
          <w:rFonts w:ascii="Arial" w:hAnsi="Arial" w:cs="Arial"/>
          <w:noProof/>
        </w:rPr>
        <w:tab/>
        <w:t xml:space="preserve">Garfein RS, Collins K, Muñoz F, et al. Feasibility of tuberculosis treatment monitoring by video directly observed therapy: A binational pilot study. </w:t>
      </w:r>
      <w:r w:rsidRPr="005A5A82">
        <w:rPr>
          <w:rFonts w:ascii="Arial" w:hAnsi="Arial" w:cs="Arial"/>
          <w:iCs/>
          <w:noProof/>
        </w:rPr>
        <w:t>Int J Tuberc Lung Dis</w:t>
      </w:r>
      <w:r w:rsidRPr="005A5A82">
        <w:rPr>
          <w:rFonts w:ascii="Arial" w:hAnsi="Arial" w:cs="Arial"/>
          <w:noProof/>
        </w:rPr>
        <w:t>. 2015;19(9)</w:t>
      </w:r>
    </w:p>
    <w:p w14:paraId="5EAF4ECD" w14:textId="36E60A50"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45. </w:t>
      </w:r>
      <w:r w:rsidRPr="005A5A82">
        <w:rPr>
          <w:rFonts w:ascii="Arial" w:hAnsi="Arial" w:cs="Arial"/>
          <w:noProof/>
        </w:rPr>
        <w:tab/>
        <w:t xml:space="preserve">Espinal MA, Kim SJ, Suarez PG, et al. Standard short-course chemotherapy for drug-resistant tuberculosis: treatment outcomes in 6 countries. </w:t>
      </w:r>
      <w:r w:rsidRPr="005A5A82">
        <w:rPr>
          <w:rFonts w:ascii="Arial" w:hAnsi="Arial" w:cs="Arial"/>
          <w:iCs/>
          <w:noProof/>
        </w:rPr>
        <w:t>Jama</w:t>
      </w:r>
      <w:r w:rsidRPr="005A5A82">
        <w:rPr>
          <w:rFonts w:ascii="Arial" w:hAnsi="Arial" w:cs="Arial"/>
          <w:noProof/>
        </w:rPr>
        <w:t>. 2000;283(19):2537-2545</w:t>
      </w:r>
    </w:p>
    <w:p w14:paraId="066EFA13" w14:textId="459785F3"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46. </w:t>
      </w:r>
      <w:r w:rsidRPr="005A5A82">
        <w:rPr>
          <w:rFonts w:ascii="Arial" w:hAnsi="Arial" w:cs="Arial"/>
          <w:noProof/>
        </w:rPr>
        <w:tab/>
        <w:t xml:space="preserve">Vasankari T, Holmstrom P, Ollgren J, Liippo K, Kokki M, Ruutu P. Risk factors for poor tuberculosis treatment outcome in Finland: a cohort study. </w:t>
      </w:r>
      <w:hyperlink r:id="rId14" w:tooltip="BMC public health." w:history="1">
        <w:r w:rsidR="00EC26FF" w:rsidRPr="005A5A82">
          <w:rPr>
            <w:rStyle w:val="Hyperlink"/>
            <w:rFonts w:ascii="Arial" w:hAnsi="Arial" w:cs="Arial"/>
            <w:color w:val="333333"/>
          </w:rPr>
          <w:t>BMC Public Health.</w:t>
        </w:r>
      </w:hyperlink>
      <w:r w:rsidR="00EC26FF" w:rsidRPr="005A5A82">
        <w:rPr>
          <w:rFonts w:ascii="Arial" w:hAnsi="Arial" w:cs="Arial"/>
          <w:color w:val="000000"/>
        </w:rPr>
        <w:t xml:space="preserve"> 2007 Oct 14;7:291.</w:t>
      </w:r>
    </w:p>
    <w:p w14:paraId="6A7C5815" w14:textId="5443AF62"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47. </w:t>
      </w:r>
      <w:r w:rsidRPr="005A5A82">
        <w:rPr>
          <w:rFonts w:ascii="Arial" w:hAnsi="Arial" w:cs="Arial"/>
          <w:noProof/>
        </w:rPr>
        <w:tab/>
        <w:t xml:space="preserve">Hung CL, Chien JY, Ou CY. Associated factors for tuberculosis recurrence in Taiwan: A nationwide nested case-control study from 1998 to 2010. </w:t>
      </w:r>
      <w:r w:rsidRPr="005A5A82">
        <w:rPr>
          <w:rFonts w:ascii="Arial" w:hAnsi="Arial" w:cs="Arial"/>
          <w:iCs/>
          <w:noProof/>
        </w:rPr>
        <w:t>PLoS One</w:t>
      </w:r>
      <w:r w:rsidRPr="005A5A82">
        <w:rPr>
          <w:rFonts w:ascii="Arial" w:hAnsi="Arial" w:cs="Arial"/>
          <w:noProof/>
        </w:rPr>
        <w:t>. 2015;10(5):1-11</w:t>
      </w:r>
    </w:p>
    <w:p w14:paraId="3F4C0BC6" w14:textId="40750290"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48. </w:t>
      </w:r>
      <w:r w:rsidRPr="005A5A82">
        <w:rPr>
          <w:rFonts w:ascii="Arial" w:hAnsi="Arial" w:cs="Arial"/>
          <w:noProof/>
        </w:rPr>
        <w:tab/>
        <w:t xml:space="preserve">Gomes NM de F, Bastos MC da M, Marins RM, et al. Differences between Risk Factors Associated with Tuberculosis Treatment Abandonment and Mortality. </w:t>
      </w:r>
      <w:r w:rsidRPr="005A5A82">
        <w:rPr>
          <w:rFonts w:ascii="Arial" w:hAnsi="Arial" w:cs="Arial"/>
          <w:iCs/>
          <w:noProof/>
        </w:rPr>
        <w:t>Pulm Med</w:t>
      </w:r>
      <w:r w:rsidRPr="005A5A82">
        <w:rPr>
          <w:rFonts w:ascii="Arial" w:hAnsi="Arial" w:cs="Arial"/>
          <w:noProof/>
        </w:rPr>
        <w:t>. 2015;2015:1-8</w:t>
      </w:r>
    </w:p>
    <w:p w14:paraId="636C8537" w14:textId="6EBB403E"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49. </w:t>
      </w:r>
      <w:r w:rsidRPr="005A5A82">
        <w:rPr>
          <w:rFonts w:ascii="Arial" w:hAnsi="Arial" w:cs="Arial"/>
          <w:noProof/>
        </w:rPr>
        <w:tab/>
        <w:t xml:space="preserve">Oshi DC, Oshi SN, Alobu I, Ukwaja KN. Profile, Outcomes, and Determinants of Unsuccessful Tuberculosis Treatment Outcomes among HIV-Infected Tuberculosis Patients in a Nigerian State. </w:t>
      </w:r>
      <w:r w:rsidRPr="005A5A82">
        <w:rPr>
          <w:rFonts w:ascii="Arial" w:hAnsi="Arial" w:cs="Arial"/>
          <w:iCs/>
          <w:noProof/>
        </w:rPr>
        <w:t>Tuberc Res Treat</w:t>
      </w:r>
      <w:r w:rsidRPr="005A5A82">
        <w:rPr>
          <w:rFonts w:ascii="Arial" w:hAnsi="Arial" w:cs="Arial"/>
          <w:noProof/>
        </w:rPr>
        <w:t>. 2014;2014:202983</w:t>
      </w:r>
    </w:p>
    <w:p w14:paraId="553F8A76" w14:textId="72913E1F" w:rsidR="00CB62E5" w:rsidRPr="005A5A82" w:rsidRDefault="00CB62E5" w:rsidP="005A5A82">
      <w:pPr>
        <w:widowControl w:val="0"/>
        <w:autoSpaceDE w:val="0"/>
        <w:autoSpaceDN w:val="0"/>
        <w:adjustRightInd w:val="0"/>
        <w:spacing w:line="360" w:lineRule="auto"/>
        <w:ind w:left="640" w:hanging="640"/>
        <w:rPr>
          <w:rFonts w:ascii="Arial" w:hAnsi="Arial" w:cs="Arial"/>
          <w:noProof/>
        </w:rPr>
      </w:pPr>
      <w:r w:rsidRPr="005A5A82">
        <w:rPr>
          <w:rFonts w:ascii="Arial" w:hAnsi="Arial" w:cs="Arial"/>
          <w:noProof/>
        </w:rPr>
        <w:t xml:space="preserve">50. </w:t>
      </w:r>
      <w:r w:rsidRPr="005A5A82">
        <w:rPr>
          <w:rFonts w:ascii="Arial" w:hAnsi="Arial" w:cs="Arial"/>
          <w:noProof/>
        </w:rPr>
        <w:tab/>
        <w:t xml:space="preserve">Sotgiu G, Alffenaar J-WC, Centis R, et al. Therapeutic drug monitoring: how to improve drug dosage and patient safety in tuberculosis treatment. </w:t>
      </w:r>
      <w:r w:rsidRPr="005A5A82">
        <w:rPr>
          <w:rFonts w:ascii="Arial" w:hAnsi="Arial" w:cs="Arial"/>
          <w:iCs/>
          <w:noProof/>
        </w:rPr>
        <w:t>Int J Infect Dis</w:t>
      </w:r>
      <w:r w:rsidRPr="005A5A82">
        <w:rPr>
          <w:rFonts w:ascii="Arial" w:hAnsi="Arial" w:cs="Arial"/>
          <w:noProof/>
        </w:rPr>
        <w:t>. 2015;32:101-104</w:t>
      </w:r>
    </w:p>
    <w:p w14:paraId="19AFB549" w14:textId="77777777" w:rsidR="00751E80" w:rsidRDefault="00CB62E5" w:rsidP="00751E80">
      <w:pPr>
        <w:rPr>
          <w:rFonts w:ascii="Arial" w:hAnsi="Arial" w:cs="Arial"/>
          <w:b/>
        </w:rPr>
      </w:pPr>
      <w:r w:rsidRPr="005A5A82">
        <w:rPr>
          <w:rFonts w:ascii="Arial" w:hAnsi="Arial" w:cs="Arial"/>
        </w:rPr>
        <w:fldChar w:fldCharType="end"/>
      </w:r>
      <w:bookmarkEnd w:id="1"/>
      <w:bookmarkEnd w:id="2"/>
      <w:r w:rsidR="00751E80" w:rsidRPr="00751E80">
        <w:rPr>
          <w:rFonts w:ascii="Arial" w:hAnsi="Arial" w:cs="Arial"/>
          <w:b/>
        </w:rPr>
        <w:t xml:space="preserve"> </w:t>
      </w:r>
    </w:p>
    <w:p w14:paraId="664BDCE1" w14:textId="77777777" w:rsidR="00751E80" w:rsidRDefault="00751E80">
      <w:pPr>
        <w:spacing w:after="160" w:line="259" w:lineRule="auto"/>
        <w:rPr>
          <w:rFonts w:ascii="Arial" w:hAnsi="Arial" w:cs="Arial"/>
          <w:b/>
        </w:rPr>
      </w:pPr>
      <w:r>
        <w:rPr>
          <w:rFonts w:ascii="Arial" w:hAnsi="Arial" w:cs="Arial"/>
          <w:b/>
        </w:rPr>
        <w:lastRenderedPageBreak/>
        <w:br w:type="page"/>
      </w:r>
    </w:p>
    <w:p w14:paraId="153354BF" w14:textId="04CA7735" w:rsidR="00751E80" w:rsidRPr="007D09D3" w:rsidRDefault="00751E80" w:rsidP="00751E80">
      <w:pPr>
        <w:rPr>
          <w:rFonts w:ascii="Arial" w:hAnsi="Arial" w:cs="Arial"/>
          <w:b/>
        </w:rPr>
      </w:pPr>
      <w:r>
        <w:rPr>
          <w:rFonts w:ascii="Arial" w:hAnsi="Arial" w:cs="Arial"/>
          <w:b/>
        </w:rPr>
        <w:lastRenderedPageBreak/>
        <w:t>Supplement</w:t>
      </w:r>
      <w:r w:rsidRPr="007D09D3">
        <w:rPr>
          <w:rFonts w:ascii="Arial" w:hAnsi="Arial" w:cs="Arial"/>
          <w:b/>
        </w:rPr>
        <w:t xml:space="preserve"> A:  </w:t>
      </w:r>
      <w:r w:rsidRPr="007D09D3">
        <w:rPr>
          <w:rFonts w:ascii="Arial" w:hAnsi="Arial" w:cs="Arial"/>
          <w:b/>
          <w:color w:val="333333"/>
        </w:rPr>
        <w:t>National Strategic Plan on Tuberculosis (MTP-I and MTP-II)</w:t>
      </w:r>
    </w:p>
    <w:p w14:paraId="6D46D0CA" w14:textId="77777777" w:rsidR="00751E80" w:rsidRPr="007D09D3" w:rsidRDefault="00751E80" w:rsidP="00751E80">
      <w:pPr>
        <w:pStyle w:val="NoSpacing"/>
        <w:rPr>
          <w:rFonts w:ascii="Arial" w:hAnsi="Arial" w:cs="Arial"/>
          <w:b/>
          <w:i/>
        </w:rPr>
      </w:pPr>
    </w:p>
    <w:tbl>
      <w:tblPr>
        <w:tblStyle w:val="TableGrid"/>
        <w:tblW w:w="10440" w:type="dxa"/>
        <w:tblInd w:w="-252" w:type="dxa"/>
        <w:tblLayout w:type="fixed"/>
        <w:tblLook w:val="04A0" w:firstRow="1" w:lastRow="0" w:firstColumn="1" w:lastColumn="0" w:noHBand="0" w:noVBand="1"/>
      </w:tblPr>
      <w:tblGrid>
        <w:gridCol w:w="1980"/>
        <w:gridCol w:w="4410"/>
        <w:gridCol w:w="4050"/>
      </w:tblGrid>
      <w:tr w:rsidR="00751E80" w:rsidRPr="007D09D3" w14:paraId="2F1EE921" w14:textId="77777777" w:rsidTr="00A46E4A">
        <w:tc>
          <w:tcPr>
            <w:tcW w:w="1980" w:type="dxa"/>
            <w:tcBorders>
              <w:top w:val="single" w:sz="18" w:space="0" w:color="auto"/>
              <w:left w:val="nil"/>
              <w:bottom w:val="single" w:sz="18" w:space="0" w:color="auto"/>
              <w:right w:val="single" w:sz="8" w:space="0" w:color="auto"/>
            </w:tcBorders>
          </w:tcPr>
          <w:p w14:paraId="50C4D86F" w14:textId="77777777" w:rsidR="00751E80" w:rsidRPr="007D09D3" w:rsidRDefault="00751E80" w:rsidP="00A46E4A">
            <w:pPr>
              <w:rPr>
                <w:rFonts w:ascii="Arial" w:hAnsi="Arial" w:cs="Arial"/>
                <w:sz w:val="20"/>
                <w:szCs w:val="20"/>
              </w:rPr>
            </w:pPr>
          </w:p>
        </w:tc>
        <w:tc>
          <w:tcPr>
            <w:tcW w:w="4410" w:type="dxa"/>
            <w:tcBorders>
              <w:top w:val="single" w:sz="18" w:space="0" w:color="auto"/>
              <w:left w:val="single" w:sz="8" w:space="0" w:color="auto"/>
              <w:bottom w:val="single" w:sz="18" w:space="0" w:color="auto"/>
              <w:right w:val="single" w:sz="8" w:space="0" w:color="auto"/>
            </w:tcBorders>
          </w:tcPr>
          <w:p w14:paraId="2AAFE854" w14:textId="77777777" w:rsidR="00751E80" w:rsidRPr="007D09D3" w:rsidRDefault="00751E80" w:rsidP="00A46E4A">
            <w:pPr>
              <w:shd w:val="clear" w:color="auto" w:fill="FFFFFF" w:themeFill="background1"/>
              <w:rPr>
                <w:rFonts w:ascii="Arial" w:hAnsi="Arial" w:cs="Arial"/>
                <w:b/>
                <w:sz w:val="20"/>
                <w:szCs w:val="20"/>
              </w:rPr>
            </w:pPr>
            <w:r w:rsidRPr="007D09D3">
              <w:rPr>
                <w:rFonts w:ascii="Arial" w:hAnsi="Arial" w:cs="Arial"/>
                <w:b/>
                <w:sz w:val="20"/>
                <w:szCs w:val="20"/>
              </w:rPr>
              <w:t xml:space="preserve">MTP-I: First Medium Term </w:t>
            </w:r>
            <w:proofErr w:type="gramStart"/>
            <w:r w:rsidRPr="007D09D3">
              <w:rPr>
                <w:rFonts w:ascii="Arial" w:hAnsi="Arial" w:cs="Arial"/>
                <w:b/>
                <w:sz w:val="20"/>
                <w:szCs w:val="20"/>
              </w:rPr>
              <w:t>strategic</w:t>
            </w:r>
            <w:proofErr w:type="gramEnd"/>
            <w:r w:rsidRPr="007D09D3">
              <w:rPr>
                <w:rFonts w:ascii="Arial" w:hAnsi="Arial" w:cs="Arial"/>
                <w:b/>
                <w:sz w:val="20"/>
                <w:szCs w:val="20"/>
              </w:rPr>
              <w:t xml:space="preserve"> Plan for TB</w:t>
            </w:r>
          </w:p>
        </w:tc>
        <w:tc>
          <w:tcPr>
            <w:tcW w:w="4050" w:type="dxa"/>
            <w:tcBorders>
              <w:top w:val="single" w:sz="18" w:space="0" w:color="auto"/>
              <w:left w:val="single" w:sz="8" w:space="0" w:color="auto"/>
              <w:bottom w:val="single" w:sz="18" w:space="0" w:color="auto"/>
              <w:right w:val="nil"/>
            </w:tcBorders>
          </w:tcPr>
          <w:p w14:paraId="3970955D" w14:textId="77777777" w:rsidR="00751E80" w:rsidRPr="007D09D3" w:rsidRDefault="00751E80" w:rsidP="00A46E4A">
            <w:pPr>
              <w:rPr>
                <w:rFonts w:ascii="Arial" w:hAnsi="Arial" w:cs="Arial"/>
                <w:sz w:val="20"/>
                <w:szCs w:val="20"/>
              </w:rPr>
            </w:pPr>
            <w:r w:rsidRPr="007D09D3">
              <w:rPr>
                <w:rFonts w:ascii="Arial" w:hAnsi="Arial" w:cs="Arial"/>
                <w:b/>
                <w:sz w:val="20"/>
                <w:szCs w:val="20"/>
              </w:rPr>
              <w:t xml:space="preserve">MTP-II: Second Medium Term </w:t>
            </w:r>
            <w:proofErr w:type="gramStart"/>
            <w:r w:rsidRPr="007D09D3">
              <w:rPr>
                <w:rFonts w:ascii="Arial" w:hAnsi="Arial" w:cs="Arial"/>
                <w:b/>
                <w:sz w:val="20"/>
                <w:szCs w:val="20"/>
              </w:rPr>
              <w:t>strategic</w:t>
            </w:r>
            <w:proofErr w:type="gramEnd"/>
            <w:r w:rsidRPr="007D09D3">
              <w:rPr>
                <w:rFonts w:ascii="Arial" w:hAnsi="Arial" w:cs="Arial"/>
                <w:b/>
                <w:sz w:val="20"/>
                <w:szCs w:val="20"/>
              </w:rPr>
              <w:t xml:space="preserve"> Plan for TB</w:t>
            </w:r>
          </w:p>
        </w:tc>
      </w:tr>
      <w:tr w:rsidR="00751E80" w:rsidRPr="007D09D3" w14:paraId="6B39EB4A" w14:textId="77777777" w:rsidTr="00A46E4A">
        <w:tc>
          <w:tcPr>
            <w:tcW w:w="1980" w:type="dxa"/>
            <w:tcBorders>
              <w:top w:val="single" w:sz="18" w:space="0" w:color="auto"/>
              <w:left w:val="nil"/>
            </w:tcBorders>
          </w:tcPr>
          <w:p w14:paraId="4FE25062" w14:textId="77777777" w:rsidR="00751E80" w:rsidRPr="007D09D3" w:rsidRDefault="00751E80" w:rsidP="00A46E4A">
            <w:pPr>
              <w:rPr>
                <w:rFonts w:ascii="Arial" w:hAnsi="Arial" w:cs="Arial"/>
                <w:b/>
                <w:sz w:val="20"/>
                <w:szCs w:val="20"/>
              </w:rPr>
            </w:pPr>
            <w:r w:rsidRPr="007D09D3">
              <w:rPr>
                <w:rFonts w:ascii="Arial" w:hAnsi="Arial" w:cs="Arial"/>
                <w:b/>
                <w:sz w:val="20"/>
                <w:szCs w:val="20"/>
              </w:rPr>
              <w:t>Strategic result 1</w:t>
            </w:r>
          </w:p>
        </w:tc>
        <w:tc>
          <w:tcPr>
            <w:tcW w:w="4410" w:type="dxa"/>
            <w:tcBorders>
              <w:top w:val="single" w:sz="18" w:space="0" w:color="auto"/>
              <w:right w:val="single" w:sz="4" w:space="0" w:color="auto"/>
            </w:tcBorders>
          </w:tcPr>
          <w:p w14:paraId="38329EB0" w14:textId="77777777" w:rsidR="00751E80" w:rsidRPr="007D09D3" w:rsidRDefault="00751E80" w:rsidP="00A46E4A">
            <w:pPr>
              <w:rPr>
                <w:rFonts w:ascii="Arial" w:hAnsi="Arial" w:cs="Arial"/>
                <w:sz w:val="20"/>
                <w:szCs w:val="20"/>
              </w:rPr>
            </w:pPr>
            <w:r w:rsidRPr="007D09D3">
              <w:rPr>
                <w:rFonts w:ascii="Arial" w:hAnsi="Arial" w:cs="Arial"/>
                <w:sz w:val="20"/>
                <w:szCs w:val="20"/>
              </w:rPr>
              <w:t>Treatment success (cure + completion) rate increased from 65% to 85% for all patient categories by 2009</w:t>
            </w:r>
          </w:p>
          <w:p w14:paraId="08FE8CAC" w14:textId="77777777" w:rsidR="00751E80" w:rsidRPr="007D09D3" w:rsidRDefault="00751E80" w:rsidP="00751E80">
            <w:pPr>
              <w:pStyle w:val="ListParagraph"/>
              <w:numPr>
                <w:ilvl w:val="0"/>
                <w:numId w:val="4"/>
              </w:numPr>
              <w:spacing w:after="0" w:line="240" w:lineRule="auto"/>
              <w:rPr>
                <w:rFonts w:ascii="Arial" w:hAnsi="Arial" w:cs="Arial"/>
                <w:sz w:val="20"/>
                <w:szCs w:val="20"/>
              </w:rPr>
            </w:pPr>
            <w:r w:rsidRPr="007D09D3">
              <w:rPr>
                <w:rFonts w:ascii="Arial" w:hAnsi="Arial" w:cs="Arial"/>
                <w:sz w:val="20"/>
                <w:szCs w:val="20"/>
              </w:rPr>
              <w:t xml:space="preserve">NTCP started rolling out CB-DOT in 2005 </w:t>
            </w:r>
          </w:p>
          <w:p w14:paraId="286767F2" w14:textId="77777777" w:rsidR="00751E80" w:rsidRPr="007D09D3" w:rsidRDefault="00751E80" w:rsidP="00751E80">
            <w:pPr>
              <w:pStyle w:val="ListParagraph"/>
              <w:numPr>
                <w:ilvl w:val="0"/>
                <w:numId w:val="4"/>
              </w:numPr>
              <w:spacing w:after="0" w:line="240" w:lineRule="auto"/>
              <w:rPr>
                <w:rFonts w:ascii="Arial" w:hAnsi="Arial" w:cs="Arial"/>
                <w:sz w:val="20"/>
                <w:szCs w:val="20"/>
              </w:rPr>
            </w:pPr>
            <w:r w:rsidRPr="007D09D3">
              <w:rPr>
                <w:rFonts w:ascii="Arial" w:hAnsi="Arial" w:cs="Arial"/>
                <w:sz w:val="20"/>
                <w:szCs w:val="20"/>
              </w:rPr>
              <w:t>Introduction of Fixed Dose Combinations (FDCs) for first line tuberculosis treatment</w:t>
            </w:r>
          </w:p>
        </w:tc>
        <w:tc>
          <w:tcPr>
            <w:tcW w:w="4050" w:type="dxa"/>
            <w:tcBorders>
              <w:top w:val="single" w:sz="18" w:space="0" w:color="auto"/>
              <w:left w:val="single" w:sz="4" w:space="0" w:color="auto"/>
              <w:right w:val="nil"/>
            </w:tcBorders>
          </w:tcPr>
          <w:p w14:paraId="220B7101" w14:textId="77777777" w:rsidR="00751E80" w:rsidRPr="007D09D3" w:rsidRDefault="00751E80" w:rsidP="00A46E4A">
            <w:pPr>
              <w:pStyle w:val="Default"/>
              <w:spacing w:after="59"/>
              <w:rPr>
                <w:rFonts w:ascii="Arial" w:hAnsi="Arial" w:cs="Arial"/>
                <w:sz w:val="20"/>
                <w:szCs w:val="20"/>
              </w:rPr>
            </w:pPr>
            <w:r w:rsidRPr="007D09D3">
              <w:rPr>
                <w:rFonts w:ascii="Arial" w:hAnsi="Arial" w:cs="Arial"/>
                <w:sz w:val="20"/>
                <w:szCs w:val="20"/>
              </w:rPr>
              <w:t xml:space="preserve">High quality TB DOTs and leprosy services expanded and enhanced, </w:t>
            </w:r>
          </w:p>
          <w:p w14:paraId="2BFAEEC8" w14:textId="77777777" w:rsidR="00751E80" w:rsidRPr="007D09D3" w:rsidRDefault="00751E80" w:rsidP="00751E80">
            <w:pPr>
              <w:pStyle w:val="ListParagraph"/>
              <w:numPr>
                <w:ilvl w:val="0"/>
                <w:numId w:val="6"/>
              </w:numPr>
              <w:spacing w:after="0" w:line="240" w:lineRule="auto"/>
              <w:rPr>
                <w:rFonts w:ascii="Arial" w:hAnsi="Arial" w:cs="Arial"/>
                <w:sz w:val="20"/>
                <w:szCs w:val="20"/>
              </w:rPr>
            </w:pPr>
            <w:r w:rsidRPr="007D09D3">
              <w:rPr>
                <w:rFonts w:ascii="Arial" w:hAnsi="Arial" w:cs="Arial"/>
                <w:sz w:val="20"/>
                <w:szCs w:val="20"/>
              </w:rPr>
              <w:t>Review of TB treatment guidelines from 2RHZE/4RH to 2RHZE/4RHE</w:t>
            </w:r>
          </w:p>
          <w:p w14:paraId="54A74A11" w14:textId="77777777" w:rsidR="00751E80" w:rsidRPr="007D09D3" w:rsidRDefault="00751E80" w:rsidP="00751E80">
            <w:pPr>
              <w:pStyle w:val="ListParagraph"/>
              <w:numPr>
                <w:ilvl w:val="0"/>
                <w:numId w:val="6"/>
              </w:numPr>
              <w:spacing w:after="0" w:line="240" w:lineRule="auto"/>
              <w:rPr>
                <w:rFonts w:ascii="Arial" w:hAnsi="Arial" w:cs="Arial"/>
                <w:sz w:val="20"/>
                <w:szCs w:val="20"/>
              </w:rPr>
            </w:pPr>
            <w:r w:rsidRPr="007D09D3">
              <w:rPr>
                <w:rFonts w:ascii="Arial" w:hAnsi="Arial" w:cs="Arial"/>
                <w:sz w:val="20"/>
                <w:szCs w:val="20"/>
              </w:rPr>
              <w:t xml:space="preserve">TSR of 87% achieved for all patient categories on </w:t>
            </w:r>
            <w:proofErr w:type="spellStart"/>
            <w:r w:rsidRPr="007D09D3">
              <w:rPr>
                <w:rFonts w:ascii="Arial" w:hAnsi="Arial" w:cs="Arial"/>
                <w:sz w:val="20"/>
                <w:szCs w:val="20"/>
              </w:rPr>
              <w:t>firstline</w:t>
            </w:r>
            <w:proofErr w:type="spellEnd"/>
            <w:r w:rsidRPr="007D09D3">
              <w:rPr>
                <w:rFonts w:ascii="Arial" w:hAnsi="Arial" w:cs="Arial"/>
                <w:sz w:val="20"/>
                <w:szCs w:val="20"/>
              </w:rPr>
              <w:t xml:space="preserve"> treatment</w:t>
            </w:r>
          </w:p>
          <w:p w14:paraId="30D15F18" w14:textId="77777777" w:rsidR="00751E80" w:rsidRPr="007D09D3" w:rsidRDefault="00751E80" w:rsidP="00751E80">
            <w:pPr>
              <w:pStyle w:val="ListParagraph"/>
              <w:numPr>
                <w:ilvl w:val="0"/>
                <w:numId w:val="6"/>
              </w:numPr>
              <w:spacing w:after="0" w:line="240" w:lineRule="auto"/>
              <w:rPr>
                <w:rFonts w:ascii="Arial" w:hAnsi="Arial" w:cs="Arial"/>
                <w:sz w:val="20"/>
                <w:szCs w:val="20"/>
              </w:rPr>
            </w:pPr>
            <w:r w:rsidRPr="007D09D3">
              <w:rPr>
                <w:rFonts w:ascii="Arial" w:hAnsi="Arial" w:cs="Arial"/>
                <w:sz w:val="20"/>
                <w:szCs w:val="20"/>
              </w:rPr>
              <w:t>Uninterrupted supply of TB medicines</w:t>
            </w:r>
          </w:p>
        </w:tc>
      </w:tr>
      <w:tr w:rsidR="00751E80" w:rsidRPr="007D09D3" w14:paraId="400579C8" w14:textId="77777777" w:rsidTr="00A46E4A">
        <w:tc>
          <w:tcPr>
            <w:tcW w:w="1980" w:type="dxa"/>
            <w:tcBorders>
              <w:left w:val="nil"/>
            </w:tcBorders>
          </w:tcPr>
          <w:p w14:paraId="28047257" w14:textId="77777777" w:rsidR="00751E80" w:rsidRPr="007D09D3" w:rsidRDefault="00751E80" w:rsidP="00A46E4A">
            <w:pPr>
              <w:rPr>
                <w:rFonts w:ascii="Arial" w:hAnsi="Arial" w:cs="Arial"/>
                <w:b/>
                <w:sz w:val="20"/>
                <w:szCs w:val="20"/>
              </w:rPr>
            </w:pPr>
            <w:r w:rsidRPr="007D09D3">
              <w:rPr>
                <w:rFonts w:ascii="Arial" w:hAnsi="Arial" w:cs="Arial"/>
                <w:b/>
                <w:sz w:val="20"/>
                <w:szCs w:val="20"/>
              </w:rPr>
              <w:t>Strategic result 2</w:t>
            </w:r>
          </w:p>
        </w:tc>
        <w:tc>
          <w:tcPr>
            <w:tcW w:w="4410" w:type="dxa"/>
            <w:tcBorders>
              <w:right w:val="single" w:sz="4" w:space="0" w:color="auto"/>
            </w:tcBorders>
          </w:tcPr>
          <w:p w14:paraId="4DA34234" w14:textId="77777777" w:rsidR="00751E80" w:rsidRPr="007D09D3" w:rsidRDefault="00751E80" w:rsidP="00A46E4A">
            <w:pPr>
              <w:rPr>
                <w:rFonts w:ascii="Arial" w:hAnsi="Arial" w:cs="Arial"/>
                <w:sz w:val="20"/>
                <w:szCs w:val="20"/>
              </w:rPr>
            </w:pPr>
            <w:r w:rsidRPr="007D09D3">
              <w:rPr>
                <w:rFonts w:ascii="Arial" w:hAnsi="Arial" w:cs="Arial"/>
                <w:sz w:val="20"/>
                <w:szCs w:val="20"/>
              </w:rPr>
              <w:t>All tuberculosis suspects and patients have access to timely and quality-assured TB laboratory services</w:t>
            </w:r>
          </w:p>
        </w:tc>
        <w:tc>
          <w:tcPr>
            <w:tcW w:w="4050" w:type="dxa"/>
            <w:tcBorders>
              <w:left w:val="single" w:sz="4" w:space="0" w:color="auto"/>
              <w:right w:val="nil"/>
            </w:tcBorders>
          </w:tcPr>
          <w:p w14:paraId="0B2FB37D" w14:textId="77777777" w:rsidR="00751E80" w:rsidRPr="007D09D3" w:rsidRDefault="00751E80" w:rsidP="00A46E4A">
            <w:pPr>
              <w:pStyle w:val="Default"/>
              <w:spacing w:after="59"/>
              <w:rPr>
                <w:rFonts w:ascii="Arial" w:hAnsi="Arial" w:cs="Arial"/>
                <w:sz w:val="20"/>
                <w:szCs w:val="20"/>
              </w:rPr>
            </w:pPr>
            <w:r w:rsidRPr="007D09D3">
              <w:rPr>
                <w:rFonts w:ascii="Arial" w:hAnsi="Arial" w:cs="Arial"/>
                <w:sz w:val="20"/>
                <w:szCs w:val="20"/>
              </w:rPr>
              <w:t xml:space="preserve">2. Increased access to high quality TB/HIV treatment and care intervention, </w:t>
            </w:r>
          </w:p>
        </w:tc>
      </w:tr>
      <w:tr w:rsidR="00751E80" w:rsidRPr="007D09D3" w14:paraId="1D0C634B" w14:textId="77777777" w:rsidTr="00A46E4A">
        <w:tc>
          <w:tcPr>
            <w:tcW w:w="1980" w:type="dxa"/>
            <w:tcBorders>
              <w:left w:val="nil"/>
            </w:tcBorders>
          </w:tcPr>
          <w:p w14:paraId="2D1DD06A" w14:textId="77777777" w:rsidR="00751E80" w:rsidRPr="007D09D3" w:rsidRDefault="00751E80" w:rsidP="00A46E4A">
            <w:pPr>
              <w:rPr>
                <w:rFonts w:ascii="Arial" w:hAnsi="Arial" w:cs="Arial"/>
                <w:b/>
                <w:sz w:val="20"/>
                <w:szCs w:val="20"/>
              </w:rPr>
            </w:pPr>
            <w:r w:rsidRPr="007D09D3">
              <w:rPr>
                <w:rFonts w:ascii="Arial" w:hAnsi="Arial" w:cs="Arial"/>
                <w:b/>
                <w:sz w:val="20"/>
                <w:szCs w:val="20"/>
              </w:rPr>
              <w:t>Strategic result 3</w:t>
            </w:r>
          </w:p>
        </w:tc>
        <w:tc>
          <w:tcPr>
            <w:tcW w:w="4410" w:type="dxa"/>
            <w:tcBorders>
              <w:right w:val="single" w:sz="4" w:space="0" w:color="auto"/>
            </w:tcBorders>
          </w:tcPr>
          <w:p w14:paraId="6BD1356B" w14:textId="77777777" w:rsidR="00751E80" w:rsidRPr="007D09D3" w:rsidRDefault="00751E80" w:rsidP="00A46E4A">
            <w:pPr>
              <w:rPr>
                <w:rFonts w:ascii="Arial" w:hAnsi="Arial" w:cs="Arial"/>
                <w:sz w:val="20"/>
                <w:szCs w:val="20"/>
              </w:rPr>
            </w:pPr>
            <w:r w:rsidRPr="007D09D3">
              <w:rPr>
                <w:rFonts w:ascii="Arial" w:hAnsi="Arial" w:cs="Arial"/>
                <w:sz w:val="20"/>
                <w:szCs w:val="20"/>
              </w:rPr>
              <w:t>Adequate and competent human resources for TB control at all levels</w:t>
            </w:r>
          </w:p>
        </w:tc>
        <w:tc>
          <w:tcPr>
            <w:tcW w:w="4050" w:type="dxa"/>
            <w:tcBorders>
              <w:left w:val="single" w:sz="4" w:space="0" w:color="auto"/>
              <w:right w:val="nil"/>
            </w:tcBorders>
          </w:tcPr>
          <w:p w14:paraId="53FB2B94" w14:textId="77777777" w:rsidR="00751E80" w:rsidRPr="007D09D3" w:rsidRDefault="00751E80" w:rsidP="00A46E4A">
            <w:pPr>
              <w:pStyle w:val="Default"/>
              <w:spacing w:after="59"/>
              <w:rPr>
                <w:rFonts w:ascii="Arial" w:hAnsi="Arial" w:cs="Arial"/>
                <w:sz w:val="20"/>
                <w:szCs w:val="20"/>
              </w:rPr>
            </w:pPr>
            <w:r w:rsidRPr="007D09D3">
              <w:rPr>
                <w:rFonts w:ascii="Arial" w:hAnsi="Arial" w:cs="Arial"/>
                <w:sz w:val="20"/>
                <w:szCs w:val="20"/>
              </w:rPr>
              <w:t xml:space="preserve">3. Programmatic management of drug-resistant TB improved and scaled up, </w:t>
            </w:r>
          </w:p>
          <w:p w14:paraId="65C3A135" w14:textId="77777777" w:rsidR="00751E80" w:rsidRPr="007D09D3" w:rsidRDefault="00751E80" w:rsidP="00751E80">
            <w:pPr>
              <w:pStyle w:val="Default"/>
              <w:numPr>
                <w:ilvl w:val="0"/>
                <w:numId w:val="5"/>
              </w:numPr>
              <w:spacing w:after="59"/>
              <w:rPr>
                <w:rFonts w:ascii="Arial" w:hAnsi="Arial" w:cs="Arial"/>
                <w:sz w:val="20"/>
                <w:szCs w:val="20"/>
              </w:rPr>
            </w:pPr>
            <w:r w:rsidRPr="007D09D3">
              <w:rPr>
                <w:rFonts w:ascii="Arial" w:hAnsi="Arial" w:cs="Arial"/>
                <w:sz w:val="20"/>
                <w:szCs w:val="20"/>
              </w:rPr>
              <w:t>DOT system for DR-TB patients</w:t>
            </w:r>
          </w:p>
        </w:tc>
      </w:tr>
      <w:tr w:rsidR="00751E80" w:rsidRPr="007D09D3" w14:paraId="7D6E353C" w14:textId="77777777" w:rsidTr="00A46E4A">
        <w:tc>
          <w:tcPr>
            <w:tcW w:w="1980" w:type="dxa"/>
            <w:tcBorders>
              <w:left w:val="nil"/>
            </w:tcBorders>
          </w:tcPr>
          <w:p w14:paraId="7F4A0371" w14:textId="77777777" w:rsidR="00751E80" w:rsidRPr="007D09D3" w:rsidRDefault="00751E80" w:rsidP="00A46E4A">
            <w:pPr>
              <w:rPr>
                <w:rFonts w:ascii="Arial" w:hAnsi="Arial" w:cs="Arial"/>
                <w:b/>
                <w:sz w:val="20"/>
                <w:szCs w:val="20"/>
              </w:rPr>
            </w:pPr>
            <w:r w:rsidRPr="007D09D3">
              <w:rPr>
                <w:rFonts w:ascii="Arial" w:hAnsi="Arial" w:cs="Arial"/>
                <w:b/>
                <w:sz w:val="20"/>
                <w:szCs w:val="20"/>
              </w:rPr>
              <w:t>Strategic result 4</w:t>
            </w:r>
          </w:p>
        </w:tc>
        <w:tc>
          <w:tcPr>
            <w:tcW w:w="4410" w:type="dxa"/>
            <w:tcBorders>
              <w:right w:val="single" w:sz="4" w:space="0" w:color="auto"/>
            </w:tcBorders>
          </w:tcPr>
          <w:p w14:paraId="55730607" w14:textId="77777777" w:rsidR="00751E80" w:rsidRPr="007D09D3" w:rsidRDefault="00751E80" w:rsidP="00A46E4A">
            <w:pPr>
              <w:rPr>
                <w:rFonts w:ascii="Arial" w:hAnsi="Arial" w:cs="Arial"/>
                <w:sz w:val="20"/>
                <w:szCs w:val="20"/>
              </w:rPr>
            </w:pPr>
            <w:r w:rsidRPr="007D09D3">
              <w:rPr>
                <w:rFonts w:ascii="Arial" w:hAnsi="Arial" w:cs="Arial"/>
                <w:sz w:val="20"/>
                <w:szCs w:val="20"/>
              </w:rPr>
              <w:t>Management capacity of National Tuberculosis control program (NTCP) strengthened and adequate at all levels</w:t>
            </w:r>
          </w:p>
        </w:tc>
        <w:tc>
          <w:tcPr>
            <w:tcW w:w="4050" w:type="dxa"/>
            <w:tcBorders>
              <w:left w:val="single" w:sz="4" w:space="0" w:color="auto"/>
              <w:right w:val="nil"/>
            </w:tcBorders>
          </w:tcPr>
          <w:p w14:paraId="38BB1DAD" w14:textId="77777777" w:rsidR="00751E80" w:rsidRPr="007D09D3" w:rsidRDefault="00751E80" w:rsidP="00A46E4A">
            <w:pPr>
              <w:pStyle w:val="Default"/>
              <w:spacing w:after="59"/>
              <w:rPr>
                <w:rFonts w:ascii="Arial" w:hAnsi="Arial" w:cs="Arial"/>
                <w:sz w:val="20"/>
                <w:szCs w:val="20"/>
              </w:rPr>
            </w:pPr>
            <w:r w:rsidRPr="007D09D3">
              <w:rPr>
                <w:rFonts w:ascii="Arial" w:hAnsi="Arial" w:cs="Arial"/>
                <w:sz w:val="20"/>
                <w:szCs w:val="20"/>
              </w:rPr>
              <w:t xml:space="preserve">4. General health systems strengthened and effectively supporting TB and leprosy services, </w:t>
            </w:r>
          </w:p>
        </w:tc>
      </w:tr>
      <w:tr w:rsidR="00751E80" w:rsidRPr="007D09D3" w14:paraId="01F09E06" w14:textId="77777777" w:rsidTr="00A46E4A">
        <w:tc>
          <w:tcPr>
            <w:tcW w:w="1980" w:type="dxa"/>
            <w:tcBorders>
              <w:left w:val="nil"/>
            </w:tcBorders>
          </w:tcPr>
          <w:p w14:paraId="07FD3244" w14:textId="77777777" w:rsidR="00751E80" w:rsidRPr="007D09D3" w:rsidRDefault="00751E80" w:rsidP="00A46E4A">
            <w:pPr>
              <w:rPr>
                <w:rFonts w:ascii="Arial" w:hAnsi="Arial" w:cs="Arial"/>
                <w:b/>
                <w:sz w:val="20"/>
                <w:szCs w:val="20"/>
              </w:rPr>
            </w:pPr>
            <w:r w:rsidRPr="007D09D3">
              <w:rPr>
                <w:rFonts w:ascii="Arial" w:hAnsi="Arial" w:cs="Arial"/>
                <w:b/>
                <w:sz w:val="20"/>
                <w:szCs w:val="20"/>
              </w:rPr>
              <w:t>Strategic result 5</w:t>
            </w:r>
          </w:p>
        </w:tc>
        <w:tc>
          <w:tcPr>
            <w:tcW w:w="4410" w:type="dxa"/>
            <w:tcBorders>
              <w:right w:val="single" w:sz="4" w:space="0" w:color="auto"/>
            </w:tcBorders>
          </w:tcPr>
          <w:p w14:paraId="177E0ABC" w14:textId="77777777" w:rsidR="00751E80" w:rsidRPr="007D09D3" w:rsidRDefault="00751E80" w:rsidP="00A46E4A">
            <w:pPr>
              <w:rPr>
                <w:rFonts w:ascii="Arial" w:hAnsi="Arial" w:cs="Arial"/>
                <w:sz w:val="20"/>
                <w:szCs w:val="20"/>
              </w:rPr>
            </w:pPr>
            <w:r w:rsidRPr="007D09D3">
              <w:rPr>
                <w:rFonts w:ascii="Arial" w:hAnsi="Arial" w:cs="Arial"/>
                <w:sz w:val="20"/>
                <w:szCs w:val="20"/>
              </w:rPr>
              <w:t>Operational research and epidemiological surveillance capacity in place and supporting management and M&amp;E</w:t>
            </w:r>
          </w:p>
        </w:tc>
        <w:tc>
          <w:tcPr>
            <w:tcW w:w="4050" w:type="dxa"/>
            <w:tcBorders>
              <w:left w:val="single" w:sz="4" w:space="0" w:color="auto"/>
              <w:right w:val="nil"/>
            </w:tcBorders>
          </w:tcPr>
          <w:p w14:paraId="596E9255" w14:textId="77777777" w:rsidR="00751E80" w:rsidRPr="007D09D3" w:rsidRDefault="00751E80" w:rsidP="00A46E4A">
            <w:pPr>
              <w:pStyle w:val="Default"/>
              <w:spacing w:after="59"/>
              <w:rPr>
                <w:rFonts w:ascii="Arial" w:hAnsi="Arial" w:cs="Arial"/>
                <w:sz w:val="20"/>
                <w:szCs w:val="20"/>
              </w:rPr>
            </w:pPr>
            <w:r w:rsidRPr="007D09D3">
              <w:rPr>
                <w:rFonts w:ascii="Arial" w:hAnsi="Arial" w:cs="Arial"/>
                <w:sz w:val="20"/>
                <w:szCs w:val="20"/>
              </w:rPr>
              <w:t xml:space="preserve">5. Partnership for TB control and leprosy eradicated strengthened, and </w:t>
            </w:r>
          </w:p>
        </w:tc>
      </w:tr>
      <w:tr w:rsidR="00751E80" w:rsidRPr="007D09D3" w14:paraId="4E455FF3" w14:textId="77777777" w:rsidTr="00A46E4A">
        <w:tc>
          <w:tcPr>
            <w:tcW w:w="1980" w:type="dxa"/>
            <w:tcBorders>
              <w:left w:val="nil"/>
              <w:bottom w:val="single" w:sz="4" w:space="0" w:color="auto"/>
            </w:tcBorders>
          </w:tcPr>
          <w:p w14:paraId="06EB092D" w14:textId="77777777" w:rsidR="00751E80" w:rsidRPr="007D09D3" w:rsidRDefault="00751E80" w:rsidP="00A46E4A">
            <w:pPr>
              <w:rPr>
                <w:rFonts w:ascii="Arial" w:hAnsi="Arial" w:cs="Arial"/>
                <w:b/>
                <w:sz w:val="20"/>
                <w:szCs w:val="20"/>
              </w:rPr>
            </w:pPr>
            <w:r w:rsidRPr="007D09D3">
              <w:rPr>
                <w:rFonts w:ascii="Arial" w:hAnsi="Arial" w:cs="Arial"/>
                <w:b/>
                <w:sz w:val="20"/>
                <w:szCs w:val="20"/>
              </w:rPr>
              <w:t>Strategic result 6</w:t>
            </w:r>
          </w:p>
        </w:tc>
        <w:tc>
          <w:tcPr>
            <w:tcW w:w="4410" w:type="dxa"/>
            <w:tcBorders>
              <w:bottom w:val="single" w:sz="4" w:space="0" w:color="auto"/>
              <w:right w:val="single" w:sz="4" w:space="0" w:color="auto"/>
            </w:tcBorders>
          </w:tcPr>
          <w:p w14:paraId="01CBB149" w14:textId="77777777" w:rsidR="00751E80" w:rsidRPr="007D09D3" w:rsidRDefault="00751E80" w:rsidP="00A46E4A">
            <w:pPr>
              <w:rPr>
                <w:rFonts w:ascii="Arial" w:hAnsi="Arial" w:cs="Arial"/>
                <w:sz w:val="20"/>
                <w:szCs w:val="20"/>
              </w:rPr>
            </w:pPr>
            <w:r w:rsidRPr="007D09D3">
              <w:rPr>
                <w:rFonts w:ascii="Arial" w:hAnsi="Arial" w:cs="Arial"/>
                <w:sz w:val="20"/>
                <w:szCs w:val="20"/>
              </w:rPr>
              <w:t xml:space="preserve">80% of the general population have a satisfactory level of knowledge on tuberculosis disease and services for appropriate health-seeking </w:t>
            </w:r>
            <w:proofErr w:type="spellStart"/>
            <w:r w:rsidRPr="007D09D3">
              <w:rPr>
                <w:rFonts w:ascii="Arial" w:hAnsi="Arial" w:cs="Arial"/>
                <w:sz w:val="20"/>
                <w:szCs w:val="20"/>
              </w:rPr>
              <w:t>behaviour</w:t>
            </w:r>
            <w:proofErr w:type="spellEnd"/>
          </w:p>
        </w:tc>
        <w:tc>
          <w:tcPr>
            <w:tcW w:w="4050" w:type="dxa"/>
            <w:tcBorders>
              <w:left w:val="single" w:sz="4" w:space="0" w:color="auto"/>
              <w:right w:val="nil"/>
            </w:tcBorders>
          </w:tcPr>
          <w:p w14:paraId="7E5CEEE2" w14:textId="77777777" w:rsidR="00751E80" w:rsidRPr="007D09D3" w:rsidRDefault="00751E80" w:rsidP="00A46E4A">
            <w:pPr>
              <w:pStyle w:val="Default"/>
              <w:rPr>
                <w:rFonts w:ascii="Arial" w:hAnsi="Arial" w:cs="Arial"/>
                <w:sz w:val="20"/>
                <w:szCs w:val="20"/>
              </w:rPr>
            </w:pPr>
            <w:r w:rsidRPr="007D09D3">
              <w:rPr>
                <w:rFonts w:ascii="Arial" w:hAnsi="Arial" w:cs="Arial"/>
                <w:sz w:val="20"/>
                <w:szCs w:val="20"/>
              </w:rPr>
              <w:t xml:space="preserve">6. Communities and people with TB and leprosy empowered. </w:t>
            </w:r>
          </w:p>
        </w:tc>
      </w:tr>
      <w:tr w:rsidR="00751E80" w:rsidRPr="007D09D3" w14:paraId="5765F39C" w14:textId="77777777" w:rsidTr="00A46E4A">
        <w:tc>
          <w:tcPr>
            <w:tcW w:w="1980" w:type="dxa"/>
            <w:tcBorders>
              <w:left w:val="nil"/>
            </w:tcBorders>
          </w:tcPr>
          <w:p w14:paraId="567EBCED" w14:textId="77777777" w:rsidR="00751E80" w:rsidRPr="007D09D3" w:rsidRDefault="00751E80" w:rsidP="00A46E4A">
            <w:pPr>
              <w:rPr>
                <w:rFonts w:ascii="Arial" w:hAnsi="Arial" w:cs="Arial"/>
                <w:b/>
                <w:sz w:val="20"/>
                <w:szCs w:val="20"/>
              </w:rPr>
            </w:pPr>
            <w:r w:rsidRPr="007D09D3">
              <w:rPr>
                <w:rFonts w:ascii="Arial" w:hAnsi="Arial" w:cs="Arial"/>
                <w:b/>
                <w:sz w:val="20"/>
                <w:szCs w:val="20"/>
              </w:rPr>
              <w:t>Strategic result 7</w:t>
            </w:r>
          </w:p>
        </w:tc>
        <w:tc>
          <w:tcPr>
            <w:tcW w:w="4410" w:type="dxa"/>
          </w:tcPr>
          <w:p w14:paraId="5722AD28" w14:textId="77777777" w:rsidR="00751E80" w:rsidRPr="007D09D3" w:rsidRDefault="00751E80" w:rsidP="00A46E4A">
            <w:pPr>
              <w:rPr>
                <w:rFonts w:ascii="Arial" w:hAnsi="Arial" w:cs="Arial"/>
                <w:sz w:val="20"/>
                <w:szCs w:val="20"/>
              </w:rPr>
            </w:pPr>
            <w:r w:rsidRPr="007D09D3">
              <w:rPr>
                <w:rFonts w:ascii="Arial" w:hAnsi="Arial" w:cs="Arial"/>
                <w:sz w:val="20"/>
                <w:szCs w:val="20"/>
              </w:rPr>
              <w:t>All PLWHA and PLWTB have access to a continuum of care and support services for TB and HIV/AIDS, in all health care facilities and home-based care services in public and private sector by 2009</w:t>
            </w:r>
          </w:p>
        </w:tc>
        <w:tc>
          <w:tcPr>
            <w:tcW w:w="4050" w:type="dxa"/>
            <w:vMerge w:val="restart"/>
            <w:tcBorders>
              <w:right w:val="nil"/>
            </w:tcBorders>
          </w:tcPr>
          <w:p w14:paraId="6859C84C" w14:textId="77777777" w:rsidR="00751E80" w:rsidRPr="007D09D3" w:rsidRDefault="00751E80" w:rsidP="00A46E4A">
            <w:pPr>
              <w:rPr>
                <w:rFonts w:ascii="Arial" w:hAnsi="Arial" w:cs="Arial"/>
                <w:sz w:val="20"/>
                <w:szCs w:val="20"/>
              </w:rPr>
            </w:pPr>
          </w:p>
        </w:tc>
      </w:tr>
      <w:tr w:rsidR="00751E80" w:rsidRPr="007D09D3" w14:paraId="0E7AA712" w14:textId="77777777" w:rsidTr="00A46E4A">
        <w:tc>
          <w:tcPr>
            <w:tcW w:w="1980" w:type="dxa"/>
            <w:tcBorders>
              <w:left w:val="nil"/>
              <w:bottom w:val="single" w:sz="4" w:space="0" w:color="auto"/>
            </w:tcBorders>
          </w:tcPr>
          <w:p w14:paraId="7D3F8601" w14:textId="77777777" w:rsidR="00751E80" w:rsidRPr="007D09D3" w:rsidRDefault="00751E80" w:rsidP="00A46E4A">
            <w:pPr>
              <w:rPr>
                <w:rFonts w:ascii="Arial" w:hAnsi="Arial" w:cs="Arial"/>
                <w:b/>
                <w:sz w:val="20"/>
                <w:szCs w:val="20"/>
              </w:rPr>
            </w:pPr>
            <w:r w:rsidRPr="007D09D3">
              <w:rPr>
                <w:rFonts w:ascii="Arial" w:hAnsi="Arial" w:cs="Arial"/>
                <w:b/>
                <w:sz w:val="20"/>
                <w:szCs w:val="20"/>
              </w:rPr>
              <w:t>Strategic result 8</w:t>
            </w:r>
          </w:p>
        </w:tc>
        <w:tc>
          <w:tcPr>
            <w:tcW w:w="4410" w:type="dxa"/>
            <w:tcBorders>
              <w:bottom w:val="single" w:sz="4" w:space="0" w:color="auto"/>
            </w:tcBorders>
          </w:tcPr>
          <w:p w14:paraId="0904C881" w14:textId="77777777" w:rsidR="00751E80" w:rsidRPr="007D09D3" w:rsidRDefault="00751E80" w:rsidP="00A46E4A">
            <w:pPr>
              <w:rPr>
                <w:rFonts w:ascii="Arial" w:hAnsi="Arial" w:cs="Arial"/>
                <w:sz w:val="20"/>
                <w:szCs w:val="20"/>
              </w:rPr>
            </w:pPr>
            <w:r w:rsidRPr="007D09D3">
              <w:rPr>
                <w:rFonts w:ascii="Arial" w:hAnsi="Arial" w:cs="Arial"/>
                <w:sz w:val="20"/>
                <w:szCs w:val="20"/>
              </w:rPr>
              <w:t>Financial resources for TB control in public and private sector are adequate</w:t>
            </w:r>
          </w:p>
        </w:tc>
        <w:tc>
          <w:tcPr>
            <w:tcW w:w="4050" w:type="dxa"/>
            <w:vMerge/>
            <w:tcBorders>
              <w:right w:val="nil"/>
            </w:tcBorders>
          </w:tcPr>
          <w:p w14:paraId="178CC552" w14:textId="77777777" w:rsidR="00751E80" w:rsidRPr="007D09D3" w:rsidRDefault="00751E80" w:rsidP="00A46E4A">
            <w:pPr>
              <w:rPr>
                <w:rFonts w:ascii="Arial" w:hAnsi="Arial" w:cs="Arial"/>
                <w:sz w:val="20"/>
                <w:szCs w:val="20"/>
              </w:rPr>
            </w:pPr>
          </w:p>
        </w:tc>
      </w:tr>
      <w:tr w:rsidR="00751E80" w:rsidRPr="007D09D3" w14:paraId="1E16475A" w14:textId="77777777" w:rsidTr="00A46E4A">
        <w:tc>
          <w:tcPr>
            <w:tcW w:w="1980" w:type="dxa"/>
            <w:tcBorders>
              <w:left w:val="nil"/>
              <w:bottom w:val="single" w:sz="18" w:space="0" w:color="auto"/>
            </w:tcBorders>
          </w:tcPr>
          <w:p w14:paraId="12680D92" w14:textId="77777777" w:rsidR="00751E80" w:rsidRPr="007D09D3" w:rsidRDefault="00751E80" w:rsidP="00A46E4A">
            <w:pPr>
              <w:rPr>
                <w:rFonts w:ascii="Arial" w:hAnsi="Arial" w:cs="Arial"/>
                <w:b/>
                <w:sz w:val="20"/>
                <w:szCs w:val="20"/>
              </w:rPr>
            </w:pPr>
            <w:r w:rsidRPr="007D09D3">
              <w:rPr>
                <w:rFonts w:ascii="Arial" w:hAnsi="Arial" w:cs="Arial"/>
                <w:b/>
                <w:sz w:val="20"/>
                <w:szCs w:val="20"/>
              </w:rPr>
              <w:t>Strategic result 9</w:t>
            </w:r>
          </w:p>
        </w:tc>
        <w:tc>
          <w:tcPr>
            <w:tcW w:w="4410" w:type="dxa"/>
            <w:tcBorders>
              <w:bottom w:val="single" w:sz="18" w:space="0" w:color="auto"/>
            </w:tcBorders>
          </w:tcPr>
          <w:p w14:paraId="3CDD5E13" w14:textId="77777777" w:rsidR="00751E80" w:rsidRPr="007D09D3" w:rsidRDefault="00751E80" w:rsidP="00A46E4A">
            <w:pPr>
              <w:rPr>
                <w:rFonts w:ascii="Arial" w:hAnsi="Arial" w:cs="Arial"/>
                <w:sz w:val="20"/>
                <w:szCs w:val="20"/>
              </w:rPr>
            </w:pPr>
            <w:r w:rsidRPr="007D09D3">
              <w:rPr>
                <w:rFonts w:ascii="Arial" w:hAnsi="Arial" w:cs="Arial"/>
                <w:sz w:val="20"/>
                <w:szCs w:val="20"/>
              </w:rPr>
              <w:t>Specific TB control strategies implemented in sectors with high tuberculosis burden by 2009</w:t>
            </w:r>
          </w:p>
        </w:tc>
        <w:tc>
          <w:tcPr>
            <w:tcW w:w="4050" w:type="dxa"/>
            <w:vMerge/>
            <w:tcBorders>
              <w:bottom w:val="single" w:sz="18" w:space="0" w:color="auto"/>
              <w:right w:val="nil"/>
            </w:tcBorders>
          </w:tcPr>
          <w:p w14:paraId="136ED60C" w14:textId="77777777" w:rsidR="00751E80" w:rsidRPr="007D09D3" w:rsidRDefault="00751E80" w:rsidP="00A46E4A">
            <w:pPr>
              <w:rPr>
                <w:rFonts w:ascii="Arial" w:hAnsi="Arial" w:cs="Arial"/>
                <w:sz w:val="20"/>
                <w:szCs w:val="20"/>
              </w:rPr>
            </w:pPr>
          </w:p>
        </w:tc>
      </w:tr>
    </w:tbl>
    <w:p w14:paraId="57BC1BFD" w14:textId="77777777" w:rsidR="00751E80" w:rsidRPr="007D09D3" w:rsidRDefault="00751E80" w:rsidP="00751E80">
      <w:pPr>
        <w:pStyle w:val="NoSpacing"/>
        <w:rPr>
          <w:rFonts w:ascii="Arial" w:hAnsi="Arial" w:cs="Arial"/>
          <w:i/>
          <w:sz w:val="18"/>
          <w:szCs w:val="18"/>
        </w:rPr>
      </w:pPr>
      <w:r w:rsidRPr="007D09D3">
        <w:rPr>
          <w:rFonts w:ascii="Arial" w:hAnsi="Arial" w:cs="Arial"/>
          <w:i/>
          <w:sz w:val="18"/>
          <w:szCs w:val="18"/>
        </w:rPr>
        <w:t>Adapted from the Medium Term Plan (MTP-I and MTP-II</w:t>
      </w:r>
      <w:proofErr w:type="gramStart"/>
      <w:r w:rsidRPr="007D09D3">
        <w:rPr>
          <w:rFonts w:ascii="Arial" w:hAnsi="Arial" w:cs="Arial"/>
          <w:i/>
          <w:sz w:val="18"/>
          <w:szCs w:val="18"/>
        </w:rPr>
        <w:t>) ;</w:t>
      </w:r>
      <w:proofErr w:type="gramEnd"/>
      <w:r w:rsidRPr="007D09D3">
        <w:rPr>
          <w:rFonts w:ascii="Arial" w:hAnsi="Arial" w:cs="Arial"/>
          <w:i/>
          <w:sz w:val="18"/>
          <w:szCs w:val="18"/>
        </w:rPr>
        <w:t xml:space="preserve"> </w:t>
      </w:r>
    </w:p>
    <w:p w14:paraId="668AA002" w14:textId="77777777" w:rsidR="00751E80" w:rsidRPr="007D09D3" w:rsidRDefault="00751E80" w:rsidP="00751E80">
      <w:pPr>
        <w:pStyle w:val="NoSpacing"/>
        <w:rPr>
          <w:rFonts w:ascii="Arial" w:hAnsi="Arial" w:cs="Arial"/>
          <w:i/>
          <w:sz w:val="20"/>
          <w:szCs w:val="20"/>
        </w:rPr>
      </w:pPr>
      <w:r w:rsidRPr="007D09D3">
        <w:rPr>
          <w:rFonts w:ascii="Arial" w:hAnsi="Arial" w:cs="Arial"/>
          <w:b/>
          <w:i/>
          <w:sz w:val="18"/>
          <w:szCs w:val="18"/>
        </w:rPr>
        <w:t>MTP-I (2004-2009)</w:t>
      </w:r>
      <w:r w:rsidRPr="007D09D3">
        <w:rPr>
          <w:rFonts w:ascii="Arial" w:hAnsi="Arial" w:cs="Arial"/>
          <w:i/>
          <w:sz w:val="18"/>
          <w:szCs w:val="18"/>
        </w:rPr>
        <w:t xml:space="preserve">: Based on the DOTS </w:t>
      </w:r>
      <w:proofErr w:type="gramStart"/>
      <w:r w:rsidRPr="007D09D3">
        <w:rPr>
          <w:rFonts w:ascii="Arial" w:hAnsi="Arial" w:cs="Arial"/>
          <w:i/>
          <w:sz w:val="18"/>
          <w:szCs w:val="18"/>
        </w:rPr>
        <w:t>strategy  and</w:t>
      </w:r>
      <w:proofErr w:type="gramEnd"/>
      <w:r w:rsidRPr="007D09D3">
        <w:rPr>
          <w:rFonts w:ascii="Arial" w:hAnsi="Arial" w:cs="Arial"/>
          <w:i/>
          <w:sz w:val="18"/>
          <w:szCs w:val="18"/>
        </w:rPr>
        <w:t xml:space="preserve"> </w:t>
      </w:r>
      <w:r w:rsidRPr="007D09D3">
        <w:rPr>
          <w:rFonts w:ascii="Arial" w:hAnsi="Arial" w:cs="Arial"/>
          <w:b/>
          <w:i/>
          <w:sz w:val="18"/>
          <w:szCs w:val="18"/>
        </w:rPr>
        <w:t>MTP-II (2010-2015)</w:t>
      </w:r>
      <w:r w:rsidRPr="007D09D3">
        <w:rPr>
          <w:rFonts w:ascii="Arial" w:hAnsi="Arial" w:cs="Arial"/>
          <w:i/>
          <w:sz w:val="18"/>
          <w:szCs w:val="18"/>
        </w:rPr>
        <w:t>: Based on the Stop TB strategy and the Enhanced Global strategy</w:t>
      </w:r>
    </w:p>
    <w:p w14:paraId="6F296A87" w14:textId="77777777" w:rsidR="00751E80" w:rsidRPr="007D09D3" w:rsidRDefault="00751E80" w:rsidP="00751E80">
      <w:pPr>
        <w:rPr>
          <w:rFonts w:ascii="Arial" w:hAnsi="Arial" w:cs="Arial"/>
        </w:rPr>
      </w:pPr>
    </w:p>
    <w:p w14:paraId="22E8BC46" w14:textId="77777777" w:rsidR="00751E80" w:rsidRPr="00607F3F" w:rsidRDefault="00751E80" w:rsidP="00751E80">
      <w:pPr>
        <w:pStyle w:val="NoSpacing"/>
        <w:ind w:firstLine="720"/>
        <w:rPr>
          <w:rFonts w:ascii="Arial" w:hAnsi="Arial" w:cs="Arial"/>
          <w:b/>
          <w:color w:val="000000"/>
          <w:sz w:val="24"/>
          <w:szCs w:val="24"/>
        </w:rPr>
      </w:pPr>
    </w:p>
    <w:p w14:paraId="558B8D63" w14:textId="77777777" w:rsidR="00751E80" w:rsidRPr="004B341B" w:rsidRDefault="00751E80" w:rsidP="00751E80">
      <w:pPr>
        <w:spacing w:line="360" w:lineRule="auto"/>
        <w:rPr>
          <w:rFonts w:ascii="Arial" w:hAnsi="Arial" w:cs="Arial"/>
          <w:b/>
        </w:rPr>
      </w:pPr>
    </w:p>
    <w:p w14:paraId="2A8811F2" w14:textId="7CDCF669" w:rsidR="008948AE" w:rsidRPr="005A5A82" w:rsidRDefault="008948AE" w:rsidP="005A5A82">
      <w:pPr>
        <w:spacing w:line="360" w:lineRule="auto"/>
        <w:rPr>
          <w:rFonts w:ascii="Arial" w:hAnsi="Arial" w:cs="Arial"/>
        </w:rPr>
      </w:pPr>
      <w:bookmarkStart w:id="3" w:name="_GoBack"/>
      <w:bookmarkEnd w:id="3"/>
    </w:p>
    <w:sectPr w:rsidR="008948AE" w:rsidRPr="005A5A82" w:rsidSect="005A5A8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44431" w14:textId="77777777" w:rsidR="00722777" w:rsidRDefault="00722777" w:rsidP="001E0F7E">
      <w:pPr>
        <w:spacing w:after="0" w:line="240" w:lineRule="auto"/>
      </w:pPr>
      <w:r>
        <w:separator/>
      </w:r>
    </w:p>
  </w:endnote>
  <w:endnote w:type="continuationSeparator" w:id="0">
    <w:p w14:paraId="1D9518D7" w14:textId="77777777" w:rsidR="00722777" w:rsidRDefault="00722777" w:rsidP="001E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03820"/>
      <w:docPartObj>
        <w:docPartGallery w:val="Page Numbers (Bottom of Page)"/>
        <w:docPartUnique/>
      </w:docPartObj>
    </w:sdtPr>
    <w:sdtEndPr>
      <w:rPr>
        <w:noProof/>
      </w:rPr>
    </w:sdtEndPr>
    <w:sdtContent>
      <w:p w14:paraId="6418A176" w14:textId="416919FD" w:rsidR="006A4AC8" w:rsidRDefault="006A4AC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EF7A2CA" w14:textId="77777777" w:rsidR="006A4AC8" w:rsidRDefault="006A4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86CC8" w14:textId="77777777" w:rsidR="00722777" w:rsidRDefault="00722777" w:rsidP="001E0F7E">
      <w:pPr>
        <w:spacing w:after="0" w:line="240" w:lineRule="auto"/>
      </w:pPr>
      <w:r>
        <w:separator/>
      </w:r>
    </w:p>
  </w:footnote>
  <w:footnote w:type="continuationSeparator" w:id="0">
    <w:p w14:paraId="0EC5EAA4" w14:textId="77777777" w:rsidR="00722777" w:rsidRDefault="00722777" w:rsidP="001E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592C"/>
    <w:multiLevelType w:val="hybridMultilevel"/>
    <w:tmpl w:val="7AA8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F6033F"/>
    <w:multiLevelType w:val="hybridMultilevel"/>
    <w:tmpl w:val="7BD40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1765A3"/>
    <w:multiLevelType w:val="hybridMultilevel"/>
    <w:tmpl w:val="F6B6528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114856"/>
    <w:multiLevelType w:val="hybridMultilevel"/>
    <w:tmpl w:val="AE52EDF0"/>
    <w:lvl w:ilvl="0" w:tplc="1A94237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80334"/>
    <w:multiLevelType w:val="hybridMultilevel"/>
    <w:tmpl w:val="E444A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AC3DB7"/>
    <w:multiLevelType w:val="hybridMultilevel"/>
    <w:tmpl w:val="AF98E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E5"/>
    <w:rsid w:val="000149C0"/>
    <w:rsid w:val="00030734"/>
    <w:rsid w:val="00056B58"/>
    <w:rsid w:val="000A5AD8"/>
    <w:rsid w:val="00123D71"/>
    <w:rsid w:val="00133159"/>
    <w:rsid w:val="00151892"/>
    <w:rsid w:val="001A03E4"/>
    <w:rsid w:val="001D65A8"/>
    <w:rsid w:val="001E0F7E"/>
    <w:rsid w:val="00203133"/>
    <w:rsid w:val="0022484E"/>
    <w:rsid w:val="00267017"/>
    <w:rsid w:val="00287C0E"/>
    <w:rsid w:val="002A5FE9"/>
    <w:rsid w:val="002D4DCF"/>
    <w:rsid w:val="00365337"/>
    <w:rsid w:val="00383D73"/>
    <w:rsid w:val="003C0E85"/>
    <w:rsid w:val="003C2D5F"/>
    <w:rsid w:val="003D54D0"/>
    <w:rsid w:val="003F7129"/>
    <w:rsid w:val="00401C34"/>
    <w:rsid w:val="00405A93"/>
    <w:rsid w:val="00414DF4"/>
    <w:rsid w:val="00432C89"/>
    <w:rsid w:val="0043439E"/>
    <w:rsid w:val="004A6A02"/>
    <w:rsid w:val="004B54C3"/>
    <w:rsid w:val="0052413E"/>
    <w:rsid w:val="005306AB"/>
    <w:rsid w:val="00563A9E"/>
    <w:rsid w:val="005924B2"/>
    <w:rsid w:val="005A5A82"/>
    <w:rsid w:val="005B036E"/>
    <w:rsid w:val="00601F92"/>
    <w:rsid w:val="00607601"/>
    <w:rsid w:val="00683417"/>
    <w:rsid w:val="00685864"/>
    <w:rsid w:val="006A4AC8"/>
    <w:rsid w:val="006B0052"/>
    <w:rsid w:val="006F441C"/>
    <w:rsid w:val="00710FD5"/>
    <w:rsid w:val="00722777"/>
    <w:rsid w:val="007334F6"/>
    <w:rsid w:val="007435BD"/>
    <w:rsid w:val="00751E80"/>
    <w:rsid w:val="0078482C"/>
    <w:rsid w:val="007A20F7"/>
    <w:rsid w:val="007B5BB9"/>
    <w:rsid w:val="007B6EAE"/>
    <w:rsid w:val="007E07FB"/>
    <w:rsid w:val="007E7BE2"/>
    <w:rsid w:val="008857A2"/>
    <w:rsid w:val="008948AE"/>
    <w:rsid w:val="008A2DF3"/>
    <w:rsid w:val="008C59B4"/>
    <w:rsid w:val="008C6AC2"/>
    <w:rsid w:val="009149E9"/>
    <w:rsid w:val="00941557"/>
    <w:rsid w:val="009A4C9A"/>
    <w:rsid w:val="009E5E9D"/>
    <w:rsid w:val="00A30CB8"/>
    <w:rsid w:val="00AB0A60"/>
    <w:rsid w:val="00AB3568"/>
    <w:rsid w:val="00AB3D11"/>
    <w:rsid w:val="00AE2092"/>
    <w:rsid w:val="00B305E5"/>
    <w:rsid w:val="00B50EBD"/>
    <w:rsid w:val="00B82869"/>
    <w:rsid w:val="00B91E76"/>
    <w:rsid w:val="00B96B3D"/>
    <w:rsid w:val="00BD2DB7"/>
    <w:rsid w:val="00BF2813"/>
    <w:rsid w:val="00BF3EA2"/>
    <w:rsid w:val="00C26E51"/>
    <w:rsid w:val="00C46E74"/>
    <w:rsid w:val="00CA6035"/>
    <w:rsid w:val="00CB62E5"/>
    <w:rsid w:val="00CB6D6A"/>
    <w:rsid w:val="00CC2513"/>
    <w:rsid w:val="00CD17BA"/>
    <w:rsid w:val="00CE4869"/>
    <w:rsid w:val="00D172F1"/>
    <w:rsid w:val="00D208E3"/>
    <w:rsid w:val="00D549B2"/>
    <w:rsid w:val="00D87A88"/>
    <w:rsid w:val="00D973DD"/>
    <w:rsid w:val="00DE673E"/>
    <w:rsid w:val="00E07F7F"/>
    <w:rsid w:val="00E25378"/>
    <w:rsid w:val="00E521FC"/>
    <w:rsid w:val="00E60EB6"/>
    <w:rsid w:val="00EC26FF"/>
    <w:rsid w:val="00EE4EE8"/>
    <w:rsid w:val="00F4327D"/>
    <w:rsid w:val="00F521E5"/>
    <w:rsid w:val="00F67F59"/>
    <w:rsid w:val="00F96371"/>
    <w:rsid w:val="00FC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9459"/>
  <w15:chartTrackingRefBased/>
  <w15:docId w15:val="{8E70B2FF-E9E6-48CF-90D2-F9EC6FE6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2E5"/>
    <w:pPr>
      <w:spacing w:after="200" w:line="276" w:lineRule="auto"/>
    </w:pPr>
    <w:rPr>
      <w:rFonts w:eastAsiaTheme="minorEastAsia"/>
      <w:lang w:val="en-US"/>
    </w:rPr>
  </w:style>
  <w:style w:type="paragraph" w:styleId="Heading1">
    <w:name w:val="heading 1"/>
    <w:basedOn w:val="Normal"/>
    <w:next w:val="Normal"/>
    <w:link w:val="Heading1Char"/>
    <w:uiPriority w:val="9"/>
    <w:qFormat/>
    <w:rsid w:val="00CB62E5"/>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CB62E5"/>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CB62E5"/>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2E5"/>
    <w:rPr>
      <w:rFonts w:ascii="Courier New" w:eastAsiaTheme="minorEastAsia" w:hAnsi="Courier New" w:cs="Courier New"/>
      <w:b/>
      <w:bCs/>
      <w:color w:val="000000"/>
      <w:sz w:val="32"/>
      <w:szCs w:val="32"/>
      <w:lang w:val="en-US"/>
    </w:rPr>
  </w:style>
  <w:style w:type="character" w:customStyle="1" w:styleId="Heading2Char">
    <w:name w:val="Heading 2 Char"/>
    <w:basedOn w:val="DefaultParagraphFont"/>
    <w:link w:val="Heading2"/>
    <w:uiPriority w:val="99"/>
    <w:rsid w:val="00CB62E5"/>
    <w:rPr>
      <w:rFonts w:ascii="Courier New" w:eastAsiaTheme="minorEastAsia" w:hAnsi="Courier New" w:cs="Courier New"/>
      <w:b/>
      <w:bCs/>
      <w:i/>
      <w:iCs/>
      <w:color w:val="000000"/>
      <w:sz w:val="28"/>
      <w:szCs w:val="28"/>
      <w:lang w:val="en-US"/>
    </w:rPr>
  </w:style>
  <w:style w:type="character" w:customStyle="1" w:styleId="Heading3Char">
    <w:name w:val="Heading 3 Char"/>
    <w:basedOn w:val="DefaultParagraphFont"/>
    <w:link w:val="Heading3"/>
    <w:uiPriority w:val="99"/>
    <w:rsid w:val="00CB62E5"/>
    <w:rPr>
      <w:rFonts w:ascii="Courier New" w:eastAsiaTheme="minorEastAsia" w:hAnsi="Courier New" w:cs="Courier New"/>
      <w:b/>
      <w:bCs/>
      <w:color w:val="000000"/>
      <w:sz w:val="26"/>
      <w:szCs w:val="26"/>
      <w:lang w:val="en-US"/>
    </w:rPr>
  </w:style>
  <w:style w:type="paragraph" w:styleId="BalloonText">
    <w:name w:val="Balloon Text"/>
    <w:basedOn w:val="Normal"/>
    <w:link w:val="BalloonTextChar"/>
    <w:uiPriority w:val="99"/>
    <w:semiHidden/>
    <w:unhideWhenUsed/>
    <w:rsid w:val="00CB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E5"/>
    <w:rPr>
      <w:rFonts w:ascii="Tahoma" w:eastAsiaTheme="minorEastAsia" w:hAnsi="Tahoma" w:cs="Tahoma"/>
      <w:sz w:val="16"/>
      <w:szCs w:val="16"/>
      <w:lang w:val="en-US"/>
    </w:rPr>
  </w:style>
  <w:style w:type="table" w:styleId="TableGrid">
    <w:name w:val="Table Grid"/>
    <w:basedOn w:val="TableNormal"/>
    <w:uiPriority w:val="59"/>
    <w:rsid w:val="00CB62E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CB62E5"/>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B6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2E5"/>
    <w:rPr>
      <w:rFonts w:eastAsiaTheme="minorEastAsia"/>
      <w:lang w:val="en-US"/>
    </w:rPr>
  </w:style>
  <w:style w:type="paragraph" w:styleId="Footer">
    <w:name w:val="footer"/>
    <w:basedOn w:val="Normal"/>
    <w:link w:val="FooterChar"/>
    <w:uiPriority w:val="99"/>
    <w:unhideWhenUsed/>
    <w:rsid w:val="00CB6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2E5"/>
    <w:rPr>
      <w:rFonts w:eastAsiaTheme="minorEastAsia"/>
      <w:lang w:val="en-US"/>
    </w:rPr>
  </w:style>
  <w:style w:type="paragraph" w:styleId="ListParagraph">
    <w:name w:val="List Paragraph"/>
    <w:basedOn w:val="Normal"/>
    <w:uiPriority w:val="34"/>
    <w:qFormat/>
    <w:rsid w:val="00CB62E5"/>
    <w:pPr>
      <w:ind w:left="720"/>
      <w:contextualSpacing/>
    </w:pPr>
  </w:style>
  <w:style w:type="paragraph" w:styleId="NoSpacing">
    <w:name w:val="No Spacing"/>
    <w:link w:val="NoSpacingChar"/>
    <w:uiPriority w:val="1"/>
    <w:qFormat/>
    <w:rsid w:val="00CB62E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B62E5"/>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CB62E5"/>
    <w:rPr>
      <w:sz w:val="16"/>
      <w:szCs w:val="16"/>
    </w:rPr>
  </w:style>
  <w:style w:type="paragraph" w:styleId="CommentText">
    <w:name w:val="annotation text"/>
    <w:basedOn w:val="Normal"/>
    <w:link w:val="CommentTextChar"/>
    <w:uiPriority w:val="99"/>
    <w:unhideWhenUsed/>
    <w:rsid w:val="00CB62E5"/>
    <w:pPr>
      <w:spacing w:line="240" w:lineRule="auto"/>
    </w:pPr>
    <w:rPr>
      <w:sz w:val="20"/>
      <w:szCs w:val="20"/>
    </w:rPr>
  </w:style>
  <w:style w:type="character" w:customStyle="1" w:styleId="CommentTextChar">
    <w:name w:val="Comment Text Char"/>
    <w:basedOn w:val="DefaultParagraphFont"/>
    <w:link w:val="CommentText"/>
    <w:uiPriority w:val="99"/>
    <w:rsid w:val="00CB62E5"/>
    <w:rPr>
      <w:rFonts w:eastAsiaTheme="minorEastAsia"/>
      <w:sz w:val="20"/>
      <w:szCs w:val="20"/>
      <w:lang w:val="en-US"/>
    </w:rPr>
  </w:style>
  <w:style w:type="character" w:styleId="Hyperlink">
    <w:name w:val="Hyperlink"/>
    <w:basedOn w:val="DefaultParagraphFont"/>
    <w:uiPriority w:val="99"/>
    <w:unhideWhenUsed/>
    <w:rsid w:val="00CB62E5"/>
    <w:rPr>
      <w:color w:val="0563C1" w:themeColor="hyperlink"/>
      <w:u w:val="single"/>
    </w:rPr>
  </w:style>
  <w:style w:type="paragraph" w:customStyle="1" w:styleId="Default">
    <w:name w:val="Default"/>
    <w:rsid w:val="00CB62E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CB62E5"/>
    <w:pPr>
      <w:spacing w:before="100" w:beforeAutospacing="1" w:after="346" w:line="240" w:lineRule="auto"/>
    </w:pPr>
    <w:rPr>
      <w:rFonts w:ascii="Merriweather" w:eastAsia="Times New Roman" w:hAnsi="Merriweather" w:cs="Times New Roman"/>
      <w:color w:val="404040"/>
      <w:sz w:val="17"/>
      <w:szCs w:val="17"/>
    </w:rPr>
  </w:style>
  <w:style w:type="character" w:customStyle="1" w:styleId="apple-converted-space">
    <w:name w:val="apple-converted-space"/>
    <w:basedOn w:val="DefaultParagraphFont"/>
    <w:rsid w:val="00CB62E5"/>
  </w:style>
  <w:style w:type="paragraph" w:styleId="CommentSubject">
    <w:name w:val="annotation subject"/>
    <w:basedOn w:val="CommentText"/>
    <w:next w:val="CommentText"/>
    <w:link w:val="CommentSubjectChar"/>
    <w:uiPriority w:val="99"/>
    <w:semiHidden/>
    <w:unhideWhenUsed/>
    <w:rsid w:val="00CB62E5"/>
    <w:rPr>
      <w:b/>
      <w:bCs/>
    </w:rPr>
  </w:style>
  <w:style w:type="character" w:customStyle="1" w:styleId="CommentSubjectChar">
    <w:name w:val="Comment Subject Char"/>
    <w:basedOn w:val="CommentTextChar"/>
    <w:link w:val="CommentSubject"/>
    <w:uiPriority w:val="99"/>
    <w:semiHidden/>
    <w:rsid w:val="00CB62E5"/>
    <w:rPr>
      <w:rFonts w:eastAsiaTheme="minorEastAsia"/>
      <w:b/>
      <w:bCs/>
      <w:sz w:val="20"/>
      <w:szCs w:val="20"/>
      <w:lang w:val="en-US"/>
    </w:rPr>
  </w:style>
  <w:style w:type="paragraph" w:customStyle="1" w:styleId="EndNoteBibliographyTitle">
    <w:name w:val="EndNote Bibliography Title"/>
    <w:basedOn w:val="Normal"/>
    <w:link w:val="EndNoteBibliographyTitleChar"/>
    <w:rsid w:val="00CB62E5"/>
    <w:pPr>
      <w:spacing w:after="0"/>
      <w:jc w:val="center"/>
    </w:pPr>
    <w:rPr>
      <w:rFonts w:ascii="Calibri" w:hAnsi="Calibri" w:cs="Calibri"/>
      <w:noProof/>
    </w:rPr>
  </w:style>
  <w:style w:type="character" w:customStyle="1" w:styleId="EndNoteBibliographyTitleChar">
    <w:name w:val="EndNote Bibliography Title Char"/>
    <w:basedOn w:val="NoSpacingChar"/>
    <w:link w:val="EndNoteBibliographyTitle"/>
    <w:rsid w:val="00CB62E5"/>
    <w:rPr>
      <w:rFonts w:ascii="Calibri" w:eastAsiaTheme="minorEastAsia" w:hAnsi="Calibri" w:cs="Calibri"/>
      <w:noProof/>
      <w:lang w:val="en-US"/>
    </w:rPr>
  </w:style>
  <w:style w:type="paragraph" w:customStyle="1" w:styleId="EndNoteBibliography">
    <w:name w:val="EndNote Bibliography"/>
    <w:basedOn w:val="Normal"/>
    <w:link w:val="EndNoteBibliographyChar"/>
    <w:rsid w:val="00CB62E5"/>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CB62E5"/>
    <w:rPr>
      <w:rFonts w:ascii="Calibri" w:eastAsiaTheme="minorEastAsia" w:hAnsi="Calibri" w:cs="Calibri"/>
      <w:noProof/>
      <w:lang w:val="en-US"/>
    </w:rPr>
  </w:style>
  <w:style w:type="character" w:customStyle="1" w:styleId="UnresolvedMention1">
    <w:name w:val="Unresolved Mention1"/>
    <w:basedOn w:val="DefaultParagraphFont"/>
    <w:uiPriority w:val="99"/>
    <w:semiHidden/>
    <w:unhideWhenUsed/>
    <w:rsid w:val="00CB62E5"/>
    <w:rPr>
      <w:color w:val="808080"/>
      <w:shd w:val="clear" w:color="auto" w:fill="E6E6E6"/>
    </w:rPr>
  </w:style>
  <w:style w:type="character" w:customStyle="1" w:styleId="ilfuvd">
    <w:name w:val="ilfuvd"/>
    <w:basedOn w:val="DefaultParagraphFont"/>
    <w:rsid w:val="00CB62E5"/>
  </w:style>
  <w:style w:type="character" w:styleId="LineNumber">
    <w:name w:val="line number"/>
    <w:basedOn w:val="DefaultParagraphFont"/>
    <w:uiPriority w:val="99"/>
    <w:semiHidden/>
    <w:unhideWhenUsed/>
    <w:rsid w:val="00A30CB8"/>
  </w:style>
  <w:style w:type="character" w:customStyle="1" w:styleId="A0">
    <w:name w:val="A0"/>
    <w:uiPriority w:val="99"/>
    <w:rsid w:val="00123D71"/>
    <w:rPr>
      <w:rFonts w:cs="Arial Narro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godman@strath.ac.uk" TargetMode="External"/><Relationship Id="rId13" Type="http://schemas.openxmlformats.org/officeDocument/2006/relationships/hyperlink" Target="https://www.ncbi.nlm.nih.gov/pubmed/?term=Successful+TB+Treatment+Outcome+and+Its+Associated+Factors+among+TB%2FHIV+Co-Infected+Patients+Attending+Gondar+University+Referral+Hospital%2C+Northwest+Ethiop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Brian.Godman@ki.se" TargetMode="External"/><Relationship Id="rId14" Type="http://schemas.openxmlformats.org/officeDocument/2006/relationships/hyperlink" Target="https://www.ncbi.nlm.nih.gov/pubmed/?term=Risk+factors+for+poor+tuberculosis+treatment+outcome+in+Finland%3A+a+cohort+stud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ofPieChart>
        <c:ofPieType val="pie"/>
        <c:varyColors val="1"/>
        <c:ser>
          <c:idx val="0"/>
          <c:order val="0"/>
          <c:dPt>
            <c:idx val="0"/>
            <c:bubble3D val="0"/>
            <c:spPr>
              <a:solidFill>
                <a:schemeClr val="dk1">
                  <a:tint val="8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E45-4F97-977A-5647056A809A}"/>
              </c:ext>
            </c:extLst>
          </c:dPt>
          <c:dPt>
            <c:idx val="1"/>
            <c:bubble3D val="0"/>
            <c:spPr>
              <a:solidFill>
                <a:schemeClr val="dk1">
                  <a:tint val="5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E45-4F97-977A-5647056A809A}"/>
              </c:ext>
            </c:extLst>
          </c:dPt>
          <c:dPt>
            <c:idx val="2"/>
            <c:bubble3D val="0"/>
            <c:spPr>
              <a:solidFill>
                <a:schemeClr val="dk1">
                  <a:tint val="7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E45-4F97-977A-5647056A809A}"/>
              </c:ext>
            </c:extLst>
          </c:dPt>
          <c:dPt>
            <c:idx val="3"/>
            <c:bubble3D val="0"/>
            <c:spPr>
              <a:solidFill>
                <a:schemeClr val="dk1">
                  <a:tint val="985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E45-4F97-977A-5647056A809A}"/>
              </c:ext>
            </c:extLst>
          </c:dPt>
          <c:dPt>
            <c:idx val="4"/>
            <c:bubble3D val="0"/>
            <c:spPr>
              <a:solidFill>
                <a:schemeClr val="dk1">
                  <a:tint val="3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E45-4F97-977A-5647056A809A}"/>
              </c:ext>
            </c:extLst>
          </c:dPt>
          <c:dPt>
            <c:idx val="5"/>
            <c:bubble3D val="0"/>
            <c:spPr>
              <a:solidFill>
                <a:schemeClr val="dk1">
                  <a:tint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AE45-4F97-977A-5647056A809A}"/>
              </c:ext>
            </c:extLst>
          </c:dPt>
          <c:dPt>
            <c:idx val="6"/>
            <c:bubble3D val="0"/>
            <c:spPr>
              <a:solidFill>
                <a:schemeClr val="dk1">
                  <a:tint val="8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AE45-4F97-977A-5647056A809A}"/>
              </c:ext>
            </c:extLst>
          </c:dPt>
          <c:dLbls>
            <c:dLbl>
              <c:idx val="0"/>
              <c:tx>
                <c:rich>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fld id="{97599407-4016-40B1-A505-295A613B2ED5}" type="CATEGORYNAME">
                      <a:rPr lang="en-US" sz="700" b="0">
                        <a:solidFill>
                          <a:sysClr val="windowText" lastClr="000000"/>
                        </a:solidFill>
                        <a:latin typeface="Arial" panose="020B0604020202020204" pitchFamily="34" charset="0"/>
                        <a:cs typeface="Arial" panose="020B0604020202020204" pitchFamily="34" charset="0"/>
                      </a:rPr>
                      <a:pPr>
                        <a:defRPr sz="800" b="0">
                          <a:solidFill>
                            <a:sysClr val="windowText" lastClr="000000"/>
                          </a:solidFill>
                          <a:latin typeface="Arial" panose="020B0604020202020204" pitchFamily="34" charset="0"/>
                          <a:cs typeface="Arial" panose="020B0604020202020204" pitchFamily="34" charset="0"/>
                        </a:defRPr>
                      </a:pPr>
                      <a:t>[CATEGORY NAME]</a:t>
                    </a:fld>
                    <a:r>
                      <a:rPr lang="en-US" sz="700" b="0" baseline="0">
                        <a:solidFill>
                          <a:sysClr val="windowText" lastClr="000000"/>
                        </a:solidFill>
                        <a:latin typeface="Arial" panose="020B0604020202020204" pitchFamily="34" charset="0"/>
                        <a:cs typeface="Arial" panose="020B0604020202020204" pitchFamily="34" charset="0"/>
                      </a:rPr>
                      <a:t>
</a:t>
                    </a:r>
                    <a:fld id="{E920175A-1E56-4248-8FE0-F1F3DFEAF160}" type="PERCENTAGE">
                      <a:rPr lang="en-US" sz="700" b="0" baseline="0">
                        <a:solidFill>
                          <a:sysClr val="windowText" lastClr="000000"/>
                        </a:solidFill>
                        <a:latin typeface="Arial" panose="020B0604020202020204" pitchFamily="34" charset="0"/>
                        <a:cs typeface="Arial" panose="020B0604020202020204" pitchFamily="34" charset="0"/>
                      </a:rPr>
                      <a:pPr>
                        <a:defRPr sz="800" b="0">
                          <a:solidFill>
                            <a:sysClr val="windowText" lastClr="000000"/>
                          </a:solidFill>
                          <a:latin typeface="Arial" panose="020B0604020202020204" pitchFamily="34" charset="0"/>
                          <a:cs typeface="Arial" panose="020B0604020202020204" pitchFamily="34" charset="0"/>
                        </a:defRPr>
                      </a:pPr>
                      <a:t>[PERCENTAGE]</a:t>
                    </a:fld>
                    <a:r>
                      <a:rPr lang="en-US" sz="700" b="0" baseline="0">
                        <a:solidFill>
                          <a:sysClr val="windowText" lastClr="000000"/>
                        </a:solidFill>
                        <a:latin typeface="Arial" panose="020B0604020202020204" pitchFamily="34" charset="0"/>
                        <a:cs typeface="Arial" panose="020B0604020202020204" pitchFamily="34" charset="0"/>
                      </a:rPr>
                      <a:t>(2,199)</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E45-4F97-977A-5647056A809A}"/>
                </c:ext>
              </c:extLst>
            </c:dLbl>
            <c:dLbl>
              <c:idx val="1"/>
              <c:layout>
                <c:manualLayout>
                  <c:x val="0"/>
                  <c:y val="-3.8819875776398938E-3"/>
                </c:manualLayout>
              </c:layout>
              <c:tx>
                <c:rich>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fld id="{F6F48ED8-D632-41A0-8DB2-BFB85445FF93}" type="CATEGORYNAME">
                      <a:rPr lang="en-US" sz="700" b="0">
                        <a:solidFill>
                          <a:sysClr val="windowText" lastClr="000000"/>
                        </a:solidFill>
                        <a:latin typeface="Arial" panose="020B0604020202020204" pitchFamily="34" charset="0"/>
                        <a:cs typeface="Arial" panose="020B0604020202020204" pitchFamily="34" charset="0"/>
                      </a:rPr>
                      <a:pPr>
                        <a:defRPr sz="800" b="0">
                          <a:solidFill>
                            <a:sysClr val="windowText" lastClr="000000"/>
                          </a:solidFill>
                          <a:latin typeface="Arial" panose="020B0604020202020204" pitchFamily="34" charset="0"/>
                          <a:cs typeface="Arial" panose="020B0604020202020204" pitchFamily="34" charset="0"/>
                        </a:defRPr>
                      </a:pPr>
                      <a:t>[CATEGORY NAME]</a:t>
                    </a:fld>
                    <a:r>
                      <a:rPr lang="en-US" sz="700" b="0" baseline="0">
                        <a:solidFill>
                          <a:sysClr val="windowText" lastClr="000000"/>
                        </a:solidFill>
                        <a:latin typeface="Arial" panose="020B0604020202020204" pitchFamily="34" charset="0"/>
                        <a:cs typeface="Arial" panose="020B0604020202020204" pitchFamily="34" charset="0"/>
                      </a:rPr>
                      <a:t>
</a:t>
                    </a:r>
                    <a:fld id="{831D1138-37D8-424B-A131-4BF6171DB061}" type="PERCENTAGE">
                      <a:rPr lang="en-US" sz="700" b="0" baseline="0">
                        <a:solidFill>
                          <a:sysClr val="windowText" lastClr="000000"/>
                        </a:solidFill>
                        <a:latin typeface="Arial" panose="020B0604020202020204" pitchFamily="34" charset="0"/>
                        <a:cs typeface="Arial" panose="020B0604020202020204" pitchFamily="34" charset="0"/>
                      </a:rPr>
                      <a:pPr>
                        <a:defRPr sz="800" b="0">
                          <a:solidFill>
                            <a:sysClr val="windowText" lastClr="000000"/>
                          </a:solidFill>
                          <a:latin typeface="Arial" panose="020B0604020202020204" pitchFamily="34" charset="0"/>
                          <a:cs typeface="Arial" panose="020B0604020202020204" pitchFamily="34" charset="0"/>
                        </a:defRPr>
                      </a:pPr>
                      <a:t>[PERCENTAGE]</a:t>
                    </a:fld>
                    <a:r>
                      <a:rPr lang="en-US" sz="700" b="0" baseline="0">
                        <a:solidFill>
                          <a:sysClr val="windowText" lastClr="000000"/>
                        </a:solidFill>
                        <a:latin typeface="Arial" panose="020B0604020202020204" pitchFamily="34" charset="0"/>
                        <a:cs typeface="Arial" panose="020B0604020202020204" pitchFamily="34" charset="0"/>
                      </a:rPr>
                      <a:t>(3,088)</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E45-4F97-977A-5647056A809A}"/>
                </c:ext>
              </c:extLst>
            </c:dLbl>
            <c:dLbl>
              <c:idx val="2"/>
              <c:tx>
                <c:rich>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fld id="{2B5D3F3D-BA52-43D1-BA2C-78AE942E9D7D}" type="CATEGORYNAME">
                      <a:rPr lang="en-US" sz="700" b="0">
                        <a:solidFill>
                          <a:sysClr val="windowText" lastClr="000000"/>
                        </a:solidFill>
                        <a:latin typeface="Arial" panose="020B0604020202020204" pitchFamily="34" charset="0"/>
                        <a:cs typeface="Arial" panose="020B0604020202020204" pitchFamily="34" charset="0"/>
                      </a:rPr>
                      <a:pPr>
                        <a:defRPr sz="800" b="0">
                          <a:solidFill>
                            <a:sysClr val="windowText" lastClr="000000"/>
                          </a:solidFill>
                          <a:latin typeface="Arial" panose="020B0604020202020204" pitchFamily="34" charset="0"/>
                          <a:cs typeface="Arial" panose="020B0604020202020204" pitchFamily="34" charset="0"/>
                        </a:defRPr>
                      </a:pPr>
                      <a:t>[CATEGORY NAME]</a:t>
                    </a:fld>
                    <a:r>
                      <a:rPr lang="en-US" sz="700" b="0" baseline="0">
                        <a:solidFill>
                          <a:sysClr val="windowText" lastClr="000000"/>
                        </a:solidFill>
                        <a:latin typeface="Arial" panose="020B0604020202020204" pitchFamily="34" charset="0"/>
                        <a:cs typeface="Arial" panose="020B0604020202020204" pitchFamily="34" charset="0"/>
                      </a:rPr>
                      <a:t>
</a:t>
                    </a:r>
                    <a:fld id="{BAF082C7-C67A-46E9-8E30-86484A610461}" type="PERCENTAGE">
                      <a:rPr lang="en-US" sz="700" b="0" baseline="0">
                        <a:solidFill>
                          <a:sysClr val="windowText" lastClr="000000"/>
                        </a:solidFill>
                        <a:latin typeface="Arial" panose="020B0604020202020204" pitchFamily="34" charset="0"/>
                        <a:cs typeface="Arial" panose="020B0604020202020204" pitchFamily="34" charset="0"/>
                      </a:rPr>
                      <a:pPr>
                        <a:defRPr sz="800" b="0">
                          <a:solidFill>
                            <a:sysClr val="windowText" lastClr="000000"/>
                          </a:solidFill>
                          <a:latin typeface="Arial" panose="020B0604020202020204" pitchFamily="34" charset="0"/>
                          <a:cs typeface="Arial" panose="020B0604020202020204" pitchFamily="34" charset="0"/>
                        </a:defRPr>
                      </a:pPr>
                      <a:t>[PERCENTAGE]</a:t>
                    </a:fld>
                    <a:r>
                      <a:rPr lang="en-US" sz="700" b="0" baseline="0">
                        <a:solidFill>
                          <a:sysClr val="windowText" lastClr="000000"/>
                        </a:solidFill>
                        <a:latin typeface="Arial" panose="020B0604020202020204" pitchFamily="34" charset="0"/>
                        <a:cs typeface="Arial" panose="020B0604020202020204" pitchFamily="34" charset="0"/>
                      </a:rPr>
                      <a:t>(3,775)</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E45-4F97-977A-5647056A809A}"/>
                </c:ext>
              </c:extLst>
            </c:dLbl>
            <c:dLbl>
              <c:idx val="3"/>
              <c:layout>
                <c:manualLayout>
                  <c:x val="-1.9083505519256902E-2"/>
                  <c:y val="1.5236342739766226E-2"/>
                </c:manualLayout>
              </c:layout>
              <c:tx>
                <c:rich>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fld id="{2B1D15C4-52C8-4C76-A367-11F6D0E369F1}" type="CATEGORYNAME">
                      <a:rPr lang="en-US" sz="700" b="0">
                        <a:solidFill>
                          <a:sysClr val="windowText" lastClr="000000"/>
                        </a:solidFill>
                        <a:latin typeface="Arial" panose="020B0604020202020204" pitchFamily="34" charset="0"/>
                        <a:cs typeface="Arial" panose="020B0604020202020204" pitchFamily="34" charset="0"/>
                      </a:rPr>
                      <a:pPr>
                        <a:defRPr sz="800" b="0">
                          <a:solidFill>
                            <a:sysClr val="windowText" lastClr="000000"/>
                          </a:solidFill>
                          <a:latin typeface="Arial" panose="020B0604020202020204" pitchFamily="34" charset="0"/>
                          <a:cs typeface="Arial" panose="020B0604020202020204" pitchFamily="34" charset="0"/>
                        </a:defRPr>
                      </a:pPr>
                      <a:t>[CATEGORY NAME]</a:t>
                    </a:fld>
                    <a:r>
                      <a:rPr lang="en-US" sz="700" b="0" baseline="0">
                        <a:solidFill>
                          <a:sysClr val="windowText" lastClr="000000"/>
                        </a:solidFill>
                        <a:latin typeface="Arial" panose="020B0604020202020204" pitchFamily="34" charset="0"/>
                        <a:cs typeface="Arial" panose="020B0604020202020204" pitchFamily="34" charset="0"/>
                      </a:rPr>
                      <a:t>
</a:t>
                    </a:r>
                    <a:fld id="{6106148F-5F50-4D79-A37F-8563025241CF}" type="PERCENTAGE">
                      <a:rPr lang="en-US" sz="700" b="0" baseline="0">
                        <a:solidFill>
                          <a:sysClr val="windowText" lastClr="000000"/>
                        </a:solidFill>
                        <a:latin typeface="Arial" panose="020B0604020202020204" pitchFamily="34" charset="0"/>
                        <a:cs typeface="Arial" panose="020B0604020202020204" pitchFamily="34" charset="0"/>
                      </a:rPr>
                      <a:pPr>
                        <a:defRPr sz="800" b="0">
                          <a:solidFill>
                            <a:sysClr val="windowText" lastClr="000000"/>
                          </a:solidFill>
                          <a:latin typeface="Arial" panose="020B0604020202020204" pitchFamily="34" charset="0"/>
                          <a:cs typeface="Arial" panose="020B0604020202020204" pitchFamily="34" charset="0"/>
                        </a:defRPr>
                      </a:pPr>
                      <a:t>[PERCENTAGE]</a:t>
                    </a:fld>
                    <a:r>
                      <a:rPr lang="en-US" sz="700" b="0" baseline="0">
                        <a:solidFill>
                          <a:sysClr val="windowText" lastClr="000000"/>
                        </a:solidFill>
                        <a:latin typeface="Arial" panose="020B0604020202020204" pitchFamily="34" charset="0"/>
                        <a:cs typeface="Arial" panose="020B0604020202020204" pitchFamily="34" charset="0"/>
                      </a:rPr>
                      <a:t> (6,456)</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E45-4F97-977A-5647056A809A}"/>
                </c:ext>
              </c:extLst>
            </c:dLbl>
            <c:dLbl>
              <c:idx val="4"/>
              <c:tx>
                <c:rich>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fld id="{CEBCDA8D-43C2-402D-8D20-D6BEFD62ABC4}" type="CATEGORYNAME">
                      <a:rPr lang="en-US" sz="800" b="0">
                        <a:solidFill>
                          <a:sysClr val="windowText" lastClr="000000"/>
                        </a:solidFill>
                        <a:latin typeface="Arial" panose="020B0604020202020204" pitchFamily="34" charset="0"/>
                        <a:cs typeface="Arial" panose="020B0604020202020204" pitchFamily="34" charset="0"/>
                      </a:rPr>
                      <a:pPr>
                        <a:defRPr sz="800" b="0">
                          <a:solidFill>
                            <a:sysClr val="windowText" lastClr="000000"/>
                          </a:solidFill>
                          <a:latin typeface="Arial" panose="020B0604020202020204" pitchFamily="34" charset="0"/>
                          <a:cs typeface="Arial" panose="020B0604020202020204" pitchFamily="34" charset="0"/>
                        </a:defRPr>
                      </a:pPr>
                      <a:t>[CATEGORY NAME]</a:t>
                    </a:fld>
                    <a:r>
                      <a:rPr lang="en-US" sz="800" b="0" baseline="0">
                        <a:solidFill>
                          <a:sysClr val="windowText" lastClr="000000"/>
                        </a:solidFill>
                        <a:latin typeface="Arial" panose="020B0604020202020204" pitchFamily="34" charset="0"/>
                        <a:cs typeface="Arial" panose="020B0604020202020204" pitchFamily="34" charset="0"/>
                      </a:rPr>
                      <a:t>
</a:t>
                    </a:r>
                    <a:fld id="{20AD368D-CEC8-4A66-AFB0-4B470D8F432C}" type="PERCENTAGE">
                      <a:rPr lang="en-US" sz="800" b="0" baseline="0">
                        <a:solidFill>
                          <a:sysClr val="windowText" lastClr="000000"/>
                        </a:solidFill>
                        <a:latin typeface="Arial" panose="020B0604020202020204" pitchFamily="34" charset="0"/>
                        <a:cs typeface="Arial" panose="020B0604020202020204" pitchFamily="34" charset="0"/>
                      </a:rPr>
                      <a:pPr>
                        <a:defRPr sz="800" b="0">
                          <a:solidFill>
                            <a:sysClr val="windowText" lastClr="000000"/>
                          </a:solidFill>
                          <a:latin typeface="Arial" panose="020B0604020202020204" pitchFamily="34" charset="0"/>
                          <a:cs typeface="Arial" panose="020B0604020202020204" pitchFamily="34" charset="0"/>
                        </a:defRPr>
                      </a:pPr>
                      <a:t>[PERCENTAGE]</a:t>
                    </a:fld>
                    <a:r>
                      <a:rPr lang="en-US" sz="800" b="0" baseline="0">
                        <a:solidFill>
                          <a:sysClr val="windowText" lastClr="000000"/>
                        </a:solidFill>
                        <a:latin typeface="Arial" panose="020B0604020202020204" pitchFamily="34" charset="0"/>
                        <a:cs typeface="Arial" panose="020B0604020202020204" pitchFamily="34" charset="0"/>
                      </a:rPr>
                      <a:t> (23,737)</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E45-4F97-977A-5647056A809A}"/>
                </c:ext>
              </c:extLst>
            </c:dLbl>
            <c:dLbl>
              <c:idx val="5"/>
              <c:tx>
                <c:rich>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fld id="{D1101D89-5EFC-4651-994A-2B220B86F9B8}" type="CATEGORYNAME">
                      <a:rPr lang="en-US" sz="800" b="0">
                        <a:solidFill>
                          <a:sysClr val="windowText" lastClr="000000"/>
                        </a:solidFill>
                        <a:latin typeface="Arial" panose="020B0604020202020204" pitchFamily="34" charset="0"/>
                        <a:cs typeface="Arial" panose="020B0604020202020204" pitchFamily="34" charset="0"/>
                      </a:rPr>
                      <a:pPr>
                        <a:defRPr sz="800" b="0">
                          <a:solidFill>
                            <a:sysClr val="windowText" lastClr="000000"/>
                          </a:solidFill>
                          <a:latin typeface="Arial" panose="020B0604020202020204" pitchFamily="34" charset="0"/>
                          <a:cs typeface="Arial" panose="020B0604020202020204" pitchFamily="34" charset="0"/>
                        </a:defRPr>
                      </a:pPr>
                      <a:t>[CATEGORY NAME]</a:t>
                    </a:fld>
                    <a:r>
                      <a:rPr lang="en-US" sz="800" b="0" baseline="0">
                        <a:solidFill>
                          <a:sysClr val="windowText" lastClr="000000"/>
                        </a:solidFill>
                        <a:latin typeface="Arial" panose="020B0604020202020204" pitchFamily="34" charset="0"/>
                        <a:cs typeface="Arial" panose="020B0604020202020204" pitchFamily="34" charset="0"/>
                      </a:rPr>
                      <a:t>
</a:t>
                    </a:r>
                    <a:fld id="{83966FDA-E94B-4CC8-BD65-C7E836908272}" type="PERCENTAGE">
                      <a:rPr lang="en-US" sz="800" b="0" baseline="0">
                        <a:solidFill>
                          <a:sysClr val="windowText" lastClr="000000"/>
                        </a:solidFill>
                        <a:latin typeface="Arial" panose="020B0604020202020204" pitchFamily="34" charset="0"/>
                        <a:cs typeface="Arial" panose="020B0604020202020204" pitchFamily="34" charset="0"/>
                      </a:rPr>
                      <a:pPr>
                        <a:defRPr sz="800" b="0">
                          <a:solidFill>
                            <a:sysClr val="windowText" lastClr="000000"/>
                          </a:solidFill>
                          <a:latin typeface="Arial" panose="020B0604020202020204" pitchFamily="34" charset="0"/>
                          <a:cs typeface="Arial" panose="020B0604020202020204" pitchFamily="34" charset="0"/>
                        </a:defRPr>
                      </a:pPr>
                      <a:t>[PERCENTAGE]</a:t>
                    </a:fld>
                    <a:r>
                      <a:rPr lang="en-US" sz="800" b="0" baseline="0">
                        <a:solidFill>
                          <a:sysClr val="windowText" lastClr="000000"/>
                        </a:solidFill>
                        <a:latin typeface="Arial" panose="020B0604020202020204" pitchFamily="34" charset="0"/>
                        <a:cs typeface="Arial" panose="020B0604020202020204" pitchFamily="34" charset="0"/>
                      </a:rPr>
                      <a:t> (37,599)</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E45-4F97-977A-5647056A809A}"/>
                </c:ext>
              </c:extLst>
            </c:dLbl>
            <c:dLbl>
              <c:idx val="6"/>
              <c:layout>
                <c:manualLayout>
                  <c:x val="-0.20094562647754141"/>
                  <c:y val="1.1644834385087031E-2"/>
                </c:manualLayout>
              </c:layout>
              <c:tx>
                <c:rich>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800" b="0">
                        <a:solidFill>
                          <a:sysClr val="windowText" lastClr="000000"/>
                        </a:solidFill>
                        <a:latin typeface="Arial" panose="020B0604020202020204" pitchFamily="34" charset="0"/>
                        <a:cs typeface="Arial" panose="020B0604020202020204" pitchFamily="34" charset="0"/>
                      </a:rPr>
                      <a:t>Treatment</a:t>
                    </a:r>
                  </a:p>
                  <a:p>
                    <a:pPr>
                      <a:defRPr sz="800" b="0">
                        <a:solidFill>
                          <a:sysClr val="windowText" lastClr="000000"/>
                        </a:solidFill>
                        <a:latin typeface="Arial" panose="020B0604020202020204" pitchFamily="34" charset="0"/>
                        <a:cs typeface="Arial" panose="020B0604020202020204" pitchFamily="34" charset="0"/>
                      </a:defRPr>
                    </a:pPr>
                    <a:r>
                      <a:rPr lang="en-US" sz="800" b="0">
                        <a:solidFill>
                          <a:sysClr val="windowText" lastClr="000000"/>
                        </a:solidFill>
                        <a:latin typeface="Arial" panose="020B0604020202020204" pitchFamily="34" charset="0"/>
                        <a:cs typeface="Arial" panose="020B0604020202020204" pitchFamily="34" charset="0"/>
                      </a:rPr>
                      <a:t> success</a:t>
                    </a:r>
                    <a:r>
                      <a:rPr lang="en-US" sz="800" b="0" baseline="0">
                        <a:solidFill>
                          <a:sysClr val="windowText" lastClr="000000"/>
                        </a:solidFill>
                        <a:latin typeface="Arial" panose="020B0604020202020204" pitchFamily="34" charset="0"/>
                        <a:cs typeface="Arial" panose="020B0604020202020204" pitchFamily="34" charset="0"/>
                      </a:rPr>
                      <a:t>
</a:t>
                    </a:r>
                    <a:fld id="{E496C594-E2C1-41D8-998A-12595C9B0DA1}" type="PERCENTAGE">
                      <a:rPr lang="en-US" sz="800" b="0" baseline="0">
                        <a:solidFill>
                          <a:sysClr val="windowText" lastClr="000000"/>
                        </a:solidFill>
                        <a:latin typeface="Arial" panose="020B0604020202020204" pitchFamily="34" charset="0"/>
                        <a:cs typeface="Arial" panose="020B0604020202020204" pitchFamily="34" charset="0"/>
                      </a:rPr>
                      <a:pPr>
                        <a:defRPr sz="800" b="0">
                          <a:solidFill>
                            <a:sysClr val="windowText" lastClr="000000"/>
                          </a:solidFill>
                          <a:latin typeface="Arial" panose="020B0604020202020204" pitchFamily="34" charset="0"/>
                          <a:cs typeface="Arial" panose="020B0604020202020204" pitchFamily="34" charset="0"/>
                        </a:defRPr>
                      </a:pPr>
                      <a:t>[PERCENTAGE]</a:t>
                    </a:fld>
                    <a:r>
                      <a:rPr lang="en-US" sz="800" b="0" baseline="0">
                        <a:solidFill>
                          <a:sysClr val="windowText" lastClr="000000"/>
                        </a:solidFill>
                        <a:latin typeface="Arial" panose="020B0604020202020204" pitchFamily="34" charset="0"/>
                        <a:cs typeface="Arial" panose="020B0604020202020204" pitchFamily="34" charset="0"/>
                      </a:rPr>
                      <a:t>(61336)</a:t>
                    </a:r>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E45-4F97-977A-5647056A809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Sheet1!$C$4:$C$10</c:f>
              <c:strCache>
                <c:ptCount val="6"/>
                <c:pt idx="0">
                  <c:v>Failed</c:v>
                </c:pt>
                <c:pt idx="1">
                  <c:v>Tansfered out</c:v>
                </c:pt>
                <c:pt idx="2">
                  <c:v>Defaulted</c:v>
                </c:pt>
                <c:pt idx="3">
                  <c:v>Died</c:v>
                </c:pt>
                <c:pt idx="4">
                  <c:v>Cured</c:v>
                </c:pt>
                <c:pt idx="5">
                  <c:v>Completed</c:v>
                </c:pt>
              </c:strCache>
              <c:extLst/>
            </c:strRef>
          </c:cat>
          <c:val>
            <c:numRef>
              <c:f>Sheet1!$D$4:$D$10</c:f>
              <c:numCache>
                <c:formatCode>General</c:formatCode>
                <c:ptCount val="6"/>
                <c:pt idx="0">
                  <c:v>2199</c:v>
                </c:pt>
                <c:pt idx="1">
                  <c:v>3088</c:v>
                </c:pt>
                <c:pt idx="2">
                  <c:v>3775</c:v>
                </c:pt>
                <c:pt idx="3">
                  <c:v>6456</c:v>
                </c:pt>
                <c:pt idx="4">
                  <c:v>23737</c:v>
                </c:pt>
                <c:pt idx="5">
                  <c:v>37599</c:v>
                </c:pt>
              </c:numCache>
              <c:extLst/>
            </c:numRef>
          </c:val>
          <c:extLst>
            <c:ext xmlns:c16="http://schemas.microsoft.com/office/drawing/2014/chart" uri="{C3380CC4-5D6E-409C-BE32-E72D297353CC}">
              <c16:uniqueId val="{0000000E-AE45-4F97-977A-5647056A809A}"/>
            </c:ext>
          </c:extLst>
        </c:ser>
        <c:dLbls>
          <c:dLblPos val="outEnd"/>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radarChart>
        <c:radarStyle val="marker"/>
        <c:varyColors val="0"/>
        <c:ser>
          <c:idx val="0"/>
          <c:order val="0"/>
          <c:tx>
            <c:strRef>
              <c:f>Sheet1!$C$1</c:f>
              <c:strCache>
                <c:ptCount val="1"/>
                <c:pt idx="0">
                  <c:v>Successful treatment</c:v>
                </c:pt>
              </c:strCache>
            </c:strRef>
          </c:tx>
          <c:spPr>
            <a:ln w="34925" cap="rnd">
              <a:solidFill>
                <a:schemeClr val="dk1">
                  <a:tint val="88500"/>
                </a:schemeClr>
              </a:solidFill>
              <a:round/>
            </a:ln>
            <a:effectLst>
              <a:outerShdw blurRad="40000" dist="23000" dir="5400000" rotWithShape="0">
                <a:srgbClr val="000000">
                  <a:alpha val="35000"/>
                </a:srgbClr>
              </a:outerShdw>
            </a:effectLst>
          </c:spPr>
          <c:marker>
            <c:symbol val="circle"/>
            <c:size val="6"/>
            <c:spPr>
              <a:gradFill rotWithShape="1">
                <a:gsLst>
                  <a:gs pos="0">
                    <a:schemeClr val="dk1">
                      <a:tint val="88500"/>
                      <a:shade val="51000"/>
                      <a:satMod val="130000"/>
                    </a:schemeClr>
                  </a:gs>
                  <a:gs pos="80000">
                    <a:schemeClr val="dk1">
                      <a:tint val="88500"/>
                      <a:shade val="93000"/>
                      <a:satMod val="130000"/>
                    </a:schemeClr>
                  </a:gs>
                  <a:gs pos="100000">
                    <a:schemeClr val="dk1">
                      <a:tint val="88500"/>
                      <a:shade val="94000"/>
                      <a:satMod val="135000"/>
                    </a:schemeClr>
                  </a:gs>
                </a:gsLst>
                <a:lin ang="16200000" scaled="0"/>
              </a:gradFill>
              <a:ln w="9525">
                <a:solidFill>
                  <a:schemeClr val="dk1">
                    <a:tint val="88500"/>
                  </a:schemeClr>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1.224177505738332E-2"/>
                  <c:y val="4.6858359957401494E-2"/>
                </c:manualLayout>
              </c:layout>
              <c:tx>
                <c:rich>
                  <a:bodyPr/>
                  <a:lstStyle/>
                  <a:p>
                    <a:fld id="{DFDF3FFA-4D07-4F2B-9E1F-CA9030C986B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FAF-4098-9CBF-55C1E49C0B7C}"/>
                </c:ext>
              </c:extLst>
            </c:dLbl>
            <c:dLbl>
              <c:idx val="1"/>
              <c:layout>
                <c:manualLayout>
                  <c:x val="-3.2071578190566389E-3"/>
                  <c:y val="4.2619773091517224E-2"/>
                </c:manualLayout>
              </c:layout>
              <c:tx>
                <c:rich>
                  <a:bodyPr/>
                  <a:lstStyle/>
                  <a:p>
                    <a:fld id="{AE9A510C-4519-4AE6-AE1A-9E0AD64F5C7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FAF-4098-9CBF-55C1E49C0B7C}"/>
                </c:ext>
              </c:extLst>
            </c:dLbl>
            <c:dLbl>
              <c:idx val="2"/>
              <c:layout>
                <c:manualLayout>
                  <c:x val="-8.7941487559884696E-3"/>
                  <c:y val="3.4717251252684288E-2"/>
                </c:manualLayout>
              </c:layout>
              <c:tx>
                <c:rich>
                  <a:bodyPr/>
                  <a:lstStyle/>
                  <a:p>
                    <a:fld id="{D5525A56-1B22-4405-A123-C245D581F43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FAF-4098-9CBF-55C1E49C0B7C}"/>
                </c:ext>
              </c:extLst>
            </c:dLbl>
            <c:dLbl>
              <c:idx val="3"/>
              <c:layout>
                <c:manualLayout>
                  <c:x val="-1.7686117812973034E-2"/>
                  <c:y val="1.4032598298503113E-2"/>
                </c:manualLayout>
              </c:layout>
              <c:tx>
                <c:rich>
                  <a:bodyPr/>
                  <a:lstStyle/>
                  <a:p>
                    <a:fld id="{9650DC65-3C5F-4C10-8BBE-F61EFA6E72A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FAF-4098-9CBF-55C1E49C0B7C}"/>
                </c:ext>
              </c:extLst>
            </c:dLbl>
            <c:dLbl>
              <c:idx val="4"/>
              <c:layout>
                <c:manualLayout>
                  <c:x val="-2.1046746351613861E-2"/>
                  <c:y val="-4.5777614483628005E-3"/>
                </c:manualLayout>
              </c:layout>
              <c:tx>
                <c:rich>
                  <a:bodyPr/>
                  <a:lstStyle/>
                  <a:p>
                    <a:fld id="{7FE8CEC0-CAA5-4ABB-A997-3ED7A632033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FAF-4098-9CBF-55C1E49C0B7C}"/>
                </c:ext>
              </c:extLst>
            </c:dLbl>
            <c:dLbl>
              <c:idx val="5"/>
              <c:layout>
                <c:manualLayout>
                  <c:x val="-2.901201495993861E-2"/>
                  <c:y val="-8.9974724599489429E-3"/>
                </c:manualLayout>
              </c:layout>
              <c:tx>
                <c:rich>
                  <a:bodyPr/>
                  <a:lstStyle/>
                  <a:p>
                    <a:fld id="{FB023A26-9DE9-4966-8D36-B9A2DFB1BF8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FAF-4098-9CBF-55C1E49C0B7C}"/>
                </c:ext>
              </c:extLst>
            </c:dLbl>
            <c:dLbl>
              <c:idx val="6"/>
              <c:layout>
                <c:manualLayout>
                  <c:x val="-2.8756057599911511E-2"/>
                  <c:y val="-2.86457706463281E-2"/>
                </c:manualLayout>
              </c:layout>
              <c:tx>
                <c:rich>
                  <a:bodyPr/>
                  <a:lstStyle/>
                  <a:p>
                    <a:fld id="{4E296551-C236-449D-A318-9A68EAD7623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FAF-4098-9CBF-55C1E49C0B7C}"/>
                </c:ext>
              </c:extLst>
            </c:dLbl>
            <c:dLbl>
              <c:idx val="8"/>
              <c:layout>
                <c:manualLayout>
                  <c:x val="-1.7223458898190842E-2"/>
                  <c:y val="-4.6154211616548882E-2"/>
                </c:manualLayout>
              </c:layout>
              <c:tx>
                <c:rich>
                  <a:bodyPr/>
                  <a:lstStyle/>
                  <a:p>
                    <a:fld id="{24D6B101-44BF-41B5-8566-878480C7E1E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FAF-4098-9CBF-55C1E49C0B7C}"/>
                </c:ext>
              </c:extLst>
            </c:dLbl>
            <c:dLbl>
              <c:idx val="9"/>
              <c:layout>
                <c:manualLayout>
                  <c:x val="7.2846743586375677E-4"/>
                  <c:y val="-5.0181488778102253E-2"/>
                </c:manualLayout>
              </c:layout>
              <c:tx>
                <c:rich>
                  <a:bodyPr/>
                  <a:lstStyle/>
                  <a:p>
                    <a:fld id="{B89599E4-FFCC-4012-BC20-D9757690EC1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FFAF-4098-9CBF-55C1E49C0B7C}"/>
                </c:ext>
              </c:extLst>
            </c:dLbl>
            <c:dLbl>
              <c:idx val="10"/>
              <c:layout>
                <c:manualLayout>
                  <c:x val="1.4101332153498371E-2"/>
                  <c:y val="-3.1473891588169337E-2"/>
                </c:manualLayout>
              </c:layout>
              <c:tx>
                <c:rich>
                  <a:bodyPr/>
                  <a:lstStyle/>
                  <a:p>
                    <a:fld id="{A356C8C0-E5DC-41F4-BF49-36AA9AECA83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FAF-4098-9CBF-55C1E49C0B7C}"/>
                </c:ext>
              </c:extLst>
            </c:dLbl>
            <c:dLbl>
              <c:idx val="11"/>
              <c:layout>
                <c:manualLayout>
                  <c:x val="8.7796312554872299E-3"/>
                  <c:y val="-1.2067578439259929E-2"/>
                </c:manualLayout>
              </c:layout>
              <c:tx>
                <c:rich>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mn-lt"/>
                        <a:ea typeface="+mn-ea"/>
                        <a:cs typeface="+mn-cs"/>
                      </a:defRPr>
                    </a:pPr>
                    <a:fld id="{9633A743-52C5-42F9-B635-606DF4B86AB6}" type="VALUE">
                      <a:rPr lang="en-US"/>
                      <a:pPr>
                        <a:defRPr sz="700" b="1"/>
                      </a:pPr>
                      <a:t>[VALUE]</a:t>
                    </a:fld>
                    <a:r>
                      <a:rPr lang="en-US"/>
                      <a:t>%</a:t>
                    </a:r>
                  </a:p>
                </c:rich>
              </c:tx>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9958210337842977E-2"/>
                      <c:h val="4.2417696581169513E-2"/>
                    </c:manualLayout>
                  </c15:layout>
                  <c15:dlblFieldTable/>
                  <c15:showDataLabelsRange val="0"/>
                </c:ext>
                <c:ext xmlns:c16="http://schemas.microsoft.com/office/drawing/2014/chart" uri="{C3380CC4-5D6E-409C-BE32-E72D297353CC}">
                  <c16:uniqueId val="{0000000A-FFAF-4098-9CBF-55C1E49C0B7C}"/>
                </c:ext>
              </c:extLst>
            </c:dLbl>
            <c:dLbl>
              <c:idx val="12"/>
              <c:layout>
                <c:manualLayout>
                  <c:x val="1.4011461912300471E-2"/>
                  <c:y val="1.9414864976149904E-2"/>
                </c:manualLayout>
              </c:layout>
              <c:tx>
                <c:rich>
                  <a:bodyPr/>
                  <a:lstStyle/>
                  <a:p>
                    <a:fld id="{BD55BAB1-5048-482B-B298-D468966F540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FFAF-4098-9CBF-55C1E49C0B7C}"/>
                </c:ext>
              </c:extLst>
            </c:dLbl>
            <c:dLbl>
              <c:idx val="13"/>
              <c:layout>
                <c:manualLayout>
                  <c:x val="1.2828804103613475E-2"/>
                  <c:y val="2.6994951254584766E-2"/>
                </c:manualLayout>
              </c:layout>
              <c:tx>
                <c:rich>
                  <a:bodyPr/>
                  <a:lstStyle/>
                  <a:p>
                    <a:fld id="{7A63BA02-09B0-4084-9158-DFA76ED3287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FFAF-4098-9CBF-55C1E49C0B7C}"/>
                </c:ext>
              </c:extLst>
            </c:dLbl>
            <c:dLbl>
              <c:idx val="14"/>
              <c:layout>
                <c:manualLayout>
                  <c:x val="5.2885180397225662E-3"/>
                  <c:y val="4.2619773091517182E-2"/>
                </c:manualLayout>
              </c:layout>
              <c:tx>
                <c:rich>
                  <a:bodyPr/>
                  <a:lstStyle/>
                  <a:p>
                    <a:fld id="{8D6D4193-7BA3-457A-AF5E-56CD641BA94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FFAF-4098-9CBF-55C1E49C0B7C}"/>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Sheet1!$B$2:$B$16</c:f>
              <c:strCache>
                <c:ptCount val="15"/>
                <c:pt idx="0">
                  <c:v>Namibia</c:v>
                </c:pt>
                <c:pt idx="1">
                  <c:v>Khomas</c:v>
                </c:pt>
                <c:pt idx="2">
                  <c:v>Erongo</c:v>
                </c:pt>
                <c:pt idx="3">
                  <c:v>Ohangwena</c:v>
                </c:pt>
                <c:pt idx="4">
                  <c:v>Oshikoto</c:v>
                </c:pt>
                <c:pt idx="5">
                  <c:v>Kavango West</c:v>
                </c:pt>
                <c:pt idx="6">
                  <c:v>Karas</c:v>
                </c:pt>
                <c:pt idx="7">
                  <c:v>Otjozondjupa</c:v>
                </c:pt>
                <c:pt idx="8">
                  <c:v>Omaheke</c:v>
                </c:pt>
                <c:pt idx="9">
                  <c:v>Zambezi</c:v>
                </c:pt>
                <c:pt idx="10">
                  <c:v>Hardap</c:v>
                </c:pt>
                <c:pt idx="11">
                  <c:v>Kunene</c:v>
                </c:pt>
                <c:pt idx="12">
                  <c:v>Kavango East</c:v>
                </c:pt>
                <c:pt idx="13">
                  <c:v>Oshana</c:v>
                </c:pt>
                <c:pt idx="14">
                  <c:v>Omusati</c:v>
                </c:pt>
              </c:strCache>
            </c:strRef>
          </c:cat>
          <c:val>
            <c:numRef>
              <c:f>Sheet1!$C$2:$C$16</c:f>
              <c:numCache>
                <c:formatCode>0</c:formatCode>
                <c:ptCount val="15"/>
                <c:pt idx="0">
                  <c:v>79.808993442281675</c:v>
                </c:pt>
                <c:pt idx="1">
                  <c:v>78.71634802965275</c:v>
                </c:pt>
                <c:pt idx="2">
                  <c:v>80.042194092827003</c:v>
                </c:pt>
                <c:pt idx="3">
                  <c:v>78.497340425531917</c:v>
                </c:pt>
                <c:pt idx="4">
                  <c:v>80.013596193065936</c:v>
                </c:pt>
                <c:pt idx="5">
                  <c:v>77.479892761394098</c:v>
                </c:pt>
                <c:pt idx="6">
                  <c:v>78.948445171849428</c:v>
                </c:pt>
                <c:pt idx="7">
                  <c:v>28.229007633587788</c:v>
                </c:pt>
                <c:pt idx="8">
                  <c:v>87.666977322149734</c:v>
                </c:pt>
                <c:pt idx="9">
                  <c:v>89.172391233235203</c:v>
                </c:pt>
                <c:pt idx="10">
                  <c:v>82.176604757249919</c:v>
                </c:pt>
                <c:pt idx="11">
                  <c:v>77.239413680781766</c:v>
                </c:pt>
                <c:pt idx="12">
                  <c:v>73.79713914174252</c:v>
                </c:pt>
                <c:pt idx="13">
                  <c:v>81.162540365984924</c:v>
                </c:pt>
                <c:pt idx="14">
                  <c:v>78.689825427614181</c:v>
                </c:pt>
              </c:numCache>
            </c:numRef>
          </c:val>
          <c:extLst>
            <c:ext xmlns:c16="http://schemas.microsoft.com/office/drawing/2014/chart" uri="{C3380CC4-5D6E-409C-BE32-E72D297353CC}">
              <c16:uniqueId val="{0000000E-FFAF-4098-9CBF-55C1E49C0B7C}"/>
            </c:ext>
          </c:extLst>
        </c:ser>
        <c:ser>
          <c:idx val="1"/>
          <c:order val="1"/>
          <c:tx>
            <c:strRef>
              <c:f>Sheet1!$D$1</c:f>
              <c:strCache>
                <c:ptCount val="1"/>
                <c:pt idx="0">
                  <c:v>Unsuccess treatment</c:v>
                </c:pt>
              </c:strCache>
            </c:strRef>
          </c:tx>
          <c:spPr>
            <a:ln w="34925" cap="rnd">
              <a:solidFill>
                <a:schemeClr val="dk1">
                  <a:tint val="55000"/>
                </a:schemeClr>
              </a:solidFill>
              <a:round/>
            </a:ln>
            <a:effectLst>
              <a:outerShdw blurRad="40000" dist="23000" dir="5400000" rotWithShape="0">
                <a:srgbClr val="000000">
                  <a:alpha val="35000"/>
                </a:srgbClr>
              </a:outerShdw>
            </a:effectLst>
          </c:spPr>
          <c:marker>
            <c:symbol val="circle"/>
            <c:size val="6"/>
            <c:spPr>
              <a:gradFill rotWithShape="1">
                <a:gsLst>
                  <a:gs pos="0">
                    <a:schemeClr val="dk1">
                      <a:tint val="55000"/>
                      <a:shade val="51000"/>
                      <a:satMod val="130000"/>
                    </a:schemeClr>
                  </a:gs>
                  <a:gs pos="80000">
                    <a:schemeClr val="dk1">
                      <a:tint val="55000"/>
                      <a:shade val="93000"/>
                      <a:satMod val="130000"/>
                    </a:schemeClr>
                  </a:gs>
                  <a:gs pos="100000">
                    <a:schemeClr val="dk1">
                      <a:tint val="55000"/>
                      <a:shade val="94000"/>
                      <a:satMod val="135000"/>
                    </a:schemeClr>
                  </a:gs>
                </a:gsLst>
                <a:lin ang="16200000" scaled="0"/>
              </a:gradFill>
              <a:ln w="9525">
                <a:solidFill>
                  <a:schemeClr val="dk1">
                    <a:tint val="55000"/>
                  </a:schemeClr>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tx>
                <c:rich>
                  <a:bodyPr/>
                  <a:lstStyle/>
                  <a:p>
                    <a:fld id="{BC087C8D-EFE9-471B-A80C-F44B5AD9784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FFAF-4098-9CBF-55C1E49C0B7C}"/>
                </c:ext>
              </c:extLst>
            </c:dLbl>
            <c:dLbl>
              <c:idx val="1"/>
              <c:tx>
                <c:rich>
                  <a:bodyPr/>
                  <a:lstStyle/>
                  <a:p>
                    <a:fld id="{CD523BC2-B689-4649-94EA-B452696C2769}"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FFAF-4098-9CBF-55C1E49C0B7C}"/>
                </c:ext>
              </c:extLst>
            </c:dLbl>
            <c:dLbl>
              <c:idx val="2"/>
              <c:tx>
                <c:rich>
                  <a:bodyPr/>
                  <a:lstStyle/>
                  <a:p>
                    <a:fld id="{6C4965F3-7F77-473D-8318-B74F6F3B66A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FFAF-4098-9CBF-55C1E49C0B7C}"/>
                </c:ext>
              </c:extLst>
            </c:dLbl>
            <c:dLbl>
              <c:idx val="3"/>
              <c:tx>
                <c:rich>
                  <a:bodyPr/>
                  <a:lstStyle/>
                  <a:p>
                    <a:fld id="{334A386D-2770-40F9-A8C1-A9AB6377F91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FFAF-4098-9CBF-55C1E49C0B7C}"/>
                </c:ext>
              </c:extLst>
            </c:dLbl>
            <c:dLbl>
              <c:idx val="4"/>
              <c:tx>
                <c:rich>
                  <a:bodyPr/>
                  <a:lstStyle/>
                  <a:p>
                    <a:fld id="{42B4528C-062B-463A-98BC-C4CC6929E87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FFAF-4098-9CBF-55C1E49C0B7C}"/>
                </c:ext>
              </c:extLst>
            </c:dLbl>
            <c:dLbl>
              <c:idx val="5"/>
              <c:tx>
                <c:rich>
                  <a:bodyPr/>
                  <a:lstStyle/>
                  <a:p>
                    <a:fld id="{E5DD9896-4F7E-4FA9-BB6B-659F1C1731F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FFAF-4098-9CBF-55C1E49C0B7C}"/>
                </c:ext>
              </c:extLst>
            </c:dLbl>
            <c:dLbl>
              <c:idx val="6"/>
              <c:tx>
                <c:rich>
                  <a:bodyPr/>
                  <a:lstStyle/>
                  <a:p>
                    <a:fld id="{29A0E7AB-8618-47C1-BE89-972F999FA0F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FFAF-4098-9CBF-55C1E49C0B7C}"/>
                </c:ext>
              </c:extLst>
            </c:dLbl>
            <c:dLbl>
              <c:idx val="7"/>
              <c:layout>
                <c:manualLayout>
                  <c:x val="-9.7919204063363664E-3"/>
                  <c:y val="-3.90625E-2"/>
                </c:manualLayout>
              </c:layout>
              <c:tx>
                <c:rich>
                  <a:bodyPr/>
                  <a:lstStyle/>
                  <a:p>
                    <a:fld id="{2C9CC98F-126B-4D39-8FC4-9A4A6EDEACD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FFAF-4098-9CBF-55C1E49C0B7C}"/>
                </c:ext>
              </c:extLst>
            </c:dLbl>
            <c:dLbl>
              <c:idx val="11"/>
              <c:tx>
                <c:rich>
                  <a:bodyPr/>
                  <a:lstStyle/>
                  <a:p>
                    <a:fld id="{485BB63C-AF71-459A-A3EC-1106C01BA36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FFAF-4098-9CBF-55C1E49C0B7C}"/>
                </c:ext>
              </c:extLst>
            </c:dLbl>
            <c:dLbl>
              <c:idx val="12"/>
              <c:tx>
                <c:rich>
                  <a:bodyPr/>
                  <a:lstStyle/>
                  <a:p>
                    <a:fld id="{F337175E-697D-4B43-9D49-5F72792AB68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FFAF-4098-9CBF-55C1E49C0B7C}"/>
                </c:ext>
              </c:extLst>
            </c:dLbl>
            <c:dLbl>
              <c:idx val="13"/>
              <c:tx>
                <c:rich>
                  <a:bodyPr/>
                  <a:lstStyle/>
                  <a:p>
                    <a:fld id="{D5DC37A5-A244-4901-BA74-D7849DD2F6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FFAF-4098-9CBF-55C1E49C0B7C}"/>
                </c:ext>
              </c:extLst>
            </c:dLbl>
            <c:dLbl>
              <c:idx val="14"/>
              <c:layout>
                <c:manualLayout>
                  <c:x val="-1.755926251097454E-2"/>
                  <c:y val="-2.0112630732099759E-2"/>
                </c:manualLayout>
              </c:layout>
              <c:tx>
                <c:rich>
                  <a:bodyPr/>
                  <a:lstStyle/>
                  <a:p>
                    <a:fld id="{D23C094A-204B-4135-9E88-1DF9CB14CF3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A-FFAF-4098-9CBF-55C1E49C0B7C}"/>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Sheet1!$B$2:$B$16</c:f>
              <c:strCache>
                <c:ptCount val="15"/>
                <c:pt idx="0">
                  <c:v>Namibia</c:v>
                </c:pt>
                <c:pt idx="1">
                  <c:v>Khomas</c:v>
                </c:pt>
                <c:pt idx="2">
                  <c:v>Erongo</c:v>
                </c:pt>
                <c:pt idx="3">
                  <c:v>Ohangwena</c:v>
                </c:pt>
                <c:pt idx="4">
                  <c:v>Oshikoto</c:v>
                </c:pt>
                <c:pt idx="5">
                  <c:v>Kavango West</c:v>
                </c:pt>
                <c:pt idx="6">
                  <c:v>Karas</c:v>
                </c:pt>
                <c:pt idx="7">
                  <c:v>Otjozondjupa</c:v>
                </c:pt>
                <c:pt idx="8">
                  <c:v>Omaheke</c:v>
                </c:pt>
                <c:pt idx="9">
                  <c:v>Zambezi</c:v>
                </c:pt>
                <c:pt idx="10">
                  <c:v>Hardap</c:v>
                </c:pt>
                <c:pt idx="11">
                  <c:v>Kunene</c:v>
                </c:pt>
                <c:pt idx="12">
                  <c:v>Kavango East</c:v>
                </c:pt>
                <c:pt idx="13">
                  <c:v>Oshana</c:v>
                </c:pt>
                <c:pt idx="14">
                  <c:v>Omusati</c:v>
                </c:pt>
              </c:strCache>
            </c:strRef>
          </c:cat>
          <c:val>
            <c:numRef>
              <c:f>Sheet1!$D$2:$D$16</c:f>
              <c:numCache>
                <c:formatCode>0</c:formatCode>
                <c:ptCount val="15"/>
                <c:pt idx="0">
                  <c:v>20.191006557718332</c:v>
                </c:pt>
                <c:pt idx="1">
                  <c:v>21.28365197034725</c:v>
                </c:pt>
                <c:pt idx="2">
                  <c:v>19.957805907172997</c:v>
                </c:pt>
                <c:pt idx="3">
                  <c:v>21.502659574468087</c:v>
                </c:pt>
                <c:pt idx="4">
                  <c:v>19.98640380693406</c:v>
                </c:pt>
                <c:pt idx="5">
                  <c:v>22.520107238605899</c:v>
                </c:pt>
                <c:pt idx="6">
                  <c:v>21.051554828150572</c:v>
                </c:pt>
                <c:pt idx="7">
                  <c:v>71.770992366412216</c:v>
                </c:pt>
                <c:pt idx="8">
                  <c:v>12.333022677850265</c:v>
                </c:pt>
                <c:pt idx="9">
                  <c:v>10.827608766764802</c:v>
                </c:pt>
                <c:pt idx="10">
                  <c:v>17.823395242750081</c:v>
                </c:pt>
                <c:pt idx="11">
                  <c:v>22.760586319218241</c:v>
                </c:pt>
                <c:pt idx="12">
                  <c:v>26.202860858257477</c:v>
                </c:pt>
                <c:pt idx="13">
                  <c:v>18.837459634015069</c:v>
                </c:pt>
                <c:pt idx="14">
                  <c:v>21.310174572385822</c:v>
                </c:pt>
              </c:numCache>
            </c:numRef>
          </c:val>
          <c:extLst>
            <c:ext xmlns:c16="http://schemas.microsoft.com/office/drawing/2014/chart" uri="{C3380CC4-5D6E-409C-BE32-E72D297353CC}">
              <c16:uniqueId val="{0000001B-FFAF-4098-9CBF-55C1E49C0B7C}"/>
            </c:ext>
          </c:extLst>
        </c:ser>
        <c:dLbls>
          <c:showLegendKey val="0"/>
          <c:showVal val="1"/>
          <c:showCatName val="0"/>
          <c:showSerName val="0"/>
          <c:showPercent val="0"/>
          <c:showBubbleSize val="0"/>
        </c:dLbls>
        <c:axId val="1090529200"/>
        <c:axId val="1090522128"/>
      </c:radarChart>
      <c:catAx>
        <c:axId val="109052920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0522128"/>
        <c:crosses val="autoZero"/>
        <c:auto val="1"/>
        <c:lblAlgn val="ctr"/>
        <c:lblOffset val="100"/>
        <c:noMultiLvlLbl val="0"/>
      </c:catAx>
      <c:valAx>
        <c:axId val="1090522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0905292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5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B3EE-3264-41DB-A002-3F8F4D27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32650</Words>
  <Characters>186105</Characters>
  <Application>Microsoft Office Word</Application>
  <DocSecurity>0</DocSecurity>
  <Lines>1550</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Brian Godman</cp:lastModifiedBy>
  <cp:revision>4</cp:revision>
  <dcterms:created xsi:type="dcterms:W3CDTF">2018-09-04T20:01:00Z</dcterms:created>
  <dcterms:modified xsi:type="dcterms:W3CDTF">2018-09-04T20:07:00Z</dcterms:modified>
</cp:coreProperties>
</file>