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A62A2" w14:textId="750C5F52" w:rsidR="009A1026" w:rsidRPr="00E94EE6" w:rsidRDefault="009A1026" w:rsidP="009A1026">
      <w:pPr>
        <w:spacing w:line="360" w:lineRule="auto"/>
        <w:jc w:val="both"/>
        <w:rPr>
          <w:b/>
          <w:i w:val="0"/>
          <w:sz w:val="28"/>
          <w:szCs w:val="28"/>
          <w:lang w:val="en-US"/>
        </w:rPr>
      </w:pPr>
      <w:r w:rsidRPr="00E94EE6">
        <w:rPr>
          <w:b/>
          <w:i w:val="0"/>
          <w:sz w:val="28"/>
          <w:szCs w:val="28"/>
          <w:lang w:val="en-US"/>
        </w:rPr>
        <w:t>Is timing everything in horse betting? Bet amount, timing and bettors’ returns in pari-mutuel wagering markets</w:t>
      </w:r>
    </w:p>
    <w:p w14:paraId="524F0E71" w14:textId="77777777" w:rsidR="009A1026" w:rsidRDefault="009A1026" w:rsidP="009A1026">
      <w:pPr>
        <w:spacing w:line="360" w:lineRule="auto"/>
        <w:jc w:val="both"/>
        <w:rPr>
          <w:i w:val="0"/>
          <w:sz w:val="24"/>
          <w:szCs w:val="24"/>
        </w:rPr>
      </w:pPr>
    </w:p>
    <w:p w14:paraId="1476CB54" w14:textId="79447525" w:rsidR="009A1026" w:rsidRPr="009A1026" w:rsidRDefault="009A1026" w:rsidP="009A1026">
      <w:pPr>
        <w:spacing w:line="360" w:lineRule="auto"/>
        <w:jc w:val="both"/>
        <w:rPr>
          <w:i w:val="0"/>
          <w:sz w:val="24"/>
          <w:szCs w:val="24"/>
        </w:rPr>
      </w:pPr>
      <w:r w:rsidRPr="009A1026">
        <w:rPr>
          <w:i w:val="0"/>
          <w:sz w:val="24"/>
          <w:szCs w:val="24"/>
        </w:rPr>
        <w:t>Niko Suhonen</w:t>
      </w:r>
      <w:r w:rsidRPr="009A1026">
        <w:rPr>
          <w:i w:val="0"/>
          <w:sz w:val="24"/>
          <w:szCs w:val="24"/>
          <w:vertAlign w:val="superscript"/>
        </w:rPr>
        <w:t>*</w:t>
      </w:r>
      <w:r w:rsidRPr="009A1026">
        <w:rPr>
          <w:i w:val="0"/>
          <w:sz w:val="24"/>
          <w:szCs w:val="24"/>
        </w:rPr>
        <w:t>, Jani Saastamoinen</w:t>
      </w:r>
      <w:r w:rsidRPr="009A1026">
        <w:rPr>
          <w:i w:val="0"/>
          <w:sz w:val="24"/>
          <w:szCs w:val="24"/>
          <w:vertAlign w:val="superscript"/>
        </w:rPr>
        <w:t>*C</w:t>
      </w:r>
      <w:r w:rsidRPr="009A1026">
        <w:rPr>
          <w:i w:val="0"/>
          <w:sz w:val="24"/>
          <w:szCs w:val="24"/>
        </w:rPr>
        <w:t>, Tuomo Kainulainen</w:t>
      </w:r>
      <w:r w:rsidRPr="009A1026">
        <w:rPr>
          <w:i w:val="0"/>
          <w:sz w:val="24"/>
          <w:szCs w:val="24"/>
          <w:vertAlign w:val="superscript"/>
        </w:rPr>
        <w:t>*</w:t>
      </w:r>
      <w:r w:rsidRPr="009A1026">
        <w:rPr>
          <w:i w:val="0"/>
          <w:sz w:val="24"/>
          <w:szCs w:val="24"/>
        </w:rPr>
        <w:t>, David Forrest</w:t>
      </w:r>
      <w:r w:rsidRPr="009A1026">
        <w:rPr>
          <w:i w:val="0"/>
          <w:sz w:val="24"/>
          <w:szCs w:val="24"/>
          <w:vertAlign w:val="superscript"/>
        </w:rPr>
        <w:t>**</w:t>
      </w:r>
    </w:p>
    <w:p w14:paraId="2C630D44" w14:textId="77777777" w:rsidR="009A1026" w:rsidRPr="009A1026" w:rsidRDefault="009A1026" w:rsidP="009A1026">
      <w:pPr>
        <w:spacing w:after="0" w:line="360" w:lineRule="auto"/>
        <w:jc w:val="both"/>
        <w:rPr>
          <w:i w:val="0"/>
          <w:sz w:val="24"/>
          <w:szCs w:val="24"/>
          <w:lang w:val="en-US"/>
        </w:rPr>
      </w:pPr>
      <w:r w:rsidRPr="009A1026">
        <w:rPr>
          <w:i w:val="0"/>
          <w:sz w:val="24"/>
          <w:szCs w:val="24"/>
          <w:vertAlign w:val="superscript"/>
          <w:lang w:val="en-US"/>
        </w:rPr>
        <w:t>*</w:t>
      </w:r>
      <w:r w:rsidRPr="009A1026">
        <w:rPr>
          <w:i w:val="0"/>
          <w:sz w:val="24"/>
          <w:szCs w:val="24"/>
          <w:lang w:val="en-US"/>
        </w:rPr>
        <w:t>University of Eastern Finland Business School</w:t>
      </w:r>
    </w:p>
    <w:p w14:paraId="6F00A292" w14:textId="37A9C4EE" w:rsidR="009A1026" w:rsidRPr="009A1026" w:rsidRDefault="009A1026" w:rsidP="009A1026">
      <w:pPr>
        <w:spacing w:after="0" w:line="360" w:lineRule="auto"/>
        <w:jc w:val="both"/>
        <w:rPr>
          <w:i w:val="0"/>
          <w:sz w:val="24"/>
          <w:szCs w:val="24"/>
          <w:lang w:val="en-US"/>
        </w:rPr>
      </w:pPr>
      <w:r w:rsidRPr="009A1026">
        <w:rPr>
          <w:i w:val="0"/>
          <w:sz w:val="24"/>
          <w:szCs w:val="24"/>
          <w:vertAlign w:val="superscript"/>
          <w:lang w:val="en-US"/>
        </w:rPr>
        <w:t>**</w:t>
      </w:r>
      <w:r w:rsidRPr="009A1026">
        <w:rPr>
          <w:i w:val="0"/>
          <w:sz w:val="24"/>
          <w:szCs w:val="24"/>
          <w:lang w:val="en-US"/>
        </w:rPr>
        <w:t xml:space="preserve">University of Liverpool </w:t>
      </w:r>
      <w:r w:rsidR="00850CA3">
        <w:rPr>
          <w:i w:val="0"/>
          <w:sz w:val="24"/>
          <w:szCs w:val="24"/>
          <w:lang w:val="en-US"/>
        </w:rPr>
        <w:t>Management School</w:t>
      </w:r>
    </w:p>
    <w:p w14:paraId="0669B613" w14:textId="3E465C54" w:rsidR="009A1026" w:rsidRPr="009A1026" w:rsidRDefault="009A1026" w:rsidP="009A1026">
      <w:pPr>
        <w:spacing w:after="0" w:line="360" w:lineRule="auto"/>
        <w:jc w:val="both"/>
        <w:rPr>
          <w:i w:val="0"/>
          <w:sz w:val="24"/>
          <w:szCs w:val="24"/>
          <w:lang w:val="en-US"/>
        </w:rPr>
      </w:pPr>
      <w:r w:rsidRPr="009A1026">
        <w:rPr>
          <w:i w:val="0"/>
          <w:sz w:val="24"/>
          <w:szCs w:val="24"/>
          <w:vertAlign w:val="superscript"/>
          <w:lang w:val="en-US"/>
        </w:rPr>
        <w:t>C</w:t>
      </w:r>
      <w:r>
        <w:rPr>
          <w:i w:val="0"/>
          <w:sz w:val="24"/>
          <w:szCs w:val="24"/>
          <w:lang w:val="en-US"/>
        </w:rPr>
        <w:t>Co</w:t>
      </w:r>
      <w:r w:rsidRPr="009A1026">
        <w:rPr>
          <w:i w:val="0"/>
          <w:sz w:val="24"/>
          <w:szCs w:val="24"/>
          <w:lang w:val="en-US"/>
        </w:rPr>
        <w:t>rresponding author</w:t>
      </w:r>
      <w:r>
        <w:rPr>
          <w:i w:val="0"/>
          <w:sz w:val="24"/>
          <w:szCs w:val="24"/>
          <w:lang w:val="en-US"/>
        </w:rPr>
        <w:t>.</w:t>
      </w:r>
      <w:r w:rsidRPr="009A1026">
        <w:rPr>
          <w:i w:val="0"/>
          <w:sz w:val="24"/>
          <w:szCs w:val="24"/>
          <w:lang w:val="en-US"/>
        </w:rPr>
        <w:t xml:space="preserve"> Address: </w:t>
      </w:r>
      <w:r>
        <w:rPr>
          <w:i w:val="0"/>
          <w:sz w:val="24"/>
          <w:szCs w:val="24"/>
          <w:lang w:val="en-US"/>
        </w:rPr>
        <w:t>P.O. Box 111</w:t>
      </w:r>
      <w:r w:rsidRPr="009A1026">
        <w:rPr>
          <w:i w:val="0"/>
          <w:sz w:val="24"/>
          <w:szCs w:val="24"/>
          <w:lang w:val="en-US"/>
        </w:rPr>
        <w:t xml:space="preserve"> FI-81101 Joensuu Finland, e-mail:</w:t>
      </w:r>
    </w:p>
    <w:p w14:paraId="207AB445" w14:textId="77777777" w:rsidR="009A1026" w:rsidRPr="009A1026" w:rsidRDefault="009A1026" w:rsidP="009A1026">
      <w:pPr>
        <w:spacing w:after="0" w:line="360" w:lineRule="auto"/>
        <w:jc w:val="both"/>
        <w:rPr>
          <w:i w:val="0"/>
          <w:sz w:val="24"/>
          <w:szCs w:val="24"/>
          <w:lang w:val="en-US"/>
        </w:rPr>
      </w:pPr>
      <w:r w:rsidRPr="009A1026">
        <w:rPr>
          <w:i w:val="0"/>
          <w:sz w:val="24"/>
          <w:szCs w:val="24"/>
          <w:lang w:val="en-US"/>
        </w:rPr>
        <w:t>jani.saastamoinen@uef.fi, tel. +358 50 442 3463.</w:t>
      </w:r>
    </w:p>
    <w:p w14:paraId="7810BED7" w14:textId="77777777" w:rsidR="009A1026" w:rsidRDefault="009A1026" w:rsidP="009A1026">
      <w:pPr>
        <w:spacing w:line="360" w:lineRule="auto"/>
        <w:jc w:val="both"/>
        <w:rPr>
          <w:b/>
          <w:i w:val="0"/>
          <w:sz w:val="24"/>
          <w:szCs w:val="24"/>
          <w:lang w:val="en-US"/>
        </w:rPr>
      </w:pPr>
    </w:p>
    <w:p w14:paraId="7AFAB242" w14:textId="5E18CA2B" w:rsidR="009A1026" w:rsidRPr="009A1026" w:rsidRDefault="009A1026" w:rsidP="009A1026">
      <w:pPr>
        <w:spacing w:line="360" w:lineRule="auto"/>
        <w:rPr>
          <w:b/>
          <w:i w:val="0"/>
          <w:sz w:val="24"/>
          <w:szCs w:val="24"/>
          <w:lang w:val="en-US"/>
        </w:rPr>
      </w:pPr>
      <w:r w:rsidRPr="009A1026">
        <w:rPr>
          <w:b/>
          <w:i w:val="0"/>
          <w:sz w:val="24"/>
          <w:szCs w:val="24"/>
          <w:lang w:val="en-US"/>
        </w:rPr>
        <w:t>Abstract</w:t>
      </w:r>
    </w:p>
    <w:p w14:paraId="3F0E912F" w14:textId="721A341F" w:rsidR="009A1026" w:rsidRDefault="009A1026" w:rsidP="009A1026">
      <w:pPr>
        <w:spacing w:line="360" w:lineRule="auto"/>
        <w:jc w:val="both"/>
        <w:rPr>
          <w:i w:val="0"/>
          <w:sz w:val="24"/>
          <w:szCs w:val="24"/>
          <w:lang w:val="en-US"/>
        </w:rPr>
      </w:pPr>
      <w:r w:rsidRPr="009A1026">
        <w:rPr>
          <w:i w:val="0"/>
          <w:sz w:val="24"/>
          <w:szCs w:val="24"/>
          <w:lang w:val="en-US"/>
        </w:rPr>
        <w:t>Noise trader models suggest that ‘smart money’ profits from uninformed speculators. This</w:t>
      </w:r>
      <w:r>
        <w:rPr>
          <w:i w:val="0"/>
          <w:sz w:val="24"/>
          <w:szCs w:val="24"/>
          <w:lang w:val="en-US"/>
        </w:rPr>
        <w:t xml:space="preserve"> </w:t>
      </w:r>
      <w:r w:rsidRPr="009A1026">
        <w:rPr>
          <w:i w:val="0"/>
          <w:sz w:val="24"/>
          <w:szCs w:val="24"/>
          <w:lang w:val="en-US"/>
        </w:rPr>
        <w:t>paper investigates how rates of return are associated with the timing of a bet and the amount</w:t>
      </w:r>
      <w:r>
        <w:rPr>
          <w:i w:val="0"/>
          <w:sz w:val="24"/>
          <w:szCs w:val="24"/>
          <w:lang w:val="en-US"/>
        </w:rPr>
        <w:t xml:space="preserve"> </w:t>
      </w:r>
      <w:r w:rsidRPr="009A1026">
        <w:rPr>
          <w:i w:val="0"/>
          <w:sz w:val="24"/>
          <w:szCs w:val="24"/>
          <w:lang w:val="en-US"/>
        </w:rPr>
        <w:t>staked in a pari-mutuel horse betting market. We employ a novel data set measured at the</w:t>
      </w:r>
      <w:r>
        <w:rPr>
          <w:i w:val="0"/>
          <w:sz w:val="24"/>
          <w:szCs w:val="24"/>
          <w:lang w:val="en-US"/>
        </w:rPr>
        <w:t xml:space="preserve"> </w:t>
      </w:r>
      <w:r w:rsidRPr="009A1026">
        <w:rPr>
          <w:i w:val="0"/>
          <w:sz w:val="24"/>
          <w:szCs w:val="24"/>
          <w:lang w:val="en-US"/>
        </w:rPr>
        <w:t>level of individual bettors on the Finnish monopoly operator’s online platform. Our findings</w:t>
      </w:r>
      <w:r>
        <w:rPr>
          <w:i w:val="0"/>
          <w:sz w:val="24"/>
          <w:szCs w:val="24"/>
          <w:lang w:val="en-US"/>
        </w:rPr>
        <w:t xml:space="preserve"> </w:t>
      </w:r>
      <w:r w:rsidRPr="009A1026">
        <w:rPr>
          <w:i w:val="0"/>
          <w:sz w:val="24"/>
          <w:szCs w:val="24"/>
          <w:lang w:val="en-US"/>
        </w:rPr>
        <w:t>suggest that, relative to other bets, late high-stakes wagers are more profitable. This implies</w:t>
      </w:r>
      <w:r>
        <w:rPr>
          <w:i w:val="0"/>
          <w:sz w:val="24"/>
          <w:szCs w:val="24"/>
          <w:lang w:val="en-US"/>
        </w:rPr>
        <w:t xml:space="preserve"> </w:t>
      </w:r>
      <w:r w:rsidRPr="009A1026">
        <w:rPr>
          <w:i w:val="0"/>
          <w:sz w:val="24"/>
          <w:szCs w:val="24"/>
          <w:lang w:val="en-US"/>
        </w:rPr>
        <w:t>that, along with timing, bet sizes should be accounted for when analysing market efficiency.</w:t>
      </w:r>
    </w:p>
    <w:p w14:paraId="0F41CE45" w14:textId="038A5B66" w:rsidR="009A1026" w:rsidRDefault="009A1026" w:rsidP="009A1026">
      <w:pPr>
        <w:spacing w:line="360" w:lineRule="auto"/>
        <w:jc w:val="both"/>
        <w:rPr>
          <w:b/>
          <w:i w:val="0"/>
          <w:sz w:val="24"/>
          <w:szCs w:val="24"/>
          <w:lang w:val="en-US"/>
        </w:rPr>
      </w:pPr>
    </w:p>
    <w:p w14:paraId="076348B3" w14:textId="77777777" w:rsidR="009A1026" w:rsidRDefault="009A1026" w:rsidP="009A1026">
      <w:pPr>
        <w:spacing w:line="360" w:lineRule="auto"/>
        <w:jc w:val="both"/>
        <w:rPr>
          <w:b/>
          <w:i w:val="0"/>
          <w:sz w:val="24"/>
          <w:szCs w:val="24"/>
          <w:lang w:val="en-US"/>
        </w:rPr>
      </w:pPr>
      <w:bookmarkStart w:id="0" w:name="_GoBack"/>
      <w:bookmarkEnd w:id="0"/>
    </w:p>
    <w:p w14:paraId="6A92E1D0" w14:textId="6B5A6F0D" w:rsidR="009A1026" w:rsidRPr="009A1026" w:rsidRDefault="009A1026" w:rsidP="009A1026">
      <w:pPr>
        <w:spacing w:line="360" w:lineRule="auto"/>
        <w:jc w:val="both"/>
        <w:rPr>
          <w:b/>
          <w:i w:val="0"/>
          <w:sz w:val="24"/>
          <w:szCs w:val="24"/>
          <w:lang w:val="en-US"/>
        </w:rPr>
      </w:pPr>
      <w:r w:rsidRPr="009A1026">
        <w:rPr>
          <w:b/>
          <w:i w:val="0"/>
          <w:sz w:val="24"/>
          <w:szCs w:val="24"/>
          <w:lang w:val="en-US"/>
        </w:rPr>
        <w:t xml:space="preserve">Keywords: </w:t>
      </w:r>
      <w:r w:rsidRPr="009A1026">
        <w:rPr>
          <w:i w:val="0"/>
          <w:sz w:val="24"/>
          <w:szCs w:val="24"/>
          <w:lang w:val="en-US"/>
        </w:rPr>
        <w:t>bet size, individual-level data, market efficiency, pari-mutuel betting, timing</w:t>
      </w:r>
    </w:p>
    <w:p w14:paraId="1FEDE3F9" w14:textId="77777777" w:rsidR="009A1026" w:rsidRPr="009A1026" w:rsidRDefault="009A1026" w:rsidP="009A1026">
      <w:pPr>
        <w:spacing w:line="360" w:lineRule="auto"/>
        <w:jc w:val="both"/>
        <w:rPr>
          <w:b/>
          <w:i w:val="0"/>
          <w:sz w:val="24"/>
          <w:szCs w:val="24"/>
          <w:lang w:val="en-US"/>
        </w:rPr>
      </w:pPr>
      <w:r w:rsidRPr="009A1026">
        <w:rPr>
          <w:b/>
          <w:i w:val="0"/>
          <w:sz w:val="24"/>
          <w:szCs w:val="24"/>
          <w:lang w:val="en-US"/>
        </w:rPr>
        <w:t xml:space="preserve">JEL: </w:t>
      </w:r>
      <w:r w:rsidRPr="009A1026">
        <w:rPr>
          <w:i w:val="0"/>
          <w:sz w:val="24"/>
          <w:szCs w:val="24"/>
          <w:lang w:val="en-US"/>
        </w:rPr>
        <w:t>D80, G14</w:t>
      </w:r>
    </w:p>
    <w:p w14:paraId="724E8304" w14:textId="29B6616F" w:rsidR="009A1026" w:rsidRDefault="009A1026" w:rsidP="009A1026">
      <w:pPr>
        <w:spacing w:line="360" w:lineRule="auto"/>
        <w:jc w:val="both"/>
        <w:rPr>
          <w:b/>
          <w:i w:val="0"/>
          <w:sz w:val="24"/>
          <w:szCs w:val="24"/>
          <w:lang w:val="en-US"/>
        </w:rPr>
      </w:pPr>
    </w:p>
    <w:p w14:paraId="54C4A4DB" w14:textId="3ABC3F71" w:rsidR="009A1026" w:rsidRDefault="009A1026" w:rsidP="009A1026">
      <w:pPr>
        <w:spacing w:line="360" w:lineRule="auto"/>
        <w:jc w:val="both"/>
        <w:rPr>
          <w:b/>
          <w:i w:val="0"/>
          <w:sz w:val="24"/>
          <w:szCs w:val="24"/>
          <w:lang w:val="en-US"/>
        </w:rPr>
      </w:pPr>
    </w:p>
    <w:p w14:paraId="62DAAA77" w14:textId="65764910" w:rsidR="009A1026" w:rsidRDefault="009A1026" w:rsidP="009A1026">
      <w:pPr>
        <w:spacing w:line="360" w:lineRule="auto"/>
        <w:jc w:val="both"/>
        <w:rPr>
          <w:b/>
          <w:i w:val="0"/>
          <w:sz w:val="24"/>
          <w:szCs w:val="24"/>
          <w:lang w:val="en-US"/>
        </w:rPr>
      </w:pPr>
    </w:p>
    <w:p w14:paraId="05DDD7E9" w14:textId="7F26EDFF" w:rsidR="009A1026" w:rsidRDefault="009A1026" w:rsidP="009A1026">
      <w:pPr>
        <w:spacing w:line="360" w:lineRule="auto"/>
        <w:jc w:val="both"/>
        <w:rPr>
          <w:b/>
          <w:i w:val="0"/>
          <w:sz w:val="24"/>
          <w:szCs w:val="24"/>
          <w:lang w:val="en-US"/>
        </w:rPr>
      </w:pPr>
    </w:p>
    <w:p w14:paraId="13853924" w14:textId="77777777" w:rsidR="009A1026" w:rsidRDefault="009A1026" w:rsidP="009A1026">
      <w:pPr>
        <w:spacing w:line="360" w:lineRule="auto"/>
        <w:jc w:val="both"/>
        <w:rPr>
          <w:b/>
          <w:i w:val="0"/>
          <w:sz w:val="24"/>
          <w:szCs w:val="24"/>
          <w:lang w:val="en-US"/>
        </w:rPr>
      </w:pPr>
    </w:p>
    <w:p w14:paraId="31AE97B2" w14:textId="7EA49E37" w:rsidR="009A1026" w:rsidRDefault="009A1026" w:rsidP="009A1026">
      <w:pPr>
        <w:spacing w:line="360" w:lineRule="auto"/>
        <w:jc w:val="both"/>
        <w:rPr>
          <w:b/>
          <w:i w:val="0"/>
          <w:sz w:val="24"/>
          <w:szCs w:val="24"/>
          <w:lang w:val="en-US"/>
        </w:rPr>
      </w:pPr>
      <w:r>
        <w:rPr>
          <w:b/>
          <w:i w:val="0"/>
          <w:sz w:val="24"/>
          <w:szCs w:val="24"/>
          <w:lang w:val="en-US"/>
        </w:rPr>
        <w:br w:type="page"/>
      </w:r>
    </w:p>
    <w:p w14:paraId="6C36E83A" w14:textId="7C61029B" w:rsidR="00C00CDE" w:rsidRPr="00D46558" w:rsidRDefault="00C00CDE" w:rsidP="009A1026">
      <w:pPr>
        <w:spacing w:line="360" w:lineRule="auto"/>
        <w:jc w:val="both"/>
        <w:rPr>
          <w:b/>
          <w:i w:val="0"/>
          <w:sz w:val="24"/>
          <w:szCs w:val="24"/>
          <w:lang w:val="en-GB"/>
        </w:rPr>
      </w:pPr>
      <w:r w:rsidRPr="00D46558">
        <w:rPr>
          <w:b/>
          <w:i w:val="0"/>
          <w:sz w:val="24"/>
          <w:szCs w:val="24"/>
          <w:lang w:val="en-GB"/>
        </w:rPr>
        <w:lastRenderedPageBreak/>
        <w:t>1. Introduction</w:t>
      </w:r>
    </w:p>
    <w:p w14:paraId="1177DB28" w14:textId="16BF1DB5" w:rsidR="00C00CDE" w:rsidRDefault="00C00CDE" w:rsidP="00E94EE6">
      <w:pPr>
        <w:spacing w:after="0" w:line="360" w:lineRule="auto"/>
        <w:jc w:val="both"/>
        <w:rPr>
          <w:i w:val="0"/>
          <w:sz w:val="24"/>
          <w:szCs w:val="24"/>
          <w:lang w:val="en-GB"/>
        </w:rPr>
      </w:pPr>
      <w:r>
        <w:rPr>
          <w:i w:val="0"/>
          <w:sz w:val="24"/>
          <w:szCs w:val="24"/>
          <w:lang w:val="en-GB"/>
        </w:rPr>
        <w:t>The theory of noise traders suggests that</w:t>
      </w:r>
      <w:r w:rsidRPr="00312E06">
        <w:rPr>
          <w:i w:val="0"/>
          <w:sz w:val="24"/>
          <w:szCs w:val="24"/>
          <w:lang w:val="en-GB"/>
        </w:rPr>
        <w:t xml:space="preserve"> </w:t>
      </w:r>
      <w:r>
        <w:rPr>
          <w:i w:val="0"/>
          <w:sz w:val="24"/>
          <w:szCs w:val="24"/>
          <w:lang w:val="en-GB"/>
        </w:rPr>
        <w:t>informed traders profit from uninformed speculators (‘</w:t>
      </w:r>
      <w:r w:rsidRPr="00312E06">
        <w:rPr>
          <w:i w:val="0"/>
          <w:sz w:val="24"/>
          <w:szCs w:val="24"/>
          <w:lang w:val="en-GB"/>
        </w:rPr>
        <w:t>noise</w:t>
      </w:r>
      <w:r>
        <w:rPr>
          <w:i w:val="0"/>
          <w:sz w:val="24"/>
          <w:szCs w:val="24"/>
          <w:lang w:val="en-GB"/>
        </w:rPr>
        <w:t xml:space="preserve">’) in financial markets </w:t>
      </w:r>
      <w:r w:rsidRPr="00312E06">
        <w:rPr>
          <w:i w:val="0"/>
          <w:sz w:val="24"/>
          <w:szCs w:val="24"/>
          <w:lang w:val="en-GB"/>
        </w:rPr>
        <w:t>(Black, 1986</w:t>
      </w:r>
      <w:r>
        <w:rPr>
          <w:i w:val="0"/>
          <w:sz w:val="24"/>
          <w:szCs w:val="24"/>
          <w:lang w:val="en-GB"/>
        </w:rPr>
        <w:t>; Shleifer and Summers, 1990</w:t>
      </w:r>
      <w:r w:rsidRPr="00312E06">
        <w:rPr>
          <w:i w:val="0"/>
          <w:sz w:val="24"/>
          <w:szCs w:val="24"/>
          <w:lang w:val="en-GB"/>
        </w:rPr>
        <w:t>).</w:t>
      </w:r>
      <w:r>
        <w:rPr>
          <w:i w:val="0"/>
          <w:sz w:val="24"/>
          <w:szCs w:val="24"/>
          <w:lang w:val="en-GB"/>
        </w:rPr>
        <w:t xml:space="preserve"> In the literature, the racetrack betting market has been regarded as a laboratory-like version of a financial market (Thaler and Ziemba, 1998; Sauer, 1998). Hence, as an analogue to financial markets, betting markets can be regarded as being populated by informed bettors (the ‘smart money’) and uninformed bettors (e.g. Gandhi and Serrano-Padial, 2015). In a pari-mutuel market, the ‘smart money’ may delay betting until close to race time (Ottaviani and S</w:t>
      </w:r>
      <w:r>
        <w:rPr>
          <w:rFonts w:cs="Times New Roman"/>
          <w:i w:val="0"/>
          <w:sz w:val="24"/>
          <w:szCs w:val="24"/>
          <w:lang w:val="en-GB"/>
        </w:rPr>
        <w:t>ørensen, 2009)</w:t>
      </w:r>
      <w:r>
        <w:rPr>
          <w:i w:val="0"/>
          <w:sz w:val="24"/>
          <w:szCs w:val="24"/>
          <w:lang w:val="en-GB"/>
        </w:rPr>
        <w:t xml:space="preserve">. First, there is high volatility early in the betting period and therefore it is hard to identify value bets since it is hard to predict the final odds on which pay-offs are based. Second, placing the bet </w:t>
      </w:r>
      <w:r w:rsidR="0008438A" w:rsidRPr="005B3A64">
        <w:rPr>
          <w:i w:val="0"/>
          <w:sz w:val="24"/>
          <w:szCs w:val="24"/>
          <w:lang w:val="en-GB"/>
        </w:rPr>
        <w:t xml:space="preserve">will </w:t>
      </w:r>
      <w:r w:rsidRPr="005B3A64">
        <w:rPr>
          <w:i w:val="0"/>
          <w:sz w:val="24"/>
          <w:szCs w:val="24"/>
          <w:lang w:val="en-GB"/>
        </w:rPr>
        <w:t>itself</w:t>
      </w:r>
      <w:r>
        <w:rPr>
          <w:i w:val="0"/>
          <w:sz w:val="24"/>
          <w:szCs w:val="24"/>
          <w:lang w:val="en-GB"/>
        </w:rPr>
        <w:t xml:space="preserve"> change the odds and this risks triggering a bandwagon effect among other bettors which will worsen returns. Empirical evidence suggests that timing is indeed important and late bets</w:t>
      </w:r>
      <w:r w:rsidRPr="00D65812">
        <w:rPr>
          <w:i w:val="0"/>
          <w:color w:val="000000" w:themeColor="text1"/>
          <w:sz w:val="24"/>
          <w:szCs w:val="24"/>
          <w:lang w:val="en-GB"/>
        </w:rPr>
        <w:t xml:space="preserve"> earn higher returns (e.</w:t>
      </w:r>
      <w:r>
        <w:rPr>
          <w:i w:val="0"/>
          <w:sz w:val="24"/>
          <w:szCs w:val="24"/>
          <w:lang w:val="en-GB"/>
        </w:rPr>
        <w:t xml:space="preserve">g. Asch et al., 1982; Gandar et al., 2001; Gramm and McKinney, 2009), which is </w:t>
      </w:r>
      <w:r w:rsidR="0008438A" w:rsidRPr="005B3A64">
        <w:rPr>
          <w:i w:val="0"/>
          <w:sz w:val="24"/>
          <w:szCs w:val="24"/>
          <w:lang w:val="en-GB"/>
        </w:rPr>
        <w:t>consistent</w:t>
      </w:r>
      <w:r w:rsidR="0008438A">
        <w:rPr>
          <w:i w:val="0"/>
          <w:sz w:val="24"/>
          <w:szCs w:val="24"/>
          <w:lang w:val="en-GB"/>
        </w:rPr>
        <w:t xml:space="preserve"> </w:t>
      </w:r>
      <w:r>
        <w:rPr>
          <w:i w:val="0"/>
          <w:sz w:val="24"/>
          <w:szCs w:val="24"/>
          <w:lang w:val="en-GB"/>
        </w:rPr>
        <w:t xml:space="preserve">with the ‘smart money’ hypothesis. </w:t>
      </w:r>
    </w:p>
    <w:p w14:paraId="3E1F382A" w14:textId="77777777" w:rsidR="00C00CDE" w:rsidRDefault="00C00CDE" w:rsidP="00E94EE6">
      <w:pPr>
        <w:spacing w:after="0" w:line="360" w:lineRule="auto"/>
        <w:jc w:val="both"/>
        <w:rPr>
          <w:i w:val="0"/>
          <w:sz w:val="24"/>
          <w:szCs w:val="24"/>
          <w:lang w:val="en-GB"/>
        </w:rPr>
      </w:pPr>
    </w:p>
    <w:p w14:paraId="4EBA8AA9" w14:textId="77777777" w:rsidR="00C00CDE" w:rsidRDefault="00C00CDE" w:rsidP="00E94EE6">
      <w:pPr>
        <w:spacing w:after="0" w:line="360" w:lineRule="auto"/>
        <w:jc w:val="both"/>
        <w:rPr>
          <w:i w:val="0"/>
          <w:sz w:val="24"/>
          <w:szCs w:val="24"/>
          <w:lang w:val="en-GB"/>
        </w:rPr>
      </w:pPr>
      <w:r>
        <w:rPr>
          <w:i w:val="0"/>
          <w:sz w:val="24"/>
          <w:szCs w:val="24"/>
          <w:lang w:val="en-GB"/>
        </w:rPr>
        <w:t xml:space="preserve">However, previous studies have not been able to investigate how bet sizes relate to bettors’ returns because they have relied on representative agent models and aggregated data. These models assume identical bettors, bet sizes that are independent of odds, and bettors’ indifference with respect to odds between betting choices (Feess et al., 2016). Yet modelling betting behaviour without accounting for the amount staked may not be harmless (Bradley, 2003). It has also been suggested that uniformed bettors are unlikely to wager substantial sums of money (Sung et al., 2012, Feess et al., 2016). These findings relate to the noise trader models where </w:t>
      </w:r>
      <w:r w:rsidRPr="00312E06">
        <w:rPr>
          <w:i w:val="0"/>
          <w:sz w:val="24"/>
          <w:szCs w:val="24"/>
          <w:lang w:val="en-GB"/>
        </w:rPr>
        <w:t>unrealistic market price</w:t>
      </w:r>
      <w:r>
        <w:rPr>
          <w:i w:val="0"/>
          <w:sz w:val="24"/>
          <w:szCs w:val="24"/>
          <w:lang w:val="en-GB"/>
        </w:rPr>
        <w:t>s</w:t>
      </w:r>
      <w:r w:rsidRPr="00312E06">
        <w:rPr>
          <w:i w:val="0"/>
          <w:sz w:val="24"/>
          <w:szCs w:val="24"/>
          <w:lang w:val="en-GB"/>
        </w:rPr>
        <w:t xml:space="preserve"> </w:t>
      </w:r>
      <w:r>
        <w:rPr>
          <w:i w:val="0"/>
          <w:sz w:val="24"/>
          <w:szCs w:val="24"/>
          <w:lang w:val="en-GB"/>
        </w:rPr>
        <w:t>attract informed traders who assume</w:t>
      </w:r>
      <w:r w:rsidRPr="00312E06">
        <w:rPr>
          <w:i w:val="0"/>
          <w:sz w:val="24"/>
          <w:szCs w:val="24"/>
          <w:lang w:val="en-GB"/>
        </w:rPr>
        <w:t xml:space="preserve"> aggressive </w:t>
      </w:r>
      <w:r>
        <w:rPr>
          <w:i w:val="0"/>
          <w:sz w:val="24"/>
          <w:szCs w:val="24"/>
          <w:lang w:val="en-GB"/>
        </w:rPr>
        <w:t>positions with</w:t>
      </w:r>
      <w:r w:rsidRPr="00312E06">
        <w:rPr>
          <w:i w:val="0"/>
          <w:sz w:val="24"/>
          <w:szCs w:val="24"/>
          <w:lang w:val="en-GB"/>
        </w:rPr>
        <w:t xml:space="preserve"> larger stakes</w:t>
      </w:r>
      <w:r>
        <w:rPr>
          <w:i w:val="0"/>
          <w:sz w:val="24"/>
          <w:szCs w:val="24"/>
          <w:lang w:val="en-GB"/>
        </w:rPr>
        <w:t xml:space="preserve"> </w:t>
      </w:r>
      <w:r w:rsidRPr="00312E06">
        <w:rPr>
          <w:i w:val="0"/>
          <w:sz w:val="24"/>
          <w:szCs w:val="24"/>
          <w:lang w:val="en-GB"/>
        </w:rPr>
        <w:t>(Black, 1986).</w:t>
      </w:r>
      <w:r>
        <w:rPr>
          <w:i w:val="0"/>
          <w:sz w:val="24"/>
          <w:szCs w:val="24"/>
          <w:lang w:val="en-GB"/>
        </w:rPr>
        <w:t xml:space="preserve"> </w:t>
      </w:r>
    </w:p>
    <w:p w14:paraId="65664258" w14:textId="77777777" w:rsidR="00C00CDE" w:rsidRDefault="00C00CDE" w:rsidP="00E94EE6">
      <w:pPr>
        <w:spacing w:after="0" w:line="360" w:lineRule="auto"/>
        <w:jc w:val="both"/>
        <w:rPr>
          <w:i w:val="0"/>
          <w:sz w:val="24"/>
          <w:szCs w:val="24"/>
          <w:lang w:val="en-GB"/>
        </w:rPr>
      </w:pPr>
    </w:p>
    <w:p w14:paraId="1F0C18B7" w14:textId="600CD88C" w:rsidR="00C00CDE" w:rsidRDefault="00C00CDE" w:rsidP="00E94EE6">
      <w:pPr>
        <w:spacing w:after="0" w:line="360" w:lineRule="auto"/>
        <w:jc w:val="both"/>
        <w:rPr>
          <w:i w:val="0"/>
          <w:color w:val="000000" w:themeColor="text1"/>
          <w:sz w:val="24"/>
          <w:szCs w:val="24"/>
          <w:lang w:val="en-GB"/>
        </w:rPr>
      </w:pPr>
      <w:r w:rsidRPr="008A55AA">
        <w:rPr>
          <w:i w:val="0"/>
          <w:color w:val="000000" w:themeColor="text1"/>
          <w:sz w:val="24"/>
          <w:szCs w:val="24"/>
          <w:lang w:val="en-GB"/>
        </w:rPr>
        <w:t xml:space="preserve">This paper investigates how the amount bet and timing </w:t>
      </w:r>
      <w:r w:rsidRPr="008A55AA">
        <w:rPr>
          <w:color w:val="000000" w:themeColor="text1"/>
          <w:sz w:val="24"/>
          <w:szCs w:val="24"/>
          <w:lang w:val="en-GB"/>
        </w:rPr>
        <w:t>together</w:t>
      </w:r>
      <w:r w:rsidRPr="008A55AA">
        <w:rPr>
          <w:i w:val="0"/>
          <w:color w:val="000000" w:themeColor="text1"/>
          <w:sz w:val="24"/>
          <w:szCs w:val="24"/>
          <w:lang w:val="en-GB"/>
        </w:rPr>
        <w:t xml:space="preserve"> </w:t>
      </w:r>
      <w:r>
        <w:rPr>
          <w:i w:val="0"/>
          <w:color w:val="000000" w:themeColor="text1"/>
          <w:sz w:val="24"/>
          <w:szCs w:val="24"/>
          <w:lang w:val="en-GB"/>
        </w:rPr>
        <w:t>predict</w:t>
      </w:r>
      <w:r w:rsidRPr="008A55AA">
        <w:rPr>
          <w:i w:val="0"/>
          <w:color w:val="000000" w:themeColor="text1"/>
          <w:sz w:val="24"/>
          <w:szCs w:val="24"/>
          <w:lang w:val="en-GB"/>
        </w:rPr>
        <w:t xml:space="preserve"> the bettor’s payoffs by using individual-level data on bettors’ wagers and the timing of their bets. We contribute to the literature by showing that </w:t>
      </w:r>
      <w:r w:rsidRPr="008A55AA">
        <w:rPr>
          <w:color w:val="000000" w:themeColor="text1"/>
          <w:sz w:val="24"/>
          <w:szCs w:val="24"/>
          <w:lang w:val="en-GB"/>
        </w:rPr>
        <w:t>late</w:t>
      </w:r>
      <w:r w:rsidRPr="008A55AA">
        <w:rPr>
          <w:i w:val="0"/>
          <w:color w:val="000000" w:themeColor="text1"/>
          <w:sz w:val="24"/>
          <w:szCs w:val="24"/>
          <w:lang w:val="en-GB"/>
        </w:rPr>
        <w:t xml:space="preserve"> and </w:t>
      </w:r>
      <w:r w:rsidRPr="008A55AA">
        <w:rPr>
          <w:color w:val="000000" w:themeColor="text1"/>
          <w:sz w:val="24"/>
          <w:szCs w:val="24"/>
          <w:lang w:val="en-GB"/>
        </w:rPr>
        <w:t>large</w:t>
      </w:r>
      <w:r w:rsidRPr="008A55AA">
        <w:rPr>
          <w:i w:val="0"/>
          <w:color w:val="000000" w:themeColor="text1"/>
          <w:sz w:val="24"/>
          <w:szCs w:val="24"/>
          <w:lang w:val="en-GB"/>
        </w:rPr>
        <w:t xml:space="preserve"> bets earn higher returns. Thus, our paper </w:t>
      </w:r>
      <w:r>
        <w:rPr>
          <w:i w:val="0"/>
          <w:color w:val="000000" w:themeColor="text1"/>
          <w:sz w:val="24"/>
          <w:szCs w:val="24"/>
          <w:lang w:val="en-GB"/>
        </w:rPr>
        <w:t xml:space="preserve">demonstrates </w:t>
      </w:r>
      <w:r w:rsidRPr="008A55AA">
        <w:rPr>
          <w:i w:val="0"/>
          <w:color w:val="000000" w:themeColor="text1"/>
          <w:sz w:val="24"/>
          <w:szCs w:val="24"/>
          <w:lang w:val="en-GB"/>
        </w:rPr>
        <w:t>that</w:t>
      </w:r>
      <w:r>
        <w:rPr>
          <w:i w:val="0"/>
          <w:color w:val="000000" w:themeColor="text1"/>
          <w:sz w:val="24"/>
          <w:szCs w:val="24"/>
          <w:lang w:val="en-GB"/>
        </w:rPr>
        <w:t>,</w:t>
      </w:r>
      <w:r w:rsidRPr="008A55AA">
        <w:rPr>
          <w:i w:val="0"/>
          <w:color w:val="000000" w:themeColor="text1"/>
          <w:sz w:val="24"/>
          <w:szCs w:val="24"/>
          <w:lang w:val="en-GB"/>
        </w:rPr>
        <w:t xml:space="preserve"> along with timing</w:t>
      </w:r>
      <w:r>
        <w:rPr>
          <w:i w:val="0"/>
          <w:color w:val="000000" w:themeColor="text1"/>
          <w:sz w:val="24"/>
          <w:szCs w:val="24"/>
          <w:lang w:val="en-GB"/>
        </w:rPr>
        <w:t>,</w:t>
      </w:r>
      <w:r w:rsidRPr="008A55AA">
        <w:rPr>
          <w:i w:val="0"/>
          <w:color w:val="000000" w:themeColor="text1"/>
          <w:sz w:val="24"/>
          <w:szCs w:val="24"/>
          <w:lang w:val="en-GB"/>
        </w:rPr>
        <w:t xml:space="preserve"> bet sizes should be accounted for when analysing market efficiency </w:t>
      </w:r>
      <w:r>
        <w:rPr>
          <w:i w:val="0"/>
          <w:color w:val="000000" w:themeColor="text1"/>
          <w:sz w:val="24"/>
          <w:szCs w:val="24"/>
          <w:lang w:val="en-GB"/>
        </w:rPr>
        <w:t xml:space="preserve">using </w:t>
      </w:r>
      <w:r w:rsidRPr="008A55AA">
        <w:rPr>
          <w:i w:val="0"/>
          <w:color w:val="000000" w:themeColor="text1"/>
          <w:sz w:val="24"/>
          <w:szCs w:val="24"/>
          <w:lang w:val="en-GB"/>
        </w:rPr>
        <w:t xml:space="preserve">individual-level betting data. That is, timing </w:t>
      </w:r>
      <w:r>
        <w:rPr>
          <w:i w:val="0"/>
          <w:color w:val="000000" w:themeColor="text1"/>
          <w:sz w:val="24"/>
          <w:szCs w:val="24"/>
          <w:lang w:val="en-GB"/>
        </w:rPr>
        <w:t xml:space="preserve">on its own </w:t>
      </w:r>
      <w:r w:rsidRPr="008A55AA">
        <w:rPr>
          <w:i w:val="0"/>
          <w:color w:val="000000" w:themeColor="text1"/>
          <w:sz w:val="24"/>
          <w:szCs w:val="24"/>
          <w:lang w:val="en-GB"/>
        </w:rPr>
        <w:t>may not be indicative of the ‘smart money</w:t>
      </w:r>
      <w:r>
        <w:rPr>
          <w:i w:val="0"/>
          <w:color w:val="000000" w:themeColor="text1"/>
          <w:sz w:val="24"/>
          <w:szCs w:val="24"/>
          <w:lang w:val="en-GB"/>
        </w:rPr>
        <w:t>’</w:t>
      </w:r>
      <w:r w:rsidRPr="008A55AA">
        <w:rPr>
          <w:i w:val="0"/>
          <w:color w:val="000000" w:themeColor="text1"/>
          <w:sz w:val="24"/>
          <w:szCs w:val="24"/>
          <w:lang w:val="en-GB"/>
        </w:rPr>
        <w:t xml:space="preserve">. </w:t>
      </w:r>
    </w:p>
    <w:p w14:paraId="67DC584F" w14:textId="77777777" w:rsidR="00E94EE6" w:rsidRPr="008A55AA" w:rsidRDefault="00E94EE6" w:rsidP="00E94EE6">
      <w:pPr>
        <w:spacing w:after="0" w:line="360" w:lineRule="auto"/>
        <w:jc w:val="both"/>
        <w:rPr>
          <w:i w:val="0"/>
          <w:color w:val="000000" w:themeColor="text1"/>
          <w:sz w:val="24"/>
          <w:szCs w:val="24"/>
          <w:lang w:val="en-GB"/>
        </w:rPr>
      </w:pPr>
    </w:p>
    <w:p w14:paraId="2E1CE9CA" w14:textId="77777777" w:rsidR="00C00CDE" w:rsidRDefault="00C00CDE" w:rsidP="00E94EE6">
      <w:pPr>
        <w:spacing w:after="0" w:line="360" w:lineRule="auto"/>
        <w:jc w:val="both"/>
        <w:rPr>
          <w:i w:val="0"/>
          <w:color w:val="000000" w:themeColor="text1"/>
          <w:sz w:val="24"/>
          <w:szCs w:val="24"/>
          <w:lang w:val="en-GB"/>
        </w:rPr>
      </w:pPr>
      <w:r>
        <w:rPr>
          <w:i w:val="0"/>
          <w:color w:val="000000" w:themeColor="text1"/>
          <w:sz w:val="24"/>
          <w:szCs w:val="24"/>
          <w:lang w:val="en-GB"/>
        </w:rPr>
        <w:lastRenderedPageBreak/>
        <w:t xml:space="preserve">This paper proceeds as follows. In Section 2, we describe the research design. Section 3 presents the results. Section 4 concludes. </w:t>
      </w:r>
    </w:p>
    <w:p w14:paraId="2641C4E6" w14:textId="77777777" w:rsidR="00C00CDE" w:rsidRPr="00531DDA" w:rsidRDefault="00C00CDE" w:rsidP="00E94EE6">
      <w:pPr>
        <w:spacing w:after="0" w:line="360" w:lineRule="auto"/>
        <w:jc w:val="both"/>
        <w:rPr>
          <w:i w:val="0"/>
          <w:color w:val="000000" w:themeColor="text1"/>
          <w:sz w:val="24"/>
          <w:szCs w:val="24"/>
          <w:lang w:val="en-GB"/>
        </w:rPr>
      </w:pPr>
    </w:p>
    <w:p w14:paraId="442B6F37" w14:textId="77777777" w:rsidR="00C00CDE" w:rsidRPr="00D46558" w:rsidRDefault="00C00CDE" w:rsidP="00E94EE6">
      <w:pPr>
        <w:spacing w:after="0" w:line="360" w:lineRule="auto"/>
        <w:jc w:val="both"/>
        <w:rPr>
          <w:b/>
          <w:i w:val="0"/>
          <w:sz w:val="24"/>
          <w:szCs w:val="24"/>
          <w:lang w:val="en-GB"/>
        </w:rPr>
      </w:pPr>
      <w:r w:rsidRPr="00D46558">
        <w:rPr>
          <w:b/>
          <w:i w:val="0"/>
          <w:sz w:val="24"/>
          <w:szCs w:val="24"/>
          <w:lang w:val="en-GB"/>
        </w:rPr>
        <w:t xml:space="preserve">2. </w:t>
      </w:r>
      <w:r>
        <w:rPr>
          <w:b/>
          <w:i w:val="0"/>
          <w:sz w:val="24"/>
          <w:szCs w:val="24"/>
          <w:lang w:val="en-GB"/>
        </w:rPr>
        <w:t>Research design</w:t>
      </w:r>
    </w:p>
    <w:p w14:paraId="51566BA5" w14:textId="0CFF2BD8" w:rsidR="00C00CDE" w:rsidRPr="00AF21D3" w:rsidRDefault="00C00CDE" w:rsidP="00E94EE6">
      <w:pPr>
        <w:spacing w:after="0" w:line="360" w:lineRule="auto"/>
        <w:jc w:val="both"/>
        <w:rPr>
          <w:i w:val="0"/>
          <w:color w:val="000000" w:themeColor="text1"/>
          <w:sz w:val="24"/>
          <w:szCs w:val="24"/>
          <w:lang w:val="en-GB"/>
        </w:rPr>
      </w:pPr>
      <w:r>
        <w:rPr>
          <w:i w:val="0"/>
          <w:sz w:val="24"/>
          <w:szCs w:val="24"/>
          <w:lang w:val="en-GB"/>
        </w:rPr>
        <w:t>Our data</w:t>
      </w:r>
      <w:r w:rsidRPr="006131B0">
        <w:rPr>
          <w:i w:val="0"/>
          <w:sz w:val="24"/>
          <w:szCs w:val="24"/>
          <w:lang w:val="en-GB"/>
        </w:rPr>
        <w:t xml:space="preserve"> </w:t>
      </w:r>
      <w:r>
        <w:rPr>
          <w:i w:val="0"/>
          <w:sz w:val="24"/>
          <w:szCs w:val="24"/>
          <w:lang w:val="en-GB"/>
        </w:rPr>
        <w:t>are measured at the level of an individual bettor</w:t>
      </w:r>
      <w:r w:rsidRPr="004264F1">
        <w:rPr>
          <w:i w:val="0"/>
          <w:sz w:val="24"/>
          <w:szCs w:val="24"/>
          <w:lang w:val="en-GB"/>
        </w:rPr>
        <w:t>. They consist of wagers placed at the online betting platform of the monopoly operator for pari-mutuel horse race betting in Finland in August 2012.</w:t>
      </w:r>
      <w:r>
        <w:rPr>
          <w:i w:val="0"/>
          <w:sz w:val="24"/>
          <w:szCs w:val="24"/>
          <w:lang w:val="en-GB"/>
        </w:rPr>
        <w:t xml:space="preserve"> There are</w:t>
      </w:r>
      <w:r w:rsidRPr="00D46558">
        <w:rPr>
          <w:i w:val="0"/>
          <w:sz w:val="24"/>
          <w:szCs w:val="24"/>
          <w:lang w:val="en-GB"/>
        </w:rPr>
        <w:t xml:space="preserve"> 18</w:t>
      </w:r>
      <w:r>
        <w:rPr>
          <w:i w:val="0"/>
          <w:sz w:val="24"/>
          <w:szCs w:val="24"/>
          <w:lang w:val="en-GB"/>
        </w:rPr>
        <w:t>,</w:t>
      </w:r>
      <w:r w:rsidRPr="00D46558">
        <w:rPr>
          <w:i w:val="0"/>
          <w:sz w:val="24"/>
          <w:szCs w:val="24"/>
          <w:lang w:val="en-GB"/>
        </w:rPr>
        <w:t>640 bettors</w:t>
      </w:r>
      <w:r>
        <w:rPr>
          <w:i w:val="0"/>
          <w:sz w:val="24"/>
          <w:szCs w:val="24"/>
          <w:lang w:val="en-GB"/>
        </w:rPr>
        <w:t xml:space="preserve"> </w:t>
      </w:r>
      <w:r w:rsidRPr="00D46558">
        <w:rPr>
          <w:i w:val="0"/>
          <w:sz w:val="24"/>
          <w:szCs w:val="24"/>
          <w:lang w:val="en-GB"/>
        </w:rPr>
        <w:t xml:space="preserve">who </w:t>
      </w:r>
      <w:r>
        <w:rPr>
          <w:i w:val="0"/>
          <w:sz w:val="24"/>
          <w:szCs w:val="24"/>
          <w:lang w:val="en-GB"/>
        </w:rPr>
        <w:t xml:space="preserve">could </w:t>
      </w:r>
      <w:r w:rsidRPr="00D46558">
        <w:rPr>
          <w:i w:val="0"/>
          <w:sz w:val="24"/>
          <w:szCs w:val="24"/>
          <w:lang w:val="en-GB"/>
        </w:rPr>
        <w:t xml:space="preserve">bet on </w:t>
      </w:r>
      <w:r w:rsidRPr="00FD54F4">
        <w:rPr>
          <w:i w:val="0"/>
          <w:sz w:val="24"/>
          <w:szCs w:val="24"/>
          <w:lang w:val="en-GB"/>
        </w:rPr>
        <w:t>749 races</w:t>
      </w:r>
      <w:r w:rsidR="00FD54F4" w:rsidRPr="00FD54F4">
        <w:rPr>
          <w:i w:val="0"/>
          <w:sz w:val="24"/>
          <w:szCs w:val="24"/>
          <w:lang w:val="en-US"/>
        </w:rPr>
        <w:t xml:space="preserve"> either at the track or in off-track betting shops (together 47% of betting volume) or by using the online platform (53% of betting volume)</w:t>
      </w:r>
      <w:r w:rsidR="00EB62B4" w:rsidRPr="00FD54F4">
        <w:rPr>
          <w:i w:val="0"/>
          <w:sz w:val="24"/>
          <w:szCs w:val="24"/>
          <w:lang w:val="en-GB"/>
        </w:rPr>
        <w:t>,</w:t>
      </w:r>
      <w:r w:rsidRPr="00FD54F4">
        <w:rPr>
          <w:i w:val="0"/>
          <w:sz w:val="24"/>
          <w:szCs w:val="24"/>
          <w:lang w:val="en-GB"/>
        </w:rPr>
        <w:t xml:space="preserve"> </w:t>
      </w:r>
      <w:r w:rsidR="00EB62B4" w:rsidRPr="00FD54F4">
        <w:rPr>
          <w:i w:val="0"/>
          <w:sz w:val="24"/>
          <w:szCs w:val="24"/>
          <w:lang w:val="en-GB"/>
        </w:rPr>
        <w:t>all o</w:t>
      </w:r>
      <w:r w:rsidR="00EB62B4" w:rsidRPr="005B3A64">
        <w:rPr>
          <w:i w:val="0"/>
          <w:sz w:val="24"/>
          <w:szCs w:val="24"/>
          <w:lang w:val="en-GB"/>
        </w:rPr>
        <w:t>f which form a common pool</w:t>
      </w:r>
      <w:r w:rsidRPr="005B3A64">
        <w:rPr>
          <w:i w:val="0"/>
          <w:sz w:val="24"/>
          <w:szCs w:val="24"/>
          <w:lang w:val="en-GB"/>
        </w:rPr>
        <w:t xml:space="preserve">. </w:t>
      </w:r>
      <w:r w:rsidRPr="00843425">
        <w:rPr>
          <w:i w:val="0"/>
          <w:color w:val="000000" w:themeColor="text1"/>
          <w:sz w:val="24"/>
          <w:szCs w:val="24"/>
          <w:lang w:val="en-GB"/>
        </w:rPr>
        <w:t xml:space="preserve">All betting </w:t>
      </w:r>
      <w:r>
        <w:rPr>
          <w:i w:val="0"/>
          <w:color w:val="000000" w:themeColor="text1"/>
          <w:sz w:val="24"/>
          <w:szCs w:val="24"/>
          <w:lang w:val="en-GB"/>
        </w:rPr>
        <w:t>formats</w:t>
      </w:r>
      <w:r w:rsidRPr="00843425">
        <w:rPr>
          <w:i w:val="0"/>
          <w:color w:val="000000" w:themeColor="text1"/>
          <w:sz w:val="24"/>
          <w:szCs w:val="24"/>
          <w:lang w:val="en-GB"/>
        </w:rPr>
        <w:t xml:space="preserve"> </w:t>
      </w:r>
      <w:r>
        <w:rPr>
          <w:i w:val="0"/>
          <w:color w:val="000000" w:themeColor="text1"/>
          <w:sz w:val="24"/>
          <w:szCs w:val="24"/>
          <w:lang w:val="en-GB"/>
        </w:rPr>
        <w:t>use</w:t>
      </w:r>
      <w:r w:rsidRPr="00843425">
        <w:rPr>
          <w:i w:val="0"/>
          <w:color w:val="000000" w:themeColor="text1"/>
          <w:sz w:val="24"/>
          <w:szCs w:val="24"/>
          <w:lang w:val="en-GB"/>
        </w:rPr>
        <w:t xml:space="preserve"> the pari-mutuel system where</w:t>
      </w:r>
      <w:r>
        <w:rPr>
          <w:i w:val="0"/>
          <w:color w:val="000000" w:themeColor="text1"/>
          <w:sz w:val="24"/>
          <w:szCs w:val="24"/>
          <w:lang w:val="en-GB"/>
        </w:rPr>
        <w:t xml:space="preserve"> the operator takes out</w:t>
      </w:r>
      <w:r w:rsidRPr="00843425">
        <w:rPr>
          <w:i w:val="0"/>
          <w:color w:val="000000" w:themeColor="text1"/>
          <w:sz w:val="24"/>
          <w:szCs w:val="24"/>
          <w:lang w:val="en-GB"/>
        </w:rPr>
        <w:t xml:space="preserve"> a predetermined percentage from the pool </w:t>
      </w:r>
      <w:r>
        <w:rPr>
          <w:i w:val="0"/>
          <w:color w:val="000000" w:themeColor="text1"/>
          <w:sz w:val="24"/>
          <w:szCs w:val="24"/>
          <w:lang w:val="en-GB"/>
        </w:rPr>
        <w:t xml:space="preserve">formed by stakes </w:t>
      </w:r>
      <w:r w:rsidRPr="00843425">
        <w:rPr>
          <w:i w:val="0"/>
          <w:color w:val="000000" w:themeColor="text1"/>
          <w:sz w:val="24"/>
          <w:szCs w:val="24"/>
          <w:lang w:val="en-GB"/>
        </w:rPr>
        <w:t xml:space="preserve">and the remainder is returned to </w:t>
      </w:r>
      <w:r>
        <w:rPr>
          <w:i w:val="0"/>
          <w:color w:val="000000" w:themeColor="text1"/>
          <w:sz w:val="24"/>
          <w:szCs w:val="24"/>
          <w:lang w:val="en-GB"/>
        </w:rPr>
        <w:t xml:space="preserve">the </w:t>
      </w:r>
      <w:r w:rsidRPr="00843425">
        <w:rPr>
          <w:i w:val="0"/>
          <w:color w:val="000000" w:themeColor="text1"/>
          <w:sz w:val="24"/>
          <w:szCs w:val="24"/>
          <w:lang w:val="en-GB"/>
        </w:rPr>
        <w:t>winning bettors in proportion to their stakes</w:t>
      </w:r>
      <w:r w:rsidRPr="008572D7">
        <w:rPr>
          <w:i w:val="0"/>
          <w:sz w:val="24"/>
          <w:szCs w:val="24"/>
          <w:lang w:val="en-GB"/>
        </w:rPr>
        <w:t>.</w:t>
      </w:r>
      <w:r w:rsidRPr="00D33F50">
        <w:rPr>
          <w:i w:val="0"/>
          <w:color w:val="FF0000"/>
          <w:sz w:val="24"/>
          <w:szCs w:val="24"/>
          <w:lang w:val="en-GB"/>
        </w:rPr>
        <w:t xml:space="preserve"> </w:t>
      </w:r>
      <w:r>
        <w:rPr>
          <w:i w:val="0"/>
          <w:color w:val="000000" w:themeColor="text1"/>
          <w:sz w:val="24"/>
          <w:szCs w:val="24"/>
          <w:lang w:val="en-GB"/>
        </w:rPr>
        <w:t>We focus</w:t>
      </w:r>
      <w:r w:rsidRPr="00DD1D6D">
        <w:rPr>
          <w:i w:val="0"/>
          <w:color w:val="000000" w:themeColor="text1"/>
          <w:sz w:val="24"/>
          <w:szCs w:val="24"/>
          <w:lang w:val="en-GB"/>
        </w:rPr>
        <w:t xml:space="preserve"> on single</w:t>
      </w:r>
      <w:r>
        <w:rPr>
          <w:i w:val="0"/>
          <w:color w:val="000000" w:themeColor="text1"/>
          <w:sz w:val="24"/>
          <w:szCs w:val="24"/>
          <w:lang w:val="en-GB"/>
        </w:rPr>
        <w:t>-</w:t>
      </w:r>
      <w:r w:rsidRPr="00DD1D6D">
        <w:rPr>
          <w:i w:val="0"/>
          <w:color w:val="000000" w:themeColor="text1"/>
          <w:sz w:val="24"/>
          <w:szCs w:val="24"/>
          <w:lang w:val="en-GB"/>
        </w:rPr>
        <w:t>race bet</w:t>
      </w:r>
      <w:r>
        <w:rPr>
          <w:i w:val="0"/>
          <w:color w:val="000000" w:themeColor="text1"/>
          <w:sz w:val="24"/>
          <w:szCs w:val="24"/>
          <w:lang w:val="en-GB"/>
        </w:rPr>
        <w:t>ting type</w:t>
      </w:r>
      <w:r w:rsidRPr="00DD1D6D">
        <w:rPr>
          <w:i w:val="0"/>
          <w:color w:val="000000" w:themeColor="text1"/>
          <w:sz w:val="24"/>
          <w:szCs w:val="24"/>
          <w:lang w:val="en-GB"/>
        </w:rPr>
        <w:t>s which include Win (the horse that finishes first), Quinella (two horses that finish first irrespective of their order), Place (the chosen horse finishes first, second or third) and Trifecta (the first three finishing horses in the correct order)</w:t>
      </w:r>
      <w:r w:rsidRPr="005C687E">
        <w:rPr>
          <w:i w:val="0"/>
          <w:sz w:val="24"/>
          <w:szCs w:val="24"/>
          <w:lang w:val="en-GB"/>
        </w:rPr>
        <w:t>.</w:t>
      </w:r>
      <w:r>
        <w:rPr>
          <w:i w:val="0"/>
          <w:sz w:val="24"/>
          <w:szCs w:val="24"/>
          <w:lang w:val="en-GB"/>
        </w:rPr>
        <w:t xml:space="preserve"> </w:t>
      </w:r>
      <w:r w:rsidRPr="008A55AA">
        <w:rPr>
          <w:i w:val="0"/>
          <w:color w:val="000000" w:themeColor="text1"/>
          <w:sz w:val="24"/>
          <w:szCs w:val="24"/>
          <w:lang w:val="en-GB"/>
        </w:rPr>
        <w:t xml:space="preserve">A betting slip may contain multiple bets on a single race, which are aggregated </w:t>
      </w:r>
      <w:r w:rsidR="0008438A" w:rsidRPr="005B3A64">
        <w:rPr>
          <w:i w:val="0"/>
          <w:color w:val="000000" w:themeColor="text1"/>
          <w:sz w:val="24"/>
          <w:szCs w:val="24"/>
          <w:lang w:val="en-GB"/>
        </w:rPr>
        <w:t>here</w:t>
      </w:r>
      <w:r w:rsidR="0008438A">
        <w:rPr>
          <w:i w:val="0"/>
          <w:color w:val="000000" w:themeColor="text1"/>
          <w:sz w:val="24"/>
          <w:szCs w:val="24"/>
          <w:lang w:val="en-GB"/>
        </w:rPr>
        <w:t xml:space="preserve"> </w:t>
      </w:r>
      <w:r w:rsidRPr="008A55AA">
        <w:rPr>
          <w:i w:val="0"/>
          <w:color w:val="000000" w:themeColor="text1"/>
          <w:sz w:val="24"/>
          <w:szCs w:val="24"/>
          <w:lang w:val="en-GB"/>
        </w:rPr>
        <w:t xml:space="preserve">to the level of a race. </w:t>
      </w:r>
      <w:r>
        <w:rPr>
          <w:i w:val="0"/>
          <w:color w:val="000000" w:themeColor="text1"/>
          <w:sz w:val="24"/>
          <w:szCs w:val="24"/>
          <w:lang w:val="en-GB"/>
        </w:rPr>
        <w:t>It also</w:t>
      </w:r>
      <w:r w:rsidRPr="008A55AA">
        <w:rPr>
          <w:i w:val="0"/>
          <w:color w:val="000000" w:themeColor="text1"/>
          <w:sz w:val="24"/>
          <w:szCs w:val="24"/>
          <w:lang w:val="en-GB"/>
        </w:rPr>
        <w:t xml:space="preserve"> has a time stamp measured at the precision of a second.</w:t>
      </w:r>
      <w:r w:rsidRPr="00DD1D6D">
        <w:rPr>
          <w:i w:val="0"/>
          <w:color w:val="000000" w:themeColor="text1"/>
          <w:sz w:val="24"/>
          <w:szCs w:val="24"/>
          <w:lang w:val="en-GB"/>
        </w:rPr>
        <w:t xml:space="preserve"> </w:t>
      </w:r>
      <w:r w:rsidRPr="00AF21D3">
        <w:rPr>
          <w:i w:val="0"/>
          <w:color w:val="000000" w:themeColor="text1"/>
          <w:sz w:val="24"/>
          <w:szCs w:val="24"/>
          <w:lang w:val="en-GB"/>
        </w:rPr>
        <w:t xml:space="preserve">Since a bettor may have several </w:t>
      </w:r>
      <w:r>
        <w:rPr>
          <w:i w:val="0"/>
          <w:color w:val="000000" w:themeColor="text1"/>
          <w:sz w:val="24"/>
          <w:szCs w:val="24"/>
          <w:lang w:val="en-GB"/>
        </w:rPr>
        <w:t>slip</w:t>
      </w:r>
      <w:r w:rsidRPr="00AF21D3">
        <w:rPr>
          <w:i w:val="0"/>
          <w:color w:val="000000" w:themeColor="text1"/>
          <w:sz w:val="24"/>
          <w:szCs w:val="24"/>
          <w:lang w:val="en-GB"/>
        </w:rPr>
        <w:t xml:space="preserve">s </w:t>
      </w:r>
      <w:r>
        <w:rPr>
          <w:i w:val="0"/>
          <w:color w:val="000000" w:themeColor="text1"/>
          <w:sz w:val="24"/>
          <w:szCs w:val="24"/>
          <w:lang w:val="en-GB"/>
        </w:rPr>
        <w:t>on</w:t>
      </w:r>
      <w:r w:rsidRPr="00AF21D3">
        <w:rPr>
          <w:i w:val="0"/>
          <w:color w:val="000000" w:themeColor="text1"/>
          <w:sz w:val="24"/>
          <w:szCs w:val="24"/>
          <w:lang w:val="en-GB"/>
        </w:rPr>
        <w:t xml:space="preserve"> the same race, we use the time stamp of the median </w:t>
      </w:r>
      <w:r>
        <w:rPr>
          <w:i w:val="0"/>
          <w:color w:val="000000" w:themeColor="text1"/>
          <w:sz w:val="24"/>
          <w:szCs w:val="24"/>
          <w:lang w:val="en-GB"/>
        </w:rPr>
        <w:t>ticket</w:t>
      </w:r>
      <w:r w:rsidRPr="00AF21D3">
        <w:rPr>
          <w:i w:val="0"/>
          <w:color w:val="000000" w:themeColor="text1"/>
          <w:sz w:val="24"/>
          <w:szCs w:val="24"/>
          <w:lang w:val="en-GB"/>
        </w:rPr>
        <w:t xml:space="preserve"> </w:t>
      </w:r>
      <w:r>
        <w:rPr>
          <w:i w:val="0"/>
          <w:color w:val="000000" w:themeColor="text1"/>
          <w:sz w:val="24"/>
          <w:szCs w:val="24"/>
          <w:lang w:val="en-GB"/>
        </w:rPr>
        <w:t>and apply</w:t>
      </w:r>
      <w:r w:rsidRPr="00DD1D6D">
        <w:rPr>
          <w:i w:val="0"/>
          <w:color w:val="000000" w:themeColor="text1"/>
          <w:sz w:val="24"/>
          <w:szCs w:val="24"/>
          <w:lang w:val="en-GB"/>
        </w:rPr>
        <w:t xml:space="preserve"> </w:t>
      </w:r>
      <w:r>
        <w:rPr>
          <w:i w:val="0"/>
          <w:color w:val="000000" w:themeColor="text1"/>
          <w:sz w:val="24"/>
          <w:szCs w:val="24"/>
          <w:lang w:val="en-GB"/>
        </w:rPr>
        <w:t>the precision of a minute</w:t>
      </w:r>
      <w:r w:rsidRPr="00AF21D3">
        <w:rPr>
          <w:i w:val="0"/>
          <w:color w:val="000000" w:themeColor="text1"/>
          <w:sz w:val="24"/>
          <w:szCs w:val="24"/>
          <w:lang w:val="en-GB"/>
        </w:rPr>
        <w:t xml:space="preserve"> as a proxy for </w:t>
      </w:r>
      <w:r>
        <w:rPr>
          <w:i w:val="0"/>
          <w:color w:val="000000" w:themeColor="text1"/>
          <w:sz w:val="24"/>
          <w:szCs w:val="24"/>
          <w:lang w:val="en-GB"/>
        </w:rPr>
        <w:t>bet timing</w:t>
      </w:r>
      <w:r w:rsidRPr="00DD1D6D">
        <w:rPr>
          <w:i w:val="0"/>
          <w:color w:val="000000" w:themeColor="text1"/>
          <w:sz w:val="24"/>
          <w:szCs w:val="24"/>
          <w:lang w:val="en-GB"/>
        </w:rPr>
        <w:t>.</w:t>
      </w:r>
      <w:r w:rsidRPr="00AF21D3">
        <w:rPr>
          <w:i w:val="0"/>
          <w:color w:val="000000" w:themeColor="text1"/>
          <w:sz w:val="24"/>
          <w:szCs w:val="24"/>
          <w:lang w:val="en-GB"/>
        </w:rPr>
        <w:t xml:space="preserve">  </w:t>
      </w:r>
    </w:p>
    <w:p w14:paraId="7B6C6A89" w14:textId="77777777" w:rsidR="00C00CDE" w:rsidRDefault="00C00CDE" w:rsidP="00E94EE6">
      <w:pPr>
        <w:spacing w:after="0" w:line="360" w:lineRule="auto"/>
        <w:jc w:val="both"/>
        <w:rPr>
          <w:i w:val="0"/>
          <w:color w:val="000000" w:themeColor="text1"/>
          <w:sz w:val="24"/>
          <w:szCs w:val="24"/>
          <w:lang w:val="en-GB"/>
        </w:rPr>
      </w:pPr>
    </w:p>
    <w:p w14:paraId="0940028F" w14:textId="77777777" w:rsidR="00C00CDE" w:rsidRDefault="00C00CDE" w:rsidP="00E94EE6">
      <w:pPr>
        <w:spacing w:after="0" w:line="360" w:lineRule="auto"/>
        <w:jc w:val="both"/>
        <w:rPr>
          <w:i w:val="0"/>
          <w:color w:val="000000" w:themeColor="text1"/>
          <w:sz w:val="24"/>
          <w:szCs w:val="24"/>
          <w:lang w:val="en-GB"/>
        </w:rPr>
      </w:pPr>
      <w:r>
        <w:rPr>
          <w:i w:val="0"/>
          <w:color w:val="000000" w:themeColor="text1"/>
          <w:sz w:val="24"/>
          <w:szCs w:val="24"/>
          <w:lang w:val="en-GB"/>
        </w:rPr>
        <w:t xml:space="preserve">Our empirical model that tests for the effects of timing and the amount bet on the bettor’s return is </w:t>
      </w:r>
    </w:p>
    <w:p w14:paraId="77AED3EE" w14:textId="77777777" w:rsidR="00C00CDE" w:rsidRDefault="00C00CDE" w:rsidP="00E94EE6">
      <w:pPr>
        <w:spacing w:after="0" w:line="360" w:lineRule="auto"/>
        <w:jc w:val="both"/>
        <w:rPr>
          <w:i w:val="0"/>
          <w:color w:val="000000" w:themeColor="text1"/>
          <w:sz w:val="24"/>
          <w:szCs w:val="24"/>
          <w:lang w:val="en-GB"/>
        </w:rPr>
      </w:pPr>
      <w:r w:rsidRPr="005D491A">
        <w:rPr>
          <w:i w:val="0"/>
          <w:color w:val="000000" w:themeColor="text1"/>
          <w:position w:val="-42"/>
          <w:sz w:val="24"/>
          <w:szCs w:val="24"/>
          <w:lang w:val="en-GB"/>
        </w:rPr>
        <w:object w:dxaOrig="7760" w:dyaOrig="960" w14:anchorId="1AE5C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48pt" o:ole="">
            <v:imagedata r:id="rId7" o:title=""/>
          </v:shape>
          <o:OLEObject Type="Embed" ProgID="Equation.DSMT4" ShapeID="_x0000_i1025" DrawAspect="Content" ObjectID="_1599479312" r:id="rId8"/>
        </w:object>
      </w:r>
      <w:r>
        <w:rPr>
          <w:i w:val="0"/>
          <w:color w:val="000000" w:themeColor="text1"/>
          <w:sz w:val="24"/>
          <w:szCs w:val="24"/>
          <w:lang w:val="en-GB"/>
        </w:rPr>
        <w:t xml:space="preserve"> (1)</w:t>
      </w:r>
    </w:p>
    <w:p w14:paraId="09054335" w14:textId="1275619B" w:rsidR="00C00CDE" w:rsidRDefault="00C00CDE" w:rsidP="00E94EE6">
      <w:pPr>
        <w:spacing w:after="0" w:line="360" w:lineRule="auto"/>
        <w:jc w:val="both"/>
        <w:rPr>
          <w:i w:val="0"/>
          <w:color w:val="000000" w:themeColor="text1"/>
          <w:sz w:val="24"/>
          <w:szCs w:val="24"/>
          <w:lang w:val="en-GB"/>
        </w:rPr>
      </w:pPr>
      <w:r>
        <w:rPr>
          <w:i w:val="0"/>
          <w:color w:val="000000" w:themeColor="text1"/>
          <w:sz w:val="24"/>
          <w:szCs w:val="24"/>
          <w:lang w:val="en-GB"/>
        </w:rPr>
        <w:t xml:space="preserve">in which </w:t>
      </w:r>
      <w:r w:rsidRPr="009328A6">
        <w:rPr>
          <w:color w:val="000000" w:themeColor="text1"/>
          <w:sz w:val="24"/>
          <w:szCs w:val="24"/>
          <w:lang w:val="en-GB"/>
        </w:rPr>
        <w:t>i</w:t>
      </w:r>
      <w:r>
        <w:rPr>
          <w:i w:val="0"/>
          <w:color w:val="000000" w:themeColor="text1"/>
          <w:sz w:val="24"/>
          <w:szCs w:val="24"/>
          <w:lang w:val="en-GB"/>
        </w:rPr>
        <w:t xml:space="preserve"> = 1,…, 18640 indexes bettors and </w:t>
      </w:r>
      <w:r w:rsidRPr="009328A6">
        <w:rPr>
          <w:color w:val="000000" w:themeColor="text1"/>
          <w:sz w:val="24"/>
          <w:szCs w:val="24"/>
          <w:lang w:val="en-GB"/>
        </w:rPr>
        <w:t>t</w:t>
      </w:r>
      <w:r>
        <w:rPr>
          <w:i w:val="0"/>
          <w:color w:val="000000" w:themeColor="text1"/>
          <w:sz w:val="24"/>
          <w:szCs w:val="24"/>
          <w:lang w:val="en-GB"/>
        </w:rPr>
        <w:t xml:space="preserve"> = 1,…,749 indexes the number of </w:t>
      </w:r>
      <w:r w:rsidR="005B3A64">
        <w:rPr>
          <w:i w:val="0"/>
          <w:color w:val="000000" w:themeColor="text1"/>
          <w:sz w:val="24"/>
          <w:szCs w:val="24"/>
          <w:lang w:val="en-GB"/>
        </w:rPr>
        <w:t xml:space="preserve">the </w:t>
      </w:r>
      <w:r>
        <w:rPr>
          <w:i w:val="0"/>
          <w:color w:val="000000" w:themeColor="text1"/>
          <w:sz w:val="24"/>
          <w:szCs w:val="24"/>
          <w:lang w:val="en-GB"/>
        </w:rPr>
        <w:t xml:space="preserve">race a bettor has wagered on. </w:t>
      </w:r>
      <w:r w:rsidRPr="004264F1">
        <w:rPr>
          <w:i w:val="0"/>
          <w:color w:val="000000" w:themeColor="text1"/>
          <w:sz w:val="24"/>
          <w:szCs w:val="24"/>
          <w:lang w:val="en-GB"/>
        </w:rPr>
        <w:t>We are mainly interested in variation between bettors, which could result from some bettors being permanently smart and some being always noise traders. However, it is also possible that there is variation within bettors as a bettor may sometimes have private information on a particular race. To account for both types of variation, we use a</w:t>
      </w:r>
      <w:r w:rsidR="00FD54F4">
        <w:rPr>
          <w:i w:val="0"/>
          <w:color w:val="000000" w:themeColor="text1"/>
          <w:sz w:val="24"/>
          <w:szCs w:val="24"/>
          <w:lang w:val="en-GB"/>
        </w:rPr>
        <w:t xml:space="preserve"> </w:t>
      </w:r>
      <w:r w:rsidRPr="004264F1">
        <w:rPr>
          <w:i w:val="0"/>
          <w:color w:val="000000" w:themeColor="text1"/>
          <w:sz w:val="24"/>
          <w:szCs w:val="24"/>
          <w:lang w:val="en-GB"/>
        </w:rPr>
        <w:t xml:space="preserve">random-effects </w:t>
      </w:r>
      <w:r>
        <w:rPr>
          <w:i w:val="0"/>
          <w:color w:val="000000" w:themeColor="text1"/>
          <w:sz w:val="24"/>
          <w:szCs w:val="24"/>
          <w:lang w:val="en-GB"/>
        </w:rPr>
        <w:t xml:space="preserve">(RE) </w:t>
      </w:r>
      <w:r w:rsidRPr="004264F1">
        <w:rPr>
          <w:i w:val="0"/>
          <w:color w:val="000000" w:themeColor="text1"/>
          <w:sz w:val="24"/>
          <w:szCs w:val="24"/>
          <w:lang w:val="en-GB"/>
        </w:rPr>
        <w:t>rather than a between-effects regression model because its estimates are a weighted average of between and within estimates</w:t>
      </w:r>
      <w:r w:rsidRPr="004264F1">
        <w:rPr>
          <w:rStyle w:val="FootnoteReference"/>
          <w:i w:val="0"/>
          <w:color w:val="000000" w:themeColor="text1"/>
          <w:sz w:val="24"/>
          <w:szCs w:val="24"/>
          <w:lang w:val="en-GB"/>
        </w:rPr>
        <w:footnoteReference w:id="1"/>
      </w:r>
      <w:r w:rsidRPr="004264F1">
        <w:rPr>
          <w:i w:val="0"/>
          <w:color w:val="000000" w:themeColor="text1"/>
          <w:sz w:val="24"/>
          <w:szCs w:val="24"/>
          <w:lang w:val="en-GB"/>
        </w:rPr>
        <w:t xml:space="preserve">. In addition, this estimation strategy </w:t>
      </w:r>
      <w:r w:rsidRPr="004264F1">
        <w:rPr>
          <w:i w:val="0"/>
          <w:color w:val="000000" w:themeColor="text1"/>
          <w:sz w:val="24"/>
          <w:szCs w:val="24"/>
          <w:lang w:val="en-GB"/>
        </w:rPr>
        <w:lastRenderedPageBreak/>
        <w:t>allows for inclusion of time-invariant control variables for bettors’ characteristics in the regression model.</w:t>
      </w:r>
    </w:p>
    <w:p w14:paraId="29EFF18B" w14:textId="77777777" w:rsidR="00C00CDE" w:rsidRDefault="00C00CDE" w:rsidP="00E94EE6">
      <w:pPr>
        <w:spacing w:after="0" w:line="360" w:lineRule="auto"/>
        <w:jc w:val="both"/>
        <w:rPr>
          <w:i w:val="0"/>
          <w:color w:val="000000" w:themeColor="text1"/>
          <w:sz w:val="24"/>
          <w:szCs w:val="24"/>
          <w:lang w:val="en-GB"/>
        </w:rPr>
      </w:pPr>
    </w:p>
    <w:p w14:paraId="75121831" w14:textId="47542168" w:rsidR="00C00CDE" w:rsidRDefault="00C00CDE" w:rsidP="00E94EE6">
      <w:pPr>
        <w:spacing w:after="0" w:line="360" w:lineRule="auto"/>
        <w:jc w:val="both"/>
        <w:rPr>
          <w:i w:val="0"/>
          <w:color w:val="000000" w:themeColor="text1"/>
          <w:sz w:val="24"/>
          <w:szCs w:val="24"/>
          <w:lang w:val="en-GB"/>
        </w:rPr>
      </w:pPr>
      <w:r>
        <w:rPr>
          <w:i w:val="0"/>
          <w:color w:val="000000" w:themeColor="text1"/>
          <w:sz w:val="24"/>
          <w:szCs w:val="24"/>
          <w:lang w:val="en-GB"/>
        </w:rPr>
        <w:t xml:space="preserve">We measure the bettor’s success using his or her </w:t>
      </w:r>
      <w:r w:rsidRPr="007F132E">
        <w:rPr>
          <w:i w:val="0"/>
          <w:color w:val="000000" w:themeColor="text1"/>
          <w:sz w:val="24"/>
          <w:szCs w:val="24"/>
          <w:lang w:val="en-GB"/>
        </w:rPr>
        <w:t>rate of return (</w:t>
      </w:r>
      <w:r w:rsidRPr="005D491A">
        <w:rPr>
          <w:color w:val="000000" w:themeColor="text1"/>
          <w:sz w:val="24"/>
          <w:szCs w:val="24"/>
          <w:lang w:val="en-GB"/>
        </w:rPr>
        <w:t>ROR</w:t>
      </w:r>
      <w:r w:rsidRPr="007F132E">
        <w:rPr>
          <w:i w:val="0"/>
          <w:color w:val="000000" w:themeColor="text1"/>
          <w:sz w:val="24"/>
          <w:szCs w:val="24"/>
          <w:lang w:val="en-GB"/>
        </w:rPr>
        <w:t>)</w:t>
      </w:r>
      <w:r>
        <w:rPr>
          <w:i w:val="0"/>
          <w:color w:val="000000" w:themeColor="text1"/>
          <w:sz w:val="24"/>
          <w:szCs w:val="24"/>
          <w:lang w:val="en-GB"/>
        </w:rPr>
        <w:t xml:space="preserve"> which is computed by </w:t>
      </w:r>
      <w:r w:rsidRPr="00BA1593">
        <w:rPr>
          <w:i w:val="0"/>
          <w:color w:val="000000" w:themeColor="text1"/>
          <w:sz w:val="24"/>
          <w:szCs w:val="24"/>
          <w:lang w:val="en-GB"/>
        </w:rPr>
        <w:t xml:space="preserve">dividing the net return </w:t>
      </w:r>
      <w:r>
        <w:rPr>
          <w:i w:val="0"/>
          <w:color w:val="000000" w:themeColor="text1"/>
          <w:sz w:val="24"/>
          <w:szCs w:val="24"/>
          <w:lang w:val="en-GB"/>
        </w:rPr>
        <w:t xml:space="preserve">from bets placed on a race </w:t>
      </w:r>
      <w:r w:rsidRPr="00BA1593">
        <w:rPr>
          <w:i w:val="0"/>
          <w:color w:val="000000" w:themeColor="text1"/>
          <w:sz w:val="24"/>
          <w:szCs w:val="24"/>
          <w:lang w:val="en-GB"/>
        </w:rPr>
        <w:t>by the amount wagered</w:t>
      </w:r>
      <w:r>
        <w:rPr>
          <w:i w:val="0"/>
          <w:color w:val="000000" w:themeColor="text1"/>
          <w:sz w:val="24"/>
          <w:szCs w:val="24"/>
          <w:lang w:val="en-GB"/>
        </w:rPr>
        <w:t xml:space="preserve"> on it. The variables of interest include the median time a bettor’s wagers on a race were placed (</w:t>
      </w:r>
      <w:r w:rsidRPr="005D491A">
        <w:rPr>
          <w:position w:val="-10"/>
          <w:sz w:val="24"/>
          <w:szCs w:val="24"/>
          <w:lang w:val="en-GB"/>
        </w:rPr>
        <w:object w:dxaOrig="760" w:dyaOrig="320" w14:anchorId="7C9FC1BF">
          <v:shape id="_x0000_i1026" type="#_x0000_t75" style="width:37.5pt;height:15.75pt" o:ole="">
            <v:imagedata r:id="rId9" o:title=""/>
          </v:shape>
          <o:OLEObject Type="Embed" ProgID="Equation.DSMT4" ShapeID="_x0000_i1026" DrawAspect="Content" ObjectID="_1599479313" r:id="rId10"/>
        </w:object>
      </w:r>
      <w:r>
        <w:rPr>
          <w:i w:val="0"/>
          <w:color w:val="000000" w:themeColor="text1"/>
          <w:sz w:val="24"/>
          <w:szCs w:val="24"/>
          <w:lang w:val="en-GB"/>
        </w:rPr>
        <w:t>), measured in minutes before race time, the total amount staked (</w:t>
      </w:r>
      <w:r w:rsidRPr="000F0510">
        <w:rPr>
          <w:i w:val="0"/>
          <w:position w:val="-6"/>
          <w:sz w:val="24"/>
          <w:szCs w:val="24"/>
          <w:lang w:val="en-GB"/>
        </w:rPr>
        <w:object w:dxaOrig="1160" w:dyaOrig="279" w14:anchorId="17D8BDB7">
          <v:shape id="_x0000_i1027" type="#_x0000_t75" style="width:59.25pt;height:13.5pt" o:ole="">
            <v:imagedata r:id="rId11" o:title=""/>
          </v:shape>
          <o:OLEObject Type="Embed" ProgID="Equation.DSMT4" ShapeID="_x0000_i1027" DrawAspect="Content" ObjectID="_1599479314" r:id="rId12"/>
        </w:object>
      </w:r>
      <w:r>
        <w:rPr>
          <w:i w:val="0"/>
          <w:color w:val="000000" w:themeColor="text1"/>
          <w:sz w:val="24"/>
          <w:szCs w:val="24"/>
          <w:lang w:val="en-GB"/>
        </w:rPr>
        <w:t>), and an interaction term between the two variables (</w:t>
      </w:r>
      <w:r w:rsidRPr="005D491A">
        <w:rPr>
          <w:position w:val="-10"/>
          <w:sz w:val="24"/>
          <w:szCs w:val="24"/>
          <w:lang w:val="en-GB"/>
        </w:rPr>
        <w:object w:dxaOrig="2060" w:dyaOrig="320" w14:anchorId="70F2DCBC">
          <v:shape id="_x0000_i1028" type="#_x0000_t75" style="width:103.5pt;height:15.75pt" o:ole="">
            <v:imagedata r:id="rId13" o:title=""/>
          </v:shape>
          <o:OLEObject Type="Embed" ProgID="Equation.DSMT4" ShapeID="_x0000_i1028" DrawAspect="Content" ObjectID="_1599479315" r:id="rId14"/>
        </w:object>
      </w:r>
      <w:r>
        <w:rPr>
          <w:i w:val="0"/>
          <w:color w:val="000000" w:themeColor="text1"/>
          <w:sz w:val="24"/>
          <w:szCs w:val="24"/>
          <w:lang w:val="en-GB"/>
        </w:rPr>
        <w:t xml:space="preserve">). If timing and the amount wagered </w:t>
      </w:r>
      <w:r w:rsidR="0008438A" w:rsidRPr="005B3A64">
        <w:rPr>
          <w:i w:val="0"/>
          <w:color w:val="000000" w:themeColor="text1"/>
          <w:sz w:val="24"/>
          <w:szCs w:val="24"/>
          <w:lang w:val="en-GB"/>
        </w:rPr>
        <w:t xml:space="preserve">work </w:t>
      </w:r>
      <w:r w:rsidRPr="005B3A64">
        <w:rPr>
          <w:i w:val="0"/>
          <w:color w:val="000000" w:themeColor="text1"/>
          <w:sz w:val="24"/>
          <w:szCs w:val="24"/>
          <w:lang w:val="en-GB"/>
        </w:rPr>
        <w:t xml:space="preserve">together </w:t>
      </w:r>
      <w:r w:rsidR="0008438A" w:rsidRPr="005B3A64">
        <w:rPr>
          <w:i w:val="0"/>
          <w:color w:val="000000" w:themeColor="text1"/>
          <w:sz w:val="24"/>
          <w:szCs w:val="24"/>
          <w:lang w:val="en-GB"/>
        </w:rPr>
        <w:t xml:space="preserve">to </w:t>
      </w:r>
      <w:r w:rsidRPr="005B3A64">
        <w:rPr>
          <w:i w:val="0"/>
          <w:color w:val="000000" w:themeColor="text1"/>
          <w:sz w:val="24"/>
          <w:szCs w:val="24"/>
          <w:lang w:val="en-GB"/>
        </w:rPr>
        <w:t>p</w:t>
      </w:r>
      <w:r>
        <w:rPr>
          <w:i w:val="0"/>
          <w:color w:val="000000" w:themeColor="text1"/>
          <w:sz w:val="24"/>
          <w:szCs w:val="24"/>
          <w:lang w:val="en-GB"/>
        </w:rPr>
        <w:t xml:space="preserve">redict the bettor’s </w:t>
      </w:r>
      <w:r w:rsidRPr="007F132E">
        <w:rPr>
          <w:i w:val="0"/>
          <w:color w:val="000000" w:themeColor="text1"/>
          <w:sz w:val="24"/>
          <w:szCs w:val="24"/>
          <w:lang w:val="en-GB"/>
        </w:rPr>
        <w:t>rate of return</w:t>
      </w:r>
      <w:r>
        <w:rPr>
          <w:i w:val="0"/>
          <w:color w:val="000000" w:themeColor="text1"/>
          <w:sz w:val="24"/>
          <w:szCs w:val="24"/>
          <w:lang w:val="en-GB"/>
        </w:rPr>
        <w:t xml:space="preserve">, </w:t>
      </w:r>
      <w:r w:rsidRPr="004E227F">
        <w:rPr>
          <w:i w:val="0"/>
          <w:color w:val="000000" w:themeColor="text1"/>
          <w:sz w:val="24"/>
          <w:szCs w:val="24"/>
          <w:lang w:val="en-GB"/>
        </w:rPr>
        <w:t>the interaction term</w:t>
      </w:r>
      <w:r>
        <w:rPr>
          <w:i w:val="0"/>
          <w:color w:val="000000" w:themeColor="text1"/>
          <w:sz w:val="24"/>
          <w:szCs w:val="24"/>
          <w:lang w:val="en-GB"/>
        </w:rPr>
        <w:t xml:space="preserve"> is statistically significant. We estimate two regression models. Model 1 omits the interaction term, whereas Model 2 includes it.  </w:t>
      </w:r>
    </w:p>
    <w:p w14:paraId="52370091" w14:textId="77777777" w:rsidR="00C00CDE" w:rsidRDefault="00C00CDE" w:rsidP="00E94EE6">
      <w:pPr>
        <w:spacing w:after="0" w:line="360" w:lineRule="auto"/>
        <w:jc w:val="both"/>
        <w:rPr>
          <w:i w:val="0"/>
          <w:color w:val="FF0000"/>
          <w:sz w:val="24"/>
          <w:szCs w:val="24"/>
          <w:lang w:val="en-GB"/>
        </w:rPr>
      </w:pPr>
    </w:p>
    <w:p w14:paraId="231DA2C1" w14:textId="77777777" w:rsidR="00C00CDE" w:rsidRPr="00D46558" w:rsidRDefault="00C00CDE" w:rsidP="00E94EE6">
      <w:pPr>
        <w:spacing w:after="0" w:line="360" w:lineRule="auto"/>
        <w:jc w:val="both"/>
        <w:rPr>
          <w:b/>
          <w:i w:val="0"/>
          <w:sz w:val="24"/>
          <w:szCs w:val="24"/>
          <w:lang w:val="en-GB"/>
        </w:rPr>
      </w:pPr>
      <w:r w:rsidRPr="00D46558">
        <w:rPr>
          <w:b/>
          <w:i w:val="0"/>
          <w:sz w:val="24"/>
          <w:szCs w:val="24"/>
          <w:lang w:val="en-GB"/>
        </w:rPr>
        <w:t>3. Results</w:t>
      </w:r>
    </w:p>
    <w:p w14:paraId="42F9850E" w14:textId="30628203" w:rsidR="00C00CDE" w:rsidRPr="00FD54F4" w:rsidRDefault="00C00CDE" w:rsidP="00E94EE6">
      <w:pPr>
        <w:spacing w:after="0" w:line="360" w:lineRule="auto"/>
        <w:jc w:val="both"/>
        <w:rPr>
          <w:i w:val="0"/>
          <w:strike/>
          <w:sz w:val="24"/>
          <w:szCs w:val="24"/>
          <w:lang w:val="en-GB"/>
        </w:rPr>
      </w:pPr>
      <w:r>
        <w:rPr>
          <w:i w:val="0"/>
          <w:sz w:val="24"/>
          <w:szCs w:val="24"/>
          <w:lang w:val="en-GB"/>
        </w:rPr>
        <w:t>Table 1 reports the descriptive statistics of the data</w:t>
      </w:r>
      <w:r w:rsidRPr="00D46558">
        <w:rPr>
          <w:i w:val="0"/>
          <w:sz w:val="24"/>
          <w:szCs w:val="24"/>
          <w:lang w:val="en-GB"/>
        </w:rPr>
        <w:t>.</w:t>
      </w:r>
      <w:r>
        <w:rPr>
          <w:i w:val="0"/>
          <w:sz w:val="24"/>
          <w:szCs w:val="24"/>
          <w:lang w:val="en-GB"/>
        </w:rPr>
        <w:t xml:space="preserve"> An average bettor is a 49 year-old male. </w:t>
      </w:r>
      <w:r w:rsidRPr="004264F1">
        <w:rPr>
          <w:i w:val="0"/>
          <w:sz w:val="24"/>
          <w:szCs w:val="24"/>
          <w:lang w:val="en-GB"/>
        </w:rPr>
        <w:t xml:space="preserve">He wagers on 16 races in a month using approximately 11 euros and three betting slips per race. While the mean for the bettor-race betting time is 95 minutes, the median is 36 minutes before the post time. </w:t>
      </w:r>
      <w:r w:rsidR="000B67E7" w:rsidRPr="004264F1">
        <w:rPr>
          <w:i w:val="0"/>
          <w:sz w:val="24"/>
          <w:szCs w:val="24"/>
          <w:lang w:val="en-GB"/>
        </w:rPr>
        <w:t>The mean race turnover is 54,176 euros.</w:t>
      </w:r>
      <w:r w:rsidR="000B67E7" w:rsidRPr="00464F0A">
        <w:rPr>
          <w:i w:val="0"/>
          <w:sz w:val="24"/>
          <w:szCs w:val="24"/>
          <w:lang w:val="en-GB"/>
        </w:rPr>
        <w:t xml:space="preserve"> </w:t>
      </w:r>
      <w:r w:rsidR="009B1D04" w:rsidRPr="005B3A64">
        <w:rPr>
          <w:rFonts w:cs="Times New Roman"/>
          <w:i w:val="0"/>
          <w:sz w:val="24"/>
          <w:szCs w:val="24"/>
          <w:lang w:val="en-GB"/>
        </w:rPr>
        <w:t>The distribution of betting volume is highly skewed in time</w:t>
      </w:r>
      <w:r w:rsidR="009B1D04" w:rsidRPr="005B3A64">
        <w:rPr>
          <w:i w:val="0"/>
          <w:sz w:val="24"/>
          <w:szCs w:val="24"/>
          <w:lang w:val="en-GB"/>
        </w:rPr>
        <w:t xml:space="preserve"> as a</w:t>
      </w:r>
      <w:r w:rsidRPr="005B3A64">
        <w:rPr>
          <w:i w:val="0"/>
          <w:sz w:val="24"/>
          <w:szCs w:val="24"/>
          <w:lang w:val="en-GB"/>
        </w:rPr>
        <w:t xml:space="preserve">pproximately 80% of </w:t>
      </w:r>
      <w:r w:rsidR="00EB62B4" w:rsidRPr="005B3A64">
        <w:rPr>
          <w:i w:val="0"/>
          <w:sz w:val="24"/>
          <w:szCs w:val="24"/>
          <w:lang w:val="en-GB"/>
        </w:rPr>
        <w:t xml:space="preserve">the </w:t>
      </w:r>
      <w:r w:rsidRPr="004264F1">
        <w:rPr>
          <w:i w:val="0"/>
          <w:sz w:val="24"/>
          <w:szCs w:val="24"/>
          <w:lang w:val="en-GB"/>
        </w:rPr>
        <w:t xml:space="preserve">volume is placed within the last hour. </w:t>
      </w:r>
      <w:r w:rsidRPr="004264F1">
        <w:rPr>
          <w:i w:val="0"/>
          <w:sz w:val="24"/>
          <w:szCs w:val="24"/>
          <w:lang w:val="en-US"/>
        </w:rPr>
        <w:t>The average rate of return across all the bettor-race observations is -0.24.</w:t>
      </w:r>
      <w:r w:rsidR="00A01768">
        <w:rPr>
          <w:i w:val="0"/>
          <w:sz w:val="24"/>
          <w:szCs w:val="24"/>
          <w:lang w:val="en-US"/>
        </w:rPr>
        <w:t xml:space="preserve"> In general, positive net return bets on a race tend to be slightly larger by bet size and placed later than negative net return bets on a race</w:t>
      </w:r>
      <w:r w:rsidR="00A01768">
        <w:rPr>
          <w:rStyle w:val="FootnoteReference"/>
          <w:i w:val="0"/>
          <w:sz w:val="24"/>
          <w:szCs w:val="24"/>
          <w:lang w:val="en-US"/>
        </w:rPr>
        <w:footnoteReference w:id="2"/>
      </w:r>
      <w:r w:rsidR="00A01768">
        <w:rPr>
          <w:i w:val="0"/>
          <w:sz w:val="24"/>
          <w:szCs w:val="24"/>
          <w:lang w:val="en-US"/>
        </w:rPr>
        <w:t xml:space="preserve">. </w:t>
      </w:r>
      <w:r w:rsidRPr="004264F1">
        <w:rPr>
          <w:lang w:val="en-US"/>
        </w:rPr>
        <w:t xml:space="preserve"> </w:t>
      </w:r>
    </w:p>
    <w:p w14:paraId="797233BD" w14:textId="77777777" w:rsidR="00C00CDE" w:rsidRDefault="00C00CDE" w:rsidP="00C00CDE">
      <w:pPr>
        <w:spacing w:after="0" w:line="240" w:lineRule="auto"/>
        <w:rPr>
          <w:rFonts w:cs="Times New Roman"/>
          <w:b/>
          <w:i w:val="0"/>
          <w:sz w:val="24"/>
          <w:szCs w:val="24"/>
          <w:lang w:val="en-GB"/>
        </w:rPr>
      </w:pPr>
    </w:p>
    <w:p w14:paraId="2D37C8B5" w14:textId="77777777" w:rsidR="00C00CDE" w:rsidRPr="00D46558" w:rsidRDefault="00C00CDE" w:rsidP="00C00CDE">
      <w:pPr>
        <w:spacing w:after="0" w:line="240" w:lineRule="auto"/>
        <w:rPr>
          <w:rFonts w:cs="Times New Roman"/>
          <w:i w:val="0"/>
          <w:sz w:val="24"/>
          <w:szCs w:val="24"/>
          <w:lang w:val="en-GB"/>
        </w:rPr>
      </w:pPr>
      <w:r w:rsidRPr="00D46558">
        <w:rPr>
          <w:rFonts w:cs="Times New Roman"/>
          <w:b/>
          <w:i w:val="0"/>
          <w:sz w:val="24"/>
          <w:szCs w:val="24"/>
          <w:lang w:val="en-GB"/>
        </w:rPr>
        <w:t xml:space="preserve">Table 1 </w:t>
      </w:r>
      <w:r w:rsidRPr="00D46558">
        <w:rPr>
          <w:rFonts w:cs="Times New Roman"/>
          <w:i w:val="0"/>
          <w:sz w:val="24"/>
          <w:szCs w:val="24"/>
          <w:lang w:val="en-GB"/>
        </w:rPr>
        <w:t xml:space="preserve">Descriptive statistics </w:t>
      </w:r>
    </w:p>
    <w:tbl>
      <w:tblPr>
        <w:tblStyle w:val="GridTable1Light-Accent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66"/>
        <w:gridCol w:w="1196"/>
        <w:gridCol w:w="1222"/>
        <w:gridCol w:w="1421"/>
        <w:gridCol w:w="1751"/>
      </w:tblGrid>
      <w:tr w:rsidR="00C00CDE" w:rsidRPr="00286B97" w14:paraId="3A588158" w14:textId="77777777" w:rsidTr="00785A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6" w:type="dxa"/>
            <w:tcBorders>
              <w:top w:val="double" w:sz="4" w:space="0" w:color="auto"/>
              <w:bottom w:val="single" w:sz="4" w:space="0" w:color="auto"/>
            </w:tcBorders>
            <w:shd w:val="clear" w:color="auto" w:fill="FFFFFF" w:themeFill="background1"/>
          </w:tcPr>
          <w:p w14:paraId="501B82B9" w14:textId="77777777" w:rsidR="00C00CDE" w:rsidRPr="00286B97" w:rsidRDefault="00C00CDE" w:rsidP="00785AC4">
            <w:pPr>
              <w:rPr>
                <w:rFonts w:cs="Times New Roman"/>
                <w:b w:val="0"/>
                <w:sz w:val="20"/>
                <w:szCs w:val="20"/>
                <w:lang w:val="en-GB"/>
              </w:rPr>
            </w:pPr>
          </w:p>
        </w:tc>
        <w:tc>
          <w:tcPr>
            <w:tcW w:w="1196" w:type="dxa"/>
            <w:tcBorders>
              <w:top w:val="double" w:sz="4" w:space="0" w:color="auto"/>
              <w:bottom w:val="single" w:sz="4" w:space="0" w:color="auto"/>
            </w:tcBorders>
            <w:shd w:val="clear" w:color="auto" w:fill="FFFFFF" w:themeFill="background1"/>
          </w:tcPr>
          <w:p w14:paraId="4A72CB2C" w14:textId="77777777" w:rsidR="00C00CDE" w:rsidRPr="007E700F" w:rsidRDefault="00C00CDE" w:rsidP="00785AC4">
            <w:pPr>
              <w:jc w:val="center"/>
              <w:cnfStyle w:val="100000000000" w:firstRow="1" w:lastRow="0" w:firstColumn="0" w:lastColumn="0" w:oddVBand="0" w:evenVBand="0" w:oddHBand="0" w:evenHBand="0" w:firstRowFirstColumn="0" w:firstRowLastColumn="0" w:lastRowFirstColumn="0" w:lastRowLastColumn="0"/>
              <w:rPr>
                <w:rFonts w:cs="Times New Roman"/>
                <w:b w:val="0"/>
                <w:i w:val="0"/>
                <w:sz w:val="20"/>
                <w:szCs w:val="20"/>
                <w:lang w:val="en-GB"/>
              </w:rPr>
            </w:pPr>
            <w:r w:rsidRPr="007E700F">
              <w:rPr>
                <w:rFonts w:cs="Times New Roman"/>
                <w:b w:val="0"/>
                <w:i w:val="0"/>
                <w:sz w:val="20"/>
                <w:szCs w:val="20"/>
                <w:lang w:val="en-GB"/>
              </w:rPr>
              <w:t>Mean</w:t>
            </w:r>
          </w:p>
        </w:tc>
        <w:tc>
          <w:tcPr>
            <w:tcW w:w="1222" w:type="dxa"/>
            <w:tcBorders>
              <w:top w:val="double" w:sz="4" w:space="0" w:color="auto"/>
              <w:bottom w:val="single" w:sz="4" w:space="0" w:color="auto"/>
            </w:tcBorders>
            <w:shd w:val="clear" w:color="auto" w:fill="FFFFFF" w:themeFill="background1"/>
          </w:tcPr>
          <w:p w14:paraId="30E93A44" w14:textId="77777777" w:rsidR="00C00CDE" w:rsidRPr="007E700F" w:rsidRDefault="00C00CDE" w:rsidP="00785AC4">
            <w:pPr>
              <w:jc w:val="center"/>
              <w:cnfStyle w:val="100000000000" w:firstRow="1" w:lastRow="0" w:firstColumn="0" w:lastColumn="0" w:oddVBand="0" w:evenVBand="0" w:oddHBand="0" w:evenHBand="0" w:firstRowFirstColumn="0" w:firstRowLastColumn="0" w:lastRowFirstColumn="0" w:lastRowLastColumn="0"/>
              <w:rPr>
                <w:rFonts w:cs="Times New Roman"/>
                <w:b w:val="0"/>
                <w:i w:val="0"/>
                <w:sz w:val="20"/>
                <w:szCs w:val="20"/>
                <w:lang w:val="en-GB"/>
              </w:rPr>
            </w:pPr>
            <w:r w:rsidRPr="007E700F">
              <w:rPr>
                <w:rFonts w:cs="Times New Roman"/>
                <w:b w:val="0"/>
                <w:i w:val="0"/>
                <w:sz w:val="20"/>
                <w:szCs w:val="20"/>
                <w:lang w:val="en-GB"/>
              </w:rPr>
              <w:t>Median</w:t>
            </w:r>
          </w:p>
        </w:tc>
        <w:tc>
          <w:tcPr>
            <w:tcW w:w="1421" w:type="dxa"/>
            <w:tcBorders>
              <w:top w:val="double" w:sz="4" w:space="0" w:color="auto"/>
              <w:bottom w:val="single" w:sz="4" w:space="0" w:color="auto"/>
            </w:tcBorders>
            <w:shd w:val="clear" w:color="auto" w:fill="FFFFFF" w:themeFill="background1"/>
          </w:tcPr>
          <w:p w14:paraId="7E6D1007" w14:textId="77777777" w:rsidR="00C00CDE" w:rsidRPr="007E700F" w:rsidRDefault="00C00CDE" w:rsidP="00785AC4">
            <w:pPr>
              <w:jc w:val="center"/>
              <w:cnfStyle w:val="100000000000" w:firstRow="1" w:lastRow="0" w:firstColumn="0" w:lastColumn="0" w:oddVBand="0" w:evenVBand="0" w:oddHBand="0" w:evenHBand="0" w:firstRowFirstColumn="0" w:firstRowLastColumn="0" w:lastRowFirstColumn="0" w:lastRowLastColumn="0"/>
              <w:rPr>
                <w:rFonts w:cs="Times New Roman"/>
                <w:b w:val="0"/>
                <w:i w:val="0"/>
                <w:sz w:val="20"/>
                <w:szCs w:val="20"/>
                <w:lang w:val="en-GB"/>
              </w:rPr>
            </w:pPr>
            <w:r w:rsidRPr="007E700F">
              <w:rPr>
                <w:rFonts w:cs="Times New Roman"/>
                <w:b w:val="0"/>
                <w:i w:val="0"/>
                <w:sz w:val="20"/>
                <w:szCs w:val="20"/>
                <w:lang w:val="en-GB"/>
              </w:rPr>
              <w:t>Min</w:t>
            </w:r>
          </w:p>
        </w:tc>
        <w:tc>
          <w:tcPr>
            <w:tcW w:w="1751" w:type="dxa"/>
            <w:tcBorders>
              <w:top w:val="double" w:sz="4" w:space="0" w:color="auto"/>
              <w:bottom w:val="single" w:sz="4" w:space="0" w:color="auto"/>
            </w:tcBorders>
            <w:shd w:val="clear" w:color="auto" w:fill="FFFFFF" w:themeFill="background1"/>
          </w:tcPr>
          <w:p w14:paraId="390CC7C4" w14:textId="77777777" w:rsidR="00C00CDE" w:rsidRPr="007E700F" w:rsidRDefault="00C00CDE" w:rsidP="00785AC4">
            <w:pPr>
              <w:jc w:val="center"/>
              <w:cnfStyle w:val="100000000000" w:firstRow="1" w:lastRow="0" w:firstColumn="0" w:lastColumn="0" w:oddVBand="0" w:evenVBand="0" w:oddHBand="0" w:evenHBand="0" w:firstRowFirstColumn="0" w:firstRowLastColumn="0" w:lastRowFirstColumn="0" w:lastRowLastColumn="0"/>
              <w:rPr>
                <w:rFonts w:cs="Times New Roman"/>
                <w:b w:val="0"/>
                <w:i w:val="0"/>
                <w:sz w:val="20"/>
                <w:szCs w:val="20"/>
                <w:lang w:val="en-GB"/>
              </w:rPr>
            </w:pPr>
            <w:r w:rsidRPr="007E700F">
              <w:rPr>
                <w:rFonts w:cs="Times New Roman"/>
                <w:b w:val="0"/>
                <w:i w:val="0"/>
                <w:sz w:val="20"/>
                <w:szCs w:val="20"/>
                <w:lang w:val="en-GB"/>
              </w:rPr>
              <w:t>Max</w:t>
            </w:r>
          </w:p>
        </w:tc>
      </w:tr>
      <w:tr w:rsidR="00C00CDE" w:rsidRPr="00286B97" w14:paraId="381E7473" w14:textId="77777777" w:rsidTr="00785AC4">
        <w:tc>
          <w:tcPr>
            <w:cnfStyle w:val="001000000000" w:firstRow="0" w:lastRow="0" w:firstColumn="1" w:lastColumn="0" w:oddVBand="0" w:evenVBand="0" w:oddHBand="0" w:evenHBand="0" w:firstRowFirstColumn="0" w:firstRowLastColumn="0" w:lastRowFirstColumn="0" w:lastRowLastColumn="0"/>
            <w:tcW w:w="9356" w:type="dxa"/>
            <w:gridSpan w:val="5"/>
            <w:tcBorders>
              <w:top w:val="single" w:sz="4" w:space="0" w:color="auto"/>
            </w:tcBorders>
            <w:shd w:val="clear" w:color="auto" w:fill="FFFFFF" w:themeFill="background1"/>
          </w:tcPr>
          <w:p w14:paraId="7066F052" w14:textId="77777777" w:rsidR="00C00CDE" w:rsidRPr="007E700F" w:rsidRDefault="00C00CDE" w:rsidP="00785AC4">
            <w:pPr>
              <w:rPr>
                <w:rFonts w:cs="Times New Roman"/>
                <w:i w:val="0"/>
                <w:sz w:val="20"/>
                <w:szCs w:val="20"/>
                <w:lang w:val="en-GB"/>
              </w:rPr>
            </w:pPr>
            <w:r w:rsidRPr="007E700F">
              <w:rPr>
                <w:rFonts w:cs="Times New Roman"/>
                <w:b w:val="0"/>
                <w:i w:val="0"/>
                <w:sz w:val="20"/>
                <w:szCs w:val="20"/>
                <w:lang w:val="en-GB"/>
              </w:rPr>
              <w:t>Focus variables</w:t>
            </w:r>
          </w:p>
        </w:tc>
      </w:tr>
      <w:tr w:rsidR="00C00CDE" w:rsidRPr="00286B97" w14:paraId="558E736B" w14:textId="77777777" w:rsidTr="00785AC4">
        <w:tc>
          <w:tcPr>
            <w:cnfStyle w:val="001000000000" w:firstRow="0" w:lastRow="0" w:firstColumn="1" w:lastColumn="0" w:oddVBand="0" w:evenVBand="0" w:oddHBand="0" w:evenHBand="0" w:firstRowFirstColumn="0" w:firstRowLastColumn="0" w:lastRowFirstColumn="0" w:lastRowLastColumn="0"/>
            <w:tcW w:w="3766" w:type="dxa"/>
            <w:tcBorders>
              <w:top w:val="single" w:sz="4" w:space="0" w:color="auto"/>
            </w:tcBorders>
            <w:shd w:val="clear" w:color="auto" w:fill="FFFFFF" w:themeFill="background1"/>
          </w:tcPr>
          <w:p w14:paraId="03662098" w14:textId="77777777" w:rsidR="00C00CDE" w:rsidRPr="00286B97" w:rsidRDefault="00C00CDE" w:rsidP="00785AC4">
            <w:pPr>
              <w:rPr>
                <w:rFonts w:cs="Times New Roman"/>
                <w:b w:val="0"/>
                <w:i w:val="0"/>
                <w:sz w:val="20"/>
                <w:szCs w:val="20"/>
                <w:lang w:val="en-GB"/>
              </w:rPr>
            </w:pPr>
            <w:r w:rsidRPr="00286B97">
              <w:rPr>
                <w:rFonts w:cs="Times New Roman"/>
                <w:b w:val="0"/>
                <w:sz w:val="20"/>
                <w:szCs w:val="20"/>
                <w:lang w:val="en-GB"/>
              </w:rPr>
              <w:t>Rate of return</w:t>
            </w:r>
          </w:p>
        </w:tc>
        <w:tc>
          <w:tcPr>
            <w:tcW w:w="1196" w:type="dxa"/>
            <w:tcBorders>
              <w:top w:val="single" w:sz="4" w:space="0" w:color="auto"/>
            </w:tcBorders>
            <w:shd w:val="clear" w:color="auto" w:fill="FFFFFF" w:themeFill="background1"/>
          </w:tcPr>
          <w:p w14:paraId="7FFD1F43"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-0.24</w:t>
            </w:r>
          </w:p>
        </w:tc>
        <w:tc>
          <w:tcPr>
            <w:tcW w:w="1222" w:type="dxa"/>
            <w:tcBorders>
              <w:top w:val="single" w:sz="4" w:space="0" w:color="auto"/>
            </w:tcBorders>
            <w:shd w:val="clear" w:color="auto" w:fill="FFFFFF" w:themeFill="background1"/>
          </w:tcPr>
          <w:p w14:paraId="2CA54873"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-1.00</w:t>
            </w:r>
          </w:p>
        </w:tc>
        <w:tc>
          <w:tcPr>
            <w:tcW w:w="1421" w:type="dxa"/>
            <w:tcBorders>
              <w:top w:val="single" w:sz="4" w:space="0" w:color="auto"/>
            </w:tcBorders>
            <w:shd w:val="clear" w:color="auto" w:fill="FFFFFF" w:themeFill="background1"/>
          </w:tcPr>
          <w:p w14:paraId="5BD92809"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-1.00</w:t>
            </w:r>
          </w:p>
        </w:tc>
        <w:tc>
          <w:tcPr>
            <w:tcW w:w="1751" w:type="dxa"/>
            <w:tcBorders>
              <w:top w:val="single" w:sz="4" w:space="0" w:color="auto"/>
            </w:tcBorders>
            <w:shd w:val="clear" w:color="auto" w:fill="FFFFFF" w:themeFill="background1"/>
          </w:tcPr>
          <w:p w14:paraId="34E1CD51"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925.80</w:t>
            </w:r>
          </w:p>
        </w:tc>
      </w:tr>
      <w:tr w:rsidR="00C00CDE" w:rsidRPr="00286B97" w14:paraId="23162EE4"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54EEA54A" w14:textId="77777777" w:rsidR="00C00CDE" w:rsidRPr="00286B97" w:rsidRDefault="00C00CDE" w:rsidP="00785AC4">
            <w:pPr>
              <w:rPr>
                <w:rFonts w:cs="Times New Roman"/>
                <w:b w:val="0"/>
                <w:i w:val="0"/>
                <w:sz w:val="20"/>
                <w:szCs w:val="20"/>
                <w:lang w:val="en-GB"/>
              </w:rPr>
            </w:pPr>
            <w:r w:rsidRPr="00286B97">
              <w:rPr>
                <w:rFonts w:cs="Times New Roman"/>
                <w:b w:val="0"/>
                <w:sz w:val="20"/>
                <w:szCs w:val="20"/>
                <w:lang w:val="en-GB"/>
              </w:rPr>
              <w:t>Bet amount (euros)</w:t>
            </w:r>
          </w:p>
        </w:tc>
        <w:tc>
          <w:tcPr>
            <w:tcW w:w="1196" w:type="dxa"/>
            <w:shd w:val="clear" w:color="auto" w:fill="FFFFFF" w:themeFill="background1"/>
          </w:tcPr>
          <w:p w14:paraId="6247E46B"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10.81</w:t>
            </w:r>
          </w:p>
        </w:tc>
        <w:tc>
          <w:tcPr>
            <w:tcW w:w="1222" w:type="dxa"/>
            <w:shd w:val="clear" w:color="auto" w:fill="FFFFFF" w:themeFill="background1"/>
          </w:tcPr>
          <w:p w14:paraId="7B12C338"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5.87</w:t>
            </w:r>
          </w:p>
        </w:tc>
        <w:tc>
          <w:tcPr>
            <w:tcW w:w="1421" w:type="dxa"/>
            <w:shd w:val="clear" w:color="auto" w:fill="FFFFFF" w:themeFill="background1"/>
          </w:tcPr>
          <w:p w14:paraId="19D84032"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0.50</w:t>
            </w:r>
          </w:p>
        </w:tc>
        <w:tc>
          <w:tcPr>
            <w:tcW w:w="1751" w:type="dxa"/>
            <w:shd w:val="clear" w:color="auto" w:fill="FFFFFF" w:themeFill="background1"/>
          </w:tcPr>
          <w:p w14:paraId="18237397"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6,759</w:t>
            </w:r>
          </w:p>
        </w:tc>
      </w:tr>
      <w:tr w:rsidR="00C00CDE" w:rsidRPr="00286B97" w14:paraId="7A81ABEE" w14:textId="77777777" w:rsidTr="00785AC4">
        <w:tc>
          <w:tcPr>
            <w:cnfStyle w:val="001000000000" w:firstRow="0" w:lastRow="0" w:firstColumn="1" w:lastColumn="0" w:oddVBand="0" w:evenVBand="0" w:oddHBand="0" w:evenHBand="0" w:firstRowFirstColumn="0" w:firstRowLastColumn="0" w:lastRowFirstColumn="0" w:lastRowLastColumn="0"/>
            <w:tcW w:w="3766" w:type="dxa"/>
            <w:tcBorders>
              <w:bottom w:val="single" w:sz="4" w:space="0" w:color="auto"/>
            </w:tcBorders>
            <w:shd w:val="clear" w:color="auto" w:fill="FFFFFF" w:themeFill="background1"/>
          </w:tcPr>
          <w:p w14:paraId="25119BCC" w14:textId="77777777" w:rsidR="00C00CDE" w:rsidRPr="00286B97" w:rsidRDefault="00C00CDE" w:rsidP="00785AC4">
            <w:pPr>
              <w:rPr>
                <w:rFonts w:cs="Times New Roman"/>
                <w:b w:val="0"/>
                <w:i w:val="0"/>
                <w:sz w:val="20"/>
                <w:szCs w:val="20"/>
                <w:lang w:val="en-GB"/>
              </w:rPr>
            </w:pPr>
            <w:r w:rsidRPr="00286B97">
              <w:rPr>
                <w:rFonts w:cs="Times New Roman"/>
                <w:b w:val="0"/>
                <w:sz w:val="20"/>
                <w:szCs w:val="20"/>
                <w:lang w:val="en-GB"/>
              </w:rPr>
              <w:t>Timing (minutes)</w:t>
            </w:r>
          </w:p>
        </w:tc>
        <w:tc>
          <w:tcPr>
            <w:tcW w:w="1196" w:type="dxa"/>
            <w:tcBorders>
              <w:bottom w:val="single" w:sz="4" w:space="0" w:color="auto"/>
            </w:tcBorders>
            <w:shd w:val="clear" w:color="auto" w:fill="FFFFFF" w:themeFill="background1"/>
          </w:tcPr>
          <w:p w14:paraId="2F92B914"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US"/>
              </w:rPr>
            </w:pPr>
            <w:r w:rsidRPr="007E700F">
              <w:rPr>
                <w:rFonts w:cs="Times New Roman"/>
                <w:i w:val="0"/>
                <w:sz w:val="20"/>
                <w:szCs w:val="20"/>
                <w:lang w:val="en-US"/>
              </w:rPr>
              <w:t>94.60</w:t>
            </w:r>
          </w:p>
        </w:tc>
        <w:tc>
          <w:tcPr>
            <w:tcW w:w="1222" w:type="dxa"/>
            <w:tcBorders>
              <w:bottom w:val="single" w:sz="4" w:space="0" w:color="auto"/>
            </w:tcBorders>
            <w:shd w:val="clear" w:color="auto" w:fill="FFFFFF" w:themeFill="background1"/>
          </w:tcPr>
          <w:p w14:paraId="2AD2F12F"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US"/>
              </w:rPr>
            </w:pPr>
            <w:r w:rsidRPr="007E700F">
              <w:rPr>
                <w:rFonts w:cs="Times New Roman"/>
                <w:i w:val="0"/>
                <w:sz w:val="20"/>
                <w:szCs w:val="20"/>
                <w:lang w:val="en-US"/>
              </w:rPr>
              <w:t>36.29</w:t>
            </w:r>
          </w:p>
        </w:tc>
        <w:tc>
          <w:tcPr>
            <w:tcW w:w="1421" w:type="dxa"/>
            <w:tcBorders>
              <w:bottom w:val="single" w:sz="4" w:space="0" w:color="auto"/>
            </w:tcBorders>
            <w:shd w:val="clear" w:color="auto" w:fill="FFFFFF" w:themeFill="background1"/>
          </w:tcPr>
          <w:p w14:paraId="797B6566"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US"/>
              </w:rPr>
            </w:pPr>
            <w:r w:rsidRPr="007E700F">
              <w:rPr>
                <w:rFonts w:cs="Times New Roman"/>
                <w:i w:val="0"/>
                <w:sz w:val="20"/>
                <w:szCs w:val="20"/>
                <w:lang w:val="en-US"/>
              </w:rPr>
              <w:t>0</w:t>
            </w:r>
          </w:p>
        </w:tc>
        <w:tc>
          <w:tcPr>
            <w:tcW w:w="1751" w:type="dxa"/>
            <w:tcBorders>
              <w:bottom w:val="single" w:sz="4" w:space="0" w:color="auto"/>
            </w:tcBorders>
            <w:shd w:val="clear" w:color="auto" w:fill="FFFFFF" w:themeFill="background1"/>
          </w:tcPr>
          <w:p w14:paraId="0DEDE548"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US"/>
              </w:rPr>
            </w:pPr>
            <w:r w:rsidRPr="007E700F">
              <w:rPr>
                <w:rFonts w:cs="Times New Roman"/>
                <w:i w:val="0"/>
                <w:sz w:val="20"/>
                <w:szCs w:val="20"/>
                <w:lang w:val="en-US"/>
              </w:rPr>
              <w:t>8,864.72</w:t>
            </w:r>
          </w:p>
        </w:tc>
      </w:tr>
      <w:tr w:rsidR="00C00CDE" w:rsidRPr="00286B97" w14:paraId="368B6028" w14:textId="77777777" w:rsidTr="00785AC4">
        <w:tc>
          <w:tcPr>
            <w:cnfStyle w:val="001000000000" w:firstRow="0" w:lastRow="0" w:firstColumn="1" w:lastColumn="0" w:oddVBand="0" w:evenVBand="0" w:oddHBand="0" w:evenHBand="0" w:firstRowFirstColumn="0" w:firstRowLastColumn="0" w:lastRowFirstColumn="0" w:lastRowLastColumn="0"/>
            <w:tcW w:w="9356" w:type="dxa"/>
            <w:gridSpan w:val="5"/>
            <w:tcBorders>
              <w:bottom w:val="single" w:sz="4" w:space="0" w:color="auto"/>
            </w:tcBorders>
            <w:shd w:val="clear" w:color="auto" w:fill="FFFFFF" w:themeFill="background1"/>
          </w:tcPr>
          <w:p w14:paraId="5BADD32E" w14:textId="77777777" w:rsidR="00C00CDE" w:rsidRPr="007E700F" w:rsidRDefault="00C00CDE" w:rsidP="00785AC4">
            <w:pPr>
              <w:rPr>
                <w:rFonts w:cs="Times New Roman"/>
                <w:i w:val="0"/>
                <w:sz w:val="20"/>
                <w:szCs w:val="20"/>
                <w:lang w:val="en-GB"/>
              </w:rPr>
            </w:pPr>
            <w:r w:rsidRPr="007E700F">
              <w:rPr>
                <w:rFonts w:cs="Times New Roman"/>
                <w:b w:val="0"/>
                <w:i w:val="0"/>
                <w:sz w:val="20"/>
                <w:szCs w:val="20"/>
                <w:lang w:val="en-GB"/>
              </w:rPr>
              <w:t xml:space="preserve">Control variables </w:t>
            </w:r>
          </w:p>
        </w:tc>
      </w:tr>
      <w:tr w:rsidR="00C00CDE" w:rsidRPr="00286B97" w14:paraId="425D77E5"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1BF4AD35" w14:textId="77777777" w:rsidR="00C00CDE" w:rsidRPr="00286B97" w:rsidRDefault="00C00CDE" w:rsidP="00785AC4">
            <w:pPr>
              <w:rPr>
                <w:rFonts w:cs="Times New Roman"/>
                <w:b w:val="0"/>
                <w:sz w:val="20"/>
                <w:szCs w:val="20"/>
                <w:lang w:val="en-GB"/>
              </w:rPr>
            </w:pPr>
            <w:r w:rsidRPr="00286B97">
              <w:rPr>
                <w:rFonts w:cs="Times New Roman"/>
                <w:b w:val="0"/>
                <w:sz w:val="20"/>
                <w:szCs w:val="20"/>
                <w:lang w:val="en-GB"/>
              </w:rPr>
              <w:t>Age (years)</w:t>
            </w:r>
          </w:p>
        </w:tc>
        <w:tc>
          <w:tcPr>
            <w:tcW w:w="1196" w:type="dxa"/>
            <w:shd w:val="clear" w:color="auto" w:fill="FFFFFF" w:themeFill="background1"/>
          </w:tcPr>
          <w:p w14:paraId="14A59975"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48.46</w:t>
            </w:r>
          </w:p>
        </w:tc>
        <w:tc>
          <w:tcPr>
            <w:tcW w:w="1222" w:type="dxa"/>
            <w:shd w:val="clear" w:color="auto" w:fill="FFFFFF" w:themeFill="background1"/>
          </w:tcPr>
          <w:p w14:paraId="2FFCD0C2"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49</w:t>
            </w:r>
          </w:p>
        </w:tc>
        <w:tc>
          <w:tcPr>
            <w:tcW w:w="1421" w:type="dxa"/>
            <w:shd w:val="clear" w:color="auto" w:fill="FFFFFF" w:themeFill="background1"/>
          </w:tcPr>
          <w:p w14:paraId="10E15F3F"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18</w:t>
            </w:r>
          </w:p>
        </w:tc>
        <w:tc>
          <w:tcPr>
            <w:tcW w:w="1751" w:type="dxa"/>
            <w:shd w:val="clear" w:color="auto" w:fill="FFFFFF" w:themeFill="background1"/>
          </w:tcPr>
          <w:p w14:paraId="310FB347"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103</w:t>
            </w:r>
          </w:p>
        </w:tc>
      </w:tr>
      <w:tr w:rsidR="00C00CDE" w:rsidRPr="00286B97" w14:paraId="671B01CE"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16CD6283" w14:textId="77777777" w:rsidR="00C00CDE" w:rsidRPr="00286B97" w:rsidRDefault="00C00CDE" w:rsidP="00785AC4">
            <w:pPr>
              <w:rPr>
                <w:rFonts w:cs="Times New Roman"/>
                <w:b w:val="0"/>
                <w:sz w:val="20"/>
                <w:szCs w:val="20"/>
                <w:lang w:val="en-GB"/>
              </w:rPr>
            </w:pPr>
            <w:r w:rsidRPr="00286B97">
              <w:rPr>
                <w:rFonts w:cs="Times New Roman"/>
                <w:b w:val="0"/>
                <w:sz w:val="20"/>
                <w:szCs w:val="20"/>
                <w:lang w:val="en-GB"/>
              </w:rPr>
              <w:t>Male (= 1 for male)</w:t>
            </w:r>
          </w:p>
        </w:tc>
        <w:tc>
          <w:tcPr>
            <w:tcW w:w="1196" w:type="dxa"/>
            <w:shd w:val="clear" w:color="auto" w:fill="FFFFFF" w:themeFill="background1"/>
          </w:tcPr>
          <w:p w14:paraId="6048F8A8"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0.81</w:t>
            </w:r>
          </w:p>
        </w:tc>
        <w:tc>
          <w:tcPr>
            <w:tcW w:w="1222" w:type="dxa"/>
            <w:shd w:val="clear" w:color="auto" w:fill="FFFFFF" w:themeFill="background1"/>
          </w:tcPr>
          <w:p w14:paraId="6A78204B"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w:t>
            </w:r>
          </w:p>
        </w:tc>
        <w:tc>
          <w:tcPr>
            <w:tcW w:w="1421" w:type="dxa"/>
            <w:shd w:val="clear" w:color="auto" w:fill="FFFFFF" w:themeFill="background1"/>
          </w:tcPr>
          <w:p w14:paraId="1D7BC03B"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w:t>
            </w:r>
          </w:p>
        </w:tc>
        <w:tc>
          <w:tcPr>
            <w:tcW w:w="1751" w:type="dxa"/>
            <w:shd w:val="clear" w:color="auto" w:fill="FFFFFF" w:themeFill="background1"/>
          </w:tcPr>
          <w:p w14:paraId="2F8A48E3"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w:t>
            </w:r>
          </w:p>
        </w:tc>
      </w:tr>
      <w:tr w:rsidR="00C00CDE" w:rsidRPr="00286B97" w14:paraId="483EFC98"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122137C5" w14:textId="77777777" w:rsidR="00C00CDE" w:rsidRPr="00286B97" w:rsidRDefault="00C00CDE" w:rsidP="00785AC4">
            <w:pPr>
              <w:rPr>
                <w:rFonts w:cs="Times New Roman"/>
                <w:b w:val="0"/>
                <w:sz w:val="20"/>
                <w:szCs w:val="20"/>
                <w:lang w:val="en-GB"/>
              </w:rPr>
            </w:pPr>
            <w:r w:rsidRPr="00286B97">
              <w:rPr>
                <w:rFonts w:cs="Times New Roman"/>
                <w:b w:val="0"/>
                <w:color w:val="000000" w:themeColor="text1"/>
                <w:sz w:val="20"/>
                <w:szCs w:val="20"/>
                <w:lang w:val="en-GB"/>
              </w:rPr>
              <w:t>Experience</w:t>
            </w:r>
            <w:r w:rsidRPr="00286B97">
              <w:rPr>
                <w:rFonts w:cs="Times New Roman"/>
                <w:b w:val="0"/>
                <w:color w:val="000000" w:themeColor="text1"/>
                <w:sz w:val="20"/>
                <w:szCs w:val="20"/>
                <w:vertAlign w:val="superscript"/>
                <w:lang w:val="en-GB"/>
              </w:rPr>
              <w:t>#</w:t>
            </w:r>
            <w:r w:rsidRPr="00286B97">
              <w:rPr>
                <w:rFonts w:cs="Times New Roman"/>
                <w:b w:val="0"/>
                <w:color w:val="000000" w:themeColor="text1"/>
                <w:sz w:val="20"/>
                <w:szCs w:val="20"/>
                <w:lang w:val="en-GB"/>
              </w:rPr>
              <w:t xml:space="preserve"> (= </w:t>
            </w:r>
            <w:r w:rsidRPr="00286B97">
              <w:rPr>
                <w:rFonts w:cs="Times New Roman"/>
                <w:b w:val="0"/>
                <w:sz w:val="20"/>
                <w:szCs w:val="20"/>
                <w:lang w:val="en-GB"/>
              </w:rPr>
              <w:t>1 for high experience)</w:t>
            </w:r>
          </w:p>
        </w:tc>
        <w:tc>
          <w:tcPr>
            <w:tcW w:w="1196" w:type="dxa"/>
            <w:shd w:val="clear" w:color="auto" w:fill="FFFFFF" w:themeFill="background1"/>
          </w:tcPr>
          <w:p w14:paraId="1F6544AE"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0.50</w:t>
            </w:r>
          </w:p>
        </w:tc>
        <w:tc>
          <w:tcPr>
            <w:tcW w:w="1222" w:type="dxa"/>
            <w:shd w:val="clear" w:color="auto" w:fill="FFFFFF" w:themeFill="background1"/>
          </w:tcPr>
          <w:p w14:paraId="0B087EF6"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0.50</w:t>
            </w:r>
          </w:p>
        </w:tc>
        <w:tc>
          <w:tcPr>
            <w:tcW w:w="1421" w:type="dxa"/>
            <w:shd w:val="clear" w:color="auto" w:fill="FFFFFF" w:themeFill="background1"/>
          </w:tcPr>
          <w:p w14:paraId="5FFB5C3C"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0</w:t>
            </w:r>
          </w:p>
        </w:tc>
        <w:tc>
          <w:tcPr>
            <w:tcW w:w="1751" w:type="dxa"/>
            <w:shd w:val="clear" w:color="auto" w:fill="FFFFFF" w:themeFill="background1"/>
          </w:tcPr>
          <w:p w14:paraId="490E64D4"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w:t>
            </w:r>
          </w:p>
        </w:tc>
      </w:tr>
      <w:tr w:rsidR="00C00CDE" w:rsidRPr="00286B97" w14:paraId="11547FDD"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336D3C6B" w14:textId="77777777" w:rsidR="00C00CDE" w:rsidRPr="00286B97" w:rsidRDefault="00C00CDE" w:rsidP="00785AC4">
            <w:pPr>
              <w:rPr>
                <w:rFonts w:cs="Times New Roman"/>
                <w:color w:val="000000" w:themeColor="text1"/>
                <w:sz w:val="20"/>
                <w:szCs w:val="20"/>
                <w:lang w:val="en-GB"/>
              </w:rPr>
            </w:pPr>
            <w:r w:rsidRPr="00286B97">
              <w:rPr>
                <w:rFonts w:cs="Times New Roman"/>
                <w:b w:val="0"/>
                <w:sz w:val="20"/>
                <w:szCs w:val="20"/>
              </w:rPr>
              <w:t xml:space="preserve">Race turnover (euros) </w:t>
            </w:r>
          </w:p>
        </w:tc>
        <w:tc>
          <w:tcPr>
            <w:tcW w:w="1196" w:type="dxa"/>
            <w:shd w:val="clear" w:color="auto" w:fill="FFFFFF" w:themeFill="background1"/>
          </w:tcPr>
          <w:p w14:paraId="00B3AF9D"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rPr>
              <w:t>54,176.22</w:t>
            </w:r>
          </w:p>
        </w:tc>
        <w:tc>
          <w:tcPr>
            <w:tcW w:w="1222" w:type="dxa"/>
            <w:shd w:val="clear" w:color="auto" w:fill="FFFFFF" w:themeFill="background1"/>
          </w:tcPr>
          <w:p w14:paraId="0864CC3E"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rPr>
              <w:t>22,186.25</w:t>
            </w:r>
          </w:p>
        </w:tc>
        <w:tc>
          <w:tcPr>
            <w:tcW w:w="1421" w:type="dxa"/>
            <w:shd w:val="clear" w:color="auto" w:fill="FFFFFF" w:themeFill="background1"/>
          </w:tcPr>
          <w:p w14:paraId="1DFC0E77"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rPr>
              <w:t>1,500</w:t>
            </w:r>
          </w:p>
        </w:tc>
        <w:tc>
          <w:tcPr>
            <w:tcW w:w="1751" w:type="dxa"/>
            <w:shd w:val="clear" w:color="auto" w:fill="FFFFFF" w:themeFill="background1"/>
          </w:tcPr>
          <w:p w14:paraId="69C3A316"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rPr>
              <w:t>1 357,717</w:t>
            </w:r>
          </w:p>
        </w:tc>
      </w:tr>
      <w:tr w:rsidR="00C00CDE" w:rsidRPr="00286B97" w14:paraId="4B0A82E9" w14:textId="77777777" w:rsidTr="00785AC4">
        <w:tc>
          <w:tcPr>
            <w:cnfStyle w:val="001000000000" w:firstRow="0" w:lastRow="0" w:firstColumn="1" w:lastColumn="0" w:oddVBand="0" w:evenVBand="0" w:oddHBand="0" w:evenHBand="0" w:firstRowFirstColumn="0" w:firstRowLastColumn="0" w:lastRowFirstColumn="0" w:lastRowLastColumn="0"/>
            <w:tcW w:w="3766" w:type="dxa"/>
            <w:tcBorders>
              <w:top w:val="single" w:sz="4" w:space="0" w:color="auto"/>
              <w:bottom w:val="single" w:sz="4" w:space="0" w:color="auto"/>
            </w:tcBorders>
            <w:shd w:val="clear" w:color="auto" w:fill="FFFFFF" w:themeFill="background1"/>
          </w:tcPr>
          <w:p w14:paraId="71B9FCA0" w14:textId="77777777" w:rsidR="00C00CDE" w:rsidRPr="007E700F" w:rsidRDefault="00C00CDE" w:rsidP="00785AC4">
            <w:pPr>
              <w:rPr>
                <w:rFonts w:cs="Times New Roman"/>
                <w:b w:val="0"/>
                <w:i w:val="0"/>
                <w:sz w:val="20"/>
                <w:szCs w:val="20"/>
                <w:lang w:val="en-GB"/>
              </w:rPr>
            </w:pPr>
            <w:r w:rsidRPr="007E700F">
              <w:rPr>
                <w:rFonts w:cs="Times New Roman"/>
                <w:b w:val="0"/>
                <w:i w:val="0"/>
                <w:sz w:val="20"/>
                <w:szCs w:val="20"/>
                <w:lang w:val="en-GB"/>
              </w:rPr>
              <w:t>Betting attributes by bettor</w:t>
            </w:r>
          </w:p>
        </w:tc>
        <w:tc>
          <w:tcPr>
            <w:tcW w:w="1196" w:type="dxa"/>
            <w:tcBorders>
              <w:top w:val="single" w:sz="4" w:space="0" w:color="auto"/>
              <w:bottom w:val="single" w:sz="4" w:space="0" w:color="auto"/>
            </w:tcBorders>
            <w:shd w:val="clear" w:color="auto" w:fill="FFFFFF" w:themeFill="background1"/>
          </w:tcPr>
          <w:p w14:paraId="071D80F0" w14:textId="77777777" w:rsidR="00C00CDE" w:rsidRPr="00286B97"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1222" w:type="dxa"/>
            <w:tcBorders>
              <w:top w:val="single" w:sz="4" w:space="0" w:color="auto"/>
              <w:bottom w:val="single" w:sz="4" w:space="0" w:color="auto"/>
            </w:tcBorders>
            <w:shd w:val="clear" w:color="auto" w:fill="FFFFFF" w:themeFill="background1"/>
          </w:tcPr>
          <w:p w14:paraId="11E81F94" w14:textId="77777777" w:rsidR="00C00CDE" w:rsidRPr="00286B97"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1421" w:type="dxa"/>
            <w:tcBorders>
              <w:top w:val="single" w:sz="4" w:space="0" w:color="auto"/>
              <w:bottom w:val="single" w:sz="4" w:space="0" w:color="auto"/>
            </w:tcBorders>
            <w:shd w:val="clear" w:color="auto" w:fill="FFFFFF" w:themeFill="background1"/>
          </w:tcPr>
          <w:p w14:paraId="11102093" w14:textId="77777777" w:rsidR="00C00CDE" w:rsidRPr="00286B97"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c>
          <w:tcPr>
            <w:tcW w:w="1751" w:type="dxa"/>
            <w:tcBorders>
              <w:top w:val="single" w:sz="4" w:space="0" w:color="auto"/>
              <w:bottom w:val="single" w:sz="4" w:space="0" w:color="auto"/>
            </w:tcBorders>
            <w:shd w:val="clear" w:color="auto" w:fill="FFFFFF" w:themeFill="background1"/>
          </w:tcPr>
          <w:p w14:paraId="32BE5689" w14:textId="77777777" w:rsidR="00C00CDE" w:rsidRPr="00286B97"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GB"/>
              </w:rPr>
            </w:pPr>
          </w:p>
        </w:tc>
      </w:tr>
      <w:tr w:rsidR="00C00CDE" w:rsidRPr="00286B97" w14:paraId="402483BB" w14:textId="77777777" w:rsidTr="00785AC4">
        <w:tc>
          <w:tcPr>
            <w:cnfStyle w:val="001000000000" w:firstRow="0" w:lastRow="0" w:firstColumn="1" w:lastColumn="0" w:oddVBand="0" w:evenVBand="0" w:oddHBand="0" w:evenHBand="0" w:firstRowFirstColumn="0" w:firstRowLastColumn="0" w:lastRowFirstColumn="0" w:lastRowLastColumn="0"/>
            <w:tcW w:w="3766" w:type="dxa"/>
            <w:tcBorders>
              <w:top w:val="single" w:sz="4" w:space="0" w:color="auto"/>
            </w:tcBorders>
            <w:shd w:val="clear" w:color="auto" w:fill="FFFFFF" w:themeFill="background1"/>
          </w:tcPr>
          <w:p w14:paraId="6D4D06E0" w14:textId="77777777" w:rsidR="00C00CDE" w:rsidRPr="00286B97" w:rsidRDefault="00C00CDE" w:rsidP="00785AC4">
            <w:pPr>
              <w:rPr>
                <w:rFonts w:cs="Times New Roman"/>
                <w:b w:val="0"/>
                <w:i w:val="0"/>
                <w:sz w:val="20"/>
                <w:szCs w:val="20"/>
                <w:lang w:val="en-GB"/>
              </w:rPr>
            </w:pPr>
            <w:r w:rsidRPr="00286B97">
              <w:rPr>
                <w:rFonts w:cs="Times New Roman"/>
                <w:b w:val="0"/>
                <w:sz w:val="20"/>
                <w:szCs w:val="20"/>
                <w:lang w:val="en-GB"/>
              </w:rPr>
              <w:t>Number of races bet per month</w:t>
            </w:r>
          </w:p>
        </w:tc>
        <w:tc>
          <w:tcPr>
            <w:tcW w:w="1196" w:type="dxa"/>
            <w:tcBorders>
              <w:top w:val="single" w:sz="4" w:space="0" w:color="auto"/>
            </w:tcBorders>
            <w:shd w:val="clear" w:color="auto" w:fill="FFFFFF" w:themeFill="background1"/>
          </w:tcPr>
          <w:p w14:paraId="3F0D9E3C"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16.10</w:t>
            </w:r>
          </w:p>
        </w:tc>
        <w:tc>
          <w:tcPr>
            <w:tcW w:w="1222" w:type="dxa"/>
            <w:tcBorders>
              <w:top w:val="single" w:sz="4" w:space="0" w:color="auto"/>
            </w:tcBorders>
            <w:shd w:val="clear" w:color="auto" w:fill="FFFFFF" w:themeFill="background1"/>
          </w:tcPr>
          <w:p w14:paraId="087C3C24"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5.5</w:t>
            </w:r>
          </w:p>
        </w:tc>
        <w:tc>
          <w:tcPr>
            <w:tcW w:w="1421" w:type="dxa"/>
            <w:tcBorders>
              <w:top w:val="single" w:sz="4" w:space="0" w:color="auto"/>
            </w:tcBorders>
            <w:shd w:val="clear" w:color="auto" w:fill="FFFFFF" w:themeFill="background1"/>
          </w:tcPr>
          <w:p w14:paraId="211BEA7A"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w:t>
            </w:r>
          </w:p>
        </w:tc>
        <w:tc>
          <w:tcPr>
            <w:tcW w:w="1751" w:type="dxa"/>
            <w:tcBorders>
              <w:top w:val="single" w:sz="4" w:space="0" w:color="auto"/>
            </w:tcBorders>
            <w:shd w:val="clear" w:color="auto" w:fill="FFFFFF" w:themeFill="background1"/>
          </w:tcPr>
          <w:p w14:paraId="46FF030A"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375</w:t>
            </w:r>
          </w:p>
        </w:tc>
      </w:tr>
      <w:tr w:rsidR="00C00CDE" w:rsidRPr="00286B97" w14:paraId="75763BD4" w14:textId="77777777" w:rsidTr="00785AC4">
        <w:tc>
          <w:tcPr>
            <w:cnfStyle w:val="001000000000" w:firstRow="0" w:lastRow="0" w:firstColumn="1" w:lastColumn="0" w:oddVBand="0" w:evenVBand="0" w:oddHBand="0" w:evenHBand="0" w:firstRowFirstColumn="0" w:firstRowLastColumn="0" w:lastRowFirstColumn="0" w:lastRowLastColumn="0"/>
            <w:tcW w:w="3766" w:type="dxa"/>
            <w:shd w:val="clear" w:color="auto" w:fill="FFFFFF" w:themeFill="background1"/>
          </w:tcPr>
          <w:p w14:paraId="53DE6264" w14:textId="77777777" w:rsidR="00C00CDE" w:rsidRPr="00286B97" w:rsidRDefault="00C00CDE" w:rsidP="00785AC4">
            <w:pPr>
              <w:rPr>
                <w:rFonts w:cs="Times New Roman"/>
                <w:b w:val="0"/>
                <w:i w:val="0"/>
                <w:sz w:val="20"/>
                <w:szCs w:val="20"/>
                <w:lang w:val="en-GB"/>
              </w:rPr>
            </w:pPr>
            <w:r w:rsidRPr="00286B97">
              <w:rPr>
                <w:rFonts w:cs="Times New Roman"/>
                <w:b w:val="0"/>
                <w:sz w:val="20"/>
                <w:szCs w:val="20"/>
                <w:lang w:val="en-GB"/>
              </w:rPr>
              <w:t>Number of betting slips per race</w:t>
            </w:r>
          </w:p>
        </w:tc>
        <w:tc>
          <w:tcPr>
            <w:tcW w:w="1196" w:type="dxa"/>
            <w:shd w:val="clear" w:color="auto" w:fill="FFFFFF" w:themeFill="background1"/>
          </w:tcPr>
          <w:p w14:paraId="15717EC8"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2.72</w:t>
            </w:r>
          </w:p>
        </w:tc>
        <w:tc>
          <w:tcPr>
            <w:tcW w:w="1222" w:type="dxa"/>
            <w:shd w:val="clear" w:color="auto" w:fill="FFFFFF" w:themeFill="background1"/>
          </w:tcPr>
          <w:p w14:paraId="3E197A13"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2</w:t>
            </w:r>
          </w:p>
        </w:tc>
        <w:tc>
          <w:tcPr>
            <w:tcW w:w="1421" w:type="dxa"/>
            <w:shd w:val="clear" w:color="auto" w:fill="FFFFFF" w:themeFill="background1"/>
          </w:tcPr>
          <w:p w14:paraId="726D0650"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1</w:t>
            </w:r>
          </w:p>
        </w:tc>
        <w:tc>
          <w:tcPr>
            <w:tcW w:w="1751" w:type="dxa"/>
            <w:shd w:val="clear" w:color="auto" w:fill="FFFFFF" w:themeFill="background1"/>
          </w:tcPr>
          <w:p w14:paraId="5B981BFA" w14:textId="77777777" w:rsidR="00C00CDE" w:rsidRPr="007E700F" w:rsidRDefault="00C00CDE" w:rsidP="00785AC4">
            <w:pPr>
              <w:jc w:val="center"/>
              <w:cnfStyle w:val="000000000000" w:firstRow="0" w:lastRow="0" w:firstColumn="0" w:lastColumn="0" w:oddVBand="0" w:evenVBand="0" w:oddHBand="0" w:evenHBand="0" w:firstRowFirstColumn="0" w:firstRowLastColumn="0" w:lastRowFirstColumn="0" w:lastRowLastColumn="0"/>
              <w:rPr>
                <w:rFonts w:cs="Times New Roman"/>
                <w:i w:val="0"/>
                <w:sz w:val="20"/>
                <w:szCs w:val="20"/>
                <w:lang w:val="en-GB"/>
              </w:rPr>
            </w:pPr>
            <w:r w:rsidRPr="007E700F">
              <w:rPr>
                <w:rFonts w:cs="Times New Roman"/>
                <w:i w:val="0"/>
                <w:sz w:val="20"/>
                <w:szCs w:val="20"/>
                <w:lang w:val="en-GB"/>
              </w:rPr>
              <w:t>46</w:t>
            </w:r>
          </w:p>
        </w:tc>
      </w:tr>
      <w:tr w:rsidR="00C00CDE" w:rsidRPr="00B238AC" w14:paraId="2875B49B" w14:textId="77777777" w:rsidTr="00785AC4">
        <w:tc>
          <w:tcPr>
            <w:cnfStyle w:val="001000000000" w:firstRow="0" w:lastRow="0" w:firstColumn="1" w:lastColumn="0" w:oddVBand="0" w:evenVBand="0" w:oddHBand="0" w:evenHBand="0" w:firstRowFirstColumn="0" w:firstRowLastColumn="0" w:lastRowFirstColumn="0" w:lastRowLastColumn="0"/>
            <w:tcW w:w="9356" w:type="dxa"/>
            <w:gridSpan w:val="5"/>
            <w:tcBorders>
              <w:top w:val="single" w:sz="4" w:space="0" w:color="auto"/>
            </w:tcBorders>
            <w:shd w:val="clear" w:color="auto" w:fill="FFFFFF" w:themeFill="background1"/>
          </w:tcPr>
          <w:p w14:paraId="53E23770" w14:textId="6FAF8A34" w:rsidR="00C00CDE" w:rsidRPr="00286B97" w:rsidRDefault="00C00CDE" w:rsidP="005B3A64">
            <w:pPr>
              <w:rPr>
                <w:rFonts w:cs="Times New Roman"/>
                <w:b w:val="0"/>
                <w:sz w:val="20"/>
                <w:szCs w:val="20"/>
                <w:lang w:val="en-US"/>
              </w:rPr>
            </w:pPr>
            <w:r w:rsidRPr="00286B97">
              <w:rPr>
                <w:rFonts w:cs="Times New Roman"/>
                <w:b w:val="0"/>
                <w:sz w:val="20"/>
                <w:szCs w:val="20"/>
                <w:lang w:val="en-US"/>
              </w:rPr>
              <w:t>Notes: The number of bettors: 18 640</w:t>
            </w:r>
            <w:r w:rsidRPr="004264F1">
              <w:rPr>
                <w:rFonts w:cs="Times New Roman"/>
                <w:b w:val="0"/>
                <w:sz w:val="20"/>
                <w:szCs w:val="20"/>
                <w:lang w:val="en-US"/>
              </w:rPr>
              <w:t xml:space="preserve">. </w:t>
            </w:r>
            <w:r w:rsidRPr="004264F1">
              <w:rPr>
                <w:rFonts w:cs="Times New Roman"/>
                <w:b w:val="0"/>
                <w:sz w:val="20"/>
                <w:szCs w:val="20"/>
                <w:vertAlign w:val="superscript"/>
                <w:lang w:val="en-US"/>
              </w:rPr>
              <w:t>#</w:t>
            </w:r>
            <w:r w:rsidRPr="004264F1">
              <w:rPr>
                <w:rFonts w:cs="Times New Roman"/>
                <w:b w:val="0"/>
                <w:sz w:val="20"/>
                <w:szCs w:val="20"/>
                <w:lang w:val="en-US"/>
              </w:rPr>
              <w:t>The variable was constructed using the bettors’ identification numbers which are provided in consecutive order with lower values corresponding to earlier registration dates. The bettors are divided into high (= 1) and low (= 0) experience groups using the median identification number as a cut-off point.</w:t>
            </w:r>
            <w:r w:rsidRPr="00286B97">
              <w:rPr>
                <w:rFonts w:cs="Times New Roman"/>
                <w:b w:val="0"/>
                <w:sz w:val="20"/>
                <w:szCs w:val="20"/>
                <w:lang w:val="en-US"/>
              </w:rPr>
              <w:t xml:space="preserve">  </w:t>
            </w:r>
          </w:p>
        </w:tc>
      </w:tr>
    </w:tbl>
    <w:p w14:paraId="46EA4D32" w14:textId="2DD458E1" w:rsidR="00C00CDE" w:rsidRDefault="00C00CDE" w:rsidP="00E94EE6">
      <w:pPr>
        <w:spacing w:after="0" w:line="360" w:lineRule="auto"/>
        <w:jc w:val="both"/>
        <w:rPr>
          <w:i w:val="0"/>
          <w:sz w:val="24"/>
          <w:szCs w:val="24"/>
          <w:lang w:val="en-GB"/>
        </w:rPr>
      </w:pPr>
      <w:r>
        <w:rPr>
          <w:i w:val="0"/>
          <w:sz w:val="24"/>
          <w:szCs w:val="24"/>
          <w:lang w:val="en-GB"/>
        </w:rPr>
        <w:t>Table 2 reports the results for the RE regression model</w:t>
      </w:r>
      <w:r w:rsidRPr="007F132E">
        <w:rPr>
          <w:i w:val="0"/>
          <w:sz w:val="24"/>
          <w:szCs w:val="24"/>
          <w:lang w:val="en-GB"/>
        </w:rPr>
        <w:t>.</w:t>
      </w:r>
      <w:r>
        <w:rPr>
          <w:i w:val="0"/>
          <w:sz w:val="24"/>
          <w:szCs w:val="24"/>
          <w:lang w:val="en-GB"/>
        </w:rPr>
        <w:t xml:space="preserve"> Perhaps </w:t>
      </w:r>
      <w:r>
        <w:rPr>
          <w:i w:val="0"/>
          <w:color w:val="000000" w:themeColor="text1"/>
          <w:sz w:val="24"/>
          <w:szCs w:val="24"/>
          <w:lang w:val="en-GB"/>
        </w:rPr>
        <w:t>s</w:t>
      </w:r>
      <w:r w:rsidRPr="00563F4B">
        <w:rPr>
          <w:i w:val="0"/>
          <w:color w:val="000000" w:themeColor="text1"/>
          <w:sz w:val="24"/>
          <w:szCs w:val="24"/>
          <w:lang w:val="en-GB"/>
        </w:rPr>
        <w:t xml:space="preserve">urprisingly, </w:t>
      </w:r>
      <w:r>
        <w:rPr>
          <w:i w:val="0"/>
          <w:sz w:val="24"/>
          <w:szCs w:val="24"/>
          <w:lang w:val="en-GB"/>
        </w:rPr>
        <w:t xml:space="preserve">the coefficient estimates on </w:t>
      </w:r>
      <w:r w:rsidRPr="005D491A">
        <w:rPr>
          <w:position w:val="-10"/>
          <w:sz w:val="24"/>
          <w:szCs w:val="24"/>
          <w:lang w:val="en-GB"/>
        </w:rPr>
        <w:object w:dxaOrig="760" w:dyaOrig="320" w14:anchorId="300B0E89">
          <v:shape id="_x0000_i1029" type="#_x0000_t75" style="width:37.5pt;height:15.75pt" o:ole="">
            <v:imagedata r:id="rId9" o:title=""/>
          </v:shape>
          <o:OLEObject Type="Embed" ProgID="Equation.DSMT4" ShapeID="_x0000_i1029" DrawAspect="Content" ObjectID="_1599479316" r:id="rId15"/>
        </w:object>
      </w:r>
      <w:r>
        <w:rPr>
          <w:i w:val="0"/>
          <w:sz w:val="24"/>
          <w:szCs w:val="24"/>
          <w:lang w:val="en-GB"/>
        </w:rPr>
        <w:t xml:space="preserve"> and </w:t>
      </w:r>
      <w:r w:rsidRPr="000F0510">
        <w:rPr>
          <w:i w:val="0"/>
          <w:position w:val="-6"/>
          <w:sz w:val="24"/>
          <w:szCs w:val="24"/>
          <w:lang w:val="en-GB"/>
        </w:rPr>
        <w:object w:dxaOrig="1160" w:dyaOrig="279" w14:anchorId="33396986">
          <v:shape id="_x0000_i1030" type="#_x0000_t75" style="width:59.25pt;height:13.5pt" o:ole="">
            <v:imagedata r:id="rId11" o:title=""/>
          </v:shape>
          <o:OLEObject Type="Embed" ProgID="Equation.DSMT4" ShapeID="_x0000_i1030" DrawAspect="Content" ObjectID="_1599479317" r:id="rId16"/>
        </w:object>
      </w:r>
      <w:r>
        <w:rPr>
          <w:i w:val="0"/>
          <w:sz w:val="24"/>
          <w:szCs w:val="24"/>
          <w:lang w:val="en-GB"/>
        </w:rPr>
        <w:t>are not statistically significant in Model 1: neither timing nor bet amount is individually a predictor of the rate of return</w:t>
      </w:r>
      <w:r w:rsidR="00EB62B4">
        <w:rPr>
          <w:rStyle w:val="FootnoteReference"/>
          <w:i w:val="0"/>
          <w:sz w:val="24"/>
          <w:szCs w:val="24"/>
          <w:lang w:val="en-GB"/>
        </w:rPr>
        <w:footnoteReference w:id="3"/>
      </w:r>
      <w:r>
        <w:rPr>
          <w:i w:val="0"/>
          <w:sz w:val="24"/>
          <w:szCs w:val="24"/>
          <w:lang w:val="en-GB"/>
        </w:rPr>
        <w:t>. M</w:t>
      </w:r>
      <w:r w:rsidRPr="007F132E">
        <w:rPr>
          <w:i w:val="0"/>
          <w:sz w:val="24"/>
          <w:szCs w:val="24"/>
          <w:lang w:val="en-GB"/>
        </w:rPr>
        <w:t>odel 2</w:t>
      </w:r>
      <w:r>
        <w:rPr>
          <w:i w:val="0"/>
          <w:sz w:val="24"/>
          <w:szCs w:val="24"/>
          <w:lang w:val="en-GB"/>
        </w:rPr>
        <w:t xml:space="preserve"> adds the interaction term </w:t>
      </w:r>
      <w:r w:rsidRPr="005D491A">
        <w:rPr>
          <w:position w:val="-10"/>
          <w:sz w:val="24"/>
          <w:szCs w:val="24"/>
          <w:lang w:val="en-GB"/>
        </w:rPr>
        <w:object w:dxaOrig="2060" w:dyaOrig="320" w14:anchorId="3C9205A8">
          <v:shape id="_x0000_i1031" type="#_x0000_t75" style="width:103.5pt;height:15.75pt" o:ole="">
            <v:imagedata r:id="rId13" o:title=""/>
          </v:shape>
          <o:OLEObject Type="Embed" ProgID="Equation.DSMT4" ShapeID="_x0000_i1031" DrawAspect="Content" ObjectID="_1599479318" r:id="rId17"/>
        </w:object>
      </w:r>
      <w:r>
        <w:rPr>
          <w:i w:val="0"/>
          <w:sz w:val="24"/>
          <w:szCs w:val="24"/>
          <w:lang w:val="en-GB"/>
        </w:rPr>
        <w:t xml:space="preserve">to the mix. Now, </w:t>
      </w:r>
      <w:r w:rsidRPr="007F132E">
        <w:rPr>
          <w:i w:val="0"/>
          <w:sz w:val="24"/>
          <w:szCs w:val="24"/>
          <w:lang w:val="en-GB"/>
        </w:rPr>
        <w:t xml:space="preserve">the coefficient </w:t>
      </w:r>
      <w:r>
        <w:rPr>
          <w:i w:val="0"/>
          <w:sz w:val="24"/>
          <w:szCs w:val="24"/>
          <w:lang w:val="en-GB"/>
        </w:rPr>
        <w:t>on</w:t>
      </w:r>
      <w:r w:rsidRPr="007F132E">
        <w:rPr>
          <w:i w:val="0"/>
          <w:sz w:val="24"/>
          <w:szCs w:val="24"/>
          <w:lang w:val="en-GB"/>
        </w:rPr>
        <w:t xml:space="preserve"> </w:t>
      </w:r>
      <w:r w:rsidRPr="000F0510">
        <w:rPr>
          <w:i w:val="0"/>
          <w:position w:val="-6"/>
          <w:sz w:val="24"/>
          <w:szCs w:val="24"/>
          <w:lang w:val="en-GB"/>
        </w:rPr>
        <w:object w:dxaOrig="1160" w:dyaOrig="279" w14:anchorId="48EFDEEA">
          <v:shape id="_x0000_i1032" type="#_x0000_t75" style="width:59.25pt;height:13.5pt" o:ole="">
            <v:imagedata r:id="rId11" o:title=""/>
          </v:shape>
          <o:OLEObject Type="Embed" ProgID="Equation.DSMT4" ShapeID="_x0000_i1032" DrawAspect="Content" ObjectID="_1599479319" r:id="rId18"/>
        </w:object>
      </w:r>
      <w:r w:rsidRPr="007F132E">
        <w:rPr>
          <w:i w:val="0"/>
          <w:sz w:val="24"/>
          <w:szCs w:val="24"/>
          <w:lang w:val="en-GB"/>
        </w:rPr>
        <w:t xml:space="preserve"> (</w:t>
      </w:r>
      <w:r w:rsidR="00F5120E">
        <w:rPr>
          <w:i w:val="0"/>
          <w:sz w:val="24"/>
          <w:szCs w:val="24"/>
          <w:lang w:val="en-US"/>
        </w:rPr>
        <w:t>2.45</w:t>
      </w:r>
      <w:r w:rsidRPr="007F132E">
        <w:rPr>
          <w:i w:val="0"/>
          <w:sz w:val="24"/>
          <w:szCs w:val="24"/>
          <w:lang w:val="en-US"/>
        </w:rPr>
        <w:t>×10</w:t>
      </w:r>
      <w:r w:rsidRPr="007F132E">
        <w:rPr>
          <w:i w:val="0"/>
          <w:sz w:val="24"/>
          <w:szCs w:val="24"/>
          <w:vertAlign w:val="superscript"/>
          <w:lang w:val="en-US"/>
        </w:rPr>
        <w:t>-4</w:t>
      </w:r>
      <w:r w:rsidRPr="007F132E">
        <w:rPr>
          <w:i w:val="0"/>
          <w:sz w:val="24"/>
          <w:szCs w:val="24"/>
          <w:lang w:val="en-GB"/>
        </w:rPr>
        <w:t>) is significant and suggests that each additional hundred euro staked increases</w:t>
      </w:r>
      <w:r w:rsidR="00C70D23">
        <w:rPr>
          <w:i w:val="0"/>
          <w:sz w:val="24"/>
          <w:szCs w:val="24"/>
          <w:lang w:val="en-GB"/>
        </w:rPr>
        <w:t xml:space="preserve"> the rate of return by 2.</w:t>
      </w:r>
      <w:r w:rsidR="00F5120E">
        <w:rPr>
          <w:i w:val="0"/>
          <w:sz w:val="24"/>
          <w:szCs w:val="24"/>
          <w:lang w:val="en-GB"/>
        </w:rPr>
        <w:t>45</w:t>
      </w:r>
      <w:r w:rsidR="00C70D23">
        <w:rPr>
          <w:i w:val="0"/>
          <w:sz w:val="24"/>
          <w:szCs w:val="24"/>
          <w:lang w:val="en-GB"/>
        </w:rPr>
        <w:t xml:space="preserve"> </w:t>
      </w:r>
      <w:r w:rsidR="00C70D23" w:rsidRPr="005B3A64">
        <w:rPr>
          <w:i w:val="0"/>
          <w:sz w:val="24"/>
          <w:szCs w:val="24"/>
          <w:lang w:val="en-GB"/>
        </w:rPr>
        <w:t>per</w:t>
      </w:r>
      <w:r w:rsidRPr="005B3A64">
        <w:rPr>
          <w:i w:val="0"/>
          <w:sz w:val="24"/>
          <w:szCs w:val="24"/>
          <w:lang w:val="en-GB"/>
        </w:rPr>
        <w:t>cent</w:t>
      </w:r>
      <w:r w:rsidR="00C70D23" w:rsidRPr="005B3A64">
        <w:rPr>
          <w:i w:val="0"/>
          <w:sz w:val="24"/>
          <w:szCs w:val="24"/>
          <w:lang w:val="en-GB"/>
        </w:rPr>
        <w:t>age points</w:t>
      </w:r>
      <w:r w:rsidRPr="007F132E">
        <w:rPr>
          <w:i w:val="0"/>
          <w:sz w:val="24"/>
          <w:szCs w:val="24"/>
          <w:lang w:val="en-GB"/>
        </w:rPr>
        <w:t xml:space="preserve">. The coefficient </w:t>
      </w:r>
      <w:r>
        <w:rPr>
          <w:i w:val="0"/>
          <w:sz w:val="24"/>
          <w:szCs w:val="24"/>
          <w:lang w:val="en-GB"/>
        </w:rPr>
        <w:t>on</w:t>
      </w:r>
      <w:r w:rsidRPr="007F132E">
        <w:rPr>
          <w:i w:val="0"/>
          <w:sz w:val="24"/>
          <w:szCs w:val="24"/>
          <w:lang w:val="en-GB"/>
        </w:rPr>
        <w:t xml:space="preserve"> </w:t>
      </w:r>
      <w:r w:rsidRPr="007F132E">
        <w:rPr>
          <w:sz w:val="24"/>
          <w:szCs w:val="24"/>
          <w:lang w:val="en-GB"/>
        </w:rPr>
        <w:t>Timing</w:t>
      </w:r>
      <w:r w:rsidRPr="007F132E">
        <w:rPr>
          <w:i w:val="0"/>
          <w:sz w:val="24"/>
          <w:szCs w:val="24"/>
          <w:lang w:val="en-GB"/>
        </w:rPr>
        <w:t xml:space="preserve"> </w:t>
      </w:r>
      <w:r>
        <w:rPr>
          <w:i w:val="0"/>
          <w:sz w:val="24"/>
          <w:szCs w:val="24"/>
          <w:lang w:val="en-GB"/>
        </w:rPr>
        <w:t>remains</w:t>
      </w:r>
      <w:r w:rsidRPr="007F132E">
        <w:rPr>
          <w:i w:val="0"/>
          <w:sz w:val="24"/>
          <w:szCs w:val="24"/>
          <w:lang w:val="en-GB"/>
        </w:rPr>
        <w:t xml:space="preserve"> </w:t>
      </w:r>
      <w:r>
        <w:rPr>
          <w:i w:val="0"/>
          <w:sz w:val="24"/>
          <w:szCs w:val="24"/>
          <w:lang w:val="en-GB"/>
        </w:rPr>
        <w:t>in</w:t>
      </w:r>
      <w:r w:rsidRPr="007F132E">
        <w:rPr>
          <w:i w:val="0"/>
          <w:sz w:val="24"/>
          <w:szCs w:val="24"/>
          <w:lang w:val="en-GB"/>
        </w:rPr>
        <w:t>significant. However, the interaction term (</w:t>
      </w:r>
      <w:r w:rsidRPr="007F132E">
        <w:rPr>
          <w:i w:val="0"/>
          <w:sz w:val="24"/>
          <w:szCs w:val="24"/>
          <w:lang w:val="en-US"/>
        </w:rPr>
        <w:t>-2.</w:t>
      </w:r>
      <w:r w:rsidR="00F5120E">
        <w:rPr>
          <w:i w:val="0"/>
          <w:sz w:val="24"/>
          <w:szCs w:val="24"/>
          <w:lang w:val="en-US"/>
        </w:rPr>
        <w:t>11</w:t>
      </w:r>
      <w:r w:rsidRPr="007F132E">
        <w:rPr>
          <w:i w:val="0"/>
          <w:sz w:val="24"/>
          <w:szCs w:val="24"/>
          <w:lang w:val="en-US"/>
        </w:rPr>
        <w:t>×10</w:t>
      </w:r>
      <w:r w:rsidRPr="007F132E">
        <w:rPr>
          <w:i w:val="0"/>
          <w:sz w:val="24"/>
          <w:szCs w:val="24"/>
          <w:vertAlign w:val="superscript"/>
          <w:lang w:val="en-US"/>
        </w:rPr>
        <w:t>-6</w:t>
      </w:r>
      <w:r w:rsidRPr="007F132E">
        <w:rPr>
          <w:i w:val="0"/>
          <w:sz w:val="24"/>
          <w:szCs w:val="24"/>
          <w:lang w:val="en-GB"/>
        </w:rPr>
        <w:t>) is significant</w:t>
      </w:r>
      <w:r>
        <w:rPr>
          <w:i w:val="0"/>
          <w:sz w:val="24"/>
          <w:szCs w:val="24"/>
          <w:lang w:val="en-GB"/>
        </w:rPr>
        <w:t xml:space="preserve"> and</w:t>
      </w:r>
      <w:r w:rsidRPr="007F132E">
        <w:rPr>
          <w:i w:val="0"/>
          <w:sz w:val="24"/>
          <w:szCs w:val="24"/>
          <w:lang w:val="en-GB"/>
        </w:rPr>
        <w:t xml:space="preserve"> indicates that the </w:t>
      </w:r>
      <w:r>
        <w:rPr>
          <w:i w:val="0"/>
          <w:sz w:val="24"/>
          <w:szCs w:val="24"/>
          <w:lang w:val="en-GB"/>
        </w:rPr>
        <w:t>bettor’s rate of return is associated with the combination of bet amount and timing working together.</w:t>
      </w:r>
    </w:p>
    <w:p w14:paraId="25A045B1" w14:textId="77777777" w:rsidR="00C00CDE" w:rsidRDefault="00C00CDE" w:rsidP="00E94EE6">
      <w:pPr>
        <w:spacing w:after="0" w:line="360" w:lineRule="auto"/>
        <w:jc w:val="both"/>
        <w:rPr>
          <w:i w:val="0"/>
          <w:sz w:val="24"/>
          <w:szCs w:val="24"/>
          <w:lang w:val="en-GB"/>
        </w:rPr>
      </w:pPr>
    </w:p>
    <w:p w14:paraId="109E5891" w14:textId="77777777" w:rsidR="00C00CDE" w:rsidRDefault="00C00CDE" w:rsidP="00C00CDE">
      <w:pPr>
        <w:pStyle w:val="FootnoteText"/>
        <w:jc w:val="both"/>
        <w:rPr>
          <w:rFonts w:ascii="Times New Roman" w:hAnsi="Times New Roman"/>
          <w:sz w:val="24"/>
          <w:szCs w:val="24"/>
          <w:lang w:val="en-US"/>
        </w:rPr>
      </w:pPr>
      <w:r w:rsidRPr="00A2586C">
        <w:rPr>
          <w:rFonts w:ascii="Times New Roman" w:hAnsi="Times New Roman"/>
          <w:b/>
          <w:sz w:val="24"/>
          <w:szCs w:val="24"/>
          <w:lang w:val="en-US"/>
        </w:rPr>
        <w:t xml:space="preserve">Table </w:t>
      </w:r>
      <w:r>
        <w:rPr>
          <w:rFonts w:ascii="Times New Roman" w:hAnsi="Times New Roman"/>
          <w:b/>
          <w:sz w:val="24"/>
          <w:szCs w:val="24"/>
          <w:lang w:val="en-US"/>
        </w:rPr>
        <w:t>2</w:t>
      </w:r>
      <w:r>
        <w:rPr>
          <w:rFonts w:ascii="Times New Roman" w:hAnsi="Times New Roman"/>
          <w:sz w:val="24"/>
          <w:szCs w:val="24"/>
          <w:lang w:val="en-US"/>
        </w:rPr>
        <w:t xml:space="preserve"> Regression results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65"/>
        <w:gridCol w:w="484"/>
        <w:gridCol w:w="885"/>
        <w:gridCol w:w="927"/>
        <w:gridCol w:w="842"/>
        <w:gridCol w:w="885"/>
        <w:gridCol w:w="885"/>
        <w:gridCol w:w="885"/>
      </w:tblGrid>
      <w:tr w:rsidR="00F5120E" w:rsidRPr="00F5120E" w14:paraId="09A03810" w14:textId="77777777" w:rsidTr="00785AC4">
        <w:tc>
          <w:tcPr>
            <w:tcW w:w="2268" w:type="dxa"/>
            <w:tcBorders>
              <w:bottom w:val="double" w:sz="4" w:space="0" w:color="auto"/>
            </w:tcBorders>
          </w:tcPr>
          <w:p w14:paraId="25B86E2C"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3261" w:type="dxa"/>
            <w:gridSpan w:val="4"/>
            <w:tcBorders>
              <w:bottom w:val="double" w:sz="4" w:space="0" w:color="auto"/>
            </w:tcBorders>
          </w:tcPr>
          <w:p w14:paraId="2F674A01" w14:textId="77777777" w:rsidR="00C00CDE" w:rsidRPr="00F5120E" w:rsidRDefault="00C00CDE" w:rsidP="00785AC4">
            <w:pPr>
              <w:pStyle w:val="FootnoteText"/>
              <w:jc w:val="center"/>
              <w:rPr>
                <w:rFonts w:ascii="Times New Roman" w:hAnsi="Times New Roman"/>
                <w:b/>
                <w:i w:val="0"/>
                <w:color w:val="000000" w:themeColor="text1"/>
                <w:lang w:val="en-US"/>
              </w:rPr>
            </w:pPr>
            <w:r w:rsidRPr="00F5120E">
              <w:rPr>
                <w:rFonts w:ascii="Times New Roman" w:hAnsi="Times New Roman"/>
                <w:b/>
                <w:i w:val="0"/>
                <w:color w:val="000000" w:themeColor="text1"/>
                <w:lang w:val="en-US"/>
              </w:rPr>
              <w:t>RE Model 1</w:t>
            </w:r>
          </w:p>
        </w:tc>
        <w:tc>
          <w:tcPr>
            <w:tcW w:w="3497" w:type="dxa"/>
            <w:gridSpan w:val="4"/>
            <w:tcBorders>
              <w:bottom w:val="double" w:sz="4" w:space="0" w:color="auto"/>
            </w:tcBorders>
          </w:tcPr>
          <w:p w14:paraId="288ECECC" w14:textId="77777777" w:rsidR="00C00CDE" w:rsidRPr="00F5120E" w:rsidRDefault="00C00CDE" w:rsidP="00785AC4">
            <w:pPr>
              <w:pStyle w:val="FootnoteText"/>
              <w:jc w:val="center"/>
              <w:rPr>
                <w:rFonts w:ascii="Times New Roman" w:hAnsi="Times New Roman"/>
                <w:b/>
                <w:i w:val="0"/>
                <w:color w:val="000000" w:themeColor="text1"/>
                <w:lang w:val="en-US"/>
              </w:rPr>
            </w:pPr>
            <w:r w:rsidRPr="00F5120E">
              <w:rPr>
                <w:rFonts w:ascii="Times New Roman" w:hAnsi="Times New Roman"/>
                <w:b/>
                <w:i w:val="0"/>
                <w:color w:val="000000" w:themeColor="text1"/>
                <w:lang w:val="en-US"/>
              </w:rPr>
              <w:t>RE Model 2</w:t>
            </w:r>
          </w:p>
        </w:tc>
      </w:tr>
      <w:tr w:rsidR="00F5120E" w:rsidRPr="00F5120E" w14:paraId="429AD496" w14:textId="77777777" w:rsidTr="00785AC4">
        <w:tc>
          <w:tcPr>
            <w:tcW w:w="2268" w:type="dxa"/>
            <w:tcBorders>
              <w:top w:val="double" w:sz="4" w:space="0" w:color="auto"/>
              <w:bottom w:val="single" w:sz="4" w:space="0" w:color="auto"/>
            </w:tcBorders>
          </w:tcPr>
          <w:p w14:paraId="62936A05"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3261" w:type="dxa"/>
            <w:gridSpan w:val="4"/>
            <w:tcBorders>
              <w:top w:val="double" w:sz="4" w:space="0" w:color="auto"/>
              <w:bottom w:val="single" w:sz="4" w:space="0" w:color="auto"/>
            </w:tcBorders>
          </w:tcPr>
          <w:p w14:paraId="4C572219"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Coefficient</w:t>
            </w:r>
          </w:p>
          <w:p w14:paraId="45C40295"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(Robust standard error)</w:t>
            </w:r>
          </w:p>
        </w:tc>
        <w:tc>
          <w:tcPr>
            <w:tcW w:w="3497" w:type="dxa"/>
            <w:gridSpan w:val="4"/>
            <w:tcBorders>
              <w:top w:val="double" w:sz="4" w:space="0" w:color="auto"/>
              <w:bottom w:val="single" w:sz="4" w:space="0" w:color="auto"/>
            </w:tcBorders>
          </w:tcPr>
          <w:p w14:paraId="0BA3DE61"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Coefficient</w:t>
            </w:r>
          </w:p>
          <w:p w14:paraId="2896F752"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(Robust standard error)</w:t>
            </w:r>
          </w:p>
        </w:tc>
      </w:tr>
      <w:tr w:rsidR="00F5120E" w:rsidRPr="00F5120E" w14:paraId="2FC29A44" w14:textId="77777777" w:rsidTr="00785AC4">
        <w:tc>
          <w:tcPr>
            <w:tcW w:w="2268" w:type="dxa"/>
            <w:tcBorders>
              <w:top w:val="single" w:sz="4" w:space="0" w:color="auto"/>
              <w:bottom w:val="single" w:sz="4" w:space="0" w:color="auto"/>
            </w:tcBorders>
          </w:tcPr>
          <w:p w14:paraId="48DA697D"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Focus variables</w:t>
            </w:r>
          </w:p>
        </w:tc>
        <w:tc>
          <w:tcPr>
            <w:tcW w:w="965" w:type="dxa"/>
            <w:tcBorders>
              <w:top w:val="single" w:sz="4" w:space="0" w:color="auto"/>
              <w:bottom w:val="single" w:sz="4" w:space="0" w:color="auto"/>
            </w:tcBorders>
          </w:tcPr>
          <w:p w14:paraId="7E0DC8EF"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484" w:type="dxa"/>
            <w:tcBorders>
              <w:top w:val="single" w:sz="4" w:space="0" w:color="auto"/>
              <w:bottom w:val="single" w:sz="4" w:space="0" w:color="auto"/>
            </w:tcBorders>
          </w:tcPr>
          <w:p w14:paraId="71E26192"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885" w:type="dxa"/>
            <w:tcBorders>
              <w:top w:val="single" w:sz="4" w:space="0" w:color="auto"/>
              <w:bottom w:val="single" w:sz="4" w:space="0" w:color="auto"/>
            </w:tcBorders>
          </w:tcPr>
          <w:p w14:paraId="14C61BD9"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927" w:type="dxa"/>
            <w:tcBorders>
              <w:top w:val="single" w:sz="4" w:space="0" w:color="auto"/>
              <w:bottom w:val="single" w:sz="4" w:space="0" w:color="auto"/>
            </w:tcBorders>
          </w:tcPr>
          <w:p w14:paraId="0F270669"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842" w:type="dxa"/>
            <w:tcBorders>
              <w:top w:val="single" w:sz="4" w:space="0" w:color="auto"/>
              <w:bottom w:val="single" w:sz="4" w:space="0" w:color="auto"/>
            </w:tcBorders>
          </w:tcPr>
          <w:p w14:paraId="672DB4EC"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885" w:type="dxa"/>
            <w:tcBorders>
              <w:top w:val="single" w:sz="4" w:space="0" w:color="auto"/>
              <w:bottom w:val="single" w:sz="4" w:space="0" w:color="auto"/>
            </w:tcBorders>
          </w:tcPr>
          <w:p w14:paraId="5F82A636"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885" w:type="dxa"/>
            <w:tcBorders>
              <w:top w:val="single" w:sz="4" w:space="0" w:color="auto"/>
              <w:bottom w:val="single" w:sz="4" w:space="0" w:color="auto"/>
            </w:tcBorders>
          </w:tcPr>
          <w:p w14:paraId="322F55B6"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c>
          <w:tcPr>
            <w:tcW w:w="885" w:type="dxa"/>
            <w:tcBorders>
              <w:top w:val="single" w:sz="4" w:space="0" w:color="auto"/>
              <w:bottom w:val="single" w:sz="4" w:space="0" w:color="auto"/>
            </w:tcBorders>
          </w:tcPr>
          <w:p w14:paraId="5CF7F6C4"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r>
      <w:tr w:rsidR="00F5120E" w:rsidRPr="00F5120E" w14:paraId="48066900" w14:textId="77777777" w:rsidTr="00785AC4">
        <w:tc>
          <w:tcPr>
            <w:tcW w:w="2268" w:type="dxa"/>
            <w:tcBorders>
              <w:top w:val="single" w:sz="4" w:space="0" w:color="auto"/>
            </w:tcBorders>
          </w:tcPr>
          <w:p w14:paraId="57A4ED1B" w14:textId="77777777" w:rsidR="00F5120E" w:rsidRPr="00F5120E" w:rsidRDefault="00F5120E" w:rsidP="00F5120E">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 xml:space="preserve">Timing </w:t>
            </w:r>
          </w:p>
        </w:tc>
        <w:tc>
          <w:tcPr>
            <w:tcW w:w="3261" w:type="dxa"/>
            <w:gridSpan w:val="4"/>
            <w:tcBorders>
              <w:top w:val="single" w:sz="4" w:space="0" w:color="auto"/>
            </w:tcBorders>
          </w:tcPr>
          <w:p w14:paraId="0D4EDCF3" w14:textId="77777777" w:rsidR="00F5120E" w:rsidRPr="00F5120E" w:rsidRDefault="00F5120E" w:rsidP="00F5120E">
            <w:pPr>
              <w:pStyle w:val="FootnoteText"/>
              <w:jc w:val="center"/>
              <w:rPr>
                <w:rFonts w:ascii="Times New Roman" w:hAnsi="Times New Roman"/>
                <w:i w:val="0"/>
                <w:color w:val="000000" w:themeColor="text1"/>
                <w:vertAlign w:val="superscript"/>
                <w:lang w:val="en-US"/>
              </w:rPr>
            </w:pPr>
            <w:r w:rsidRPr="00F5120E">
              <w:rPr>
                <w:rFonts w:ascii="Times New Roman" w:hAnsi="Times New Roman"/>
                <w:i w:val="0"/>
                <w:color w:val="000000" w:themeColor="text1"/>
                <w:lang w:val="en-US"/>
              </w:rPr>
              <w:t>2.17×10</w:t>
            </w:r>
            <w:r w:rsidRPr="00F5120E">
              <w:rPr>
                <w:rFonts w:ascii="Times New Roman" w:hAnsi="Times New Roman"/>
                <w:i w:val="0"/>
                <w:color w:val="000000" w:themeColor="text1"/>
                <w:vertAlign w:val="superscript"/>
                <w:lang w:val="en-US"/>
              </w:rPr>
              <w:t xml:space="preserve">-5 </w:t>
            </w:r>
          </w:p>
          <w:p w14:paraId="5ADD3F88" w14:textId="257F0FD3" w:rsidR="00F5120E" w:rsidRPr="00F5120E" w:rsidRDefault="00F5120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(4.75×10</w:t>
            </w:r>
            <w:r w:rsidRPr="00F5120E">
              <w:rPr>
                <w:rFonts w:ascii="Times New Roman" w:hAnsi="Times New Roman"/>
                <w:i w:val="0"/>
                <w:color w:val="000000" w:themeColor="text1"/>
                <w:vertAlign w:val="superscript"/>
                <w:lang w:val="en-US"/>
              </w:rPr>
              <w:t>-5</w:t>
            </w:r>
            <w:r w:rsidRPr="00F5120E">
              <w:rPr>
                <w:rFonts w:ascii="Times New Roman" w:hAnsi="Times New Roman"/>
                <w:i w:val="0"/>
                <w:color w:val="000000" w:themeColor="text1"/>
                <w:lang w:val="en-US"/>
              </w:rPr>
              <w:t>)</w:t>
            </w:r>
          </w:p>
        </w:tc>
        <w:tc>
          <w:tcPr>
            <w:tcW w:w="3497" w:type="dxa"/>
            <w:gridSpan w:val="4"/>
            <w:tcBorders>
              <w:top w:val="single" w:sz="4" w:space="0" w:color="auto"/>
            </w:tcBorders>
          </w:tcPr>
          <w:p w14:paraId="34EB5E59" w14:textId="77777777" w:rsidR="00F5120E" w:rsidRPr="00F5120E" w:rsidRDefault="00F5120E" w:rsidP="00F5120E">
            <w:pPr>
              <w:pStyle w:val="FootnoteText"/>
              <w:jc w:val="center"/>
              <w:rPr>
                <w:rFonts w:ascii="Times New Roman" w:hAnsi="Times New Roman"/>
                <w:i w:val="0"/>
                <w:color w:val="000000" w:themeColor="text1"/>
                <w:vertAlign w:val="superscript"/>
                <w:lang w:val="en-US"/>
              </w:rPr>
            </w:pPr>
            <w:r w:rsidRPr="00F5120E">
              <w:rPr>
                <w:rFonts w:ascii="Times New Roman" w:hAnsi="Times New Roman"/>
                <w:i w:val="0"/>
                <w:color w:val="000000" w:themeColor="text1"/>
                <w:lang w:val="en-US"/>
              </w:rPr>
              <w:t>3.55×10</w:t>
            </w:r>
            <w:r w:rsidRPr="00F5120E">
              <w:rPr>
                <w:rFonts w:ascii="Times New Roman" w:hAnsi="Times New Roman"/>
                <w:i w:val="0"/>
                <w:color w:val="000000" w:themeColor="text1"/>
                <w:vertAlign w:val="superscript"/>
                <w:lang w:val="en-US"/>
              </w:rPr>
              <w:t xml:space="preserve">-5 </w:t>
            </w:r>
          </w:p>
          <w:p w14:paraId="1917FB0A" w14:textId="448F5C77" w:rsidR="00F5120E" w:rsidRPr="00F5120E" w:rsidRDefault="00F5120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(5.04×10</w:t>
            </w:r>
            <w:r w:rsidRPr="00F5120E">
              <w:rPr>
                <w:rFonts w:ascii="Times New Roman" w:hAnsi="Times New Roman"/>
                <w:i w:val="0"/>
                <w:color w:val="000000" w:themeColor="text1"/>
                <w:vertAlign w:val="superscript"/>
                <w:lang w:val="en-US"/>
              </w:rPr>
              <w:t>-5</w:t>
            </w:r>
            <w:r w:rsidRPr="00F5120E">
              <w:rPr>
                <w:rFonts w:ascii="Times New Roman" w:hAnsi="Times New Roman"/>
                <w:i w:val="0"/>
                <w:color w:val="000000" w:themeColor="text1"/>
                <w:lang w:val="en-US"/>
              </w:rPr>
              <w:t xml:space="preserve">)   </w:t>
            </w:r>
          </w:p>
        </w:tc>
      </w:tr>
      <w:tr w:rsidR="00F5120E" w:rsidRPr="00F5120E" w14:paraId="682A6B30" w14:textId="77777777" w:rsidTr="00785AC4">
        <w:tc>
          <w:tcPr>
            <w:tcW w:w="2268" w:type="dxa"/>
          </w:tcPr>
          <w:p w14:paraId="38F711F2" w14:textId="77777777" w:rsidR="00F5120E" w:rsidRPr="00F5120E" w:rsidRDefault="00F5120E" w:rsidP="00F5120E">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BetAmount</w:t>
            </w:r>
          </w:p>
        </w:tc>
        <w:tc>
          <w:tcPr>
            <w:tcW w:w="3261" w:type="dxa"/>
            <w:gridSpan w:val="4"/>
          </w:tcPr>
          <w:p w14:paraId="010D338F" w14:textId="77777777" w:rsidR="00F5120E" w:rsidRPr="00F5120E" w:rsidRDefault="00F5120E" w:rsidP="00F5120E">
            <w:pPr>
              <w:pStyle w:val="FootnoteText"/>
              <w:jc w:val="center"/>
              <w:rPr>
                <w:rFonts w:ascii="Times New Roman" w:hAnsi="Times New Roman"/>
                <w:i w:val="0"/>
                <w:color w:val="000000" w:themeColor="text1"/>
                <w:vertAlign w:val="superscript"/>
                <w:lang w:val="en-US"/>
              </w:rPr>
            </w:pPr>
            <w:r w:rsidRPr="00F5120E">
              <w:rPr>
                <w:rFonts w:ascii="Times New Roman" w:hAnsi="Times New Roman"/>
                <w:i w:val="0"/>
                <w:color w:val="000000" w:themeColor="text1"/>
                <w:lang w:val="en-US"/>
              </w:rPr>
              <w:t>2.56×10</w:t>
            </w:r>
            <w:r w:rsidRPr="00F5120E">
              <w:rPr>
                <w:rFonts w:ascii="Times New Roman" w:hAnsi="Times New Roman"/>
                <w:i w:val="0"/>
                <w:color w:val="000000" w:themeColor="text1"/>
                <w:vertAlign w:val="superscript"/>
                <w:lang w:val="en-US"/>
              </w:rPr>
              <w:t xml:space="preserve">-5 </w:t>
            </w:r>
          </w:p>
          <w:p w14:paraId="1773D8CE" w14:textId="727F94CA" w:rsidR="00F5120E" w:rsidRPr="00F5120E" w:rsidRDefault="00F5120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(6.48×10</w:t>
            </w:r>
            <w:r w:rsidRPr="00F5120E">
              <w:rPr>
                <w:rFonts w:ascii="Times New Roman" w:hAnsi="Times New Roman"/>
                <w:i w:val="0"/>
                <w:color w:val="000000" w:themeColor="text1"/>
                <w:vertAlign w:val="superscript"/>
                <w:lang w:val="en-US"/>
              </w:rPr>
              <w:t>-5</w:t>
            </w:r>
            <w:r w:rsidRPr="00F5120E">
              <w:rPr>
                <w:rFonts w:ascii="Times New Roman" w:hAnsi="Times New Roman"/>
                <w:i w:val="0"/>
                <w:color w:val="000000" w:themeColor="text1"/>
                <w:lang w:val="en-US"/>
              </w:rPr>
              <w:t>)</w:t>
            </w:r>
          </w:p>
        </w:tc>
        <w:tc>
          <w:tcPr>
            <w:tcW w:w="3497" w:type="dxa"/>
            <w:gridSpan w:val="4"/>
          </w:tcPr>
          <w:p w14:paraId="52EC703C" w14:textId="77777777" w:rsidR="00F5120E" w:rsidRPr="00F5120E" w:rsidRDefault="00F5120E" w:rsidP="00F5120E">
            <w:pPr>
              <w:pStyle w:val="FootnoteText"/>
              <w:jc w:val="center"/>
              <w:rPr>
                <w:rFonts w:ascii="Times New Roman" w:hAnsi="Times New Roman"/>
                <w:i w:val="0"/>
                <w:color w:val="000000" w:themeColor="text1"/>
                <w:vertAlign w:val="superscript"/>
                <w:lang w:val="en-US"/>
              </w:rPr>
            </w:pPr>
            <w:r w:rsidRPr="00F5120E">
              <w:rPr>
                <w:rFonts w:ascii="Times New Roman" w:hAnsi="Times New Roman"/>
                <w:i w:val="0"/>
                <w:color w:val="000000" w:themeColor="text1"/>
                <w:lang w:val="en-US"/>
              </w:rPr>
              <w:t>2.45×10</w:t>
            </w:r>
            <w:r w:rsidRPr="00F5120E">
              <w:rPr>
                <w:rFonts w:ascii="Times New Roman" w:hAnsi="Times New Roman"/>
                <w:i w:val="0"/>
                <w:color w:val="000000" w:themeColor="text1"/>
                <w:vertAlign w:val="superscript"/>
                <w:lang w:val="en-US"/>
              </w:rPr>
              <w:t>-4</w:t>
            </w:r>
            <w:r w:rsidRPr="00F5120E">
              <w:rPr>
                <w:rFonts w:ascii="Times New Roman" w:hAnsi="Times New Roman"/>
                <w:i w:val="0"/>
                <w:color w:val="000000" w:themeColor="text1"/>
                <w:lang w:val="en-US"/>
              </w:rPr>
              <w:t>*</w:t>
            </w:r>
            <w:r w:rsidRPr="00F5120E">
              <w:rPr>
                <w:rFonts w:ascii="Times New Roman" w:hAnsi="Times New Roman"/>
                <w:i w:val="0"/>
                <w:color w:val="000000" w:themeColor="text1"/>
                <w:vertAlign w:val="superscript"/>
                <w:lang w:val="en-US"/>
              </w:rPr>
              <w:t xml:space="preserve"> </w:t>
            </w:r>
          </w:p>
          <w:p w14:paraId="0B196453" w14:textId="539A9B7E" w:rsidR="00F5120E" w:rsidRPr="00F5120E" w:rsidRDefault="00F5120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(1.04×10</w:t>
            </w:r>
            <w:r w:rsidRPr="00F5120E">
              <w:rPr>
                <w:rFonts w:ascii="Times New Roman" w:hAnsi="Times New Roman"/>
                <w:i w:val="0"/>
                <w:color w:val="000000" w:themeColor="text1"/>
                <w:vertAlign w:val="superscript"/>
                <w:lang w:val="en-US"/>
              </w:rPr>
              <w:t>-4</w:t>
            </w:r>
            <w:r w:rsidRPr="00F5120E">
              <w:rPr>
                <w:rFonts w:ascii="Times New Roman" w:hAnsi="Times New Roman"/>
                <w:i w:val="0"/>
                <w:color w:val="000000" w:themeColor="text1"/>
                <w:lang w:val="en-US"/>
              </w:rPr>
              <w:t xml:space="preserve">)   </w:t>
            </w:r>
          </w:p>
        </w:tc>
      </w:tr>
      <w:tr w:rsidR="00F5120E" w:rsidRPr="00F5120E" w14:paraId="0F6BD664" w14:textId="77777777" w:rsidTr="00785AC4">
        <w:tc>
          <w:tcPr>
            <w:tcW w:w="2268" w:type="dxa"/>
            <w:tcBorders>
              <w:bottom w:val="single" w:sz="4" w:space="0" w:color="auto"/>
            </w:tcBorders>
          </w:tcPr>
          <w:p w14:paraId="3E5F02A1"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i w:val="0"/>
                <w:color w:val="000000" w:themeColor="text1"/>
                <w:position w:val="-10"/>
                <w:sz w:val="24"/>
                <w:szCs w:val="24"/>
              </w:rPr>
              <w:object w:dxaOrig="1719" w:dyaOrig="279" w14:anchorId="35478B87">
                <v:shape id="_x0000_i1033" type="#_x0000_t75" style="width:85.5pt;height:13.5pt" o:ole="">
                  <v:imagedata r:id="rId19" o:title=""/>
                </v:shape>
                <o:OLEObject Type="Embed" ProgID="Equation.DSMT4" ShapeID="_x0000_i1033" DrawAspect="Content" ObjectID="_1599479320" r:id="rId20"/>
              </w:object>
            </w:r>
          </w:p>
        </w:tc>
        <w:tc>
          <w:tcPr>
            <w:tcW w:w="965" w:type="dxa"/>
            <w:tcBorders>
              <w:bottom w:val="single" w:sz="4" w:space="0" w:color="auto"/>
            </w:tcBorders>
          </w:tcPr>
          <w:p w14:paraId="5DF4AD6F"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484" w:type="dxa"/>
            <w:tcBorders>
              <w:bottom w:val="single" w:sz="4" w:space="0" w:color="auto"/>
            </w:tcBorders>
          </w:tcPr>
          <w:p w14:paraId="0EAE5817"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885" w:type="dxa"/>
            <w:tcBorders>
              <w:bottom w:val="single" w:sz="4" w:space="0" w:color="auto"/>
            </w:tcBorders>
          </w:tcPr>
          <w:p w14:paraId="517618E3"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927" w:type="dxa"/>
            <w:tcBorders>
              <w:bottom w:val="single" w:sz="4" w:space="0" w:color="auto"/>
            </w:tcBorders>
          </w:tcPr>
          <w:p w14:paraId="3AA58E96"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3497" w:type="dxa"/>
            <w:gridSpan w:val="4"/>
            <w:tcBorders>
              <w:bottom w:val="single" w:sz="4" w:space="0" w:color="auto"/>
            </w:tcBorders>
          </w:tcPr>
          <w:p w14:paraId="68423ECA" w14:textId="77777777" w:rsidR="00F5120E" w:rsidRPr="00F5120E" w:rsidRDefault="00F5120E" w:rsidP="00F5120E">
            <w:pPr>
              <w:pStyle w:val="FootnoteText"/>
              <w:jc w:val="center"/>
              <w:rPr>
                <w:rFonts w:ascii="Times New Roman" w:hAnsi="Times New Roman"/>
                <w:i w:val="0"/>
                <w:color w:val="000000" w:themeColor="text1"/>
                <w:vertAlign w:val="superscript"/>
                <w:lang w:val="en-US"/>
              </w:rPr>
            </w:pPr>
            <w:r w:rsidRPr="00F5120E">
              <w:rPr>
                <w:rFonts w:ascii="Times New Roman" w:hAnsi="Times New Roman"/>
                <w:i w:val="0"/>
                <w:color w:val="000000" w:themeColor="text1"/>
                <w:lang w:val="en-US"/>
              </w:rPr>
              <w:t>2.11×10</w:t>
            </w:r>
            <w:r w:rsidRPr="00F5120E">
              <w:rPr>
                <w:rFonts w:ascii="Times New Roman" w:hAnsi="Times New Roman"/>
                <w:i w:val="0"/>
                <w:color w:val="000000" w:themeColor="text1"/>
                <w:vertAlign w:val="superscript"/>
                <w:lang w:val="en-US"/>
              </w:rPr>
              <w:t xml:space="preserve">-6 </w:t>
            </w:r>
            <w:r w:rsidRPr="00F5120E">
              <w:rPr>
                <w:rFonts w:ascii="Times New Roman" w:hAnsi="Times New Roman"/>
                <w:i w:val="0"/>
                <w:color w:val="000000" w:themeColor="text1"/>
                <w:lang w:val="en-US"/>
              </w:rPr>
              <w:t>*</w:t>
            </w:r>
          </w:p>
          <w:p w14:paraId="6DAC8B60" w14:textId="506FC84A" w:rsidR="00C00CDE" w:rsidRPr="00F5120E" w:rsidRDefault="00F5120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(7.18×10</w:t>
            </w:r>
            <w:r w:rsidRPr="00F5120E">
              <w:rPr>
                <w:rFonts w:ascii="Times New Roman" w:hAnsi="Times New Roman"/>
                <w:i w:val="0"/>
                <w:color w:val="000000" w:themeColor="text1"/>
                <w:vertAlign w:val="superscript"/>
                <w:lang w:val="en-US"/>
              </w:rPr>
              <w:t>-7</w:t>
            </w:r>
            <w:r w:rsidRPr="00F5120E">
              <w:rPr>
                <w:rFonts w:ascii="Times New Roman" w:hAnsi="Times New Roman"/>
                <w:i w:val="0"/>
                <w:color w:val="000000" w:themeColor="text1"/>
                <w:lang w:val="en-US"/>
              </w:rPr>
              <w:t xml:space="preserve">)   </w:t>
            </w:r>
          </w:p>
        </w:tc>
      </w:tr>
      <w:tr w:rsidR="00F5120E" w:rsidRPr="00F5120E" w14:paraId="378F247E" w14:textId="77777777" w:rsidTr="00785AC4">
        <w:tc>
          <w:tcPr>
            <w:tcW w:w="2268" w:type="dxa"/>
            <w:tcBorders>
              <w:top w:val="single" w:sz="4" w:space="0" w:color="auto"/>
              <w:bottom w:val="single" w:sz="4" w:space="0" w:color="auto"/>
            </w:tcBorders>
          </w:tcPr>
          <w:p w14:paraId="370C7F30"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Control variables</w:t>
            </w:r>
          </w:p>
        </w:tc>
        <w:tc>
          <w:tcPr>
            <w:tcW w:w="965" w:type="dxa"/>
            <w:tcBorders>
              <w:top w:val="single" w:sz="4" w:space="0" w:color="auto"/>
              <w:bottom w:val="single" w:sz="4" w:space="0" w:color="auto"/>
            </w:tcBorders>
          </w:tcPr>
          <w:p w14:paraId="75782B80"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484" w:type="dxa"/>
            <w:tcBorders>
              <w:top w:val="single" w:sz="4" w:space="0" w:color="auto"/>
              <w:bottom w:val="single" w:sz="4" w:space="0" w:color="auto"/>
            </w:tcBorders>
          </w:tcPr>
          <w:p w14:paraId="1E29D041"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885" w:type="dxa"/>
            <w:tcBorders>
              <w:top w:val="single" w:sz="4" w:space="0" w:color="auto"/>
              <w:bottom w:val="single" w:sz="4" w:space="0" w:color="auto"/>
            </w:tcBorders>
          </w:tcPr>
          <w:p w14:paraId="4526FFBE"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927" w:type="dxa"/>
            <w:tcBorders>
              <w:top w:val="single" w:sz="4" w:space="0" w:color="auto"/>
              <w:bottom w:val="single" w:sz="4" w:space="0" w:color="auto"/>
            </w:tcBorders>
          </w:tcPr>
          <w:p w14:paraId="042DE35C"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p>
        </w:tc>
        <w:tc>
          <w:tcPr>
            <w:tcW w:w="842" w:type="dxa"/>
            <w:tcBorders>
              <w:top w:val="single" w:sz="4" w:space="0" w:color="auto"/>
              <w:bottom w:val="single" w:sz="4" w:space="0" w:color="auto"/>
            </w:tcBorders>
          </w:tcPr>
          <w:p w14:paraId="6F77F0E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885" w:type="dxa"/>
            <w:tcBorders>
              <w:top w:val="single" w:sz="4" w:space="0" w:color="auto"/>
              <w:bottom w:val="single" w:sz="4" w:space="0" w:color="auto"/>
            </w:tcBorders>
          </w:tcPr>
          <w:p w14:paraId="6761956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885" w:type="dxa"/>
            <w:tcBorders>
              <w:top w:val="single" w:sz="4" w:space="0" w:color="auto"/>
              <w:bottom w:val="single" w:sz="4" w:space="0" w:color="auto"/>
            </w:tcBorders>
          </w:tcPr>
          <w:p w14:paraId="25AD4EFC"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p>
        </w:tc>
        <w:tc>
          <w:tcPr>
            <w:tcW w:w="885" w:type="dxa"/>
            <w:tcBorders>
              <w:top w:val="single" w:sz="4" w:space="0" w:color="auto"/>
              <w:bottom w:val="single" w:sz="4" w:space="0" w:color="auto"/>
            </w:tcBorders>
          </w:tcPr>
          <w:p w14:paraId="04BBE6BA" w14:textId="77777777" w:rsidR="00C00CDE" w:rsidRPr="00F5120E" w:rsidRDefault="00C00CDE" w:rsidP="00785AC4">
            <w:pPr>
              <w:pStyle w:val="FootnoteText"/>
              <w:jc w:val="both"/>
              <w:rPr>
                <w:rFonts w:ascii="Times New Roman" w:hAnsi="Times New Roman"/>
                <w:color w:val="000000" w:themeColor="text1"/>
                <w:sz w:val="24"/>
                <w:szCs w:val="24"/>
                <w:lang w:val="en-US"/>
              </w:rPr>
            </w:pPr>
          </w:p>
        </w:tc>
      </w:tr>
      <w:tr w:rsidR="00F5120E" w:rsidRPr="00F5120E" w14:paraId="3C9D8986" w14:textId="77777777" w:rsidTr="00785AC4">
        <w:tc>
          <w:tcPr>
            <w:tcW w:w="2268" w:type="dxa"/>
            <w:tcBorders>
              <w:top w:val="single" w:sz="4" w:space="0" w:color="auto"/>
            </w:tcBorders>
          </w:tcPr>
          <w:p w14:paraId="0977D51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Male</w:t>
            </w:r>
          </w:p>
        </w:tc>
        <w:tc>
          <w:tcPr>
            <w:tcW w:w="3261" w:type="dxa"/>
            <w:gridSpan w:val="4"/>
            <w:tcBorders>
              <w:top w:val="single" w:sz="4" w:space="0" w:color="auto"/>
            </w:tcBorders>
          </w:tcPr>
          <w:p w14:paraId="55366244"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 xml:space="preserve">0.017 </w:t>
            </w:r>
          </w:p>
          <w:p w14:paraId="2264AA2A"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(0.017)</w:t>
            </w:r>
          </w:p>
        </w:tc>
        <w:tc>
          <w:tcPr>
            <w:tcW w:w="3497" w:type="dxa"/>
            <w:gridSpan w:val="4"/>
            <w:tcBorders>
              <w:top w:val="single" w:sz="4" w:space="0" w:color="auto"/>
            </w:tcBorders>
          </w:tcPr>
          <w:p w14:paraId="0AE0D079" w14:textId="6B266EBB" w:rsidR="00C00CDE" w:rsidRPr="00F5120E" w:rsidRDefault="00F5120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0.017</w:t>
            </w:r>
            <w:r w:rsidR="00C00CDE" w:rsidRPr="00F5120E">
              <w:rPr>
                <w:rFonts w:ascii="Times New Roman" w:hAnsi="Times New Roman"/>
                <w:i w:val="0"/>
                <w:color w:val="000000" w:themeColor="text1"/>
                <w:lang w:val="en-US"/>
              </w:rPr>
              <w:t xml:space="preserve"> </w:t>
            </w:r>
          </w:p>
          <w:p w14:paraId="6DAA62CF"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(0.017)</w:t>
            </w:r>
          </w:p>
        </w:tc>
      </w:tr>
      <w:tr w:rsidR="00F5120E" w:rsidRPr="00F5120E" w14:paraId="306A5B8B" w14:textId="77777777" w:rsidTr="00785AC4">
        <w:tc>
          <w:tcPr>
            <w:tcW w:w="2268" w:type="dxa"/>
          </w:tcPr>
          <w:p w14:paraId="02B1A9EF"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Age</w:t>
            </w:r>
          </w:p>
        </w:tc>
        <w:tc>
          <w:tcPr>
            <w:tcW w:w="3261" w:type="dxa"/>
            <w:gridSpan w:val="4"/>
          </w:tcPr>
          <w:p w14:paraId="74D0D78A"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 xml:space="preserve">-0.001* </w:t>
            </w:r>
          </w:p>
          <w:p w14:paraId="0AE9BF4D"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(4.34×10</w:t>
            </w:r>
            <w:r w:rsidRPr="00F5120E">
              <w:rPr>
                <w:rFonts w:ascii="Times New Roman" w:hAnsi="Times New Roman"/>
                <w:i w:val="0"/>
                <w:color w:val="000000" w:themeColor="text1"/>
                <w:vertAlign w:val="superscript"/>
                <w:lang w:val="en-US"/>
              </w:rPr>
              <w:t>-4</w:t>
            </w:r>
            <w:r w:rsidRPr="00F5120E">
              <w:rPr>
                <w:rFonts w:ascii="Times New Roman" w:hAnsi="Times New Roman"/>
                <w:i w:val="0"/>
                <w:color w:val="000000" w:themeColor="text1"/>
                <w:lang w:val="en-US"/>
              </w:rPr>
              <w:t>)</w:t>
            </w:r>
          </w:p>
        </w:tc>
        <w:tc>
          <w:tcPr>
            <w:tcW w:w="3497" w:type="dxa"/>
            <w:gridSpan w:val="4"/>
          </w:tcPr>
          <w:p w14:paraId="445CA23F"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 xml:space="preserve">-0.001* </w:t>
            </w:r>
          </w:p>
          <w:p w14:paraId="30C92A59" w14:textId="7954BE0E" w:rsidR="00C00CDE" w:rsidRPr="00F5120E" w:rsidRDefault="00C00CDE" w:rsidP="00F5120E">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(4.3</w:t>
            </w:r>
            <w:r w:rsidR="00F5120E" w:rsidRPr="00F5120E">
              <w:rPr>
                <w:rFonts w:ascii="Times New Roman" w:hAnsi="Times New Roman"/>
                <w:i w:val="0"/>
                <w:color w:val="000000" w:themeColor="text1"/>
                <w:lang w:val="en-US"/>
              </w:rPr>
              <w:t>5</w:t>
            </w:r>
            <w:r w:rsidRPr="00F5120E">
              <w:rPr>
                <w:rFonts w:ascii="Times New Roman" w:hAnsi="Times New Roman"/>
                <w:i w:val="0"/>
                <w:color w:val="000000" w:themeColor="text1"/>
                <w:lang w:val="en-US"/>
              </w:rPr>
              <w:t>×10</w:t>
            </w:r>
            <w:r w:rsidRPr="00F5120E">
              <w:rPr>
                <w:rFonts w:ascii="Times New Roman" w:hAnsi="Times New Roman"/>
                <w:i w:val="0"/>
                <w:color w:val="000000" w:themeColor="text1"/>
                <w:vertAlign w:val="superscript"/>
                <w:lang w:val="en-US"/>
              </w:rPr>
              <w:t>-4</w:t>
            </w:r>
            <w:r w:rsidRPr="00F5120E">
              <w:rPr>
                <w:rFonts w:ascii="Times New Roman" w:hAnsi="Times New Roman"/>
                <w:i w:val="0"/>
                <w:color w:val="000000" w:themeColor="text1"/>
                <w:lang w:val="en-US"/>
              </w:rPr>
              <w:t>)</w:t>
            </w:r>
          </w:p>
        </w:tc>
      </w:tr>
      <w:tr w:rsidR="00F5120E" w:rsidRPr="00F5120E" w14:paraId="14A9901A" w14:textId="77777777" w:rsidTr="00785AC4">
        <w:tc>
          <w:tcPr>
            <w:tcW w:w="2268" w:type="dxa"/>
          </w:tcPr>
          <w:p w14:paraId="7B46BAB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Experience</w:t>
            </w:r>
          </w:p>
        </w:tc>
        <w:tc>
          <w:tcPr>
            <w:tcW w:w="3261" w:type="dxa"/>
            <w:gridSpan w:val="4"/>
          </w:tcPr>
          <w:p w14:paraId="6375C270" w14:textId="2AC76371"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0.03</w:t>
            </w:r>
            <w:r w:rsidR="00F5120E" w:rsidRPr="00F5120E">
              <w:rPr>
                <w:rFonts w:ascii="Times New Roman" w:hAnsi="Times New Roman"/>
                <w:i w:val="0"/>
                <w:color w:val="000000" w:themeColor="text1"/>
                <w:lang w:val="en-US"/>
              </w:rPr>
              <w:t>6</w:t>
            </w:r>
            <w:r w:rsidRPr="00F5120E">
              <w:rPr>
                <w:rFonts w:ascii="Times New Roman" w:hAnsi="Times New Roman"/>
                <w:i w:val="0"/>
                <w:color w:val="000000" w:themeColor="text1"/>
                <w:lang w:val="en-US"/>
              </w:rPr>
              <w:t xml:space="preserve">* </w:t>
            </w:r>
          </w:p>
          <w:p w14:paraId="37B1394D"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(0.011)</w:t>
            </w:r>
          </w:p>
        </w:tc>
        <w:tc>
          <w:tcPr>
            <w:tcW w:w="3497" w:type="dxa"/>
            <w:gridSpan w:val="4"/>
          </w:tcPr>
          <w:p w14:paraId="24F0070E" w14:textId="0170889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0.03</w:t>
            </w:r>
            <w:r w:rsidR="00F5120E" w:rsidRPr="00F5120E">
              <w:rPr>
                <w:rFonts w:ascii="Times New Roman" w:hAnsi="Times New Roman"/>
                <w:i w:val="0"/>
                <w:color w:val="000000" w:themeColor="text1"/>
                <w:lang w:val="en-US"/>
              </w:rPr>
              <w:t>5</w:t>
            </w:r>
            <w:r w:rsidRPr="00F5120E">
              <w:rPr>
                <w:rFonts w:ascii="Times New Roman" w:hAnsi="Times New Roman"/>
                <w:i w:val="0"/>
                <w:color w:val="000000" w:themeColor="text1"/>
                <w:lang w:val="en-US"/>
              </w:rPr>
              <w:t xml:space="preserve">* </w:t>
            </w:r>
          </w:p>
          <w:p w14:paraId="274B73E3"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(0.011)</w:t>
            </w:r>
          </w:p>
        </w:tc>
      </w:tr>
      <w:tr w:rsidR="00F5120E" w:rsidRPr="00F5120E" w14:paraId="0D488FF5" w14:textId="77777777" w:rsidTr="00785AC4">
        <w:tc>
          <w:tcPr>
            <w:tcW w:w="2268" w:type="dxa"/>
          </w:tcPr>
          <w:p w14:paraId="4809F79B"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Race controls</w:t>
            </w:r>
            <w:r w:rsidRPr="00F5120E">
              <w:rPr>
                <w:rFonts w:ascii="Times New Roman" w:hAnsi="Times New Roman"/>
                <w:color w:val="000000" w:themeColor="text1"/>
                <w:vertAlign w:val="superscript"/>
                <w:lang w:val="en-US"/>
              </w:rPr>
              <w:t>#</w:t>
            </w:r>
          </w:p>
        </w:tc>
        <w:tc>
          <w:tcPr>
            <w:tcW w:w="3261" w:type="dxa"/>
            <w:gridSpan w:val="4"/>
          </w:tcPr>
          <w:p w14:paraId="416CDE0F"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Yes</w:t>
            </w:r>
          </w:p>
        </w:tc>
        <w:tc>
          <w:tcPr>
            <w:tcW w:w="3497" w:type="dxa"/>
            <w:gridSpan w:val="4"/>
          </w:tcPr>
          <w:p w14:paraId="088FBCBF"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Yes</w:t>
            </w:r>
          </w:p>
        </w:tc>
      </w:tr>
      <w:tr w:rsidR="00F5120E" w:rsidRPr="00F5120E" w14:paraId="0BA181B3" w14:textId="77777777" w:rsidTr="00785AC4">
        <w:tc>
          <w:tcPr>
            <w:tcW w:w="2268" w:type="dxa"/>
            <w:tcBorders>
              <w:bottom w:val="single" w:sz="4" w:space="0" w:color="auto"/>
            </w:tcBorders>
          </w:tcPr>
          <w:p w14:paraId="33C74FB2"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color w:val="000000" w:themeColor="text1"/>
                <w:lang w:val="en-US"/>
              </w:rPr>
              <w:t>Betting type controls</w:t>
            </w:r>
            <w:r w:rsidRPr="00F5120E">
              <w:rPr>
                <w:rFonts w:ascii="Times New Roman" w:hAnsi="Times New Roman"/>
                <w:color w:val="000000" w:themeColor="text1"/>
                <w:vertAlign w:val="superscript"/>
                <w:lang w:val="en-US"/>
              </w:rPr>
              <w:t>##</w:t>
            </w:r>
          </w:p>
        </w:tc>
        <w:tc>
          <w:tcPr>
            <w:tcW w:w="3261" w:type="dxa"/>
            <w:gridSpan w:val="4"/>
            <w:tcBorders>
              <w:bottom w:val="single" w:sz="4" w:space="0" w:color="auto"/>
            </w:tcBorders>
          </w:tcPr>
          <w:p w14:paraId="00492128"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Yes</w:t>
            </w:r>
          </w:p>
        </w:tc>
        <w:tc>
          <w:tcPr>
            <w:tcW w:w="3497" w:type="dxa"/>
            <w:gridSpan w:val="4"/>
            <w:tcBorders>
              <w:bottom w:val="single" w:sz="4" w:space="0" w:color="auto"/>
            </w:tcBorders>
          </w:tcPr>
          <w:p w14:paraId="1089A592"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Yes</w:t>
            </w:r>
          </w:p>
        </w:tc>
      </w:tr>
      <w:tr w:rsidR="00F5120E" w:rsidRPr="00F5120E" w14:paraId="74C94E91" w14:textId="77777777" w:rsidTr="00785AC4">
        <w:tc>
          <w:tcPr>
            <w:tcW w:w="2268" w:type="dxa"/>
            <w:tcBorders>
              <w:top w:val="single" w:sz="4" w:space="0" w:color="auto"/>
            </w:tcBorders>
          </w:tcPr>
          <w:p w14:paraId="4DF95F9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Number of bettors</w:t>
            </w:r>
          </w:p>
        </w:tc>
        <w:tc>
          <w:tcPr>
            <w:tcW w:w="3261" w:type="dxa"/>
            <w:gridSpan w:val="4"/>
            <w:tcBorders>
              <w:top w:val="single" w:sz="4" w:space="0" w:color="auto"/>
            </w:tcBorders>
          </w:tcPr>
          <w:p w14:paraId="72D4EC4A"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18,640</w:t>
            </w:r>
          </w:p>
        </w:tc>
        <w:tc>
          <w:tcPr>
            <w:tcW w:w="3497" w:type="dxa"/>
            <w:gridSpan w:val="4"/>
            <w:tcBorders>
              <w:top w:val="single" w:sz="4" w:space="0" w:color="auto"/>
            </w:tcBorders>
          </w:tcPr>
          <w:p w14:paraId="6D79CD63"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18,640</w:t>
            </w:r>
          </w:p>
        </w:tc>
      </w:tr>
      <w:tr w:rsidR="00F5120E" w:rsidRPr="00F5120E" w14:paraId="36F43CF2" w14:textId="77777777" w:rsidTr="00785AC4">
        <w:tc>
          <w:tcPr>
            <w:tcW w:w="2268" w:type="dxa"/>
          </w:tcPr>
          <w:p w14:paraId="69D7F766"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Number of observations</w:t>
            </w:r>
          </w:p>
        </w:tc>
        <w:tc>
          <w:tcPr>
            <w:tcW w:w="3261" w:type="dxa"/>
            <w:gridSpan w:val="4"/>
          </w:tcPr>
          <w:p w14:paraId="1D3B0575"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581,560</w:t>
            </w:r>
          </w:p>
        </w:tc>
        <w:tc>
          <w:tcPr>
            <w:tcW w:w="3497" w:type="dxa"/>
            <w:gridSpan w:val="4"/>
          </w:tcPr>
          <w:p w14:paraId="7C4D2793"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581,560</w:t>
            </w:r>
          </w:p>
        </w:tc>
      </w:tr>
      <w:tr w:rsidR="00F5120E" w:rsidRPr="00F5120E" w14:paraId="7CEE6570" w14:textId="77777777" w:rsidTr="00785AC4">
        <w:tc>
          <w:tcPr>
            <w:tcW w:w="2268" w:type="dxa"/>
            <w:tcBorders>
              <w:bottom w:val="single" w:sz="4" w:space="0" w:color="auto"/>
            </w:tcBorders>
          </w:tcPr>
          <w:p w14:paraId="52D2E435" w14:textId="77777777" w:rsidR="00C00CDE" w:rsidRPr="00F5120E" w:rsidRDefault="00C00CDE" w:rsidP="00785AC4">
            <w:pPr>
              <w:pStyle w:val="FootnoteText"/>
              <w:jc w:val="both"/>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Overall R</w:t>
            </w:r>
            <w:r w:rsidRPr="00F5120E">
              <w:rPr>
                <w:rFonts w:ascii="Times New Roman" w:hAnsi="Times New Roman"/>
                <w:i w:val="0"/>
                <w:color w:val="000000" w:themeColor="text1"/>
                <w:vertAlign w:val="superscript"/>
                <w:lang w:val="en-US"/>
              </w:rPr>
              <w:t>2</w:t>
            </w:r>
          </w:p>
        </w:tc>
        <w:tc>
          <w:tcPr>
            <w:tcW w:w="3261" w:type="dxa"/>
            <w:gridSpan w:val="4"/>
            <w:tcBorders>
              <w:bottom w:val="single" w:sz="4" w:space="0" w:color="auto"/>
            </w:tcBorders>
          </w:tcPr>
          <w:p w14:paraId="7F89AC5A" w14:textId="77777777" w:rsidR="00C00CDE" w:rsidRPr="00F5120E" w:rsidRDefault="00C00CDE" w:rsidP="00785AC4">
            <w:pPr>
              <w:pStyle w:val="FootnoteText"/>
              <w:jc w:val="center"/>
              <w:rPr>
                <w:rFonts w:ascii="Times New Roman" w:hAnsi="Times New Roman"/>
                <w:i w:val="0"/>
                <w:color w:val="000000" w:themeColor="text1"/>
                <w:lang w:val="en-US"/>
              </w:rPr>
            </w:pPr>
            <w:r w:rsidRPr="00F5120E">
              <w:rPr>
                <w:rFonts w:ascii="Times New Roman" w:hAnsi="Times New Roman"/>
                <w:i w:val="0"/>
                <w:color w:val="000000" w:themeColor="text1"/>
                <w:lang w:val="en-US"/>
              </w:rPr>
              <w:t>0.0003</w:t>
            </w:r>
          </w:p>
        </w:tc>
        <w:tc>
          <w:tcPr>
            <w:tcW w:w="3497" w:type="dxa"/>
            <w:gridSpan w:val="4"/>
            <w:tcBorders>
              <w:bottom w:val="single" w:sz="4" w:space="0" w:color="auto"/>
            </w:tcBorders>
          </w:tcPr>
          <w:p w14:paraId="5FA5F680" w14:textId="77777777" w:rsidR="00C00CDE" w:rsidRPr="00F5120E" w:rsidRDefault="00C00CDE" w:rsidP="00785AC4">
            <w:pPr>
              <w:pStyle w:val="FootnoteText"/>
              <w:jc w:val="center"/>
              <w:rPr>
                <w:rFonts w:ascii="Times New Roman" w:hAnsi="Times New Roman"/>
                <w:i w:val="0"/>
                <w:color w:val="000000" w:themeColor="text1"/>
                <w:sz w:val="24"/>
                <w:szCs w:val="24"/>
                <w:lang w:val="en-US"/>
              </w:rPr>
            </w:pPr>
            <w:r w:rsidRPr="00F5120E">
              <w:rPr>
                <w:rFonts w:ascii="Times New Roman" w:hAnsi="Times New Roman"/>
                <w:i w:val="0"/>
                <w:color w:val="000000" w:themeColor="text1"/>
                <w:lang w:val="en-US"/>
              </w:rPr>
              <w:t>0.0003</w:t>
            </w:r>
          </w:p>
        </w:tc>
      </w:tr>
    </w:tbl>
    <w:p w14:paraId="60B66AD4" w14:textId="159AEB76" w:rsidR="00C00CDE" w:rsidRPr="0097231E" w:rsidRDefault="00C00CDE" w:rsidP="00C00CDE">
      <w:pPr>
        <w:spacing w:after="0" w:line="240" w:lineRule="auto"/>
        <w:rPr>
          <w:rFonts w:cs="Times New Roman"/>
          <w:i w:val="0"/>
          <w:sz w:val="20"/>
          <w:szCs w:val="20"/>
          <w:lang w:val="en-US"/>
        </w:rPr>
      </w:pPr>
      <w:r w:rsidRPr="0097231E">
        <w:rPr>
          <w:rFonts w:cs="Times New Roman"/>
          <w:i w:val="0"/>
          <w:sz w:val="20"/>
          <w:szCs w:val="20"/>
          <w:lang w:val="en-US"/>
        </w:rPr>
        <w:t>Notes: *</w:t>
      </w:r>
      <w:r>
        <w:rPr>
          <w:rFonts w:cs="Times New Roman"/>
          <w:i w:val="0"/>
          <w:sz w:val="20"/>
          <w:szCs w:val="20"/>
          <w:lang w:val="en-US"/>
        </w:rPr>
        <w:t>Statistically s</w:t>
      </w:r>
      <w:r w:rsidRPr="0097231E">
        <w:rPr>
          <w:rFonts w:cs="Times New Roman"/>
          <w:i w:val="0"/>
          <w:sz w:val="20"/>
          <w:szCs w:val="20"/>
          <w:lang w:val="en-US"/>
        </w:rPr>
        <w:t xml:space="preserve">ignificant at 5%. </w:t>
      </w:r>
      <w:r w:rsidRPr="0097231E">
        <w:rPr>
          <w:rFonts w:cs="Times New Roman"/>
          <w:i w:val="0"/>
          <w:sz w:val="20"/>
          <w:szCs w:val="20"/>
          <w:vertAlign w:val="superscript"/>
          <w:lang w:val="en-US"/>
        </w:rPr>
        <w:t>#</w:t>
      </w:r>
      <w:r w:rsidRPr="0097231E">
        <w:rPr>
          <w:rFonts w:cs="Times New Roman"/>
          <w:i w:val="0"/>
          <w:sz w:val="20"/>
          <w:szCs w:val="20"/>
          <w:lang w:val="en-US"/>
        </w:rPr>
        <w:t xml:space="preserve">Race controls: </w:t>
      </w:r>
      <w:r w:rsidR="009B1D04" w:rsidRPr="00483BE4">
        <w:rPr>
          <w:rFonts w:cs="Times New Roman"/>
          <w:i w:val="0"/>
          <w:sz w:val="20"/>
          <w:szCs w:val="20"/>
          <w:lang w:val="en-US"/>
        </w:rPr>
        <w:t>the average odds of all bets placed on a race</w:t>
      </w:r>
      <w:r w:rsidR="00483BE4" w:rsidRPr="00483BE4">
        <w:rPr>
          <w:rFonts w:cs="Times New Roman"/>
          <w:i w:val="0"/>
          <w:sz w:val="20"/>
          <w:szCs w:val="20"/>
          <w:lang w:val="en-US"/>
        </w:rPr>
        <w:t xml:space="preserve"> by the bettor</w:t>
      </w:r>
      <w:r w:rsidR="009B1D04">
        <w:rPr>
          <w:rFonts w:cs="Times New Roman"/>
          <w:i w:val="0"/>
          <w:sz w:val="20"/>
          <w:szCs w:val="20"/>
          <w:lang w:val="en-US"/>
        </w:rPr>
        <w:t xml:space="preserve">, </w:t>
      </w:r>
      <w:r w:rsidRPr="00483BE4">
        <w:rPr>
          <w:rFonts w:cs="Times New Roman"/>
          <w:i w:val="0"/>
          <w:sz w:val="20"/>
          <w:szCs w:val="20"/>
          <w:lang w:val="en-US"/>
        </w:rPr>
        <w:t>turnover</w:t>
      </w:r>
      <w:r w:rsidR="005B3A64" w:rsidRPr="00483BE4">
        <w:rPr>
          <w:rFonts w:cs="Times New Roman"/>
          <w:i w:val="0"/>
          <w:sz w:val="20"/>
          <w:szCs w:val="20"/>
          <w:lang w:val="en-US"/>
        </w:rPr>
        <w:t xml:space="preserve"> in euros and dummy variables for the</w:t>
      </w:r>
      <w:r w:rsidRPr="00483BE4">
        <w:rPr>
          <w:rFonts w:cs="Times New Roman"/>
          <w:i w:val="0"/>
          <w:sz w:val="20"/>
          <w:szCs w:val="20"/>
          <w:lang w:val="en-US"/>
        </w:rPr>
        <w:t xml:space="preserve"> two main race meetings of week separately, a night race meeting</w:t>
      </w:r>
      <w:r w:rsidR="005B3A64" w:rsidRPr="00483BE4">
        <w:rPr>
          <w:rFonts w:cs="Times New Roman"/>
          <w:i w:val="0"/>
          <w:sz w:val="20"/>
          <w:szCs w:val="20"/>
          <w:lang w:val="en-US"/>
        </w:rPr>
        <w:t xml:space="preserve"> and</w:t>
      </w:r>
      <w:r w:rsidRPr="00483BE4">
        <w:rPr>
          <w:rFonts w:cs="Times New Roman"/>
          <w:i w:val="0"/>
          <w:sz w:val="20"/>
          <w:szCs w:val="20"/>
          <w:lang w:val="en-US"/>
        </w:rPr>
        <w:t xml:space="preserve"> a rac</w:t>
      </w:r>
      <w:r w:rsidRPr="0097231E">
        <w:rPr>
          <w:rFonts w:cs="Times New Roman"/>
          <w:i w:val="0"/>
          <w:sz w:val="20"/>
          <w:szCs w:val="20"/>
          <w:lang w:val="en-US"/>
        </w:rPr>
        <w:t xml:space="preserve">e meeting abroad. </w:t>
      </w:r>
      <w:r w:rsidRPr="0097231E">
        <w:rPr>
          <w:rFonts w:cs="Times New Roman"/>
          <w:i w:val="0"/>
          <w:sz w:val="20"/>
          <w:szCs w:val="20"/>
          <w:vertAlign w:val="superscript"/>
          <w:lang w:val="en-US"/>
        </w:rPr>
        <w:t>##</w:t>
      </w:r>
      <w:r w:rsidRPr="0097231E">
        <w:rPr>
          <w:rFonts w:cs="Times New Roman"/>
          <w:i w:val="0"/>
          <w:sz w:val="20"/>
          <w:szCs w:val="20"/>
          <w:lang w:val="en-US"/>
        </w:rPr>
        <w:t>Betting type controls: The shares of Place, Win and Trifecta bets, which</w:t>
      </w:r>
      <w:r w:rsidRPr="0097231E">
        <w:rPr>
          <w:rFonts w:cs="Times New Roman"/>
          <w:i w:val="0"/>
          <w:sz w:val="20"/>
          <w:szCs w:val="20"/>
          <w:lang w:val="en-GB"/>
        </w:rPr>
        <w:t xml:space="preserve"> relate to the division of stakes between different bet types for an individual bettor’s wagers on an individual race. The share of Quinella is used as the reference category.</w:t>
      </w:r>
    </w:p>
    <w:p w14:paraId="512D2BA5" w14:textId="77777777" w:rsidR="00C00CDE" w:rsidRPr="001C280F" w:rsidRDefault="00C00CDE" w:rsidP="00E94EE6">
      <w:pPr>
        <w:spacing w:after="0" w:line="360" w:lineRule="auto"/>
        <w:jc w:val="both"/>
        <w:rPr>
          <w:i w:val="0"/>
          <w:sz w:val="24"/>
          <w:szCs w:val="24"/>
          <w:lang w:val="en-US"/>
        </w:rPr>
      </w:pPr>
    </w:p>
    <w:p w14:paraId="4CF0309B" w14:textId="77777777" w:rsidR="00C00CDE" w:rsidRPr="00F5120E" w:rsidRDefault="00C00CDE" w:rsidP="00E94EE6">
      <w:pPr>
        <w:spacing w:after="0" w:line="360" w:lineRule="auto"/>
        <w:jc w:val="both"/>
        <w:rPr>
          <w:i w:val="0"/>
          <w:color w:val="000000" w:themeColor="text1"/>
          <w:sz w:val="24"/>
          <w:szCs w:val="24"/>
          <w:lang w:val="en-GB"/>
        </w:rPr>
      </w:pPr>
      <w:r w:rsidRPr="00F5120E">
        <w:rPr>
          <w:i w:val="0"/>
          <w:color w:val="000000" w:themeColor="text1"/>
          <w:sz w:val="24"/>
          <w:szCs w:val="24"/>
          <w:lang w:val="en-GB"/>
        </w:rPr>
        <w:t xml:space="preserve">To see how the amount staked and timing together predict the rate of return, consider the following relationship using the estimated coefficients from Model 2: </w:t>
      </w:r>
    </w:p>
    <w:p w14:paraId="35859814" w14:textId="5C9EE018" w:rsidR="00C00CDE" w:rsidRPr="00F5120E" w:rsidRDefault="00F5120E" w:rsidP="00E94EE6">
      <w:pPr>
        <w:spacing w:after="0" w:line="360" w:lineRule="auto"/>
        <w:jc w:val="both"/>
        <w:rPr>
          <w:i w:val="0"/>
          <w:color w:val="000000" w:themeColor="text1"/>
          <w:sz w:val="24"/>
          <w:szCs w:val="24"/>
          <w:lang w:val="en-GB"/>
        </w:rPr>
      </w:pPr>
      <w:r w:rsidRPr="00F5120E">
        <w:rPr>
          <w:i w:val="0"/>
          <w:color w:val="000000" w:themeColor="text1"/>
          <w:position w:val="-10"/>
          <w:sz w:val="24"/>
          <w:szCs w:val="24"/>
          <w:lang w:val="en-GB"/>
        </w:rPr>
        <w:object w:dxaOrig="8640" w:dyaOrig="320" w14:anchorId="14C08FB0">
          <v:shape id="_x0000_i1034" type="#_x0000_t75" style="width:431.25pt;height:15.75pt" o:ole="">
            <v:imagedata r:id="rId21" o:title=""/>
          </v:shape>
          <o:OLEObject Type="Embed" ProgID="Equation.DSMT4" ShapeID="_x0000_i1034" DrawAspect="Content" ObjectID="_1599479321" r:id="rId22"/>
        </w:object>
      </w:r>
      <w:r w:rsidR="00C00CDE" w:rsidRPr="00F5120E">
        <w:rPr>
          <w:i w:val="0"/>
          <w:color w:val="000000" w:themeColor="text1"/>
          <w:sz w:val="24"/>
          <w:szCs w:val="24"/>
          <w:lang w:val="en-GB"/>
        </w:rPr>
        <w:t xml:space="preserve"> (2)</w:t>
      </w:r>
    </w:p>
    <w:p w14:paraId="61281513" w14:textId="77777777" w:rsidR="00C00CDE" w:rsidRPr="00F5120E" w:rsidRDefault="00C00CDE" w:rsidP="00E94EE6">
      <w:pPr>
        <w:spacing w:after="0" w:line="360" w:lineRule="auto"/>
        <w:jc w:val="both"/>
        <w:rPr>
          <w:i w:val="0"/>
          <w:color w:val="000000" w:themeColor="text1"/>
          <w:sz w:val="24"/>
          <w:szCs w:val="24"/>
          <w:lang w:val="en-GB"/>
        </w:rPr>
      </w:pPr>
      <w:r w:rsidRPr="00F5120E">
        <w:rPr>
          <w:i w:val="0"/>
          <w:color w:val="000000" w:themeColor="text1"/>
          <w:sz w:val="24"/>
          <w:szCs w:val="24"/>
          <w:lang w:val="en-GB"/>
        </w:rPr>
        <w:t xml:space="preserve">Since the signs of the estimated coefficients are negative for </w:t>
      </w:r>
      <w:r w:rsidRPr="00F5120E">
        <w:rPr>
          <w:i w:val="0"/>
          <w:color w:val="000000" w:themeColor="text1"/>
          <w:position w:val="-10"/>
          <w:sz w:val="24"/>
          <w:szCs w:val="24"/>
          <w:lang w:val="en-GB"/>
        </w:rPr>
        <w:object w:dxaOrig="2060" w:dyaOrig="320" w14:anchorId="3A551E04">
          <v:shape id="_x0000_i1035" type="#_x0000_t75" style="width:103.5pt;height:15.75pt" o:ole="">
            <v:imagedata r:id="rId23" o:title=""/>
          </v:shape>
          <o:OLEObject Type="Embed" ProgID="Equation.DSMT4" ShapeID="_x0000_i1035" DrawAspect="Content" ObjectID="_1599479322" r:id="rId24"/>
        </w:object>
      </w:r>
      <w:r w:rsidRPr="00F5120E">
        <w:rPr>
          <w:i w:val="0"/>
          <w:color w:val="000000" w:themeColor="text1"/>
          <w:sz w:val="24"/>
          <w:szCs w:val="24"/>
          <w:lang w:val="en-GB"/>
        </w:rPr>
        <w:t xml:space="preserve"> and positive for </w:t>
      </w:r>
      <w:r w:rsidRPr="00F5120E">
        <w:rPr>
          <w:i w:val="0"/>
          <w:color w:val="000000" w:themeColor="text1"/>
          <w:position w:val="-6"/>
          <w:sz w:val="24"/>
          <w:szCs w:val="24"/>
          <w:lang w:val="en-GB"/>
        </w:rPr>
        <w:object w:dxaOrig="1160" w:dyaOrig="279" w14:anchorId="6E6D5971">
          <v:shape id="_x0000_i1036" type="#_x0000_t75" style="width:59.25pt;height:13.5pt" o:ole="">
            <v:imagedata r:id="rId11" o:title=""/>
          </v:shape>
          <o:OLEObject Type="Embed" ProgID="Equation.DSMT4" ShapeID="_x0000_i1036" DrawAspect="Content" ObjectID="_1599479323" r:id="rId25"/>
        </w:object>
      </w:r>
      <w:r w:rsidRPr="00F5120E">
        <w:rPr>
          <w:i w:val="0"/>
          <w:color w:val="000000" w:themeColor="text1"/>
          <w:sz w:val="24"/>
          <w:szCs w:val="24"/>
          <w:lang w:val="en-GB"/>
        </w:rPr>
        <w:t xml:space="preserve">, the combined effect can be analysed by taking a derivative with respect to </w:t>
      </w:r>
      <w:r w:rsidRPr="00F5120E">
        <w:rPr>
          <w:i w:val="0"/>
          <w:color w:val="000000" w:themeColor="text1"/>
          <w:sz w:val="24"/>
          <w:szCs w:val="24"/>
          <w:lang w:val="en-US"/>
        </w:rPr>
        <w:t>the latter variable</w:t>
      </w:r>
      <w:r w:rsidRPr="00F5120E">
        <w:rPr>
          <w:i w:val="0"/>
          <w:color w:val="000000" w:themeColor="text1"/>
          <w:sz w:val="24"/>
          <w:szCs w:val="24"/>
          <w:lang w:val="en-GB"/>
        </w:rPr>
        <w:t>:</w:t>
      </w:r>
    </w:p>
    <w:p w14:paraId="59BD63A0" w14:textId="775410FD" w:rsidR="00C00CDE" w:rsidRPr="00F5120E" w:rsidRDefault="00F5120E" w:rsidP="00E94EE6">
      <w:pPr>
        <w:spacing w:after="0" w:line="360" w:lineRule="auto"/>
        <w:jc w:val="both"/>
        <w:rPr>
          <w:i w:val="0"/>
          <w:color w:val="000000" w:themeColor="text1"/>
          <w:sz w:val="24"/>
          <w:szCs w:val="24"/>
          <w:lang w:val="en-GB"/>
        </w:rPr>
      </w:pPr>
      <w:r w:rsidRPr="00F5120E">
        <w:rPr>
          <w:i w:val="0"/>
          <w:color w:val="000000" w:themeColor="text1"/>
          <w:position w:val="-24"/>
          <w:sz w:val="24"/>
          <w:szCs w:val="24"/>
          <w:lang w:val="en-GB"/>
        </w:rPr>
        <w:object w:dxaOrig="4680" w:dyaOrig="620" w14:anchorId="740D23A8">
          <v:shape id="_x0000_i1037" type="#_x0000_t75" style="width:234.75pt;height:31.5pt" o:ole="">
            <v:imagedata r:id="rId26" o:title=""/>
          </v:shape>
          <o:OLEObject Type="Embed" ProgID="Equation.DSMT4" ShapeID="_x0000_i1037" DrawAspect="Content" ObjectID="_1599479324" r:id="rId27"/>
        </w:object>
      </w:r>
      <w:r w:rsidR="00C00CDE" w:rsidRPr="00F5120E">
        <w:rPr>
          <w:i w:val="0"/>
          <w:color w:val="000000" w:themeColor="text1"/>
          <w:sz w:val="24"/>
          <w:szCs w:val="24"/>
          <w:lang w:val="en-GB"/>
        </w:rPr>
        <w:t xml:space="preserve"> </w:t>
      </w:r>
      <w:r w:rsidR="00C00CDE" w:rsidRPr="00F5120E">
        <w:rPr>
          <w:i w:val="0"/>
          <w:color w:val="000000" w:themeColor="text1"/>
          <w:sz w:val="24"/>
          <w:szCs w:val="24"/>
          <w:lang w:val="en-GB"/>
        </w:rPr>
        <w:tab/>
      </w:r>
      <w:r w:rsidR="00C00CDE" w:rsidRPr="00F5120E">
        <w:rPr>
          <w:i w:val="0"/>
          <w:color w:val="000000" w:themeColor="text1"/>
          <w:sz w:val="24"/>
          <w:szCs w:val="24"/>
          <w:lang w:val="en-GB"/>
        </w:rPr>
        <w:tab/>
      </w:r>
      <w:r w:rsidR="00C00CDE" w:rsidRPr="00F5120E">
        <w:rPr>
          <w:i w:val="0"/>
          <w:color w:val="000000" w:themeColor="text1"/>
          <w:sz w:val="24"/>
          <w:szCs w:val="24"/>
          <w:lang w:val="en-GB"/>
        </w:rPr>
        <w:tab/>
        <w:t>(3)              Setting (3) equal to zero and solving</w:t>
      </w:r>
      <w:r w:rsidR="00C00CDE" w:rsidRPr="00F5120E">
        <w:rPr>
          <w:rFonts w:eastAsiaTheme="minorEastAsia"/>
          <w:i w:val="0"/>
          <w:color w:val="000000" w:themeColor="text1"/>
          <w:sz w:val="24"/>
          <w:szCs w:val="24"/>
          <w:lang w:val="en-GB"/>
        </w:rPr>
        <w:t xml:space="preserve"> for </w:t>
      </w:r>
      <w:r w:rsidR="00C00CDE" w:rsidRPr="00F5120E">
        <w:rPr>
          <w:color w:val="000000" w:themeColor="text1"/>
          <w:sz w:val="24"/>
          <w:szCs w:val="24"/>
          <w:lang w:val="en-US"/>
        </w:rPr>
        <w:t>Timing</w:t>
      </w:r>
      <w:r w:rsidR="00C00CDE" w:rsidRPr="00F5120E">
        <w:rPr>
          <w:rFonts w:eastAsiaTheme="minorEastAsia"/>
          <w:i w:val="0"/>
          <w:color w:val="000000" w:themeColor="text1"/>
          <w:sz w:val="24"/>
          <w:szCs w:val="24"/>
          <w:lang w:val="en-GB"/>
        </w:rPr>
        <w:t xml:space="preserve"> yields 11</w:t>
      </w:r>
      <w:r w:rsidRPr="00F5120E">
        <w:rPr>
          <w:rFonts w:eastAsiaTheme="minorEastAsia"/>
          <w:i w:val="0"/>
          <w:color w:val="000000" w:themeColor="text1"/>
          <w:sz w:val="24"/>
          <w:szCs w:val="24"/>
          <w:lang w:val="en-GB"/>
        </w:rPr>
        <w:t>6</w:t>
      </w:r>
      <w:r w:rsidR="00C00CDE" w:rsidRPr="00F5120E">
        <w:rPr>
          <w:rFonts w:eastAsiaTheme="minorEastAsia"/>
          <w:i w:val="0"/>
          <w:color w:val="000000" w:themeColor="text1"/>
          <w:sz w:val="24"/>
          <w:szCs w:val="24"/>
          <w:lang w:val="en-GB"/>
        </w:rPr>
        <w:t xml:space="preserve"> minutes</w:t>
      </w:r>
      <w:r w:rsidR="00C00CDE" w:rsidRPr="00F5120E">
        <w:rPr>
          <w:rFonts w:eastAsiaTheme="minorEastAsia" w:cs="Times New Roman"/>
          <w:i w:val="0"/>
          <w:color w:val="000000" w:themeColor="text1"/>
          <w:sz w:val="24"/>
          <w:szCs w:val="24"/>
          <w:lang w:val="en-GB"/>
        </w:rPr>
        <w:t>, which is the time that offsets the (positive) impact of the bet amount on the rate of return.</w:t>
      </w:r>
      <w:r w:rsidR="00C00CDE" w:rsidRPr="00F5120E">
        <w:rPr>
          <w:rFonts w:cs="Times New Roman"/>
          <w:i w:val="0"/>
          <w:color w:val="000000" w:themeColor="text1"/>
          <w:sz w:val="24"/>
          <w:szCs w:val="24"/>
          <w:lang w:val="en-GB"/>
        </w:rPr>
        <w:t xml:space="preserve"> That is</w:t>
      </w:r>
      <w:r w:rsidR="00C00CDE" w:rsidRPr="00F5120E">
        <w:rPr>
          <w:i w:val="0"/>
          <w:color w:val="000000" w:themeColor="text1"/>
          <w:sz w:val="24"/>
          <w:szCs w:val="24"/>
          <w:lang w:val="en-GB"/>
        </w:rPr>
        <w:t>, bet size is a positive predictor of the rate of return for bets (the large majority) placed within 11</w:t>
      </w:r>
      <w:r w:rsidRPr="00F5120E">
        <w:rPr>
          <w:i w:val="0"/>
          <w:color w:val="000000" w:themeColor="text1"/>
          <w:sz w:val="24"/>
          <w:szCs w:val="24"/>
          <w:lang w:val="en-GB"/>
        </w:rPr>
        <w:t>6</w:t>
      </w:r>
      <w:r w:rsidR="00C00CDE" w:rsidRPr="00F5120E">
        <w:rPr>
          <w:i w:val="0"/>
          <w:color w:val="000000" w:themeColor="text1"/>
          <w:sz w:val="24"/>
          <w:szCs w:val="24"/>
          <w:lang w:val="en-GB"/>
        </w:rPr>
        <w:t xml:space="preserve"> minutes of race time; and the marginal effect of bet size is enhanced the closer to race time the wager is placed.</w:t>
      </w:r>
    </w:p>
    <w:p w14:paraId="51A3D647" w14:textId="77777777" w:rsidR="00C00CDE" w:rsidRPr="009B1D04" w:rsidRDefault="00C00CDE" w:rsidP="00E94EE6">
      <w:pPr>
        <w:spacing w:after="0" w:line="360" w:lineRule="auto"/>
        <w:jc w:val="both"/>
        <w:rPr>
          <w:i w:val="0"/>
          <w:lang w:val="en-US"/>
        </w:rPr>
      </w:pPr>
    </w:p>
    <w:p w14:paraId="156043E1" w14:textId="77777777" w:rsidR="00C00CDE" w:rsidRPr="00584363" w:rsidRDefault="00C00CDE" w:rsidP="00E94EE6">
      <w:pPr>
        <w:pStyle w:val="FootnoteText"/>
        <w:spacing w:line="360" w:lineRule="auto"/>
        <w:jc w:val="both"/>
        <w:rPr>
          <w:rFonts w:ascii="Times New Roman" w:hAnsi="Times New Roman"/>
          <w:sz w:val="24"/>
          <w:szCs w:val="24"/>
          <w:lang w:val="en-US"/>
        </w:rPr>
      </w:pPr>
      <w:r w:rsidRPr="004264F1">
        <w:rPr>
          <w:rFonts w:ascii="Times New Roman" w:hAnsi="Times New Roman"/>
          <w:sz w:val="24"/>
          <w:szCs w:val="24"/>
          <w:lang w:val="en-US"/>
        </w:rPr>
        <w:t xml:space="preserve">Regarding the variables controlling for bettors’ characteristics, the results suggest that younger bettors appear to be ‘smarter’ bettors because the coefficient on </w:t>
      </w:r>
      <w:r w:rsidRPr="004264F1">
        <w:rPr>
          <w:rFonts w:ascii="Times New Roman" w:hAnsi="Times New Roman"/>
          <w:i/>
          <w:sz w:val="24"/>
          <w:szCs w:val="24"/>
          <w:lang w:val="en-US"/>
        </w:rPr>
        <w:t>Age</w:t>
      </w:r>
      <w:r w:rsidRPr="004264F1">
        <w:rPr>
          <w:rFonts w:ascii="Times New Roman" w:hAnsi="Times New Roman"/>
          <w:sz w:val="24"/>
          <w:szCs w:val="24"/>
          <w:lang w:val="en-US"/>
        </w:rPr>
        <w:t xml:space="preserve"> is negative. </w:t>
      </w:r>
      <w:r w:rsidRPr="004264F1">
        <w:rPr>
          <w:rFonts w:ascii="Times New Roman" w:hAnsi="Times New Roman"/>
          <w:i/>
          <w:sz w:val="24"/>
          <w:szCs w:val="24"/>
          <w:lang w:val="en-US"/>
        </w:rPr>
        <w:t>Experience</w:t>
      </w:r>
      <w:r w:rsidRPr="004264F1">
        <w:rPr>
          <w:rFonts w:ascii="Times New Roman" w:hAnsi="Times New Roman"/>
          <w:sz w:val="24"/>
          <w:szCs w:val="24"/>
          <w:lang w:val="en-US"/>
        </w:rPr>
        <w:t xml:space="preserve"> indicates that high experience is positively associated with higher rate of return. However</w:t>
      </w:r>
      <w:r>
        <w:rPr>
          <w:rFonts w:ascii="Times New Roman" w:hAnsi="Times New Roman"/>
          <w:sz w:val="24"/>
          <w:szCs w:val="24"/>
          <w:lang w:val="en-US"/>
        </w:rPr>
        <w:t xml:space="preserve">, gender is insignificant. </w:t>
      </w:r>
    </w:p>
    <w:p w14:paraId="2918B94D" w14:textId="77777777" w:rsidR="00C00CDE" w:rsidRPr="00CF6813" w:rsidRDefault="00C00CDE" w:rsidP="00E94EE6">
      <w:pPr>
        <w:spacing w:after="0" w:line="360" w:lineRule="auto"/>
        <w:jc w:val="both"/>
        <w:rPr>
          <w:i w:val="0"/>
          <w:lang w:val="en-US"/>
        </w:rPr>
      </w:pPr>
    </w:p>
    <w:p w14:paraId="3489790B" w14:textId="77777777" w:rsidR="00C00CDE" w:rsidRPr="003736DF" w:rsidRDefault="00C00CDE" w:rsidP="00E94EE6">
      <w:pPr>
        <w:spacing w:after="0" w:line="360" w:lineRule="auto"/>
        <w:jc w:val="both"/>
        <w:rPr>
          <w:b/>
          <w:i w:val="0"/>
          <w:sz w:val="24"/>
          <w:szCs w:val="24"/>
          <w:lang w:val="en-GB"/>
        </w:rPr>
      </w:pPr>
      <w:r w:rsidRPr="003736DF">
        <w:rPr>
          <w:b/>
          <w:i w:val="0"/>
          <w:sz w:val="24"/>
          <w:szCs w:val="24"/>
          <w:lang w:val="en-GB"/>
        </w:rPr>
        <w:t>4. Discussion</w:t>
      </w:r>
    </w:p>
    <w:p w14:paraId="18F56C12" w14:textId="77777777" w:rsidR="00C00CDE" w:rsidRDefault="00C00CDE" w:rsidP="00E94EE6">
      <w:pPr>
        <w:spacing w:after="0" w:line="360" w:lineRule="auto"/>
        <w:jc w:val="both"/>
        <w:rPr>
          <w:i w:val="0"/>
          <w:sz w:val="24"/>
          <w:szCs w:val="24"/>
          <w:lang w:val="en-GB"/>
        </w:rPr>
      </w:pPr>
      <w:r>
        <w:rPr>
          <w:i w:val="0"/>
          <w:sz w:val="24"/>
          <w:szCs w:val="24"/>
          <w:lang w:val="en-GB"/>
        </w:rPr>
        <w:t>Our results indicate that late large bets earn higher returns. This suggests that timing alone does not signal ‘smart money’ but rather it is large bets placed late which characterise the behaviour of informed traders.  It could be argued that the relative profitability of the late high stakes bets is consistent with the ‘smart money’ hypothesis because bettors with superior information prefer to withhold their information to mitigate a large wager’s impact on odds (Sauer, 1998). Consequently, this is</w:t>
      </w:r>
      <w:r w:rsidRPr="004A0B41">
        <w:rPr>
          <w:i w:val="0"/>
          <w:color w:val="FF0000"/>
          <w:sz w:val="24"/>
          <w:szCs w:val="24"/>
          <w:lang w:val="en-GB"/>
        </w:rPr>
        <w:t xml:space="preserve"> </w:t>
      </w:r>
      <w:r w:rsidRPr="00563F4B">
        <w:rPr>
          <w:i w:val="0"/>
          <w:color w:val="000000" w:themeColor="text1"/>
          <w:sz w:val="24"/>
          <w:szCs w:val="24"/>
          <w:lang w:val="en-GB"/>
        </w:rPr>
        <w:t>consistent with the assumption that informed traders profit from noise traders in financial markets.</w:t>
      </w:r>
    </w:p>
    <w:p w14:paraId="1A3FB68C" w14:textId="77777777" w:rsidR="00C00CDE" w:rsidRDefault="00C00CDE" w:rsidP="00E94EE6">
      <w:pPr>
        <w:spacing w:after="0" w:line="360" w:lineRule="auto"/>
        <w:jc w:val="both"/>
        <w:rPr>
          <w:i w:val="0"/>
          <w:sz w:val="24"/>
          <w:szCs w:val="24"/>
          <w:lang w:val="en-GB"/>
        </w:rPr>
      </w:pPr>
    </w:p>
    <w:p w14:paraId="194AE1B1" w14:textId="77777777" w:rsidR="00C00CDE" w:rsidRPr="004264F1" w:rsidRDefault="00C00CDE" w:rsidP="00E94EE6">
      <w:pPr>
        <w:spacing w:after="0" w:line="360" w:lineRule="auto"/>
        <w:jc w:val="both"/>
        <w:rPr>
          <w:rFonts w:cs="Times New Roman"/>
          <w:b/>
          <w:i w:val="0"/>
          <w:sz w:val="24"/>
          <w:szCs w:val="24"/>
          <w:lang w:val="en-GB"/>
        </w:rPr>
      </w:pPr>
      <w:r w:rsidRPr="004264F1">
        <w:rPr>
          <w:rFonts w:cs="Times New Roman"/>
          <w:b/>
          <w:i w:val="0"/>
          <w:sz w:val="24"/>
          <w:szCs w:val="24"/>
          <w:lang w:val="en-GB"/>
        </w:rPr>
        <w:t>Acknowledgements</w:t>
      </w:r>
    </w:p>
    <w:p w14:paraId="68C10C0E" w14:textId="77777777" w:rsidR="00C00CDE" w:rsidRPr="00A46A9F" w:rsidRDefault="00C00CDE" w:rsidP="00E94EE6">
      <w:pPr>
        <w:pStyle w:val="FootnoteText"/>
        <w:spacing w:line="360" w:lineRule="auto"/>
        <w:jc w:val="both"/>
        <w:rPr>
          <w:rFonts w:ascii="Times New Roman" w:hAnsi="Times New Roman"/>
          <w:sz w:val="24"/>
          <w:szCs w:val="24"/>
        </w:rPr>
      </w:pPr>
      <w:r w:rsidRPr="004264F1">
        <w:rPr>
          <w:rFonts w:ascii="Times New Roman" w:hAnsi="Times New Roman"/>
          <w:sz w:val="24"/>
          <w:szCs w:val="24"/>
        </w:rPr>
        <w:t>The authors wish to thank Pertti Koskenniemi and Reijo Antila from Veikkaus Ltd (formerly Fintoto Ltd) for providing the data. The authors also acknowledge The Emil Aaltonen Foundation and the Finnish Foundation for Alcohol Studies for financial support.</w:t>
      </w:r>
    </w:p>
    <w:p w14:paraId="50F85D3C" w14:textId="77777777" w:rsidR="00C00CDE" w:rsidRDefault="00C00CDE" w:rsidP="00E94EE6">
      <w:pPr>
        <w:spacing w:after="0" w:line="360" w:lineRule="auto"/>
        <w:jc w:val="both"/>
        <w:rPr>
          <w:i w:val="0"/>
          <w:sz w:val="24"/>
          <w:szCs w:val="24"/>
          <w:lang w:val="en-GB"/>
        </w:rPr>
      </w:pPr>
    </w:p>
    <w:p w14:paraId="056B7F14" w14:textId="77777777" w:rsidR="00C00CDE" w:rsidRPr="008A4004" w:rsidRDefault="00C00CDE" w:rsidP="00E94EE6">
      <w:pPr>
        <w:spacing w:after="0" w:line="360" w:lineRule="auto"/>
        <w:jc w:val="both"/>
        <w:rPr>
          <w:b/>
          <w:i w:val="0"/>
          <w:sz w:val="24"/>
          <w:szCs w:val="24"/>
          <w:lang w:val="en-GB"/>
        </w:rPr>
      </w:pPr>
      <w:r w:rsidRPr="008A4004">
        <w:rPr>
          <w:b/>
          <w:i w:val="0"/>
          <w:sz w:val="24"/>
          <w:szCs w:val="24"/>
          <w:lang w:val="en-GB"/>
        </w:rPr>
        <w:t>References</w:t>
      </w:r>
    </w:p>
    <w:p w14:paraId="07F6C4F6" w14:textId="77777777" w:rsidR="00C00CDE" w:rsidRPr="00F5715A"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Black, F. (1986), Noise, The Journal of Finance, 41(3), 529-543.</w:t>
      </w:r>
    </w:p>
    <w:p w14:paraId="20EEC8AB" w14:textId="77777777" w:rsidR="00C00CDE"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Bradley, I. (2003), The representative bettor, bet size, and prospect theory</w:t>
      </w:r>
      <w:r>
        <w:rPr>
          <w:i w:val="0"/>
          <w:color w:val="000000" w:themeColor="text1"/>
          <w:sz w:val="24"/>
          <w:szCs w:val="24"/>
          <w:lang w:val="en-GB"/>
        </w:rPr>
        <w:t>,</w:t>
      </w:r>
      <w:r w:rsidRPr="00F5715A">
        <w:rPr>
          <w:i w:val="0"/>
          <w:color w:val="000000" w:themeColor="text1"/>
          <w:sz w:val="24"/>
          <w:szCs w:val="24"/>
          <w:lang w:val="en-GB"/>
        </w:rPr>
        <w:t xml:space="preserve"> Economics Letters, 78, 409-413.</w:t>
      </w:r>
    </w:p>
    <w:p w14:paraId="0394FD8D" w14:textId="77777777" w:rsidR="00C00CDE" w:rsidRPr="00F5715A"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Fees</w:t>
      </w:r>
      <w:r>
        <w:rPr>
          <w:i w:val="0"/>
          <w:color w:val="000000" w:themeColor="text1"/>
          <w:sz w:val="24"/>
          <w:szCs w:val="24"/>
          <w:lang w:val="en-GB"/>
        </w:rPr>
        <w:t>s</w:t>
      </w:r>
      <w:r w:rsidRPr="00F5715A">
        <w:rPr>
          <w:i w:val="0"/>
          <w:color w:val="000000" w:themeColor="text1"/>
          <w:sz w:val="24"/>
          <w:szCs w:val="24"/>
          <w:lang w:val="en-GB"/>
        </w:rPr>
        <w:t>, E., M</w:t>
      </w:r>
      <w:r w:rsidRPr="00F5715A">
        <w:rPr>
          <w:rFonts w:cs="Times New Roman"/>
          <w:i w:val="0"/>
          <w:color w:val="000000" w:themeColor="text1"/>
          <w:sz w:val="24"/>
          <w:szCs w:val="24"/>
          <w:lang w:val="en-GB"/>
        </w:rPr>
        <w:t>ü</w:t>
      </w:r>
      <w:r w:rsidRPr="00F5715A">
        <w:rPr>
          <w:i w:val="0"/>
          <w:color w:val="000000" w:themeColor="text1"/>
          <w:sz w:val="24"/>
          <w:szCs w:val="24"/>
          <w:lang w:val="en-GB"/>
        </w:rPr>
        <w:t>ller, H. &amp; Schumacher, C. (2016), Estimating risk preferences of bettors with different bet sizes, European Journal of Operations Research, 249, 1102-1112.</w:t>
      </w:r>
    </w:p>
    <w:p w14:paraId="05CFAAE5" w14:textId="77777777" w:rsidR="00C00CDE" w:rsidRPr="00F5715A"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Gandhi, A. &amp; Serrano-Padial, R. (2015), Does Belief Heterogeneity Explain Asset Prices: The Case of the Longshot Bias</w:t>
      </w:r>
      <w:r>
        <w:rPr>
          <w:i w:val="0"/>
          <w:color w:val="000000" w:themeColor="text1"/>
          <w:sz w:val="24"/>
          <w:szCs w:val="24"/>
          <w:lang w:val="en-GB"/>
        </w:rPr>
        <w:t>,</w:t>
      </w:r>
      <w:r w:rsidRPr="00F5715A">
        <w:rPr>
          <w:i w:val="0"/>
          <w:color w:val="000000" w:themeColor="text1"/>
          <w:sz w:val="24"/>
          <w:szCs w:val="24"/>
          <w:lang w:val="en-GB"/>
        </w:rPr>
        <w:t xml:space="preserve"> The Review of Economic Studies, 82(1), 156-186.</w:t>
      </w:r>
    </w:p>
    <w:p w14:paraId="0ADBCE2A" w14:textId="77777777" w:rsidR="00C00CDE"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Gandar, J.M., Zuber, R.A. &amp; Johnson, R.S. (2001), Searching for the favourite-longshot bias down under: an examination of the New Zealand pari-mutuel betting market</w:t>
      </w:r>
      <w:r>
        <w:rPr>
          <w:i w:val="0"/>
          <w:color w:val="000000" w:themeColor="text1"/>
          <w:sz w:val="24"/>
          <w:szCs w:val="24"/>
          <w:lang w:val="en-GB"/>
        </w:rPr>
        <w:t>,</w:t>
      </w:r>
      <w:r w:rsidRPr="00F5715A">
        <w:rPr>
          <w:i w:val="0"/>
          <w:color w:val="000000" w:themeColor="text1"/>
          <w:sz w:val="24"/>
          <w:szCs w:val="24"/>
          <w:lang w:val="en-GB"/>
        </w:rPr>
        <w:t xml:space="preserve"> Applied Economics, 33(13), 1621-1629.</w:t>
      </w:r>
    </w:p>
    <w:p w14:paraId="2D80D2DD" w14:textId="77777777" w:rsidR="00C00CDE" w:rsidRDefault="00C00CDE" w:rsidP="00E94EE6">
      <w:pPr>
        <w:spacing w:after="0" w:line="360" w:lineRule="auto"/>
        <w:jc w:val="both"/>
        <w:rPr>
          <w:rFonts w:cs="Times New Roman"/>
          <w:i w:val="0"/>
          <w:sz w:val="24"/>
          <w:szCs w:val="24"/>
          <w:lang w:val="en-US"/>
        </w:rPr>
      </w:pPr>
      <w:r w:rsidRPr="00F03BA1">
        <w:rPr>
          <w:i w:val="0"/>
          <w:sz w:val="24"/>
          <w:szCs w:val="24"/>
          <w:lang w:val="en-US"/>
        </w:rPr>
        <w:t>Ottaviani, M. and S</w:t>
      </w:r>
      <w:r w:rsidRPr="00F03BA1">
        <w:rPr>
          <w:rFonts w:cs="Times New Roman"/>
          <w:i w:val="0"/>
          <w:sz w:val="24"/>
          <w:szCs w:val="24"/>
          <w:lang w:val="en-US"/>
        </w:rPr>
        <w:t>ørensen, P.N. (2009), Surprised by the Parimutuel Odds?</w:t>
      </w:r>
      <w:r>
        <w:rPr>
          <w:rFonts w:cs="Times New Roman"/>
          <w:i w:val="0"/>
          <w:sz w:val="24"/>
          <w:szCs w:val="24"/>
          <w:lang w:val="en-US"/>
        </w:rPr>
        <w:t>,</w:t>
      </w:r>
      <w:r w:rsidRPr="00F03BA1">
        <w:rPr>
          <w:rFonts w:cs="Times New Roman"/>
          <w:i w:val="0"/>
          <w:sz w:val="24"/>
          <w:szCs w:val="24"/>
          <w:lang w:val="en-US"/>
        </w:rPr>
        <w:t xml:space="preserve"> </w:t>
      </w:r>
      <w:r>
        <w:rPr>
          <w:rFonts w:cs="Times New Roman"/>
          <w:i w:val="0"/>
          <w:sz w:val="24"/>
          <w:szCs w:val="24"/>
          <w:lang w:val="en-US"/>
        </w:rPr>
        <w:t>The American Economic Review, 99(5), 2129-2134.</w:t>
      </w:r>
    </w:p>
    <w:p w14:paraId="42262534" w14:textId="77777777" w:rsidR="00C00CDE" w:rsidRDefault="00C00CDE" w:rsidP="00E94EE6">
      <w:pPr>
        <w:spacing w:after="0" w:line="360" w:lineRule="auto"/>
        <w:jc w:val="both"/>
        <w:rPr>
          <w:rFonts w:cs="Times New Roman"/>
          <w:i w:val="0"/>
          <w:sz w:val="24"/>
          <w:szCs w:val="24"/>
          <w:lang w:val="en-US"/>
        </w:rPr>
      </w:pPr>
      <w:r>
        <w:rPr>
          <w:rFonts w:cs="Times New Roman"/>
          <w:i w:val="0"/>
          <w:sz w:val="24"/>
          <w:szCs w:val="24"/>
          <w:lang w:val="en-US"/>
        </w:rPr>
        <w:t>Sauer, R. (1998) The Economics of Wagering Markets, Journal of Economic Literature, 36, 2021-2064.</w:t>
      </w:r>
    </w:p>
    <w:p w14:paraId="4C6E0937" w14:textId="77777777" w:rsidR="00C00CDE" w:rsidRPr="00F03BA1" w:rsidRDefault="00C00CDE" w:rsidP="00E94EE6">
      <w:pPr>
        <w:spacing w:after="0" w:line="360" w:lineRule="auto"/>
        <w:jc w:val="both"/>
        <w:rPr>
          <w:i w:val="0"/>
          <w:color w:val="FF0000"/>
          <w:sz w:val="24"/>
          <w:szCs w:val="24"/>
          <w:lang w:val="en-US"/>
        </w:rPr>
      </w:pPr>
      <w:r>
        <w:rPr>
          <w:rFonts w:cs="Times New Roman"/>
          <w:i w:val="0"/>
          <w:sz w:val="24"/>
          <w:szCs w:val="24"/>
          <w:lang w:val="en-US"/>
        </w:rPr>
        <w:t>Shleifer, A. &amp; Summers L. (1990), The Noise Trader Approach to Finance, Journal of Economic Perspectives, 4(2), 19-33.</w:t>
      </w:r>
    </w:p>
    <w:p w14:paraId="34646E34" w14:textId="77777777" w:rsidR="00C00CDE" w:rsidRDefault="00C00CDE" w:rsidP="00E94EE6">
      <w:pPr>
        <w:spacing w:after="0" w:line="360" w:lineRule="auto"/>
        <w:jc w:val="both"/>
        <w:rPr>
          <w:i w:val="0"/>
          <w:color w:val="000000" w:themeColor="text1"/>
          <w:sz w:val="24"/>
          <w:szCs w:val="24"/>
          <w:lang w:val="en-GB"/>
        </w:rPr>
      </w:pPr>
      <w:r w:rsidRPr="00F5715A">
        <w:rPr>
          <w:i w:val="0"/>
          <w:color w:val="000000" w:themeColor="text1"/>
          <w:sz w:val="24"/>
          <w:szCs w:val="24"/>
          <w:lang w:val="en-GB"/>
        </w:rPr>
        <w:t>Sung, M.-C., Johnson, J.E.V. &amp; Peirson, J. (2012), Discovering a Profitable Trading Strategy in an Apparently Efficient Market: Exploiting the Actions of Less Informed Traders in Speculative Markets, Journal of Business Finance &amp; Accounting, 39(7), 1131</w:t>
      </w:r>
      <w:r>
        <w:rPr>
          <w:i w:val="0"/>
          <w:color w:val="000000" w:themeColor="text1"/>
          <w:sz w:val="24"/>
          <w:szCs w:val="24"/>
          <w:lang w:val="en-GB"/>
        </w:rPr>
        <w:t>-</w:t>
      </w:r>
      <w:r w:rsidRPr="00F5715A">
        <w:rPr>
          <w:i w:val="0"/>
          <w:color w:val="000000" w:themeColor="text1"/>
          <w:sz w:val="24"/>
          <w:szCs w:val="24"/>
          <w:lang w:val="en-GB"/>
        </w:rPr>
        <w:t>1159.</w:t>
      </w:r>
    </w:p>
    <w:p w14:paraId="0BE497F6" w14:textId="77777777" w:rsidR="00C00CDE" w:rsidRPr="00F5715A" w:rsidRDefault="00C00CDE" w:rsidP="00E94EE6">
      <w:pPr>
        <w:spacing w:after="0" w:line="360" w:lineRule="auto"/>
        <w:jc w:val="both"/>
        <w:rPr>
          <w:i w:val="0"/>
          <w:color w:val="000000" w:themeColor="text1"/>
          <w:sz w:val="24"/>
          <w:szCs w:val="24"/>
          <w:lang w:val="en-GB"/>
        </w:rPr>
      </w:pPr>
      <w:r>
        <w:rPr>
          <w:i w:val="0"/>
          <w:color w:val="000000" w:themeColor="text1"/>
          <w:sz w:val="24"/>
          <w:szCs w:val="24"/>
          <w:lang w:val="en-GB"/>
        </w:rPr>
        <w:t>Thaler, R.H. &amp; Ziemba, W.T. (1988) Anomalies: Parimutuel betting markets: Racetracks and lotteries. Journal of Economic Perspectives, 2(2), 161-174.</w:t>
      </w:r>
    </w:p>
    <w:sectPr w:rsidR="00C00CDE" w:rsidRPr="00F5715A" w:rsidSect="00645257">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5F7CE" w14:textId="77777777" w:rsidR="002D50EB" w:rsidRDefault="002D50EB" w:rsidP="00C00CDE">
      <w:pPr>
        <w:spacing w:after="0" w:line="240" w:lineRule="auto"/>
      </w:pPr>
      <w:r>
        <w:separator/>
      </w:r>
    </w:p>
  </w:endnote>
  <w:endnote w:type="continuationSeparator" w:id="0">
    <w:p w14:paraId="745053B0" w14:textId="77777777" w:rsidR="002D50EB" w:rsidRDefault="002D50EB" w:rsidP="00C0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404083"/>
      <w:docPartObj>
        <w:docPartGallery w:val="Page Numbers (Bottom of Page)"/>
        <w:docPartUnique/>
      </w:docPartObj>
    </w:sdtPr>
    <w:sdtEndPr>
      <w:rPr>
        <w:noProof/>
      </w:rPr>
    </w:sdtEndPr>
    <w:sdtContent>
      <w:p w14:paraId="3D3487E8" w14:textId="27842598" w:rsidR="00645257" w:rsidRDefault="00645257">
        <w:pPr>
          <w:pStyle w:val="Footer"/>
          <w:jc w:val="right"/>
        </w:pPr>
        <w:r>
          <w:fldChar w:fldCharType="begin"/>
        </w:r>
        <w:r>
          <w:instrText xml:space="preserve"> PAGE   \* MERGEFORMAT </w:instrText>
        </w:r>
        <w:r>
          <w:fldChar w:fldCharType="separate"/>
        </w:r>
        <w:r w:rsidR="00850CA3">
          <w:rPr>
            <w:noProof/>
          </w:rPr>
          <w:t>6</w:t>
        </w:r>
        <w:r>
          <w:rPr>
            <w:noProof/>
          </w:rPr>
          <w:fldChar w:fldCharType="end"/>
        </w:r>
      </w:p>
    </w:sdtContent>
  </w:sdt>
  <w:p w14:paraId="72CAD563" w14:textId="77777777" w:rsidR="00645257" w:rsidRDefault="00645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CCBE5" w14:textId="77777777" w:rsidR="002D50EB" w:rsidRDefault="002D50EB" w:rsidP="00C00CDE">
      <w:pPr>
        <w:spacing w:after="0" w:line="240" w:lineRule="auto"/>
      </w:pPr>
      <w:r>
        <w:separator/>
      </w:r>
    </w:p>
  </w:footnote>
  <w:footnote w:type="continuationSeparator" w:id="0">
    <w:p w14:paraId="187D5333" w14:textId="77777777" w:rsidR="002D50EB" w:rsidRDefault="002D50EB" w:rsidP="00C00CDE">
      <w:pPr>
        <w:spacing w:after="0" w:line="240" w:lineRule="auto"/>
      </w:pPr>
      <w:r>
        <w:continuationSeparator/>
      </w:r>
    </w:p>
  </w:footnote>
  <w:footnote w:id="1">
    <w:p w14:paraId="52ECACB0" w14:textId="77777777" w:rsidR="00C00CDE" w:rsidRPr="00682243" w:rsidRDefault="00C00CDE" w:rsidP="00C00CDE">
      <w:pPr>
        <w:pStyle w:val="FootnoteText"/>
        <w:rPr>
          <w:rFonts w:ascii="Times New Roman" w:hAnsi="Times New Roman"/>
          <w:lang w:val="en-US"/>
        </w:rPr>
      </w:pPr>
      <w:r w:rsidRPr="004264F1">
        <w:rPr>
          <w:rStyle w:val="FootnoteReference"/>
          <w:rFonts w:ascii="Times New Roman" w:hAnsi="Times New Roman"/>
        </w:rPr>
        <w:footnoteRef/>
      </w:r>
      <w:r w:rsidRPr="004264F1">
        <w:rPr>
          <w:rFonts w:ascii="Times New Roman" w:hAnsi="Times New Roman"/>
          <w:lang w:val="en-US"/>
        </w:rPr>
        <w:t xml:space="preserve"> The between-effects model yielded results that were qualitatively similar to the random-effects model.</w:t>
      </w:r>
    </w:p>
  </w:footnote>
  <w:footnote w:id="2">
    <w:p w14:paraId="0274AF1E" w14:textId="75B5C320" w:rsidR="00A01768" w:rsidRPr="00A01768" w:rsidRDefault="00A01768" w:rsidP="00A01768">
      <w:pPr>
        <w:pStyle w:val="FootnoteText"/>
      </w:pPr>
      <w:r>
        <w:rPr>
          <w:rStyle w:val="FootnoteReference"/>
        </w:rPr>
        <w:footnoteRef/>
      </w:r>
      <w:r>
        <w:t xml:space="preserve"> </w:t>
      </w:r>
      <w:r>
        <w:rPr>
          <w:rFonts w:ascii="Times New Roman" w:hAnsi="Times New Roman"/>
        </w:rPr>
        <w:t>Detailed descriptive statistics available upon request from the authors</w:t>
      </w:r>
      <w:r>
        <w:rPr>
          <w:rFonts w:ascii="Times New Roman" w:hAnsi="Times New Roman"/>
          <w:lang w:val="en-US"/>
        </w:rPr>
        <w:t>.</w:t>
      </w:r>
    </w:p>
  </w:footnote>
  <w:footnote w:id="3">
    <w:p w14:paraId="59082416" w14:textId="2C29C068" w:rsidR="00EB62B4" w:rsidRPr="00EB62B4" w:rsidRDefault="00EB62B4">
      <w:pPr>
        <w:pStyle w:val="FootnoteText"/>
        <w:rPr>
          <w:rFonts w:ascii="Times New Roman" w:hAnsi="Times New Roman"/>
          <w:lang w:val="en-US"/>
        </w:rPr>
      </w:pPr>
      <w:r w:rsidRPr="00EB62B4">
        <w:rPr>
          <w:rStyle w:val="FootnoteReference"/>
          <w:rFonts w:ascii="Times New Roman" w:hAnsi="Times New Roman"/>
        </w:rPr>
        <w:footnoteRef/>
      </w:r>
      <w:r w:rsidRPr="00EB62B4">
        <w:rPr>
          <w:rFonts w:ascii="Times New Roman" w:hAnsi="Times New Roman"/>
        </w:rPr>
        <w:t xml:space="preserve"> </w:t>
      </w:r>
      <w:r w:rsidRPr="005B3A64">
        <w:rPr>
          <w:rFonts w:ascii="Times New Roman" w:hAnsi="Times New Roman"/>
        </w:rPr>
        <w:t>We also estimated the models using bet size relative to the total betting volume as a</w:t>
      </w:r>
      <w:r w:rsidR="00FF50CA" w:rsidRPr="005B3A64">
        <w:rPr>
          <w:rFonts w:ascii="Times New Roman" w:hAnsi="Times New Roman"/>
        </w:rPr>
        <w:t xml:space="preserve">n alternative </w:t>
      </w:r>
      <w:r w:rsidRPr="005B3A64">
        <w:rPr>
          <w:rFonts w:ascii="Times New Roman" w:hAnsi="Times New Roman"/>
        </w:rPr>
        <w:t xml:space="preserve">focus variable. The results were qualitatively similar to the ones reported here though the relative bet amount was statistically significant in Model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B6"/>
    <w:rsid w:val="0008438A"/>
    <w:rsid w:val="00090CA4"/>
    <w:rsid w:val="000A7499"/>
    <w:rsid w:val="000B67E7"/>
    <w:rsid w:val="0019557F"/>
    <w:rsid w:val="001D682C"/>
    <w:rsid w:val="001F0E49"/>
    <w:rsid w:val="002D50EB"/>
    <w:rsid w:val="00347B2D"/>
    <w:rsid w:val="00364D33"/>
    <w:rsid w:val="00383C5D"/>
    <w:rsid w:val="003F4B81"/>
    <w:rsid w:val="00483BE4"/>
    <w:rsid w:val="00570529"/>
    <w:rsid w:val="005B3A64"/>
    <w:rsid w:val="005C3042"/>
    <w:rsid w:val="005C6D5A"/>
    <w:rsid w:val="00645257"/>
    <w:rsid w:val="00681368"/>
    <w:rsid w:val="00682B0B"/>
    <w:rsid w:val="0073018E"/>
    <w:rsid w:val="007A336F"/>
    <w:rsid w:val="007E700F"/>
    <w:rsid w:val="00850CA3"/>
    <w:rsid w:val="009217FB"/>
    <w:rsid w:val="009A1026"/>
    <w:rsid w:val="009B1D04"/>
    <w:rsid w:val="00A01768"/>
    <w:rsid w:val="00B238AC"/>
    <w:rsid w:val="00B56ED2"/>
    <w:rsid w:val="00B65580"/>
    <w:rsid w:val="00B84ED0"/>
    <w:rsid w:val="00C00CDE"/>
    <w:rsid w:val="00C70D23"/>
    <w:rsid w:val="00C773CC"/>
    <w:rsid w:val="00C91277"/>
    <w:rsid w:val="00D815B6"/>
    <w:rsid w:val="00E94EE6"/>
    <w:rsid w:val="00EB62B4"/>
    <w:rsid w:val="00F05B9A"/>
    <w:rsid w:val="00F5120E"/>
    <w:rsid w:val="00F63B46"/>
    <w:rsid w:val="00F963B6"/>
    <w:rsid w:val="00FD54F4"/>
    <w:rsid w:val="00FF5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4C170F59"/>
  <w15:chartTrackingRefBased/>
  <w15:docId w15:val="{3D59DAFA-B4C1-40F1-A24D-C56E7FA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DE"/>
    <w:rPr>
      <w:rFonts w:ascii="Times New Roman" w:hAnsi="Times New Roman"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00CDE"/>
    <w:pPr>
      <w:spacing w:after="0" w:line="240" w:lineRule="auto"/>
    </w:pPr>
    <w:rPr>
      <w:rFonts w:asciiTheme="minorHAnsi" w:eastAsiaTheme="minorEastAsia" w:hAnsiTheme="minorHAnsi" w:cs="Times New Roman"/>
      <w:i w:val="0"/>
      <w:sz w:val="20"/>
      <w:szCs w:val="20"/>
      <w:lang w:val="en-GB" w:eastAsia="fi-FI"/>
    </w:rPr>
  </w:style>
  <w:style w:type="character" w:customStyle="1" w:styleId="FootnoteTextChar">
    <w:name w:val="Footnote Text Char"/>
    <w:basedOn w:val="DefaultParagraphFont"/>
    <w:link w:val="FootnoteText"/>
    <w:rsid w:val="00C00CDE"/>
    <w:rPr>
      <w:rFonts w:eastAsiaTheme="minorEastAsia" w:cs="Times New Roman"/>
      <w:sz w:val="20"/>
      <w:szCs w:val="20"/>
      <w:lang w:val="en-GB" w:eastAsia="fi-FI"/>
    </w:rPr>
  </w:style>
  <w:style w:type="character" w:styleId="FootnoteReference">
    <w:name w:val="footnote reference"/>
    <w:basedOn w:val="DefaultParagraphFont"/>
    <w:uiPriority w:val="99"/>
    <w:semiHidden/>
    <w:unhideWhenUsed/>
    <w:rsid w:val="00C00CDE"/>
    <w:rPr>
      <w:vertAlign w:val="superscript"/>
    </w:rPr>
  </w:style>
  <w:style w:type="table" w:styleId="GridTable1Light-Accent3">
    <w:name w:val="Grid Table 1 Light Accent 3"/>
    <w:basedOn w:val="TableNormal"/>
    <w:uiPriority w:val="46"/>
    <w:rsid w:val="00C00CD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C0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CDE"/>
    <w:rPr>
      <w:rFonts w:ascii="Times New Roman" w:hAnsi="Times New Roman" w:cstheme="minorHAnsi"/>
      <w:i/>
    </w:rPr>
  </w:style>
  <w:style w:type="character" w:styleId="CommentReference">
    <w:name w:val="annotation reference"/>
    <w:basedOn w:val="DefaultParagraphFont"/>
    <w:uiPriority w:val="99"/>
    <w:semiHidden/>
    <w:unhideWhenUsed/>
    <w:rsid w:val="00C00CDE"/>
    <w:rPr>
      <w:sz w:val="16"/>
      <w:szCs w:val="16"/>
    </w:rPr>
  </w:style>
  <w:style w:type="paragraph" w:styleId="CommentText">
    <w:name w:val="annotation text"/>
    <w:basedOn w:val="Normal"/>
    <w:link w:val="CommentTextChar"/>
    <w:uiPriority w:val="99"/>
    <w:semiHidden/>
    <w:unhideWhenUsed/>
    <w:rsid w:val="00C00CDE"/>
    <w:pPr>
      <w:spacing w:line="240" w:lineRule="auto"/>
    </w:pPr>
    <w:rPr>
      <w:sz w:val="20"/>
      <w:szCs w:val="20"/>
    </w:rPr>
  </w:style>
  <w:style w:type="character" w:customStyle="1" w:styleId="CommentTextChar">
    <w:name w:val="Comment Text Char"/>
    <w:basedOn w:val="DefaultParagraphFont"/>
    <w:link w:val="CommentText"/>
    <w:uiPriority w:val="99"/>
    <w:semiHidden/>
    <w:rsid w:val="00C00CDE"/>
    <w:rPr>
      <w:rFonts w:ascii="Times New Roman" w:hAnsi="Times New Roman" w:cstheme="minorHAnsi"/>
      <w:i/>
      <w:sz w:val="20"/>
      <w:szCs w:val="20"/>
    </w:rPr>
  </w:style>
  <w:style w:type="table" w:styleId="TableGrid">
    <w:name w:val="Table Grid"/>
    <w:basedOn w:val="TableNormal"/>
    <w:uiPriority w:val="39"/>
    <w:rsid w:val="00C00CDE"/>
    <w:pPr>
      <w:spacing w:after="0" w:line="240" w:lineRule="auto"/>
    </w:pPr>
    <w:rPr>
      <w:rFonts w:ascii="Times New Roman" w:hAnsi="Times New Roman" w:cstheme="minorHAnsi"/>
      <w: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0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CDE"/>
    <w:rPr>
      <w:rFonts w:ascii="Segoe UI" w:hAnsi="Segoe UI" w:cs="Segoe UI"/>
      <w:i/>
      <w:sz w:val="18"/>
      <w:szCs w:val="18"/>
    </w:rPr>
  </w:style>
  <w:style w:type="paragraph" w:styleId="CommentSubject">
    <w:name w:val="annotation subject"/>
    <w:basedOn w:val="CommentText"/>
    <w:next w:val="CommentText"/>
    <w:link w:val="CommentSubjectChar"/>
    <w:uiPriority w:val="99"/>
    <w:semiHidden/>
    <w:unhideWhenUsed/>
    <w:rsid w:val="0008438A"/>
    <w:rPr>
      <w:b/>
      <w:bCs/>
    </w:rPr>
  </w:style>
  <w:style w:type="character" w:customStyle="1" w:styleId="CommentSubjectChar">
    <w:name w:val="Comment Subject Char"/>
    <w:basedOn w:val="CommentTextChar"/>
    <w:link w:val="CommentSubject"/>
    <w:uiPriority w:val="99"/>
    <w:semiHidden/>
    <w:rsid w:val="0008438A"/>
    <w:rPr>
      <w:rFonts w:ascii="Times New Roman" w:hAnsi="Times New Roman" w:cstheme="minorHAnsi"/>
      <w:b/>
      <w:bCs/>
      <w:i/>
      <w:sz w:val="20"/>
      <w:szCs w:val="20"/>
    </w:rPr>
  </w:style>
  <w:style w:type="paragraph" w:styleId="Header">
    <w:name w:val="header"/>
    <w:basedOn w:val="Normal"/>
    <w:link w:val="HeaderChar"/>
    <w:uiPriority w:val="99"/>
    <w:unhideWhenUsed/>
    <w:rsid w:val="009A1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026"/>
    <w:rPr>
      <w:rFonts w:ascii="Times New Roman" w:hAnsi="Times New Roman" w:cs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1F894-6EDF-4781-8F77-0452367A8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2031</Words>
  <Characters>11582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 Saastamoinen</dc:creator>
  <cp:keywords/>
  <dc:description/>
  <cp:lastModifiedBy>Forrest, David</cp:lastModifiedBy>
  <cp:revision>2</cp:revision>
  <dcterms:created xsi:type="dcterms:W3CDTF">2018-09-26T14:02:00Z</dcterms:created>
  <dcterms:modified xsi:type="dcterms:W3CDTF">2018-09-26T14:02:00Z</dcterms:modified>
</cp:coreProperties>
</file>