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FB0E3" w14:textId="59025197" w:rsidR="00264EA6" w:rsidRDefault="0063231F" w:rsidP="00F93772">
      <w:pPr>
        <w:spacing w:after="0" w:line="360" w:lineRule="auto"/>
        <w:rPr>
          <w:rFonts w:ascii="Arial" w:hAnsi="Arial" w:cs="Arial"/>
          <w:b/>
        </w:rPr>
      </w:pPr>
      <w:bookmarkStart w:id="0" w:name="_GoBack"/>
      <w:bookmarkEnd w:id="0"/>
      <w:r>
        <w:rPr>
          <w:rFonts w:ascii="Arial" w:hAnsi="Arial" w:cs="Arial"/>
          <w:b/>
        </w:rPr>
        <w:t xml:space="preserve">Article title: </w:t>
      </w:r>
      <w:r w:rsidR="00557EAA" w:rsidRPr="00557EAA">
        <w:rPr>
          <w:rFonts w:ascii="Arial" w:hAnsi="Arial" w:cs="Arial"/>
          <w:b/>
        </w:rPr>
        <w:t>Comparative effectiveness from a single</w:t>
      </w:r>
      <w:r w:rsidR="007B0B7C">
        <w:rPr>
          <w:rFonts w:ascii="Arial" w:hAnsi="Arial" w:cs="Arial"/>
          <w:b/>
        </w:rPr>
        <w:t>-</w:t>
      </w:r>
      <w:r w:rsidR="00557EAA" w:rsidRPr="00557EAA">
        <w:rPr>
          <w:rFonts w:ascii="Arial" w:hAnsi="Arial" w:cs="Arial"/>
          <w:b/>
        </w:rPr>
        <w:t>arm trial and real</w:t>
      </w:r>
      <w:r w:rsidR="007B0B7C">
        <w:rPr>
          <w:rFonts w:ascii="Arial" w:hAnsi="Arial" w:cs="Arial"/>
          <w:b/>
        </w:rPr>
        <w:t>-</w:t>
      </w:r>
      <w:r w:rsidR="00557EAA" w:rsidRPr="00557EAA">
        <w:rPr>
          <w:rFonts w:ascii="Arial" w:hAnsi="Arial" w:cs="Arial"/>
          <w:b/>
        </w:rPr>
        <w:t>world data: alectinib versus ceritinib</w:t>
      </w:r>
      <w:r w:rsidR="00557EAA" w:rsidRPr="00557EAA" w:rsidDel="00A10D8C">
        <w:rPr>
          <w:rFonts w:ascii="Arial" w:hAnsi="Arial" w:cs="Arial"/>
          <w:b/>
        </w:rPr>
        <w:t xml:space="preserve"> </w:t>
      </w:r>
    </w:p>
    <w:p w14:paraId="6AD422EB" w14:textId="2F327646" w:rsidR="0077320C" w:rsidRDefault="0077320C" w:rsidP="00F93772">
      <w:pPr>
        <w:spacing w:after="0" w:line="360" w:lineRule="auto"/>
        <w:rPr>
          <w:rFonts w:ascii="Arial" w:hAnsi="Arial" w:cs="Arial"/>
          <w:b/>
        </w:rPr>
      </w:pPr>
    </w:p>
    <w:p w14:paraId="1C5537B9" w14:textId="24385482" w:rsidR="00C2704A" w:rsidRDefault="0063231F" w:rsidP="00F93772">
      <w:pPr>
        <w:spacing w:after="0" w:line="360" w:lineRule="auto"/>
        <w:rPr>
          <w:rFonts w:ascii="Arial" w:hAnsi="Arial" w:cs="Arial"/>
          <w:b/>
        </w:rPr>
      </w:pPr>
      <w:r>
        <w:rPr>
          <w:rFonts w:ascii="Arial" w:hAnsi="Arial" w:cs="Arial"/>
          <w:b/>
        </w:rPr>
        <w:t>Short running title:</w:t>
      </w:r>
      <w:r w:rsidR="00C2704A" w:rsidRPr="00C2704A">
        <w:t xml:space="preserve"> </w:t>
      </w:r>
      <w:r w:rsidR="00C2704A" w:rsidRPr="00C2704A">
        <w:rPr>
          <w:rFonts w:ascii="Arial" w:hAnsi="Arial" w:cs="Arial"/>
          <w:b/>
        </w:rPr>
        <w:t xml:space="preserve">Comparative effectiveness </w:t>
      </w:r>
      <w:r w:rsidR="000A37EB">
        <w:rPr>
          <w:rFonts w:ascii="Arial" w:hAnsi="Arial" w:cs="Arial"/>
          <w:b/>
        </w:rPr>
        <w:t>of</w:t>
      </w:r>
      <w:r w:rsidR="00C2704A" w:rsidRPr="00C2704A">
        <w:rPr>
          <w:rFonts w:ascii="Arial" w:hAnsi="Arial" w:cs="Arial"/>
          <w:b/>
        </w:rPr>
        <w:t xml:space="preserve"> a single</w:t>
      </w:r>
      <w:r w:rsidR="007B0B7C">
        <w:rPr>
          <w:rFonts w:ascii="Arial" w:hAnsi="Arial" w:cs="Arial"/>
          <w:b/>
        </w:rPr>
        <w:t>-</w:t>
      </w:r>
      <w:r w:rsidR="00C2704A" w:rsidRPr="00C2704A">
        <w:rPr>
          <w:rFonts w:ascii="Arial" w:hAnsi="Arial" w:cs="Arial"/>
          <w:b/>
        </w:rPr>
        <w:t xml:space="preserve">arm trial </w:t>
      </w:r>
      <w:r>
        <w:rPr>
          <w:rFonts w:ascii="Arial" w:hAnsi="Arial" w:cs="Arial"/>
          <w:b/>
        </w:rPr>
        <w:t xml:space="preserve"> </w:t>
      </w:r>
    </w:p>
    <w:p w14:paraId="4F61D19A" w14:textId="77777777" w:rsidR="00F93772" w:rsidRPr="00506A68" w:rsidRDefault="00F93772" w:rsidP="00F93772">
      <w:pPr>
        <w:spacing w:after="0" w:line="360" w:lineRule="auto"/>
        <w:rPr>
          <w:rFonts w:ascii="Arial" w:hAnsi="Arial" w:cs="Arial"/>
          <w:color w:val="000000"/>
        </w:rPr>
      </w:pPr>
    </w:p>
    <w:p w14:paraId="02046B53" w14:textId="370F9FED" w:rsidR="00694AB7" w:rsidRDefault="00694AB7" w:rsidP="007B2CDA">
      <w:pPr>
        <w:spacing w:after="0" w:line="360" w:lineRule="auto"/>
        <w:rPr>
          <w:rFonts w:ascii="Arial" w:hAnsi="Arial" w:cs="Arial"/>
        </w:rPr>
      </w:pPr>
      <w:r>
        <w:rPr>
          <w:rFonts w:ascii="Arial" w:hAnsi="Arial" w:cs="Arial"/>
          <w:b/>
        </w:rPr>
        <w:t xml:space="preserve">Figure number: </w:t>
      </w:r>
      <w:r>
        <w:rPr>
          <w:rFonts w:ascii="Arial" w:hAnsi="Arial" w:cs="Arial"/>
        </w:rPr>
        <w:t>5</w:t>
      </w:r>
    </w:p>
    <w:p w14:paraId="59DEC3F5" w14:textId="7997D591" w:rsidR="00694AB7" w:rsidRPr="00694AB7" w:rsidRDefault="00694AB7" w:rsidP="007B2CDA">
      <w:pPr>
        <w:spacing w:after="0" w:line="360" w:lineRule="auto"/>
        <w:rPr>
          <w:rFonts w:ascii="Arial" w:hAnsi="Arial" w:cs="Arial"/>
        </w:rPr>
      </w:pPr>
      <w:r>
        <w:rPr>
          <w:rFonts w:ascii="Arial" w:hAnsi="Arial" w:cs="Arial"/>
          <w:b/>
        </w:rPr>
        <w:t xml:space="preserve">Table number: </w:t>
      </w:r>
      <w:r>
        <w:rPr>
          <w:rFonts w:ascii="Arial" w:hAnsi="Arial" w:cs="Arial"/>
        </w:rPr>
        <w:t>3</w:t>
      </w:r>
    </w:p>
    <w:p w14:paraId="4AB7E984" w14:textId="77777777" w:rsidR="00831175" w:rsidRDefault="00831175" w:rsidP="00831175">
      <w:pPr>
        <w:spacing w:after="0" w:line="480" w:lineRule="auto"/>
        <w:rPr>
          <w:rFonts w:ascii="Arial" w:hAnsi="Arial" w:cs="Arial"/>
          <w:b/>
          <w:color w:val="000000"/>
        </w:rPr>
      </w:pPr>
    </w:p>
    <w:p w14:paraId="3CE4451D" w14:textId="129A7645" w:rsidR="005F3FEB" w:rsidRDefault="00A623A8" w:rsidP="00831175">
      <w:pPr>
        <w:spacing w:after="0" w:line="480" w:lineRule="auto"/>
        <w:rPr>
          <w:rFonts w:ascii="Arial" w:hAnsi="Arial" w:cs="Arial"/>
          <w:b/>
          <w:color w:val="000000"/>
        </w:rPr>
      </w:pPr>
      <w:r w:rsidRPr="00506A68">
        <w:rPr>
          <w:rFonts w:ascii="Arial" w:hAnsi="Arial" w:cs="Arial"/>
          <w:b/>
          <w:color w:val="000000"/>
        </w:rPr>
        <w:t>Abstract</w:t>
      </w:r>
      <w:r w:rsidR="007664EE" w:rsidRPr="00506A68">
        <w:rPr>
          <w:rFonts w:ascii="Arial" w:hAnsi="Arial" w:cs="Arial"/>
          <w:b/>
          <w:color w:val="000000"/>
        </w:rPr>
        <w:t xml:space="preserve"> </w:t>
      </w:r>
    </w:p>
    <w:p w14:paraId="544E7FA6" w14:textId="080E34F2" w:rsidR="00643388" w:rsidRPr="00294DAA" w:rsidRDefault="00C2704A" w:rsidP="00D76D6C">
      <w:pPr>
        <w:spacing w:after="0" w:line="480" w:lineRule="auto"/>
        <w:rPr>
          <w:rFonts w:ascii="Arial" w:hAnsi="Arial" w:cs="Arial"/>
          <w:b/>
          <w:color w:val="000000"/>
        </w:rPr>
      </w:pPr>
      <w:r w:rsidRPr="00294DAA">
        <w:rPr>
          <w:rFonts w:ascii="Arial" w:hAnsi="Arial" w:cs="Arial"/>
          <w:b/>
          <w:color w:val="000000"/>
        </w:rPr>
        <w:t xml:space="preserve">Aim: </w:t>
      </w:r>
      <w:r w:rsidR="00643388" w:rsidRPr="00294DAA">
        <w:rPr>
          <w:rFonts w:ascii="Arial" w:hAnsi="Arial" w:cs="Arial"/>
          <w:color w:val="000000"/>
        </w:rPr>
        <w:t>To compare the overall survival of anaplastic lymphoma kinase (ALK)-positive non-small-cell lung cancer patients who received alectinib with those who received ceritinib.</w:t>
      </w:r>
    </w:p>
    <w:p w14:paraId="428E7DA2" w14:textId="0AF69994" w:rsidR="00267874" w:rsidRPr="00267327" w:rsidRDefault="00C2704A" w:rsidP="00267327">
      <w:pPr>
        <w:spacing w:after="0" w:line="480" w:lineRule="auto"/>
        <w:rPr>
          <w:rFonts w:ascii="Arial" w:hAnsi="Arial" w:cs="Arial"/>
          <w:color w:val="000000"/>
        </w:rPr>
      </w:pPr>
      <w:r w:rsidRPr="00294DAA">
        <w:rPr>
          <w:rFonts w:ascii="Arial" w:hAnsi="Arial" w:cs="Arial"/>
          <w:b/>
          <w:color w:val="000000"/>
        </w:rPr>
        <w:t xml:space="preserve">Materials &amp; Methods: </w:t>
      </w:r>
      <w:r w:rsidR="006868D7" w:rsidRPr="00294DAA">
        <w:rPr>
          <w:rFonts w:ascii="Arial" w:hAnsi="Arial" w:cs="Arial"/>
          <w:color w:val="000000"/>
        </w:rPr>
        <w:t xml:space="preserve"> Two treatment arms (alectinib [n = 183]; ceritinib [n = 67]) were extracted from clinical trials and </w:t>
      </w:r>
      <w:r w:rsidR="00294DAA">
        <w:rPr>
          <w:rFonts w:ascii="Arial" w:hAnsi="Arial" w:cs="Arial"/>
          <w:color w:val="000000"/>
        </w:rPr>
        <w:t xml:space="preserve">an </w:t>
      </w:r>
      <w:r w:rsidR="006868D7" w:rsidRPr="00267327">
        <w:rPr>
          <w:rFonts w:ascii="Arial" w:hAnsi="Arial" w:cs="Arial"/>
          <w:color w:val="000000"/>
        </w:rPr>
        <w:t>electronic health record database</w:t>
      </w:r>
      <w:r w:rsidR="0032680B">
        <w:rPr>
          <w:rFonts w:ascii="Arial" w:hAnsi="Arial" w:cs="Arial"/>
          <w:color w:val="000000"/>
        </w:rPr>
        <w:t xml:space="preserve"> respectively</w:t>
      </w:r>
      <w:r w:rsidR="006868D7" w:rsidRPr="00267327">
        <w:rPr>
          <w:rFonts w:ascii="Arial" w:hAnsi="Arial" w:cs="Arial"/>
          <w:color w:val="000000"/>
        </w:rPr>
        <w:t>.</w:t>
      </w:r>
      <w:r w:rsidR="006868D7" w:rsidRPr="00330802">
        <w:rPr>
          <w:rFonts w:ascii="Arial" w:hAnsi="Arial" w:cs="Arial"/>
          <w:color w:val="000000"/>
          <w:lang w:val="en-US"/>
        </w:rPr>
        <w:t xml:space="preserve"> </w:t>
      </w:r>
      <w:r w:rsidR="00CF7BBB">
        <w:rPr>
          <w:rFonts w:ascii="Arial" w:hAnsi="Arial" w:cs="Arial"/>
          <w:color w:val="000000"/>
          <w:lang w:val="en-US"/>
        </w:rPr>
        <w:t>Propensity scores were applied to balance b</w:t>
      </w:r>
      <w:r w:rsidR="0032680B">
        <w:rPr>
          <w:rFonts w:ascii="Arial" w:hAnsi="Arial" w:cs="Arial"/>
          <w:color w:val="000000"/>
          <w:lang w:val="en-US"/>
        </w:rPr>
        <w:t>aseline characteristics</w:t>
      </w:r>
      <w:r w:rsidR="00267874" w:rsidRPr="00330802">
        <w:rPr>
          <w:rFonts w:ascii="Arial" w:hAnsi="Arial" w:cs="Arial"/>
          <w:color w:val="000000"/>
          <w:lang w:val="en-US"/>
        </w:rPr>
        <w:t xml:space="preserve">. </w:t>
      </w:r>
      <w:r w:rsidR="00294DAA" w:rsidRPr="00330802">
        <w:rPr>
          <w:rFonts w:ascii="Arial" w:hAnsi="Arial" w:cs="Arial"/>
          <w:color w:val="333333"/>
          <w:shd w:val="clear" w:color="auto" w:fill="FFFFFF"/>
        </w:rPr>
        <w:t>Kaplan–Meier and multivariate Cox regression were conducted</w:t>
      </w:r>
      <w:r w:rsidR="000B0864">
        <w:rPr>
          <w:rFonts w:ascii="Arial" w:hAnsi="Arial" w:cs="Arial"/>
          <w:color w:val="333333"/>
          <w:shd w:val="clear" w:color="auto" w:fill="FFFFFF"/>
        </w:rPr>
        <w:t xml:space="preserve">. </w:t>
      </w:r>
    </w:p>
    <w:p w14:paraId="2842F54C" w14:textId="03C8826B" w:rsidR="00F10AF0" w:rsidRPr="00294DAA" w:rsidRDefault="00C2704A" w:rsidP="00D76D6C">
      <w:pPr>
        <w:spacing w:after="0" w:line="480" w:lineRule="auto"/>
        <w:rPr>
          <w:rFonts w:ascii="Arial" w:hAnsi="Arial" w:cs="Arial"/>
          <w:color w:val="000000"/>
        </w:rPr>
      </w:pPr>
      <w:r w:rsidRPr="00294DAA">
        <w:rPr>
          <w:rFonts w:ascii="Arial" w:hAnsi="Arial" w:cs="Arial"/>
          <w:b/>
          <w:color w:val="000000"/>
        </w:rPr>
        <w:t xml:space="preserve">Results: </w:t>
      </w:r>
      <w:r w:rsidRPr="00294DAA">
        <w:rPr>
          <w:rFonts w:ascii="Arial" w:hAnsi="Arial" w:cs="Arial"/>
          <w:color w:val="000000"/>
        </w:rPr>
        <w:t>After</w:t>
      </w:r>
      <w:r w:rsidR="00CF7BBB">
        <w:rPr>
          <w:rFonts w:ascii="Arial" w:hAnsi="Arial" w:cs="Arial"/>
          <w:color w:val="000000"/>
        </w:rPr>
        <w:t xml:space="preserve"> propensity score adjustment</w:t>
      </w:r>
      <w:r w:rsidRPr="00294DAA">
        <w:rPr>
          <w:rFonts w:ascii="Arial" w:hAnsi="Arial" w:cs="Arial"/>
          <w:color w:val="000000"/>
        </w:rPr>
        <w:t>, baseline characteristics were balanced.</w:t>
      </w:r>
      <w:r w:rsidR="000B0864">
        <w:rPr>
          <w:rFonts w:ascii="Arial" w:hAnsi="Arial" w:cs="Arial"/>
          <w:color w:val="000000"/>
        </w:rPr>
        <w:t xml:space="preserve"> </w:t>
      </w:r>
      <w:r w:rsidR="000B0864" w:rsidRPr="00294DAA">
        <w:rPr>
          <w:rFonts w:ascii="Arial" w:hAnsi="Arial" w:cs="Arial"/>
          <w:color w:val="000000"/>
        </w:rPr>
        <w:t xml:space="preserve">Alectinib </w:t>
      </w:r>
      <w:r w:rsidR="000B0864">
        <w:rPr>
          <w:rFonts w:ascii="Arial" w:hAnsi="Arial" w:cs="Arial"/>
          <w:color w:val="000000"/>
        </w:rPr>
        <w:t xml:space="preserve">had a prolonged median OS (alectinib = 24.3 months; ceritinib = 15.6 months) and </w:t>
      </w:r>
      <w:r w:rsidR="000B0864" w:rsidRPr="00294DAA">
        <w:rPr>
          <w:rFonts w:ascii="Arial" w:hAnsi="Arial" w:cs="Arial"/>
          <w:color w:val="000000"/>
        </w:rPr>
        <w:t>lower risk of death (hazard ratio: 0.65</w:t>
      </w:r>
      <w:r w:rsidR="000B0864">
        <w:rPr>
          <w:rFonts w:ascii="Arial" w:hAnsi="Arial" w:cs="Arial"/>
          <w:color w:val="000000"/>
        </w:rPr>
        <w:t>, 95% confidence interval: 0.48, 0.88</w:t>
      </w:r>
      <w:r w:rsidR="000B0864" w:rsidRPr="00294DAA">
        <w:rPr>
          <w:rFonts w:ascii="Arial" w:hAnsi="Arial" w:cs="Arial"/>
          <w:color w:val="000000"/>
        </w:rPr>
        <w:t>)</w:t>
      </w:r>
      <w:r w:rsidR="000B0864">
        <w:rPr>
          <w:rFonts w:ascii="Arial" w:hAnsi="Arial" w:cs="Arial"/>
          <w:color w:val="000000"/>
        </w:rPr>
        <w:t>.</w:t>
      </w:r>
      <w:r w:rsidR="000B0864" w:rsidRPr="00294DAA">
        <w:rPr>
          <w:rFonts w:ascii="Arial" w:hAnsi="Arial" w:cs="Arial"/>
          <w:color w:val="000000"/>
        </w:rPr>
        <w:t xml:space="preserve"> </w:t>
      </w:r>
      <w:r w:rsidRPr="00294DAA">
        <w:rPr>
          <w:rFonts w:ascii="Arial" w:hAnsi="Arial" w:cs="Arial"/>
          <w:color w:val="000000"/>
        </w:rPr>
        <w:t xml:space="preserve"> </w:t>
      </w:r>
    </w:p>
    <w:p w14:paraId="2988BD8D" w14:textId="0A7A7830" w:rsidR="00662224" w:rsidRPr="00330802" w:rsidRDefault="00C2704A" w:rsidP="00D76D6C">
      <w:pPr>
        <w:spacing w:after="0" w:line="480" w:lineRule="auto"/>
        <w:rPr>
          <w:rFonts w:ascii="Arial" w:hAnsi="Arial" w:cs="Arial"/>
          <w:lang w:val="en-US"/>
        </w:rPr>
      </w:pPr>
      <w:r w:rsidRPr="00294DAA">
        <w:rPr>
          <w:rFonts w:ascii="Arial" w:hAnsi="Arial" w:cs="Arial"/>
          <w:b/>
          <w:color w:val="000000"/>
        </w:rPr>
        <w:t xml:space="preserve">Conclusions: </w:t>
      </w:r>
      <w:r w:rsidR="00CF7BBB" w:rsidRPr="00CF7BBB">
        <w:rPr>
          <w:rFonts w:ascii="Arial" w:hAnsi="Arial" w:cs="Arial"/>
          <w:lang w:val="en-US"/>
        </w:rPr>
        <w:t>A</w:t>
      </w:r>
      <w:r w:rsidR="000B0864" w:rsidRPr="000B0864">
        <w:rPr>
          <w:rFonts w:ascii="Arial" w:hAnsi="Arial" w:cs="Arial"/>
          <w:lang w:val="en-US"/>
        </w:rPr>
        <w:t>lectinib wa</w:t>
      </w:r>
      <w:r w:rsidR="00E73C5D" w:rsidRPr="00330802">
        <w:rPr>
          <w:rFonts w:ascii="Arial" w:hAnsi="Arial" w:cs="Arial"/>
          <w:lang w:val="en-US"/>
        </w:rPr>
        <w:t xml:space="preserve">s </w:t>
      </w:r>
      <w:r w:rsidR="00E73C5D" w:rsidRPr="00330802">
        <w:rPr>
          <w:rFonts w:ascii="Arial" w:eastAsia="Times New Roman" w:hAnsi="Arial" w:cs="Arial"/>
          <w:bCs/>
          <w:lang w:eastAsia="en-GB"/>
        </w:rPr>
        <w:t>associated with prolonged OS v</w:t>
      </w:r>
      <w:r w:rsidR="000B0864">
        <w:rPr>
          <w:rFonts w:ascii="Arial" w:eastAsia="Times New Roman" w:hAnsi="Arial" w:cs="Arial"/>
          <w:bCs/>
          <w:lang w:eastAsia="en-GB"/>
        </w:rPr>
        <w:t>er</w:t>
      </w:r>
      <w:r w:rsidR="00E73C5D" w:rsidRPr="00330802">
        <w:rPr>
          <w:rFonts w:ascii="Arial" w:eastAsia="Times New Roman" w:hAnsi="Arial" w:cs="Arial"/>
          <w:bCs/>
          <w:lang w:eastAsia="en-GB"/>
        </w:rPr>
        <w:t>s</w:t>
      </w:r>
      <w:r w:rsidR="000B0864">
        <w:rPr>
          <w:rFonts w:ascii="Arial" w:eastAsia="Times New Roman" w:hAnsi="Arial" w:cs="Arial"/>
          <w:bCs/>
          <w:lang w:eastAsia="en-GB"/>
        </w:rPr>
        <w:t>us</w:t>
      </w:r>
      <w:r w:rsidR="00E73C5D" w:rsidRPr="00330802">
        <w:rPr>
          <w:rFonts w:ascii="Arial" w:eastAsia="Times New Roman" w:hAnsi="Arial" w:cs="Arial"/>
          <w:bCs/>
          <w:lang w:eastAsia="en-GB"/>
        </w:rPr>
        <w:t xml:space="preserve"> ceritinib</w:t>
      </w:r>
      <w:r w:rsidR="00E73C5D" w:rsidRPr="00330802">
        <w:rPr>
          <w:rFonts w:ascii="Arial" w:eastAsia="Times New Roman" w:hAnsi="Arial" w:cs="Arial"/>
          <w:lang w:eastAsia="en-GB"/>
        </w:rPr>
        <w:t xml:space="preserve">, which </w:t>
      </w:r>
      <w:r w:rsidR="00643388" w:rsidRPr="00330802">
        <w:rPr>
          <w:rFonts w:ascii="Arial" w:eastAsia="Times New Roman" w:hAnsi="Arial" w:cs="Arial"/>
          <w:lang w:eastAsia="en-GB"/>
        </w:rPr>
        <w:t>is</w:t>
      </w:r>
      <w:r w:rsidR="00E73C5D" w:rsidRPr="00330802">
        <w:rPr>
          <w:rFonts w:ascii="Arial" w:eastAsia="Times New Roman" w:hAnsi="Arial" w:cs="Arial"/>
          <w:lang w:eastAsia="en-GB"/>
        </w:rPr>
        <w:t xml:space="preserve"> consistent </w:t>
      </w:r>
      <w:r w:rsidR="00643388" w:rsidRPr="00330802">
        <w:rPr>
          <w:rFonts w:ascii="Arial" w:eastAsia="Times New Roman" w:hAnsi="Arial" w:cs="Arial"/>
          <w:lang w:eastAsia="en-GB"/>
        </w:rPr>
        <w:t>with efficacy evidence from clinical trials</w:t>
      </w:r>
      <w:r w:rsidR="00E73C5D" w:rsidRPr="00330802">
        <w:rPr>
          <w:rFonts w:ascii="Arial" w:eastAsia="Times New Roman" w:hAnsi="Arial" w:cs="Arial"/>
          <w:lang w:eastAsia="en-GB"/>
        </w:rPr>
        <w:t xml:space="preserve">. </w:t>
      </w:r>
    </w:p>
    <w:p w14:paraId="3524284D" w14:textId="77777777" w:rsidR="006C4607" w:rsidRPr="007E1091" w:rsidRDefault="006C4607" w:rsidP="001074FC">
      <w:pPr>
        <w:spacing w:after="0" w:line="480" w:lineRule="auto"/>
        <w:rPr>
          <w:rFonts w:ascii="Arial" w:eastAsia="Calibri" w:hAnsi="Arial" w:cs="Arial"/>
          <w:bCs/>
          <w:lang w:val="en-US"/>
        </w:rPr>
      </w:pPr>
    </w:p>
    <w:p w14:paraId="3A1C5985" w14:textId="1A5201C0" w:rsidR="00755CEE" w:rsidRDefault="00040B7A" w:rsidP="001074FC">
      <w:pPr>
        <w:spacing w:after="0" w:line="480" w:lineRule="auto"/>
        <w:rPr>
          <w:rFonts w:ascii="Arial" w:hAnsi="Arial" w:cs="Arial"/>
          <w:color w:val="000000"/>
        </w:rPr>
      </w:pPr>
      <w:r>
        <w:rPr>
          <w:rFonts w:ascii="Arial" w:hAnsi="Arial" w:cs="Arial"/>
          <w:b/>
          <w:color w:val="000000"/>
        </w:rPr>
        <w:t>Keywords</w:t>
      </w:r>
      <w:r w:rsidR="007B2CDA" w:rsidRPr="00506A68">
        <w:rPr>
          <w:rFonts w:ascii="Arial" w:hAnsi="Arial" w:cs="Arial"/>
          <w:b/>
          <w:color w:val="000000"/>
        </w:rPr>
        <w:t xml:space="preserve">: </w:t>
      </w:r>
      <w:r w:rsidR="00752DBA">
        <w:rPr>
          <w:rFonts w:ascii="Arial" w:hAnsi="Arial" w:cs="Arial"/>
          <w:color w:val="000000"/>
        </w:rPr>
        <w:t>real-world evidence</w:t>
      </w:r>
      <w:r w:rsidR="00285075">
        <w:rPr>
          <w:rFonts w:ascii="Arial" w:hAnsi="Arial" w:cs="Arial"/>
          <w:color w:val="000000"/>
        </w:rPr>
        <w:t xml:space="preserve"> •</w:t>
      </w:r>
      <w:r w:rsidR="00285075" w:rsidRPr="00506A68">
        <w:rPr>
          <w:rFonts w:ascii="Arial" w:hAnsi="Arial" w:cs="Arial"/>
          <w:i/>
          <w:color w:val="000000"/>
        </w:rPr>
        <w:t xml:space="preserve"> </w:t>
      </w:r>
      <w:r w:rsidR="00752DBA">
        <w:rPr>
          <w:rFonts w:ascii="Arial" w:hAnsi="Arial" w:cs="Arial"/>
          <w:color w:val="000000"/>
        </w:rPr>
        <w:t>comparative effectiveness</w:t>
      </w:r>
      <w:r w:rsidR="00285075">
        <w:rPr>
          <w:rFonts w:ascii="Arial" w:hAnsi="Arial" w:cs="Arial"/>
          <w:color w:val="000000"/>
        </w:rPr>
        <w:t xml:space="preserve"> •</w:t>
      </w:r>
      <w:r w:rsidR="00285075" w:rsidRPr="00506A68">
        <w:rPr>
          <w:rFonts w:ascii="Arial" w:hAnsi="Arial" w:cs="Arial"/>
          <w:color w:val="000000"/>
        </w:rPr>
        <w:t xml:space="preserve"> </w:t>
      </w:r>
      <w:r w:rsidR="00752DBA">
        <w:rPr>
          <w:rFonts w:ascii="Arial" w:hAnsi="Arial" w:cs="Arial"/>
          <w:color w:val="000000"/>
        </w:rPr>
        <w:t>non-small-cell lung cancer</w:t>
      </w:r>
      <w:r w:rsidR="00285075">
        <w:rPr>
          <w:rFonts w:ascii="Arial" w:hAnsi="Arial" w:cs="Arial"/>
          <w:color w:val="000000"/>
        </w:rPr>
        <w:t xml:space="preserve"> •</w:t>
      </w:r>
      <w:r w:rsidR="00285075" w:rsidRPr="00506A68">
        <w:rPr>
          <w:rFonts w:ascii="Arial" w:hAnsi="Arial" w:cs="Arial"/>
          <w:color w:val="000000"/>
        </w:rPr>
        <w:t xml:space="preserve"> </w:t>
      </w:r>
    </w:p>
    <w:p w14:paraId="5719E549" w14:textId="77777777" w:rsidR="00755CEE" w:rsidRDefault="00755CEE">
      <w:pPr>
        <w:rPr>
          <w:rFonts w:ascii="Arial" w:hAnsi="Arial" w:cs="Arial"/>
          <w:color w:val="000000"/>
        </w:rPr>
      </w:pPr>
      <w:r>
        <w:rPr>
          <w:rFonts w:ascii="Arial" w:hAnsi="Arial" w:cs="Arial"/>
          <w:color w:val="000000"/>
        </w:rPr>
        <w:br w:type="page"/>
      </w:r>
    </w:p>
    <w:p w14:paraId="1D05C3AB" w14:textId="1761835C" w:rsidR="006C4607" w:rsidRDefault="006C4607" w:rsidP="001074FC">
      <w:pPr>
        <w:spacing w:after="0" w:line="480" w:lineRule="auto"/>
        <w:rPr>
          <w:rFonts w:ascii="Arial" w:eastAsia="Calibri" w:hAnsi="Arial" w:cs="Arial"/>
          <w:bCs/>
        </w:rPr>
      </w:pPr>
    </w:p>
    <w:p w14:paraId="291808D5" w14:textId="20989DD4" w:rsidR="009C0532" w:rsidRPr="001074FC" w:rsidRDefault="0075693F" w:rsidP="00015198">
      <w:pPr>
        <w:rPr>
          <w:rFonts w:ascii="Arial" w:hAnsi="Arial" w:cs="Arial"/>
          <w:color w:val="000000"/>
          <w:sz w:val="28"/>
          <w:szCs w:val="28"/>
        </w:rPr>
      </w:pPr>
      <w:r w:rsidRPr="001074FC">
        <w:rPr>
          <w:rFonts w:ascii="Arial" w:hAnsi="Arial" w:cs="Arial"/>
          <w:b/>
          <w:color w:val="000000"/>
          <w:sz w:val="28"/>
          <w:szCs w:val="28"/>
        </w:rPr>
        <w:t>Introduction</w:t>
      </w:r>
    </w:p>
    <w:p w14:paraId="517F7E93" w14:textId="759EC448" w:rsidR="003F6482" w:rsidRPr="003F6482" w:rsidRDefault="009B30B8" w:rsidP="00D76D6C">
      <w:pPr>
        <w:spacing w:after="0" w:line="480" w:lineRule="auto"/>
        <w:ind w:firstLine="425"/>
        <w:rPr>
          <w:rFonts w:ascii="Arial" w:hAnsi="Arial" w:cs="Arial"/>
          <w:color w:val="000000"/>
        </w:rPr>
      </w:pPr>
      <w:r w:rsidRPr="00506A68">
        <w:rPr>
          <w:rFonts w:ascii="Arial" w:hAnsi="Arial" w:cs="Arial"/>
          <w:color w:val="000000"/>
        </w:rPr>
        <w:t>In health technology assessments</w:t>
      </w:r>
      <w:r w:rsidR="00610B62" w:rsidRPr="00506A68">
        <w:rPr>
          <w:rFonts w:ascii="Arial" w:hAnsi="Arial" w:cs="Arial"/>
          <w:color w:val="000000"/>
        </w:rPr>
        <w:t>, it has become increasingly important</w:t>
      </w:r>
      <w:r w:rsidR="00433145" w:rsidRPr="00506A68">
        <w:rPr>
          <w:rFonts w:ascii="Arial" w:hAnsi="Arial" w:cs="Arial"/>
          <w:color w:val="000000"/>
        </w:rPr>
        <w:t xml:space="preserve"> </w:t>
      </w:r>
      <w:r w:rsidR="00610B62" w:rsidRPr="00506A68">
        <w:rPr>
          <w:rFonts w:ascii="Arial" w:hAnsi="Arial" w:cs="Arial"/>
          <w:color w:val="000000"/>
        </w:rPr>
        <w:t>to demonstrate comparative</w:t>
      </w:r>
      <w:r w:rsidR="00353EEA" w:rsidRPr="00506A68">
        <w:rPr>
          <w:rFonts w:ascii="Arial" w:hAnsi="Arial" w:cs="Arial"/>
          <w:color w:val="000000"/>
        </w:rPr>
        <w:t xml:space="preserve"> </w:t>
      </w:r>
      <w:r w:rsidR="00610B62" w:rsidRPr="00506A68">
        <w:rPr>
          <w:rFonts w:ascii="Arial" w:hAnsi="Arial" w:cs="Arial"/>
          <w:color w:val="000000"/>
        </w:rPr>
        <w:t>effectiveness</w:t>
      </w:r>
      <w:r w:rsidR="00AD2B13" w:rsidRPr="00506A68">
        <w:rPr>
          <w:rFonts w:ascii="Arial" w:hAnsi="Arial" w:cs="Arial"/>
          <w:color w:val="000000"/>
        </w:rPr>
        <w:t xml:space="preserve"> for new therapies</w:t>
      </w:r>
      <w:r w:rsidR="00CE5E4A" w:rsidRPr="00506A68">
        <w:rPr>
          <w:rFonts w:ascii="Arial" w:hAnsi="Arial" w:cs="Arial"/>
          <w:color w:val="000000"/>
        </w:rPr>
        <w:t>,</w:t>
      </w:r>
      <w:r w:rsidR="00610B62" w:rsidRPr="00506A68">
        <w:rPr>
          <w:rFonts w:ascii="Arial" w:hAnsi="Arial" w:cs="Arial"/>
          <w:color w:val="000000"/>
        </w:rPr>
        <w:t xml:space="preserve"> in addition to </w:t>
      </w:r>
      <w:r w:rsidR="00433145" w:rsidRPr="00506A68">
        <w:rPr>
          <w:rFonts w:ascii="Arial" w:hAnsi="Arial" w:cs="Arial"/>
          <w:color w:val="000000"/>
        </w:rPr>
        <w:t xml:space="preserve">the </w:t>
      </w:r>
      <w:r w:rsidR="00610B62" w:rsidRPr="00506A68">
        <w:rPr>
          <w:rFonts w:ascii="Arial" w:hAnsi="Arial" w:cs="Arial"/>
          <w:color w:val="000000"/>
        </w:rPr>
        <w:t xml:space="preserve">traditional licensing requirements of quality of manufacture, safety and efficacy </w:t>
      </w:r>
      <w:r w:rsidR="00172DFD" w:rsidRPr="00506A68">
        <w:rPr>
          <w:rFonts w:ascii="Arial" w:hAnsi="Arial" w:cs="Arial"/>
          <w:color w:val="000000"/>
        </w:rPr>
        <w:t>[1]</w:t>
      </w:r>
      <w:r w:rsidR="00610B62" w:rsidRPr="00506A68">
        <w:rPr>
          <w:rFonts w:ascii="Arial" w:hAnsi="Arial" w:cs="Arial"/>
          <w:color w:val="000000"/>
        </w:rPr>
        <w:t>.</w:t>
      </w:r>
      <w:r w:rsidR="00662610" w:rsidRPr="00506A68">
        <w:rPr>
          <w:rFonts w:ascii="Arial" w:hAnsi="Arial" w:cs="Arial"/>
          <w:color w:val="000000"/>
        </w:rPr>
        <w:t xml:space="preserve"> </w:t>
      </w:r>
      <w:r w:rsidR="003F6482" w:rsidRPr="003F6482">
        <w:rPr>
          <w:rFonts w:ascii="Arial" w:hAnsi="Arial" w:cs="Arial"/>
          <w:color w:val="000000"/>
        </w:rPr>
        <w:t>However, the race to license</w:t>
      </w:r>
      <w:r w:rsidR="003F6482">
        <w:rPr>
          <w:rFonts w:ascii="Arial" w:hAnsi="Arial" w:cs="Arial"/>
          <w:color w:val="000000"/>
        </w:rPr>
        <w:t xml:space="preserve"> new therapies, especially for </w:t>
      </w:r>
      <w:r w:rsidR="001B584B">
        <w:rPr>
          <w:rFonts w:ascii="Arial" w:hAnsi="Arial" w:cs="Arial"/>
          <w:color w:val="000000"/>
        </w:rPr>
        <w:t>rare</w:t>
      </w:r>
      <w:r w:rsidR="003F6482" w:rsidRPr="003F6482">
        <w:rPr>
          <w:rFonts w:ascii="Arial" w:hAnsi="Arial" w:cs="Arial"/>
          <w:color w:val="000000"/>
        </w:rPr>
        <w:t xml:space="preserve"> biomarker-defined populations such as </w:t>
      </w:r>
      <w:r w:rsidR="003F6482" w:rsidRPr="001C59D0">
        <w:rPr>
          <w:rFonts w:ascii="Arial" w:hAnsi="Arial" w:cs="Arial"/>
          <w:i/>
          <w:color w:val="000000"/>
        </w:rPr>
        <w:t>anaplastic lymphoma kinase</w:t>
      </w:r>
      <w:r w:rsidR="003F6482" w:rsidRPr="003F6482">
        <w:rPr>
          <w:rFonts w:ascii="Arial" w:hAnsi="Arial" w:cs="Arial"/>
          <w:color w:val="000000"/>
        </w:rPr>
        <w:t xml:space="preserve"> (</w:t>
      </w:r>
      <w:r w:rsidR="003F6482" w:rsidRPr="001C59D0">
        <w:rPr>
          <w:rFonts w:ascii="Arial" w:hAnsi="Arial" w:cs="Arial"/>
          <w:i/>
          <w:color w:val="000000"/>
        </w:rPr>
        <w:t>ALK</w:t>
      </w:r>
      <w:r w:rsidR="003F6482" w:rsidRPr="003F6482">
        <w:rPr>
          <w:rFonts w:ascii="Arial" w:hAnsi="Arial" w:cs="Arial"/>
          <w:color w:val="000000"/>
        </w:rPr>
        <w:t>)-positive non-small-cell lung cancer (</w:t>
      </w:r>
      <w:r w:rsidR="003F6482" w:rsidRPr="003F6482">
        <w:rPr>
          <w:rFonts w:ascii="Arial" w:hAnsi="Arial" w:cs="Arial"/>
          <w:i/>
          <w:color w:val="000000"/>
        </w:rPr>
        <w:t>ALK</w:t>
      </w:r>
      <w:r w:rsidR="003F6482">
        <w:rPr>
          <w:rFonts w:ascii="Arial" w:hAnsi="Arial" w:cs="Arial"/>
          <w:color w:val="000000"/>
        </w:rPr>
        <w:t xml:space="preserve">+ </w:t>
      </w:r>
      <w:r w:rsidR="003F6482" w:rsidRPr="003F6482">
        <w:rPr>
          <w:rFonts w:ascii="Arial" w:hAnsi="Arial" w:cs="Arial"/>
          <w:color w:val="000000"/>
        </w:rPr>
        <w:t xml:space="preserve">NSCLC), has meant that regulatory approval </w:t>
      </w:r>
      <w:r w:rsidR="00081CBD">
        <w:rPr>
          <w:rFonts w:ascii="Arial" w:hAnsi="Arial" w:cs="Arial"/>
          <w:color w:val="000000"/>
        </w:rPr>
        <w:t>using single-</w:t>
      </w:r>
      <w:r w:rsidR="003F6482" w:rsidRPr="003F6482">
        <w:rPr>
          <w:rFonts w:ascii="Arial" w:hAnsi="Arial" w:cs="Arial"/>
          <w:color w:val="000000"/>
        </w:rPr>
        <w:t>arm phase II studies</w:t>
      </w:r>
      <w:r w:rsidR="000818BF">
        <w:rPr>
          <w:rFonts w:ascii="Arial" w:hAnsi="Arial" w:cs="Arial"/>
          <w:color w:val="000000"/>
        </w:rPr>
        <w:t xml:space="preserve"> can precede the availability of traditional </w:t>
      </w:r>
      <w:r w:rsidR="003F6482" w:rsidRPr="003F6482">
        <w:rPr>
          <w:rFonts w:ascii="Arial" w:hAnsi="Arial" w:cs="Arial"/>
          <w:color w:val="000000"/>
        </w:rPr>
        <w:t xml:space="preserve">, comparative evidence using </w:t>
      </w:r>
      <w:r w:rsidR="00081CBD">
        <w:rPr>
          <w:rFonts w:ascii="Arial" w:hAnsi="Arial" w:cs="Arial"/>
          <w:color w:val="000000"/>
        </w:rPr>
        <w:t>randomized controlled trials (</w:t>
      </w:r>
      <w:r w:rsidR="003F6482" w:rsidRPr="003F6482">
        <w:rPr>
          <w:rFonts w:ascii="Arial" w:hAnsi="Arial" w:cs="Arial"/>
          <w:color w:val="000000"/>
        </w:rPr>
        <w:t>RCTs</w:t>
      </w:r>
      <w:r w:rsidR="00081CBD">
        <w:rPr>
          <w:rFonts w:ascii="Arial" w:hAnsi="Arial" w:cs="Arial"/>
          <w:color w:val="000000"/>
        </w:rPr>
        <w:t>)</w:t>
      </w:r>
      <w:r w:rsidR="00FE0A0C">
        <w:rPr>
          <w:rFonts w:ascii="Arial" w:hAnsi="Arial" w:cs="Arial"/>
          <w:color w:val="000000"/>
        </w:rPr>
        <w:t>,</w:t>
      </w:r>
      <w:r w:rsidR="003F6482" w:rsidRPr="003F6482">
        <w:rPr>
          <w:rFonts w:ascii="Arial" w:hAnsi="Arial" w:cs="Arial"/>
          <w:color w:val="000000"/>
        </w:rPr>
        <w:t xml:space="preserve"> which </w:t>
      </w:r>
      <w:r w:rsidR="00D837B8">
        <w:rPr>
          <w:rFonts w:ascii="Arial" w:hAnsi="Arial" w:cs="Arial"/>
          <w:color w:val="000000"/>
        </w:rPr>
        <w:t>can</w:t>
      </w:r>
      <w:r w:rsidR="003F6482" w:rsidRPr="003F6482">
        <w:rPr>
          <w:rFonts w:ascii="Arial" w:hAnsi="Arial" w:cs="Arial"/>
          <w:color w:val="000000"/>
        </w:rPr>
        <w:t xml:space="preserve"> take time to recruit rare</w:t>
      </w:r>
      <w:r w:rsidR="003F6482">
        <w:rPr>
          <w:rFonts w:ascii="Arial" w:hAnsi="Arial" w:cs="Arial"/>
          <w:color w:val="000000"/>
        </w:rPr>
        <w:t xml:space="preserve"> biomarker-defined populations</w:t>
      </w:r>
      <w:r w:rsidR="00545653">
        <w:rPr>
          <w:rFonts w:ascii="Arial" w:hAnsi="Arial" w:cs="Arial"/>
          <w:color w:val="000000"/>
        </w:rPr>
        <w:t xml:space="preserve"> [</w:t>
      </w:r>
      <w:r w:rsidR="00545653" w:rsidRPr="00545653">
        <w:rPr>
          <w:rFonts w:ascii="Arial" w:hAnsi="Arial" w:cs="Arial"/>
          <w:color w:val="000000"/>
        </w:rPr>
        <w:t>2, 3</w:t>
      </w:r>
      <w:r w:rsidR="00545653">
        <w:rPr>
          <w:rFonts w:ascii="Arial" w:hAnsi="Arial" w:cs="Arial"/>
          <w:color w:val="000000"/>
        </w:rPr>
        <w:t>]</w:t>
      </w:r>
      <w:r w:rsidR="003F6482">
        <w:rPr>
          <w:rFonts w:ascii="Arial" w:hAnsi="Arial" w:cs="Arial"/>
          <w:color w:val="000000"/>
        </w:rPr>
        <w:t>.</w:t>
      </w:r>
      <w:r w:rsidR="003F6482" w:rsidRPr="003F6482">
        <w:rPr>
          <w:rFonts w:ascii="Arial" w:hAnsi="Arial" w:cs="Arial"/>
          <w:color w:val="000000"/>
        </w:rPr>
        <w:t xml:space="preserve"> In addition, the highly segmented treatment landscape for ALK inhibitors (ALKi) has meant that it is not always possible to perform head-to-head comparison trials using the standard of care that can provide the best comparative evidence.  </w:t>
      </w:r>
    </w:p>
    <w:p w14:paraId="0D7C8C51" w14:textId="776EBFE9" w:rsidR="00EB7210" w:rsidRPr="00506A68" w:rsidRDefault="00A340F9" w:rsidP="00A340F9">
      <w:pPr>
        <w:spacing w:after="0" w:line="480" w:lineRule="auto"/>
        <w:ind w:firstLine="426"/>
        <w:rPr>
          <w:rFonts w:ascii="Arial" w:hAnsi="Arial" w:cs="Arial"/>
          <w:color w:val="000000"/>
        </w:rPr>
      </w:pPr>
      <w:r>
        <w:rPr>
          <w:rFonts w:ascii="Arial" w:hAnsi="Arial" w:cs="Arial"/>
          <w:color w:val="000000"/>
        </w:rPr>
        <w:t>In the</w:t>
      </w:r>
      <w:r w:rsidR="003F6482" w:rsidRPr="003F6482">
        <w:rPr>
          <w:rFonts w:ascii="Arial" w:hAnsi="Arial" w:cs="Arial"/>
          <w:color w:val="000000"/>
        </w:rPr>
        <w:t xml:space="preserve"> absence of comparative evidence from RCTs, external controls are often used to bridge the gap of providing comparative evidence using direct adju</w:t>
      </w:r>
      <w:r w:rsidR="00E5184B">
        <w:rPr>
          <w:rFonts w:ascii="Arial" w:hAnsi="Arial" w:cs="Arial"/>
          <w:color w:val="000000"/>
        </w:rPr>
        <w:t>sted comparisons [4–7</w:t>
      </w:r>
      <w:r w:rsidR="003F6482" w:rsidRPr="003F6482">
        <w:rPr>
          <w:rFonts w:ascii="Arial" w:hAnsi="Arial" w:cs="Arial"/>
          <w:color w:val="000000"/>
        </w:rPr>
        <w:t>]. However</w:t>
      </w:r>
      <w:r w:rsidR="00852885">
        <w:rPr>
          <w:rFonts w:ascii="Arial" w:hAnsi="Arial" w:cs="Arial"/>
          <w:color w:val="000000"/>
        </w:rPr>
        <w:t>,</w:t>
      </w:r>
      <w:r w:rsidR="003F6482" w:rsidRPr="003F6482">
        <w:rPr>
          <w:rFonts w:ascii="Arial" w:hAnsi="Arial" w:cs="Arial"/>
          <w:color w:val="000000"/>
        </w:rPr>
        <w:t xml:space="preserve"> as these types of studies typically do not use ind</w:t>
      </w:r>
      <w:r w:rsidR="00852885">
        <w:rPr>
          <w:rFonts w:ascii="Arial" w:hAnsi="Arial" w:cs="Arial"/>
          <w:color w:val="000000"/>
        </w:rPr>
        <w:t>ividual patient-level data (IPD</w:t>
      </w:r>
      <w:r w:rsidR="003F6482" w:rsidRPr="003F6482">
        <w:rPr>
          <w:rFonts w:ascii="Arial" w:hAnsi="Arial" w:cs="Arial"/>
          <w:color w:val="000000"/>
        </w:rPr>
        <w:t>)</w:t>
      </w:r>
      <w:r w:rsidR="000261BC">
        <w:rPr>
          <w:rFonts w:ascii="Arial" w:hAnsi="Arial" w:cs="Arial"/>
          <w:color w:val="000000"/>
        </w:rPr>
        <w:t>,</w:t>
      </w:r>
      <w:r w:rsidR="003F6482" w:rsidRPr="003F6482">
        <w:rPr>
          <w:rFonts w:ascii="Arial" w:hAnsi="Arial" w:cs="Arial"/>
          <w:color w:val="000000"/>
        </w:rPr>
        <w:t xml:space="preserve"> they are susceptible to systematic variation or bias. Therefore, innovation in methods of gathering and assessing comparative evidence </w:t>
      </w:r>
      <w:r w:rsidR="000261BC">
        <w:rPr>
          <w:rFonts w:ascii="Arial" w:hAnsi="Arial" w:cs="Arial"/>
          <w:color w:val="000000"/>
        </w:rPr>
        <w:t>is</w:t>
      </w:r>
      <w:r w:rsidR="003F6482" w:rsidRPr="003F6482">
        <w:rPr>
          <w:rFonts w:ascii="Arial" w:hAnsi="Arial" w:cs="Arial"/>
          <w:color w:val="000000"/>
        </w:rPr>
        <w:t xml:space="preserve"> needed in order to accelerate reimbursement </w:t>
      </w:r>
      <w:r w:rsidR="000818BF">
        <w:rPr>
          <w:rFonts w:ascii="Arial" w:hAnsi="Arial" w:cs="Arial"/>
          <w:color w:val="000000"/>
        </w:rPr>
        <w:t xml:space="preserve">decisions </w:t>
      </w:r>
      <w:r w:rsidR="003F6482" w:rsidRPr="003F6482">
        <w:rPr>
          <w:rFonts w:ascii="Arial" w:hAnsi="Arial" w:cs="Arial"/>
          <w:color w:val="000000"/>
        </w:rPr>
        <w:t xml:space="preserve">for new therapies in rarer cancers.  </w:t>
      </w:r>
    </w:p>
    <w:p w14:paraId="4C1C48E8" w14:textId="03E7F4DD" w:rsidR="0067167D" w:rsidRPr="00506A68" w:rsidRDefault="00852885" w:rsidP="007B0B7C">
      <w:pPr>
        <w:spacing w:after="0" w:line="480" w:lineRule="auto"/>
        <w:ind w:firstLine="426"/>
        <w:rPr>
          <w:rFonts w:ascii="Arial" w:hAnsi="Arial" w:cs="Arial"/>
          <w:color w:val="000000"/>
        </w:rPr>
      </w:pPr>
      <w:r>
        <w:rPr>
          <w:rFonts w:ascii="Arial" w:hAnsi="Arial" w:cs="Arial"/>
          <w:color w:val="000000"/>
        </w:rPr>
        <w:t>To overcome this problem, our study used</w:t>
      </w:r>
      <w:r w:rsidR="00AF7995">
        <w:rPr>
          <w:rFonts w:ascii="Arial" w:hAnsi="Arial" w:cs="Arial"/>
          <w:color w:val="000000"/>
        </w:rPr>
        <w:t xml:space="preserve"> U.S.</w:t>
      </w:r>
      <w:r w:rsidR="000E4E69">
        <w:rPr>
          <w:rFonts w:ascii="Arial" w:hAnsi="Arial" w:cs="Arial"/>
          <w:color w:val="000000"/>
        </w:rPr>
        <w:t xml:space="preserve"> </w:t>
      </w:r>
      <w:r w:rsidR="0067167D" w:rsidRPr="00506A68">
        <w:rPr>
          <w:rFonts w:ascii="Arial" w:hAnsi="Arial" w:cs="Arial"/>
          <w:color w:val="000000"/>
        </w:rPr>
        <w:t>IPD from the Flatiron Health</w:t>
      </w:r>
      <w:r w:rsidR="00C50CD6" w:rsidRPr="00506A68">
        <w:rPr>
          <w:rFonts w:ascii="Arial" w:hAnsi="Arial" w:cs="Arial"/>
          <w:color w:val="000000"/>
        </w:rPr>
        <w:t xml:space="preserve"> electronic health record</w:t>
      </w:r>
      <w:r w:rsidR="0067167D" w:rsidRPr="00506A68">
        <w:rPr>
          <w:rFonts w:ascii="Arial" w:hAnsi="Arial" w:cs="Arial"/>
          <w:color w:val="000000"/>
        </w:rPr>
        <w:t xml:space="preserve"> </w:t>
      </w:r>
      <w:r w:rsidR="00C50CD6" w:rsidRPr="00506A68">
        <w:rPr>
          <w:rFonts w:ascii="Arial" w:hAnsi="Arial" w:cs="Arial"/>
          <w:color w:val="000000"/>
        </w:rPr>
        <w:t>(</w:t>
      </w:r>
      <w:r w:rsidR="0067167D" w:rsidRPr="00506A68">
        <w:rPr>
          <w:rFonts w:ascii="Arial" w:hAnsi="Arial" w:cs="Arial"/>
          <w:color w:val="000000"/>
        </w:rPr>
        <w:t>EHR</w:t>
      </w:r>
      <w:r w:rsidR="00C50CD6" w:rsidRPr="00506A68">
        <w:rPr>
          <w:rFonts w:ascii="Arial" w:hAnsi="Arial" w:cs="Arial"/>
          <w:color w:val="000000"/>
        </w:rPr>
        <w:t>)</w:t>
      </w:r>
      <w:r w:rsidR="0067167D" w:rsidRPr="00506A68">
        <w:rPr>
          <w:rFonts w:ascii="Arial" w:hAnsi="Arial" w:cs="Arial"/>
          <w:color w:val="000000"/>
        </w:rPr>
        <w:t xml:space="preserve"> database</w:t>
      </w:r>
      <w:r w:rsidR="0096157F" w:rsidRPr="00506A68">
        <w:rPr>
          <w:rFonts w:ascii="Arial" w:hAnsi="Arial" w:cs="Arial"/>
          <w:color w:val="000000"/>
        </w:rPr>
        <w:t xml:space="preserve"> </w:t>
      </w:r>
      <w:r w:rsidR="00172DFD" w:rsidRPr="00506A68">
        <w:rPr>
          <w:rFonts w:ascii="Arial" w:hAnsi="Arial" w:cs="Arial"/>
          <w:color w:val="000000"/>
        </w:rPr>
        <w:t>[</w:t>
      </w:r>
      <w:r w:rsidR="00E5184B">
        <w:rPr>
          <w:rFonts w:ascii="Arial" w:eastAsia="Arial" w:hAnsi="Arial" w:cs="Arial"/>
        </w:rPr>
        <w:t>8</w:t>
      </w:r>
      <w:r w:rsidR="00172DFD" w:rsidRPr="00506A68">
        <w:rPr>
          <w:rFonts w:ascii="Arial" w:eastAsia="Arial" w:hAnsi="Arial" w:cs="Arial"/>
        </w:rPr>
        <w:t>]</w:t>
      </w:r>
      <w:r w:rsidR="0067167D" w:rsidRPr="00506A68">
        <w:rPr>
          <w:rFonts w:ascii="Arial" w:hAnsi="Arial" w:cs="Arial"/>
          <w:color w:val="000000"/>
        </w:rPr>
        <w:t xml:space="preserve"> </w:t>
      </w:r>
      <w:r w:rsidR="000E4E69">
        <w:rPr>
          <w:rFonts w:ascii="Arial" w:hAnsi="Arial" w:cs="Arial"/>
          <w:color w:val="000000"/>
        </w:rPr>
        <w:t xml:space="preserve">to create an external </w:t>
      </w:r>
      <w:r w:rsidR="007B0B7C">
        <w:rPr>
          <w:rFonts w:ascii="Arial" w:hAnsi="Arial" w:cs="Arial"/>
          <w:color w:val="000000"/>
        </w:rPr>
        <w:t>real-world data (</w:t>
      </w:r>
      <w:r w:rsidR="000E4E69">
        <w:rPr>
          <w:rFonts w:ascii="Arial" w:hAnsi="Arial" w:cs="Arial"/>
          <w:color w:val="000000"/>
        </w:rPr>
        <w:t>RWD</w:t>
      </w:r>
      <w:r w:rsidR="007B0B7C">
        <w:rPr>
          <w:rFonts w:ascii="Arial" w:hAnsi="Arial" w:cs="Arial"/>
          <w:color w:val="000000"/>
        </w:rPr>
        <w:t>)</w:t>
      </w:r>
      <w:r w:rsidR="000E4E69">
        <w:rPr>
          <w:rFonts w:ascii="Arial" w:hAnsi="Arial" w:cs="Arial"/>
          <w:color w:val="000000"/>
        </w:rPr>
        <w:t xml:space="preserve"> control arm that provides comparative evidence. The external RWD control and </w:t>
      </w:r>
      <w:r w:rsidR="0067167D" w:rsidRPr="00506A68">
        <w:rPr>
          <w:rFonts w:ascii="Arial" w:hAnsi="Arial" w:cs="Arial"/>
          <w:color w:val="000000"/>
        </w:rPr>
        <w:t>two single-arm phase II alectinib trials (</w:t>
      </w:r>
      <w:r w:rsidR="0067167D" w:rsidRPr="00506A68">
        <w:rPr>
          <w:rFonts w:ascii="Arial" w:eastAsia="Arial" w:hAnsi="Arial" w:cs="Arial"/>
        </w:rPr>
        <w:t>NP28673 and NP28761</w:t>
      </w:r>
      <w:r w:rsidR="0067167D" w:rsidRPr="00506A68">
        <w:rPr>
          <w:rFonts w:ascii="Arial" w:hAnsi="Arial" w:cs="Arial"/>
          <w:color w:val="000000"/>
        </w:rPr>
        <w:t xml:space="preserve">) were retrospectively </w:t>
      </w:r>
      <w:r w:rsidR="00535FBC" w:rsidRPr="00506A68">
        <w:rPr>
          <w:rFonts w:ascii="Arial" w:hAnsi="Arial" w:cs="Arial"/>
          <w:color w:val="000000"/>
        </w:rPr>
        <w:t>analy</w:t>
      </w:r>
      <w:r w:rsidR="00535FBC">
        <w:rPr>
          <w:rFonts w:ascii="Arial" w:hAnsi="Arial" w:cs="Arial"/>
          <w:color w:val="000000"/>
        </w:rPr>
        <w:t>z</w:t>
      </w:r>
      <w:r w:rsidR="00535FBC" w:rsidRPr="00506A68">
        <w:rPr>
          <w:rFonts w:ascii="Arial" w:hAnsi="Arial" w:cs="Arial"/>
          <w:color w:val="000000"/>
        </w:rPr>
        <w:t xml:space="preserve">ed </w:t>
      </w:r>
      <w:r w:rsidR="0067167D" w:rsidRPr="00506A68">
        <w:rPr>
          <w:rFonts w:ascii="Arial" w:hAnsi="Arial" w:cs="Arial"/>
          <w:color w:val="000000"/>
        </w:rPr>
        <w:t>to compare overall survival (OS)</w:t>
      </w:r>
      <w:r w:rsidR="0079109E" w:rsidRPr="00506A68">
        <w:rPr>
          <w:rFonts w:ascii="Arial" w:hAnsi="Arial" w:cs="Arial"/>
          <w:color w:val="000000"/>
        </w:rPr>
        <w:t xml:space="preserve"> in</w:t>
      </w:r>
      <w:r w:rsidR="002857EF" w:rsidRPr="00506A68">
        <w:rPr>
          <w:rFonts w:ascii="Arial" w:hAnsi="Arial" w:cs="Arial"/>
          <w:color w:val="000000"/>
        </w:rPr>
        <w:t xml:space="preserve"> </w:t>
      </w:r>
      <w:r w:rsidR="0067167D" w:rsidRPr="00506A68">
        <w:rPr>
          <w:rFonts w:ascii="Arial" w:hAnsi="Arial" w:cs="Arial"/>
          <w:color w:val="000000"/>
        </w:rPr>
        <w:t xml:space="preserve">patients with </w:t>
      </w:r>
      <w:r w:rsidR="0067167D" w:rsidRPr="00506A68">
        <w:rPr>
          <w:rFonts w:ascii="Arial" w:hAnsi="Arial" w:cs="Arial"/>
          <w:i/>
          <w:color w:val="000000"/>
        </w:rPr>
        <w:t>ALK</w:t>
      </w:r>
      <w:r w:rsidR="007B0B7C">
        <w:rPr>
          <w:rFonts w:ascii="Arial" w:hAnsi="Arial" w:cs="Arial"/>
          <w:color w:val="000000"/>
        </w:rPr>
        <w:t>+</w:t>
      </w:r>
      <w:r w:rsidR="009E3B71" w:rsidRPr="00506A68">
        <w:rPr>
          <w:rFonts w:ascii="Arial" w:hAnsi="Arial" w:cs="Arial"/>
          <w:color w:val="000000"/>
        </w:rPr>
        <w:t xml:space="preserve"> advanced </w:t>
      </w:r>
      <w:r w:rsidR="0067167D" w:rsidRPr="00506A68">
        <w:rPr>
          <w:rFonts w:ascii="Arial" w:hAnsi="Arial" w:cs="Arial"/>
          <w:color w:val="000000"/>
        </w:rPr>
        <w:t xml:space="preserve">NSCLC treated with </w:t>
      </w:r>
      <w:r w:rsidR="00DB4479" w:rsidRPr="00506A68">
        <w:rPr>
          <w:rFonts w:ascii="Arial" w:hAnsi="Arial" w:cs="Arial"/>
          <w:color w:val="000000"/>
        </w:rPr>
        <w:t xml:space="preserve">alectinib versus </w:t>
      </w:r>
      <w:r w:rsidR="006F59CE" w:rsidRPr="00506A68">
        <w:rPr>
          <w:rFonts w:ascii="Arial" w:hAnsi="Arial" w:cs="Arial"/>
          <w:color w:val="000000"/>
        </w:rPr>
        <w:t xml:space="preserve">ceritinib </w:t>
      </w:r>
      <w:r w:rsidR="00FA55A0" w:rsidRPr="00506A68">
        <w:rPr>
          <w:rFonts w:ascii="Arial" w:hAnsi="Arial" w:cs="Arial"/>
          <w:color w:val="000000"/>
        </w:rPr>
        <w:t>following</w:t>
      </w:r>
      <w:r w:rsidR="0067167D" w:rsidRPr="00506A68">
        <w:rPr>
          <w:rFonts w:ascii="Arial" w:hAnsi="Arial" w:cs="Arial"/>
          <w:color w:val="000000"/>
        </w:rPr>
        <w:t xml:space="preserve"> crizotinib failure (CF). </w:t>
      </w:r>
    </w:p>
    <w:p w14:paraId="701D6331" w14:textId="319A14A9" w:rsidR="00610B62" w:rsidRDefault="00610B62" w:rsidP="001074FC">
      <w:pPr>
        <w:spacing w:after="0" w:line="480" w:lineRule="auto"/>
        <w:rPr>
          <w:rFonts w:ascii="Arial" w:hAnsi="Arial" w:cs="Arial"/>
          <w:b/>
          <w:color w:val="000000"/>
        </w:rPr>
      </w:pPr>
    </w:p>
    <w:p w14:paraId="7F17549C" w14:textId="77777777" w:rsidR="008F23FC" w:rsidRPr="00506A68" w:rsidRDefault="008F23FC" w:rsidP="001074FC">
      <w:pPr>
        <w:spacing w:after="0" w:line="480" w:lineRule="auto"/>
        <w:rPr>
          <w:rFonts w:ascii="Arial" w:hAnsi="Arial" w:cs="Arial"/>
          <w:b/>
          <w:color w:val="000000"/>
        </w:rPr>
      </w:pPr>
    </w:p>
    <w:p w14:paraId="1C420064" w14:textId="329AE373" w:rsidR="00B7583E" w:rsidRPr="001074FC" w:rsidRDefault="001A17A7" w:rsidP="001074FC">
      <w:pPr>
        <w:spacing w:after="0" w:line="480" w:lineRule="auto"/>
        <w:rPr>
          <w:rFonts w:ascii="Arial" w:hAnsi="Arial" w:cs="Arial"/>
          <w:b/>
          <w:color w:val="000000"/>
          <w:sz w:val="28"/>
          <w:szCs w:val="28"/>
        </w:rPr>
      </w:pPr>
      <w:r>
        <w:rPr>
          <w:rFonts w:ascii="Arial" w:hAnsi="Arial" w:cs="Arial"/>
          <w:b/>
          <w:color w:val="000000"/>
          <w:sz w:val="28"/>
          <w:szCs w:val="28"/>
        </w:rPr>
        <w:lastRenderedPageBreak/>
        <w:t xml:space="preserve">Materials &amp; </w:t>
      </w:r>
      <w:r w:rsidR="005634BB" w:rsidRPr="001074FC">
        <w:rPr>
          <w:rFonts w:ascii="Arial" w:hAnsi="Arial" w:cs="Arial"/>
          <w:b/>
          <w:color w:val="000000"/>
          <w:sz w:val="28"/>
          <w:szCs w:val="28"/>
        </w:rPr>
        <w:t>Methods</w:t>
      </w:r>
    </w:p>
    <w:p w14:paraId="2B15CCBA" w14:textId="1E723085" w:rsidR="00DB0238" w:rsidRPr="001074FC" w:rsidRDefault="00630210" w:rsidP="001074FC">
      <w:pPr>
        <w:spacing w:after="0" w:line="480" w:lineRule="auto"/>
        <w:rPr>
          <w:rFonts w:ascii="Arial" w:eastAsia="Arial" w:hAnsi="Arial" w:cs="Arial"/>
          <w:sz w:val="28"/>
          <w:szCs w:val="28"/>
        </w:rPr>
      </w:pPr>
      <w:r w:rsidRPr="001074FC">
        <w:rPr>
          <w:rFonts w:ascii="Arial" w:eastAsia="Arial" w:hAnsi="Arial" w:cs="Arial"/>
          <w:sz w:val="28"/>
          <w:szCs w:val="28"/>
        </w:rPr>
        <w:t>Study population and data sources</w:t>
      </w:r>
    </w:p>
    <w:p w14:paraId="14F2445D" w14:textId="66DCF524" w:rsidR="00052B48" w:rsidRPr="00506A68" w:rsidRDefault="00E13C09" w:rsidP="001074FC">
      <w:pPr>
        <w:spacing w:after="0" w:line="480" w:lineRule="auto"/>
        <w:rPr>
          <w:rFonts w:ascii="Arial" w:hAnsi="Arial" w:cs="Arial"/>
        </w:rPr>
      </w:pPr>
      <w:r w:rsidRPr="00506A68">
        <w:rPr>
          <w:rFonts w:ascii="Arial" w:eastAsia="Arial" w:hAnsi="Arial" w:cs="Arial"/>
        </w:rPr>
        <w:t>T</w:t>
      </w:r>
      <w:r w:rsidR="004562A3" w:rsidRPr="00506A68">
        <w:rPr>
          <w:rFonts w:ascii="Arial" w:eastAsia="Arial" w:hAnsi="Arial" w:cs="Arial"/>
        </w:rPr>
        <w:t xml:space="preserve">he </w:t>
      </w:r>
      <w:r w:rsidR="00DB0238" w:rsidRPr="00506A68">
        <w:rPr>
          <w:rFonts w:ascii="Arial" w:eastAsia="Arial" w:hAnsi="Arial" w:cs="Arial"/>
        </w:rPr>
        <w:t xml:space="preserve">population was </w:t>
      </w:r>
      <w:r w:rsidR="008F1B2F" w:rsidRPr="00506A68">
        <w:rPr>
          <w:rFonts w:ascii="Arial" w:eastAsia="Arial" w:hAnsi="Arial" w:cs="Arial"/>
        </w:rPr>
        <w:t xml:space="preserve">derived from IPD of </w:t>
      </w:r>
      <w:r w:rsidR="00DB0238" w:rsidRPr="00506A68">
        <w:rPr>
          <w:rFonts w:ascii="Arial" w:eastAsia="Arial" w:hAnsi="Arial" w:cs="Arial"/>
        </w:rPr>
        <w:t>adult patients (≥18 years)</w:t>
      </w:r>
      <w:r w:rsidR="00B863E9" w:rsidRPr="00506A68">
        <w:rPr>
          <w:rFonts w:ascii="Arial" w:eastAsia="Arial" w:hAnsi="Arial" w:cs="Arial"/>
        </w:rPr>
        <w:t xml:space="preserve"> </w:t>
      </w:r>
      <w:r w:rsidR="00B863E9" w:rsidRPr="00506A68">
        <w:rPr>
          <w:rFonts w:ascii="Arial" w:hAnsi="Arial" w:cs="Arial"/>
          <w:bCs/>
          <w:iCs/>
          <w:u w:color="000000"/>
        </w:rPr>
        <w:t>diagnosed with locally advanced (Amer</w:t>
      </w:r>
      <w:r w:rsidR="000C3938" w:rsidRPr="00506A68">
        <w:rPr>
          <w:rFonts w:ascii="Arial" w:hAnsi="Arial" w:cs="Arial"/>
          <w:bCs/>
          <w:iCs/>
          <w:u w:color="000000"/>
        </w:rPr>
        <w:t>ican Joint Committee on Cancer [</w:t>
      </w:r>
      <w:r w:rsidR="00B863E9" w:rsidRPr="00506A68">
        <w:rPr>
          <w:rFonts w:ascii="Arial" w:hAnsi="Arial" w:cs="Arial"/>
          <w:bCs/>
          <w:iCs/>
          <w:u w:color="000000"/>
        </w:rPr>
        <w:t>AJC</w:t>
      </w:r>
      <w:r w:rsidR="000C3938" w:rsidRPr="00506A68">
        <w:rPr>
          <w:rFonts w:ascii="Arial" w:hAnsi="Arial" w:cs="Arial"/>
          <w:bCs/>
          <w:iCs/>
          <w:u w:color="000000"/>
        </w:rPr>
        <w:t>C]</w:t>
      </w:r>
      <w:r w:rsidR="00B863E9" w:rsidRPr="00506A68">
        <w:rPr>
          <w:rFonts w:ascii="Arial" w:hAnsi="Arial" w:cs="Arial"/>
          <w:bCs/>
          <w:iCs/>
          <w:u w:color="000000"/>
        </w:rPr>
        <w:t xml:space="preserve"> stage IIIB</w:t>
      </w:r>
      <w:r w:rsidR="004C2E57" w:rsidRPr="00506A68">
        <w:rPr>
          <w:rFonts w:ascii="Arial" w:hAnsi="Arial" w:cs="Arial"/>
          <w:bCs/>
          <w:iCs/>
          <w:u w:color="000000"/>
        </w:rPr>
        <w:t>, not amenable to curative therapy</w:t>
      </w:r>
      <w:r w:rsidR="00B863E9" w:rsidRPr="00506A68">
        <w:rPr>
          <w:rFonts w:ascii="Arial" w:hAnsi="Arial" w:cs="Arial"/>
          <w:bCs/>
          <w:iCs/>
          <w:u w:color="000000"/>
        </w:rPr>
        <w:t>) or metastatic (AJCC stage IV) NSCLC</w:t>
      </w:r>
      <w:r w:rsidR="00B863E9" w:rsidRPr="00506A68">
        <w:rPr>
          <w:rFonts w:ascii="Arial" w:eastAsia="Arial" w:hAnsi="Arial" w:cs="Arial"/>
        </w:rPr>
        <w:t xml:space="preserve">, </w:t>
      </w:r>
      <w:r w:rsidR="00DB0238" w:rsidRPr="00506A68">
        <w:rPr>
          <w:rFonts w:ascii="Arial" w:eastAsia="Arial" w:hAnsi="Arial" w:cs="Arial"/>
        </w:rPr>
        <w:t xml:space="preserve">with </w:t>
      </w:r>
      <w:r w:rsidR="00B863E9" w:rsidRPr="00506A68">
        <w:rPr>
          <w:rFonts w:ascii="Arial" w:eastAsia="Arial" w:hAnsi="Arial" w:cs="Arial"/>
        </w:rPr>
        <w:t xml:space="preserve">a </w:t>
      </w:r>
      <w:r w:rsidR="00DB0238" w:rsidRPr="00506A68">
        <w:rPr>
          <w:rFonts w:ascii="Arial" w:eastAsia="Arial" w:hAnsi="Arial" w:cs="Arial"/>
        </w:rPr>
        <w:t xml:space="preserve">documented </w:t>
      </w:r>
      <w:r w:rsidR="00DB0238" w:rsidRPr="00506A68">
        <w:rPr>
          <w:rFonts w:ascii="Arial" w:eastAsia="Arial" w:hAnsi="Arial" w:cs="Arial"/>
          <w:i/>
        </w:rPr>
        <w:t xml:space="preserve">ALK </w:t>
      </w:r>
      <w:r w:rsidR="00DB0238" w:rsidRPr="00506A68">
        <w:rPr>
          <w:rFonts w:ascii="Arial" w:eastAsia="Arial" w:hAnsi="Arial" w:cs="Arial"/>
        </w:rPr>
        <w:t>rearrangement</w:t>
      </w:r>
      <w:r w:rsidR="00B863E9" w:rsidRPr="00506A68">
        <w:rPr>
          <w:rFonts w:ascii="Arial" w:eastAsia="Arial" w:hAnsi="Arial" w:cs="Arial"/>
        </w:rPr>
        <w:t>,</w:t>
      </w:r>
      <w:r w:rsidR="00DB0238" w:rsidRPr="00506A68">
        <w:rPr>
          <w:rFonts w:ascii="Arial" w:eastAsia="Arial" w:hAnsi="Arial" w:cs="Arial"/>
        </w:rPr>
        <w:t xml:space="preserve"> </w:t>
      </w:r>
      <w:r w:rsidR="00B863E9" w:rsidRPr="00506A68">
        <w:rPr>
          <w:rFonts w:ascii="Arial" w:eastAsia="Arial" w:hAnsi="Arial" w:cs="Arial"/>
        </w:rPr>
        <w:t xml:space="preserve">and </w:t>
      </w:r>
      <w:r w:rsidR="004C2E57" w:rsidRPr="00506A68">
        <w:rPr>
          <w:rFonts w:ascii="Arial" w:eastAsia="Arial" w:hAnsi="Arial" w:cs="Arial"/>
        </w:rPr>
        <w:t xml:space="preserve">who </w:t>
      </w:r>
      <w:r w:rsidR="00DB0238" w:rsidRPr="00506A68">
        <w:rPr>
          <w:rFonts w:ascii="Arial" w:eastAsia="Arial" w:hAnsi="Arial" w:cs="Arial"/>
        </w:rPr>
        <w:t>had experienced di</w:t>
      </w:r>
      <w:r w:rsidR="00E378D2" w:rsidRPr="00506A68">
        <w:rPr>
          <w:rFonts w:ascii="Arial" w:eastAsia="Arial" w:hAnsi="Arial" w:cs="Arial"/>
        </w:rPr>
        <w:t>sease progression on crizotinib</w:t>
      </w:r>
      <w:r w:rsidR="00024A17">
        <w:rPr>
          <w:rFonts w:ascii="Arial" w:eastAsia="Arial" w:hAnsi="Arial" w:cs="Arial"/>
        </w:rPr>
        <w:t xml:space="preserve"> </w:t>
      </w:r>
      <w:r w:rsidR="002B53ED" w:rsidRPr="00506A68">
        <w:rPr>
          <w:rFonts w:ascii="Arial" w:eastAsia="Arial" w:hAnsi="Arial" w:cs="Arial"/>
        </w:rPr>
        <w:t>Two</w:t>
      </w:r>
      <w:r w:rsidR="00B863E9" w:rsidRPr="00506A68">
        <w:rPr>
          <w:rFonts w:ascii="Arial" w:eastAsia="Arial" w:hAnsi="Arial" w:cs="Arial"/>
        </w:rPr>
        <w:t xml:space="preserve"> treatment </w:t>
      </w:r>
      <w:r w:rsidR="006F59CE" w:rsidRPr="00506A68">
        <w:rPr>
          <w:rFonts w:ascii="Arial" w:eastAsia="Arial" w:hAnsi="Arial" w:cs="Arial"/>
        </w:rPr>
        <w:t xml:space="preserve">arms </w:t>
      </w:r>
      <w:r w:rsidR="002B53ED" w:rsidRPr="00506A68">
        <w:rPr>
          <w:rFonts w:ascii="Arial" w:eastAsia="Arial" w:hAnsi="Arial" w:cs="Arial"/>
        </w:rPr>
        <w:t>were constructed</w:t>
      </w:r>
      <w:r w:rsidR="00AF3706" w:rsidRPr="00506A68">
        <w:rPr>
          <w:rFonts w:ascii="Arial" w:eastAsia="Arial" w:hAnsi="Arial" w:cs="Arial"/>
        </w:rPr>
        <w:t xml:space="preserve">: </w:t>
      </w:r>
      <w:r w:rsidR="000C3938" w:rsidRPr="00506A68">
        <w:rPr>
          <w:rFonts w:ascii="Arial" w:eastAsia="Arial" w:hAnsi="Arial" w:cs="Arial"/>
        </w:rPr>
        <w:t xml:space="preserve">alectinib </w:t>
      </w:r>
      <w:r w:rsidR="002B53ED" w:rsidRPr="00506A68">
        <w:rPr>
          <w:rFonts w:ascii="Arial" w:eastAsia="Arial" w:hAnsi="Arial" w:cs="Arial"/>
        </w:rPr>
        <w:t xml:space="preserve">and </w:t>
      </w:r>
      <w:r w:rsidR="000C3938" w:rsidRPr="00506A68">
        <w:rPr>
          <w:rFonts w:ascii="Arial" w:eastAsia="Arial" w:hAnsi="Arial" w:cs="Arial"/>
        </w:rPr>
        <w:t>ceritinib</w:t>
      </w:r>
      <w:r w:rsidR="001658D8" w:rsidRPr="00506A68">
        <w:rPr>
          <w:rFonts w:ascii="Arial" w:eastAsia="Arial" w:hAnsi="Arial" w:cs="Arial"/>
        </w:rPr>
        <w:t>.</w:t>
      </w:r>
      <w:r w:rsidRPr="00506A68">
        <w:rPr>
          <w:rFonts w:ascii="Arial" w:eastAsia="Arial" w:hAnsi="Arial" w:cs="Arial"/>
        </w:rPr>
        <w:t xml:space="preserve"> The alectinib treatment </w:t>
      </w:r>
      <w:r w:rsidR="006F59CE" w:rsidRPr="00506A68">
        <w:rPr>
          <w:rFonts w:ascii="Arial" w:eastAsia="Arial" w:hAnsi="Arial" w:cs="Arial"/>
        </w:rPr>
        <w:t xml:space="preserve">arm </w:t>
      </w:r>
      <w:r w:rsidRPr="00506A68">
        <w:rPr>
          <w:rFonts w:ascii="Arial" w:eastAsia="Arial" w:hAnsi="Arial" w:cs="Arial"/>
        </w:rPr>
        <w:t xml:space="preserve">was derived by pooling data </w:t>
      </w:r>
      <w:r w:rsidR="00073599">
        <w:rPr>
          <w:rFonts w:ascii="Arial" w:eastAsia="Arial" w:hAnsi="Arial" w:cs="Arial"/>
        </w:rPr>
        <w:t xml:space="preserve">from patients </w:t>
      </w:r>
      <w:r w:rsidRPr="00506A68">
        <w:rPr>
          <w:rFonts w:ascii="Arial" w:eastAsia="Arial" w:hAnsi="Arial" w:cs="Arial"/>
        </w:rPr>
        <w:t>enrolled in two phase II studies (</w:t>
      </w:r>
      <w:r w:rsidRPr="00506A68">
        <w:rPr>
          <w:rFonts w:ascii="Arial" w:hAnsi="Arial" w:cs="Arial"/>
        </w:rPr>
        <w:t xml:space="preserve">Global study </w:t>
      </w:r>
      <w:r w:rsidRPr="00506A68">
        <w:rPr>
          <w:rFonts w:ascii="Arial" w:eastAsia="Arial" w:hAnsi="Arial" w:cs="Arial"/>
        </w:rPr>
        <w:t>NP28673 [NCT</w:t>
      </w:r>
      <w:r w:rsidRPr="00506A68">
        <w:rPr>
          <w:rFonts w:ascii="Arial" w:hAnsi="Arial" w:cs="Arial"/>
        </w:rPr>
        <w:t xml:space="preserve">01801111] </w:t>
      </w:r>
      <w:r w:rsidR="00752DBA">
        <w:rPr>
          <w:rFonts w:ascii="Arial" w:hAnsi="Arial" w:cs="Arial"/>
        </w:rPr>
        <w:t>[9</w:t>
      </w:r>
      <w:r w:rsidR="00172DFD" w:rsidRPr="00506A68">
        <w:rPr>
          <w:rFonts w:ascii="Arial" w:hAnsi="Arial" w:cs="Arial"/>
        </w:rPr>
        <w:t>]</w:t>
      </w:r>
      <w:r w:rsidRPr="00506A68">
        <w:rPr>
          <w:rFonts w:ascii="Arial" w:hAnsi="Arial" w:cs="Arial"/>
        </w:rPr>
        <w:t xml:space="preserve">; </w:t>
      </w:r>
      <w:r w:rsidRPr="00506A68">
        <w:rPr>
          <w:rFonts w:ascii="Arial" w:eastAsia="Arial" w:hAnsi="Arial" w:cs="Arial"/>
        </w:rPr>
        <w:t>and North American study NP28761 [NCT</w:t>
      </w:r>
      <w:r w:rsidRPr="00506A68">
        <w:rPr>
          <w:rFonts w:ascii="Arial" w:hAnsi="Arial" w:cs="Arial"/>
        </w:rPr>
        <w:t>01871805]</w:t>
      </w:r>
      <w:r w:rsidR="002D4E39" w:rsidRPr="00506A68">
        <w:rPr>
          <w:rFonts w:ascii="Arial" w:hAnsi="Arial" w:cs="Arial"/>
        </w:rPr>
        <w:t xml:space="preserve"> </w:t>
      </w:r>
      <w:r w:rsidR="00E5184B">
        <w:rPr>
          <w:rFonts w:ascii="Arial" w:hAnsi="Arial" w:cs="Arial"/>
        </w:rPr>
        <w:t>[10</w:t>
      </w:r>
      <w:r w:rsidR="00172DFD" w:rsidRPr="00506A68">
        <w:rPr>
          <w:rFonts w:ascii="Arial" w:hAnsi="Arial" w:cs="Arial"/>
        </w:rPr>
        <w:t>]</w:t>
      </w:r>
      <w:r w:rsidR="002D4E39" w:rsidRPr="00506A68">
        <w:rPr>
          <w:rFonts w:ascii="Arial" w:hAnsi="Arial" w:cs="Arial"/>
        </w:rPr>
        <w:t>)</w:t>
      </w:r>
      <w:r w:rsidRPr="00506A68">
        <w:rPr>
          <w:rFonts w:ascii="Arial" w:hAnsi="Arial" w:cs="Arial"/>
        </w:rPr>
        <w:t xml:space="preserve">. To derive the ceritinib </w:t>
      </w:r>
      <w:r w:rsidR="00CB028C" w:rsidRPr="00506A68">
        <w:rPr>
          <w:rFonts w:ascii="Arial" w:hAnsi="Arial" w:cs="Arial"/>
        </w:rPr>
        <w:t>arm</w:t>
      </w:r>
      <w:r w:rsidRPr="00506A68">
        <w:rPr>
          <w:rFonts w:ascii="Arial" w:hAnsi="Arial" w:cs="Arial"/>
        </w:rPr>
        <w:t xml:space="preserve">, IPD were extracted by applying inclusion and exclusion criteria from the NP28673 and NP28761 clinical trials to the EHR </w:t>
      </w:r>
      <w:r w:rsidR="00A1559E">
        <w:rPr>
          <w:rFonts w:ascii="Arial" w:hAnsi="Arial" w:cs="Arial"/>
        </w:rPr>
        <w:t xml:space="preserve">derived </w:t>
      </w:r>
      <w:r w:rsidRPr="00506A68">
        <w:rPr>
          <w:rFonts w:ascii="Arial" w:hAnsi="Arial" w:cs="Arial"/>
        </w:rPr>
        <w:t>database</w:t>
      </w:r>
      <w:r w:rsidR="00A1559E">
        <w:rPr>
          <w:rFonts w:ascii="Arial" w:hAnsi="Arial" w:cs="Arial"/>
        </w:rPr>
        <w:t xml:space="preserve"> (Flatiron Health)</w:t>
      </w:r>
      <w:r w:rsidRPr="00506A68">
        <w:rPr>
          <w:rFonts w:ascii="Arial" w:hAnsi="Arial" w:cs="Arial"/>
        </w:rPr>
        <w:t xml:space="preserve">. After blending the two treatment </w:t>
      </w:r>
      <w:r w:rsidR="0078077E" w:rsidRPr="00506A68">
        <w:rPr>
          <w:rFonts w:ascii="Arial" w:hAnsi="Arial" w:cs="Arial"/>
        </w:rPr>
        <w:t>cohort</w:t>
      </w:r>
      <w:r w:rsidRPr="00506A68">
        <w:rPr>
          <w:rFonts w:ascii="Arial" w:hAnsi="Arial" w:cs="Arial"/>
        </w:rPr>
        <w:t xml:space="preserve">s, additional exclusion criteria were applied </w:t>
      </w:r>
      <w:r w:rsidR="001514EF" w:rsidRPr="00506A68">
        <w:rPr>
          <w:rFonts w:ascii="Arial" w:hAnsi="Arial" w:cs="Arial"/>
        </w:rPr>
        <w:t>to address the</w:t>
      </w:r>
      <w:r w:rsidRPr="00506A68">
        <w:rPr>
          <w:rFonts w:ascii="Arial" w:hAnsi="Arial" w:cs="Arial"/>
        </w:rPr>
        <w:t xml:space="preserve"> imbalances between the ceritinib and alectinib </w:t>
      </w:r>
      <w:r w:rsidR="0078077E" w:rsidRPr="00506A68">
        <w:rPr>
          <w:rFonts w:ascii="Arial" w:hAnsi="Arial" w:cs="Arial"/>
        </w:rPr>
        <w:t>cohort</w:t>
      </w:r>
      <w:r w:rsidRPr="00506A68">
        <w:rPr>
          <w:rFonts w:ascii="Arial" w:hAnsi="Arial" w:cs="Arial"/>
        </w:rPr>
        <w:t xml:space="preserve">s </w:t>
      </w:r>
      <w:r w:rsidR="00B71F54" w:rsidRPr="00506A68">
        <w:rPr>
          <w:rFonts w:ascii="Arial" w:hAnsi="Arial" w:cs="Arial"/>
        </w:rPr>
        <w:t>in</w:t>
      </w:r>
      <w:r w:rsidRPr="00506A68">
        <w:rPr>
          <w:rFonts w:ascii="Arial" w:hAnsi="Arial" w:cs="Arial"/>
        </w:rPr>
        <w:t xml:space="preserve"> stage of diagnosis and treatment with crizotinib </w:t>
      </w:r>
      <w:r w:rsidR="00B71F54" w:rsidRPr="00506A68">
        <w:rPr>
          <w:rFonts w:ascii="Arial" w:hAnsi="Arial" w:cs="Arial"/>
        </w:rPr>
        <w:t>post-</w:t>
      </w:r>
      <w:r w:rsidRPr="00506A68">
        <w:rPr>
          <w:rFonts w:ascii="Arial" w:hAnsi="Arial" w:cs="Arial"/>
        </w:rPr>
        <w:t>progression (</w:t>
      </w:r>
      <w:r w:rsidR="00B71F54" w:rsidRPr="00506A68">
        <w:rPr>
          <w:rFonts w:ascii="Arial" w:hAnsi="Arial" w:cs="Arial"/>
        </w:rPr>
        <w:t>f</w:t>
      </w:r>
      <w:r w:rsidRPr="00506A68">
        <w:rPr>
          <w:rFonts w:ascii="Arial" w:hAnsi="Arial" w:cs="Arial"/>
        </w:rPr>
        <w:t>urther details can be found in the supplementary section)</w:t>
      </w:r>
      <w:r w:rsidR="00603710" w:rsidRPr="00506A68">
        <w:rPr>
          <w:rFonts w:ascii="Arial" w:hAnsi="Arial" w:cs="Arial"/>
        </w:rPr>
        <w:t>.</w:t>
      </w:r>
    </w:p>
    <w:p w14:paraId="3FA758A2" w14:textId="77777777" w:rsidR="000A1B92" w:rsidRPr="00506A68" w:rsidRDefault="000A1B92" w:rsidP="001074FC">
      <w:pPr>
        <w:spacing w:after="0" w:line="480" w:lineRule="auto"/>
        <w:rPr>
          <w:rFonts w:ascii="Arial" w:hAnsi="Arial" w:cs="Arial"/>
        </w:rPr>
      </w:pPr>
    </w:p>
    <w:p w14:paraId="2D355DB5" w14:textId="249FD757" w:rsidR="00664E01" w:rsidRPr="001074FC" w:rsidRDefault="00664E01" w:rsidP="001074FC">
      <w:pPr>
        <w:spacing w:after="0" w:line="480" w:lineRule="auto"/>
        <w:rPr>
          <w:rFonts w:ascii="Arial" w:eastAsia="Arial" w:hAnsi="Arial" w:cs="Arial"/>
          <w:sz w:val="28"/>
          <w:szCs w:val="28"/>
        </w:rPr>
      </w:pPr>
      <w:r w:rsidRPr="001074FC">
        <w:rPr>
          <w:rFonts w:ascii="Arial" w:eastAsia="Arial" w:hAnsi="Arial" w:cs="Arial"/>
          <w:sz w:val="28"/>
          <w:szCs w:val="28"/>
        </w:rPr>
        <w:t>Statistical analysis</w:t>
      </w:r>
    </w:p>
    <w:p w14:paraId="7358ABE3" w14:textId="6D89676B" w:rsidR="00E13C09" w:rsidRPr="00506A68" w:rsidRDefault="00E13C09" w:rsidP="001074FC">
      <w:pPr>
        <w:spacing w:after="0" w:line="480" w:lineRule="auto"/>
        <w:rPr>
          <w:rFonts w:ascii="Arial" w:eastAsia="Arial" w:hAnsi="Arial" w:cs="Arial"/>
        </w:rPr>
      </w:pPr>
      <w:r w:rsidRPr="00506A68">
        <w:rPr>
          <w:rFonts w:ascii="Arial" w:eastAsia="Arial" w:hAnsi="Arial" w:cs="Arial"/>
        </w:rPr>
        <w:t>The primary endpoint was OS</w:t>
      </w:r>
      <w:r w:rsidR="00662610" w:rsidRPr="00506A68">
        <w:rPr>
          <w:rFonts w:ascii="Arial" w:eastAsia="Arial" w:hAnsi="Arial" w:cs="Arial"/>
        </w:rPr>
        <w:t>,</w:t>
      </w:r>
      <w:r w:rsidRPr="00506A68">
        <w:rPr>
          <w:rFonts w:ascii="Arial" w:eastAsia="Arial" w:hAnsi="Arial" w:cs="Arial"/>
        </w:rPr>
        <w:t xml:space="preserve"> defined as the time from the date of initiation of </w:t>
      </w:r>
      <w:r w:rsidR="004C18B3" w:rsidRPr="00506A68">
        <w:rPr>
          <w:rFonts w:ascii="Arial" w:eastAsia="Arial" w:hAnsi="Arial" w:cs="Arial"/>
        </w:rPr>
        <w:t xml:space="preserve">alectinib or </w:t>
      </w:r>
      <w:r w:rsidRPr="00506A68">
        <w:rPr>
          <w:rFonts w:ascii="Arial" w:eastAsia="Arial" w:hAnsi="Arial" w:cs="Arial"/>
        </w:rPr>
        <w:t xml:space="preserve">ceritinib until death from any cause. Patients were censored on their date of last visit, if they were still on </w:t>
      </w:r>
      <w:r w:rsidR="00D17E55" w:rsidRPr="00506A68">
        <w:rPr>
          <w:rFonts w:ascii="Arial" w:eastAsia="Arial" w:hAnsi="Arial" w:cs="Arial"/>
        </w:rPr>
        <w:t xml:space="preserve">their previous </w:t>
      </w:r>
      <w:r w:rsidRPr="00506A68">
        <w:rPr>
          <w:rFonts w:ascii="Arial" w:eastAsia="Arial" w:hAnsi="Arial" w:cs="Arial"/>
        </w:rPr>
        <w:t>treatment at the end of the study period or if their death could not be confirmed.</w:t>
      </w:r>
    </w:p>
    <w:p w14:paraId="1040396D" w14:textId="16F59665" w:rsidR="00131739" w:rsidRPr="00506A68" w:rsidRDefault="00131739" w:rsidP="001074FC">
      <w:pPr>
        <w:spacing w:after="0" w:line="480" w:lineRule="auto"/>
        <w:ind w:firstLine="426"/>
        <w:rPr>
          <w:rFonts w:ascii="Arial" w:hAnsi="Arial" w:cs="Arial"/>
        </w:rPr>
      </w:pPr>
      <w:r w:rsidRPr="00506A68">
        <w:rPr>
          <w:rFonts w:ascii="Arial" w:hAnsi="Arial" w:cs="Arial"/>
        </w:rPr>
        <w:t>To reduce indication bias, a logit propensity score was estimated by regressing treatment assignment (alectinib vs ceritinib) on key prognostic factors that were</w:t>
      </w:r>
      <w:r w:rsidR="00A46DED" w:rsidRPr="00506A68">
        <w:rPr>
          <w:rFonts w:ascii="Arial" w:hAnsi="Arial" w:cs="Arial"/>
        </w:rPr>
        <w:t xml:space="preserve"> previously</w:t>
      </w:r>
      <w:r w:rsidRPr="00506A68">
        <w:rPr>
          <w:rFonts w:ascii="Arial" w:hAnsi="Arial" w:cs="Arial"/>
        </w:rPr>
        <w:t xml:space="preserve"> identified and similarly defined across populations (age, gender, race, stage</w:t>
      </w:r>
      <w:r w:rsidR="0079109E" w:rsidRPr="00506A68">
        <w:rPr>
          <w:rFonts w:ascii="Arial" w:hAnsi="Arial" w:cs="Arial"/>
        </w:rPr>
        <w:t xml:space="preserve"> at initial diagnosis</w:t>
      </w:r>
      <w:r w:rsidR="00F25595">
        <w:rPr>
          <w:rFonts w:ascii="Arial" w:hAnsi="Arial" w:cs="Arial"/>
        </w:rPr>
        <w:t>, prior lines of therapy</w:t>
      </w:r>
      <w:r w:rsidRPr="00506A68">
        <w:rPr>
          <w:rFonts w:ascii="Arial" w:hAnsi="Arial" w:cs="Arial"/>
        </w:rPr>
        <w:t xml:space="preserve"> </w:t>
      </w:r>
      <w:r w:rsidR="00E5184B">
        <w:rPr>
          <w:rFonts w:ascii="Arial" w:hAnsi="Arial" w:cs="Arial"/>
        </w:rPr>
        <w:t>[11,12</w:t>
      </w:r>
      <w:r w:rsidR="00172DFD" w:rsidRPr="00506A68">
        <w:rPr>
          <w:rFonts w:ascii="Arial" w:hAnsi="Arial" w:cs="Arial"/>
        </w:rPr>
        <w:t>]</w:t>
      </w:r>
      <w:r w:rsidRPr="00506A68">
        <w:rPr>
          <w:rFonts w:ascii="Arial" w:hAnsi="Arial" w:cs="Arial"/>
        </w:rPr>
        <w:t xml:space="preserve">). </w:t>
      </w:r>
      <w:r w:rsidRPr="00506A68">
        <w:rPr>
          <w:rFonts w:ascii="Arial" w:eastAsia="Arial" w:hAnsi="Arial" w:cs="Arial"/>
        </w:rPr>
        <w:t xml:space="preserve">The propensity score was applied </w:t>
      </w:r>
      <w:r w:rsidR="002D1529" w:rsidRPr="00506A68">
        <w:rPr>
          <w:rFonts w:ascii="Arial" w:eastAsia="Arial" w:hAnsi="Arial" w:cs="Arial"/>
        </w:rPr>
        <w:t xml:space="preserve">via inverse probability treatment weighting (IPTW) with </w:t>
      </w:r>
      <w:r w:rsidR="00F43F2F" w:rsidRPr="00506A68">
        <w:rPr>
          <w:rFonts w:ascii="Arial" w:eastAsia="Arial" w:hAnsi="Arial" w:cs="Arial"/>
        </w:rPr>
        <w:t>stabili</w:t>
      </w:r>
      <w:r w:rsidR="00F43F2F">
        <w:rPr>
          <w:rFonts w:ascii="Arial" w:eastAsia="Arial" w:hAnsi="Arial" w:cs="Arial"/>
        </w:rPr>
        <w:t>z</w:t>
      </w:r>
      <w:r w:rsidR="00F43F2F" w:rsidRPr="00506A68">
        <w:rPr>
          <w:rFonts w:ascii="Arial" w:eastAsia="Arial" w:hAnsi="Arial" w:cs="Arial"/>
        </w:rPr>
        <w:t xml:space="preserve">ed </w:t>
      </w:r>
      <w:r w:rsidR="002D1529" w:rsidRPr="00506A68">
        <w:rPr>
          <w:rFonts w:ascii="Arial" w:eastAsia="Arial" w:hAnsi="Arial" w:cs="Arial"/>
        </w:rPr>
        <w:t xml:space="preserve">weights, the </w:t>
      </w:r>
      <w:r w:rsidRPr="00506A68">
        <w:rPr>
          <w:rFonts w:ascii="Arial" w:eastAsia="Arial" w:hAnsi="Arial" w:cs="Arial"/>
        </w:rPr>
        <w:t>most general approach for the primary analys</w:t>
      </w:r>
      <w:r w:rsidR="00F25595">
        <w:rPr>
          <w:rFonts w:ascii="Arial" w:eastAsia="Arial" w:hAnsi="Arial" w:cs="Arial"/>
        </w:rPr>
        <w:t xml:space="preserve">is. </w:t>
      </w:r>
      <w:r w:rsidRPr="00506A68">
        <w:rPr>
          <w:rFonts w:ascii="Arial" w:eastAsia="Arial" w:hAnsi="Arial" w:cs="Arial"/>
        </w:rPr>
        <w:t xml:space="preserve">Trimming was applied pre-weighting to </w:t>
      </w:r>
      <w:r w:rsidRPr="00506A68">
        <w:rPr>
          <w:rFonts w:ascii="Arial" w:hAnsi="Arial" w:cs="Arial"/>
        </w:rPr>
        <w:t xml:space="preserve">include only </w:t>
      </w:r>
      <w:r w:rsidRPr="00506A68">
        <w:rPr>
          <w:rFonts w:ascii="Arial" w:eastAsia="Arial" w:hAnsi="Arial" w:cs="Arial"/>
        </w:rPr>
        <w:t xml:space="preserve">patients with an overlapping distribution of propensity scores </w:t>
      </w:r>
      <w:r w:rsidR="00E5184B">
        <w:rPr>
          <w:rFonts w:ascii="Arial" w:eastAsia="Arial" w:hAnsi="Arial" w:cs="Arial"/>
        </w:rPr>
        <w:t>[13,14</w:t>
      </w:r>
      <w:r w:rsidR="00172DFD" w:rsidRPr="00506A68">
        <w:rPr>
          <w:rFonts w:ascii="Arial" w:eastAsia="Arial" w:hAnsi="Arial" w:cs="Arial"/>
        </w:rPr>
        <w:t>]</w:t>
      </w:r>
      <w:r w:rsidRPr="00506A68">
        <w:rPr>
          <w:rFonts w:ascii="Arial" w:eastAsia="Arial" w:hAnsi="Arial" w:cs="Arial"/>
        </w:rPr>
        <w:t xml:space="preserve">. Graphical display of the propensity </w:t>
      </w:r>
      <w:r w:rsidRPr="00506A68">
        <w:rPr>
          <w:rFonts w:ascii="Arial" w:eastAsia="Arial" w:hAnsi="Arial" w:cs="Arial"/>
        </w:rPr>
        <w:lastRenderedPageBreak/>
        <w:t>score was used to assess the distribution pre</w:t>
      </w:r>
      <w:r w:rsidR="0072722B">
        <w:rPr>
          <w:rFonts w:ascii="Arial" w:eastAsia="Arial" w:hAnsi="Arial" w:cs="Arial"/>
        </w:rPr>
        <w:t>-</w:t>
      </w:r>
      <w:r w:rsidRPr="00506A68">
        <w:rPr>
          <w:rFonts w:ascii="Arial" w:eastAsia="Arial" w:hAnsi="Arial" w:cs="Arial"/>
        </w:rPr>
        <w:t xml:space="preserve"> and post</w:t>
      </w:r>
      <w:r w:rsidR="0072722B">
        <w:rPr>
          <w:rFonts w:ascii="Arial" w:eastAsia="Arial" w:hAnsi="Arial" w:cs="Arial"/>
        </w:rPr>
        <w:t>-</w:t>
      </w:r>
      <w:r w:rsidRPr="00506A68">
        <w:rPr>
          <w:rFonts w:ascii="Arial" w:eastAsia="Arial" w:hAnsi="Arial" w:cs="Arial"/>
        </w:rPr>
        <w:t>weighting</w:t>
      </w:r>
      <w:r w:rsidR="00C2307F" w:rsidRPr="00506A68">
        <w:rPr>
          <w:rFonts w:ascii="Arial" w:eastAsia="Arial" w:hAnsi="Arial" w:cs="Arial"/>
        </w:rPr>
        <w:t xml:space="preserve">. </w:t>
      </w:r>
      <w:r w:rsidR="00F43F2F" w:rsidRPr="00506A68">
        <w:rPr>
          <w:rFonts w:ascii="Arial" w:eastAsia="Arial" w:hAnsi="Arial" w:cs="Arial"/>
        </w:rPr>
        <w:t>Standardi</w:t>
      </w:r>
      <w:r w:rsidR="00F43F2F">
        <w:rPr>
          <w:rFonts w:ascii="Arial" w:eastAsia="Arial" w:hAnsi="Arial" w:cs="Arial"/>
        </w:rPr>
        <w:t>z</w:t>
      </w:r>
      <w:r w:rsidR="00F43F2F" w:rsidRPr="00506A68">
        <w:rPr>
          <w:rFonts w:ascii="Arial" w:eastAsia="Arial" w:hAnsi="Arial" w:cs="Arial"/>
        </w:rPr>
        <w:t xml:space="preserve">ed </w:t>
      </w:r>
      <w:r w:rsidRPr="00506A68">
        <w:rPr>
          <w:rFonts w:ascii="Arial" w:eastAsia="Arial" w:hAnsi="Arial" w:cs="Arial"/>
        </w:rPr>
        <w:t xml:space="preserve">mean differences (SMD) were computed for all covariates in the unadjusted (no propensity scores) and adjusted sample to assess the balance of the cohort. Any difference observed greater than 0.1 pooled standard deviation units indicated an imbalance </w:t>
      </w:r>
      <w:r w:rsidR="00E5184B">
        <w:rPr>
          <w:rFonts w:ascii="Arial" w:eastAsia="Arial" w:hAnsi="Arial" w:cs="Arial"/>
        </w:rPr>
        <w:t>[11,13</w:t>
      </w:r>
      <w:r w:rsidR="00172DFD" w:rsidRPr="00506A68">
        <w:rPr>
          <w:rFonts w:ascii="Arial" w:eastAsia="Arial" w:hAnsi="Arial" w:cs="Arial"/>
        </w:rPr>
        <w:t>]</w:t>
      </w:r>
      <w:r w:rsidRPr="00506A68">
        <w:rPr>
          <w:rFonts w:ascii="Arial" w:eastAsia="Arial" w:hAnsi="Arial" w:cs="Arial"/>
        </w:rPr>
        <w:t xml:space="preserve">. </w:t>
      </w:r>
    </w:p>
    <w:p w14:paraId="728D02ED" w14:textId="672D402E" w:rsidR="002D4E39" w:rsidRPr="00506A68" w:rsidRDefault="00E725E1" w:rsidP="001074FC">
      <w:pPr>
        <w:spacing w:after="0" w:line="480" w:lineRule="auto"/>
        <w:ind w:firstLine="426"/>
        <w:rPr>
          <w:rFonts w:ascii="Arial" w:eastAsia="Arial" w:hAnsi="Arial" w:cs="Arial"/>
        </w:rPr>
      </w:pPr>
      <w:r w:rsidRPr="00506A68">
        <w:rPr>
          <w:rFonts w:ascii="Arial" w:eastAsia="Arial" w:hAnsi="Arial" w:cs="Arial"/>
        </w:rPr>
        <w:t>Me</w:t>
      </w:r>
      <w:r w:rsidR="005770FE" w:rsidRPr="00506A68">
        <w:rPr>
          <w:rFonts w:ascii="Arial" w:eastAsia="Arial" w:hAnsi="Arial" w:cs="Arial"/>
        </w:rPr>
        <w:t>dian OS and corresponding 95% confidence interval</w:t>
      </w:r>
      <w:r w:rsidRPr="00506A68">
        <w:rPr>
          <w:rFonts w:ascii="Arial" w:eastAsia="Arial" w:hAnsi="Arial" w:cs="Arial"/>
        </w:rPr>
        <w:t>s</w:t>
      </w:r>
      <w:r w:rsidR="007D5C50" w:rsidRPr="00506A68">
        <w:rPr>
          <w:rFonts w:ascii="Arial" w:eastAsia="Arial" w:hAnsi="Arial" w:cs="Arial"/>
        </w:rPr>
        <w:t xml:space="preserve"> (CI</w:t>
      </w:r>
      <w:r w:rsidR="00F43F2F">
        <w:rPr>
          <w:rFonts w:ascii="Arial" w:eastAsia="Arial" w:hAnsi="Arial" w:cs="Arial"/>
        </w:rPr>
        <w:t>s</w:t>
      </w:r>
      <w:r w:rsidR="007D5C50" w:rsidRPr="00506A68">
        <w:rPr>
          <w:rFonts w:ascii="Arial" w:eastAsia="Arial" w:hAnsi="Arial" w:cs="Arial"/>
        </w:rPr>
        <w:t>)</w:t>
      </w:r>
      <w:r w:rsidRPr="00506A68">
        <w:rPr>
          <w:rFonts w:ascii="Arial" w:eastAsia="Arial" w:hAnsi="Arial" w:cs="Arial"/>
        </w:rPr>
        <w:t xml:space="preserve"> were provided for each of the </w:t>
      </w:r>
      <w:r w:rsidR="004C18B3" w:rsidRPr="00506A68">
        <w:rPr>
          <w:rFonts w:ascii="Arial" w:eastAsia="Arial" w:hAnsi="Arial" w:cs="Arial"/>
        </w:rPr>
        <w:t>treatment arms</w:t>
      </w:r>
      <w:r w:rsidR="002857EF" w:rsidRPr="00506A68">
        <w:rPr>
          <w:rFonts w:ascii="Arial" w:eastAsia="Arial" w:hAnsi="Arial" w:cs="Arial"/>
        </w:rPr>
        <w:t xml:space="preserve"> </w:t>
      </w:r>
      <w:r w:rsidRPr="00506A68">
        <w:rPr>
          <w:rFonts w:ascii="Arial" w:eastAsia="Arial" w:hAnsi="Arial" w:cs="Arial"/>
        </w:rPr>
        <w:t xml:space="preserve">and compared with </w:t>
      </w:r>
      <w:r w:rsidR="0023072B" w:rsidRPr="00506A68">
        <w:rPr>
          <w:rFonts w:ascii="Arial" w:eastAsia="Arial" w:hAnsi="Arial" w:cs="Arial"/>
        </w:rPr>
        <w:t xml:space="preserve">a </w:t>
      </w:r>
      <w:r w:rsidR="00621A64" w:rsidRPr="00506A68">
        <w:rPr>
          <w:rFonts w:ascii="Arial" w:eastAsia="Arial" w:hAnsi="Arial" w:cs="Arial"/>
        </w:rPr>
        <w:t xml:space="preserve">log-rank test. </w:t>
      </w:r>
      <w:r w:rsidR="0079109E" w:rsidRPr="00506A68">
        <w:rPr>
          <w:rFonts w:ascii="Arial" w:eastAsia="Arial" w:hAnsi="Arial" w:cs="Arial"/>
        </w:rPr>
        <w:t>A doubly robust approach was taken with a</w:t>
      </w:r>
      <w:r w:rsidRPr="00506A68">
        <w:rPr>
          <w:rFonts w:ascii="Arial" w:eastAsia="Arial" w:hAnsi="Arial" w:cs="Arial"/>
        </w:rPr>
        <w:t xml:space="preserve"> multivariate Cox proportional hazard model to estimate the </w:t>
      </w:r>
      <w:r w:rsidR="00F03580" w:rsidRPr="00506A68">
        <w:rPr>
          <w:rFonts w:ascii="Arial" w:eastAsia="Arial" w:hAnsi="Arial" w:cs="Arial"/>
        </w:rPr>
        <w:t xml:space="preserve">average treatment effect </w:t>
      </w:r>
      <w:r w:rsidRPr="00506A68">
        <w:rPr>
          <w:rFonts w:ascii="Arial" w:eastAsia="Arial" w:hAnsi="Arial" w:cs="Arial"/>
        </w:rPr>
        <w:t>of alectinib</w:t>
      </w:r>
      <w:r w:rsidR="0079109E" w:rsidRPr="00506A68">
        <w:rPr>
          <w:rFonts w:ascii="Arial" w:eastAsia="Arial" w:hAnsi="Arial" w:cs="Arial"/>
        </w:rPr>
        <w:t xml:space="preserve"> on the re-weighted cohort</w:t>
      </w:r>
      <w:r w:rsidRPr="00506A68">
        <w:rPr>
          <w:rFonts w:ascii="Arial" w:eastAsia="Arial" w:hAnsi="Arial" w:cs="Arial"/>
        </w:rPr>
        <w:t xml:space="preserve">. </w:t>
      </w:r>
    </w:p>
    <w:p w14:paraId="289534D4" w14:textId="77777777" w:rsidR="002D4E39" w:rsidRPr="00506A68" w:rsidRDefault="002D4E39" w:rsidP="001074FC">
      <w:pPr>
        <w:spacing w:after="0" w:line="480" w:lineRule="auto"/>
        <w:rPr>
          <w:rFonts w:ascii="Arial" w:eastAsia="Arial" w:hAnsi="Arial" w:cs="Arial"/>
        </w:rPr>
      </w:pPr>
    </w:p>
    <w:p w14:paraId="11064070" w14:textId="0DEA5827" w:rsidR="001F4278" w:rsidRPr="001074FC" w:rsidRDefault="00E96A4D" w:rsidP="001074FC">
      <w:pPr>
        <w:spacing w:after="0" w:line="480" w:lineRule="auto"/>
        <w:rPr>
          <w:rFonts w:ascii="Arial" w:eastAsia="Arial" w:hAnsi="Arial" w:cs="Arial"/>
          <w:sz w:val="28"/>
          <w:szCs w:val="28"/>
        </w:rPr>
      </w:pPr>
      <w:r w:rsidRPr="001074FC">
        <w:rPr>
          <w:rFonts w:ascii="Arial" w:eastAsia="Arial" w:hAnsi="Arial" w:cs="Arial"/>
          <w:sz w:val="28"/>
          <w:szCs w:val="28"/>
        </w:rPr>
        <w:t>Sensitivity</w:t>
      </w:r>
      <w:r w:rsidR="001F4278" w:rsidRPr="001074FC">
        <w:rPr>
          <w:rFonts w:ascii="Arial" w:eastAsia="Arial" w:hAnsi="Arial" w:cs="Arial"/>
          <w:sz w:val="28"/>
          <w:szCs w:val="28"/>
        </w:rPr>
        <w:t xml:space="preserve"> </w:t>
      </w:r>
      <w:r w:rsidR="00131739" w:rsidRPr="001074FC">
        <w:rPr>
          <w:rFonts w:ascii="Arial" w:eastAsia="Arial" w:hAnsi="Arial" w:cs="Arial"/>
          <w:sz w:val="28"/>
          <w:szCs w:val="28"/>
        </w:rPr>
        <w:t xml:space="preserve">and secondary </w:t>
      </w:r>
      <w:r w:rsidR="001F4278" w:rsidRPr="001074FC">
        <w:rPr>
          <w:rFonts w:ascii="Arial" w:eastAsia="Arial" w:hAnsi="Arial" w:cs="Arial"/>
          <w:sz w:val="28"/>
          <w:szCs w:val="28"/>
        </w:rPr>
        <w:t>analyses</w:t>
      </w:r>
    </w:p>
    <w:p w14:paraId="37E2BA11" w14:textId="7936FCDC" w:rsidR="009E3E2E" w:rsidRPr="00506A68" w:rsidRDefault="00E725E1" w:rsidP="001074FC">
      <w:pPr>
        <w:spacing w:after="0" w:line="480" w:lineRule="auto"/>
        <w:rPr>
          <w:rFonts w:ascii="Arial" w:eastAsia="Arial" w:hAnsi="Arial" w:cs="Arial"/>
        </w:rPr>
      </w:pPr>
      <w:r w:rsidRPr="00506A68">
        <w:rPr>
          <w:rFonts w:ascii="Arial" w:eastAsia="Arial" w:hAnsi="Arial" w:cs="Arial"/>
        </w:rPr>
        <w:t>Multiple sensitivity analyses were conducted to assess the robustness of the primary analysis.</w:t>
      </w:r>
      <w:r w:rsidR="00C45FD0" w:rsidRPr="00506A68">
        <w:rPr>
          <w:rFonts w:ascii="Arial" w:eastAsia="Arial" w:hAnsi="Arial" w:cs="Arial"/>
        </w:rPr>
        <w:t xml:space="preserve"> The following cohorts were used: patients with follow-up time in the top 10</w:t>
      </w:r>
      <w:r w:rsidR="00C45FD0" w:rsidRPr="00506A68">
        <w:rPr>
          <w:rFonts w:ascii="Arial" w:eastAsia="Arial" w:hAnsi="Arial" w:cs="Arial"/>
          <w:vertAlign w:val="superscript"/>
        </w:rPr>
        <w:t>th</w:t>
      </w:r>
      <w:r w:rsidR="00C45FD0" w:rsidRPr="00506A68">
        <w:rPr>
          <w:rFonts w:ascii="Arial" w:eastAsia="Arial" w:hAnsi="Arial" w:cs="Arial"/>
        </w:rPr>
        <w:t xml:space="preserve"> percentile excluded; missing covariates imputed (race and stage at diagnosis); </w:t>
      </w:r>
      <w:r w:rsidR="00B06132" w:rsidRPr="00506A68">
        <w:rPr>
          <w:rFonts w:ascii="Arial" w:eastAsia="Arial" w:hAnsi="Arial" w:cs="Arial"/>
        </w:rPr>
        <w:t>central nervous system (</w:t>
      </w:r>
      <w:r w:rsidR="00C45FD0" w:rsidRPr="00506A68">
        <w:rPr>
          <w:rFonts w:ascii="Arial" w:eastAsia="Arial" w:hAnsi="Arial" w:cs="Arial"/>
        </w:rPr>
        <w:t>CNS</w:t>
      </w:r>
      <w:r w:rsidR="00B06132" w:rsidRPr="00506A68">
        <w:rPr>
          <w:rFonts w:ascii="Arial" w:eastAsia="Arial" w:hAnsi="Arial" w:cs="Arial"/>
        </w:rPr>
        <w:t>)</w:t>
      </w:r>
      <w:r w:rsidR="00C45FD0" w:rsidRPr="00506A68">
        <w:rPr>
          <w:rFonts w:ascii="Arial" w:eastAsia="Arial" w:hAnsi="Arial" w:cs="Arial"/>
        </w:rPr>
        <w:t xml:space="preserve"> metastases as a </w:t>
      </w:r>
      <w:r w:rsidR="00B33A88" w:rsidRPr="00506A68">
        <w:rPr>
          <w:rFonts w:ascii="Arial" w:eastAsia="Arial" w:hAnsi="Arial" w:cs="Arial"/>
        </w:rPr>
        <w:t xml:space="preserve">prognostic </w:t>
      </w:r>
      <w:r w:rsidR="00C45FD0" w:rsidRPr="00506A68">
        <w:rPr>
          <w:rFonts w:ascii="Arial" w:eastAsia="Arial" w:hAnsi="Arial" w:cs="Arial"/>
        </w:rPr>
        <w:t>factor; patients with 1–3 lines of prio</w:t>
      </w:r>
      <w:r w:rsidR="00D97B8B" w:rsidRPr="00506A68">
        <w:rPr>
          <w:rFonts w:ascii="Arial" w:eastAsia="Arial" w:hAnsi="Arial" w:cs="Arial"/>
        </w:rPr>
        <w:t>r treatment</w:t>
      </w:r>
      <w:r w:rsidR="002857EF" w:rsidRPr="00506A68">
        <w:rPr>
          <w:rFonts w:ascii="Arial" w:eastAsia="Arial" w:hAnsi="Arial" w:cs="Arial"/>
        </w:rPr>
        <w:t xml:space="preserve"> (patients with more than </w:t>
      </w:r>
      <w:r w:rsidR="00F43F2F">
        <w:rPr>
          <w:rFonts w:ascii="Arial" w:eastAsia="Arial" w:hAnsi="Arial" w:cs="Arial"/>
        </w:rPr>
        <w:t>three</w:t>
      </w:r>
      <w:r w:rsidR="00F43F2F" w:rsidRPr="00506A68">
        <w:rPr>
          <w:rFonts w:ascii="Arial" w:eastAsia="Arial" w:hAnsi="Arial" w:cs="Arial"/>
        </w:rPr>
        <w:t xml:space="preserve"> </w:t>
      </w:r>
      <w:r w:rsidR="002857EF" w:rsidRPr="00506A68">
        <w:rPr>
          <w:rFonts w:ascii="Arial" w:eastAsia="Arial" w:hAnsi="Arial" w:cs="Arial"/>
        </w:rPr>
        <w:t>lines of treatment were excluded</w:t>
      </w:r>
      <w:r w:rsidR="0072722B">
        <w:rPr>
          <w:rFonts w:ascii="Arial" w:eastAsia="Arial" w:hAnsi="Arial" w:cs="Arial"/>
        </w:rPr>
        <w:t>)</w:t>
      </w:r>
      <w:r w:rsidR="00D97B8B" w:rsidRPr="00506A68">
        <w:rPr>
          <w:rFonts w:ascii="Arial" w:eastAsia="Arial" w:hAnsi="Arial" w:cs="Arial"/>
        </w:rPr>
        <w:t xml:space="preserve">; </w:t>
      </w:r>
      <w:r w:rsidR="00C45FD0" w:rsidRPr="00506A68">
        <w:rPr>
          <w:rFonts w:ascii="Arial" w:eastAsia="Arial" w:hAnsi="Arial" w:cs="Arial"/>
        </w:rPr>
        <w:t>and age as</w:t>
      </w:r>
      <w:r w:rsidR="0072722B">
        <w:rPr>
          <w:rFonts w:ascii="Arial" w:eastAsia="Arial" w:hAnsi="Arial" w:cs="Arial"/>
        </w:rPr>
        <w:t xml:space="preserve"> a</w:t>
      </w:r>
      <w:r w:rsidR="00C45FD0" w:rsidRPr="00506A68">
        <w:rPr>
          <w:rFonts w:ascii="Arial" w:eastAsia="Arial" w:hAnsi="Arial" w:cs="Arial"/>
        </w:rPr>
        <w:t xml:space="preserve"> continuous</w:t>
      </w:r>
      <w:r w:rsidR="0079109E" w:rsidRPr="00506A68">
        <w:rPr>
          <w:rFonts w:ascii="Arial" w:eastAsia="Arial" w:hAnsi="Arial" w:cs="Arial"/>
        </w:rPr>
        <w:t xml:space="preserve"> variable</w:t>
      </w:r>
      <w:r w:rsidR="00C45FD0" w:rsidRPr="00506A68">
        <w:rPr>
          <w:rFonts w:ascii="Arial" w:eastAsia="Arial" w:hAnsi="Arial" w:cs="Arial"/>
        </w:rPr>
        <w:t xml:space="preserve">. </w:t>
      </w:r>
      <w:r w:rsidR="004552E1" w:rsidRPr="00506A68">
        <w:rPr>
          <w:rFonts w:ascii="Arial" w:eastAsia="Arial" w:hAnsi="Arial" w:cs="Arial"/>
        </w:rPr>
        <w:t xml:space="preserve">A </w:t>
      </w:r>
      <w:r w:rsidR="009E3E2E" w:rsidRPr="00506A68">
        <w:rPr>
          <w:rFonts w:ascii="Arial" w:eastAsia="Arial" w:hAnsi="Arial" w:cs="Arial"/>
        </w:rPr>
        <w:t>se</w:t>
      </w:r>
      <w:r w:rsidR="002C10C6" w:rsidRPr="00506A68">
        <w:rPr>
          <w:rFonts w:ascii="Arial" w:eastAsia="Arial" w:hAnsi="Arial" w:cs="Arial"/>
        </w:rPr>
        <w:t>condary matched analysis was per</w:t>
      </w:r>
      <w:r w:rsidR="009E3E2E" w:rsidRPr="00506A68">
        <w:rPr>
          <w:rFonts w:ascii="Arial" w:eastAsia="Arial" w:hAnsi="Arial" w:cs="Arial"/>
        </w:rPr>
        <w:t xml:space="preserve">formed through </w:t>
      </w:r>
      <w:r w:rsidR="0079109E" w:rsidRPr="00506A68">
        <w:rPr>
          <w:rFonts w:ascii="Arial" w:eastAsia="Arial" w:hAnsi="Arial" w:cs="Arial"/>
        </w:rPr>
        <w:t>G</w:t>
      </w:r>
      <w:r w:rsidR="009E3E2E" w:rsidRPr="00506A68">
        <w:rPr>
          <w:rFonts w:ascii="Arial" w:eastAsia="Arial" w:hAnsi="Arial" w:cs="Arial"/>
        </w:rPr>
        <w:t xml:space="preserve">enetic </w:t>
      </w:r>
      <w:r w:rsidR="0079109E" w:rsidRPr="00506A68">
        <w:rPr>
          <w:rFonts w:ascii="Arial" w:eastAsia="Arial" w:hAnsi="Arial" w:cs="Arial"/>
        </w:rPr>
        <w:t>M</w:t>
      </w:r>
      <w:r w:rsidR="009E3E2E" w:rsidRPr="00506A68">
        <w:rPr>
          <w:rFonts w:ascii="Arial" w:eastAsia="Arial" w:hAnsi="Arial" w:cs="Arial"/>
        </w:rPr>
        <w:t>atching</w:t>
      </w:r>
      <w:r w:rsidR="0079109E" w:rsidRPr="00506A68">
        <w:rPr>
          <w:rFonts w:ascii="Arial" w:eastAsia="Arial" w:hAnsi="Arial" w:cs="Arial"/>
        </w:rPr>
        <w:t xml:space="preserve"> (GenMatch)</w:t>
      </w:r>
      <w:r w:rsidR="007A7A8D" w:rsidRPr="00506A68">
        <w:rPr>
          <w:rFonts w:ascii="Arial" w:eastAsia="Arial" w:hAnsi="Arial" w:cs="Arial"/>
        </w:rPr>
        <w:t>,</w:t>
      </w:r>
      <w:r w:rsidR="00A3623C" w:rsidRPr="00506A68">
        <w:rPr>
          <w:rFonts w:ascii="Arial" w:eastAsia="Arial" w:hAnsi="Arial" w:cs="Arial"/>
        </w:rPr>
        <w:t xml:space="preserve"> </w:t>
      </w:r>
      <w:r w:rsidR="00D01AB3" w:rsidRPr="00506A68">
        <w:rPr>
          <w:rFonts w:ascii="Arial" w:eastAsia="Arial" w:hAnsi="Arial" w:cs="Arial"/>
        </w:rPr>
        <w:t xml:space="preserve">by applying </w:t>
      </w:r>
      <w:r w:rsidR="009E3E2E" w:rsidRPr="00506A68">
        <w:rPr>
          <w:rFonts w:ascii="Arial" w:eastAsia="Arial" w:hAnsi="Arial" w:cs="Arial"/>
        </w:rPr>
        <w:t xml:space="preserve">an evolutionary search algorithm that </w:t>
      </w:r>
      <w:r w:rsidR="00F43F2F" w:rsidRPr="00506A68">
        <w:rPr>
          <w:rFonts w:ascii="Arial" w:eastAsia="Arial" w:hAnsi="Arial" w:cs="Arial"/>
        </w:rPr>
        <w:t>maximi</w:t>
      </w:r>
      <w:r w:rsidR="00F43F2F">
        <w:rPr>
          <w:rFonts w:ascii="Arial" w:eastAsia="Arial" w:hAnsi="Arial" w:cs="Arial"/>
        </w:rPr>
        <w:t>z</w:t>
      </w:r>
      <w:r w:rsidR="00F43F2F" w:rsidRPr="00506A68">
        <w:rPr>
          <w:rFonts w:ascii="Arial" w:eastAsia="Arial" w:hAnsi="Arial" w:cs="Arial"/>
        </w:rPr>
        <w:t xml:space="preserve">ed </w:t>
      </w:r>
      <w:r w:rsidR="009E3E2E" w:rsidRPr="00506A68">
        <w:rPr>
          <w:rFonts w:ascii="Arial" w:eastAsia="Arial" w:hAnsi="Arial" w:cs="Arial"/>
        </w:rPr>
        <w:t>the balance of observed confounders across</w:t>
      </w:r>
      <w:r w:rsidR="002717D3" w:rsidRPr="00506A68">
        <w:rPr>
          <w:rFonts w:ascii="Arial" w:eastAsia="Arial" w:hAnsi="Arial" w:cs="Arial"/>
        </w:rPr>
        <w:t xml:space="preserve"> </w:t>
      </w:r>
      <w:r w:rsidR="004C18B3" w:rsidRPr="00506A68">
        <w:rPr>
          <w:rFonts w:ascii="Arial" w:eastAsia="Arial" w:hAnsi="Arial" w:cs="Arial"/>
        </w:rPr>
        <w:t xml:space="preserve">the alectinib </w:t>
      </w:r>
      <w:r w:rsidR="002717D3" w:rsidRPr="00506A68">
        <w:rPr>
          <w:rFonts w:ascii="Arial" w:eastAsia="Arial" w:hAnsi="Arial" w:cs="Arial"/>
        </w:rPr>
        <w:t xml:space="preserve">and </w:t>
      </w:r>
      <w:r w:rsidR="004C18B3" w:rsidRPr="00506A68">
        <w:rPr>
          <w:rFonts w:ascii="Arial" w:eastAsia="Arial" w:hAnsi="Arial" w:cs="Arial"/>
        </w:rPr>
        <w:t>ceritinib treatment arms</w:t>
      </w:r>
      <w:r w:rsidR="008D627A" w:rsidRPr="00506A68">
        <w:rPr>
          <w:rFonts w:ascii="Arial" w:eastAsia="Arial" w:hAnsi="Arial" w:cs="Arial"/>
        </w:rPr>
        <w:t xml:space="preserve"> </w:t>
      </w:r>
      <w:r w:rsidR="00E5184B">
        <w:rPr>
          <w:rFonts w:ascii="Arial" w:eastAsia="Arial" w:hAnsi="Arial" w:cs="Arial"/>
        </w:rPr>
        <w:t>[15</w:t>
      </w:r>
      <w:r w:rsidR="00172DFD" w:rsidRPr="00506A68">
        <w:rPr>
          <w:rFonts w:ascii="Arial" w:eastAsia="Arial" w:hAnsi="Arial" w:cs="Arial"/>
        </w:rPr>
        <w:t>]</w:t>
      </w:r>
      <w:r w:rsidR="00662610" w:rsidRPr="00506A68">
        <w:rPr>
          <w:rFonts w:ascii="Arial" w:eastAsia="Arial" w:hAnsi="Arial" w:cs="Arial"/>
        </w:rPr>
        <w:t>.</w:t>
      </w:r>
      <w:r w:rsidR="009E3E2E" w:rsidRPr="00506A68">
        <w:rPr>
          <w:rFonts w:ascii="Arial" w:eastAsia="Arial" w:hAnsi="Arial" w:cs="Arial"/>
        </w:rPr>
        <w:t xml:space="preserve"> </w:t>
      </w:r>
      <w:r w:rsidR="00131739" w:rsidRPr="00506A68">
        <w:rPr>
          <w:rFonts w:ascii="Arial" w:eastAsia="Arial" w:hAnsi="Arial" w:cs="Arial"/>
        </w:rPr>
        <w:t xml:space="preserve">A naïve comparison with an independent ceritinib clinical trial cohort (ASCEND-2, NCT01685060 </w:t>
      </w:r>
      <w:r w:rsidR="00E5184B">
        <w:rPr>
          <w:rFonts w:ascii="Arial" w:eastAsia="Arial" w:hAnsi="Arial" w:cs="Arial"/>
        </w:rPr>
        <w:t>[16</w:t>
      </w:r>
      <w:r w:rsidR="00172DFD" w:rsidRPr="00506A68">
        <w:rPr>
          <w:rFonts w:ascii="Arial" w:eastAsia="Arial" w:hAnsi="Arial" w:cs="Arial"/>
        </w:rPr>
        <w:t>]</w:t>
      </w:r>
      <w:r w:rsidR="00131739" w:rsidRPr="00506A68">
        <w:rPr>
          <w:rFonts w:ascii="Arial" w:eastAsia="Arial" w:hAnsi="Arial" w:cs="Arial"/>
        </w:rPr>
        <w:t xml:space="preserve">) was </w:t>
      </w:r>
      <w:r w:rsidR="004C18B3" w:rsidRPr="00506A68">
        <w:rPr>
          <w:rFonts w:ascii="Arial" w:eastAsia="Arial" w:hAnsi="Arial" w:cs="Arial"/>
        </w:rPr>
        <w:t xml:space="preserve">also </w:t>
      </w:r>
      <w:r w:rsidR="00131739" w:rsidRPr="00506A68">
        <w:rPr>
          <w:rFonts w:ascii="Arial" w:eastAsia="Arial" w:hAnsi="Arial" w:cs="Arial"/>
        </w:rPr>
        <w:t xml:space="preserve">conducted to evaluate the </w:t>
      </w:r>
      <w:r w:rsidR="00F43F2F" w:rsidRPr="00506A68">
        <w:rPr>
          <w:rFonts w:ascii="Arial" w:eastAsia="Arial" w:hAnsi="Arial" w:cs="Arial"/>
        </w:rPr>
        <w:t>generali</w:t>
      </w:r>
      <w:r w:rsidR="00F43F2F">
        <w:rPr>
          <w:rFonts w:ascii="Arial" w:eastAsia="Arial" w:hAnsi="Arial" w:cs="Arial"/>
        </w:rPr>
        <w:t>z</w:t>
      </w:r>
      <w:r w:rsidR="00F43F2F" w:rsidRPr="00506A68">
        <w:rPr>
          <w:rFonts w:ascii="Arial" w:eastAsia="Arial" w:hAnsi="Arial" w:cs="Arial"/>
        </w:rPr>
        <w:t xml:space="preserve">ability </w:t>
      </w:r>
      <w:r w:rsidR="00131739" w:rsidRPr="00506A68">
        <w:rPr>
          <w:rFonts w:ascii="Arial" w:eastAsia="Arial" w:hAnsi="Arial" w:cs="Arial"/>
        </w:rPr>
        <w:t>of the RWD outcomes to a clinical trial cohort</w:t>
      </w:r>
      <w:r w:rsidR="00846FEF">
        <w:rPr>
          <w:rFonts w:ascii="Arial" w:eastAsia="Arial" w:hAnsi="Arial" w:cs="Arial"/>
        </w:rPr>
        <w:t xml:space="preserve"> [</w:t>
      </w:r>
      <w:r w:rsidR="00E5184B">
        <w:rPr>
          <w:rFonts w:ascii="Arial" w:eastAsia="Arial" w:hAnsi="Arial" w:cs="Arial"/>
        </w:rPr>
        <w:t>17</w:t>
      </w:r>
      <w:r w:rsidR="00846FEF">
        <w:rPr>
          <w:rFonts w:ascii="Arial" w:eastAsia="Arial" w:hAnsi="Arial" w:cs="Arial"/>
        </w:rPr>
        <w:t>]</w:t>
      </w:r>
      <w:r w:rsidR="00131739" w:rsidRPr="00506A68">
        <w:rPr>
          <w:rFonts w:ascii="Arial" w:eastAsia="Arial" w:hAnsi="Arial" w:cs="Arial"/>
        </w:rPr>
        <w:t xml:space="preserve">. Further description can be found in the supplementary section. </w:t>
      </w:r>
    </w:p>
    <w:p w14:paraId="68B4F3B0" w14:textId="09F99B99" w:rsidR="00662610" w:rsidRPr="00506A68" w:rsidRDefault="00662610" w:rsidP="001074FC">
      <w:pPr>
        <w:spacing w:after="0" w:line="480" w:lineRule="auto"/>
        <w:rPr>
          <w:rFonts w:ascii="Arial" w:eastAsia="Arial" w:hAnsi="Arial" w:cs="Arial"/>
          <w:b/>
          <w:sz w:val="24"/>
          <w:szCs w:val="24"/>
        </w:rPr>
      </w:pPr>
    </w:p>
    <w:p w14:paraId="4ACD44A8" w14:textId="616794F8" w:rsidR="00616836" w:rsidRPr="001074FC" w:rsidRDefault="00616836" w:rsidP="001074FC">
      <w:pPr>
        <w:spacing w:after="0" w:line="480" w:lineRule="auto"/>
        <w:rPr>
          <w:rFonts w:ascii="Arial" w:hAnsi="Arial" w:cs="Arial"/>
          <w:b/>
          <w:sz w:val="28"/>
          <w:szCs w:val="28"/>
        </w:rPr>
      </w:pPr>
      <w:r w:rsidRPr="001074FC">
        <w:rPr>
          <w:rFonts w:ascii="Arial" w:hAnsi="Arial" w:cs="Arial"/>
          <w:b/>
          <w:sz w:val="28"/>
          <w:szCs w:val="28"/>
        </w:rPr>
        <w:t>Results</w:t>
      </w:r>
    </w:p>
    <w:p w14:paraId="1D668406" w14:textId="718DDFFE" w:rsidR="008402F7" w:rsidRPr="00506A68" w:rsidRDefault="00824EDB" w:rsidP="001074FC">
      <w:pPr>
        <w:spacing w:after="0" w:line="480" w:lineRule="auto"/>
        <w:rPr>
          <w:rFonts w:ascii="Arial" w:hAnsi="Arial" w:cs="Arial"/>
        </w:rPr>
      </w:pPr>
      <w:r w:rsidRPr="00506A68">
        <w:rPr>
          <w:rFonts w:ascii="Arial" w:hAnsi="Arial" w:cs="Arial"/>
          <w:bCs/>
          <w:iCs/>
        </w:rPr>
        <w:t xml:space="preserve">The primary analysis included </w:t>
      </w:r>
      <w:r w:rsidR="00B02313" w:rsidRPr="00506A68">
        <w:rPr>
          <w:rFonts w:ascii="Arial" w:hAnsi="Arial" w:cs="Arial"/>
          <w:bCs/>
          <w:iCs/>
        </w:rPr>
        <w:t xml:space="preserve">a pooled cohort of </w:t>
      </w:r>
      <w:r w:rsidRPr="00506A68">
        <w:rPr>
          <w:rFonts w:ascii="Arial" w:hAnsi="Arial" w:cs="Arial"/>
          <w:bCs/>
          <w:iCs/>
        </w:rPr>
        <w:t xml:space="preserve">183 </w:t>
      </w:r>
      <w:r w:rsidR="005649B4" w:rsidRPr="00506A68">
        <w:rPr>
          <w:rFonts w:ascii="Arial" w:hAnsi="Arial" w:cs="Arial"/>
          <w:bCs/>
          <w:iCs/>
        </w:rPr>
        <w:t xml:space="preserve">patients who received </w:t>
      </w:r>
      <w:r w:rsidRPr="00506A68">
        <w:rPr>
          <w:rFonts w:ascii="Arial" w:hAnsi="Arial" w:cs="Arial"/>
          <w:bCs/>
          <w:iCs/>
        </w:rPr>
        <w:t>alecti</w:t>
      </w:r>
      <w:r w:rsidR="00651916" w:rsidRPr="00506A68">
        <w:rPr>
          <w:rFonts w:ascii="Arial" w:hAnsi="Arial" w:cs="Arial"/>
          <w:bCs/>
          <w:iCs/>
        </w:rPr>
        <w:t xml:space="preserve">nib </w:t>
      </w:r>
      <w:r w:rsidR="004C18B3" w:rsidRPr="00506A68">
        <w:rPr>
          <w:rFonts w:ascii="Arial" w:hAnsi="Arial" w:cs="Arial"/>
          <w:bCs/>
          <w:iCs/>
        </w:rPr>
        <w:t xml:space="preserve">from </w:t>
      </w:r>
      <w:r w:rsidR="00651916" w:rsidRPr="00506A68">
        <w:rPr>
          <w:rFonts w:ascii="Arial" w:hAnsi="Arial" w:cs="Arial"/>
          <w:bCs/>
          <w:iCs/>
        </w:rPr>
        <w:t xml:space="preserve">the </w:t>
      </w:r>
      <w:r w:rsidR="00DD6275" w:rsidRPr="00506A68">
        <w:rPr>
          <w:rFonts w:ascii="Arial" w:hAnsi="Arial" w:cs="Arial"/>
          <w:bCs/>
          <w:iCs/>
        </w:rPr>
        <w:t>two phase II</w:t>
      </w:r>
      <w:r w:rsidRPr="00506A68">
        <w:rPr>
          <w:rFonts w:ascii="Arial" w:hAnsi="Arial" w:cs="Arial"/>
          <w:bCs/>
          <w:iCs/>
        </w:rPr>
        <w:t xml:space="preserve"> </w:t>
      </w:r>
      <w:r w:rsidR="00857381" w:rsidRPr="00506A68">
        <w:rPr>
          <w:rFonts w:ascii="Arial" w:hAnsi="Arial" w:cs="Arial"/>
          <w:bCs/>
          <w:iCs/>
        </w:rPr>
        <w:t>studies</w:t>
      </w:r>
      <w:r w:rsidR="00243D16" w:rsidRPr="00506A68">
        <w:rPr>
          <w:rFonts w:ascii="Arial" w:hAnsi="Arial" w:cs="Arial"/>
          <w:bCs/>
          <w:iCs/>
        </w:rPr>
        <w:t>,</w:t>
      </w:r>
      <w:r w:rsidR="00857381" w:rsidRPr="00506A68">
        <w:rPr>
          <w:rFonts w:ascii="Arial" w:hAnsi="Arial" w:cs="Arial"/>
          <w:bCs/>
          <w:iCs/>
        </w:rPr>
        <w:t xml:space="preserve"> </w:t>
      </w:r>
      <w:r w:rsidRPr="00506A68">
        <w:rPr>
          <w:rFonts w:ascii="Arial" w:hAnsi="Arial" w:cs="Arial"/>
          <w:bCs/>
          <w:iCs/>
        </w:rPr>
        <w:t xml:space="preserve">and 67 </w:t>
      </w:r>
      <w:r w:rsidR="005649B4" w:rsidRPr="00506A68">
        <w:rPr>
          <w:rFonts w:ascii="Arial" w:hAnsi="Arial" w:cs="Arial"/>
          <w:bCs/>
          <w:iCs/>
        </w:rPr>
        <w:t xml:space="preserve">patients who received </w:t>
      </w:r>
      <w:r w:rsidRPr="00506A68">
        <w:rPr>
          <w:rFonts w:ascii="Arial" w:hAnsi="Arial" w:cs="Arial"/>
          <w:bCs/>
          <w:iCs/>
        </w:rPr>
        <w:t>ceritinib</w:t>
      </w:r>
      <w:r w:rsidR="008F6480" w:rsidRPr="00506A68">
        <w:rPr>
          <w:rFonts w:ascii="Arial" w:hAnsi="Arial" w:cs="Arial"/>
          <w:bCs/>
          <w:iCs/>
        </w:rPr>
        <w:t xml:space="preserve"> </w:t>
      </w:r>
      <w:r w:rsidR="005649B4" w:rsidRPr="00506A68">
        <w:rPr>
          <w:rFonts w:ascii="Arial" w:hAnsi="Arial" w:cs="Arial"/>
          <w:bCs/>
          <w:iCs/>
        </w:rPr>
        <w:t xml:space="preserve">from </w:t>
      </w:r>
      <w:r w:rsidRPr="00506A68">
        <w:rPr>
          <w:rFonts w:ascii="Arial" w:hAnsi="Arial" w:cs="Arial"/>
          <w:bCs/>
          <w:iCs/>
        </w:rPr>
        <w:t>the</w:t>
      </w:r>
      <w:r w:rsidR="00857381" w:rsidRPr="00506A68">
        <w:rPr>
          <w:rFonts w:ascii="Arial" w:hAnsi="Arial" w:cs="Arial"/>
          <w:bCs/>
          <w:iCs/>
        </w:rPr>
        <w:t xml:space="preserve"> </w:t>
      </w:r>
      <w:r w:rsidR="00243D16" w:rsidRPr="00506A68">
        <w:rPr>
          <w:rFonts w:ascii="Arial" w:hAnsi="Arial" w:cs="Arial"/>
          <w:bCs/>
          <w:iCs/>
        </w:rPr>
        <w:t xml:space="preserve">Flatiron </w:t>
      </w:r>
      <w:r w:rsidR="005649B4" w:rsidRPr="00506A68">
        <w:rPr>
          <w:rFonts w:ascii="Arial" w:hAnsi="Arial" w:cs="Arial"/>
          <w:bCs/>
          <w:iCs/>
        </w:rPr>
        <w:t xml:space="preserve">database </w:t>
      </w:r>
      <w:r w:rsidR="00130B39" w:rsidRPr="00506A68">
        <w:rPr>
          <w:rFonts w:ascii="Arial" w:hAnsi="Arial" w:cs="Arial"/>
          <w:bCs/>
          <w:iCs/>
        </w:rPr>
        <w:t>(Fig</w:t>
      </w:r>
      <w:r w:rsidR="00982691">
        <w:rPr>
          <w:rFonts w:ascii="Arial" w:hAnsi="Arial" w:cs="Arial"/>
          <w:bCs/>
          <w:iCs/>
        </w:rPr>
        <w:t>ure</w:t>
      </w:r>
      <w:r w:rsidR="00982691" w:rsidRPr="00506A68">
        <w:rPr>
          <w:rFonts w:ascii="Arial" w:hAnsi="Arial" w:cs="Arial"/>
          <w:bCs/>
          <w:iCs/>
        </w:rPr>
        <w:t xml:space="preserve"> </w:t>
      </w:r>
      <w:r w:rsidR="00130B39" w:rsidRPr="00506A68">
        <w:rPr>
          <w:rFonts w:ascii="Arial" w:hAnsi="Arial" w:cs="Arial"/>
          <w:bCs/>
          <w:iCs/>
        </w:rPr>
        <w:t>1)</w:t>
      </w:r>
      <w:r w:rsidR="00857381" w:rsidRPr="00506A68">
        <w:rPr>
          <w:rFonts w:ascii="Arial" w:hAnsi="Arial" w:cs="Arial"/>
          <w:bCs/>
          <w:iCs/>
        </w:rPr>
        <w:t xml:space="preserve">. </w:t>
      </w:r>
    </w:p>
    <w:p w14:paraId="00E3A902" w14:textId="77777777" w:rsidR="005B05FF" w:rsidRPr="00506A68" w:rsidRDefault="005B05FF" w:rsidP="001074FC">
      <w:pPr>
        <w:spacing w:after="0" w:line="480" w:lineRule="auto"/>
        <w:rPr>
          <w:rFonts w:ascii="Arial" w:hAnsi="Arial" w:cs="Arial"/>
          <w:b/>
          <w:bCs/>
          <w:i/>
          <w:iCs/>
          <w:u w:color="000000"/>
        </w:rPr>
      </w:pPr>
    </w:p>
    <w:p w14:paraId="38D76880" w14:textId="0FF6DF9A" w:rsidR="009E5531" w:rsidRPr="001074FC" w:rsidRDefault="009E5531" w:rsidP="001074FC">
      <w:pPr>
        <w:spacing w:after="0" w:line="480" w:lineRule="auto"/>
        <w:rPr>
          <w:rFonts w:ascii="Arial" w:hAnsi="Arial" w:cs="Arial"/>
          <w:bCs/>
          <w:iCs/>
          <w:sz w:val="28"/>
          <w:szCs w:val="28"/>
          <w:u w:color="000000"/>
        </w:rPr>
      </w:pPr>
      <w:r w:rsidRPr="001074FC">
        <w:rPr>
          <w:rFonts w:ascii="Arial" w:hAnsi="Arial" w:cs="Arial"/>
          <w:bCs/>
          <w:iCs/>
          <w:sz w:val="28"/>
          <w:szCs w:val="28"/>
          <w:u w:color="000000"/>
        </w:rPr>
        <w:t xml:space="preserve">Demographic and clinical characteristics </w:t>
      </w:r>
    </w:p>
    <w:p w14:paraId="7690A55A" w14:textId="0994098F" w:rsidR="00074984" w:rsidRPr="00506A68" w:rsidRDefault="009E5531" w:rsidP="001074FC">
      <w:pPr>
        <w:spacing w:after="0" w:line="480" w:lineRule="auto"/>
        <w:rPr>
          <w:rFonts w:ascii="Arial" w:hAnsi="Arial" w:cs="Arial"/>
        </w:rPr>
      </w:pPr>
      <w:r w:rsidRPr="00506A68">
        <w:rPr>
          <w:rFonts w:ascii="Arial" w:hAnsi="Arial" w:cs="Arial"/>
          <w:bCs/>
          <w:iCs/>
          <w:u w:color="000000"/>
        </w:rPr>
        <w:t xml:space="preserve">Prior to </w:t>
      </w:r>
      <w:r w:rsidR="00662610" w:rsidRPr="00506A68">
        <w:rPr>
          <w:rFonts w:ascii="Arial" w:hAnsi="Arial" w:cs="Arial"/>
          <w:bCs/>
          <w:iCs/>
          <w:u w:color="000000"/>
        </w:rPr>
        <w:t>adjustment</w:t>
      </w:r>
      <w:r w:rsidRPr="00506A68">
        <w:rPr>
          <w:rFonts w:ascii="Arial" w:hAnsi="Arial" w:cs="Arial"/>
          <w:bCs/>
          <w:iCs/>
          <w:u w:color="000000"/>
        </w:rPr>
        <w:t xml:space="preserve">, patients in the alectinib </w:t>
      </w:r>
      <w:r w:rsidR="0088493B">
        <w:rPr>
          <w:rFonts w:ascii="Arial" w:hAnsi="Arial" w:cs="Arial"/>
          <w:bCs/>
          <w:iCs/>
          <w:u w:color="000000"/>
        </w:rPr>
        <w:t>arm</w:t>
      </w:r>
      <w:r w:rsidRPr="00506A68">
        <w:rPr>
          <w:rFonts w:ascii="Arial" w:hAnsi="Arial" w:cs="Arial"/>
          <w:bCs/>
          <w:iCs/>
          <w:u w:color="000000"/>
        </w:rPr>
        <w:t xml:space="preserve"> were younger</w:t>
      </w:r>
      <w:r w:rsidR="00074984" w:rsidRPr="00506A68">
        <w:rPr>
          <w:rFonts w:ascii="Arial" w:hAnsi="Arial" w:cs="Arial"/>
          <w:bCs/>
          <w:iCs/>
          <w:u w:color="000000"/>
        </w:rPr>
        <w:t xml:space="preserve">, more heavily </w:t>
      </w:r>
      <w:r w:rsidR="003C46E5" w:rsidRPr="00506A68">
        <w:rPr>
          <w:rFonts w:ascii="Arial" w:hAnsi="Arial" w:cs="Arial"/>
          <w:bCs/>
          <w:iCs/>
          <w:u w:color="000000"/>
        </w:rPr>
        <w:t>pre-treated</w:t>
      </w:r>
      <w:r w:rsidRPr="00506A68">
        <w:rPr>
          <w:rFonts w:ascii="Arial" w:hAnsi="Arial" w:cs="Arial"/>
          <w:bCs/>
          <w:iCs/>
          <w:u w:color="000000"/>
        </w:rPr>
        <w:t xml:space="preserve"> </w:t>
      </w:r>
      <w:r w:rsidR="00074984" w:rsidRPr="00506A68">
        <w:rPr>
          <w:rFonts w:ascii="Arial" w:hAnsi="Arial" w:cs="Arial"/>
          <w:bCs/>
          <w:iCs/>
          <w:u w:color="000000"/>
        </w:rPr>
        <w:t>and had a hi</w:t>
      </w:r>
      <w:r w:rsidR="00626CD3">
        <w:rPr>
          <w:rFonts w:ascii="Arial" w:hAnsi="Arial" w:cs="Arial"/>
          <w:bCs/>
          <w:iCs/>
          <w:u w:color="000000"/>
        </w:rPr>
        <w:t>gher prevalence of CNS metastase</w:t>
      </w:r>
      <w:r w:rsidR="00074984" w:rsidRPr="00506A68">
        <w:rPr>
          <w:rFonts w:ascii="Arial" w:hAnsi="Arial" w:cs="Arial"/>
          <w:bCs/>
          <w:iCs/>
          <w:u w:color="000000"/>
        </w:rPr>
        <w:t xml:space="preserve">s than the ceritinib </w:t>
      </w:r>
      <w:r w:rsidR="0088493B">
        <w:rPr>
          <w:rFonts w:ascii="Arial" w:hAnsi="Arial" w:cs="Arial"/>
          <w:bCs/>
          <w:iCs/>
          <w:u w:color="000000"/>
        </w:rPr>
        <w:t>arm</w:t>
      </w:r>
      <w:r w:rsidR="00074984" w:rsidRPr="00506A68">
        <w:rPr>
          <w:rFonts w:ascii="Arial" w:hAnsi="Arial" w:cs="Arial"/>
          <w:bCs/>
          <w:iCs/>
          <w:u w:color="000000"/>
        </w:rPr>
        <w:t xml:space="preserve">. Both treatment </w:t>
      </w:r>
      <w:r w:rsidR="0078077E" w:rsidRPr="00506A68">
        <w:rPr>
          <w:rFonts w:ascii="Arial" w:hAnsi="Arial" w:cs="Arial"/>
          <w:bCs/>
          <w:iCs/>
          <w:u w:color="000000"/>
        </w:rPr>
        <w:t>cohort</w:t>
      </w:r>
      <w:r w:rsidR="00074984" w:rsidRPr="00506A68">
        <w:rPr>
          <w:rFonts w:ascii="Arial" w:hAnsi="Arial" w:cs="Arial"/>
          <w:bCs/>
          <w:iCs/>
          <w:u w:color="000000"/>
        </w:rPr>
        <w:t xml:space="preserve">s were more likely to be female, Caucasian, </w:t>
      </w:r>
      <w:r w:rsidR="006B5D48" w:rsidRPr="00506A68">
        <w:rPr>
          <w:rFonts w:ascii="Arial" w:hAnsi="Arial" w:cs="Arial"/>
          <w:bCs/>
          <w:iCs/>
          <w:u w:color="000000"/>
        </w:rPr>
        <w:t xml:space="preserve">have </w:t>
      </w:r>
      <w:r w:rsidR="00074984" w:rsidRPr="00506A68">
        <w:rPr>
          <w:rFonts w:ascii="Arial" w:hAnsi="Arial" w:cs="Arial"/>
          <w:bCs/>
          <w:iCs/>
          <w:u w:color="000000"/>
        </w:rPr>
        <w:t xml:space="preserve">adenocarcinoma (ACA) histology, </w:t>
      </w:r>
      <w:r w:rsidR="00D30519" w:rsidRPr="00506A68">
        <w:rPr>
          <w:rFonts w:ascii="Arial" w:hAnsi="Arial" w:cs="Arial"/>
          <w:bCs/>
          <w:iCs/>
          <w:u w:color="000000"/>
        </w:rPr>
        <w:t xml:space="preserve">have an </w:t>
      </w:r>
      <w:r w:rsidR="00074984" w:rsidRPr="00506A68">
        <w:rPr>
          <w:rFonts w:ascii="Arial" w:hAnsi="Arial" w:cs="Arial"/>
          <w:bCs/>
          <w:iCs/>
          <w:u w:color="000000"/>
        </w:rPr>
        <w:t xml:space="preserve">initial diagnosis </w:t>
      </w:r>
      <w:r w:rsidR="00D30519" w:rsidRPr="00506A68">
        <w:rPr>
          <w:rFonts w:ascii="Arial" w:hAnsi="Arial" w:cs="Arial"/>
          <w:bCs/>
          <w:iCs/>
          <w:u w:color="000000"/>
        </w:rPr>
        <w:t>of</w:t>
      </w:r>
      <w:r w:rsidR="00074984" w:rsidRPr="00506A68">
        <w:rPr>
          <w:rFonts w:ascii="Arial" w:hAnsi="Arial" w:cs="Arial"/>
          <w:bCs/>
          <w:iCs/>
          <w:u w:color="000000"/>
        </w:rPr>
        <w:t xml:space="preserve"> stage IV and no history of smoking (Table 1</w:t>
      </w:r>
      <w:r w:rsidR="00F529F8" w:rsidRPr="00506A68">
        <w:rPr>
          <w:rFonts w:ascii="Arial" w:hAnsi="Arial" w:cs="Arial"/>
          <w:bCs/>
          <w:iCs/>
          <w:u w:color="000000"/>
        </w:rPr>
        <w:t>).</w:t>
      </w:r>
      <w:r w:rsidR="00074984" w:rsidRPr="00506A68">
        <w:rPr>
          <w:rFonts w:ascii="Arial" w:hAnsi="Arial" w:cs="Arial"/>
          <w:bCs/>
          <w:iCs/>
          <w:u w:color="000000"/>
        </w:rPr>
        <w:t xml:space="preserve"> </w:t>
      </w:r>
      <w:r w:rsidR="00074984" w:rsidRPr="00506A68">
        <w:rPr>
          <w:rFonts w:ascii="Arial" w:hAnsi="Arial" w:cs="Arial"/>
          <w:bCs/>
          <w:iCs/>
        </w:rPr>
        <w:t>After re-weighting</w:t>
      </w:r>
      <w:r w:rsidR="00074984" w:rsidRPr="00506A68">
        <w:rPr>
          <w:rFonts w:ascii="Arial" w:hAnsi="Arial" w:cs="Arial"/>
        </w:rPr>
        <w:t xml:space="preserve">, all covariates were balanced with </w:t>
      </w:r>
      <w:r w:rsidR="00064D88" w:rsidRPr="00506A68">
        <w:rPr>
          <w:rFonts w:ascii="Arial" w:hAnsi="Arial" w:cs="Arial"/>
        </w:rPr>
        <w:t>SMD</w:t>
      </w:r>
      <w:r w:rsidR="00074984" w:rsidRPr="00506A68">
        <w:rPr>
          <w:rFonts w:ascii="Arial" w:hAnsi="Arial" w:cs="Arial"/>
        </w:rPr>
        <w:t xml:space="preserve"> below the 10% threshold. The highest difference that remained was prior lines of treatment (6.4%) (Table 2). The balance was further confirmed upon visual graphical inspection; the distribution of the propensity score by treatment arm was comparable aft</w:t>
      </w:r>
      <w:r w:rsidR="0070731A" w:rsidRPr="00506A68">
        <w:rPr>
          <w:rFonts w:ascii="Arial" w:hAnsi="Arial" w:cs="Arial"/>
        </w:rPr>
        <w:t xml:space="preserve">er </w:t>
      </w:r>
      <w:r w:rsidR="0089693D" w:rsidRPr="00506A68">
        <w:rPr>
          <w:rFonts w:ascii="Arial" w:hAnsi="Arial" w:cs="Arial"/>
        </w:rPr>
        <w:t>re-</w:t>
      </w:r>
      <w:r w:rsidR="0070731A" w:rsidRPr="00506A68">
        <w:rPr>
          <w:rFonts w:ascii="Arial" w:hAnsi="Arial" w:cs="Arial"/>
        </w:rPr>
        <w:t>weighting (</w:t>
      </w:r>
      <w:r w:rsidR="00074984" w:rsidRPr="00506A68">
        <w:rPr>
          <w:rFonts w:ascii="Arial" w:hAnsi="Arial" w:cs="Arial"/>
        </w:rPr>
        <w:t>Fig</w:t>
      </w:r>
      <w:r w:rsidR="00982691">
        <w:rPr>
          <w:rFonts w:ascii="Arial" w:hAnsi="Arial" w:cs="Arial"/>
        </w:rPr>
        <w:t>ure</w:t>
      </w:r>
      <w:r w:rsidR="00982691" w:rsidRPr="00506A68">
        <w:rPr>
          <w:rFonts w:ascii="Arial" w:hAnsi="Arial" w:cs="Arial"/>
        </w:rPr>
        <w:t xml:space="preserve"> </w:t>
      </w:r>
      <w:r w:rsidR="00074984" w:rsidRPr="00506A68">
        <w:rPr>
          <w:rFonts w:ascii="Arial" w:hAnsi="Arial" w:cs="Arial"/>
        </w:rPr>
        <w:t>2).</w:t>
      </w:r>
    </w:p>
    <w:p w14:paraId="2BF8783C" w14:textId="793A31EF" w:rsidR="008B5D12" w:rsidRPr="00506A68" w:rsidRDefault="008B5D12" w:rsidP="001074FC">
      <w:pPr>
        <w:spacing w:after="0" w:line="480" w:lineRule="auto"/>
        <w:rPr>
          <w:rFonts w:ascii="Arial" w:hAnsi="Arial" w:cs="Arial"/>
          <w:bCs/>
          <w:iCs/>
        </w:rPr>
      </w:pPr>
    </w:p>
    <w:p w14:paraId="7629601F" w14:textId="06C99611" w:rsidR="00297653" w:rsidRPr="001074FC" w:rsidRDefault="009E5531" w:rsidP="001074FC">
      <w:pPr>
        <w:spacing w:after="0" w:line="480" w:lineRule="auto"/>
        <w:rPr>
          <w:rFonts w:ascii="Arial" w:hAnsi="Arial" w:cs="Arial"/>
          <w:sz w:val="28"/>
          <w:szCs w:val="28"/>
        </w:rPr>
      </w:pPr>
      <w:r w:rsidRPr="001074FC">
        <w:rPr>
          <w:rFonts w:ascii="Arial" w:hAnsi="Arial" w:cs="Arial"/>
          <w:sz w:val="28"/>
          <w:szCs w:val="28"/>
        </w:rPr>
        <w:t xml:space="preserve">Treatment </w:t>
      </w:r>
      <w:r w:rsidR="00D8689C" w:rsidRPr="001074FC">
        <w:rPr>
          <w:rFonts w:ascii="Arial" w:hAnsi="Arial" w:cs="Arial"/>
          <w:sz w:val="28"/>
          <w:szCs w:val="28"/>
        </w:rPr>
        <w:t>e</w:t>
      </w:r>
      <w:r w:rsidR="005D4808" w:rsidRPr="001074FC">
        <w:rPr>
          <w:rFonts w:ascii="Arial" w:hAnsi="Arial" w:cs="Arial"/>
          <w:sz w:val="28"/>
          <w:szCs w:val="28"/>
        </w:rPr>
        <w:t>ffectiveness</w:t>
      </w:r>
      <w:r w:rsidR="00DE018B" w:rsidRPr="001074FC">
        <w:rPr>
          <w:rFonts w:ascii="Arial" w:hAnsi="Arial" w:cs="Arial"/>
          <w:sz w:val="28"/>
          <w:szCs w:val="28"/>
        </w:rPr>
        <w:t xml:space="preserve"> </w:t>
      </w:r>
    </w:p>
    <w:p w14:paraId="2C598CA9" w14:textId="453B1332" w:rsidR="009D472F" w:rsidRPr="00506A68" w:rsidRDefault="009E5531" w:rsidP="001074FC">
      <w:pPr>
        <w:spacing w:after="0" w:line="480" w:lineRule="auto"/>
        <w:rPr>
          <w:rFonts w:ascii="Arial" w:hAnsi="Arial" w:cs="Arial"/>
        </w:rPr>
      </w:pPr>
      <w:r w:rsidRPr="00506A68">
        <w:rPr>
          <w:rFonts w:ascii="Arial" w:hAnsi="Arial" w:cs="Arial"/>
          <w:bCs/>
          <w:iCs/>
        </w:rPr>
        <w:t>The median follow-up was 23 months for the alectinib arm and 12 months for the ceritinib arm.</w:t>
      </w:r>
      <w:r w:rsidRPr="00506A68">
        <w:rPr>
          <w:b/>
          <w:bCs/>
          <w:iCs/>
        </w:rPr>
        <w:t xml:space="preserve"> </w:t>
      </w:r>
      <w:r w:rsidR="0014198E" w:rsidRPr="00506A68">
        <w:rPr>
          <w:rFonts w:ascii="Arial" w:hAnsi="Arial" w:cs="Arial"/>
        </w:rPr>
        <w:t xml:space="preserve">The crude median OS of the un-weighted alectinib </w:t>
      </w:r>
      <w:r w:rsidR="004C18B3" w:rsidRPr="00506A68">
        <w:rPr>
          <w:rFonts w:ascii="Arial" w:hAnsi="Arial" w:cs="Arial"/>
        </w:rPr>
        <w:t>arm</w:t>
      </w:r>
      <w:r w:rsidR="00D60527" w:rsidRPr="00506A68">
        <w:rPr>
          <w:rFonts w:ascii="Arial" w:hAnsi="Arial" w:cs="Arial"/>
        </w:rPr>
        <w:t xml:space="preserve"> </w:t>
      </w:r>
      <w:r w:rsidR="0014198E" w:rsidRPr="00506A68">
        <w:rPr>
          <w:rFonts w:ascii="Arial" w:hAnsi="Arial" w:cs="Arial"/>
        </w:rPr>
        <w:t>(n</w:t>
      </w:r>
      <w:r w:rsidR="00D8689C" w:rsidRPr="00506A68">
        <w:rPr>
          <w:rFonts w:ascii="Arial" w:hAnsi="Arial" w:cs="Arial"/>
        </w:rPr>
        <w:t xml:space="preserve"> </w:t>
      </w:r>
      <w:r w:rsidR="0007757A" w:rsidRPr="00506A68">
        <w:rPr>
          <w:rFonts w:ascii="Arial" w:hAnsi="Arial" w:cs="Arial"/>
        </w:rPr>
        <w:t>=</w:t>
      </w:r>
      <w:r w:rsidR="00D8689C" w:rsidRPr="00506A68">
        <w:rPr>
          <w:rFonts w:ascii="Arial" w:hAnsi="Arial" w:cs="Arial"/>
        </w:rPr>
        <w:t xml:space="preserve"> </w:t>
      </w:r>
      <w:r w:rsidR="0007757A" w:rsidRPr="00506A68">
        <w:rPr>
          <w:rFonts w:ascii="Arial" w:hAnsi="Arial" w:cs="Arial"/>
        </w:rPr>
        <w:t>183) was 26 months (95% CI: 21–</w:t>
      </w:r>
      <w:r w:rsidR="00DB5536" w:rsidRPr="00506A68">
        <w:rPr>
          <w:rFonts w:ascii="Arial" w:hAnsi="Arial" w:cs="Arial"/>
        </w:rPr>
        <w:t>not reached [</w:t>
      </w:r>
      <w:r w:rsidR="0014198E" w:rsidRPr="00506A68">
        <w:rPr>
          <w:rFonts w:ascii="Arial" w:hAnsi="Arial" w:cs="Arial"/>
        </w:rPr>
        <w:t>NR</w:t>
      </w:r>
      <w:r w:rsidR="00DB5536" w:rsidRPr="00506A68">
        <w:rPr>
          <w:rFonts w:ascii="Arial" w:hAnsi="Arial" w:cs="Arial"/>
        </w:rPr>
        <w:t>]</w:t>
      </w:r>
      <w:r w:rsidR="0014198E" w:rsidRPr="00506A68">
        <w:rPr>
          <w:rFonts w:ascii="Arial" w:hAnsi="Arial" w:cs="Arial"/>
        </w:rPr>
        <w:t>) and 16 months</w:t>
      </w:r>
      <w:r w:rsidR="00915B3B" w:rsidRPr="00506A68">
        <w:rPr>
          <w:rFonts w:ascii="Arial" w:hAnsi="Arial" w:cs="Arial"/>
        </w:rPr>
        <w:t xml:space="preserve"> (n</w:t>
      </w:r>
      <w:r w:rsidR="0031596F">
        <w:rPr>
          <w:rFonts w:ascii="Arial" w:hAnsi="Arial" w:cs="Arial"/>
        </w:rPr>
        <w:t xml:space="preserve"> </w:t>
      </w:r>
      <w:r w:rsidR="00915B3B" w:rsidRPr="00506A68">
        <w:rPr>
          <w:rFonts w:ascii="Arial" w:hAnsi="Arial" w:cs="Arial"/>
        </w:rPr>
        <w:t>=</w:t>
      </w:r>
      <w:r w:rsidR="0031596F">
        <w:rPr>
          <w:rFonts w:ascii="Arial" w:hAnsi="Arial" w:cs="Arial"/>
        </w:rPr>
        <w:t xml:space="preserve"> </w:t>
      </w:r>
      <w:r w:rsidR="00915B3B" w:rsidRPr="00506A68">
        <w:rPr>
          <w:rFonts w:ascii="Arial" w:hAnsi="Arial" w:cs="Arial"/>
        </w:rPr>
        <w:t>67</w:t>
      </w:r>
      <w:r w:rsidR="00581B2E">
        <w:rPr>
          <w:rFonts w:ascii="Arial" w:hAnsi="Arial" w:cs="Arial"/>
        </w:rPr>
        <w:t xml:space="preserve">; </w:t>
      </w:r>
      <w:r w:rsidR="0014198E" w:rsidRPr="00506A68">
        <w:rPr>
          <w:rFonts w:ascii="Arial" w:hAnsi="Arial" w:cs="Arial"/>
        </w:rPr>
        <w:t>95% CI: 12</w:t>
      </w:r>
      <w:r w:rsidR="0007757A" w:rsidRPr="00506A68">
        <w:rPr>
          <w:rFonts w:ascii="Arial" w:hAnsi="Arial" w:cs="Arial"/>
        </w:rPr>
        <w:t>–</w:t>
      </w:r>
      <w:r w:rsidR="0014198E" w:rsidRPr="00506A68">
        <w:rPr>
          <w:rFonts w:ascii="Arial" w:hAnsi="Arial" w:cs="Arial"/>
        </w:rPr>
        <w:t>NR) for the un-weighted ceritinib</w:t>
      </w:r>
      <w:r w:rsidR="004C18B3" w:rsidRPr="00506A68">
        <w:rPr>
          <w:rFonts w:ascii="Arial" w:hAnsi="Arial" w:cs="Arial"/>
        </w:rPr>
        <w:t xml:space="preserve"> arm</w:t>
      </w:r>
      <w:r w:rsidR="0014198E" w:rsidRPr="00506A68">
        <w:rPr>
          <w:rFonts w:ascii="Arial" w:hAnsi="Arial" w:cs="Arial"/>
        </w:rPr>
        <w:t xml:space="preserve">. </w:t>
      </w:r>
      <w:r w:rsidR="006C257D" w:rsidRPr="00506A68">
        <w:rPr>
          <w:rFonts w:ascii="Arial" w:hAnsi="Arial" w:cs="Arial"/>
        </w:rPr>
        <w:t>M</w:t>
      </w:r>
      <w:r w:rsidR="0014198E" w:rsidRPr="00506A68">
        <w:rPr>
          <w:rFonts w:ascii="Arial" w:hAnsi="Arial" w:cs="Arial"/>
        </w:rPr>
        <w:t xml:space="preserve">edian OS of the re-weighted </w:t>
      </w:r>
      <w:r w:rsidR="006C257D" w:rsidRPr="00506A68">
        <w:rPr>
          <w:rFonts w:ascii="Arial" w:hAnsi="Arial" w:cs="Arial"/>
        </w:rPr>
        <w:t xml:space="preserve">cohorts </w:t>
      </w:r>
      <w:r w:rsidR="0014198E" w:rsidRPr="00506A68">
        <w:rPr>
          <w:rFonts w:ascii="Arial" w:hAnsi="Arial" w:cs="Arial"/>
        </w:rPr>
        <w:t xml:space="preserve">was </w:t>
      </w:r>
      <w:r w:rsidR="00F01706" w:rsidRPr="00506A68">
        <w:rPr>
          <w:rFonts w:ascii="Arial" w:hAnsi="Arial" w:cs="Arial"/>
        </w:rPr>
        <w:t xml:space="preserve">24 months (95% CI: </w:t>
      </w:r>
      <w:r w:rsidR="00915B3B" w:rsidRPr="00506A68">
        <w:rPr>
          <w:rFonts w:ascii="Arial" w:hAnsi="Arial" w:cs="Arial"/>
        </w:rPr>
        <w:t>21</w:t>
      </w:r>
      <w:r w:rsidR="0007757A" w:rsidRPr="00506A68">
        <w:rPr>
          <w:rFonts w:ascii="Arial" w:hAnsi="Arial" w:cs="Arial"/>
        </w:rPr>
        <w:t>–</w:t>
      </w:r>
      <w:r w:rsidR="0014198E" w:rsidRPr="00506A68">
        <w:rPr>
          <w:rFonts w:ascii="Arial" w:hAnsi="Arial" w:cs="Arial"/>
        </w:rPr>
        <w:t>NR)</w:t>
      </w:r>
      <w:r w:rsidR="006C257D" w:rsidRPr="00506A68">
        <w:rPr>
          <w:rFonts w:ascii="Arial" w:hAnsi="Arial" w:cs="Arial"/>
        </w:rPr>
        <w:t xml:space="preserve"> for alectinib</w:t>
      </w:r>
      <w:r w:rsidR="0014198E" w:rsidRPr="00506A68">
        <w:rPr>
          <w:rFonts w:ascii="Arial" w:hAnsi="Arial" w:cs="Arial"/>
        </w:rPr>
        <w:t xml:space="preserve"> </w:t>
      </w:r>
      <w:r w:rsidR="00977C54" w:rsidRPr="00506A68">
        <w:rPr>
          <w:rFonts w:ascii="Arial" w:hAnsi="Arial" w:cs="Arial"/>
        </w:rPr>
        <w:t>(n</w:t>
      </w:r>
      <w:r w:rsidR="0031596F">
        <w:rPr>
          <w:rFonts w:ascii="Arial" w:hAnsi="Arial" w:cs="Arial"/>
        </w:rPr>
        <w:t xml:space="preserve"> </w:t>
      </w:r>
      <w:r w:rsidR="00977C54" w:rsidRPr="00506A68">
        <w:rPr>
          <w:rFonts w:ascii="Arial" w:hAnsi="Arial" w:cs="Arial"/>
        </w:rPr>
        <w:t>=</w:t>
      </w:r>
      <w:r w:rsidR="0031596F">
        <w:rPr>
          <w:rFonts w:ascii="Arial" w:hAnsi="Arial" w:cs="Arial"/>
        </w:rPr>
        <w:t xml:space="preserve"> </w:t>
      </w:r>
      <w:r w:rsidR="00977C54" w:rsidRPr="00506A68">
        <w:rPr>
          <w:rFonts w:ascii="Arial" w:hAnsi="Arial" w:cs="Arial"/>
        </w:rPr>
        <w:t xml:space="preserve">183) </w:t>
      </w:r>
      <w:r w:rsidR="0014198E" w:rsidRPr="00506A68">
        <w:rPr>
          <w:rFonts w:ascii="Arial" w:hAnsi="Arial" w:cs="Arial"/>
        </w:rPr>
        <w:t xml:space="preserve">and </w:t>
      </w:r>
      <w:r w:rsidR="00915B3B" w:rsidRPr="00506A68">
        <w:rPr>
          <w:rFonts w:ascii="Arial" w:hAnsi="Arial" w:cs="Arial"/>
        </w:rPr>
        <w:t>16</w:t>
      </w:r>
      <w:r w:rsidR="00F01706" w:rsidRPr="00506A68">
        <w:rPr>
          <w:rFonts w:ascii="Arial" w:hAnsi="Arial" w:cs="Arial"/>
        </w:rPr>
        <w:t xml:space="preserve"> months </w:t>
      </w:r>
      <w:r w:rsidR="00977C54" w:rsidRPr="00506A68">
        <w:rPr>
          <w:rFonts w:ascii="Arial" w:hAnsi="Arial" w:cs="Arial"/>
        </w:rPr>
        <w:t>(n</w:t>
      </w:r>
      <w:r w:rsidR="0031596F">
        <w:rPr>
          <w:rFonts w:ascii="Arial" w:hAnsi="Arial" w:cs="Arial"/>
        </w:rPr>
        <w:t xml:space="preserve"> </w:t>
      </w:r>
      <w:r w:rsidR="00977C54" w:rsidRPr="00506A68">
        <w:rPr>
          <w:rFonts w:ascii="Arial" w:hAnsi="Arial" w:cs="Arial"/>
        </w:rPr>
        <w:t>=</w:t>
      </w:r>
      <w:r w:rsidR="0031596F">
        <w:rPr>
          <w:rFonts w:ascii="Arial" w:hAnsi="Arial" w:cs="Arial"/>
        </w:rPr>
        <w:t xml:space="preserve"> </w:t>
      </w:r>
      <w:r w:rsidR="00977C54" w:rsidRPr="00506A68">
        <w:rPr>
          <w:rFonts w:ascii="Arial" w:hAnsi="Arial" w:cs="Arial"/>
        </w:rPr>
        <w:t>64</w:t>
      </w:r>
      <w:r w:rsidR="00581B2E">
        <w:rPr>
          <w:rFonts w:ascii="Arial" w:hAnsi="Arial" w:cs="Arial"/>
        </w:rPr>
        <w:t xml:space="preserve">; </w:t>
      </w:r>
      <w:r w:rsidR="00F01706" w:rsidRPr="00506A68">
        <w:rPr>
          <w:rFonts w:ascii="Arial" w:hAnsi="Arial" w:cs="Arial"/>
        </w:rPr>
        <w:t xml:space="preserve">95% CI: </w:t>
      </w:r>
      <w:r w:rsidR="00915B3B" w:rsidRPr="00506A68">
        <w:rPr>
          <w:rFonts w:ascii="Arial" w:hAnsi="Arial" w:cs="Arial"/>
        </w:rPr>
        <w:t>16</w:t>
      </w:r>
      <w:r w:rsidR="0007757A" w:rsidRPr="00506A68">
        <w:rPr>
          <w:rFonts w:ascii="Arial" w:hAnsi="Arial" w:cs="Arial"/>
        </w:rPr>
        <w:t>–</w:t>
      </w:r>
      <w:r w:rsidR="000F035A" w:rsidRPr="00506A68">
        <w:rPr>
          <w:rFonts w:ascii="Arial" w:hAnsi="Arial" w:cs="Arial"/>
        </w:rPr>
        <w:t>19</w:t>
      </w:r>
      <w:r w:rsidR="0014198E" w:rsidRPr="00506A68">
        <w:rPr>
          <w:rFonts w:ascii="Arial" w:hAnsi="Arial" w:cs="Arial"/>
        </w:rPr>
        <w:t>) for ce</w:t>
      </w:r>
      <w:r w:rsidR="00F168FA" w:rsidRPr="00506A68">
        <w:rPr>
          <w:rFonts w:ascii="Arial" w:hAnsi="Arial" w:cs="Arial"/>
        </w:rPr>
        <w:t>ritinib (</w:t>
      </w:r>
      <w:r w:rsidR="0070731A" w:rsidRPr="00506A68">
        <w:rPr>
          <w:rFonts w:ascii="Arial" w:hAnsi="Arial" w:cs="Arial"/>
        </w:rPr>
        <w:t>Fig</w:t>
      </w:r>
      <w:r w:rsidR="00982691">
        <w:rPr>
          <w:rFonts w:ascii="Arial" w:hAnsi="Arial" w:cs="Arial"/>
        </w:rPr>
        <w:t>ure</w:t>
      </w:r>
      <w:r w:rsidR="00982691" w:rsidRPr="00506A68">
        <w:rPr>
          <w:rFonts w:ascii="Arial" w:hAnsi="Arial" w:cs="Arial"/>
        </w:rPr>
        <w:t xml:space="preserve"> </w:t>
      </w:r>
      <w:r w:rsidR="0070731A" w:rsidRPr="00506A68">
        <w:rPr>
          <w:rFonts w:ascii="Arial" w:hAnsi="Arial" w:cs="Arial"/>
        </w:rPr>
        <w:t>3</w:t>
      </w:r>
      <w:r w:rsidR="00F168FA" w:rsidRPr="00506A68">
        <w:rPr>
          <w:rFonts w:ascii="Arial" w:hAnsi="Arial" w:cs="Arial"/>
        </w:rPr>
        <w:t>)</w:t>
      </w:r>
      <w:r w:rsidR="0014198E" w:rsidRPr="00506A68">
        <w:rPr>
          <w:rFonts w:ascii="Arial" w:hAnsi="Arial" w:cs="Arial"/>
        </w:rPr>
        <w:t>. The multivariate Cox model showed that alectinib was associated with a s</w:t>
      </w:r>
      <w:r w:rsidR="00081B7F" w:rsidRPr="00506A68">
        <w:rPr>
          <w:rFonts w:ascii="Arial" w:hAnsi="Arial" w:cs="Arial"/>
        </w:rPr>
        <w:t>ignificant</w:t>
      </w:r>
      <w:r w:rsidR="006C257D" w:rsidRPr="00506A68">
        <w:rPr>
          <w:rFonts w:ascii="Arial" w:hAnsi="Arial" w:cs="Arial"/>
        </w:rPr>
        <w:t>ly</w:t>
      </w:r>
      <w:r w:rsidR="00081B7F" w:rsidRPr="00506A68">
        <w:rPr>
          <w:rFonts w:ascii="Arial" w:hAnsi="Arial" w:cs="Arial"/>
        </w:rPr>
        <w:t xml:space="preserve"> lower risk of death </w:t>
      </w:r>
      <w:r w:rsidR="0014198E" w:rsidRPr="00506A68">
        <w:rPr>
          <w:rFonts w:ascii="Arial" w:hAnsi="Arial" w:cs="Arial"/>
        </w:rPr>
        <w:t>com</w:t>
      </w:r>
      <w:r w:rsidR="00AA33D5" w:rsidRPr="00506A68">
        <w:rPr>
          <w:rFonts w:ascii="Arial" w:hAnsi="Arial" w:cs="Arial"/>
        </w:rPr>
        <w:t>pared with ceritinib (</w:t>
      </w:r>
      <w:r w:rsidR="00A3168B" w:rsidRPr="00506A68">
        <w:rPr>
          <w:rFonts w:ascii="Arial" w:hAnsi="Arial" w:cs="Arial"/>
        </w:rPr>
        <w:t>hazard ratio [</w:t>
      </w:r>
      <w:r w:rsidR="00AA33D5" w:rsidRPr="00506A68">
        <w:rPr>
          <w:rFonts w:ascii="Arial" w:hAnsi="Arial" w:cs="Arial"/>
        </w:rPr>
        <w:t>HR</w:t>
      </w:r>
      <w:r w:rsidR="00A3168B" w:rsidRPr="00506A68">
        <w:rPr>
          <w:rFonts w:ascii="Arial" w:hAnsi="Arial" w:cs="Arial"/>
        </w:rPr>
        <w:t>]</w:t>
      </w:r>
      <w:r w:rsidR="00AA33D5" w:rsidRPr="00506A68">
        <w:rPr>
          <w:rFonts w:ascii="Arial" w:hAnsi="Arial" w:cs="Arial"/>
        </w:rPr>
        <w:t>: 0.65</w:t>
      </w:r>
      <w:r w:rsidR="006B388A">
        <w:rPr>
          <w:rFonts w:ascii="Arial" w:hAnsi="Arial" w:cs="Arial"/>
        </w:rPr>
        <w:t>;</w:t>
      </w:r>
      <w:r w:rsidR="006B388A" w:rsidRPr="00506A68">
        <w:rPr>
          <w:rFonts w:ascii="Arial" w:hAnsi="Arial" w:cs="Arial"/>
        </w:rPr>
        <w:t xml:space="preserve"> </w:t>
      </w:r>
      <w:r w:rsidR="0014198E" w:rsidRPr="00506A68">
        <w:rPr>
          <w:rFonts w:ascii="Arial" w:hAnsi="Arial" w:cs="Arial"/>
        </w:rPr>
        <w:t>95%</w:t>
      </w:r>
      <w:r w:rsidR="00081B7F" w:rsidRPr="00506A68">
        <w:rPr>
          <w:rFonts w:ascii="Arial" w:hAnsi="Arial" w:cs="Arial"/>
        </w:rPr>
        <w:t xml:space="preserve"> </w:t>
      </w:r>
      <w:r w:rsidR="0014198E" w:rsidRPr="00506A68">
        <w:rPr>
          <w:rFonts w:ascii="Arial" w:hAnsi="Arial" w:cs="Arial"/>
        </w:rPr>
        <w:t>CI: 0.48</w:t>
      </w:r>
      <w:r w:rsidR="0007757A" w:rsidRPr="00506A68">
        <w:rPr>
          <w:rFonts w:ascii="Arial" w:hAnsi="Arial" w:cs="Arial"/>
        </w:rPr>
        <w:t>–</w:t>
      </w:r>
      <w:r w:rsidR="00AA33D5" w:rsidRPr="00506A68">
        <w:rPr>
          <w:rFonts w:ascii="Arial" w:hAnsi="Arial" w:cs="Arial"/>
        </w:rPr>
        <w:t>0.88</w:t>
      </w:r>
      <w:r w:rsidR="006B388A">
        <w:rPr>
          <w:rFonts w:ascii="Arial" w:hAnsi="Arial" w:cs="Arial"/>
        </w:rPr>
        <w:t>;</w:t>
      </w:r>
      <w:r w:rsidR="006B388A" w:rsidRPr="00506A68">
        <w:rPr>
          <w:rFonts w:ascii="Arial" w:hAnsi="Arial" w:cs="Arial"/>
        </w:rPr>
        <w:t xml:space="preserve"> </w:t>
      </w:r>
      <w:r w:rsidR="006B388A">
        <w:rPr>
          <w:rFonts w:ascii="Arial" w:hAnsi="Arial" w:cs="Arial"/>
        </w:rPr>
        <w:t>p</w:t>
      </w:r>
      <w:r w:rsidR="006B388A">
        <w:rPr>
          <w:rFonts w:ascii="Arial" w:hAnsi="Arial" w:cs="Arial"/>
          <w:i/>
        </w:rPr>
        <w:t xml:space="preserve"> </w:t>
      </w:r>
      <w:r w:rsidR="006C257D" w:rsidRPr="00506A68">
        <w:rPr>
          <w:rFonts w:ascii="Arial" w:hAnsi="Arial" w:cs="Arial"/>
        </w:rPr>
        <w:t>=</w:t>
      </w:r>
      <w:r w:rsidR="00D8689C" w:rsidRPr="00506A68">
        <w:rPr>
          <w:rFonts w:ascii="Arial" w:hAnsi="Arial" w:cs="Arial"/>
        </w:rPr>
        <w:t xml:space="preserve"> </w:t>
      </w:r>
      <w:r w:rsidR="0014198E" w:rsidRPr="00506A68">
        <w:rPr>
          <w:rFonts w:ascii="Arial" w:hAnsi="Arial" w:cs="Arial"/>
        </w:rPr>
        <w:t>0.006)</w:t>
      </w:r>
      <w:r w:rsidR="00F168FA" w:rsidRPr="00506A68">
        <w:rPr>
          <w:rFonts w:ascii="Arial" w:hAnsi="Arial" w:cs="Arial"/>
        </w:rPr>
        <w:t xml:space="preserve"> </w:t>
      </w:r>
      <w:r w:rsidR="0014198E" w:rsidRPr="00506A68">
        <w:rPr>
          <w:rFonts w:ascii="Arial" w:hAnsi="Arial" w:cs="Arial"/>
        </w:rPr>
        <w:t>(Fig</w:t>
      </w:r>
      <w:r w:rsidR="00982691">
        <w:rPr>
          <w:rFonts w:ascii="Arial" w:hAnsi="Arial" w:cs="Arial"/>
        </w:rPr>
        <w:t>ure</w:t>
      </w:r>
      <w:r w:rsidR="00982691" w:rsidRPr="00506A68">
        <w:rPr>
          <w:rFonts w:ascii="Arial" w:hAnsi="Arial" w:cs="Arial"/>
        </w:rPr>
        <w:t xml:space="preserve"> </w:t>
      </w:r>
      <w:r w:rsidR="008C3E28" w:rsidRPr="00506A68">
        <w:rPr>
          <w:rFonts w:ascii="Arial" w:hAnsi="Arial" w:cs="Arial"/>
        </w:rPr>
        <w:t>4</w:t>
      </w:r>
      <w:r w:rsidR="0014198E" w:rsidRPr="00506A68">
        <w:rPr>
          <w:rFonts w:ascii="Arial" w:hAnsi="Arial" w:cs="Arial"/>
        </w:rPr>
        <w:t>). Fema</w:t>
      </w:r>
      <w:r w:rsidR="008875D0" w:rsidRPr="00506A68">
        <w:rPr>
          <w:rFonts w:ascii="Arial" w:hAnsi="Arial" w:cs="Arial"/>
        </w:rPr>
        <w:t>le, non-white race, younger age and one prior treatment were</w:t>
      </w:r>
      <w:r w:rsidR="0014198E" w:rsidRPr="00506A68">
        <w:rPr>
          <w:rFonts w:ascii="Arial" w:hAnsi="Arial" w:cs="Arial"/>
        </w:rPr>
        <w:t xml:space="preserve"> </w:t>
      </w:r>
      <w:r w:rsidR="0079109E" w:rsidRPr="00506A68">
        <w:rPr>
          <w:rFonts w:ascii="Arial" w:hAnsi="Arial" w:cs="Arial"/>
        </w:rPr>
        <w:t xml:space="preserve">also </w:t>
      </w:r>
      <w:r w:rsidR="0014198E" w:rsidRPr="00506A68">
        <w:rPr>
          <w:rFonts w:ascii="Arial" w:hAnsi="Arial" w:cs="Arial"/>
        </w:rPr>
        <w:t>associated with longer survival</w:t>
      </w:r>
      <w:r w:rsidR="006C257D" w:rsidRPr="00506A68">
        <w:rPr>
          <w:rFonts w:ascii="Arial" w:hAnsi="Arial" w:cs="Arial"/>
        </w:rPr>
        <w:t xml:space="preserve"> (</w:t>
      </w:r>
      <w:r w:rsidR="008C3E28" w:rsidRPr="00506A68">
        <w:rPr>
          <w:rFonts w:ascii="Arial" w:hAnsi="Arial" w:cs="Arial"/>
        </w:rPr>
        <w:t>Fig</w:t>
      </w:r>
      <w:r w:rsidR="00982691">
        <w:rPr>
          <w:rFonts w:ascii="Arial" w:hAnsi="Arial" w:cs="Arial"/>
        </w:rPr>
        <w:t>ure</w:t>
      </w:r>
      <w:r w:rsidR="00982691" w:rsidRPr="00506A68">
        <w:rPr>
          <w:rFonts w:ascii="Arial" w:hAnsi="Arial" w:cs="Arial"/>
        </w:rPr>
        <w:t xml:space="preserve"> </w:t>
      </w:r>
      <w:r w:rsidR="008C3E28" w:rsidRPr="00506A68">
        <w:rPr>
          <w:rFonts w:ascii="Arial" w:hAnsi="Arial" w:cs="Arial"/>
        </w:rPr>
        <w:t>4</w:t>
      </w:r>
      <w:r w:rsidR="006C257D" w:rsidRPr="00506A68">
        <w:rPr>
          <w:rFonts w:ascii="Arial" w:hAnsi="Arial" w:cs="Arial"/>
        </w:rPr>
        <w:t>)</w:t>
      </w:r>
      <w:r w:rsidR="0014198E" w:rsidRPr="00506A68">
        <w:rPr>
          <w:rFonts w:ascii="Arial" w:hAnsi="Arial" w:cs="Arial"/>
        </w:rPr>
        <w:t xml:space="preserve">. </w:t>
      </w:r>
      <w:r w:rsidR="00483D7C" w:rsidRPr="00506A68">
        <w:rPr>
          <w:rFonts w:ascii="Arial" w:hAnsi="Arial" w:cs="Arial"/>
        </w:rPr>
        <w:t xml:space="preserve">The estimated comparative effectiveness of alectinib versus ceritinib was consistent </w:t>
      </w:r>
      <w:r w:rsidR="001912DE" w:rsidRPr="00506A68">
        <w:rPr>
          <w:rFonts w:ascii="Arial" w:hAnsi="Arial" w:cs="Arial"/>
        </w:rPr>
        <w:t>across the sensitivity analyses</w:t>
      </w:r>
      <w:r w:rsidR="009D472F" w:rsidRPr="00506A68">
        <w:rPr>
          <w:rFonts w:ascii="Arial" w:hAnsi="Arial" w:cs="Arial"/>
        </w:rPr>
        <w:t xml:space="preserve"> with an adjust</w:t>
      </w:r>
      <w:r w:rsidR="00A97DB3" w:rsidRPr="00506A68">
        <w:rPr>
          <w:rFonts w:ascii="Arial" w:hAnsi="Arial" w:cs="Arial"/>
        </w:rPr>
        <w:t>ed</w:t>
      </w:r>
      <w:r w:rsidR="009D472F" w:rsidRPr="00506A68">
        <w:rPr>
          <w:rFonts w:ascii="Arial" w:hAnsi="Arial" w:cs="Arial"/>
        </w:rPr>
        <w:t xml:space="preserve"> HR ranging from </w:t>
      </w:r>
      <w:r w:rsidR="009D472F" w:rsidRPr="00506A68">
        <w:rPr>
          <w:rFonts w:ascii="Arial" w:hAnsi="Arial" w:cs="Arial"/>
          <w:kern w:val="24"/>
        </w:rPr>
        <w:t>0.53 (95% CI: 0.40–0.70)</w:t>
      </w:r>
      <w:r w:rsidR="009D472F" w:rsidRPr="00506A68">
        <w:rPr>
          <w:rFonts w:ascii="Arial" w:hAnsi="Arial" w:cs="Arial"/>
        </w:rPr>
        <w:t xml:space="preserve"> to </w:t>
      </w:r>
      <w:r w:rsidR="009D472F" w:rsidRPr="00506A68">
        <w:rPr>
          <w:rFonts w:ascii="Arial" w:hAnsi="Arial" w:cs="Arial"/>
          <w:kern w:val="24"/>
        </w:rPr>
        <w:t xml:space="preserve">0.67 (95% CI: 0.49–0.92; </w:t>
      </w:r>
      <w:r w:rsidR="009D472F" w:rsidRPr="00506A68">
        <w:rPr>
          <w:rFonts w:ascii="Arial" w:hAnsi="Arial" w:cs="Arial"/>
        </w:rPr>
        <w:t>Table 3).</w:t>
      </w:r>
    </w:p>
    <w:p w14:paraId="3A5EC4A8" w14:textId="77777777" w:rsidR="00310AA0" w:rsidRPr="00506A68" w:rsidRDefault="00310AA0" w:rsidP="001074FC">
      <w:pPr>
        <w:pStyle w:val="Paragraph"/>
        <w:spacing w:after="0" w:line="480" w:lineRule="auto"/>
        <w:rPr>
          <w:rFonts w:cs="Arial"/>
          <w:b/>
          <w:i/>
          <w:sz w:val="22"/>
          <w:lang w:val="en-GB"/>
        </w:rPr>
      </w:pPr>
    </w:p>
    <w:p w14:paraId="642B4C48" w14:textId="4B984F48" w:rsidR="009E5531" w:rsidRPr="001074FC" w:rsidRDefault="009E5531" w:rsidP="001074FC">
      <w:pPr>
        <w:pStyle w:val="Paragraph"/>
        <w:spacing w:after="0" w:line="480" w:lineRule="auto"/>
        <w:rPr>
          <w:rFonts w:cs="Arial"/>
          <w:sz w:val="28"/>
          <w:szCs w:val="28"/>
          <w:lang w:val="en-GB"/>
        </w:rPr>
      </w:pPr>
      <w:r w:rsidRPr="001074FC">
        <w:rPr>
          <w:rFonts w:cs="Arial"/>
          <w:sz w:val="28"/>
          <w:szCs w:val="28"/>
          <w:lang w:val="en-GB"/>
        </w:rPr>
        <w:t xml:space="preserve">Naïve comparison with ceritinib trial </w:t>
      </w:r>
    </w:p>
    <w:p w14:paraId="6C1A5079" w14:textId="07E89DD2" w:rsidR="00C1359C" w:rsidRPr="00506A68" w:rsidRDefault="00DE018B" w:rsidP="001074FC">
      <w:pPr>
        <w:pStyle w:val="Paragraph"/>
        <w:spacing w:after="0" w:line="480" w:lineRule="auto"/>
        <w:rPr>
          <w:rFonts w:cs="Arial"/>
          <w:sz w:val="22"/>
          <w:lang w:val="en-GB"/>
        </w:rPr>
      </w:pPr>
      <w:r w:rsidRPr="00506A68">
        <w:rPr>
          <w:rFonts w:cs="Arial"/>
          <w:sz w:val="22"/>
          <w:lang w:val="en-GB"/>
        </w:rPr>
        <w:t xml:space="preserve">Similar imbalances observed between the alectinib </w:t>
      </w:r>
      <w:r w:rsidR="008E63B3" w:rsidRPr="00506A68">
        <w:rPr>
          <w:rFonts w:cs="Arial"/>
          <w:sz w:val="22"/>
          <w:lang w:val="en-GB"/>
        </w:rPr>
        <w:t>arm</w:t>
      </w:r>
      <w:r w:rsidR="006C257D" w:rsidRPr="00506A68">
        <w:rPr>
          <w:rFonts w:cs="Arial"/>
          <w:sz w:val="22"/>
          <w:lang w:val="en-GB"/>
        </w:rPr>
        <w:t xml:space="preserve"> </w:t>
      </w:r>
      <w:r w:rsidR="00996BD1" w:rsidRPr="00506A68">
        <w:rPr>
          <w:rFonts w:cs="Arial"/>
          <w:sz w:val="22"/>
          <w:lang w:val="en-GB"/>
        </w:rPr>
        <w:t xml:space="preserve">and ceritinib </w:t>
      </w:r>
      <w:r w:rsidR="00B62BC3" w:rsidRPr="00506A68">
        <w:rPr>
          <w:rFonts w:cs="Arial"/>
          <w:sz w:val="22"/>
          <w:lang w:val="en-GB"/>
        </w:rPr>
        <w:t>arm</w:t>
      </w:r>
      <w:r w:rsidR="006C257D" w:rsidRPr="00506A68">
        <w:rPr>
          <w:rFonts w:cs="Arial"/>
          <w:sz w:val="22"/>
          <w:lang w:val="en-GB"/>
        </w:rPr>
        <w:t xml:space="preserve"> </w:t>
      </w:r>
      <w:r w:rsidRPr="00506A68">
        <w:rPr>
          <w:rFonts w:cs="Arial"/>
          <w:sz w:val="22"/>
          <w:lang w:val="en-GB"/>
        </w:rPr>
        <w:t xml:space="preserve">were also observed between patients enrolled in </w:t>
      </w:r>
      <w:r w:rsidR="00B62BC3" w:rsidRPr="00506A68">
        <w:rPr>
          <w:rFonts w:cs="Arial"/>
          <w:sz w:val="22"/>
          <w:lang w:val="en-GB"/>
        </w:rPr>
        <w:t>a</w:t>
      </w:r>
      <w:r w:rsidR="00AB2609" w:rsidRPr="00506A68">
        <w:rPr>
          <w:rFonts w:cs="Arial"/>
          <w:sz w:val="22"/>
          <w:lang w:val="en-GB"/>
        </w:rPr>
        <w:t xml:space="preserve"> ceritinib trial group (</w:t>
      </w:r>
      <w:r w:rsidRPr="00506A68">
        <w:rPr>
          <w:rFonts w:cs="Arial"/>
          <w:sz w:val="22"/>
          <w:lang w:val="en-GB"/>
        </w:rPr>
        <w:t>ASCEND-2</w:t>
      </w:r>
      <w:r w:rsidR="00AB2609" w:rsidRPr="00506A68">
        <w:rPr>
          <w:rFonts w:cs="Arial"/>
          <w:sz w:val="22"/>
          <w:lang w:val="en-GB"/>
        </w:rPr>
        <w:t>)</w:t>
      </w:r>
      <w:r w:rsidRPr="00506A68">
        <w:rPr>
          <w:rFonts w:cs="Arial"/>
          <w:sz w:val="22"/>
          <w:lang w:val="en-GB"/>
        </w:rPr>
        <w:t xml:space="preserve"> and the ceri</w:t>
      </w:r>
      <w:r w:rsidR="00832DD3" w:rsidRPr="00506A68">
        <w:rPr>
          <w:rFonts w:cs="Arial"/>
          <w:sz w:val="22"/>
          <w:lang w:val="en-GB"/>
        </w:rPr>
        <w:t xml:space="preserve">tinib </w:t>
      </w:r>
      <w:r w:rsidR="005A47EE">
        <w:rPr>
          <w:rFonts w:cs="Arial"/>
          <w:sz w:val="22"/>
          <w:lang w:val="en-GB"/>
        </w:rPr>
        <w:lastRenderedPageBreak/>
        <w:t xml:space="preserve">RWD </w:t>
      </w:r>
      <w:r w:rsidR="00B62BC3" w:rsidRPr="00506A68">
        <w:rPr>
          <w:rFonts w:cs="Arial"/>
          <w:sz w:val="22"/>
          <w:lang w:val="en-GB"/>
        </w:rPr>
        <w:t>arm</w:t>
      </w:r>
      <w:r w:rsidR="00722773" w:rsidRPr="00506A68">
        <w:rPr>
          <w:rFonts w:cs="Arial"/>
          <w:sz w:val="22"/>
          <w:lang w:val="en-GB"/>
        </w:rPr>
        <w:t xml:space="preserve"> (Supplementary Table 1)</w:t>
      </w:r>
      <w:r w:rsidR="006E41F7" w:rsidRPr="00506A68">
        <w:rPr>
          <w:rFonts w:cs="Arial"/>
          <w:sz w:val="22"/>
          <w:lang w:val="en-GB"/>
        </w:rPr>
        <w:t>.</w:t>
      </w:r>
      <w:r w:rsidR="00490E5A" w:rsidRPr="00506A68">
        <w:rPr>
          <w:rFonts w:cs="Arial"/>
          <w:sz w:val="22"/>
          <w:lang w:val="en-GB"/>
        </w:rPr>
        <w:t xml:space="preserve"> M</w:t>
      </w:r>
      <w:r w:rsidRPr="00506A68">
        <w:rPr>
          <w:rFonts w:cs="Arial"/>
          <w:sz w:val="22"/>
          <w:lang w:val="en-GB"/>
        </w:rPr>
        <w:t xml:space="preserve">edian OS was </w:t>
      </w:r>
      <w:r w:rsidR="00400982" w:rsidRPr="00506A68">
        <w:rPr>
          <w:rFonts w:cs="Arial"/>
          <w:sz w:val="22"/>
          <w:lang w:val="en-GB"/>
        </w:rPr>
        <w:t xml:space="preserve">consistent </w:t>
      </w:r>
      <w:r w:rsidRPr="00506A68">
        <w:rPr>
          <w:rFonts w:cs="Arial"/>
          <w:sz w:val="22"/>
          <w:lang w:val="en-GB"/>
        </w:rPr>
        <w:t>betwee</w:t>
      </w:r>
      <w:r w:rsidR="00B24B6F" w:rsidRPr="00506A68">
        <w:rPr>
          <w:rFonts w:cs="Arial"/>
          <w:sz w:val="22"/>
          <w:lang w:val="en-GB"/>
        </w:rPr>
        <w:t>n ceritinib (RWD) (16</w:t>
      </w:r>
      <w:r w:rsidR="00C1359C" w:rsidRPr="00506A68">
        <w:rPr>
          <w:rFonts w:cs="Arial"/>
          <w:sz w:val="22"/>
          <w:lang w:val="en-GB"/>
        </w:rPr>
        <w:t xml:space="preserve"> months, </w:t>
      </w:r>
      <w:r w:rsidR="00B24B6F" w:rsidRPr="00506A68">
        <w:rPr>
          <w:rFonts w:cs="Arial"/>
          <w:sz w:val="22"/>
          <w:lang w:val="en-GB"/>
        </w:rPr>
        <w:t>95% CI: 12</w:t>
      </w:r>
      <w:r w:rsidR="0007757A" w:rsidRPr="00506A68">
        <w:rPr>
          <w:rFonts w:cs="Arial"/>
          <w:lang w:val="en-GB"/>
        </w:rPr>
        <w:t>–</w:t>
      </w:r>
      <w:r w:rsidR="00C1359C" w:rsidRPr="00506A68">
        <w:rPr>
          <w:rFonts w:cs="Arial"/>
          <w:sz w:val="22"/>
          <w:lang w:val="en-GB"/>
        </w:rPr>
        <w:t>NR)</w:t>
      </w:r>
      <w:r w:rsidRPr="00506A68">
        <w:rPr>
          <w:rFonts w:cs="Arial"/>
          <w:sz w:val="22"/>
          <w:lang w:val="en-GB"/>
        </w:rPr>
        <w:t xml:space="preserve"> and </w:t>
      </w:r>
      <w:r w:rsidR="00B24B6F" w:rsidRPr="00506A68">
        <w:rPr>
          <w:rFonts w:cs="Arial"/>
          <w:sz w:val="22"/>
          <w:lang w:val="en-GB"/>
        </w:rPr>
        <w:t>ceritinib (trial) (15</w:t>
      </w:r>
      <w:r w:rsidR="00C1359C" w:rsidRPr="00506A68">
        <w:rPr>
          <w:rFonts w:cs="Arial"/>
          <w:sz w:val="22"/>
          <w:lang w:val="en-GB"/>
        </w:rPr>
        <w:t xml:space="preserve"> months, </w:t>
      </w:r>
      <w:r w:rsidR="00B24B6F" w:rsidRPr="00506A68">
        <w:rPr>
          <w:rFonts w:cs="Arial"/>
          <w:sz w:val="22"/>
          <w:lang w:val="en-GB"/>
        </w:rPr>
        <w:t>95% CI: 14</w:t>
      </w:r>
      <w:r w:rsidR="0007757A" w:rsidRPr="00506A68">
        <w:rPr>
          <w:rFonts w:cs="Arial"/>
          <w:lang w:val="en-GB"/>
        </w:rPr>
        <w:t>–</w:t>
      </w:r>
      <w:r w:rsidR="00C407FB" w:rsidRPr="00506A68">
        <w:rPr>
          <w:rFonts w:cs="Arial"/>
          <w:sz w:val="22"/>
          <w:lang w:val="en-GB"/>
        </w:rPr>
        <w:t xml:space="preserve">NR; </w:t>
      </w:r>
      <w:r w:rsidR="008C3E28" w:rsidRPr="00506A68">
        <w:rPr>
          <w:rFonts w:cs="Arial"/>
          <w:sz w:val="22"/>
          <w:lang w:val="en-GB"/>
        </w:rPr>
        <w:t>Fig</w:t>
      </w:r>
      <w:r w:rsidR="00982691">
        <w:rPr>
          <w:rFonts w:cs="Arial"/>
          <w:sz w:val="22"/>
          <w:lang w:val="en-GB"/>
        </w:rPr>
        <w:t>ure</w:t>
      </w:r>
      <w:r w:rsidR="00982691" w:rsidRPr="00506A68">
        <w:rPr>
          <w:rFonts w:cs="Arial"/>
          <w:sz w:val="22"/>
          <w:lang w:val="en-GB"/>
        </w:rPr>
        <w:t xml:space="preserve"> </w:t>
      </w:r>
      <w:r w:rsidR="008C3E28" w:rsidRPr="00506A68">
        <w:rPr>
          <w:rFonts w:cs="Arial"/>
          <w:sz w:val="22"/>
          <w:lang w:val="en-GB"/>
        </w:rPr>
        <w:t>5</w:t>
      </w:r>
      <w:r w:rsidR="00172DFD" w:rsidRPr="00506A68">
        <w:rPr>
          <w:rFonts w:cs="Arial"/>
          <w:sz w:val="22"/>
          <w:lang w:val="en-GB"/>
        </w:rPr>
        <w:t>A</w:t>
      </w:r>
      <w:r w:rsidR="008D3E80" w:rsidRPr="00506A68">
        <w:rPr>
          <w:rFonts w:cs="Arial"/>
          <w:sz w:val="22"/>
          <w:lang w:val="en-GB"/>
        </w:rPr>
        <w:t>)</w:t>
      </w:r>
      <w:r w:rsidRPr="00506A68">
        <w:rPr>
          <w:rFonts w:cs="Arial"/>
          <w:sz w:val="22"/>
          <w:lang w:val="en-GB"/>
        </w:rPr>
        <w:t xml:space="preserve">. </w:t>
      </w:r>
      <w:r w:rsidR="00C52B40" w:rsidRPr="00506A68">
        <w:rPr>
          <w:rFonts w:cs="Arial"/>
          <w:sz w:val="22"/>
          <w:lang w:val="en-GB"/>
        </w:rPr>
        <w:t xml:space="preserve">Prolonged OS </w:t>
      </w:r>
      <w:r w:rsidR="004770A0" w:rsidRPr="00506A68">
        <w:rPr>
          <w:rFonts w:cs="Arial"/>
          <w:sz w:val="22"/>
          <w:lang w:val="en-GB"/>
        </w:rPr>
        <w:t>compared with</w:t>
      </w:r>
      <w:r w:rsidR="008B21A5" w:rsidRPr="00506A68">
        <w:rPr>
          <w:rFonts w:cs="Arial"/>
          <w:sz w:val="22"/>
          <w:lang w:val="en-GB"/>
        </w:rPr>
        <w:t xml:space="preserve"> </w:t>
      </w:r>
      <w:r w:rsidR="004770A0" w:rsidRPr="00506A68">
        <w:rPr>
          <w:rFonts w:cs="Arial"/>
          <w:sz w:val="22"/>
          <w:lang w:val="en-GB"/>
        </w:rPr>
        <w:t xml:space="preserve">ceritinib (trial) </w:t>
      </w:r>
      <w:r w:rsidR="00C52B40" w:rsidRPr="00506A68">
        <w:rPr>
          <w:rFonts w:cs="Arial"/>
          <w:sz w:val="22"/>
          <w:lang w:val="en-GB"/>
        </w:rPr>
        <w:t>was observed in the un</w:t>
      </w:r>
      <w:r w:rsidR="006B388A">
        <w:rPr>
          <w:rFonts w:cs="Arial"/>
          <w:sz w:val="22"/>
          <w:lang w:val="en-GB"/>
        </w:rPr>
        <w:t>-</w:t>
      </w:r>
      <w:r w:rsidR="00C52B40" w:rsidRPr="00506A68">
        <w:rPr>
          <w:rFonts w:cs="Arial"/>
          <w:sz w:val="22"/>
          <w:lang w:val="en-GB"/>
        </w:rPr>
        <w:t xml:space="preserve">weighted </w:t>
      </w:r>
      <w:r w:rsidRPr="00506A68">
        <w:rPr>
          <w:rFonts w:cs="Arial"/>
          <w:sz w:val="22"/>
          <w:lang w:val="en-GB"/>
        </w:rPr>
        <w:t>al</w:t>
      </w:r>
      <w:r w:rsidR="00C1359C" w:rsidRPr="00506A68">
        <w:rPr>
          <w:rFonts w:cs="Arial"/>
          <w:sz w:val="22"/>
          <w:lang w:val="en-GB"/>
        </w:rPr>
        <w:t xml:space="preserve">ectinib </w:t>
      </w:r>
      <w:r w:rsidR="00C52B40" w:rsidRPr="00506A68">
        <w:rPr>
          <w:rFonts w:cs="Arial"/>
          <w:sz w:val="22"/>
          <w:lang w:val="en-GB"/>
        </w:rPr>
        <w:t>cohort (</w:t>
      </w:r>
      <w:r w:rsidR="00242A82" w:rsidRPr="00506A68">
        <w:rPr>
          <w:rFonts w:cs="Arial"/>
          <w:sz w:val="22"/>
          <w:lang w:val="en-GB"/>
        </w:rPr>
        <w:t xml:space="preserve">median </w:t>
      </w:r>
      <w:r w:rsidR="00B24B6F" w:rsidRPr="00506A68">
        <w:rPr>
          <w:rFonts w:cs="Arial"/>
          <w:sz w:val="22"/>
          <w:lang w:val="en-GB"/>
        </w:rPr>
        <w:t>26</w:t>
      </w:r>
      <w:r w:rsidR="00C1359C" w:rsidRPr="00506A68">
        <w:rPr>
          <w:rFonts w:cs="Arial"/>
          <w:sz w:val="22"/>
          <w:lang w:val="en-GB"/>
        </w:rPr>
        <w:t xml:space="preserve"> months, </w:t>
      </w:r>
      <w:r w:rsidRPr="00506A68">
        <w:rPr>
          <w:rFonts w:cs="Arial"/>
          <w:sz w:val="22"/>
          <w:lang w:val="en-GB"/>
        </w:rPr>
        <w:t>95% CI</w:t>
      </w:r>
      <w:r w:rsidR="008B21A5" w:rsidRPr="00506A68">
        <w:rPr>
          <w:rFonts w:cs="Arial"/>
          <w:sz w:val="22"/>
          <w:lang w:val="en-GB"/>
        </w:rPr>
        <w:t>:</w:t>
      </w:r>
      <w:r w:rsidR="00B24B6F" w:rsidRPr="00506A68">
        <w:rPr>
          <w:rFonts w:cs="Arial"/>
          <w:sz w:val="22"/>
          <w:lang w:val="en-GB"/>
        </w:rPr>
        <w:t xml:space="preserve"> 21</w:t>
      </w:r>
      <w:r w:rsidR="0007757A" w:rsidRPr="00506A68">
        <w:rPr>
          <w:rFonts w:cs="Arial"/>
          <w:lang w:val="en-GB"/>
        </w:rPr>
        <w:t>–</w:t>
      </w:r>
      <w:r w:rsidR="0007757A" w:rsidRPr="00506A68">
        <w:rPr>
          <w:rFonts w:cs="Arial"/>
          <w:sz w:val="22"/>
          <w:lang w:val="en-GB"/>
        </w:rPr>
        <w:t>NR</w:t>
      </w:r>
      <w:r w:rsidR="007756B3" w:rsidRPr="00506A68">
        <w:rPr>
          <w:rFonts w:cs="Arial"/>
          <w:sz w:val="22"/>
          <w:lang w:val="en-GB"/>
        </w:rPr>
        <w:t xml:space="preserve">; </w:t>
      </w:r>
      <w:r w:rsidR="008C3E28" w:rsidRPr="00506A68">
        <w:rPr>
          <w:rFonts w:cs="Arial"/>
          <w:sz w:val="22"/>
          <w:lang w:val="en-GB"/>
        </w:rPr>
        <w:t>Fig</w:t>
      </w:r>
      <w:r w:rsidR="00982691">
        <w:rPr>
          <w:rFonts w:cs="Arial"/>
          <w:sz w:val="22"/>
          <w:lang w:val="en-GB"/>
        </w:rPr>
        <w:t>ure</w:t>
      </w:r>
      <w:r w:rsidR="00982691" w:rsidRPr="00506A68">
        <w:rPr>
          <w:rFonts w:cs="Arial"/>
          <w:sz w:val="22"/>
          <w:lang w:val="en-GB"/>
        </w:rPr>
        <w:t xml:space="preserve"> </w:t>
      </w:r>
      <w:r w:rsidR="008C3E28" w:rsidRPr="00506A68">
        <w:rPr>
          <w:rFonts w:cs="Arial"/>
          <w:sz w:val="22"/>
          <w:lang w:val="en-GB"/>
        </w:rPr>
        <w:t>5</w:t>
      </w:r>
      <w:r w:rsidR="00172DFD" w:rsidRPr="00506A68">
        <w:rPr>
          <w:rFonts w:cs="Arial"/>
          <w:sz w:val="22"/>
          <w:lang w:val="en-GB"/>
        </w:rPr>
        <w:t>B</w:t>
      </w:r>
      <w:r w:rsidR="00761E99" w:rsidRPr="00506A68">
        <w:rPr>
          <w:rFonts w:cs="Arial"/>
          <w:sz w:val="22"/>
          <w:lang w:val="en-GB"/>
        </w:rPr>
        <w:t>)</w:t>
      </w:r>
      <w:r w:rsidRPr="00506A68">
        <w:rPr>
          <w:rFonts w:cs="Arial"/>
          <w:sz w:val="22"/>
          <w:lang w:val="en-GB"/>
        </w:rPr>
        <w:t xml:space="preserve">.  </w:t>
      </w:r>
    </w:p>
    <w:p w14:paraId="483FA625" w14:textId="77777777" w:rsidR="00D8689C" w:rsidRPr="00506A68" w:rsidRDefault="00D8689C" w:rsidP="001074FC">
      <w:pPr>
        <w:pStyle w:val="Paragraph"/>
        <w:spacing w:after="0" w:line="480" w:lineRule="auto"/>
        <w:rPr>
          <w:rFonts w:cs="Arial"/>
          <w:sz w:val="22"/>
          <w:lang w:val="en-GB"/>
        </w:rPr>
      </w:pPr>
    </w:p>
    <w:p w14:paraId="488E1563" w14:textId="3AF5C042" w:rsidR="007B07C8" w:rsidRPr="001074FC" w:rsidRDefault="007B07C8" w:rsidP="001074FC">
      <w:pPr>
        <w:spacing w:after="0" w:line="480" w:lineRule="auto"/>
        <w:rPr>
          <w:rFonts w:ascii="Arial" w:hAnsi="Arial" w:cs="Arial"/>
          <w:sz w:val="28"/>
          <w:szCs w:val="28"/>
        </w:rPr>
      </w:pPr>
      <w:r w:rsidRPr="001074FC">
        <w:rPr>
          <w:rFonts w:ascii="Arial" w:hAnsi="Arial" w:cs="Arial"/>
          <w:sz w:val="28"/>
          <w:szCs w:val="28"/>
        </w:rPr>
        <w:t>Subsequent treatments</w:t>
      </w:r>
    </w:p>
    <w:p w14:paraId="0DD7524E" w14:textId="2A411713" w:rsidR="00311D12" w:rsidRPr="00506A68" w:rsidRDefault="007B07C8" w:rsidP="001074FC">
      <w:pPr>
        <w:spacing w:after="0" w:line="480" w:lineRule="auto"/>
        <w:rPr>
          <w:rFonts w:ascii="Arial" w:hAnsi="Arial" w:cs="Arial"/>
        </w:rPr>
      </w:pPr>
      <w:r w:rsidRPr="008C1CD3">
        <w:rPr>
          <w:rFonts w:ascii="Arial" w:hAnsi="Arial" w:cs="Arial"/>
        </w:rPr>
        <w:t xml:space="preserve">Subsequent therapies were allowed for both treatment groups. </w:t>
      </w:r>
      <w:r w:rsidR="00BE6299" w:rsidRPr="008C1CD3">
        <w:rPr>
          <w:rFonts w:ascii="Arial" w:hAnsi="Arial" w:cs="Arial"/>
        </w:rPr>
        <w:t xml:space="preserve">At data cut-off, 56 patients in the alectinib arm were still receiving alectinib treatment and </w:t>
      </w:r>
      <w:r w:rsidR="006B388A">
        <w:rPr>
          <w:rFonts w:ascii="Arial" w:hAnsi="Arial" w:cs="Arial"/>
        </w:rPr>
        <w:t>four</w:t>
      </w:r>
      <w:r w:rsidR="006B388A" w:rsidRPr="008C1CD3">
        <w:rPr>
          <w:rFonts w:ascii="Arial" w:hAnsi="Arial" w:cs="Arial"/>
        </w:rPr>
        <w:t xml:space="preserve"> </w:t>
      </w:r>
      <w:r w:rsidR="00BE6299" w:rsidRPr="008C1CD3">
        <w:rPr>
          <w:rFonts w:ascii="Arial" w:hAnsi="Arial" w:cs="Arial"/>
        </w:rPr>
        <w:t>patients in the ceritinib arm were still receiving ceritinib treatment. In total, 53 patients (42%) in the alectinib arm</w:t>
      </w:r>
      <w:r w:rsidR="001821C8" w:rsidRPr="008C1CD3">
        <w:rPr>
          <w:rFonts w:ascii="Arial" w:hAnsi="Arial" w:cs="Arial"/>
        </w:rPr>
        <w:t xml:space="preserve"> received at least one subsequent therapy; 32 patients (25%) received ceritinib and </w:t>
      </w:r>
      <w:r w:rsidR="006B388A">
        <w:rPr>
          <w:rFonts w:ascii="Arial" w:hAnsi="Arial" w:cs="Arial"/>
        </w:rPr>
        <w:t>three</w:t>
      </w:r>
      <w:r w:rsidR="006B388A" w:rsidRPr="008C1CD3">
        <w:rPr>
          <w:rFonts w:ascii="Arial" w:hAnsi="Arial" w:cs="Arial"/>
        </w:rPr>
        <w:t xml:space="preserve"> </w:t>
      </w:r>
      <w:r w:rsidR="001821C8" w:rsidRPr="008C1CD3">
        <w:rPr>
          <w:rFonts w:ascii="Arial" w:hAnsi="Arial" w:cs="Arial"/>
        </w:rPr>
        <w:t xml:space="preserve">patients (2%) </w:t>
      </w:r>
      <w:r w:rsidR="00B36D65" w:rsidRPr="008C1CD3">
        <w:rPr>
          <w:rFonts w:ascii="Arial" w:hAnsi="Arial" w:cs="Arial"/>
        </w:rPr>
        <w:t>were retreated with crizotinib</w:t>
      </w:r>
      <w:r w:rsidR="001821C8" w:rsidRPr="008C1CD3">
        <w:rPr>
          <w:rFonts w:ascii="Arial" w:hAnsi="Arial" w:cs="Arial"/>
        </w:rPr>
        <w:t>. In the ceritinib arm, 3</w:t>
      </w:r>
      <w:r w:rsidR="00BE6299" w:rsidRPr="008C1CD3">
        <w:rPr>
          <w:rFonts w:ascii="Arial" w:hAnsi="Arial" w:cs="Arial"/>
        </w:rPr>
        <w:t>4 patients (54%) received at least one subsequent therapy</w:t>
      </w:r>
      <w:r w:rsidR="001821C8" w:rsidRPr="008C1CD3">
        <w:rPr>
          <w:rFonts w:ascii="Arial" w:hAnsi="Arial" w:cs="Arial"/>
        </w:rPr>
        <w:t xml:space="preserve">; </w:t>
      </w:r>
      <w:r w:rsidR="006B388A">
        <w:rPr>
          <w:rFonts w:ascii="Arial" w:hAnsi="Arial" w:cs="Arial"/>
        </w:rPr>
        <w:t>eight</w:t>
      </w:r>
      <w:r w:rsidR="006B388A" w:rsidRPr="008C1CD3">
        <w:rPr>
          <w:rFonts w:ascii="Arial" w:hAnsi="Arial" w:cs="Arial"/>
        </w:rPr>
        <w:t xml:space="preserve"> </w:t>
      </w:r>
      <w:r w:rsidR="001821C8" w:rsidRPr="008C1CD3">
        <w:rPr>
          <w:rFonts w:ascii="Arial" w:hAnsi="Arial" w:cs="Arial"/>
        </w:rPr>
        <w:t xml:space="preserve">patients (12%) received alectinib </w:t>
      </w:r>
      <w:r w:rsidR="00B36D65" w:rsidRPr="008C1CD3">
        <w:rPr>
          <w:rFonts w:ascii="Arial" w:hAnsi="Arial" w:cs="Arial"/>
        </w:rPr>
        <w:t xml:space="preserve">and </w:t>
      </w:r>
      <w:r w:rsidR="006B388A">
        <w:rPr>
          <w:rFonts w:ascii="Arial" w:hAnsi="Arial" w:cs="Arial"/>
        </w:rPr>
        <w:t>two</w:t>
      </w:r>
      <w:r w:rsidR="006B388A" w:rsidRPr="008C1CD3">
        <w:rPr>
          <w:rFonts w:ascii="Arial" w:hAnsi="Arial" w:cs="Arial"/>
        </w:rPr>
        <w:t xml:space="preserve"> </w:t>
      </w:r>
      <w:r w:rsidR="00B36D65" w:rsidRPr="008C1CD3">
        <w:rPr>
          <w:rFonts w:ascii="Arial" w:hAnsi="Arial" w:cs="Arial"/>
        </w:rPr>
        <w:t>patients (3%) were retreated</w:t>
      </w:r>
      <w:r w:rsidR="001821C8" w:rsidRPr="008C1CD3">
        <w:rPr>
          <w:rFonts w:ascii="Arial" w:hAnsi="Arial" w:cs="Arial"/>
        </w:rPr>
        <w:t xml:space="preserve"> with crizotinib.</w:t>
      </w:r>
    </w:p>
    <w:p w14:paraId="54F6058B" w14:textId="77777777" w:rsidR="00BF1419" w:rsidRPr="00506A68" w:rsidRDefault="00BF1419" w:rsidP="001074FC">
      <w:pPr>
        <w:spacing w:after="0" w:line="480" w:lineRule="auto"/>
        <w:rPr>
          <w:rFonts w:ascii="Arial" w:hAnsi="Arial" w:cs="Arial"/>
          <w:b/>
          <w:sz w:val="24"/>
          <w:szCs w:val="24"/>
        </w:rPr>
      </w:pPr>
    </w:p>
    <w:p w14:paraId="564303AE" w14:textId="3FEC4491" w:rsidR="00B169CA" w:rsidRPr="001074FC" w:rsidRDefault="00F41D3D" w:rsidP="001074FC">
      <w:pPr>
        <w:spacing w:after="0" w:line="480" w:lineRule="auto"/>
        <w:rPr>
          <w:rFonts w:ascii="Arial" w:hAnsi="Arial" w:cs="Arial"/>
          <w:sz w:val="28"/>
          <w:szCs w:val="28"/>
        </w:rPr>
      </w:pPr>
      <w:r w:rsidRPr="001074FC">
        <w:rPr>
          <w:rFonts w:ascii="Arial" w:hAnsi="Arial" w:cs="Arial"/>
          <w:b/>
          <w:sz w:val="28"/>
          <w:szCs w:val="28"/>
        </w:rPr>
        <w:t>Discussion</w:t>
      </w:r>
      <w:r w:rsidR="00B169CA" w:rsidRPr="001074FC">
        <w:rPr>
          <w:rFonts w:ascii="Arial" w:hAnsi="Arial" w:cs="Arial"/>
          <w:b/>
          <w:sz w:val="28"/>
          <w:szCs w:val="28"/>
        </w:rPr>
        <w:t xml:space="preserve"> </w:t>
      </w:r>
    </w:p>
    <w:p w14:paraId="4510C5B6" w14:textId="77777777" w:rsidR="00971F06" w:rsidRPr="00506A68" w:rsidRDefault="00971F06" w:rsidP="00971F06">
      <w:pPr>
        <w:spacing w:after="0" w:line="480" w:lineRule="auto"/>
        <w:ind w:firstLine="426"/>
        <w:rPr>
          <w:rFonts w:ascii="Arial" w:eastAsia="Calibri" w:hAnsi="Arial" w:cs="Arial"/>
        </w:rPr>
      </w:pPr>
      <w:r w:rsidRPr="00506A68">
        <w:rPr>
          <w:rFonts w:ascii="Arial" w:eastAsia="Calibri" w:hAnsi="Arial" w:cs="Arial"/>
        </w:rPr>
        <w:t xml:space="preserve">Although not a substitute for RCTs, comparisons with RWD can bridge evidence gaps when the standard of care has shifted quickly, or when RCT evidence is not available, as in the case of the CF setting in patients with </w:t>
      </w:r>
      <w:r w:rsidRPr="00506A68">
        <w:rPr>
          <w:rFonts w:ascii="Arial" w:eastAsia="Calibri" w:hAnsi="Arial" w:cs="Arial"/>
          <w:i/>
        </w:rPr>
        <w:t>ALK</w:t>
      </w:r>
      <w:r>
        <w:rPr>
          <w:rFonts w:ascii="Arial" w:eastAsia="Calibri" w:hAnsi="Arial" w:cs="Arial"/>
        </w:rPr>
        <w:t>+</w:t>
      </w:r>
      <w:r w:rsidRPr="00506A68">
        <w:rPr>
          <w:rFonts w:ascii="Arial" w:eastAsia="Calibri" w:hAnsi="Arial" w:cs="Arial"/>
        </w:rPr>
        <w:t xml:space="preserve"> NSCLC. </w:t>
      </w:r>
      <w:r>
        <w:rPr>
          <w:rFonts w:ascii="Arial" w:eastAsia="Calibri" w:hAnsi="Arial" w:cs="Arial"/>
        </w:rPr>
        <w:t xml:space="preserve">Our analysis provides insight into the treatment effect among second generation ALK-inhibitors in the CF setting.  </w:t>
      </w:r>
    </w:p>
    <w:p w14:paraId="2F7D9DDA" w14:textId="77777777" w:rsidR="00971F06" w:rsidRPr="00506A68" w:rsidRDefault="00971F06" w:rsidP="00971F06">
      <w:pPr>
        <w:spacing w:after="0" w:line="480" w:lineRule="auto"/>
        <w:ind w:firstLine="426"/>
        <w:contextualSpacing/>
        <w:rPr>
          <w:rFonts w:ascii="Arial" w:eastAsia="Calibri" w:hAnsi="Arial" w:cs="Arial"/>
          <w:color w:val="000000"/>
        </w:rPr>
      </w:pPr>
      <w:r w:rsidRPr="00506A68">
        <w:rPr>
          <w:rFonts w:ascii="Arial" w:eastAsia="Calibri" w:hAnsi="Arial" w:cs="Arial"/>
        </w:rPr>
        <w:t xml:space="preserve">Prior to re-weighting, patient characteristics were imbalanced. The ceritinib arm had a higher median age compared to the ceritinib </w:t>
      </w:r>
      <w:r>
        <w:rPr>
          <w:rFonts w:ascii="Arial" w:eastAsia="Calibri" w:hAnsi="Arial" w:cs="Arial"/>
        </w:rPr>
        <w:t>trial arm</w:t>
      </w:r>
      <w:r w:rsidRPr="00506A68">
        <w:rPr>
          <w:rFonts w:ascii="Arial" w:eastAsia="Calibri" w:hAnsi="Arial" w:cs="Arial"/>
        </w:rPr>
        <w:t>, most likely due to the difference in patient selection for clinical trials versus treatment in clinical practice. Patients in the ceritinib arm were similar to a previous cohort of CF patients that had a median age of 67 years [1</w:t>
      </w:r>
      <w:r>
        <w:rPr>
          <w:rFonts w:ascii="Arial" w:eastAsia="Calibri" w:hAnsi="Arial" w:cs="Arial"/>
        </w:rPr>
        <w:t>8</w:t>
      </w:r>
      <w:r w:rsidRPr="00506A68">
        <w:rPr>
          <w:rFonts w:ascii="Arial" w:eastAsia="Calibri" w:hAnsi="Arial" w:cs="Arial"/>
        </w:rPr>
        <w:t xml:space="preserve">]. Patients in the alectinib arm had a higher proportion of pre-treatment, mainly comprising chemotherapy (platinum-doublet) regimens. This may be due to the fact that many patients in the alectinib arm were diagnosed before crizotinib was approved for first-line treatment. Patients receiving alectinib also reported a higher prevalence of CNS metastases at baseline </w:t>
      </w:r>
      <w:r w:rsidRPr="00506A68">
        <w:rPr>
          <w:rFonts w:ascii="Arial" w:eastAsia="Calibri" w:hAnsi="Arial" w:cs="Arial"/>
        </w:rPr>
        <w:lastRenderedPageBreak/>
        <w:t>than in the ceritinib (RWD) arm, possibly</w:t>
      </w:r>
      <w:r w:rsidRPr="00506A68">
        <w:rPr>
          <w:rFonts w:ascii="Arial" w:eastAsia="Calibri" w:hAnsi="Arial" w:cs="Arial"/>
          <w:color w:val="000000"/>
        </w:rPr>
        <w:t xml:space="preserve"> due to under-reporting in clinical practice compared with the more rigorous clinical trial assessment. The prevalence of CNS metastases observed in the ceritinib (RWD) arm was similar to a CF population from a global real-world cohort, which reported a range of CNS prevalence after CF of 23% in the US to 54% in Europe [1</w:t>
      </w:r>
      <w:r>
        <w:rPr>
          <w:rFonts w:ascii="Arial" w:eastAsia="Calibri" w:hAnsi="Arial" w:cs="Arial"/>
          <w:color w:val="000000"/>
        </w:rPr>
        <w:t>9</w:t>
      </w:r>
      <w:r w:rsidRPr="00506A68">
        <w:rPr>
          <w:rFonts w:ascii="Arial" w:eastAsia="Calibri" w:hAnsi="Arial" w:cs="Arial"/>
          <w:color w:val="000000"/>
        </w:rPr>
        <w:t>].</w:t>
      </w:r>
    </w:p>
    <w:p w14:paraId="011D79A8" w14:textId="77777777" w:rsidR="00971F06" w:rsidRDefault="00971F06" w:rsidP="00971F06">
      <w:pPr>
        <w:spacing w:after="0" w:line="480" w:lineRule="auto"/>
        <w:ind w:firstLine="426"/>
        <w:contextualSpacing/>
        <w:rPr>
          <w:rFonts w:ascii="Arial" w:eastAsia="Calibri" w:hAnsi="Arial" w:cs="Arial"/>
          <w:color w:val="000000"/>
        </w:rPr>
      </w:pPr>
      <w:r w:rsidRPr="00950B3D">
        <w:rPr>
          <w:rFonts w:ascii="Arial" w:eastAsia="Calibri" w:hAnsi="Arial" w:cs="Arial"/>
          <w:color w:val="000000"/>
        </w:rPr>
        <w:t>As this study is a comparison of a non-randomi</w:t>
      </w:r>
      <w:r>
        <w:rPr>
          <w:rFonts w:ascii="Arial" w:eastAsia="Calibri" w:hAnsi="Arial" w:cs="Arial"/>
          <w:color w:val="000000"/>
        </w:rPr>
        <w:t>z</w:t>
      </w:r>
      <w:r w:rsidRPr="00950B3D">
        <w:rPr>
          <w:rFonts w:ascii="Arial" w:eastAsia="Calibri" w:hAnsi="Arial" w:cs="Arial"/>
          <w:color w:val="000000"/>
        </w:rPr>
        <w:t>ed sample, similarit</w:t>
      </w:r>
      <w:r>
        <w:rPr>
          <w:rFonts w:ascii="Arial" w:eastAsia="Calibri" w:hAnsi="Arial" w:cs="Arial"/>
          <w:color w:val="000000"/>
        </w:rPr>
        <w:t xml:space="preserve">y </w:t>
      </w:r>
      <w:r w:rsidRPr="00950B3D">
        <w:rPr>
          <w:rFonts w:ascii="Arial" w:eastAsia="Calibri" w:hAnsi="Arial" w:cs="Arial"/>
          <w:color w:val="000000"/>
        </w:rPr>
        <w:t>of baseline characteristics was essential.</w:t>
      </w:r>
      <w:r w:rsidRPr="00506A68">
        <w:rPr>
          <w:rFonts w:ascii="Arial" w:eastAsia="Calibri" w:hAnsi="Arial" w:cs="Arial"/>
          <w:color w:val="000000"/>
        </w:rPr>
        <w:t xml:space="preserve"> To address any potential bias, the study cohort was re-weighted using IPTW, based on a calculated propensity score to harmoni</w:t>
      </w:r>
      <w:r>
        <w:rPr>
          <w:rFonts w:ascii="Arial" w:eastAsia="Calibri" w:hAnsi="Arial" w:cs="Arial"/>
          <w:color w:val="000000"/>
        </w:rPr>
        <w:t>z</w:t>
      </w:r>
      <w:r w:rsidRPr="00506A68">
        <w:rPr>
          <w:rFonts w:ascii="Arial" w:eastAsia="Calibri" w:hAnsi="Arial" w:cs="Arial"/>
          <w:color w:val="000000"/>
        </w:rPr>
        <w:t xml:space="preserve">e the two treatment arms. This is a robust method to reduce bias and estimate average treatment effects across groups after balancing observed confounders </w:t>
      </w:r>
      <w:r>
        <w:rPr>
          <w:rFonts w:ascii="Arial" w:eastAsia="Calibri" w:hAnsi="Arial" w:cs="Arial"/>
          <w:color w:val="000000"/>
        </w:rPr>
        <w:t>[13, 20</w:t>
      </w:r>
      <w:r w:rsidRPr="00506A68">
        <w:rPr>
          <w:rFonts w:ascii="Arial" w:eastAsia="Calibri" w:hAnsi="Arial" w:cs="Arial"/>
          <w:color w:val="000000"/>
        </w:rPr>
        <w:t>–2</w:t>
      </w:r>
      <w:r>
        <w:rPr>
          <w:rFonts w:ascii="Arial" w:eastAsia="Calibri" w:hAnsi="Arial" w:cs="Arial"/>
          <w:color w:val="000000"/>
        </w:rPr>
        <w:t>3</w:t>
      </w:r>
      <w:r w:rsidRPr="00506A68">
        <w:rPr>
          <w:rFonts w:ascii="Arial" w:eastAsia="Calibri" w:hAnsi="Arial" w:cs="Arial"/>
          <w:color w:val="000000"/>
        </w:rPr>
        <w:t xml:space="preserve">]. After re-weighting, balance in baseline covariates between the two treatment arms was achieved based on SMD &lt;10%, which is considered negligible [11]. </w:t>
      </w:r>
    </w:p>
    <w:p w14:paraId="62D0E41E" w14:textId="1AAA717E" w:rsidR="00971F06" w:rsidRDefault="00971F06" w:rsidP="00971F06">
      <w:pPr>
        <w:spacing w:after="0" w:line="480" w:lineRule="auto"/>
        <w:ind w:firstLine="426"/>
        <w:contextualSpacing/>
        <w:rPr>
          <w:rFonts w:ascii="Arial" w:eastAsia="Calibri" w:hAnsi="Arial" w:cs="Arial"/>
          <w:color w:val="000000"/>
        </w:rPr>
      </w:pPr>
      <w:r w:rsidRPr="00FF3883">
        <w:rPr>
          <w:rFonts w:ascii="Arial" w:eastAsia="Calibri" w:hAnsi="Arial" w:cs="Arial"/>
          <w:color w:val="000000"/>
        </w:rPr>
        <w:t xml:space="preserve">Alectinib was associated with lower risk of death in the primary analysis and sensitivity analyses compared with ceritinib. The lower risk of death </w:t>
      </w:r>
      <w:r>
        <w:rPr>
          <w:rFonts w:ascii="Arial" w:eastAsia="Calibri" w:hAnsi="Arial" w:cs="Arial"/>
          <w:color w:val="000000"/>
        </w:rPr>
        <w:t xml:space="preserve">associated with </w:t>
      </w:r>
      <w:r w:rsidRPr="00FF3883">
        <w:rPr>
          <w:rFonts w:ascii="Arial" w:eastAsia="Calibri" w:hAnsi="Arial" w:cs="Arial"/>
          <w:color w:val="000000"/>
        </w:rPr>
        <w:t xml:space="preserve">alectinib is aligned when examining the </w:t>
      </w:r>
      <w:r>
        <w:rPr>
          <w:rFonts w:ascii="Arial" w:eastAsia="Calibri" w:hAnsi="Arial" w:cs="Arial"/>
          <w:color w:val="000000"/>
        </w:rPr>
        <w:t>efficacy evidence from</w:t>
      </w:r>
      <w:r w:rsidRPr="00FF3883">
        <w:rPr>
          <w:rFonts w:ascii="Arial" w:eastAsia="Calibri" w:hAnsi="Arial" w:cs="Arial"/>
          <w:color w:val="000000"/>
        </w:rPr>
        <w:t xml:space="preserve"> </w:t>
      </w:r>
      <w:r>
        <w:rPr>
          <w:rFonts w:ascii="Arial" w:eastAsia="Calibri" w:hAnsi="Arial" w:cs="Arial"/>
          <w:color w:val="000000"/>
        </w:rPr>
        <w:t>the phase II and III trials for alectinib</w:t>
      </w:r>
      <w:r w:rsidRPr="00FF3883">
        <w:rPr>
          <w:rFonts w:ascii="Arial" w:eastAsia="Calibri" w:hAnsi="Arial" w:cs="Arial"/>
          <w:color w:val="000000"/>
        </w:rPr>
        <w:t xml:space="preserve">. </w:t>
      </w:r>
      <w:r>
        <w:rPr>
          <w:rFonts w:ascii="Arial" w:eastAsia="Calibri" w:hAnsi="Arial" w:cs="Arial"/>
          <w:color w:val="000000"/>
        </w:rPr>
        <w:t>In the two phase II studies of alectinib in the CF setting m</w:t>
      </w:r>
      <w:r w:rsidRPr="00FF3883">
        <w:rPr>
          <w:rFonts w:ascii="Arial" w:eastAsia="Calibri" w:hAnsi="Arial" w:cs="Arial"/>
          <w:color w:val="000000"/>
        </w:rPr>
        <w:t xml:space="preserve">edian duration of response with alectinib </w:t>
      </w:r>
      <w:r>
        <w:rPr>
          <w:rFonts w:ascii="Arial" w:eastAsia="Calibri" w:hAnsi="Arial" w:cs="Arial"/>
          <w:color w:val="000000"/>
        </w:rPr>
        <w:t xml:space="preserve">was </w:t>
      </w:r>
      <w:r w:rsidRPr="00FF3883">
        <w:rPr>
          <w:rFonts w:ascii="Arial" w:eastAsia="Calibri" w:hAnsi="Arial" w:cs="Arial"/>
          <w:color w:val="000000"/>
        </w:rPr>
        <w:t>11.2 and 13.5 months</w:t>
      </w:r>
      <w:r w:rsidR="00156790">
        <w:rPr>
          <w:rFonts w:ascii="Arial" w:eastAsia="Calibri" w:hAnsi="Arial" w:cs="Arial"/>
          <w:color w:val="000000"/>
        </w:rPr>
        <w:t>)</w:t>
      </w:r>
      <w:r w:rsidR="00C70DFB">
        <w:rPr>
          <w:rFonts w:ascii="Arial" w:eastAsia="Calibri" w:hAnsi="Arial" w:cs="Arial"/>
          <w:color w:val="000000"/>
        </w:rPr>
        <w:t xml:space="preserve"> [9,10]</w:t>
      </w:r>
      <w:r w:rsidR="00156790">
        <w:rPr>
          <w:rFonts w:ascii="Arial" w:eastAsia="Calibri" w:hAnsi="Arial" w:cs="Arial"/>
          <w:color w:val="000000"/>
        </w:rPr>
        <w:t>.</w:t>
      </w:r>
      <w:r w:rsidRPr="00FF3883">
        <w:rPr>
          <w:rFonts w:ascii="Arial" w:eastAsia="Calibri" w:hAnsi="Arial" w:cs="Arial"/>
          <w:color w:val="000000"/>
        </w:rPr>
        <w:t xml:space="preserve"> </w:t>
      </w:r>
      <w:r>
        <w:rPr>
          <w:rFonts w:ascii="Arial" w:eastAsia="Calibri" w:hAnsi="Arial" w:cs="Arial"/>
          <w:color w:val="000000"/>
        </w:rPr>
        <w:t>A lower duration of response to ceritinib of 9.7 months was reported in a similar phase II trial (ASCEND-2)</w:t>
      </w:r>
      <w:r w:rsidR="00156790">
        <w:rPr>
          <w:rFonts w:ascii="Arial" w:eastAsia="Calibri" w:hAnsi="Arial" w:cs="Arial"/>
          <w:color w:val="000000"/>
        </w:rPr>
        <w:t xml:space="preserve"> [16].</w:t>
      </w:r>
      <w:r w:rsidRPr="00FF3883">
        <w:rPr>
          <w:rFonts w:ascii="Arial" w:eastAsia="Calibri" w:hAnsi="Arial" w:cs="Arial"/>
          <w:color w:val="000000"/>
        </w:rPr>
        <w:t xml:space="preserve">  </w:t>
      </w:r>
      <w:r>
        <w:rPr>
          <w:rFonts w:ascii="Arial" w:eastAsia="Calibri" w:hAnsi="Arial" w:cs="Arial"/>
          <w:color w:val="000000"/>
        </w:rPr>
        <w:t>A</w:t>
      </w:r>
      <w:r w:rsidRPr="00FF3883">
        <w:rPr>
          <w:rFonts w:ascii="Arial" w:eastAsia="Calibri" w:hAnsi="Arial" w:cs="Arial"/>
          <w:color w:val="000000"/>
        </w:rPr>
        <w:t xml:space="preserve"> randomized phase </w:t>
      </w:r>
      <w:r>
        <w:rPr>
          <w:rFonts w:ascii="Arial" w:eastAsia="Calibri" w:hAnsi="Arial" w:cs="Arial"/>
          <w:color w:val="000000"/>
        </w:rPr>
        <w:t>III</w:t>
      </w:r>
      <w:r w:rsidRPr="00FF3883">
        <w:rPr>
          <w:rFonts w:ascii="Arial" w:eastAsia="Calibri" w:hAnsi="Arial" w:cs="Arial"/>
          <w:color w:val="000000"/>
        </w:rPr>
        <w:t xml:space="preserve"> study </w:t>
      </w:r>
      <w:r>
        <w:rPr>
          <w:rFonts w:ascii="Arial" w:eastAsia="Calibri" w:hAnsi="Arial" w:cs="Arial"/>
          <w:color w:val="000000"/>
        </w:rPr>
        <w:t xml:space="preserve">(ALUR) of CF patients treated with </w:t>
      </w:r>
      <w:r w:rsidRPr="00FF3883">
        <w:rPr>
          <w:rFonts w:ascii="Arial" w:eastAsia="Calibri" w:hAnsi="Arial" w:cs="Arial"/>
          <w:color w:val="000000"/>
        </w:rPr>
        <w:t>alectinib</w:t>
      </w:r>
      <w:r>
        <w:rPr>
          <w:rFonts w:ascii="Arial" w:eastAsia="Calibri" w:hAnsi="Arial" w:cs="Arial"/>
          <w:color w:val="000000"/>
        </w:rPr>
        <w:t xml:space="preserve"> versus chemotherapy confirmed alectinib’s </w:t>
      </w:r>
      <w:r w:rsidRPr="00FF3883">
        <w:rPr>
          <w:rFonts w:ascii="Arial" w:eastAsia="Calibri" w:hAnsi="Arial" w:cs="Arial"/>
          <w:color w:val="000000"/>
        </w:rPr>
        <w:t>superiority over chemotherapy with a median PFS of 9.6 months compared to 1.4 months in patients that received chemotherapy (HR: 0.15, (95% CI: 0.08</w:t>
      </w:r>
      <w:r>
        <w:rPr>
          <w:rFonts w:ascii="Arial" w:eastAsia="Calibri" w:hAnsi="Arial" w:cs="Arial"/>
          <w:color w:val="000000"/>
        </w:rPr>
        <w:t>-0.29)</w:t>
      </w:r>
      <w:r w:rsidR="00156790">
        <w:rPr>
          <w:rFonts w:ascii="Arial" w:eastAsia="Calibri" w:hAnsi="Arial" w:cs="Arial"/>
          <w:color w:val="000000"/>
        </w:rPr>
        <w:t xml:space="preserve"> </w:t>
      </w:r>
      <w:r w:rsidR="00C70DFB">
        <w:rPr>
          <w:rFonts w:ascii="Arial" w:eastAsia="Calibri" w:hAnsi="Arial" w:cs="Arial"/>
          <w:color w:val="000000"/>
        </w:rPr>
        <w:t>[24]</w:t>
      </w:r>
      <w:r w:rsidR="00156790">
        <w:rPr>
          <w:rFonts w:ascii="Arial" w:eastAsia="Calibri" w:hAnsi="Arial" w:cs="Arial"/>
          <w:color w:val="000000"/>
        </w:rPr>
        <w:t>.</w:t>
      </w:r>
      <w:r>
        <w:rPr>
          <w:rFonts w:ascii="Arial" w:eastAsia="Calibri" w:hAnsi="Arial" w:cs="Arial"/>
          <w:color w:val="000000"/>
        </w:rPr>
        <w:t xml:space="preserve"> </w:t>
      </w:r>
      <w:r w:rsidRPr="00FF3883">
        <w:rPr>
          <w:rFonts w:ascii="Arial" w:eastAsia="Calibri" w:hAnsi="Arial" w:cs="Arial"/>
          <w:color w:val="000000"/>
        </w:rPr>
        <w:t xml:space="preserve">The differentiated profile of alectinib compared to other </w:t>
      </w:r>
      <w:r>
        <w:rPr>
          <w:rFonts w:ascii="Arial" w:eastAsia="Calibri" w:hAnsi="Arial" w:cs="Arial"/>
          <w:color w:val="000000"/>
        </w:rPr>
        <w:t xml:space="preserve">ALK inhibitors </w:t>
      </w:r>
      <w:r w:rsidRPr="00FF3883">
        <w:rPr>
          <w:rFonts w:ascii="Arial" w:eastAsia="Calibri" w:hAnsi="Arial" w:cs="Arial"/>
          <w:color w:val="000000"/>
        </w:rPr>
        <w:t>is</w:t>
      </w:r>
      <w:r>
        <w:rPr>
          <w:rFonts w:ascii="Arial" w:eastAsia="Calibri" w:hAnsi="Arial" w:cs="Arial"/>
          <w:color w:val="000000"/>
        </w:rPr>
        <w:t xml:space="preserve"> further supported by data from the</w:t>
      </w:r>
      <w:r w:rsidRPr="00FF3883">
        <w:rPr>
          <w:rFonts w:ascii="Arial" w:eastAsia="Calibri" w:hAnsi="Arial" w:cs="Arial"/>
          <w:color w:val="000000"/>
        </w:rPr>
        <w:t xml:space="preserve"> phase III randomized study</w:t>
      </w:r>
      <w:r>
        <w:rPr>
          <w:rFonts w:ascii="Arial" w:eastAsia="Calibri" w:hAnsi="Arial" w:cs="Arial"/>
          <w:color w:val="000000"/>
        </w:rPr>
        <w:t xml:space="preserve"> (ALEX), which compared</w:t>
      </w:r>
      <w:r w:rsidRPr="00FF3883">
        <w:rPr>
          <w:rFonts w:ascii="Arial" w:eastAsia="Calibri" w:hAnsi="Arial" w:cs="Arial"/>
          <w:color w:val="000000"/>
        </w:rPr>
        <w:t xml:space="preserve"> the treatment of alectinib to crizotinib in previous</w:t>
      </w:r>
      <w:r>
        <w:rPr>
          <w:rFonts w:ascii="Arial" w:eastAsia="Calibri" w:hAnsi="Arial" w:cs="Arial"/>
          <w:color w:val="000000"/>
        </w:rPr>
        <w:t>ly</w:t>
      </w:r>
      <w:r w:rsidRPr="00FF3883">
        <w:rPr>
          <w:rFonts w:ascii="Arial" w:eastAsia="Calibri" w:hAnsi="Arial" w:cs="Arial"/>
          <w:color w:val="000000"/>
        </w:rPr>
        <w:t xml:space="preserve"> untreated patients with ALK rearrangement. This trial showed the </w:t>
      </w:r>
      <w:r>
        <w:rPr>
          <w:rFonts w:ascii="Arial" w:eastAsia="Calibri" w:hAnsi="Arial" w:cs="Arial"/>
          <w:color w:val="000000"/>
        </w:rPr>
        <w:t xml:space="preserve">positive treatment effect </w:t>
      </w:r>
      <w:r w:rsidRPr="00FF3883">
        <w:rPr>
          <w:rFonts w:ascii="Arial" w:eastAsia="Calibri" w:hAnsi="Arial" w:cs="Arial"/>
          <w:color w:val="000000"/>
        </w:rPr>
        <w:t xml:space="preserve">of alectinib over crizotinib in terms of </w:t>
      </w:r>
      <w:r>
        <w:rPr>
          <w:rFonts w:ascii="Arial" w:eastAsia="Calibri" w:hAnsi="Arial" w:cs="Arial"/>
          <w:color w:val="000000"/>
        </w:rPr>
        <w:t xml:space="preserve">PFS </w:t>
      </w:r>
      <w:r w:rsidRPr="00FF3883">
        <w:rPr>
          <w:rFonts w:ascii="Arial" w:eastAsia="Calibri" w:hAnsi="Arial" w:cs="Arial"/>
          <w:color w:val="000000"/>
        </w:rPr>
        <w:t>(</w:t>
      </w:r>
      <w:r>
        <w:rPr>
          <w:rFonts w:ascii="Arial" w:eastAsia="Calibri" w:hAnsi="Arial" w:cs="Arial"/>
          <w:color w:val="000000"/>
        </w:rPr>
        <w:t xml:space="preserve">HR </w:t>
      </w:r>
      <w:r w:rsidRPr="00FF3883">
        <w:rPr>
          <w:rFonts w:ascii="Arial" w:eastAsia="Calibri" w:hAnsi="Arial" w:cs="Arial"/>
          <w:color w:val="000000"/>
        </w:rPr>
        <w:t>for disease progression or death, 0.47; 95% CI, 0.34 to 0.65; median</w:t>
      </w:r>
      <w:r>
        <w:rPr>
          <w:rFonts w:ascii="Arial" w:eastAsia="Calibri" w:hAnsi="Arial" w:cs="Arial"/>
          <w:color w:val="000000"/>
        </w:rPr>
        <w:t xml:space="preserve"> PFS</w:t>
      </w:r>
      <w:r w:rsidRPr="00FF3883">
        <w:rPr>
          <w:rFonts w:ascii="Arial" w:eastAsia="Calibri" w:hAnsi="Arial" w:cs="Arial"/>
          <w:color w:val="000000"/>
        </w:rPr>
        <w:t xml:space="preserve">, not estimable [95% CI, 17.7 months to not estimable] with alectinib vs. 11.1 months (95% CI, 9.1 to 13.1) with crizotinib) </w:t>
      </w:r>
      <w:r w:rsidR="00C70DFB">
        <w:rPr>
          <w:rFonts w:ascii="Arial" w:eastAsia="Calibri" w:hAnsi="Arial" w:cs="Arial"/>
          <w:color w:val="000000"/>
        </w:rPr>
        <w:t>[25]</w:t>
      </w:r>
      <w:r w:rsidR="00156790">
        <w:rPr>
          <w:rFonts w:ascii="Arial" w:eastAsia="Calibri" w:hAnsi="Arial" w:cs="Arial"/>
          <w:color w:val="000000"/>
        </w:rPr>
        <w:t>.</w:t>
      </w:r>
    </w:p>
    <w:p w14:paraId="02CC34AF" w14:textId="3A5D5DE1" w:rsidR="00971F06" w:rsidRDefault="00971F06" w:rsidP="00971F06">
      <w:pPr>
        <w:spacing w:after="0" w:line="480" w:lineRule="auto"/>
        <w:ind w:firstLine="426"/>
        <w:contextualSpacing/>
        <w:rPr>
          <w:rFonts w:ascii="Arial" w:hAnsi="Arial" w:cs="Arial"/>
          <w:bCs/>
        </w:rPr>
      </w:pPr>
      <w:r>
        <w:rPr>
          <w:rFonts w:ascii="Arial" w:hAnsi="Arial" w:cs="Arial"/>
          <w:bCs/>
        </w:rPr>
        <w:lastRenderedPageBreak/>
        <w:t xml:space="preserve">There are potential limitations to this analysis. Unobserved confounding may have impacted the results which </w:t>
      </w:r>
      <w:r w:rsidRPr="00506A68">
        <w:rPr>
          <w:rFonts w:ascii="Arial" w:eastAsia="Calibri" w:hAnsi="Arial" w:cs="Arial"/>
          <w:color w:val="000000"/>
        </w:rPr>
        <w:t xml:space="preserve">propensity score-based approaches cannot address. Eastern Cooperative Oncology Group performance status (ECOG PS) </w:t>
      </w:r>
      <w:r w:rsidRPr="00506A68">
        <w:rPr>
          <w:rFonts w:ascii="Arial" w:hAnsi="Arial" w:cs="Arial"/>
          <w:bCs/>
        </w:rPr>
        <w:t xml:space="preserve">is a key prognostic factor and criterion of the alectinib </w:t>
      </w:r>
      <w:r>
        <w:rPr>
          <w:rFonts w:ascii="Arial" w:hAnsi="Arial" w:cs="Arial"/>
          <w:bCs/>
        </w:rPr>
        <w:t>trials</w:t>
      </w:r>
      <w:r w:rsidRPr="00506A68">
        <w:rPr>
          <w:rFonts w:ascii="Arial" w:hAnsi="Arial" w:cs="Arial"/>
          <w:bCs/>
        </w:rPr>
        <w:t xml:space="preserve">, but it was not available consistently in the Flatiron database as it is not generally collected in clinical practice. When ECOG PS was available, any patient in the ceritinib (RWD) cohort with an ECOG PS </w:t>
      </w:r>
      <w:r>
        <w:rPr>
          <w:rFonts w:ascii="Arial" w:hAnsi="Arial" w:cs="Arial"/>
          <w:bCs/>
        </w:rPr>
        <w:t>&gt;</w:t>
      </w:r>
      <w:r w:rsidRPr="00506A68">
        <w:rPr>
          <w:rFonts w:ascii="Arial" w:hAnsi="Arial" w:cs="Arial"/>
          <w:bCs/>
        </w:rPr>
        <w:t xml:space="preserve">2 was excluded. However, this information was not available for </w:t>
      </w:r>
      <w:r>
        <w:rPr>
          <w:rFonts w:ascii="Arial" w:hAnsi="Arial" w:cs="Arial"/>
          <w:bCs/>
        </w:rPr>
        <w:t xml:space="preserve">more than </w:t>
      </w:r>
      <w:r w:rsidRPr="00506A68">
        <w:rPr>
          <w:rFonts w:ascii="Arial" w:hAnsi="Arial" w:cs="Arial"/>
          <w:bCs/>
        </w:rPr>
        <w:t>60% of patients</w:t>
      </w:r>
      <w:r>
        <w:rPr>
          <w:rFonts w:ascii="Arial" w:hAnsi="Arial" w:cs="Arial"/>
          <w:bCs/>
        </w:rPr>
        <w:t>. Given the high rate of missing data, imputation methods were not used as they would not be meaningful.</w:t>
      </w:r>
      <w:r w:rsidRPr="00506A68">
        <w:rPr>
          <w:rFonts w:ascii="Arial" w:hAnsi="Arial" w:cs="Arial"/>
          <w:bCs/>
        </w:rPr>
        <w:t xml:space="preserve"> A recent systematic review of cohorts initiating second-line and third-line treatment in clinical practice reported that most patients had a Karnofsky performance status ≥70, or an ECOG PS &lt;2 [</w:t>
      </w:r>
      <w:r w:rsidR="00C70DFB">
        <w:rPr>
          <w:rFonts w:ascii="Arial" w:hAnsi="Arial" w:cs="Arial"/>
          <w:bCs/>
        </w:rPr>
        <w:t>26</w:t>
      </w:r>
      <w:r w:rsidRPr="00506A68">
        <w:rPr>
          <w:rFonts w:ascii="Arial" w:hAnsi="Arial" w:cs="Arial"/>
          <w:bCs/>
        </w:rPr>
        <w:t xml:space="preserve">]. Thus, it is plausible that many of the patients in the ceritinib arm had an ECOG PS &lt;2, given that the treatment setting was second and third line, aligning to patients in the alectinib </w:t>
      </w:r>
      <w:r>
        <w:rPr>
          <w:rFonts w:ascii="Arial" w:hAnsi="Arial" w:cs="Arial"/>
          <w:bCs/>
        </w:rPr>
        <w:t xml:space="preserve">arm. </w:t>
      </w:r>
    </w:p>
    <w:p w14:paraId="6F0DDE16" w14:textId="6D715456" w:rsidR="00971F06" w:rsidRDefault="00971F06" w:rsidP="00971F06">
      <w:pPr>
        <w:spacing w:after="0" w:line="480" w:lineRule="auto"/>
        <w:ind w:firstLine="426"/>
        <w:contextualSpacing/>
        <w:rPr>
          <w:rFonts w:ascii="Arial" w:hAnsi="Arial" w:cs="Arial"/>
          <w:bCs/>
        </w:rPr>
      </w:pPr>
      <w:r w:rsidRPr="008C1CD3">
        <w:rPr>
          <w:rFonts w:ascii="Arial" w:hAnsi="Arial" w:cs="Arial"/>
          <w:bCs/>
        </w:rPr>
        <w:t xml:space="preserve">Propensity-based approaches can also be at risk of </w:t>
      </w:r>
      <w:r>
        <w:rPr>
          <w:rFonts w:ascii="Arial" w:hAnsi="Arial" w:cs="Arial"/>
          <w:bCs/>
        </w:rPr>
        <w:t xml:space="preserve">model </w:t>
      </w:r>
      <w:r w:rsidRPr="008C1CD3">
        <w:rPr>
          <w:rFonts w:ascii="Arial" w:hAnsi="Arial" w:cs="Arial"/>
          <w:bCs/>
        </w:rPr>
        <w:t>misspecification.</w:t>
      </w:r>
      <w:r w:rsidRPr="008C1CD3">
        <w:t xml:space="preserve"> </w:t>
      </w:r>
      <w:r w:rsidRPr="008C1CD3">
        <w:rPr>
          <w:rFonts w:ascii="Arial" w:hAnsi="Arial" w:cs="Arial"/>
          <w:bCs/>
        </w:rPr>
        <w:t>To evaluate the potential impact of misspecificatio</w:t>
      </w:r>
      <w:r>
        <w:rPr>
          <w:rFonts w:ascii="Arial" w:hAnsi="Arial" w:cs="Arial"/>
          <w:bCs/>
        </w:rPr>
        <w:t xml:space="preserve">n </w:t>
      </w:r>
      <w:r w:rsidRPr="008C1CD3">
        <w:rPr>
          <w:rFonts w:ascii="Arial" w:hAnsi="Arial" w:cs="Arial"/>
          <w:bCs/>
        </w:rPr>
        <w:t>on the treatment effect, we conducted a sensitivity analysis with a non-biased propensity score approach, GenMatch</w:t>
      </w:r>
      <w:r w:rsidR="00C70DFB">
        <w:rPr>
          <w:rFonts w:ascii="Arial" w:hAnsi="Arial" w:cs="Arial"/>
          <w:bCs/>
        </w:rPr>
        <w:t xml:space="preserve"> [27]</w:t>
      </w:r>
      <w:r w:rsidR="00156790">
        <w:rPr>
          <w:rFonts w:ascii="Arial" w:hAnsi="Arial" w:cs="Arial"/>
          <w:bCs/>
        </w:rPr>
        <w:t>.</w:t>
      </w:r>
      <w:r w:rsidRPr="008C1CD3">
        <w:rPr>
          <w:rFonts w:ascii="Arial" w:hAnsi="Arial" w:cs="Arial"/>
          <w:bCs/>
        </w:rPr>
        <w:t xml:space="preserve"> The treatment effect stayed consistent in the GenMatch analysis, which suggests little impact of this potential bias on the observed treatment effect. </w:t>
      </w:r>
    </w:p>
    <w:p w14:paraId="020DDAE6" w14:textId="77777777" w:rsidR="00971F06" w:rsidRPr="00ED7427" w:rsidRDefault="00971F06" w:rsidP="00971F06">
      <w:pPr>
        <w:spacing w:after="0" w:line="480" w:lineRule="auto"/>
        <w:ind w:firstLine="426"/>
        <w:contextualSpacing/>
        <w:rPr>
          <w:rFonts w:ascii="Arial" w:eastAsia="Calibri" w:hAnsi="Arial" w:cs="Arial"/>
          <w:color w:val="000000"/>
        </w:rPr>
      </w:pPr>
      <w:r w:rsidRPr="00506A68">
        <w:rPr>
          <w:rFonts w:ascii="Arial" w:hAnsi="Arial" w:cs="Arial"/>
          <w:bCs/>
        </w:rPr>
        <w:t xml:space="preserve">OS estimates in the ceritinib RWD arm may have been immature given the limited follow-up time, and the small sample size </w:t>
      </w:r>
      <w:r>
        <w:rPr>
          <w:rFonts w:ascii="Arial" w:hAnsi="Arial" w:cs="Arial"/>
          <w:bCs/>
        </w:rPr>
        <w:t xml:space="preserve">which </w:t>
      </w:r>
      <w:r w:rsidRPr="00506A68">
        <w:rPr>
          <w:rFonts w:ascii="Arial" w:hAnsi="Arial" w:cs="Arial"/>
          <w:bCs/>
        </w:rPr>
        <w:t>may have biased results.</w:t>
      </w:r>
      <w:r>
        <w:rPr>
          <w:rFonts w:ascii="Arial" w:hAnsi="Arial" w:cs="Arial"/>
          <w:bCs/>
        </w:rPr>
        <w:t xml:space="preserve"> </w:t>
      </w:r>
      <w:r w:rsidRPr="00506A68">
        <w:rPr>
          <w:rFonts w:ascii="Arial" w:hAnsi="Arial" w:cs="Arial"/>
          <w:bCs/>
        </w:rPr>
        <w:t>However, the median OS estimates from the ASCEND-2 trial, which had a longer follow-up</w:t>
      </w:r>
      <w:r>
        <w:rPr>
          <w:rFonts w:ascii="Arial" w:hAnsi="Arial" w:cs="Arial"/>
          <w:bCs/>
        </w:rPr>
        <w:t xml:space="preserve"> and larger sample size</w:t>
      </w:r>
      <w:r w:rsidRPr="00506A68">
        <w:rPr>
          <w:rFonts w:ascii="Arial" w:hAnsi="Arial" w:cs="Arial"/>
          <w:bCs/>
        </w:rPr>
        <w:t>, were similar to the ceritinib RWD cohort, providing evidence that the OS estimates from the ceritinib RWD arm are generali</w:t>
      </w:r>
      <w:r>
        <w:rPr>
          <w:rFonts w:ascii="Arial" w:hAnsi="Arial" w:cs="Arial"/>
          <w:bCs/>
        </w:rPr>
        <w:t>z</w:t>
      </w:r>
      <w:r w:rsidRPr="00506A68">
        <w:rPr>
          <w:rFonts w:ascii="Arial" w:hAnsi="Arial" w:cs="Arial"/>
          <w:bCs/>
        </w:rPr>
        <w:t xml:space="preserve">able. </w:t>
      </w:r>
      <w:r>
        <w:rPr>
          <w:rFonts w:ascii="Arial" w:hAnsi="Arial" w:cs="Arial"/>
          <w:bCs/>
        </w:rPr>
        <w:t xml:space="preserve">In a sensitivity analysis excluding patients with &gt;10% of follow-up to evaluate if the longer follow-up in the alectinib was driving the HR, the HR of alectinib versus ceritinib of 0.65 (95% CI: 0.47-0.89) stayed consistent with the primary result of 0.65 (95% CI: 0.48-0.88), which suggests the higher proportion of patients with longer follow-up time in the alectinib arm had a minimal impact on the estimated treatment effect.  </w:t>
      </w:r>
      <w:r w:rsidRPr="00506A68">
        <w:rPr>
          <w:rFonts w:ascii="Arial" w:hAnsi="Arial" w:cs="Arial"/>
          <w:bCs/>
        </w:rPr>
        <w:t xml:space="preserve"> </w:t>
      </w:r>
    </w:p>
    <w:p w14:paraId="68935922" w14:textId="0E702699" w:rsidR="00971F06" w:rsidRDefault="00971F06" w:rsidP="00971F06">
      <w:pPr>
        <w:spacing w:after="0" w:line="480" w:lineRule="auto"/>
        <w:ind w:firstLine="426"/>
        <w:contextualSpacing/>
        <w:rPr>
          <w:rFonts w:ascii="Arial" w:eastAsia="Calibri" w:hAnsi="Arial" w:cs="Arial"/>
          <w:color w:val="000000"/>
        </w:rPr>
      </w:pPr>
      <w:r>
        <w:rPr>
          <w:rFonts w:ascii="Arial" w:hAnsi="Arial" w:cs="Arial"/>
          <w:bCs/>
        </w:rPr>
        <w:lastRenderedPageBreak/>
        <w:t>Finally, t</w:t>
      </w:r>
      <w:r w:rsidRPr="00BB7374">
        <w:rPr>
          <w:rFonts w:ascii="Arial" w:hAnsi="Arial" w:cs="Arial"/>
          <w:bCs/>
        </w:rPr>
        <w:t xml:space="preserve">here </w:t>
      </w:r>
      <w:r>
        <w:rPr>
          <w:rFonts w:ascii="Arial" w:hAnsi="Arial" w:cs="Arial"/>
          <w:bCs/>
        </w:rPr>
        <w:t>are</w:t>
      </w:r>
      <w:r w:rsidRPr="00BB7374">
        <w:rPr>
          <w:rFonts w:ascii="Arial" w:hAnsi="Arial" w:cs="Arial"/>
          <w:bCs/>
        </w:rPr>
        <w:t xml:space="preserve"> inherent differences in the data collection </w:t>
      </w:r>
      <w:r>
        <w:rPr>
          <w:rFonts w:ascii="Arial" w:hAnsi="Arial" w:cs="Arial"/>
          <w:bCs/>
        </w:rPr>
        <w:t>between</w:t>
      </w:r>
      <w:r w:rsidRPr="00BB7374">
        <w:rPr>
          <w:rFonts w:ascii="Arial" w:hAnsi="Arial" w:cs="Arial"/>
          <w:bCs/>
        </w:rPr>
        <w:t xml:space="preserve"> the </w:t>
      </w:r>
      <w:r>
        <w:rPr>
          <w:rFonts w:ascii="Arial" w:hAnsi="Arial" w:cs="Arial"/>
          <w:bCs/>
        </w:rPr>
        <w:t>two</w:t>
      </w:r>
      <w:r w:rsidRPr="00BB7374">
        <w:rPr>
          <w:rFonts w:ascii="Arial" w:hAnsi="Arial" w:cs="Arial"/>
          <w:bCs/>
        </w:rPr>
        <w:t xml:space="preserve"> treatment arms by nature of design</w:t>
      </w:r>
      <w:r>
        <w:rPr>
          <w:rFonts w:ascii="Arial" w:hAnsi="Arial" w:cs="Arial"/>
          <w:bCs/>
        </w:rPr>
        <w:t xml:space="preserve"> of the clinical trial and RWD</w:t>
      </w:r>
      <w:r w:rsidRPr="00BB7374">
        <w:rPr>
          <w:rFonts w:ascii="Arial" w:hAnsi="Arial" w:cs="Arial"/>
          <w:bCs/>
        </w:rPr>
        <w:t>, which could potentially lead to surveillance bias</w:t>
      </w:r>
      <w:r>
        <w:rPr>
          <w:rFonts w:ascii="Arial" w:hAnsi="Arial" w:cs="Arial"/>
          <w:bCs/>
        </w:rPr>
        <w:t>.</w:t>
      </w:r>
      <w:r w:rsidRPr="00182FE9">
        <w:rPr>
          <w:rFonts w:ascii="Arial" w:eastAsia="Calibri" w:hAnsi="Arial" w:cs="Arial"/>
          <w:color w:val="000000"/>
        </w:rPr>
        <w:t xml:space="preserve"> </w:t>
      </w:r>
      <w:r w:rsidRPr="00BB7374">
        <w:rPr>
          <w:rFonts w:ascii="Arial" w:hAnsi="Arial" w:cs="Arial"/>
          <w:bCs/>
        </w:rPr>
        <w:t>We believe if this did exist</w:t>
      </w:r>
      <w:r>
        <w:rPr>
          <w:rFonts w:ascii="Arial" w:hAnsi="Arial" w:cs="Arial"/>
          <w:bCs/>
        </w:rPr>
        <w:t>,</w:t>
      </w:r>
      <w:r w:rsidRPr="00BB7374">
        <w:rPr>
          <w:rFonts w:ascii="Arial" w:hAnsi="Arial" w:cs="Arial"/>
          <w:bCs/>
        </w:rPr>
        <w:t xml:space="preserve"> it would be bias towards the null, because data from the alectinib arm were collected for the purpose of the clinical trial</w:t>
      </w:r>
      <w:r>
        <w:rPr>
          <w:rFonts w:ascii="Arial" w:hAnsi="Arial" w:cs="Arial"/>
          <w:bCs/>
        </w:rPr>
        <w:t>.</w:t>
      </w:r>
      <w:r w:rsidRPr="00BB7374">
        <w:rPr>
          <w:rFonts w:ascii="Arial" w:hAnsi="Arial" w:cs="Arial"/>
          <w:bCs/>
        </w:rPr>
        <w:t xml:space="preserve"> </w:t>
      </w:r>
      <w:r w:rsidRPr="00753CC7">
        <w:rPr>
          <w:rFonts w:ascii="Arial" w:hAnsi="Arial" w:cs="Arial"/>
          <w:bCs/>
        </w:rPr>
        <w:t>Moreover</w:t>
      </w:r>
      <w:r>
        <w:rPr>
          <w:rFonts w:ascii="Arial" w:hAnsi="Arial" w:cs="Arial"/>
          <w:bCs/>
        </w:rPr>
        <w:t>,</w:t>
      </w:r>
      <w:r w:rsidRPr="00753CC7">
        <w:rPr>
          <w:rFonts w:ascii="Arial" w:hAnsi="Arial" w:cs="Arial"/>
          <w:bCs/>
        </w:rPr>
        <w:t xml:space="preserve"> collection of the outcome (date of death) from the Flatiron Health database we believe matches</w:t>
      </w:r>
      <w:r>
        <w:rPr>
          <w:rFonts w:ascii="Arial" w:hAnsi="Arial" w:cs="Arial"/>
          <w:bCs/>
        </w:rPr>
        <w:t xml:space="preserve"> that of a clinical trial, with a</w:t>
      </w:r>
      <w:r w:rsidRPr="00753CC7">
        <w:rPr>
          <w:rFonts w:ascii="Arial" w:hAnsi="Arial" w:cs="Arial"/>
          <w:bCs/>
        </w:rPr>
        <w:t xml:space="preserve"> sensitivity of 91% and specificity of 96% of capturing death events of the a</w:t>
      </w:r>
      <w:r>
        <w:rPr>
          <w:rFonts w:ascii="Arial" w:hAnsi="Arial" w:cs="Arial"/>
          <w:bCs/>
        </w:rPr>
        <w:t xml:space="preserve">dvanced </w:t>
      </w:r>
      <w:r w:rsidRPr="00753CC7">
        <w:rPr>
          <w:rFonts w:ascii="Arial" w:hAnsi="Arial" w:cs="Arial"/>
          <w:bCs/>
        </w:rPr>
        <w:t>NSCLC EHR-derived database</w:t>
      </w:r>
      <w:r w:rsidR="00C70DFB">
        <w:rPr>
          <w:rFonts w:ascii="Arial" w:hAnsi="Arial" w:cs="Arial"/>
          <w:bCs/>
        </w:rPr>
        <w:t xml:space="preserve"> [28]</w:t>
      </w:r>
      <w:r w:rsidR="00156790">
        <w:rPr>
          <w:rFonts w:ascii="Arial" w:hAnsi="Arial" w:cs="Arial"/>
          <w:bCs/>
        </w:rPr>
        <w:t>.</w:t>
      </w:r>
    </w:p>
    <w:p w14:paraId="77CF544D" w14:textId="3DD43AAE" w:rsidR="00971F06" w:rsidRPr="00506A68" w:rsidRDefault="00971F06" w:rsidP="00971F06">
      <w:pPr>
        <w:spacing w:after="0" w:line="480" w:lineRule="auto"/>
        <w:ind w:firstLine="426"/>
        <w:contextualSpacing/>
        <w:rPr>
          <w:rFonts w:ascii="Arial" w:eastAsia="Calibri" w:hAnsi="Arial" w:cs="Arial"/>
          <w:color w:val="000000"/>
        </w:rPr>
      </w:pPr>
      <w:r w:rsidRPr="00506A68">
        <w:rPr>
          <w:rFonts w:ascii="Arial" w:eastAsia="Calibri" w:hAnsi="Arial" w:cs="Arial"/>
        </w:rPr>
        <w:t xml:space="preserve">To our knowledge, this is the first comparative effectiveness analysis to evaluate OS among patients with </w:t>
      </w:r>
      <w:r w:rsidRPr="00506A68">
        <w:rPr>
          <w:rFonts w:ascii="Arial" w:eastAsia="Calibri" w:hAnsi="Arial" w:cs="Arial"/>
          <w:i/>
        </w:rPr>
        <w:t>ALK</w:t>
      </w:r>
      <w:r>
        <w:rPr>
          <w:rFonts w:ascii="Arial" w:eastAsia="Calibri" w:hAnsi="Arial" w:cs="Arial"/>
        </w:rPr>
        <w:t>+</w:t>
      </w:r>
      <w:r w:rsidRPr="00506A68">
        <w:rPr>
          <w:rFonts w:ascii="Arial" w:eastAsia="Calibri" w:hAnsi="Arial" w:cs="Arial"/>
        </w:rPr>
        <w:t xml:space="preserve"> advanced NSCLC who received treatment with alectinib or ceritinib following CF. </w:t>
      </w:r>
      <w:r>
        <w:rPr>
          <w:rFonts w:ascii="Arial" w:eastAsia="Calibri" w:hAnsi="Arial" w:cs="Arial"/>
          <w:color w:val="000000"/>
        </w:rPr>
        <w:t>Alectinib has a clearly differentiated profile compared to other ALK inhibitors and this has been demonstrated in phase II and phase III randomized studies in both the CF setting as well as in the treatment naïve setting</w:t>
      </w:r>
      <w:r w:rsidR="00C70DFB">
        <w:rPr>
          <w:rFonts w:ascii="Arial" w:eastAsia="Calibri" w:hAnsi="Arial" w:cs="Arial"/>
          <w:color w:val="000000"/>
        </w:rPr>
        <w:t xml:space="preserve"> [24,25,29]</w:t>
      </w:r>
      <w:r w:rsidR="00156790">
        <w:rPr>
          <w:rFonts w:ascii="Arial" w:eastAsia="Calibri" w:hAnsi="Arial" w:cs="Arial"/>
          <w:color w:val="000000"/>
        </w:rPr>
        <w:t>.</w:t>
      </w:r>
      <w:r>
        <w:rPr>
          <w:rFonts w:ascii="Arial" w:eastAsia="Calibri" w:hAnsi="Arial" w:cs="Arial"/>
          <w:color w:val="000000"/>
        </w:rPr>
        <w:t xml:space="preserve"> Therefore, our results from this analysis are consistent with the observations from the two randomized phase 3 studies that have been conducted until now (ALUR and ALEX). In addition, a</w:t>
      </w:r>
      <w:r w:rsidRPr="00506A68">
        <w:rPr>
          <w:rFonts w:ascii="Arial" w:eastAsia="Calibri" w:hAnsi="Arial" w:cs="Arial"/>
          <w:color w:val="000000"/>
        </w:rPr>
        <w:t xml:space="preserve"> similar median </w:t>
      </w:r>
      <w:r>
        <w:rPr>
          <w:rFonts w:ascii="Arial" w:eastAsia="Calibri" w:hAnsi="Arial" w:cs="Arial"/>
          <w:color w:val="000000"/>
        </w:rPr>
        <w:t xml:space="preserve">OS was observed among ceritinib </w:t>
      </w:r>
      <w:r w:rsidRPr="00506A68">
        <w:rPr>
          <w:rFonts w:ascii="Arial" w:eastAsia="Calibri" w:hAnsi="Arial" w:cs="Arial"/>
          <w:color w:val="000000"/>
        </w:rPr>
        <w:t>treated patients in the real world</w:t>
      </w:r>
      <w:r>
        <w:rPr>
          <w:rFonts w:ascii="Arial" w:eastAsia="Calibri" w:hAnsi="Arial" w:cs="Arial"/>
          <w:color w:val="000000"/>
        </w:rPr>
        <w:t xml:space="preserve"> (median OS: 15.6 months)</w:t>
      </w:r>
      <w:r w:rsidRPr="00506A68">
        <w:rPr>
          <w:rFonts w:ascii="Arial" w:eastAsia="Calibri" w:hAnsi="Arial" w:cs="Arial"/>
          <w:color w:val="000000"/>
        </w:rPr>
        <w:t xml:space="preserve"> and in a clinical trial setting</w:t>
      </w:r>
      <w:r>
        <w:rPr>
          <w:rFonts w:ascii="Arial" w:eastAsia="Calibri" w:hAnsi="Arial" w:cs="Arial"/>
          <w:color w:val="000000"/>
        </w:rPr>
        <w:t xml:space="preserve"> (median OS: 14.9 months) thereby increasing the credibility of the results observed with the RWD ceritinib. It is therefore, the totality of evidence which in this case includes real world data as well as trial data that is being used to demonstrate the clinical effectiveness of alectinib. </w:t>
      </w:r>
    </w:p>
    <w:p w14:paraId="3566281B" w14:textId="089E2BAD" w:rsidR="00A905AA" w:rsidRDefault="00971F06" w:rsidP="0041234F">
      <w:pPr>
        <w:spacing w:after="0" w:line="480" w:lineRule="auto"/>
        <w:ind w:firstLine="426"/>
        <w:contextualSpacing/>
        <w:rPr>
          <w:rFonts w:ascii="Arial" w:hAnsi="Arial" w:cs="Arial"/>
          <w:bCs/>
        </w:rPr>
      </w:pPr>
      <w:r>
        <w:rPr>
          <w:rFonts w:ascii="Arial" w:hAnsi="Arial" w:cs="Arial"/>
          <w:bCs/>
        </w:rPr>
        <w:t xml:space="preserve"> </w:t>
      </w:r>
    </w:p>
    <w:p w14:paraId="0E6481CD" w14:textId="77777777" w:rsidR="004338DF" w:rsidRPr="0041234F" w:rsidRDefault="004338DF" w:rsidP="0041234F">
      <w:pPr>
        <w:spacing w:after="0" w:line="480" w:lineRule="auto"/>
        <w:ind w:firstLine="426"/>
        <w:contextualSpacing/>
        <w:rPr>
          <w:rFonts w:ascii="Arial" w:hAnsi="Arial" w:cs="Arial"/>
          <w:bCs/>
        </w:rPr>
      </w:pPr>
    </w:p>
    <w:p w14:paraId="0963873D" w14:textId="6D742B6C" w:rsidR="00BA4501" w:rsidRPr="001074FC" w:rsidRDefault="00FE768A" w:rsidP="001074FC">
      <w:pPr>
        <w:spacing w:after="0" w:line="480" w:lineRule="auto"/>
        <w:rPr>
          <w:rFonts w:ascii="Arial" w:hAnsi="Arial" w:cs="Arial"/>
          <w:b/>
          <w:sz w:val="28"/>
          <w:szCs w:val="28"/>
        </w:rPr>
      </w:pPr>
      <w:r w:rsidRPr="001074FC">
        <w:rPr>
          <w:rFonts w:ascii="Arial" w:hAnsi="Arial" w:cs="Arial"/>
          <w:b/>
          <w:sz w:val="28"/>
          <w:szCs w:val="28"/>
        </w:rPr>
        <w:t>Conclusion</w:t>
      </w:r>
    </w:p>
    <w:p w14:paraId="4A9EB650" w14:textId="4C26304C" w:rsidR="006C3454" w:rsidRDefault="005D4808" w:rsidP="001074FC">
      <w:pPr>
        <w:spacing w:after="0" w:line="480" w:lineRule="auto"/>
        <w:rPr>
          <w:rFonts w:ascii="Arial" w:hAnsi="Arial" w:cs="Arial"/>
        </w:rPr>
      </w:pPr>
      <w:r w:rsidRPr="008C1CD3">
        <w:rPr>
          <w:rFonts w:ascii="Arial" w:eastAsia="Calibri" w:hAnsi="Arial" w:cs="Arial"/>
        </w:rPr>
        <w:t>In this</w:t>
      </w:r>
      <w:r w:rsidR="004A6C13">
        <w:rPr>
          <w:rFonts w:ascii="Arial" w:eastAsia="Calibri" w:hAnsi="Arial" w:cs="Arial"/>
        </w:rPr>
        <w:t xml:space="preserve"> adjusted comparison</w:t>
      </w:r>
      <w:r w:rsidR="00591AFD" w:rsidRPr="008C1CD3">
        <w:rPr>
          <w:rFonts w:ascii="Arial" w:eastAsia="Calibri" w:hAnsi="Arial" w:cs="Arial"/>
        </w:rPr>
        <w:t>,</w:t>
      </w:r>
      <w:r w:rsidRPr="008C1CD3">
        <w:rPr>
          <w:rFonts w:ascii="Arial" w:eastAsia="Calibri" w:hAnsi="Arial" w:cs="Arial"/>
        </w:rPr>
        <w:t xml:space="preserve"> alectinib </w:t>
      </w:r>
      <w:r w:rsidR="0052672C" w:rsidRPr="008C1CD3">
        <w:rPr>
          <w:rFonts w:ascii="Arial" w:eastAsia="Calibri" w:hAnsi="Arial" w:cs="Arial"/>
        </w:rPr>
        <w:t xml:space="preserve">was associated with a </w:t>
      </w:r>
      <w:r w:rsidRPr="008C1CD3">
        <w:rPr>
          <w:rFonts w:ascii="Arial" w:eastAsia="Calibri" w:hAnsi="Arial" w:cs="Arial"/>
        </w:rPr>
        <w:t xml:space="preserve">lower risk of death compared </w:t>
      </w:r>
      <w:r w:rsidR="00DF41FB" w:rsidRPr="008C1CD3">
        <w:rPr>
          <w:rFonts w:ascii="Arial" w:eastAsia="Calibri" w:hAnsi="Arial" w:cs="Arial"/>
        </w:rPr>
        <w:t>with</w:t>
      </w:r>
      <w:r w:rsidRPr="008C1CD3">
        <w:rPr>
          <w:rFonts w:ascii="Arial" w:eastAsia="Calibri" w:hAnsi="Arial" w:cs="Arial"/>
        </w:rPr>
        <w:t xml:space="preserve"> ceritinib</w:t>
      </w:r>
      <w:r w:rsidR="00476A2C" w:rsidRPr="008C1CD3">
        <w:rPr>
          <w:rFonts w:ascii="Arial" w:eastAsia="Calibri" w:hAnsi="Arial" w:cs="Arial"/>
        </w:rPr>
        <w:t>,</w:t>
      </w:r>
      <w:r w:rsidR="004338DF">
        <w:rPr>
          <w:rFonts w:ascii="Arial" w:eastAsia="Calibri" w:hAnsi="Arial" w:cs="Arial"/>
        </w:rPr>
        <w:t xml:space="preserve"> which aligns with the totality of clinical </w:t>
      </w:r>
      <w:r w:rsidR="0026423D">
        <w:rPr>
          <w:rFonts w:ascii="Arial" w:eastAsia="Calibri" w:hAnsi="Arial" w:cs="Arial"/>
        </w:rPr>
        <w:t>trial evidence that has been used to license and reimburse</w:t>
      </w:r>
      <w:r w:rsidR="00A42EAD">
        <w:rPr>
          <w:rFonts w:ascii="Arial" w:eastAsia="Calibri" w:hAnsi="Arial" w:cs="Arial"/>
        </w:rPr>
        <w:t xml:space="preserve"> </w:t>
      </w:r>
      <w:r w:rsidR="00AE38D6">
        <w:rPr>
          <w:rFonts w:ascii="Arial" w:eastAsia="Calibri" w:hAnsi="Arial" w:cs="Arial"/>
        </w:rPr>
        <w:t>alectinib</w:t>
      </w:r>
      <w:r w:rsidR="0026423D">
        <w:rPr>
          <w:rFonts w:ascii="Arial" w:eastAsia="Calibri" w:hAnsi="Arial" w:cs="Arial"/>
        </w:rPr>
        <w:t xml:space="preserve">. </w:t>
      </w:r>
      <w:r w:rsidRPr="008C1CD3">
        <w:rPr>
          <w:rFonts w:ascii="Arial" w:hAnsi="Arial" w:cs="Arial"/>
        </w:rPr>
        <w:t xml:space="preserve">Median survival estimates were similar between </w:t>
      </w:r>
      <w:r w:rsidR="0052672C" w:rsidRPr="008C1CD3">
        <w:rPr>
          <w:rFonts w:ascii="Arial" w:hAnsi="Arial" w:cs="Arial"/>
        </w:rPr>
        <w:t xml:space="preserve">the </w:t>
      </w:r>
      <w:r w:rsidRPr="008C1CD3">
        <w:rPr>
          <w:rFonts w:ascii="Arial" w:hAnsi="Arial" w:cs="Arial"/>
        </w:rPr>
        <w:t>ceritinib (RWD) and ceritinib (trial)</w:t>
      </w:r>
      <w:r w:rsidR="0052672C" w:rsidRPr="008C1CD3">
        <w:rPr>
          <w:rFonts w:ascii="Arial" w:hAnsi="Arial" w:cs="Arial"/>
        </w:rPr>
        <w:t xml:space="preserve"> cohorts</w:t>
      </w:r>
      <w:r w:rsidRPr="008C1CD3">
        <w:rPr>
          <w:rFonts w:ascii="Arial" w:hAnsi="Arial" w:cs="Arial"/>
        </w:rPr>
        <w:t xml:space="preserve">, supporting </w:t>
      </w:r>
      <w:r w:rsidR="0052672C" w:rsidRPr="008C1CD3">
        <w:rPr>
          <w:rFonts w:ascii="Arial" w:hAnsi="Arial" w:cs="Arial"/>
        </w:rPr>
        <w:t xml:space="preserve">the </w:t>
      </w:r>
      <w:r w:rsidR="00D556CA" w:rsidRPr="008C1CD3">
        <w:rPr>
          <w:rFonts w:ascii="Arial" w:hAnsi="Arial" w:cs="Arial"/>
        </w:rPr>
        <w:t>generali</w:t>
      </w:r>
      <w:r w:rsidR="00D556CA">
        <w:rPr>
          <w:rFonts w:ascii="Arial" w:hAnsi="Arial" w:cs="Arial"/>
        </w:rPr>
        <w:t>z</w:t>
      </w:r>
      <w:r w:rsidR="00D556CA" w:rsidRPr="008C1CD3">
        <w:rPr>
          <w:rFonts w:ascii="Arial" w:hAnsi="Arial" w:cs="Arial"/>
        </w:rPr>
        <w:t xml:space="preserve">ability </w:t>
      </w:r>
      <w:r w:rsidRPr="008C1CD3">
        <w:rPr>
          <w:rFonts w:ascii="Arial" w:hAnsi="Arial" w:cs="Arial"/>
        </w:rPr>
        <w:t xml:space="preserve">of the ceritinib RWD and the plausibility of the results reported in this </w:t>
      </w:r>
      <w:r w:rsidR="0052672C" w:rsidRPr="008C1CD3">
        <w:rPr>
          <w:rFonts w:ascii="Arial" w:hAnsi="Arial" w:cs="Arial"/>
        </w:rPr>
        <w:t>analysis</w:t>
      </w:r>
      <w:r w:rsidRPr="008C1CD3">
        <w:rPr>
          <w:rFonts w:ascii="Arial" w:hAnsi="Arial" w:cs="Arial"/>
        </w:rPr>
        <w:t xml:space="preserve">. </w:t>
      </w:r>
      <w:r w:rsidR="006C3454">
        <w:rPr>
          <w:rFonts w:ascii="Arial" w:hAnsi="Arial" w:cs="Arial"/>
        </w:rPr>
        <w:t>In conclusion, we propose that the</w:t>
      </w:r>
      <w:r w:rsidR="004A6C13">
        <w:rPr>
          <w:rFonts w:ascii="Arial" w:hAnsi="Arial" w:cs="Arial"/>
        </w:rPr>
        <w:t xml:space="preserve"> </w:t>
      </w:r>
      <w:r w:rsidR="004A6C13">
        <w:rPr>
          <w:rFonts w:ascii="Arial" w:hAnsi="Arial" w:cs="Arial"/>
        </w:rPr>
        <w:lastRenderedPageBreak/>
        <w:t xml:space="preserve">utility of </w:t>
      </w:r>
      <w:r w:rsidR="006C3454">
        <w:rPr>
          <w:rFonts w:ascii="Arial" w:hAnsi="Arial" w:cs="Arial"/>
        </w:rPr>
        <w:t xml:space="preserve">RWD in providing </w:t>
      </w:r>
      <w:r w:rsidR="004A6C13">
        <w:rPr>
          <w:rFonts w:ascii="Arial" w:hAnsi="Arial" w:cs="Arial"/>
        </w:rPr>
        <w:t xml:space="preserve">external controls </w:t>
      </w:r>
      <w:r w:rsidR="006C3454">
        <w:rPr>
          <w:rFonts w:ascii="Arial" w:hAnsi="Arial" w:cs="Arial"/>
        </w:rPr>
        <w:t xml:space="preserve">should be evaluated further with more case studies and validated with IPD from a trial control arm. This will be especially useful in cases where novel medicines are being licensed in rare populations, where is more difficult to perform large RCTs to generate comparative evidence.   </w:t>
      </w:r>
    </w:p>
    <w:p w14:paraId="0F897523" w14:textId="31DCEA65" w:rsidR="00A8135F" w:rsidRDefault="00A8135F" w:rsidP="001074FC">
      <w:pPr>
        <w:spacing w:after="0" w:line="480" w:lineRule="auto"/>
        <w:rPr>
          <w:rFonts w:ascii="Arial" w:hAnsi="Arial" w:cs="Arial"/>
        </w:rPr>
      </w:pPr>
    </w:p>
    <w:p w14:paraId="14B9F47E" w14:textId="77777777" w:rsidR="00E20268" w:rsidRDefault="00E20268" w:rsidP="001074FC">
      <w:pPr>
        <w:spacing w:after="0" w:line="480" w:lineRule="auto"/>
        <w:rPr>
          <w:rFonts w:ascii="Arial" w:hAnsi="Arial" w:cs="Arial"/>
        </w:rPr>
      </w:pPr>
    </w:p>
    <w:p w14:paraId="097574D7" w14:textId="4B655320" w:rsidR="00212CEB" w:rsidRDefault="00E20268" w:rsidP="00212CEB">
      <w:pPr>
        <w:spacing w:after="0" w:line="480" w:lineRule="auto"/>
        <w:rPr>
          <w:rFonts w:ascii="Arial" w:hAnsi="Arial" w:cs="Arial"/>
          <w:b/>
          <w:sz w:val="24"/>
          <w:szCs w:val="24"/>
        </w:rPr>
      </w:pPr>
      <w:r w:rsidRPr="001074FC">
        <w:rPr>
          <w:rFonts w:ascii="Arial" w:hAnsi="Arial" w:cs="Arial"/>
          <w:b/>
          <w:sz w:val="24"/>
          <w:szCs w:val="24"/>
        </w:rPr>
        <w:t>Summary points</w:t>
      </w:r>
    </w:p>
    <w:p w14:paraId="64161675" w14:textId="054E1998" w:rsidR="00101BFB" w:rsidRPr="00626CD3" w:rsidRDefault="00101BFB" w:rsidP="00626CD3">
      <w:pPr>
        <w:pStyle w:val="ListParagraph"/>
        <w:numPr>
          <w:ilvl w:val="0"/>
          <w:numId w:val="22"/>
        </w:numPr>
        <w:spacing w:after="0" w:line="480" w:lineRule="auto"/>
        <w:rPr>
          <w:rFonts w:ascii="Arial" w:hAnsi="Arial" w:cs="Arial"/>
        </w:rPr>
      </w:pPr>
      <w:r w:rsidRPr="001318E4">
        <w:rPr>
          <w:rFonts w:ascii="Arial" w:hAnsi="Arial" w:cs="Arial"/>
        </w:rPr>
        <w:t xml:space="preserve">Due to the small proportion of patients with </w:t>
      </w:r>
      <w:r w:rsidR="00626CD3" w:rsidRPr="001C59D0">
        <w:rPr>
          <w:rFonts w:ascii="Arial" w:hAnsi="Arial" w:cs="Arial"/>
          <w:i/>
        </w:rPr>
        <w:t>anaplastic lymphoma kinase</w:t>
      </w:r>
      <w:r w:rsidR="00626CD3" w:rsidRPr="001318E4">
        <w:rPr>
          <w:rFonts w:ascii="Arial" w:hAnsi="Arial" w:cs="Arial"/>
        </w:rPr>
        <w:t>-posit</w:t>
      </w:r>
      <w:r w:rsidR="00626CD3">
        <w:rPr>
          <w:rFonts w:ascii="Arial" w:hAnsi="Arial" w:cs="Arial"/>
        </w:rPr>
        <w:t>ive non-small-cell lung cancer (</w:t>
      </w:r>
      <w:r w:rsidRPr="004429A6">
        <w:rPr>
          <w:rFonts w:ascii="Arial" w:hAnsi="Arial" w:cs="Arial"/>
          <w:i/>
        </w:rPr>
        <w:t>ALK</w:t>
      </w:r>
      <w:r w:rsidRPr="001318E4">
        <w:rPr>
          <w:rFonts w:ascii="Arial" w:hAnsi="Arial" w:cs="Arial"/>
        </w:rPr>
        <w:t>+ NSCLC</w:t>
      </w:r>
      <w:r w:rsidR="00626CD3" w:rsidRPr="00626CD3">
        <w:rPr>
          <w:rFonts w:ascii="Arial" w:hAnsi="Arial" w:cs="Arial"/>
        </w:rPr>
        <w:t>)</w:t>
      </w:r>
      <w:r w:rsidRPr="00626CD3">
        <w:rPr>
          <w:rFonts w:ascii="Arial" w:hAnsi="Arial" w:cs="Arial"/>
        </w:rPr>
        <w:t>, development of new tyrosine kinase inhibitors has been based on single-arm trials, and therefore, generating comparative evidence in this setting has been challenging.</w:t>
      </w:r>
    </w:p>
    <w:p w14:paraId="37E8BD7B" w14:textId="57D25172" w:rsidR="001318E4" w:rsidRPr="001318E4" w:rsidRDefault="00101BFB" w:rsidP="001318E4">
      <w:pPr>
        <w:pStyle w:val="ListParagraph"/>
        <w:numPr>
          <w:ilvl w:val="0"/>
          <w:numId w:val="22"/>
        </w:numPr>
        <w:spacing w:after="0" w:line="480" w:lineRule="auto"/>
        <w:rPr>
          <w:rFonts w:ascii="Arial" w:hAnsi="Arial" w:cs="Arial"/>
        </w:rPr>
      </w:pPr>
      <w:r>
        <w:rPr>
          <w:rFonts w:ascii="Arial" w:hAnsi="Arial" w:cs="Arial"/>
        </w:rPr>
        <w:t>T</w:t>
      </w:r>
      <w:r w:rsidR="001318E4" w:rsidRPr="001318E4">
        <w:rPr>
          <w:rFonts w:ascii="Arial" w:hAnsi="Arial" w:cs="Arial"/>
        </w:rPr>
        <w:t>his study spec</w:t>
      </w:r>
      <w:r w:rsidR="006D63A7">
        <w:rPr>
          <w:rFonts w:ascii="Arial" w:hAnsi="Arial" w:cs="Arial"/>
        </w:rPr>
        <w:t>ifically looked</w:t>
      </w:r>
      <w:r w:rsidR="001318E4" w:rsidRPr="001318E4">
        <w:rPr>
          <w:rFonts w:ascii="Arial" w:hAnsi="Arial" w:cs="Arial"/>
        </w:rPr>
        <w:t xml:space="preserve"> at how newly emerging areas</w:t>
      </w:r>
      <w:r w:rsidR="006D63A7">
        <w:rPr>
          <w:rFonts w:ascii="Arial" w:hAnsi="Arial" w:cs="Arial"/>
        </w:rPr>
        <w:t>,</w:t>
      </w:r>
      <w:r w:rsidR="001318E4" w:rsidRPr="001318E4">
        <w:rPr>
          <w:rFonts w:ascii="Arial" w:hAnsi="Arial" w:cs="Arial"/>
        </w:rPr>
        <w:t xml:space="preserve"> such as electronic health records </w:t>
      </w:r>
      <w:r w:rsidR="004429A6">
        <w:rPr>
          <w:rFonts w:ascii="Arial" w:hAnsi="Arial" w:cs="Arial"/>
        </w:rPr>
        <w:t xml:space="preserve">(EHR) </w:t>
      </w:r>
      <w:r w:rsidR="001318E4" w:rsidRPr="001318E4">
        <w:rPr>
          <w:rFonts w:ascii="Arial" w:hAnsi="Arial" w:cs="Arial"/>
        </w:rPr>
        <w:t>systems</w:t>
      </w:r>
      <w:r w:rsidR="006D63A7">
        <w:rPr>
          <w:rFonts w:ascii="Arial" w:hAnsi="Arial" w:cs="Arial"/>
        </w:rPr>
        <w:t>,</w:t>
      </w:r>
      <w:r w:rsidR="001318E4" w:rsidRPr="001318E4">
        <w:rPr>
          <w:rFonts w:ascii="Arial" w:hAnsi="Arial" w:cs="Arial"/>
        </w:rPr>
        <w:t xml:space="preserve"> can help identify a rare molecularly</w:t>
      </w:r>
      <w:r w:rsidR="005A47EE">
        <w:rPr>
          <w:rFonts w:ascii="Arial" w:hAnsi="Arial" w:cs="Arial"/>
        </w:rPr>
        <w:t xml:space="preserve"> </w:t>
      </w:r>
      <w:r w:rsidR="001318E4" w:rsidRPr="001318E4">
        <w:rPr>
          <w:rFonts w:ascii="Arial" w:hAnsi="Arial" w:cs="Arial"/>
        </w:rPr>
        <w:t xml:space="preserve">defined population </w:t>
      </w:r>
      <w:r w:rsidR="006D63A7">
        <w:rPr>
          <w:rFonts w:ascii="Arial" w:hAnsi="Arial" w:cs="Arial"/>
        </w:rPr>
        <w:t>(</w:t>
      </w:r>
      <w:r w:rsidR="001318E4" w:rsidRPr="001318E4">
        <w:rPr>
          <w:rFonts w:ascii="Arial" w:hAnsi="Arial" w:cs="Arial"/>
        </w:rPr>
        <w:t xml:space="preserve">such </w:t>
      </w:r>
      <w:r w:rsidR="00E667BC">
        <w:rPr>
          <w:rFonts w:ascii="Arial" w:hAnsi="Arial" w:cs="Arial"/>
        </w:rPr>
        <w:t xml:space="preserve">as </w:t>
      </w:r>
      <w:r w:rsidR="001318E4">
        <w:rPr>
          <w:rFonts w:ascii="Arial" w:hAnsi="Arial" w:cs="Arial"/>
          <w:i/>
        </w:rPr>
        <w:t>ALK</w:t>
      </w:r>
      <w:r w:rsidR="001318E4">
        <w:rPr>
          <w:rFonts w:ascii="Arial" w:hAnsi="Arial" w:cs="Arial"/>
        </w:rPr>
        <w:t xml:space="preserve">+ </w:t>
      </w:r>
      <w:r w:rsidR="00626CD3">
        <w:rPr>
          <w:rFonts w:ascii="Arial" w:hAnsi="Arial" w:cs="Arial"/>
        </w:rPr>
        <w:t>NSCLC</w:t>
      </w:r>
      <w:r w:rsidR="006D63A7">
        <w:rPr>
          <w:rFonts w:ascii="Arial" w:hAnsi="Arial" w:cs="Arial"/>
        </w:rPr>
        <w:t>)</w:t>
      </w:r>
      <w:r w:rsidR="001318E4" w:rsidRPr="001318E4">
        <w:rPr>
          <w:rFonts w:ascii="Arial" w:hAnsi="Arial" w:cs="Arial"/>
        </w:rPr>
        <w:t>, and how this can be used to generate comparative evidence within the setting of single</w:t>
      </w:r>
      <w:r w:rsidR="005A47EE">
        <w:rPr>
          <w:rFonts w:ascii="Arial" w:hAnsi="Arial" w:cs="Arial"/>
        </w:rPr>
        <w:t>-</w:t>
      </w:r>
      <w:r w:rsidR="001318E4" w:rsidRPr="001318E4">
        <w:rPr>
          <w:rFonts w:ascii="Arial" w:hAnsi="Arial" w:cs="Arial"/>
        </w:rPr>
        <w:t>arm studies.</w:t>
      </w:r>
    </w:p>
    <w:p w14:paraId="530C7A89" w14:textId="77777777" w:rsidR="001318E4" w:rsidRPr="004429A6" w:rsidRDefault="001318E4" w:rsidP="001318E4">
      <w:pPr>
        <w:pStyle w:val="BalloonText"/>
        <w:numPr>
          <w:ilvl w:val="0"/>
          <w:numId w:val="22"/>
        </w:numPr>
        <w:spacing w:line="480" w:lineRule="auto"/>
        <w:rPr>
          <w:rFonts w:ascii="Arial" w:hAnsi="Arial" w:cs="Arial"/>
          <w:sz w:val="22"/>
          <w:szCs w:val="22"/>
        </w:rPr>
      </w:pPr>
      <w:r w:rsidRPr="004429A6">
        <w:rPr>
          <w:rFonts w:ascii="Arial" w:hAnsi="Arial" w:cs="Arial"/>
          <w:sz w:val="22"/>
          <w:szCs w:val="22"/>
        </w:rPr>
        <w:t>EHR data collected from January 1, 2011 and February 28, 2016 (certinib) was combined with individual patient data (IPD) from two single-arm phase II studies (alectinib) to estimate treatment effectiveness.</w:t>
      </w:r>
    </w:p>
    <w:p w14:paraId="20C5C84A" w14:textId="48020020" w:rsidR="001318E4" w:rsidRPr="005F3FEB" w:rsidRDefault="00A1160D" w:rsidP="001318E4">
      <w:pPr>
        <w:pStyle w:val="BalloonText"/>
        <w:numPr>
          <w:ilvl w:val="0"/>
          <w:numId w:val="22"/>
        </w:numPr>
        <w:spacing w:line="480" w:lineRule="auto"/>
        <w:rPr>
          <w:rFonts w:ascii="Arial" w:hAnsi="Arial" w:cs="Arial"/>
          <w:sz w:val="22"/>
          <w:szCs w:val="22"/>
        </w:rPr>
      </w:pPr>
      <w:r>
        <w:rPr>
          <w:rFonts w:ascii="Arial" w:hAnsi="Arial" w:cs="Arial"/>
          <w:sz w:val="22"/>
          <w:szCs w:val="22"/>
        </w:rPr>
        <w:t>Data were</w:t>
      </w:r>
      <w:r w:rsidR="001318E4" w:rsidRPr="004429A6">
        <w:rPr>
          <w:rFonts w:ascii="Arial" w:hAnsi="Arial" w:cs="Arial"/>
          <w:sz w:val="22"/>
          <w:szCs w:val="22"/>
        </w:rPr>
        <w:t xml:space="preserve"> harmonized by applying inclusion and exclusion criteria from the trial</w:t>
      </w:r>
      <w:r>
        <w:rPr>
          <w:rFonts w:ascii="Arial" w:hAnsi="Arial" w:cs="Arial"/>
          <w:sz w:val="22"/>
          <w:szCs w:val="22"/>
        </w:rPr>
        <w:t>s to the EHR database. P</w:t>
      </w:r>
      <w:r w:rsidR="001318E4" w:rsidRPr="004429A6">
        <w:rPr>
          <w:rFonts w:ascii="Arial" w:hAnsi="Arial" w:cs="Arial"/>
          <w:sz w:val="22"/>
          <w:szCs w:val="22"/>
        </w:rPr>
        <w:t xml:space="preserve">ropensity score and GenMatch modelling were used to address imbalances of measured confounders. </w:t>
      </w:r>
      <w:r w:rsidRPr="00A1160D">
        <w:rPr>
          <w:rFonts w:ascii="Arial" w:hAnsi="Arial" w:cs="Arial"/>
          <w:sz w:val="22"/>
          <w:szCs w:val="22"/>
        </w:rPr>
        <w:t>Overall survival</w:t>
      </w:r>
      <w:r>
        <w:rPr>
          <w:rFonts w:ascii="Arial" w:hAnsi="Arial" w:cs="Arial"/>
          <w:sz w:val="22"/>
          <w:szCs w:val="22"/>
        </w:rPr>
        <w:t xml:space="preserve"> (OS)</w:t>
      </w:r>
      <w:r w:rsidR="001318E4" w:rsidRPr="005F3FEB">
        <w:rPr>
          <w:rFonts w:ascii="Arial" w:hAnsi="Arial" w:cs="Arial"/>
          <w:sz w:val="22"/>
          <w:szCs w:val="22"/>
        </w:rPr>
        <w:t xml:space="preserve"> was then compared with a multivariate Cox proportional hazards model.</w:t>
      </w:r>
    </w:p>
    <w:p w14:paraId="5EA195A6" w14:textId="7E9FC4AA" w:rsidR="001318E4" w:rsidRPr="001318E4" w:rsidRDefault="001318E4" w:rsidP="001318E4">
      <w:pPr>
        <w:pStyle w:val="ListParagraph"/>
        <w:numPr>
          <w:ilvl w:val="0"/>
          <w:numId w:val="22"/>
        </w:numPr>
        <w:spacing w:after="0" w:line="480" w:lineRule="auto"/>
        <w:rPr>
          <w:rFonts w:ascii="Arial" w:hAnsi="Arial" w:cs="Arial"/>
        </w:rPr>
      </w:pPr>
      <w:r w:rsidRPr="001318E4">
        <w:rPr>
          <w:rFonts w:ascii="Arial" w:hAnsi="Arial" w:cs="Arial"/>
        </w:rPr>
        <w:t xml:space="preserve">A sensitivity analysis evaluating </w:t>
      </w:r>
      <w:r w:rsidR="00A1160D">
        <w:rPr>
          <w:rFonts w:ascii="Arial" w:hAnsi="Arial" w:cs="Arial"/>
        </w:rPr>
        <w:t>OS</w:t>
      </w:r>
      <w:r w:rsidRPr="001318E4">
        <w:rPr>
          <w:rFonts w:ascii="Arial" w:hAnsi="Arial" w:cs="Arial"/>
        </w:rPr>
        <w:t xml:space="preserve"> of the control cohor</w:t>
      </w:r>
      <w:r w:rsidR="00A1160D">
        <w:rPr>
          <w:rFonts w:ascii="Arial" w:hAnsi="Arial" w:cs="Arial"/>
        </w:rPr>
        <w:t>t from EHR was conducted with a</w:t>
      </w:r>
      <w:r w:rsidRPr="001318E4">
        <w:rPr>
          <w:rFonts w:ascii="Arial" w:hAnsi="Arial" w:cs="Arial"/>
        </w:rPr>
        <w:t xml:space="preserve"> naïve comparison between the EHR cohort and digitized trial data from the control treatment.</w:t>
      </w:r>
    </w:p>
    <w:p w14:paraId="77F6E82E" w14:textId="77777777" w:rsidR="001318E4" w:rsidRPr="001318E4" w:rsidRDefault="001318E4" w:rsidP="001318E4">
      <w:pPr>
        <w:pStyle w:val="ListParagraph"/>
        <w:numPr>
          <w:ilvl w:val="0"/>
          <w:numId w:val="22"/>
        </w:numPr>
        <w:spacing w:after="0" w:line="480" w:lineRule="auto"/>
        <w:rPr>
          <w:rFonts w:ascii="Arial" w:hAnsi="Arial" w:cs="Arial"/>
        </w:rPr>
      </w:pPr>
      <w:r w:rsidRPr="005F3FEB">
        <w:rPr>
          <w:rFonts w:ascii="Arial" w:hAnsi="Arial" w:cs="Arial"/>
        </w:rPr>
        <w:t xml:space="preserve">Alectinib was associated with a significantly lower risk of death compared with ceritinib (hazard ratio: 0.65, 95% confidence interval [CI]: 0.48–0.88, </w:t>
      </w:r>
      <w:r w:rsidRPr="005F3FEB">
        <w:rPr>
          <w:rFonts w:ascii="Arial" w:hAnsi="Arial" w:cs="Arial"/>
          <w:i/>
        </w:rPr>
        <w:t xml:space="preserve">P </w:t>
      </w:r>
      <w:r w:rsidRPr="005F3FEB">
        <w:rPr>
          <w:rFonts w:ascii="Arial" w:hAnsi="Arial" w:cs="Arial"/>
        </w:rPr>
        <w:t xml:space="preserve">= 0.006), in </w:t>
      </w:r>
      <w:r w:rsidRPr="005F3FEB">
        <w:rPr>
          <w:rFonts w:ascii="Arial" w:hAnsi="Arial" w:cs="Arial"/>
        </w:rPr>
        <w:lastRenderedPageBreak/>
        <w:t xml:space="preserve">line with efficacy data from the single-arm trials. Alectinib also achieved a longer median OS compared with ceritinib (24.3 vs 15.6 months, respectively). </w:t>
      </w:r>
    </w:p>
    <w:p w14:paraId="5636159C" w14:textId="4CD52D6E" w:rsidR="001318E4" w:rsidRPr="001318E4" w:rsidRDefault="00A1160D" w:rsidP="008E1220">
      <w:pPr>
        <w:pStyle w:val="ListParagraph"/>
        <w:numPr>
          <w:ilvl w:val="0"/>
          <w:numId w:val="22"/>
        </w:numPr>
        <w:spacing w:after="0" w:line="480" w:lineRule="auto"/>
        <w:ind w:left="714" w:hanging="357"/>
        <w:rPr>
          <w:rFonts w:ascii="Arial" w:hAnsi="Arial" w:cs="Arial"/>
        </w:rPr>
      </w:pPr>
      <w:r>
        <w:rPr>
          <w:rFonts w:ascii="Arial" w:hAnsi="Arial" w:cs="Arial"/>
        </w:rPr>
        <w:t>M</w:t>
      </w:r>
      <w:r w:rsidR="001318E4" w:rsidRPr="005F3FEB">
        <w:rPr>
          <w:rFonts w:ascii="Arial" w:hAnsi="Arial" w:cs="Arial"/>
        </w:rPr>
        <w:t xml:space="preserve">edian </w:t>
      </w:r>
      <w:r>
        <w:rPr>
          <w:rFonts w:ascii="Arial" w:hAnsi="Arial" w:cs="Arial"/>
        </w:rPr>
        <w:t>OS</w:t>
      </w:r>
      <w:r w:rsidR="001318E4" w:rsidRPr="005F3FEB">
        <w:rPr>
          <w:rFonts w:ascii="Arial" w:hAnsi="Arial" w:cs="Arial"/>
        </w:rPr>
        <w:t xml:space="preserve"> estimates were similar between the ceritinib ASCEND-2 trial and RWD populations (ASCEND-2 15 months, 95% CI: 14–not reached, RWD 16 months, 95% CI: 12–</w:t>
      </w:r>
      <w:r w:rsidR="006C65EE">
        <w:rPr>
          <w:rFonts w:ascii="Arial" w:hAnsi="Arial" w:cs="Arial"/>
        </w:rPr>
        <w:t>not reached</w:t>
      </w:r>
      <w:r w:rsidR="001318E4" w:rsidRPr="005F3FEB">
        <w:rPr>
          <w:rFonts w:ascii="Arial" w:hAnsi="Arial" w:cs="Arial"/>
        </w:rPr>
        <w:t>). In our comparison, alectinib was associated with prolonged OS versus ceritinib.</w:t>
      </w:r>
    </w:p>
    <w:p w14:paraId="48B77897" w14:textId="56DF0605" w:rsidR="00A42EAD" w:rsidRPr="00330802" w:rsidRDefault="00A42EAD">
      <w:pPr>
        <w:pStyle w:val="ListParagraph"/>
        <w:numPr>
          <w:ilvl w:val="0"/>
          <w:numId w:val="22"/>
        </w:numPr>
        <w:spacing w:line="480" w:lineRule="auto"/>
        <w:ind w:left="714" w:hanging="357"/>
        <w:rPr>
          <w:rFonts w:ascii="Arial" w:hAnsi="Arial" w:cs="Arial"/>
          <w:color w:val="1F4E79" w:themeColor="accent1" w:themeShade="80"/>
          <w:sz w:val="20"/>
          <w:szCs w:val="20"/>
          <w:shd w:val="clear" w:color="auto" w:fill="FFFFFF"/>
        </w:rPr>
      </w:pPr>
      <w:r>
        <w:rPr>
          <w:rFonts w:ascii="Arial" w:hAnsi="Arial" w:cs="Arial"/>
        </w:rPr>
        <w:t xml:space="preserve">This study is a proof of concept study </w:t>
      </w:r>
      <w:r w:rsidRPr="00330802">
        <w:rPr>
          <w:rFonts w:ascii="Arial" w:hAnsi="Arial" w:cs="Arial"/>
        </w:rPr>
        <w:t>to test whether a comparator arm could be generated from RWD and average treatment effect could be estimated in a rare molecularly defined population</w:t>
      </w:r>
      <w:r w:rsidR="00393B08">
        <w:rPr>
          <w:rFonts w:ascii="Arial" w:hAnsi="Arial" w:cs="Arial"/>
        </w:rPr>
        <w:t>,</w:t>
      </w:r>
      <w:r w:rsidRPr="00330802">
        <w:rPr>
          <w:rFonts w:ascii="Arial" w:hAnsi="Arial" w:cs="Arial"/>
        </w:rPr>
        <w:t xml:space="preserve"> where a phase III study may not be feasible.  More case studies are needed to validate the approach. </w:t>
      </w:r>
    </w:p>
    <w:p w14:paraId="0932C01B" w14:textId="77777777" w:rsidR="001318E4" w:rsidRPr="00506A68" w:rsidRDefault="001318E4" w:rsidP="00212CEB">
      <w:pPr>
        <w:spacing w:after="0" w:line="480" w:lineRule="auto"/>
        <w:rPr>
          <w:rFonts w:ascii="Arial" w:hAnsi="Arial" w:cs="Arial"/>
          <w:b/>
        </w:rPr>
      </w:pPr>
    </w:p>
    <w:p w14:paraId="5C9CC76E" w14:textId="77777777" w:rsidR="00F25595" w:rsidRDefault="00F25595">
      <w:pPr>
        <w:rPr>
          <w:rFonts w:ascii="Arial" w:hAnsi="Arial" w:cs="Arial"/>
          <w:b/>
        </w:rPr>
      </w:pPr>
      <w:r>
        <w:rPr>
          <w:rFonts w:ascii="Arial" w:hAnsi="Arial" w:cs="Arial"/>
          <w:b/>
        </w:rPr>
        <w:br w:type="page"/>
      </w:r>
    </w:p>
    <w:p w14:paraId="58872E48" w14:textId="77777777" w:rsidR="0060786F" w:rsidRPr="001074FC" w:rsidRDefault="0060786F" w:rsidP="0060786F">
      <w:pPr>
        <w:spacing w:after="0" w:line="360" w:lineRule="auto"/>
        <w:rPr>
          <w:rFonts w:ascii="Arial" w:hAnsi="Arial" w:cs="Arial"/>
          <w:sz w:val="28"/>
          <w:szCs w:val="28"/>
        </w:rPr>
      </w:pPr>
      <w:r w:rsidRPr="001074FC">
        <w:rPr>
          <w:rFonts w:ascii="Arial" w:hAnsi="Arial" w:cs="Arial"/>
          <w:b/>
          <w:sz w:val="28"/>
          <w:szCs w:val="28"/>
        </w:rPr>
        <w:lastRenderedPageBreak/>
        <w:t>References</w:t>
      </w:r>
    </w:p>
    <w:p w14:paraId="55077664" w14:textId="77777777" w:rsidR="0060786F" w:rsidRPr="00506A68" w:rsidRDefault="0060786F" w:rsidP="0060786F">
      <w:pPr>
        <w:pStyle w:val="Paragraph"/>
        <w:spacing w:after="0" w:line="480" w:lineRule="auto"/>
        <w:rPr>
          <w:sz w:val="22"/>
          <w:szCs w:val="22"/>
          <w:lang w:val="en-GB"/>
        </w:rPr>
      </w:pPr>
    </w:p>
    <w:p w14:paraId="1A55CC4C" w14:textId="21CCEDC3" w:rsidR="0060786F" w:rsidRDefault="0060786F" w:rsidP="00791B0E">
      <w:pPr>
        <w:pStyle w:val="Paragraph"/>
        <w:numPr>
          <w:ilvl w:val="0"/>
          <w:numId w:val="26"/>
        </w:numPr>
        <w:spacing w:after="0" w:line="480" w:lineRule="auto"/>
        <w:ind w:left="567" w:hanging="567"/>
        <w:rPr>
          <w:sz w:val="22"/>
          <w:szCs w:val="22"/>
          <w:lang w:val="en-GB"/>
        </w:rPr>
      </w:pPr>
      <w:r w:rsidRPr="00506A68">
        <w:rPr>
          <w:sz w:val="22"/>
          <w:szCs w:val="22"/>
          <w:lang w:val="en-GB"/>
        </w:rPr>
        <w:t xml:space="preserve">Hall P. Real-world data for efficient health technology assessment. </w:t>
      </w:r>
      <w:r w:rsidRPr="001074FC">
        <w:rPr>
          <w:i/>
          <w:sz w:val="22"/>
          <w:szCs w:val="22"/>
          <w:lang w:val="en-GB"/>
        </w:rPr>
        <w:t>Eur. J. Cancer</w:t>
      </w:r>
      <w:r>
        <w:rPr>
          <w:sz w:val="22"/>
          <w:szCs w:val="22"/>
          <w:lang w:val="en-GB"/>
        </w:rPr>
        <w:t xml:space="preserve"> </w:t>
      </w:r>
      <w:r w:rsidRPr="00506A68">
        <w:rPr>
          <w:sz w:val="22"/>
          <w:szCs w:val="22"/>
          <w:lang w:val="en-GB"/>
        </w:rPr>
        <w:t>79</w:t>
      </w:r>
      <w:r>
        <w:rPr>
          <w:sz w:val="22"/>
          <w:szCs w:val="22"/>
          <w:lang w:val="en-GB"/>
        </w:rPr>
        <w:t xml:space="preserve">, </w:t>
      </w:r>
      <w:r w:rsidRPr="00506A68">
        <w:rPr>
          <w:sz w:val="22"/>
          <w:szCs w:val="22"/>
          <w:lang w:val="en-GB"/>
        </w:rPr>
        <w:t>235–</w:t>
      </w:r>
      <w:r>
        <w:rPr>
          <w:sz w:val="22"/>
          <w:szCs w:val="22"/>
          <w:lang w:val="en-GB"/>
        </w:rPr>
        <w:t>23</w:t>
      </w:r>
      <w:r w:rsidRPr="00506A68">
        <w:rPr>
          <w:sz w:val="22"/>
          <w:szCs w:val="22"/>
          <w:lang w:val="en-GB"/>
        </w:rPr>
        <w:t>7</w:t>
      </w:r>
      <w:r>
        <w:rPr>
          <w:sz w:val="22"/>
          <w:szCs w:val="22"/>
          <w:lang w:val="en-GB"/>
        </w:rPr>
        <w:t xml:space="preserve"> (</w:t>
      </w:r>
      <w:r w:rsidRPr="00506A68">
        <w:rPr>
          <w:sz w:val="22"/>
          <w:szCs w:val="22"/>
          <w:lang w:val="en-GB"/>
        </w:rPr>
        <w:t>2017</w:t>
      </w:r>
      <w:r>
        <w:rPr>
          <w:sz w:val="22"/>
          <w:szCs w:val="22"/>
          <w:lang w:val="en-GB"/>
        </w:rPr>
        <w:t>)</w:t>
      </w:r>
      <w:r w:rsidRPr="00506A68">
        <w:rPr>
          <w:sz w:val="22"/>
          <w:szCs w:val="22"/>
          <w:lang w:val="en-GB"/>
        </w:rPr>
        <w:t>.</w:t>
      </w:r>
    </w:p>
    <w:p w14:paraId="582C176E" w14:textId="16A4E906" w:rsidR="00315920" w:rsidRPr="00315920" w:rsidRDefault="00791B0E" w:rsidP="00791B0E">
      <w:pPr>
        <w:pStyle w:val="ListParagraph"/>
        <w:numPr>
          <w:ilvl w:val="0"/>
          <w:numId w:val="26"/>
        </w:numPr>
        <w:spacing w:line="480" w:lineRule="auto"/>
        <w:ind w:left="567" w:hanging="567"/>
        <w:rPr>
          <w:rFonts w:ascii="Arial" w:eastAsia="SimSun" w:hAnsi="Arial" w:cs="Times New Roman"/>
          <w:lang w:eastAsia="zh-CN"/>
        </w:rPr>
      </w:pPr>
      <w:r w:rsidRPr="00515993">
        <w:rPr>
          <w:rFonts w:ascii="Arial" w:eastAsia="SimSun" w:hAnsi="Arial" w:cs="Times New Roman"/>
          <w:lang w:val="fr-FR" w:eastAsia="zh-CN"/>
        </w:rPr>
        <w:t>Vivot, A, Boutron, I, Béraud-Chaulet, G</w:t>
      </w:r>
      <w:r w:rsidR="00315920" w:rsidRPr="00515993">
        <w:rPr>
          <w:rFonts w:ascii="Arial" w:eastAsia="SimSun" w:hAnsi="Arial" w:cs="Times New Roman"/>
          <w:lang w:val="fr-FR" w:eastAsia="zh-CN"/>
        </w:rPr>
        <w:t xml:space="preserve">, </w:t>
      </w:r>
      <w:r w:rsidRPr="00515993">
        <w:rPr>
          <w:rFonts w:ascii="Arial" w:eastAsia="SimSun" w:hAnsi="Arial" w:cs="Times New Roman"/>
          <w:i/>
          <w:lang w:val="fr-FR" w:eastAsia="zh-CN"/>
        </w:rPr>
        <w:t>et al</w:t>
      </w:r>
      <w:r w:rsidR="00315920" w:rsidRPr="00515993">
        <w:rPr>
          <w:rFonts w:ascii="Arial" w:eastAsia="SimSun" w:hAnsi="Arial" w:cs="Times New Roman"/>
          <w:lang w:val="fr-FR" w:eastAsia="zh-CN"/>
        </w:rPr>
        <w:t xml:space="preserve">. </w:t>
      </w:r>
      <w:r w:rsidR="00315920" w:rsidRPr="00315920">
        <w:rPr>
          <w:rFonts w:ascii="Arial" w:eastAsia="SimSun" w:hAnsi="Arial" w:cs="Times New Roman"/>
          <w:lang w:eastAsia="zh-CN"/>
        </w:rPr>
        <w:t xml:space="preserve">Evidence for Treatment-by-Biomarker interaction for FDA-approved Oncology Drugs with Required Pharmacogenomic Biomarker Testing. </w:t>
      </w:r>
      <w:r w:rsidR="00315920" w:rsidRPr="00791B0E">
        <w:rPr>
          <w:rFonts w:ascii="Arial" w:eastAsia="SimSun" w:hAnsi="Arial" w:cs="Times New Roman"/>
          <w:i/>
          <w:lang w:eastAsia="zh-CN"/>
        </w:rPr>
        <w:t>Scientific reports</w:t>
      </w:r>
      <w:r w:rsidR="00315920" w:rsidRPr="00315920">
        <w:rPr>
          <w:rFonts w:ascii="Arial" w:eastAsia="SimSun" w:hAnsi="Arial" w:cs="Times New Roman"/>
          <w:lang w:eastAsia="zh-CN"/>
        </w:rPr>
        <w:t xml:space="preserve"> 7(1), p.6882</w:t>
      </w:r>
      <w:r>
        <w:rPr>
          <w:rFonts w:ascii="Arial" w:eastAsia="SimSun" w:hAnsi="Arial" w:cs="Times New Roman"/>
          <w:lang w:eastAsia="zh-CN"/>
        </w:rPr>
        <w:t xml:space="preserve"> (2017)</w:t>
      </w:r>
      <w:r w:rsidR="00315920" w:rsidRPr="00315920">
        <w:rPr>
          <w:rFonts w:ascii="Arial" w:eastAsia="SimSun" w:hAnsi="Arial" w:cs="Times New Roman"/>
          <w:lang w:eastAsia="zh-CN"/>
        </w:rPr>
        <w:t xml:space="preserve">. </w:t>
      </w:r>
    </w:p>
    <w:p w14:paraId="4DCA1307" w14:textId="343B6CE5" w:rsidR="00315920" w:rsidRPr="00315920" w:rsidRDefault="00315920" w:rsidP="00315920">
      <w:pPr>
        <w:pStyle w:val="Paragraph"/>
        <w:numPr>
          <w:ilvl w:val="0"/>
          <w:numId w:val="26"/>
        </w:numPr>
        <w:spacing w:after="0" w:line="480" w:lineRule="auto"/>
        <w:ind w:left="567" w:hanging="567"/>
        <w:rPr>
          <w:sz w:val="22"/>
          <w:szCs w:val="22"/>
          <w:lang w:val="en-GB"/>
        </w:rPr>
      </w:pPr>
      <w:r w:rsidRPr="00315920">
        <w:rPr>
          <w:rFonts w:cs="Arial"/>
          <w:color w:val="303030"/>
          <w:sz w:val="22"/>
          <w:szCs w:val="22"/>
          <w:shd w:val="clear" w:color="auto" w:fill="FFFFFF"/>
          <w:lang w:val="de-DE"/>
        </w:rPr>
        <w:t xml:space="preserve">Hatswell, AJ, Baio, G, Berlin, </w:t>
      </w:r>
      <w:r w:rsidRPr="00315920">
        <w:rPr>
          <w:rFonts w:cs="Arial"/>
          <w:i/>
          <w:color w:val="303030"/>
          <w:sz w:val="22"/>
          <w:szCs w:val="22"/>
          <w:shd w:val="clear" w:color="auto" w:fill="FFFFFF"/>
          <w:lang w:val="de-DE"/>
        </w:rPr>
        <w:t>et al</w:t>
      </w:r>
      <w:r w:rsidRPr="00315920">
        <w:rPr>
          <w:rFonts w:cs="Arial"/>
          <w:color w:val="303030"/>
          <w:sz w:val="22"/>
          <w:szCs w:val="22"/>
          <w:shd w:val="clear" w:color="auto" w:fill="FFFFFF"/>
          <w:lang w:val="de-DE"/>
        </w:rPr>
        <w:t xml:space="preserve">. </w:t>
      </w:r>
      <w:r w:rsidRPr="00315920">
        <w:rPr>
          <w:rFonts w:cs="Arial"/>
          <w:color w:val="303030"/>
          <w:sz w:val="22"/>
          <w:szCs w:val="22"/>
          <w:shd w:val="clear" w:color="auto" w:fill="FFFFFF"/>
        </w:rPr>
        <w:t>Regulatory approval of pharmaceuticals without a randomised controlled study: analysis of EMA and FDA approvals 1999–2014. </w:t>
      </w:r>
      <w:r w:rsidRPr="00315920">
        <w:rPr>
          <w:rFonts w:cs="Arial"/>
          <w:i/>
          <w:iCs/>
          <w:color w:val="303030"/>
          <w:sz w:val="22"/>
          <w:szCs w:val="22"/>
          <w:shd w:val="clear" w:color="auto" w:fill="FFFFFF"/>
        </w:rPr>
        <w:t>BMJ Open</w:t>
      </w:r>
      <w:r w:rsidRPr="00315920">
        <w:rPr>
          <w:rFonts w:cs="Arial"/>
          <w:color w:val="303030"/>
          <w:sz w:val="22"/>
          <w:szCs w:val="22"/>
          <w:shd w:val="clear" w:color="auto" w:fill="FFFFFF"/>
        </w:rPr>
        <w:t>, </w:t>
      </w:r>
      <w:r w:rsidRPr="00791B0E">
        <w:rPr>
          <w:rFonts w:cs="Arial"/>
          <w:iCs/>
          <w:color w:val="303030"/>
          <w:sz w:val="22"/>
          <w:szCs w:val="22"/>
          <w:shd w:val="clear" w:color="auto" w:fill="FFFFFF"/>
        </w:rPr>
        <w:t>6</w:t>
      </w:r>
      <w:r w:rsidRPr="00315920">
        <w:rPr>
          <w:rFonts w:cs="Arial"/>
          <w:color w:val="303030"/>
          <w:sz w:val="22"/>
          <w:szCs w:val="22"/>
          <w:shd w:val="clear" w:color="auto" w:fill="FFFFFF"/>
        </w:rPr>
        <w:t>(6), e011666</w:t>
      </w:r>
      <w:r>
        <w:rPr>
          <w:rFonts w:cs="Arial"/>
          <w:color w:val="303030"/>
          <w:sz w:val="22"/>
          <w:szCs w:val="22"/>
          <w:shd w:val="clear" w:color="auto" w:fill="FFFFFF"/>
        </w:rPr>
        <w:t xml:space="preserve"> (2016)</w:t>
      </w:r>
      <w:r w:rsidRPr="00315920">
        <w:rPr>
          <w:rFonts w:cs="Arial"/>
          <w:color w:val="303030"/>
          <w:sz w:val="22"/>
          <w:szCs w:val="22"/>
          <w:shd w:val="clear" w:color="auto" w:fill="FFFFFF"/>
        </w:rPr>
        <w:t>.</w:t>
      </w:r>
    </w:p>
    <w:p w14:paraId="688B3DA6" w14:textId="77777777" w:rsidR="0060786F" w:rsidRPr="00506A68" w:rsidRDefault="0060786F" w:rsidP="0060786F">
      <w:pPr>
        <w:pStyle w:val="ListParagraph"/>
        <w:numPr>
          <w:ilvl w:val="0"/>
          <w:numId w:val="26"/>
        </w:numPr>
        <w:autoSpaceDE w:val="0"/>
        <w:autoSpaceDN w:val="0"/>
        <w:adjustRightInd w:val="0"/>
        <w:spacing w:after="0" w:line="480" w:lineRule="auto"/>
        <w:ind w:left="567" w:hanging="567"/>
        <w:rPr>
          <w:rFonts w:ascii="Arial" w:hAnsi="Arial" w:cs="Arial"/>
        </w:rPr>
      </w:pPr>
      <w:r w:rsidRPr="00506A68">
        <w:rPr>
          <w:rFonts w:ascii="Arial" w:hAnsi="Arial" w:cs="Arial"/>
        </w:rPr>
        <w:t xml:space="preserve">Shaw AT, Yeap BY, Solomon BJ </w:t>
      </w:r>
      <w:r w:rsidRPr="001074FC">
        <w:rPr>
          <w:rFonts w:ascii="Arial" w:hAnsi="Arial" w:cs="Arial"/>
          <w:i/>
        </w:rPr>
        <w:t>et al</w:t>
      </w:r>
      <w:r w:rsidRPr="00506A68">
        <w:rPr>
          <w:rFonts w:ascii="Arial" w:hAnsi="Arial" w:cs="Arial"/>
        </w:rPr>
        <w:t xml:space="preserve">. Effect of crizotinib on overall survival in patients with advanced non-small-cell lung cancer harbouring </w:t>
      </w:r>
      <w:r w:rsidRPr="00506A68">
        <w:rPr>
          <w:rFonts w:ascii="Arial" w:hAnsi="Arial" w:cs="Arial"/>
          <w:i/>
        </w:rPr>
        <w:t>ALK</w:t>
      </w:r>
      <w:r w:rsidRPr="00506A68">
        <w:rPr>
          <w:rFonts w:ascii="Arial" w:hAnsi="Arial" w:cs="Arial"/>
        </w:rPr>
        <w:t xml:space="preserve"> gene rearrangement: a retrospective analysis. </w:t>
      </w:r>
      <w:r w:rsidRPr="001074FC">
        <w:rPr>
          <w:rFonts w:ascii="Arial" w:hAnsi="Arial" w:cs="Arial"/>
          <w:i/>
        </w:rPr>
        <w:t>Lancet Oncol.</w:t>
      </w:r>
      <w:r>
        <w:rPr>
          <w:rFonts w:ascii="Arial" w:hAnsi="Arial" w:cs="Arial"/>
        </w:rPr>
        <w:t xml:space="preserve"> </w:t>
      </w:r>
      <w:r w:rsidRPr="00506A68">
        <w:rPr>
          <w:rFonts w:ascii="Arial" w:hAnsi="Arial" w:cs="Arial"/>
        </w:rPr>
        <w:t>12</w:t>
      </w:r>
      <w:r>
        <w:rPr>
          <w:rFonts w:ascii="Arial" w:hAnsi="Arial" w:cs="Arial"/>
        </w:rPr>
        <w:t xml:space="preserve">(11), </w:t>
      </w:r>
      <w:r w:rsidRPr="00506A68">
        <w:rPr>
          <w:rFonts w:ascii="Arial" w:hAnsi="Arial" w:cs="Arial"/>
        </w:rPr>
        <w:t>1004–</w:t>
      </w:r>
      <w:r>
        <w:rPr>
          <w:rFonts w:ascii="Arial" w:hAnsi="Arial" w:cs="Arial"/>
        </w:rPr>
        <w:t>10</w:t>
      </w:r>
      <w:r w:rsidRPr="00506A68">
        <w:rPr>
          <w:rFonts w:ascii="Arial" w:hAnsi="Arial" w:cs="Arial"/>
        </w:rPr>
        <w:t>12</w:t>
      </w:r>
      <w:r>
        <w:rPr>
          <w:rFonts w:ascii="Arial" w:hAnsi="Arial" w:cs="Arial"/>
        </w:rPr>
        <w:t xml:space="preserve"> (</w:t>
      </w:r>
      <w:r w:rsidRPr="00506A68">
        <w:rPr>
          <w:rFonts w:ascii="Arial" w:hAnsi="Arial" w:cs="Arial"/>
        </w:rPr>
        <w:t>2011</w:t>
      </w:r>
      <w:r>
        <w:rPr>
          <w:rFonts w:ascii="Arial" w:hAnsi="Arial" w:cs="Arial"/>
        </w:rPr>
        <w:t>)</w:t>
      </w:r>
      <w:r w:rsidRPr="00506A68">
        <w:rPr>
          <w:rFonts w:ascii="Arial" w:hAnsi="Arial" w:cs="Arial"/>
        </w:rPr>
        <w:t>.</w:t>
      </w:r>
    </w:p>
    <w:p w14:paraId="40C8F26E" w14:textId="77777777" w:rsidR="0060786F" w:rsidRPr="00506A68" w:rsidRDefault="0060786F" w:rsidP="0060786F">
      <w:pPr>
        <w:pStyle w:val="ListParagraph"/>
        <w:numPr>
          <w:ilvl w:val="0"/>
          <w:numId w:val="26"/>
        </w:numPr>
        <w:autoSpaceDE w:val="0"/>
        <w:autoSpaceDN w:val="0"/>
        <w:adjustRightInd w:val="0"/>
        <w:spacing w:after="0" w:line="480" w:lineRule="auto"/>
        <w:ind w:left="567" w:hanging="567"/>
        <w:rPr>
          <w:rFonts w:ascii="Arial" w:hAnsi="Arial" w:cs="Arial"/>
        </w:rPr>
      </w:pPr>
      <w:r w:rsidRPr="00330802">
        <w:rPr>
          <w:rFonts w:ascii="Arial" w:hAnsi="Arial" w:cs="Arial"/>
          <w:lang w:val="de-DE"/>
        </w:rPr>
        <w:t xml:space="preserve">Mateos MV, Hernandez JM, Hernandez MT </w:t>
      </w:r>
      <w:r w:rsidRPr="00330802">
        <w:rPr>
          <w:rFonts w:ascii="Arial" w:hAnsi="Arial" w:cs="Arial"/>
          <w:i/>
          <w:lang w:val="de-DE"/>
        </w:rPr>
        <w:t>et al</w:t>
      </w:r>
      <w:r w:rsidRPr="00330802">
        <w:rPr>
          <w:rFonts w:ascii="Arial" w:hAnsi="Arial" w:cs="Arial"/>
          <w:lang w:val="de-DE"/>
        </w:rPr>
        <w:t xml:space="preserve">. </w:t>
      </w:r>
      <w:r w:rsidRPr="00506A68">
        <w:rPr>
          <w:rFonts w:ascii="Arial" w:hAnsi="Arial" w:cs="Arial"/>
        </w:rPr>
        <w:t xml:space="preserve">Bortezomib plus melphalan and prednisone in elderly untreated patients with multiple myeloma: results of a multicenter phase 1/2 study. </w:t>
      </w:r>
      <w:r w:rsidRPr="001074FC">
        <w:rPr>
          <w:rFonts w:ascii="Arial" w:hAnsi="Arial" w:cs="Arial"/>
          <w:i/>
        </w:rPr>
        <w:t>Blood</w:t>
      </w:r>
      <w:r>
        <w:rPr>
          <w:rFonts w:ascii="Arial" w:hAnsi="Arial" w:cs="Arial"/>
        </w:rPr>
        <w:t xml:space="preserve"> </w:t>
      </w:r>
      <w:r w:rsidRPr="00506A68">
        <w:rPr>
          <w:rFonts w:ascii="Arial" w:hAnsi="Arial" w:cs="Arial"/>
        </w:rPr>
        <w:t>108</w:t>
      </w:r>
      <w:r>
        <w:rPr>
          <w:rFonts w:ascii="Arial" w:hAnsi="Arial" w:cs="Arial"/>
        </w:rPr>
        <w:t xml:space="preserve">(7), </w:t>
      </w:r>
      <w:r w:rsidRPr="00506A68">
        <w:rPr>
          <w:rFonts w:ascii="Arial" w:hAnsi="Arial" w:cs="Arial"/>
        </w:rPr>
        <w:t>2165–</w:t>
      </w:r>
      <w:r>
        <w:rPr>
          <w:rFonts w:ascii="Arial" w:hAnsi="Arial" w:cs="Arial"/>
        </w:rPr>
        <w:t>21</w:t>
      </w:r>
      <w:r w:rsidRPr="00506A68">
        <w:rPr>
          <w:rFonts w:ascii="Arial" w:hAnsi="Arial" w:cs="Arial"/>
        </w:rPr>
        <w:t>72</w:t>
      </w:r>
      <w:r>
        <w:rPr>
          <w:rFonts w:ascii="Arial" w:hAnsi="Arial" w:cs="Arial"/>
        </w:rPr>
        <w:t xml:space="preserve"> (</w:t>
      </w:r>
      <w:r w:rsidRPr="00506A68">
        <w:rPr>
          <w:rFonts w:ascii="Arial" w:hAnsi="Arial" w:cs="Arial"/>
        </w:rPr>
        <w:t>2006</w:t>
      </w:r>
      <w:r>
        <w:rPr>
          <w:rFonts w:ascii="Arial" w:hAnsi="Arial" w:cs="Arial"/>
        </w:rPr>
        <w:t>)</w:t>
      </w:r>
      <w:r w:rsidRPr="00506A68">
        <w:rPr>
          <w:rFonts w:ascii="Arial" w:hAnsi="Arial" w:cs="Arial"/>
        </w:rPr>
        <w:t>.</w:t>
      </w:r>
    </w:p>
    <w:p w14:paraId="780939BA" w14:textId="77777777" w:rsidR="0060786F" w:rsidRPr="00506A68" w:rsidRDefault="0060786F" w:rsidP="0060786F">
      <w:pPr>
        <w:pStyle w:val="ListParagraph"/>
        <w:numPr>
          <w:ilvl w:val="0"/>
          <w:numId w:val="26"/>
        </w:numPr>
        <w:autoSpaceDE w:val="0"/>
        <w:autoSpaceDN w:val="0"/>
        <w:adjustRightInd w:val="0"/>
        <w:spacing w:after="0" w:line="480" w:lineRule="auto"/>
        <w:ind w:left="567" w:hanging="567"/>
        <w:rPr>
          <w:rFonts w:ascii="Arial" w:hAnsi="Arial" w:cs="Arial"/>
          <w:b/>
        </w:rPr>
      </w:pPr>
      <w:r w:rsidRPr="00F96127">
        <w:rPr>
          <w:rFonts w:ascii="Arial" w:hAnsi="Arial" w:cs="Arial"/>
          <w:lang w:val="it-IT"/>
        </w:rPr>
        <w:t xml:space="preserve">Di Lorenzo G, Casciano R, Malangone E </w:t>
      </w:r>
      <w:r w:rsidRPr="00F96127">
        <w:rPr>
          <w:rFonts w:ascii="Arial" w:hAnsi="Arial" w:cs="Arial"/>
          <w:i/>
          <w:lang w:val="it-IT"/>
        </w:rPr>
        <w:t>et al</w:t>
      </w:r>
      <w:r w:rsidRPr="00F96127">
        <w:rPr>
          <w:rFonts w:ascii="Arial" w:hAnsi="Arial" w:cs="Arial"/>
          <w:lang w:val="it-IT"/>
        </w:rPr>
        <w:t xml:space="preserve">. </w:t>
      </w:r>
      <w:r w:rsidRPr="00506A68">
        <w:rPr>
          <w:rFonts w:ascii="Arial" w:hAnsi="Arial" w:cs="Arial"/>
        </w:rPr>
        <w:t xml:space="preserve">An adjusted indirect comparison of everolimus and sorafenib therapy in sunitinib-refractory metastatic renal cell carcinoma patients using repeated matched samples. </w:t>
      </w:r>
      <w:r w:rsidRPr="001074FC">
        <w:rPr>
          <w:rFonts w:ascii="Arial" w:hAnsi="Arial" w:cs="Arial"/>
          <w:i/>
        </w:rPr>
        <w:t>Expert Opin. Pharmacother.</w:t>
      </w:r>
      <w:r>
        <w:rPr>
          <w:rFonts w:ascii="Arial" w:hAnsi="Arial" w:cs="Arial"/>
        </w:rPr>
        <w:t xml:space="preserve"> </w:t>
      </w:r>
      <w:r w:rsidRPr="00506A68">
        <w:rPr>
          <w:rFonts w:ascii="Arial" w:hAnsi="Arial" w:cs="Arial"/>
        </w:rPr>
        <w:t>12</w:t>
      </w:r>
      <w:r>
        <w:rPr>
          <w:rFonts w:ascii="Arial" w:hAnsi="Arial" w:cs="Arial"/>
        </w:rPr>
        <w:t xml:space="preserve">(10), </w:t>
      </w:r>
      <w:r w:rsidRPr="00506A68">
        <w:rPr>
          <w:rFonts w:ascii="Arial" w:hAnsi="Arial" w:cs="Arial"/>
        </w:rPr>
        <w:t>1491–</w:t>
      </w:r>
      <w:r>
        <w:rPr>
          <w:rFonts w:ascii="Arial" w:hAnsi="Arial" w:cs="Arial"/>
        </w:rPr>
        <w:t>14</w:t>
      </w:r>
      <w:r w:rsidRPr="00506A68">
        <w:rPr>
          <w:rFonts w:ascii="Arial" w:hAnsi="Arial" w:cs="Arial"/>
        </w:rPr>
        <w:t>97</w:t>
      </w:r>
      <w:r>
        <w:rPr>
          <w:rFonts w:ascii="Arial" w:hAnsi="Arial" w:cs="Arial"/>
        </w:rPr>
        <w:t xml:space="preserve"> (</w:t>
      </w:r>
      <w:r w:rsidRPr="00506A68">
        <w:rPr>
          <w:rFonts w:ascii="Arial" w:hAnsi="Arial" w:cs="Arial"/>
        </w:rPr>
        <w:t>2011</w:t>
      </w:r>
      <w:r>
        <w:rPr>
          <w:rFonts w:ascii="Arial" w:hAnsi="Arial" w:cs="Arial"/>
        </w:rPr>
        <w:t>)</w:t>
      </w:r>
      <w:r w:rsidRPr="00506A68">
        <w:rPr>
          <w:rFonts w:ascii="Arial" w:hAnsi="Arial" w:cs="Arial"/>
        </w:rPr>
        <w:t>.</w:t>
      </w:r>
    </w:p>
    <w:p w14:paraId="14F8979F" w14:textId="3F830C1D" w:rsidR="0060786F" w:rsidRPr="00506A68" w:rsidRDefault="0060786F" w:rsidP="0060786F">
      <w:pPr>
        <w:pStyle w:val="ListParagraph"/>
        <w:numPr>
          <w:ilvl w:val="0"/>
          <w:numId w:val="26"/>
        </w:numPr>
        <w:spacing w:after="0" w:line="480" w:lineRule="auto"/>
        <w:ind w:left="567" w:hanging="567"/>
        <w:rPr>
          <w:rFonts w:ascii="Arial" w:hAnsi="Arial" w:cs="Arial"/>
        </w:rPr>
      </w:pPr>
      <w:r w:rsidRPr="00506A68">
        <w:rPr>
          <w:rFonts w:ascii="Arial" w:hAnsi="Arial" w:cs="Arial"/>
        </w:rPr>
        <w:t xml:space="preserve">Tan DS, Araújo A, Zhang J </w:t>
      </w:r>
      <w:r w:rsidRPr="001074FC">
        <w:rPr>
          <w:rFonts w:ascii="Arial" w:hAnsi="Arial" w:cs="Arial"/>
          <w:i/>
        </w:rPr>
        <w:t>et al</w:t>
      </w:r>
      <w:r w:rsidRPr="00506A68">
        <w:rPr>
          <w:rFonts w:ascii="Arial" w:hAnsi="Arial" w:cs="Arial"/>
        </w:rPr>
        <w:t xml:space="preserve">. Comparative efficacy of ceritinib and crizotinib as initial ALK–targeted therapies in previously treated advanced NSCLC: an adjusted comparison with external controls. </w:t>
      </w:r>
      <w:r w:rsidRPr="001074FC">
        <w:rPr>
          <w:rFonts w:ascii="Arial" w:hAnsi="Arial" w:cs="Arial"/>
          <w:i/>
        </w:rPr>
        <w:t>J. Thorac Oncol.</w:t>
      </w:r>
      <w:r>
        <w:rPr>
          <w:rFonts w:ascii="Arial" w:hAnsi="Arial" w:cs="Arial"/>
        </w:rPr>
        <w:t xml:space="preserve"> </w:t>
      </w:r>
      <w:r w:rsidRPr="00506A68">
        <w:rPr>
          <w:rFonts w:ascii="Arial" w:hAnsi="Arial" w:cs="Arial"/>
        </w:rPr>
        <w:t>11</w:t>
      </w:r>
      <w:r>
        <w:rPr>
          <w:rFonts w:ascii="Arial" w:hAnsi="Arial" w:cs="Arial"/>
        </w:rPr>
        <w:t xml:space="preserve">(9), </w:t>
      </w:r>
      <w:r w:rsidRPr="00506A68">
        <w:rPr>
          <w:rFonts w:ascii="Arial" w:hAnsi="Arial" w:cs="Arial"/>
        </w:rPr>
        <w:t>1550–</w:t>
      </w:r>
      <w:r>
        <w:rPr>
          <w:rFonts w:ascii="Arial" w:hAnsi="Arial" w:cs="Arial"/>
        </w:rPr>
        <w:t>155</w:t>
      </w:r>
      <w:r w:rsidRPr="00506A68">
        <w:rPr>
          <w:rFonts w:ascii="Arial" w:hAnsi="Arial" w:cs="Arial"/>
        </w:rPr>
        <w:t>7</w:t>
      </w:r>
      <w:r>
        <w:rPr>
          <w:rFonts w:ascii="Arial" w:hAnsi="Arial" w:cs="Arial"/>
        </w:rPr>
        <w:t xml:space="preserve"> (</w:t>
      </w:r>
      <w:r w:rsidRPr="00506A68">
        <w:rPr>
          <w:rFonts w:ascii="Arial" w:hAnsi="Arial" w:cs="Arial"/>
        </w:rPr>
        <w:t>2016</w:t>
      </w:r>
      <w:r>
        <w:rPr>
          <w:rFonts w:ascii="Arial" w:hAnsi="Arial" w:cs="Arial"/>
        </w:rPr>
        <w:t>)</w:t>
      </w:r>
      <w:r w:rsidRPr="00506A68">
        <w:rPr>
          <w:rFonts w:ascii="Arial" w:hAnsi="Arial" w:cs="Arial"/>
        </w:rPr>
        <w:t>.</w:t>
      </w:r>
    </w:p>
    <w:p w14:paraId="1FDD7CC4" w14:textId="77777777" w:rsidR="0060786F" w:rsidRPr="00506A68" w:rsidRDefault="0060786F" w:rsidP="0060786F">
      <w:pPr>
        <w:pStyle w:val="Paragraph"/>
        <w:numPr>
          <w:ilvl w:val="0"/>
          <w:numId w:val="26"/>
        </w:numPr>
        <w:spacing w:after="0" w:line="480" w:lineRule="auto"/>
        <w:ind w:left="567" w:hanging="567"/>
        <w:rPr>
          <w:sz w:val="22"/>
          <w:szCs w:val="22"/>
          <w:lang w:val="en-GB"/>
        </w:rPr>
      </w:pPr>
      <w:r w:rsidRPr="00506A68">
        <w:rPr>
          <w:sz w:val="22"/>
          <w:szCs w:val="22"/>
          <w:lang w:val="en-GB"/>
        </w:rPr>
        <w:t>Flatiron</w:t>
      </w:r>
      <w:r w:rsidRPr="00506A68">
        <w:rPr>
          <w:lang w:val="en-GB"/>
        </w:rPr>
        <w:t xml:space="preserve"> </w:t>
      </w:r>
      <w:r w:rsidRPr="00506A68">
        <w:rPr>
          <w:sz w:val="22"/>
          <w:szCs w:val="22"/>
          <w:lang w:val="en-GB"/>
        </w:rPr>
        <w:t>Health Data, New York, NY, USA [Accessed 28 February 2016].</w:t>
      </w:r>
    </w:p>
    <w:p w14:paraId="0F08220E" w14:textId="26F7E7CF" w:rsidR="0060786F" w:rsidRPr="00506A68" w:rsidRDefault="0060786F" w:rsidP="0060786F">
      <w:pPr>
        <w:pStyle w:val="ListParagraph"/>
        <w:numPr>
          <w:ilvl w:val="0"/>
          <w:numId w:val="26"/>
        </w:numPr>
        <w:spacing w:after="0" w:line="480" w:lineRule="auto"/>
        <w:ind w:left="567" w:hanging="567"/>
        <w:rPr>
          <w:rFonts w:ascii="Arial" w:hAnsi="Arial" w:cs="Arial"/>
        </w:rPr>
      </w:pPr>
      <w:r w:rsidRPr="00F96127">
        <w:rPr>
          <w:rFonts w:ascii="Arial" w:hAnsi="Arial" w:cs="Arial"/>
          <w:lang w:val="fr-FR"/>
        </w:rPr>
        <w:t xml:space="preserve">Ou SHI, Ahn JS, De Petris L </w:t>
      </w:r>
      <w:r w:rsidRPr="00F96127">
        <w:rPr>
          <w:rFonts w:ascii="Arial" w:hAnsi="Arial" w:cs="Arial"/>
          <w:i/>
          <w:lang w:val="fr-FR"/>
        </w:rPr>
        <w:t>et al</w:t>
      </w:r>
      <w:r w:rsidRPr="00F96127">
        <w:rPr>
          <w:rFonts w:ascii="Arial" w:hAnsi="Arial" w:cs="Arial"/>
          <w:lang w:val="fr-FR"/>
        </w:rPr>
        <w:t xml:space="preserve">. </w:t>
      </w:r>
      <w:r w:rsidRPr="00506A68">
        <w:rPr>
          <w:rStyle w:val="highlight2"/>
          <w:rFonts w:ascii="Arial" w:hAnsi="Arial" w:cs="Arial"/>
        </w:rPr>
        <w:t>Alectinib</w:t>
      </w:r>
      <w:r w:rsidRPr="00506A68">
        <w:rPr>
          <w:rFonts w:ascii="Arial" w:hAnsi="Arial" w:cs="Arial"/>
        </w:rPr>
        <w:t xml:space="preserve"> in crizotinib-refractory </w:t>
      </w:r>
      <w:r w:rsidRPr="00506A68">
        <w:rPr>
          <w:rFonts w:ascii="Arial" w:hAnsi="Arial" w:cs="Arial"/>
          <w:i/>
        </w:rPr>
        <w:t>ALK</w:t>
      </w:r>
      <w:r w:rsidRPr="00506A68">
        <w:rPr>
          <w:rFonts w:ascii="Arial" w:hAnsi="Arial" w:cs="Arial"/>
        </w:rPr>
        <w:t xml:space="preserve">-rearranged non-small-cell lung cancer: a phase II global study. </w:t>
      </w:r>
      <w:r w:rsidRPr="001074FC">
        <w:rPr>
          <w:rStyle w:val="jrnl"/>
          <w:rFonts w:ascii="Arial" w:hAnsi="Arial" w:cs="Arial"/>
          <w:i/>
        </w:rPr>
        <w:t>J. Clin. Oncol</w:t>
      </w:r>
      <w:r w:rsidRPr="001074FC">
        <w:rPr>
          <w:rFonts w:ascii="Arial" w:hAnsi="Arial" w:cs="Arial"/>
          <w:i/>
        </w:rPr>
        <w:t>.</w:t>
      </w:r>
      <w:r>
        <w:rPr>
          <w:rFonts w:ascii="Arial" w:hAnsi="Arial" w:cs="Arial"/>
        </w:rPr>
        <w:t xml:space="preserve"> </w:t>
      </w:r>
      <w:r w:rsidRPr="00506A68">
        <w:rPr>
          <w:rFonts w:ascii="Arial" w:hAnsi="Arial" w:cs="Arial"/>
        </w:rPr>
        <w:t>34</w:t>
      </w:r>
      <w:r>
        <w:rPr>
          <w:rFonts w:ascii="Arial" w:hAnsi="Arial" w:cs="Arial"/>
        </w:rPr>
        <w:t xml:space="preserve">(7), </w:t>
      </w:r>
      <w:r w:rsidRPr="00506A68">
        <w:rPr>
          <w:rFonts w:ascii="Arial" w:hAnsi="Arial" w:cs="Arial"/>
        </w:rPr>
        <w:t>661–</w:t>
      </w:r>
      <w:r>
        <w:rPr>
          <w:rFonts w:ascii="Arial" w:hAnsi="Arial" w:cs="Arial"/>
        </w:rPr>
        <w:t>66</w:t>
      </w:r>
      <w:r w:rsidRPr="00506A68">
        <w:rPr>
          <w:rFonts w:ascii="Arial" w:hAnsi="Arial" w:cs="Arial"/>
        </w:rPr>
        <w:t>8</w:t>
      </w:r>
      <w:r>
        <w:rPr>
          <w:rFonts w:ascii="Arial" w:hAnsi="Arial" w:cs="Arial"/>
        </w:rPr>
        <w:t xml:space="preserve"> (</w:t>
      </w:r>
      <w:r w:rsidRPr="00506A68">
        <w:rPr>
          <w:rFonts w:ascii="Arial" w:hAnsi="Arial" w:cs="Arial"/>
        </w:rPr>
        <w:t>2016</w:t>
      </w:r>
      <w:r>
        <w:rPr>
          <w:rFonts w:ascii="Arial" w:hAnsi="Arial" w:cs="Arial"/>
        </w:rPr>
        <w:t>)</w:t>
      </w:r>
      <w:r w:rsidRPr="00506A68">
        <w:rPr>
          <w:rFonts w:ascii="Arial" w:hAnsi="Arial" w:cs="Arial"/>
        </w:rPr>
        <w:t>.</w:t>
      </w:r>
      <w:r w:rsidR="003559ED">
        <w:rPr>
          <w:rFonts w:ascii="Arial" w:hAnsi="Arial" w:cs="Arial"/>
        </w:rPr>
        <w:t>*</w:t>
      </w:r>
    </w:p>
    <w:p w14:paraId="460F2510" w14:textId="1DD12B1E" w:rsidR="0060786F" w:rsidRPr="00506A68" w:rsidRDefault="0060786F" w:rsidP="0060786F">
      <w:pPr>
        <w:pStyle w:val="ListParagraph"/>
        <w:numPr>
          <w:ilvl w:val="0"/>
          <w:numId w:val="26"/>
        </w:numPr>
        <w:spacing w:after="0" w:line="480" w:lineRule="auto"/>
        <w:ind w:left="567" w:hanging="567"/>
        <w:rPr>
          <w:rFonts w:ascii="Arial" w:hAnsi="Arial" w:cs="Arial"/>
        </w:rPr>
      </w:pPr>
      <w:r w:rsidRPr="00506A68">
        <w:rPr>
          <w:rFonts w:ascii="Arial" w:hAnsi="Arial" w:cs="Arial"/>
        </w:rPr>
        <w:lastRenderedPageBreak/>
        <w:t xml:space="preserve">Shaw AT, Gandhi L, Gadgeel S </w:t>
      </w:r>
      <w:r w:rsidRPr="001074FC">
        <w:rPr>
          <w:rFonts w:ascii="Arial" w:hAnsi="Arial" w:cs="Arial"/>
          <w:i/>
        </w:rPr>
        <w:t>et al</w:t>
      </w:r>
      <w:r w:rsidRPr="00506A68">
        <w:rPr>
          <w:rFonts w:ascii="Arial" w:hAnsi="Arial" w:cs="Arial"/>
        </w:rPr>
        <w:t xml:space="preserve">. </w:t>
      </w:r>
      <w:r w:rsidRPr="00506A68">
        <w:rPr>
          <w:rStyle w:val="highlight2"/>
          <w:rFonts w:ascii="Arial" w:hAnsi="Arial" w:cs="Arial"/>
        </w:rPr>
        <w:t>Alectinib</w:t>
      </w:r>
      <w:r w:rsidRPr="00506A68">
        <w:rPr>
          <w:rFonts w:ascii="Arial" w:hAnsi="Arial" w:cs="Arial"/>
        </w:rPr>
        <w:t xml:space="preserve"> in </w:t>
      </w:r>
      <w:r w:rsidRPr="00506A68">
        <w:rPr>
          <w:rFonts w:ascii="Arial" w:hAnsi="Arial" w:cs="Arial"/>
          <w:i/>
        </w:rPr>
        <w:t>ALK</w:t>
      </w:r>
      <w:r w:rsidRPr="00506A68">
        <w:rPr>
          <w:rFonts w:ascii="Arial" w:hAnsi="Arial" w:cs="Arial"/>
        </w:rPr>
        <w:t xml:space="preserve">-positive, crizotinib-resistant, non-small-cell lung cancer: a single-group, multicentre, phase 2 trial. </w:t>
      </w:r>
      <w:r w:rsidRPr="001074FC">
        <w:rPr>
          <w:rStyle w:val="jrnl"/>
          <w:rFonts w:ascii="Arial" w:hAnsi="Arial" w:cs="Arial"/>
          <w:i/>
        </w:rPr>
        <w:t>Lancet Oncol</w:t>
      </w:r>
      <w:r w:rsidRPr="001074FC">
        <w:rPr>
          <w:rFonts w:ascii="Arial" w:hAnsi="Arial" w:cs="Arial"/>
          <w:i/>
        </w:rPr>
        <w:t>.</w:t>
      </w:r>
      <w:r>
        <w:rPr>
          <w:rFonts w:ascii="Arial" w:hAnsi="Arial" w:cs="Arial"/>
        </w:rPr>
        <w:t xml:space="preserve"> </w:t>
      </w:r>
      <w:r w:rsidRPr="00506A68">
        <w:rPr>
          <w:rFonts w:ascii="Arial" w:hAnsi="Arial" w:cs="Arial"/>
        </w:rPr>
        <w:t>17</w:t>
      </w:r>
      <w:r>
        <w:rPr>
          <w:rFonts w:ascii="Arial" w:hAnsi="Arial" w:cs="Arial"/>
        </w:rPr>
        <w:t xml:space="preserve">(2), </w:t>
      </w:r>
      <w:r w:rsidRPr="00506A68">
        <w:rPr>
          <w:rFonts w:ascii="Arial" w:hAnsi="Arial" w:cs="Arial"/>
        </w:rPr>
        <w:t>234–</w:t>
      </w:r>
      <w:r>
        <w:rPr>
          <w:rFonts w:ascii="Arial" w:hAnsi="Arial" w:cs="Arial"/>
        </w:rPr>
        <w:t>2</w:t>
      </w:r>
      <w:r w:rsidRPr="00506A68">
        <w:rPr>
          <w:rFonts w:ascii="Arial" w:hAnsi="Arial" w:cs="Arial"/>
        </w:rPr>
        <w:t>42</w:t>
      </w:r>
      <w:r>
        <w:rPr>
          <w:rFonts w:ascii="Arial" w:hAnsi="Arial" w:cs="Arial"/>
        </w:rPr>
        <w:t xml:space="preserve"> (</w:t>
      </w:r>
      <w:r w:rsidRPr="00506A68">
        <w:rPr>
          <w:rFonts w:ascii="Arial" w:hAnsi="Arial" w:cs="Arial"/>
        </w:rPr>
        <w:t>2016</w:t>
      </w:r>
      <w:r>
        <w:rPr>
          <w:rFonts w:ascii="Arial" w:hAnsi="Arial" w:cs="Arial"/>
        </w:rPr>
        <w:t>)</w:t>
      </w:r>
      <w:r w:rsidRPr="00506A68">
        <w:rPr>
          <w:rFonts w:ascii="Arial" w:hAnsi="Arial" w:cs="Arial"/>
        </w:rPr>
        <w:t>.</w:t>
      </w:r>
      <w:r w:rsidR="003559ED">
        <w:rPr>
          <w:rFonts w:ascii="Arial" w:hAnsi="Arial" w:cs="Arial"/>
        </w:rPr>
        <w:t>*</w:t>
      </w:r>
    </w:p>
    <w:p w14:paraId="4E0DB692" w14:textId="07213BA9" w:rsidR="0060786F" w:rsidRPr="00506A68" w:rsidRDefault="0060786F" w:rsidP="0060786F">
      <w:pPr>
        <w:pStyle w:val="Paragraph"/>
        <w:numPr>
          <w:ilvl w:val="0"/>
          <w:numId w:val="26"/>
        </w:numPr>
        <w:spacing w:after="0" w:line="480" w:lineRule="auto"/>
        <w:ind w:left="567" w:hanging="567"/>
        <w:rPr>
          <w:sz w:val="22"/>
          <w:szCs w:val="22"/>
          <w:lang w:val="en-GB"/>
        </w:rPr>
      </w:pPr>
      <w:r w:rsidRPr="00506A68">
        <w:rPr>
          <w:rFonts w:cs="Arial"/>
          <w:sz w:val="22"/>
          <w:szCs w:val="22"/>
          <w:shd w:val="clear" w:color="auto" w:fill="FFFFFF"/>
          <w:lang w:val="en-GB"/>
        </w:rPr>
        <w:t xml:space="preserve">Austin PC. An introduction to propensity score methods for reducing the effects of confounding in observational studies. </w:t>
      </w:r>
      <w:r w:rsidRPr="001074FC">
        <w:rPr>
          <w:rFonts w:cs="Arial"/>
          <w:i/>
          <w:sz w:val="22"/>
          <w:szCs w:val="22"/>
          <w:shd w:val="clear" w:color="auto" w:fill="FFFFFF"/>
          <w:lang w:val="en-GB"/>
        </w:rPr>
        <w:t>Multivariate Behav. Res.</w:t>
      </w:r>
      <w:r>
        <w:rPr>
          <w:rFonts w:cs="Arial"/>
          <w:sz w:val="22"/>
          <w:szCs w:val="22"/>
          <w:shd w:val="clear" w:color="auto" w:fill="FFFFFF"/>
          <w:lang w:val="en-GB"/>
        </w:rPr>
        <w:t xml:space="preserve"> </w:t>
      </w:r>
      <w:r w:rsidRPr="00506A68">
        <w:rPr>
          <w:rFonts w:cs="Arial"/>
          <w:sz w:val="22"/>
          <w:szCs w:val="22"/>
          <w:shd w:val="clear" w:color="auto" w:fill="FFFFFF"/>
          <w:lang w:val="en-GB"/>
        </w:rPr>
        <w:t>46</w:t>
      </w:r>
      <w:r>
        <w:rPr>
          <w:rFonts w:cs="Arial"/>
          <w:sz w:val="22"/>
          <w:szCs w:val="22"/>
          <w:shd w:val="clear" w:color="auto" w:fill="FFFFFF"/>
          <w:lang w:val="en-GB"/>
        </w:rPr>
        <w:t xml:space="preserve">(3), </w:t>
      </w:r>
      <w:r w:rsidRPr="00506A68">
        <w:rPr>
          <w:rFonts w:cs="Arial"/>
          <w:sz w:val="22"/>
          <w:szCs w:val="22"/>
          <w:shd w:val="clear" w:color="auto" w:fill="FFFFFF"/>
          <w:lang w:val="en-GB"/>
        </w:rPr>
        <w:t>399–424</w:t>
      </w:r>
      <w:r>
        <w:rPr>
          <w:rFonts w:cs="Arial"/>
          <w:sz w:val="22"/>
          <w:szCs w:val="22"/>
          <w:shd w:val="clear" w:color="auto" w:fill="FFFFFF"/>
          <w:lang w:val="en-GB"/>
        </w:rPr>
        <w:t xml:space="preserve"> (</w:t>
      </w:r>
      <w:r w:rsidRPr="00506A68">
        <w:rPr>
          <w:rFonts w:cs="Arial"/>
          <w:sz w:val="22"/>
          <w:szCs w:val="22"/>
          <w:shd w:val="clear" w:color="auto" w:fill="FFFFFF"/>
          <w:lang w:val="en-GB"/>
        </w:rPr>
        <w:t>2011</w:t>
      </w:r>
      <w:r>
        <w:rPr>
          <w:rFonts w:cs="Arial"/>
          <w:sz w:val="22"/>
          <w:szCs w:val="22"/>
          <w:shd w:val="clear" w:color="auto" w:fill="FFFFFF"/>
          <w:lang w:val="en-GB"/>
        </w:rPr>
        <w:t>)</w:t>
      </w:r>
      <w:r w:rsidRPr="00506A68">
        <w:rPr>
          <w:rFonts w:cs="Arial"/>
          <w:sz w:val="22"/>
          <w:szCs w:val="22"/>
          <w:shd w:val="clear" w:color="auto" w:fill="FFFFFF"/>
          <w:lang w:val="en-GB"/>
        </w:rPr>
        <w:t>.</w:t>
      </w:r>
      <w:r w:rsidR="003559ED">
        <w:rPr>
          <w:rFonts w:cs="Arial"/>
          <w:sz w:val="22"/>
          <w:szCs w:val="22"/>
          <w:shd w:val="clear" w:color="auto" w:fill="FFFFFF"/>
          <w:lang w:val="en-GB"/>
        </w:rPr>
        <w:t>**</w:t>
      </w:r>
    </w:p>
    <w:p w14:paraId="7F21DE1F" w14:textId="77777777" w:rsidR="0060786F" w:rsidRPr="00506A68" w:rsidRDefault="0060786F" w:rsidP="000542FC">
      <w:pPr>
        <w:pStyle w:val="Paragraph"/>
        <w:numPr>
          <w:ilvl w:val="0"/>
          <w:numId w:val="26"/>
        </w:numPr>
        <w:spacing w:after="0" w:line="480" w:lineRule="auto"/>
        <w:ind w:left="426"/>
        <w:rPr>
          <w:sz w:val="22"/>
          <w:szCs w:val="22"/>
          <w:lang w:val="en-GB"/>
        </w:rPr>
      </w:pPr>
      <w:r w:rsidRPr="00506A68">
        <w:rPr>
          <w:sz w:val="22"/>
          <w:szCs w:val="22"/>
          <w:lang w:val="en-GB"/>
        </w:rPr>
        <w:t xml:space="preserve">Hadley JH, Yabroff R, Barrett MJ, </w:t>
      </w:r>
      <w:r w:rsidRPr="005515C4">
        <w:rPr>
          <w:sz w:val="22"/>
          <w:szCs w:val="22"/>
          <w:lang w:val="en-GB"/>
        </w:rPr>
        <w:t>Penson DF, Saigal CS, Potosky AL</w:t>
      </w:r>
      <w:r w:rsidRPr="00506A68">
        <w:rPr>
          <w:sz w:val="22"/>
          <w:szCs w:val="22"/>
          <w:lang w:val="en-GB"/>
        </w:rPr>
        <w:t xml:space="preserve">. Comparative effectiveness of prostate cancer treatments: evaluating statistical adjustments for confounding in observational data. </w:t>
      </w:r>
      <w:r w:rsidRPr="001074FC">
        <w:rPr>
          <w:i/>
          <w:sz w:val="22"/>
          <w:szCs w:val="22"/>
          <w:lang w:val="en-GB"/>
        </w:rPr>
        <w:t>J. Natl. Cancer Inst.</w:t>
      </w:r>
      <w:r>
        <w:rPr>
          <w:sz w:val="22"/>
          <w:szCs w:val="22"/>
          <w:lang w:val="en-GB"/>
        </w:rPr>
        <w:t xml:space="preserve"> </w:t>
      </w:r>
      <w:r w:rsidRPr="00506A68">
        <w:rPr>
          <w:sz w:val="22"/>
          <w:szCs w:val="22"/>
          <w:lang w:val="en-GB"/>
        </w:rPr>
        <w:t>102</w:t>
      </w:r>
      <w:r>
        <w:rPr>
          <w:sz w:val="22"/>
          <w:szCs w:val="22"/>
          <w:lang w:val="en-GB"/>
        </w:rPr>
        <w:t xml:space="preserve">(23), </w:t>
      </w:r>
      <w:r w:rsidRPr="00506A68">
        <w:rPr>
          <w:sz w:val="22"/>
          <w:szCs w:val="22"/>
          <w:lang w:val="en-GB"/>
        </w:rPr>
        <w:t>1780–</w:t>
      </w:r>
      <w:r>
        <w:rPr>
          <w:sz w:val="22"/>
          <w:szCs w:val="22"/>
          <w:lang w:val="en-GB"/>
        </w:rPr>
        <w:t>17</w:t>
      </w:r>
      <w:r w:rsidRPr="00506A68">
        <w:rPr>
          <w:sz w:val="22"/>
          <w:szCs w:val="22"/>
          <w:lang w:val="en-GB"/>
        </w:rPr>
        <w:t>93</w:t>
      </w:r>
      <w:r>
        <w:rPr>
          <w:sz w:val="22"/>
          <w:szCs w:val="22"/>
          <w:lang w:val="en-GB"/>
        </w:rPr>
        <w:t xml:space="preserve"> (</w:t>
      </w:r>
      <w:r w:rsidRPr="00506A68">
        <w:rPr>
          <w:sz w:val="22"/>
          <w:szCs w:val="22"/>
          <w:lang w:val="en-GB"/>
        </w:rPr>
        <w:t>2010</w:t>
      </w:r>
      <w:r>
        <w:rPr>
          <w:sz w:val="22"/>
          <w:szCs w:val="22"/>
          <w:lang w:val="en-GB"/>
        </w:rPr>
        <w:t>)</w:t>
      </w:r>
      <w:r w:rsidRPr="00506A68">
        <w:rPr>
          <w:sz w:val="22"/>
          <w:szCs w:val="22"/>
          <w:lang w:val="en-GB"/>
        </w:rPr>
        <w:t>.</w:t>
      </w:r>
    </w:p>
    <w:p w14:paraId="5153385B" w14:textId="09DBD297" w:rsidR="0060786F" w:rsidRPr="00506A68" w:rsidRDefault="0060786F" w:rsidP="000542FC">
      <w:pPr>
        <w:pStyle w:val="Paragraph"/>
        <w:numPr>
          <w:ilvl w:val="0"/>
          <w:numId w:val="26"/>
        </w:numPr>
        <w:spacing w:after="0" w:line="480" w:lineRule="auto"/>
        <w:ind w:left="426"/>
        <w:rPr>
          <w:sz w:val="22"/>
          <w:szCs w:val="22"/>
          <w:lang w:val="en-GB"/>
        </w:rPr>
      </w:pPr>
      <w:r w:rsidRPr="00506A68">
        <w:rPr>
          <w:sz w:val="22"/>
          <w:szCs w:val="22"/>
          <w:lang w:val="en-GB"/>
        </w:rPr>
        <w:t xml:space="preserve">Austin PC, Stuart EA. Moving towards best practice when using inverse probability of treatment weighting (IPTW) using the propensity score to estimate causal treatment effects in observational studies. </w:t>
      </w:r>
      <w:r w:rsidRPr="001074FC">
        <w:rPr>
          <w:i/>
          <w:sz w:val="22"/>
          <w:szCs w:val="22"/>
          <w:lang w:val="en-GB"/>
        </w:rPr>
        <w:t>Stat. Med.</w:t>
      </w:r>
      <w:r>
        <w:rPr>
          <w:sz w:val="22"/>
          <w:szCs w:val="22"/>
          <w:lang w:val="en-GB"/>
        </w:rPr>
        <w:t xml:space="preserve"> </w:t>
      </w:r>
      <w:r w:rsidRPr="00506A68">
        <w:rPr>
          <w:sz w:val="22"/>
          <w:szCs w:val="22"/>
          <w:lang w:val="en-GB"/>
        </w:rPr>
        <w:t>34</w:t>
      </w:r>
      <w:r>
        <w:rPr>
          <w:sz w:val="22"/>
          <w:szCs w:val="22"/>
          <w:lang w:val="en-GB"/>
        </w:rPr>
        <w:t xml:space="preserve">(28), </w:t>
      </w:r>
      <w:r w:rsidRPr="00506A68">
        <w:rPr>
          <w:sz w:val="22"/>
          <w:szCs w:val="22"/>
          <w:lang w:val="en-GB"/>
        </w:rPr>
        <w:t>3661–</w:t>
      </w:r>
      <w:r>
        <w:rPr>
          <w:sz w:val="22"/>
          <w:szCs w:val="22"/>
          <w:lang w:val="en-GB"/>
        </w:rPr>
        <w:t>36</w:t>
      </w:r>
      <w:r w:rsidRPr="00506A68">
        <w:rPr>
          <w:sz w:val="22"/>
          <w:szCs w:val="22"/>
          <w:lang w:val="en-GB"/>
        </w:rPr>
        <w:t>79</w:t>
      </w:r>
      <w:r>
        <w:rPr>
          <w:sz w:val="22"/>
          <w:szCs w:val="22"/>
          <w:lang w:val="en-GB"/>
        </w:rPr>
        <w:t xml:space="preserve"> (</w:t>
      </w:r>
      <w:r w:rsidRPr="00506A68">
        <w:rPr>
          <w:sz w:val="22"/>
          <w:szCs w:val="22"/>
          <w:lang w:val="en-GB"/>
        </w:rPr>
        <w:t>2015</w:t>
      </w:r>
      <w:r>
        <w:rPr>
          <w:sz w:val="22"/>
          <w:szCs w:val="22"/>
          <w:lang w:val="en-GB"/>
        </w:rPr>
        <w:t>)</w:t>
      </w:r>
      <w:r w:rsidRPr="00506A68">
        <w:rPr>
          <w:sz w:val="22"/>
          <w:szCs w:val="22"/>
          <w:lang w:val="en-GB"/>
        </w:rPr>
        <w:t>.</w:t>
      </w:r>
      <w:r w:rsidR="003559ED">
        <w:rPr>
          <w:sz w:val="22"/>
          <w:szCs w:val="22"/>
          <w:lang w:val="en-GB"/>
        </w:rPr>
        <w:t>**</w:t>
      </w:r>
      <w:r w:rsidRPr="00506A68">
        <w:rPr>
          <w:sz w:val="22"/>
          <w:szCs w:val="22"/>
          <w:lang w:val="en-GB"/>
        </w:rPr>
        <w:t xml:space="preserve"> </w:t>
      </w:r>
    </w:p>
    <w:p w14:paraId="00A5E6E2" w14:textId="77777777" w:rsidR="0060786F" w:rsidRPr="00506A68" w:rsidRDefault="0060786F" w:rsidP="000542FC">
      <w:pPr>
        <w:pStyle w:val="ListParagraph"/>
        <w:numPr>
          <w:ilvl w:val="0"/>
          <w:numId w:val="26"/>
        </w:numPr>
        <w:spacing w:after="0" w:line="480" w:lineRule="auto"/>
        <w:ind w:left="426"/>
        <w:rPr>
          <w:rFonts w:ascii="Arial" w:hAnsi="Arial" w:cs="Arial"/>
        </w:rPr>
      </w:pPr>
      <w:r w:rsidRPr="00506A68">
        <w:rPr>
          <w:rFonts w:ascii="Arial" w:hAnsi="Arial" w:cs="Arial"/>
        </w:rPr>
        <w:t xml:space="preserve">Lee BK, Lessler J, Stuart EA. Weight trimming and propensity score weighting. </w:t>
      </w:r>
      <w:r w:rsidRPr="001074FC">
        <w:rPr>
          <w:rFonts w:ascii="Arial" w:hAnsi="Arial" w:cs="Arial"/>
          <w:i/>
        </w:rPr>
        <w:t>PLoS One</w:t>
      </w:r>
      <w:r>
        <w:rPr>
          <w:rFonts w:ascii="Arial" w:hAnsi="Arial" w:cs="Arial"/>
        </w:rPr>
        <w:t xml:space="preserve"> </w:t>
      </w:r>
      <w:r w:rsidRPr="00506A68">
        <w:rPr>
          <w:rFonts w:ascii="Arial" w:hAnsi="Arial" w:cs="Arial"/>
        </w:rPr>
        <w:t>6</w:t>
      </w:r>
      <w:r>
        <w:rPr>
          <w:rFonts w:ascii="Arial" w:hAnsi="Arial" w:cs="Arial"/>
        </w:rPr>
        <w:t xml:space="preserve">(3), </w:t>
      </w:r>
      <w:r w:rsidRPr="00506A68">
        <w:rPr>
          <w:rFonts w:ascii="Arial" w:hAnsi="Arial" w:cs="Arial"/>
        </w:rPr>
        <w:t>e18174</w:t>
      </w:r>
      <w:r>
        <w:rPr>
          <w:rFonts w:ascii="Arial" w:hAnsi="Arial" w:cs="Arial"/>
        </w:rPr>
        <w:t xml:space="preserve"> (</w:t>
      </w:r>
      <w:r w:rsidRPr="00506A68">
        <w:rPr>
          <w:rFonts w:ascii="Arial" w:hAnsi="Arial" w:cs="Arial"/>
        </w:rPr>
        <w:t>2011</w:t>
      </w:r>
      <w:r>
        <w:rPr>
          <w:rFonts w:ascii="Arial" w:hAnsi="Arial" w:cs="Arial"/>
        </w:rPr>
        <w:t>)</w:t>
      </w:r>
      <w:r w:rsidRPr="00506A68">
        <w:rPr>
          <w:rFonts w:ascii="Arial" w:hAnsi="Arial" w:cs="Arial"/>
        </w:rPr>
        <w:t>.</w:t>
      </w:r>
    </w:p>
    <w:p w14:paraId="77972E2F" w14:textId="15449ACB" w:rsidR="0060786F" w:rsidRPr="00506A68" w:rsidRDefault="0060786F" w:rsidP="000542FC">
      <w:pPr>
        <w:pStyle w:val="Paragraph"/>
        <w:numPr>
          <w:ilvl w:val="0"/>
          <w:numId w:val="26"/>
        </w:numPr>
        <w:spacing w:after="0" w:line="480" w:lineRule="auto"/>
        <w:ind w:left="426"/>
        <w:rPr>
          <w:sz w:val="22"/>
          <w:szCs w:val="22"/>
          <w:lang w:val="en-GB"/>
        </w:rPr>
      </w:pPr>
      <w:r w:rsidRPr="00506A68">
        <w:rPr>
          <w:sz w:val="22"/>
          <w:szCs w:val="22"/>
          <w:lang w:val="en-GB"/>
        </w:rPr>
        <w:t xml:space="preserve">Diamond A, Sekhon JS. Genetic matching for estimating causal effects: </w:t>
      </w:r>
      <w:r>
        <w:rPr>
          <w:sz w:val="22"/>
          <w:szCs w:val="22"/>
          <w:lang w:val="en-GB"/>
        </w:rPr>
        <w:t>a</w:t>
      </w:r>
      <w:r w:rsidRPr="00506A68">
        <w:rPr>
          <w:sz w:val="22"/>
          <w:szCs w:val="22"/>
          <w:lang w:val="en-GB"/>
        </w:rPr>
        <w:t xml:space="preserve"> general multivariate matching method for achieving balance in observational studies. </w:t>
      </w:r>
      <w:r w:rsidRPr="009F44C7">
        <w:rPr>
          <w:i/>
          <w:sz w:val="22"/>
          <w:szCs w:val="22"/>
          <w:lang w:val="en-GB"/>
        </w:rPr>
        <w:t>Rev. Econ. Stat.</w:t>
      </w:r>
      <w:r>
        <w:rPr>
          <w:sz w:val="22"/>
          <w:szCs w:val="22"/>
          <w:lang w:val="en-GB"/>
        </w:rPr>
        <w:t xml:space="preserve"> </w:t>
      </w:r>
      <w:r w:rsidRPr="00506A68">
        <w:rPr>
          <w:sz w:val="22"/>
          <w:szCs w:val="22"/>
          <w:lang w:val="en-GB"/>
        </w:rPr>
        <w:t>95</w:t>
      </w:r>
      <w:r>
        <w:rPr>
          <w:sz w:val="22"/>
          <w:szCs w:val="22"/>
          <w:lang w:val="en-GB"/>
        </w:rPr>
        <w:t xml:space="preserve">(3), </w:t>
      </w:r>
      <w:r w:rsidRPr="00506A68">
        <w:rPr>
          <w:sz w:val="22"/>
          <w:szCs w:val="22"/>
          <w:lang w:val="en-GB"/>
        </w:rPr>
        <w:t>932–</w:t>
      </w:r>
      <w:r>
        <w:rPr>
          <w:sz w:val="22"/>
          <w:szCs w:val="22"/>
          <w:lang w:val="en-GB"/>
        </w:rPr>
        <w:t>9</w:t>
      </w:r>
      <w:r w:rsidRPr="00506A68">
        <w:rPr>
          <w:sz w:val="22"/>
          <w:szCs w:val="22"/>
          <w:lang w:val="en-GB"/>
        </w:rPr>
        <w:t>45</w:t>
      </w:r>
      <w:r>
        <w:rPr>
          <w:sz w:val="22"/>
          <w:szCs w:val="22"/>
          <w:lang w:val="en-GB"/>
        </w:rPr>
        <w:t xml:space="preserve"> (</w:t>
      </w:r>
      <w:r w:rsidRPr="00506A68">
        <w:rPr>
          <w:sz w:val="22"/>
          <w:szCs w:val="22"/>
          <w:lang w:val="en-GB"/>
        </w:rPr>
        <w:t>2013</w:t>
      </w:r>
      <w:r>
        <w:rPr>
          <w:sz w:val="22"/>
          <w:szCs w:val="22"/>
          <w:lang w:val="en-GB"/>
        </w:rPr>
        <w:t>)</w:t>
      </w:r>
      <w:r w:rsidRPr="00506A68">
        <w:rPr>
          <w:sz w:val="22"/>
          <w:szCs w:val="22"/>
          <w:lang w:val="en-GB"/>
        </w:rPr>
        <w:t>.</w:t>
      </w:r>
      <w:r w:rsidR="003559ED">
        <w:rPr>
          <w:sz w:val="22"/>
          <w:szCs w:val="22"/>
          <w:lang w:val="en-GB"/>
        </w:rPr>
        <w:t>*</w:t>
      </w:r>
    </w:p>
    <w:p w14:paraId="7DD3C937" w14:textId="2F761BEB" w:rsidR="0060786F" w:rsidRPr="00506A68" w:rsidRDefault="0060786F" w:rsidP="000542FC">
      <w:pPr>
        <w:pStyle w:val="Paragraph"/>
        <w:numPr>
          <w:ilvl w:val="0"/>
          <w:numId w:val="26"/>
        </w:numPr>
        <w:spacing w:after="0" w:line="480" w:lineRule="auto"/>
        <w:ind w:left="426"/>
        <w:rPr>
          <w:rFonts w:cs="Arial"/>
          <w:b/>
          <w:color w:val="000000"/>
          <w:sz w:val="22"/>
          <w:szCs w:val="22"/>
          <w:lang w:val="en-GB"/>
        </w:rPr>
      </w:pPr>
      <w:r w:rsidRPr="00F96127">
        <w:rPr>
          <w:rFonts w:cs="Arial"/>
          <w:sz w:val="22"/>
          <w:szCs w:val="22"/>
          <w:lang w:val="fr-FR"/>
        </w:rPr>
        <w:t xml:space="preserve">Crino L, Ahn M, De Marinis F </w:t>
      </w:r>
      <w:r w:rsidRPr="00F96127">
        <w:rPr>
          <w:rFonts w:cs="Arial"/>
          <w:i/>
          <w:sz w:val="22"/>
          <w:szCs w:val="22"/>
          <w:lang w:val="fr-FR"/>
        </w:rPr>
        <w:t>et al</w:t>
      </w:r>
      <w:r w:rsidRPr="00F96127">
        <w:rPr>
          <w:rFonts w:cs="Arial"/>
          <w:sz w:val="22"/>
          <w:szCs w:val="22"/>
          <w:lang w:val="fr-FR"/>
        </w:rPr>
        <w:t xml:space="preserve">. </w:t>
      </w:r>
      <w:r w:rsidRPr="00506A68">
        <w:rPr>
          <w:rFonts w:cs="Arial"/>
          <w:color w:val="000000"/>
          <w:sz w:val="22"/>
          <w:szCs w:val="22"/>
          <w:lang w:val="en-GB"/>
        </w:rPr>
        <w:t xml:space="preserve">Multicenter phase II study of whole-body and intracranial activity with ceritinib in patients with </w:t>
      </w:r>
      <w:r w:rsidRPr="00506A68">
        <w:rPr>
          <w:rFonts w:cs="Arial"/>
          <w:i/>
          <w:color w:val="000000"/>
          <w:sz w:val="22"/>
          <w:szCs w:val="22"/>
          <w:lang w:val="en-GB"/>
        </w:rPr>
        <w:t>ALK</w:t>
      </w:r>
      <w:r w:rsidRPr="00506A68">
        <w:rPr>
          <w:rFonts w:cs="Arial"/>
          <w:color w:val="000000"/>
          <w:sz w:val="22"/>
          <w:szCs w:val="22"/>
          <w:lang w:val="en-GB"/>
        </w:rPr>
        <w:t xml:space="preserve">-rearranged non-small-cell lung cancer previously treated with chemotherapy and crizotinib: results from ASCEND-2. </w:t>
      </w:r>
      <w:r w:rsidRPr="009F44C7">
        <w:rPr>
          <w:rFonts w:cs="Arial"/>
          <w:i/>
          <w:color w:val="000000"/>
          <w:sz w:val="22"/>
          <w:szCs w:val="22"/>
          <w:lang w:val="en-GB"/>
        </w:rPr>
        <w:t>J. Clin. Oncol.</w:t>
      </w:r>
      <w:r>
        <w:rPr>
          <w:rFonts w:cs="Arial"/>
          <w:color w:val="000000"/>
          <w:sz w:val="22"/>
          <w:szCs w:val="22"/>
          <w:lang w:val="en-GB"/>
        </w:rPr>
        <w:t xml:space="preserve"> </w:t>
      </w:r>
      <w:r w:rsidRPr="00506A68">
        <w:rPr>
          <w:rFonts w:cs="Arial"/>
          <w:color w:val="000000"/>
          <w:sz w:val="22"/>
          <w:szCs w:val="22"/>
          <w:lang w:val="en-GB"/>
        </w:rPr>
        <w:t>34</w:t>
      </w:r>
      <w:r>
        <w:rPr>
          <w:rFonts w:cs="Arial"/>
          <w:color w:val="000000"/>
          <w:sz w:val="22"/>
          <w:szCs w:val="22"/>
          <w:lang w:val="en-GB"/>
        </w:rPr>
        <w:t xml:space="preserve">(24), </w:t>
      </w:r>
      <w:r w:rsidRPr="00506A68">
        <w:rPr>
          <w:rFonts w:cs="Arial"/>
          <w:color w:val="000000"/>
          <w:sz w:val="22"/>
          <w:szCs w:val="22"/>
          <w:lang w:val="en-GB"/>
        </w:rPr>
        <w:t>2866–</w:t>
      </w:r>
      <w:r>
        <w:rPr>
          <w:rFonts w:cs="Arial"/>
          <w:color w:val="000000"/>
          <w:sz w:val="22"/>
          <w:szCs w:val="22"/>
          <w:lang w:val="en-GB"/>
        </w:rPr>
        <w:t>28</w:t>
      </w:r>
      <w:r w:rsidRPr="00506A68">
        <w:rPr>
          <w:rFonts w:cs="Arial"/>
          <w:color w:val="000000"/>
          <w:sz w:val="22"/>
          <w:szCs w:val="22"/>
          <w:lang w:val="en-GB"/>
        </w:rPr>
        <w:t>73</w:t>
      </w:r>
      <w:r>
        <w:rPr>
          <w:rFonts w:cs="Arial"/>
          <w:color w:val="000000"/>
          <w:sz w:val="22"/>
          <w:szCs w:val="22"/>
          <w:lang w:val="en-GB"/>
        </w:rPr>
        <w:t xml:space="preserve"> (</w:t>
      </w:r>
      <w:r w:rsidRPr="00506A68">
        <w:rPr>
          <w:rFonts w:cs="Arial"/>
          <w:color w:val="000000"/>
          <w:sz w:val="22"/>
          <w:szCs w:val="22"/>
          <w:lang w:val="en-GB"/>
        </w:rPr>
        <w:t>2016</w:t>
      </w:r>
      <w:r>
        <w:rPr>
          <w:rFonts w:cs="Arial"/>
          <w:color w:val="000000"/>
          <w:sz w:val="22"/>
          <w:szCs w:val="22"/>
          <w:lang w:val="en-GB"/>
        </w:rPr>
        <w:t>)</w:t>
      </w:r>
      <w:r w:rsidRPr="00506A68">
        <w:rPr>
          <w:rFonts w:cs="Arial"/>
          <w:color w:val="000000"/>
          <w:sz w:val="22"/>
          <w:szCs w:val="22"/>
          <w:lang w:val="en-GB"/>
        </w:rPr>
        <w:t>.</w:t>
      </w:r>
      <w:r w:rsidR="003559ED">
        <w:rPr>
          <w:rFonts w:cs="Arial"/>
          <w:color w:val="000000"/>
          <w:sz w:val="22"/>
          <w:szCs w:val="22"/>
          <w:lang w:val="en-GB"/>
        </w:rPr>
        <w:t>*</w:t>
      </w:r>
    </w:p>
    <w:p w14:paraId="2B1D52FA" w14:textId="76EBA350" w:rsidR="00A905AA" w:rsidRPr="002758E8" w:rsidRDefault="00A905AA" w:rsidP="000542FC">
      <w:pPr>
        <w:pStyle w:val="Paragraph"/>
        <w:numPr>
          <w:ilvl w:val="0"/>
          <w:numId w:val="26"/>
        </w:numPr>
        <w:spacing w:after="0" w:line="480" w:lineRule="auto"/>
        <w:ind w:left="426"/>
        <w:rPr>
          <w:sz w:val="22"/>
          <w:szCs w:val="22"/>
          <w:lang w:val="en-GB"/>
        </w:rPr>
      </w:pPr>
      <w:r w:rsidRPr="00515993">
        <w:rPr>
          <w:sz w:val="22"/>
          <w:szCs w:val="22"/>
          <w:lang w:val="fr-FR"/>
        </w:rPr>
        <w:t xml:space="preserve">Guyot P, Ades AE, Ouwens MJ, et al. </w:t>
      </w:r>
      <w:r w:rsidRPr="00A905AA">
        <w:rPr>
          <w:sz w:val="22"/>
          <w:szCs w:val="22"/>
          <w:lang w:val="en-GB"/>
        </w:rPr>
        <w:t>Enhanced secondary analysis of survival data: reconstructing the data from published Kaplan-Meier survival c</w:t>
      </w:r>
      <w:r>
        <w:rPr>
          <w:sz w:val="22"/>
          <w:szCs w:val="22"/>
          <w:lang w:val="en-GB"/>
        </w:rPr>
        <w:t xml:space="preserve">urves. </w:t>
      </w:r>
      <w:r w:rsidRPr="002758E8">
        <w:rPr>
          <w:i/>
          <w:sz w:val="22"/>
          <w:szCs w:val="22"/>
          <w:lang w:val="en-GB"/>
        </w:rPr>
        <w:t>BMC Med Res Methodol</w:t>
      </w:r>
      <w:r>
        <w:rPr>
          <w:i/>
          <w:sz w:val="22"/>
          <w:szCs w:val="22"/>
          <w:lang w:val="en-GB"/>
        </w:rPr>
        <w:t>.</w:t>
      </w:r>
      <w:r>
        <w:rPr>
          <w:sz w:val="22"/>
          <w:szCs w:val="22"/>
          <w:lang w:val="en-GB"/>
        </w:rPr>
        <w:t xml:space="preserve"> 2, 12:9 (2012).</w:t>
      </w:r>
    </w:p>
    <w:p w14:paraId="40DB505F" w14:textId="77777777" w:rsidR="0060786F" w:rsidRPr="00506A68" w:rsidRDefault="0060786F" w:rsidP="000542FC">
      <w:pPr>
        <w:pStyle w:val="Paragraph"/>
        <w:numPr>
          <w:ilvl w:val="0"/>
          <w:numId w:val="26"/>
        </w:numPr>
        <w:spacing w:after="0" w:line="480" w:lineRule="auto"/>
        <w:ind w:left="426"/>
        <w:rPr>
          <w:sz w:val="22"/>
          <w:szCs w:val="22"/>
          <w:lang w:val="en-GB"/>
        </w:rPr>
      </w:pPr>
      <w:r w:rsidRPr="00F96127">
        <w:rPr>
          <w:sz w:val="22"/>
          <w:szCs w:val="22"/>
          <w:lang w:val="fr-FR"/>
        </w:rPr>
        <w:t xml:space="preserve">Guerin A, Sasane M, Zhang J </w:t>
      </w:r>
      <w:r w:rsidRPr="00F96127">
        <w:rPr>
          <w:i/>
          <w:sz w:val="22"/>
          <w:szCs w:val="22"/>
          <w:lang w:val="fr-FR"/>
        </w:rPr>
        <w:t>et al</w:t>
      </w:r>
      <w:r w:rsidRPr="00F96127">
        <w:rPr>
          <w:sz w:val="22"/>
          <w:szCs w:val="22"/>
          <w:lang w:val="fr-FR"/>
        </w:rPr>
        <w:t xml:space="preserve">. </w:t>
      </w:r>
      <w:r w:rsidRPr="00506A68">
        <w:rPr>
          <w:sz w:val="22"/>
          <w:szCs w:val="22"/>
          <w:lang w:val="en-GB"/>
        </w:rPr>
        <w:t xml:space="preserve">ALK rearrangement testing and treatment patterns for patients with ALK-positive non-small cell lung cancer. </w:t>
      </w:r>
      <w:r w:rsidRPr="009F44C7">
        <w:rPr>
          <w:i/>
          <w:sz w:val="22"/>
          <w:szCs w:val="22"/>
          <w:lang w:val="en-GB"/>
        </w:rPr>
        <w:t>Cancer Epidemiol.</w:t>
      </w:r>
      <w:r>
        <w:rPr>
          <w:sz w:val="22"/>
          <w:szCs w:val="22"/>
          <w:lang w:val="en-GB"/>
        </w:rPr>
        <w:t xml:space="preserve"> </w:t>
      </w:r>
      <w:r w:rsidRPr="00506A68">
        <w:rPr>
          <w:sz w:val="22"/>
          <w:szCs w:val="22"/>
          <w:lang w:val="en-GB"/>
        </w:rPr>
        <w:t>39</w:t>
      </w:r>
      <w:r>
        <w:rPr>
          <w:sz w:val="22"/>
          <w:szCs w:val="22"/>
          <w:lang w:val="en-GB"/>
        </w:rPr>
        <w:t xml:space="preserve">(3), </w:t>
      </w:r>
      <w:r w:rsidRPr="00506A68">
        <w:rPr>
          <w:sz w:val="22"/>
          <w:szCs w:val="22"/>
          <w:lang w:val="en-GB"/>
        </w:rPr>
        <w:t>307–</w:t>
      </w:r>
      <w:r>
        <w:rPr>
          <w:sz w:val="22"/>
          <w:szCs w:val="22"/>
          <w:lang w:val="en-GB"/>
        </w:rPr>
        <w:t>3</w:t>
      </w:r>
      <w:r w:rsidRPr="00506A68">
        <w:rPr>
          <w:sz w:val="22"/>
          <w:szCs w:val="22"/>
          <w:lang w:val="en-GB"/>
        </w:rPr>
        <w:t>12</w:t>
      </w:r>
      <w:r>
        <w:rPr>
          <w:sz w:val="22"/>
          <w:szCs w:val="22"/>
          <w:lang w:val="en-GB"/>
        </w:rPr>
        <w:t xml:space="preserve"> (</w:t>
      </w:r>
      <w:r w:rsidRPr="00506A68">
        <w:rPr>
          <w:sz w:val="22"/>
          <w:szCs w:val="22"/>
          <w:lang w:val="en-GB"/>
        </w:rPr>
        <w:t>2015</w:t>
      </w:r>
      <w:r>
        <w:rPr>
          <w:sz w:val="22"/>
          <w:szCs w:val="22"/>
          <w:lang w:val="en-GB"/>
        </w:rPr>
        <w:t>)</w:t>
      </w:r>
      <w:r w:rsidRPr="00506A68">
        <w:rPr>
          <w:sz w:val="22"/>
          <w:szCs w:val="22"/>
          <w:lang w:val="en-GB"/>
        </w:rPr>
        <w:t>.</w:t>
      </w:r>
    </w:p>
    <w:p w14:paraId="38A71D0F" w14:textId="77777777" w:rsidR="0060786F" w:rsidRPr="00506A68" w:rsidRDefault="0060786F" w:rsidP="000542FC">
      <w:pPr>
        <w:pStyle w:val="Paragraph"/>
        <w:numPr>
          <w:ilvl w:val="0"/>
          <w:numId w:val="26"/>
        </w:numPr>
        <w:spacing w:after="0" w:line="480" w:lineRule="auto"/>
        <w:ind w:left="426"/>
        <w:rPr>
          <w:sz w:val="22"/>
          <w:szCs w:val="22"/>
          <w:lang w:val="en-GB"/>
        </w:rPr>
      </w:pPr>
      <w:r w:rsidRPr="00F96127">
        <w:rPr>
          <w:sz w:val="22"/>
          <w:szCs w:val="22"/>
          <w:lang w:val="it-IT"/>
        </w:rPr>
        <w:lastRenderedPageBreak/>
        <w:t xml:space="preserve">Cadranel J, Park K, Arrieta O </w:t>
      </w:r>
      <w:r w:rsidRPr="00F96127">
        <w:rPr>
          <w:i/>
          <w:sz w:val="22"/>
          <w:szCs w:val="22"/>
          <w:lang w:val="it-IT"/>
        </w:rPr>
        <w:t>et al</w:t>
      </w:r>
      <w:r w:rsidRPr="00F96127">
        <w:rPr>
          <w:sz w:val="22"/>
          <w:szCs w:val="22"/>
          <w:lang w:val="it-IT"/>
        </w:rPr>
        <w:t xml:space="preserve">. </w:t>
      </w:r>
      <w:r w:rsidRPr="00506A68">
        <w:rPr>
          <w:sz w:val="22"/>
          <w:szCs w:val="22"/>
          <w:lang w:val="en-GB"/>
        </w:rPr>
        <w:t xml:space="preserve">Characteristics, treatment patterns, and survival among ALK+ non-small cell lung cancer (NSCLC) patients treated with crizotinib: </w:t>
      </w:r>
      <w:r>
        <w:rPr>
          <w:sz w:val="22"/>
          <w:szCs w:val="22"/>
          <w:lang w:val="en-GB"/>
        </w:rPr>
        <w:t>a</w:t>
      </w:r>
      <w:r w:rsidRPr="00506A68">
        <w:rPr>
          <w:sz w:val="22"/>
          <w:szCs w:val="22"/>
          <w:lang w:val="en-GB"/>
        </w:rPr>
        <w:t xml:space="preserve"> chart review study. </w:t>
      </w:r>
      <w:r w:rsidRPr="009F44C7">
        <w:rPr>
          <w:i/>
          <w:sz w:val="22"/>
          <w:szCs w:val="22"/>
          <w:lang w:val="en-GB"/>
        </w:rPr>
        <w:t>Lung Cancer</w:t>
      </w:r>
      <w:r>
        <w:rPr>
          <w:sz w:val="22"/>
          <w:szCs w:val="22"/>
          <w:lang w:val="en-GB"/>
        </w:rPr>
        <w:t xml:space="preserve"> </w:t>
      </w:r>
      <w:r w:rsidRPr="00506A68">
        <w:rPr>
          <w:sz w:val="22"/>
          <w:szCs w:val="22"/>
          <w:lang w:val="en-GB"/>
        </w:rPr>
        <w:t>98</w:t>
      </w:r>
      <w:r>
        <w:rPr>
          <w:sz w:val="22"/>
          <w:szCs w:val="22"/>
          <w:lang w:val="en-GB"/>
        </w:rPr>
        <w:t xml:space="preserve">, </w:t>
      </w:r>
      <w:r w:rsidRPr="00506A68">
        <w:rPr>
          <w:sz w:val="22"/>
          <w:szCs w:val="22"/>
          <w:lang w:val="en-GB"/>
        </w:rPr>
        <w:t>9–14</w:t>
      </w:r>
      <w:r>
        <w:rPr>
          <w:sz w:val="22"/>
          <w:szCs w:val="22"/>
          <w:lang w:val="en-GB"/>
        </w:rPr>
        <w:t xml:space="preserve"> (</w:t>
      </w:r>
      <w:r w:rsidRPr="00506A68">
        <w:rPr>
          <w:sz w:val="22"/>
          <w:szCs w:val="22"/>
          <w:lang w:val="en-GB"/>
        </w:rPr>
        <w:t>2016</w:t>
      </w:r>
      <w:r>
        <w:rPr>
          <w:sz w:val="22"/>
          <w:szCs w:val="22"/>
          <w:lang w:val="en-GB"/>
        </w:rPr>
        <w:t>)</w:t>
      </w:r>
      <w:r w:rsidRPr="00506A68">
        <w:rPr>
          <w:sz w:val="22"/>
          <w:szCs w:val="22"/>
          <w:lang w:val="en-GB"/>
        </w:rPr>
        <w:t>.</w:t>
      </w:r>
    </w:p>
    <w:p w14:paraId="7E12AC66" w14:textId="77777777" w:rsidR="0060786F" w:rsidRPr="00C70DFB" w:rsidRDefault="0060786F" w:rsidP="000542FC">
      <w:pPr>
        <w:pStyle w:val="Paragraph"/>
        <w:numPr>
          <w:ilvl w:val="0"/>
          <w:numId w:val="26"/>
        </w:numPr>
        <w:spacing w:after="0" w:line="480" w:lineRule="auto"/>
        <w:ind w:left="426"/>
        <w:rPr>
          <w:sz w:val="22"/>
          <w:szCs w:val="22"/>
          <w:lang w:val="en-GB"/>
        </w:rPr>
      </w:pPr>
      <w:r w:rsidRPr="00F96127">
        <w:rPr>
          <w:sz w:val="22"/>
          <w:szCs w:val="22"/>
          <w:lang w:val="it-IT"/>
        </w:rPr>
        <w:t xml:space="preserve">Al-Gilani M, Skillington SA, Kallogjeri D, Haughey B, Piccirillo JF. </w:t>
      </w:r>
      <w:r w:rsidRPr="00506A68">
        <w:rPr>
          <w:sz w:val="22"/>
          <w:szCs w:val="22"/>
          <w:lang w:val="en-GB"/>
        </w:rPr>
        <w:t xml:space="preserve">Surgical vs nonsurgical </w:t>
      </w:r>
      <w:r w:rsidRPr="00C70DFB">
        <w:rPr>
          <w:sz w:val="22"/>
          <w:szCs w:val="22"/>
          <w:lang w:val="en-GB"/>
        </w:rPr>
        <w:t xml:space="preserve">treatment modalities for T3 glottic squamous cell carcinoma. </w:t>
      </w:r>
      <w:r w:rsidRPr="00C70DFB">
        <w:rPr>
          <w:i/>
          <w:sz w:val="22"/>
          <w:szCs w:val="22"/>
          <w:lang w:val="en-GB"/>
        </w:rPr>
        <w:t>JAMA Otolaryngol. Head Neck Surg.</w:t>
      </w:r>
      <w:r w:rsidRPr="00C70DFB">
        <w:rPr>
          <w:sz w:val="22"/>
          <w:szCs w:val="22"/>
          <w:lang w:val="en-GB"/>
        </w:rPr>
        <w:t xml:space="preserve"> 142(10), 940–946 (2016). </w:t>
      </w:r>
    </w:p>
    <w:p w14:paraId="2D6CD119" w14:textId="77777777" w:rsidR="0060786F" w:rsidRPr="00C70DFB" w:rsidRDefault="0060786F" w:rsidP="000542FC">
      <w:pPr>
        <w:pStyle w:val="ListParagraph"/>
        <w:numPr>
          <w:ilvl w:val="0"/>
          <w:numId w:val="26"/>
        </w:numPr>
        <w:spacing w:after="0" w:line="480" w:lineRule="auto"/>
        <w:ind w:left="426"/>
        <w:rPr>
          <w:rFonts w:ascii="Arial" w:hAnsi="Arial" w:cs="Arial"/>
        </w:rPr>
      </w:pPr>
      <w:r w:rsidRPr="00C70DFB">
        <w:rPr>
          <w:rFonts w:ascii="Arial" w:hAnsi="Arial" w:cs="Arial"/>
        </w:rPr>
        <w:t xml:space="preserve">Rosenbaum PR, Rubin DB. The central role of the propensity score in observational studies for causal effects. </w:t>
      </w:r>
      <w:r w:rsidRPr="00C70DFB">
        <w:rPr>
          <w:rFonts w:ascii="Arial" w:hAnsi="Arial" w:cs="Arial"/>
          <w:i/>
        </w:rPr>
        <w:t>Biometrika</w:t>
      </w:r>
      <w:r w:rsidRPr="00C70DFB">
        <w:rPr>
          <w:rFonts w:ascii="Arial" w:hAnsi="Arial" w:cs="Arial"/>
        </w:rPr>
        <w:t xml:space="preserve"> 70(1), 41–55 (1983). </w:t>
      </w:r>
    </w:p>
    <w:p w14:paraId="429E724A" w14:textId="77777777" w:rsidR="0060786F" w:rsidRPr="00C70DFB" w:rsidRDefault="0060786F" w:rsidP="000542FC">
      <w:pPr>
        <w:pStyle w:val="Paragraph"/>
        <w:numPr>
          <w:ilvl w:val="0"/>
          <w:numId w:val="26"/>
        </w:numPr>
        <w:spacing w:after="0" w:line="480" w:lineRule="auto"/>
        <w:ind w:left="426"/>
        <w:rPr>
          <w:sz w:val="22"/>
          <w:szCs w:val="22"/>
          <w:lang w:val="en-GB"/>
        </w:rPr>
      </w:pPr>
      <w:r w:rsidRPr="00C70DFB">
        <w:rPr>
          <w:sz w:val="22"/>
          <w:szCs w:val="22"/>
          <w:lang w:val="fr-FR"/>
        </w:rPr>
        <w:t xml:space="preserve">Eulenburg C, Suling A, Neuser P </w:t>
      </w:r>
      <w:r w:rsidRPr="00C70DFB">
        <w:rPr>
          <w:i/>
          <w:sz w:val="22"/>
          <w:szCs w:val="22"/>
          <w:lang w:val="fr-FR"/>
        </w:rPr>
        <w:t>et al</w:t>
      </w:r>
      <w:r w:rsidRPr="00C70DFB">
        <w:rPr>
          <w:sz w:val="22"/>
          <w:szCs w:val="22"/>
          <w:lang w:val="fr-FR"/>
        </w:rPr>
        <w:t xml:space="preserve">. </w:t>
      </w:r>
      <w:r w:rsidRPr="00C70DFB">
        <w:rPr>
          <w:sz w:val="22"/>
          <w:szCs w:val="22"/>
          <w:lang w:val="en-GB"/>
        </w:rPr>
        <w:t xml:space="preserve">Propensity scoring after multiple imputation in a retrospective study on adjuvant radiation therapy in lymph-node positive vulvar cancer. </w:t>
      </w:r>
      <w:r w:rsidRPr="00C70DFB">
        <w:rPr>
          <w:i/>
          <w:sz w:val="22"/>
          <w:szCs w:val="22"/>
          <w:lang w:val="en-GB"/>
        </w:rPr>
        <w:t>PLoS One</w:t>
      </w:r>
      <w:r w:rsidRPr="00C70DFB">
        <w:rPr>
          <w:sz w:val="22"/>
          <w:szCs w:val="22"/>
          <w:lang w:val="en-GB"/>
        </w:rPr>
        <w:t xml:space="preserve"> 11(11), e0165705 (2016). </w:t>
      </w:r>
    </w:p>
    <w:p w14:paraId="5393624A" w14:textId="77777777" w:rsidR="0060786F" w:rsidRPr="00C70DFB" w:rsidRDefault="0060786F" w:rsidP="000542FC">
      <w:pPr>
        <w:pStyle w:val="Paragraph"/>
        <w:numPr>
          <w:ilvl w:val="0"/>
          <w:numId w:val="26"/>
        </w:numPr>
        <w:spacing w:after="0" w:line="480" w:lineRule="auto"/>
        <w:ind w:left="426"/>
        <w:rPr>
          <w:rFonts w:cs="Arial"/>
          <w:color w:val="000000"/>
          <w:sz w:val="22"/>
          <w:szCs w:val="22"/>
          <w:lang w:val="en-GB"/>
        </w:rPr>
      </w:pPr>
      <w:r w:rsidRPr="00C70DFB">
        <w:rPr>
          <w:sz w:val="22"/>
          <w:szCs w:val="22"/>
          <w:lang w:val="de-DE"/>
        </w:rPr>
        <w:t xml:space="preserve">Galsky MD, Stensland KD, Moshier E </w:t>
      </w:r>
      <w:r w:rsidRPr="00C70DFB">
        <w:rPr>
          <w:i/>
          <w:sz w:val="22"/>
          <w:szCs w:val="22"/>
          <w:lang w:val="de-DE"/>
        </w:rPr>
        <w:t>et al</w:t>
      </w:r>
      <w:r w:rsidRPr="00C70DFB">
        <w:rPr>
          <w:sz w:val="22"/>
          <w:szCs w:val="22"/>
          <w:lang w:val="de-DE"/>
        </w:rPr>
        <w:t xml:space="preserve">. </w:t>
      </w:r>
      <w:r w:rsidRPr="00C70DFB">
        <w:rPr>
          <w:sz w:val="22"/>
          <w:szCs w:val="22"/>
          <w:lang w:val="en-GB"/>
        </w:rPr>
        <w:t xml:space="preserve">Effectiveness of adjuvant chemotherapy for locally advanced bladder cancer. </w:t>
      </w:r>
      <w:r w:rsidRPr="00C70DFB">
        <w:rPr>
          <w:i/>
          <w:sz w:val="22"/>
          <w:szCs w:val="22"/>
          <w:lang w:val="en-GB"/>
        </w:rPr>
        <w:t>J. Clin. Oncol.</w:t>
      </w:r>
      <w:r w:rsidRPr="00C70DFB">
        <w:rPr>
          <w:sz w:val="22"/>
          <w:szCs w:val="22"/>
          <w:lang w:val="en-GB"/>
        </w:rPr>
        <w:t xml:space="preserve"> 34(8), 825–832 (2016).</w:t>
      </w:r>
      <w:r w:rsidRPr="00C70DFB">
        <w:rPr>
          <w:rFonts w:cs="Arial"/>
          <w:color w:val="000000"/>
          <w:sz w:val="22"/>
          <w:szCs w:val="22"/>
          <w:lang w:val="en-GB"/>
        </w:rPr>
        <w:t xml:space="preserve"> </w:t>
      </w:r>
    </w:p>
    <w:p w14:paraId="065FF1BE" w14:textId="69634D95" w:rsidR="00C70DFB" w:rsidRPr="00C70DFB" w:rsidRDefault="00C70DFB" w:rsidP="000542FC">
      <w:pPr>
        <w:pStyle w:val="Paragraph"/>
        <w:numPr>
          <w:ilvl w:val="0"/>
          <w:numId w:val="26"/>
        </w:numPr>
        <w:spacing w:after="0" w:line="480" w:lineRule="auto"/>
        <w:ind w:left="426"/>
        <w:rPr>
          <w:rFonts w:cs="Arial"/>
          <w:color w:val="000000"/>
          <w:sz w:val="22"/>
          <w:szCs w:val="22"/>
          <w:lang w:val="en-GB"/>
        </w:rPr>
      </w:pPr>
      <w:r w:rsidRPr="00C70DFB">
        <w:rPr>
          <w:rFonts w:cs="Arial"/>
          <w:color w:val="000000"/>
          <w:sz w:val="22"/>
          <w:szCs w:val="22"/>
          <w:lang w:val="en-GB"/>
        </w:rPr>
        <w:t xml:space="preserve">Novello S, Mazières J, Oh IJ, </w:t>
      </w:r>
      <w:r w:rsidR="000542FC" w:rsidRPr="00330802">
        <w:rPr>
          <w:rFonts w:cs="Arial"/>
          <w:i/>
          <w:color w:val="000000"/>
          <w:sz w:val="22"/>
          <w:szCs w:val="22"/>
          <w:lang w:val="en-GB"/>
        </w:rPr>
        <w:t>et al</w:t>
      </w:r>
      <w:r w:rsidRPr="00330802">
        <w:rPr>
          <w:rFonts w:cs="Arial"/>
          <w:i/>
          <w:color w:val="000000"/>
          <w:sz w:val="22"/>
          <w:szCs w:val="22"/>
          <w:lang w:val="en-GB"/>
        </w:rPr>
        <w:t>.</w:t>
      </w:r>
      <w:r w:rsidRPr="00C70DFB">
        <w:rPr>
          <w:rFonts w:cs="Arial"/>
          <w:color w:val="000000"/>
          <w:sz w:val="22"/>
          <w:szCs w:val="22"/>
          <w:lang w:val="en-GB"/>
        </w:rPr>
        <w:t xml:space="preserve"> Alectinib versus chemotherapy in crizotinib-pretreated anaplastic lymphoma kinase (ALK)-positive non-small-cell lung cancer: results from the phase III ALUR study. </w:t>
      </w:r>
      <w:r w:rsidRPr="00330802">
        <w:rPr>
          <w:rFonts w:cs="Arial"/>
          <w:i/>
          <w:color w:val="000000"/>
          <w:sz w:val="22"/>
          <w:szCs w:val="22"/>
          <w:lang w:val="en-GB"/>
        </w:rPr>
        <w:t xml:space="preserve">Ann </w:t>
      </w:r>
      <w:r w:rsidR="000542FC">
        <w:rPr>
          <w:rFonts w:cs="Arial"/>
          <w:i/>
          <w:color w:val="000000"/>
          <w:sz w:val="22"/>
          <w:szCs w:val="22"/>
          <w:lang w:val="en-GB"/>
        </w:rPr>
        <w:t>Oncol</w:t>
      </w:r>
      <w:r w:rsidRPr="00C70DFB">
        <w:rPr>
          <w:rFonts w:cs="Arial"/>
          <w:color w:val="000000"/>
          <w:sz w:val="22"/>
          <w:szCs w:val="22"/>
          <w:lang w:val="en-GB"/>
        </w:rPr>
        <w:t xml:space="preserve">. 2018 </w:t>
      </w:r>
      <w:r w:rsidR="000542FC">
        <w:rPr>
          <w:rFonts w:cs="Arial"/>
          <w:color w:val="000000"/>
          <w:sz w:val="22"/>
          <w:szCs w:val="22"/>
          <w:lang w:val="en-GB"/>
        </w:rPr>
        <w:t>(In press)</w:t>
      </w:r>
      <w:r w:rsidRPr="00C70DFB">
        <w:rPr>
          <w:rFonts w:cs="Arial"/>
          <w:color w:val="000000"/>
          <w:sz w:val="22"/>
          <w:szCs w:val="22"/>
          <w:lang w:val="en-GB"/>
        </w:rPr>
        <w:t>.</w:t>
      </w:r>
    </w:p>
    <w:p w14:paraId="281C7761" w14:textId="53F0EC07" w:rsidR="000542FC" w:rsidRDefault="00C70DFB" w:rsidP="00330802">
      <w:pPr>
        <w:pStyle w:val="Paragraph"/>
        <w:numPr>
          <w:ilvl w:val="0"/>
          <w:numId w:val="26"/>
        </w:numPr>
        <w:spacing w:after="0" w:line="480" w:lineRule="auto"/>
        <w:ind w:left="426"/>
        <w:rPr>
          <w:rFonts w:cs="Arial"/>
          <w:color w:val="000000"/>
          <w:sz w:val="22"/>
          <w:szCs w:val="22"/>
          <w:lang w:val="en-GB"/>
        </w:rPr>
      </w:pPr>
      <w:r w:rsidRPr="00C70DFB">
        <w:rPr>
          <w:rFonts w:cs="Arial"/>
          <w:color w:val="000000"/>
          <w:sz w:val="22"/>
          <w:szCs w:val="22"/>
          <w:lang w:val="en-GB"/>
        </w:rPr>
        <w:t xml:space="preserve">Peters S, Camidge DR, Shaw AT, </w:t>
      </w:r>
      <w:r w:rsidR="000542FC" w:rsidRPr="00330802">
        <w:rPr>
          <w:rFonts w:cs="Arial"/>
          <w:i/>
          <w:color w:val="000000"/>
          <w:sz w:val="22"/>
          <w:szCs w:val="22"/>
          <w:lang w:val="en-GB"/>
        </w:rPr>
        <w:t>et al</w:t>
      </w:r>
      <w:r w:rsidRPr="00C70DFB">
        <w:rPr>
          <w:rFonts w:cs="Arial"/>
          <w:color w:val="000000"/>
          <w:sz w:val="22"/>
          <w:szCs w:val="22"/>
          <w:lang w:val="en-GB"/>
        </w:rPr>
        <w:t>. Alectinib versus crizotinib in untreated ALK-positive</w:t>
      </w:r>
      <w:r w:rsidR="000542FC">
        <w:rPr>
          <w:rFonts w:cs="Arial"/>
          <w:color w:val="000000"/>
          <w:sz w:val="22"/>
          <w:szCs w:val="22"/>
          <w:lang w:val="en-GB"/>
        </w:rPr>
        <w:t xml:space="preserve"> non–small-cell lung cancer. </w:t>
      </w:r>
      <w:r w:rsidR="000542FC" w:rsidRPr="00330802">
        <w:rPr>
          <w:rFonts w:cs="Arial"/>
          <w:i/>
          <w:color w:val="000000"/>
          <w:sz w:val="22"/>
          <w:szCs w:val="22"/>
          <w:lang w:val="en-GB"/>
        </w:rPr>
        <w:t>N</w:t>
      </w:r>
      <w:r w:rsidRPr="00330802">
        <w:rPr>
          <w:rFonts w:cs="Arial"/>
          <w:i/>
          <w:color w:val="000000"/>
          <w:sz w:val="22"/>
          <w:szCs w:val="22"/>
          <w:lang w:val="en-GB"/>
        </w:rPr>
        <w:t xml:space="preserve"> Engl</w:t>
      </w:r>
      <w:r w:rsidR="000542FC" w:rsidRPr="00330802">
        <w:rPr>
          <w:rFonts w:cs="Arial"/>
          <w:i/>
          <w:color w:val="000000"/>
          <w:sz w:val="22"/>
          <w:szCs w:val="22"/>
          <w:lang w:val="en-GB"/>
        </w:rPr>
        <w:t xml:space="preserve"> J Med</w:t>
      </w:r>
      <w:r w:rsidR="000542FC">
        <w:rPr>
          <w:rFonts w:cs="Arial"/>
          <w:color w:val="000000"/>
          <w:sz w:val="22"/>
          <w:szCs w:val="22"/>
          <w:lang w:val="en-GB"/>
        </w:rPr>
        <w:t xml:space="preserve">. </w:t>
      </w:r>
      <w:r w:rsidR="00527EEF">
        <w:rPr>
          <w:rFonts w:cs="Arial"/>
          <w:color w:val="000000"/>
          <w:sz w:val="22"/>
          <w:szCs w:val="22"/>
          <w:lang w:val="en-GB"/>
        </w:rPr>
        <w:t xml:space="preserve">377(9), </w:t>
      </w:r>
      <w:r w:rsidR="000542FC">
        <w:rPr>
          <w:rFonts w:cs="Arial"/>
          <w:color w:val="000000"/>
          <w:sz w:val="22"/>
          <w:szCs w:val="22"/>
          <w:lang w:val="en-GB"/>
        </w:rPr>
        <w:t>829–</w:t>
      </w:r>
      <w:r w:rsidR="00527EEF">
        <w:rPr>
          <w:rFonts w:cs="Arial"/>
          <w:color w:val="000000"/>
          <w:sz w:val="22"/>
          <w:szCs w:val="22"/>
          <w:lang w:val="en-GB"/>
        </w:rPr>
        <w:t>8</w:t>
      </w:r>
      <w:r w:rsidR="000542FC">
        <w:rPr>
          <w:rFonts w:cs="Arial"/>
          <w:color w:val="000000"/>
          <w:sz w:val="22"/>
          <w:szCs w:val="22"/>
          <w:lang w:val="en-GB"/>
        </w:rPr>
        <w:t>38</w:t>
      </w:r>
      <w:r w:rsidR="000542FC" w:rsidRPr="000542FC">
        <w:rPr>
          <w:rFonts w:cs="Arial"/>
          <w:color w:val="000000"/>
          <w:sz w:val="22"/>
          <w:szCs w:val="22"/>
          <w:lang w:val="en-GB"/>
        </w:rPr>
        <w:t xml:space="preserve"> </w:t>
      </w:r>
      <w:r w:rsidR="000542FC">
        <w:rPr>
          <w:rFonts w:cs="Arial"/>
          <w:color w:val="000000"/>
          <w:sz w:val="22"/>
          <w:szCs w:val="22"/>
          <w:lang w:val="en-GB"/>
        </w:rPr>
        <w:t>(</w:t>
      </w:r>
      <w:r w:rsidR="000542FC" w:rsidRPr="00335EAA">
        <w:rPr>
          <w:rFonts w:cs="Arial"/>
          <w:color w:val="000000"/>
          <w:sz w:val="22"/>
          <w:szCs w:val="22"/>
          <w:lang w:val="en-GB"/>
        </w:rPr>
        <w:t>2017</w:t>
      </w:r>
      <w:r w:rsidR="000542FC" w:rsidRPr="000542FC">
        <w:rPr>
          <w:rFonts w:cs="Arial"/>
          <w:color w:val="000000"/>
          <w:sz w:val="22"/>
          <w:szCs w:val="22"/>
          <w:lang w:val="en-GB"/>
        </w:rPr>
        <w:t>)</w:t>
      </w:r>
      <w:r w:rsidR="00527EEF">
        <w:rPr>
          <w:rFonts w:cs="Arial"/>
          <w:color w:val="000000"/>
          <w:sz w:val="22"/>
          <w:szCs w:val="22"/>
          <w:lang w:val="en-GB"/>
        </w:rPr>
        <w:t>.</w:t>
      </w:r>
    </w:p>
    <w:p w14:paraId="2FDE5757" w14:textId="444FC4D3" w:rsidR="00C70DFB" w:rsidRPr="000542FC" w:rsidRDefault="0060786F" w:rsidP="00330802">
      <w:pPr>
        <w:pStyle w:val="Paragraph"/>
        <w:numPr>
          <w:ilvl w:val="0"/>
          <w:numId w:val="26"/>
        </w:numPr>
        <w:spacing w:after="0" w:line="480" w:lineRule="auto"/>
        <w:ind w:left="426"/>
        <w:rPr>
          <w:rFonts w:cs="Arial"/>
          <w:color w:val="000000"/>
          <w:sz w:val="22"/>
          <w:szCs w:val="22"/>
          <w:lang w:val="en-GB"/>
        </w:rPr>
      </w:pPr>
      <w:r w:rsidRPr="000542FC">
        <w:rPr>
          <w:rFonts w:cs="Arial"/>
          <w:color w:val="000000"/>
          <w:sz w:val="22"/>
          <w:szCs w:val="22"/>
          <w:lang w:val="en-GB"/>
        </w:rPr>
        <w:t xml:space="preserve">Davies J, Patel M, Gridelli C, de Marinis F, Waterkamp D, McCusker ME. Real-world treatment patterns for patients receiving second-line and third-line treatment for advanced non-small cell lung cancer: a systematic review of recently published studies. </w:t>
      </w:r>
      <w:r w:rsidRPr="000542FC">
        <w:rPr>
          <w:rFonts w:cs="Arial"/>
          <w:i/>
          <w:color w:val="000000"/>
          <w:sz w:val="22"/>
          <w:szCs w:val="22"/>
          <w:lang w:val="en-GB"/>
        </w:rPr>
        <w:t>PLoS One</w:t>
      </w:r>
      <w:r w:rsidR="00527EEF">
        <w:rPr>
          <w:rFonts w:cs="Arial"/>
          <w:i/>
          <w:color w:val="000000"/>
          <w:sz w:val="22"/>
          <w:szCs w:val="22"/>
          <w:lang w:val="en-GB"/>
        </w:rPr>
        <w:t>.</w:t>
      </w:r>
      <w:r w:rsidRPr="000542FC">
        <w:rPr>
          <w:rFonts w:cs="Arial"/>
          <w:color w:val="000000"/>
          <w:sz w:val="22"/>
          <w:szCs w:val="22"/>
          <w:lang w:val="en-GB"/>
        </w:rPr>
        <w:t xml:space="preserve"> 12(4), e0175679 (2017).</w:t>
      </w:r>
    </w:p>
    <w:p w14:paraId="4886A6B5" w14:textId="77B1592C" w:rsidR="00C70DFB" w:rsidRPr="00330802" w:rsidRDefault="00C70DFB" w:rsidP="00330802">
      <w:pPr>
        <w:pStyle w:val="Paragraph"/>
        <w:numPr>
          <w:ilvl w:val="0"/>
          <w:numId w:val="26"/>
        </w:numPr>
        <w:spacing w:after="0" w:line="480" w:lineRule="auto"/>
        <w:rPr>
          <w:rFonts w:cs="Arial"/>
          <w:color w:val="000000"/>
        </w:rPr>
      </w:pPr>
      <w:r w:rsidRPr="00330802">
        <w:rPr>
          <w:rFonts w:cs="Arial"/>
          <w:color w:val="222222"/>
          <w:sz w:val="22"/>
          <w:szCs w:val="22"/>
          <w:shd w:val="clear" w:color="auto" w:fill="FFFFFF"/>
        </w:rPr>
        <w:t xml:space="preserve">Misunderstandings between experimentalists and observationalists about causal inference. </w:t>
      </w:r>
      <w:r w:rsidR="000542FC" w:rsidRPr="00330802">
        <w:rPr>
          <w:rFonts w:cs="Arial"/>
          <w:i/>
          <w:color w:val="222222"/>
          <w:sz w:val="22"/>
          <w:szCs w:val="22"/>
          <w:shd w:val="clear" w:color="auto" w:fill="FFFFFF"/>
        </w:rPr>
        <w:t xml:space="preserve">J R Stat Soc Ser A Stat Soc. </w:t>
      </w:r>
      <w:r w:rsidR="000542FC" w:rsidRPr="00330802">
        <w:rPr>
          <w:rFonts w:cs="Arial"/>
          <w:color w:val="222222"/>
          <w:sz w:val="22"/>
          <w:szCs w:val="22"/>
          <w:shd w:val="clear" w:color="auto" w:fill="FFFFFF"/>
        </w:rPr>
        <w:t>171(2), 481</w:t>
      </w:r>
      <w:r w:rsidR="000542FC">
        <w:rPr>
          <w:rFonts w:cs="Arial"/>
          <w:color w:val="222222"/>
          <w:sz w:val="22"/>
          <w:szCs w:val="22"/>
          <w:shd w:val="clear" w:color="auto" w:fill="FFFFFF"/>
        </w:rPr>
        <w:t>–</w:t>
      </w:r>
      <w:r w:rsidR="000542FC" w:rsidRPr="00330802">
        <w:rPr>
          <w:rFonts w:cs="Arial"/>
          <w:color w:val="222222"/>
          <w:sz w:val="22"/>
          <w:szCs w:val="22"/>
          <w:shd w:val="clear" w:color="auto" w:fill="FFFFFF"/>
        </w:rPr>
        <w:t>502</w:t>
      </w:r>
      <w:r w:rsidR="000542FC" w:rsidRPr="000542FC">
        <w:rPr>
          <w:rFonts w:cs="Arial"/>
          <w:color w:val="222222"/>
          <w:sz w:val="22"/>
          <w:szCs w:val="22"/>
          <w:shd w:val="clear" w:color="auto" w:fill="FFFFFF"/>
        </w:rPr>
        <w:t xml:space="preserve"> </w:t>
      </w:r>
      <w:r w:rsidR="000542FC">
        <w:rPr>
          <w:rFonts w:cs="Arial"/>
          <w:color w:val="222222"/>
          <w:sz w:val="22"/>
          <w:szCs w:val="22"/>
          <w:shd w:val="clear" w:color="auto" w:fill="FFFFFF"/>
        </w:rPr>
        <w:t>(</w:t>
      </w:r>
      <w:r w:rsidR="000542FC" w:rsidRPr="00570C0C">
        <w:rPr>
          <w:rFonts w:cs="Arial"/>
          <w:color w:val="222222"/>
          <w:sz w:val="22"/>
          <w:szCs w:val="22"/>
          <w:shd w:val="clear" w:color="auto" w:fill="FFFFFF"/>
        </w:rPr>
        <w:t>2008</w:t>
      </w:r>
      <w:r w:rsidR="000542FC">
        <w:rPr>
          <w:rFonts w:cs="Arial"/>
          <w:color w:val="222222"/>
          <w:sz w:val="22"/>
          <w:szCs w:val="22"/>
          <w:shd w:val="clear" w:color="auto" w:fill="FFFFFF"/>
        </w:rPr>
        <w:t>).</w:t>
      </w:r>
    </w:p>
    <w:p w14:paraId="7B3521C1" w14:textId="113B65A3" w:rsidR="00C70DFB" w:rsidRPr="00330802" w:rsidRDefault="00C70DFB" w:rsidP="00330802">
      <w:pPr>
        <w:pStyle w:val="Paragraph"/>
        <w:numPr>
          <w:ilvl w:val="0"/>
          <w:numId w:val="26"/>
        </w:numPr>
        <w:spacing w:after="0" w:line="480" w:lineRule="auto"/>
        <w:rPr>
          <w:rFonts w:cs="Arial"/>
          <w:color w:val="000000"/>
        </w:rPr>
      </w:pPr>
      <w:r w:rsidRPr="00330802">
        <w:rPr>
          <w:rFonts w:eastAsia="Times New Roman" w:cs="Arial"/>
          <w:sz w:val="22"/>
          <w:szCs w:val="22"/>
        </w:rPr>
        <w:t xml:space="preserve">Curtis MD, Griffith SD, Tucker M, </w:t>
      </w:r>
      <w:r w:rsidR="000542FC" w:rsidRPr="00330802">
        <w:rPr>
          <w:rFonts w:eastAsia="Times New Roman" w:cs="Arial"/>
          <w:i/>
          <w:sz w:val="22"/>
          <w:szCs w:val="22"/>
        </w:rPr>
        <w:t>et al</w:t>
      </w:r>
      <w:r w:rsidRPr="00330802">
        <w:rPr>
          <w:rFonts w:eastAsia="Times New Roman" w:cs="Arial"/>
          <w:i/>
          <w:sz w:val="22"/>
          <w:szCs w:val="22"/>
        </w:rPr>
        <w:t>.</w:t>
      </w:r>
      <w:r w:rsidRPr="00330802">
        <w:rPr>
          <w:rFonts w:eastAsia="Times New Roman" w:cs="Arial"/>
          <w:sz w:val="22"/>
          <w:szCs w:val="22"/>
        </w:rPr>
        <w:t xml:space="preserve"> Development and Validation of a High</w:t>
      </w:r>
      <w:r w:rsidRPr="00330802">
        <w:rPr>
          <w:rFonts w:ascii="Cambria Math" w:eastAsia="Times New Roman" w:hAnsi="Cambria Math" w:cs="Cambria Math"/>
          <w:sz w:val="22"/>
          <w:szCs w:val="22"/>
        </w:rPr>
        <w:t>‐</w:t>
      </w:r>
      <w:r w:rsidRPr="00330802">
        <w:rPr>
          <w:rFonts w:eastAsia="Times New Roman" w:cs="Arial"/>
          <w:sz w:val="22"/>
          <w:szCs w:val="22"/>
        </w:rPr>
        <w:t>Quality Composite Real</w:t>
      </w:r>
      <w:r w:rsidRPr="00330802">
        <w:rPr>
          <w:rFonts w:ascii="Cambria Math" w:eastAsia="Times New Roman" w:hAnsi="Cambria Math" w:cs="Cambria Math"/>
          <w:sz w:val="22"/>
          <w:szCs w:val="22"/>
        </w:rPr>
        <w:t>‐</w:t>
      </w:r>
      <w:r w:rsidRPr="00330802">
        <w:rPr>
          <w:rFonts w:eastAsia="Times New Roman" w:cs="Arial"/>
          <w:sz w:val="22"/>
          <w:szCs w:val="22"/>
        </w:rPr>
        <w:t xml:space="preserve">World Mortality Endpoint. </w:t>
      </w:r>
      <w:r w:rsidR="000542FC" w:rsidRPr="00330802">
        <w:rPr>
          <w:rFonts w:eastAsia="Times New Roman" w:cs="Arial"/>
          <w:i/>
          <w:sz w:val="22"/>
          <w:szCs w:val="22"/>
        </w:rPr>
        <w:t>Health S</w:t>
      </w:r>
      <w:r w:rsidRPr="00330802">
        <w:rPr>
          <w:rFonts w:eastAsia="Times New Roman" w:cs="Arial"/>
          <w:i/>
          <w:sz w:val="22"/>
          <w:szCs w:val="22"/>
        </w:rPr>
        <w:t>erv</w:t>
      </w:r>
      <w:r w:rsidR="000542FC" w:rsidRPr="00330802">
        <w:rPr>
          <w:rFonts w:eastAsia="Times New Roman" w:cs="Arial"/>
          <w:i/>
          <w:sz w:val="22"/>
          <w:szCs w:val="22"/>
        </w:rPr>
        <w:t xml:space="preserve"> R</w:t>
      </w:r>
      <w:r w:rsidRPr="00330802">
        <w:rPr>
          <w:rFonts w:eastAsia="Times New Roman" w:cs="Arial"/>
          <w:i/>
          <w:sz w:val="22"/>
          <w:szCs w:val="22"/>
        </w:rPr>
        <w:t>es.</w:t>
      </w:r>
      <w:r w:rsidRPr="00330802">
        <w:rPr>
          <w:rFonts w:eastAsia="Times New Roman" w:cs="Arial"/>
          <w:sz w:val="22"/>
          <w:szCs w:val="22"/>
        </w:rPr>
        <w:t xml:space="preserve"> 2018 May 14.</w:t>
      </w:r>
      <w:r w:rsidR="000542FC">
        <w:rPr>
          <w:rFonts w:eastAsia="Times New Roman" w:cs="Arial"/>
          <w:sz w:val="22"/>
          <w:szCs w:val="22"/>
        </w:rPr>
        <w:t xml:space="preserve"> </w:t>
      </w:r>
      <w:r w:rsidR="000542FC" w:rsidRPr="000542FC">
        <w:rPr>
          <w:rFonts w:eastAsia="Times New Roman" w:cs="Arial"/>
          <w:sz w:val="22"/>
          <w:szCs w:val="22"/>
        </w:rPr>
        <w:t>[Epub ahead of print]</w:t>
      </w:r>
      <w:r w:rsidR="000542FC">
        <w:rPr>
          <w:rFonts w:eastAsia="Times New Roman" w:cs="Arial"/>
          <w:sz w:val="22"/>
          <w:szCs w:val="22"/>
        </w:rPr>
        <w:t>.</w:t>
      </w:r>
    </w:p>
    <w:p w14:paraId="010693C7" w14:textId="2D0122DF" w:rsidR="00C70DFB" w:rsidRPr="00330802" w:rsidRDefault="00C70DFB" w:rsidP="00330802">
      <w:pPr>
        <w:pStyle w:val="Paragraph"/>
        <w:numPr>
          <w:ilvl w:val="0"/>
          <w:numId w:val="26"/>
        </w:numPr>
        <w:spacing w:after="0" w:line="480" w:lineRule="auto"/>
        <w:ind w:left="426"/>
        <w:rPr>
          <w:rFonts w:cs="Arial"/>
          <w:color w:val="000000"/>
        </w:rPr>
      </w:pPr>
      <w:r w:rsidRPr="00330802">
        <w:rPr>
          <w:rFonts w:eastAsia="Times New Roman" w:cs="Arial"/>
          <w:sz w:val="22"/>
          <w:szCs w:val="22"/>
        </w:rPr>
        <w:lastRenderedPageBreak/>
        <w:t xml:space="preserve">Yang JC, Ou SH, De Petris L, </w:t>
      </w:r>
      <w:r w:rsidR="000542FC" w:rsidRPr="00330802">
        <w:rPr>
          <w:rFonts w:eastAsia="Times New Roman" w:cs="Arial"/>
          <w:i/>
          <w:sz w:val="22"/>
          <w:szCs w:val="22"/>
        </w:rPr>
        <w:t>et al.</w:t>
      </w:r>
      <w:r w:rsidRPr="00330802">
        <w:rPr>
          <w:rFonts w:eastAsia="Times New Roman" w:cs="Arial"/>
          <w:sz w:val="22"/>
          <w:szCs w:val="22"/>
        </w:rPr>
        <w:t xml:space="preserve"> Pooled Systemic Efficacy and Safety Data from the Pivotal Phase II Studies (NP28673 and NP28761) of Alectinib in ALK-positive Non-Small Cell Lung C</w:t>
      </w:r>
      <w:r w:rsidR="000542FC" w:rsidRPr="00330802">
        <w:rPr>
          <w:rFonts w:eastAsia="Times New Roman" w:cs="Arial"/>
          <w:sz w:val="22"/>
          <w:szCs w:val="22"/>
        </w:rPr>
        <w:t xml:space="preserve">ancer. </w:t>
      </w:r>
      <w:r w:rsidR="000542FC" w:rsidRPr="00330802">
        <w:rPr>
          <w:rFonts w:eastAsia="Times New Roman" w:cs="Arial"/>
          <w:i/>
          <w:sz w:val="22"/>
          <w:szCs w:val="22"/>
        </w:rPr>
        <w:t>J</w:t>
      </w:r>
      <w:r w:rsidRPr="00330802">
        <w:rPr>
          <w:rFonts w:eastAsia="Times New Roman" w:cs="Arial"/>
          <w:i/>
          <w:sz w:val="22"/>
          <w:szCs w:val="22"/>
        </w:rPr>
        <w:t xml:space="preserve"> Thorac</w:t>
      </w:r>
      <w:r w:rsidR="000542FC" w:rsidRPr="00330802">
        <w:rPr>
          <w:rFonts w:eastAsia="Times New Roman" w:cs="Arial"/>
          <w:i/>
          <w:sz w:val="22"/>
          <w:szCs w:val="22"/>
        </w:rPr>
        <w:t xml:space="preserve"> Oncol</w:t>
      </w:r>
      <w:r w:rsidRPr="00330802">
        <w:rPr>
          <w:rFonts w:eastAsia="Times New Roman" w:cs="Arial"/>
          <w:sz w:val="22"/>
          <w:szCs w:val="22"/>
        </w:rPr>
        <w:t xml:space="preserve">. </w:t>
      </w:r>
      <w:r w:rsidR="000542FC" w:rsidRPr="00330802">
        <w:rPr>
          <w:rFonts w:eastAsia="Times New Roman" w:cs="Arial"/>
          <w:sz w:val="22"/>
          <w:szCs w:val="22"/>
        </w:rPr>
        <w:t>12(10), 1552</w:t>
      </w:r>
      <w:r w:rsidR="000542FC">
        <w:rPr>
          <w:rFonts w:eastAsia="Times New Roman" w:cs="Arial"/>
          <w:sz w:val="22"/>
          <w:szCs w:val="22"/>
        </w:rPr>
        <w:t>–</w:t>
      </w:r>
      <w:r w:rsidR="000542FC" w:rsidRPr="00330802">
        <w:rPr>
          <w:rFonts w:eastAsia="Times New Roman" w:cs="Arial"/>
          <w:sz w:val="22"/>
          <w:szCs w:val="22"/>
        </w:rPr>
        <w:t>60</w:t>
      </w:r>
      <w:r w:rsidR="000542FC" w:rsidRPr="000542FC">
        <w:rPr>
          <w:rFonts w:eastAsia="Times New Roman" w:cs="Arial"/>
          <w:sz w:val="22"/>
          <w:szCs w:val="22"/>
        </w:rPr>
        <w:t xml:space="preserve"> </w:t>
      </w:r>
      <w:r w:rsidR="000542FC">
        <w:rPr>
          <w:rFonts w:eastAsia="Times New Roman" w:cs="Arial"/>
          <w:sz w:val="22"/>
          <w:szCs w:val="22"/>
        </w:rPr>
        <w:t>(</w:t>
      </w:r>
      <w:r w:rsidR="000542FC" w:rsidRPr="00D26B8B">
        <w:rPr>
          <w:rFonts w:eastAsia="Times New Roman" w:cs="Arial"/>
          <w:sz w:val="22"/>
          <w:szCs w:val="22"/>
        </w:rPr>
        <w:t>2017</w:t>
      </w:r>
      <w:r w:rsidR="000542FC">
        <w:rPr>
          <w:rFonts w:eastAsia="Times New Roman" w:cs="Arial"/>
          <w:sz w:val="22"/>
          <w:szCs w:val="22"/>
        </w:rPr>
        <w:t>).</w:t>
      </w:r>
    </w:p>
    <w:p w14:paraId="377845A8" w14:textId="77777777" w:rsidR="00C70DFB" w:rsidRDefault="00C70DFB" w:rsidP="00330802">
      <w:pPr>
        <w:pStyle w:val="Paragraph"/>
        <w:spacing w:after="0" w:line="480" w:lineRule="auto"/>
        <w:rPr>
          <w:rFonts w:cs="Arial"/>
          <w:color w:val="000000"/>
          <w:sz w:val="22"/>
          <w:szCs w:val="22"/>
          <w:lang w:val="en-GB"/>
        </w:rPr>
      </w:pPr>
    </w:p>
    <w:p w14:paraId="0D502417" w14:textId="77777777" w:rsidR="0060786F" w:rsidRDefault="0060786F" w:rsidP="0060786F">
      <w:pPr>
        <w:rPr>
          <w:rFonts w:ascii="Arial" w:hAnsi="Arial" w:cs="Arial"/>
          <w:b/>
          <w:color w:val="000000"/>
        </w:rPr>
      </w:pPr>
    </w:p>
    <w:p w14:paraId="56852DB1" w14:textId="14F4214A" w:rsidR="0060786F" w:rsidRDefault="0060786F" w:rsidP="005F3FEB">
      <w:pPr>
        <w:spacing w:line="360" w:lineRule="auto"/>
        <w:rPr>
          <w:rFonts w:ascii="Arial" w:hAnsi="Arial" w:cs="Arial"/>
          <w:color w:val="000000"/>
        </w:rPr>
      </w:pPr>
      <w:r w:rsidRPr="007A3F8A">
        <w:rPr>
          <w:rFonts w:ascii="Arial" w:hAnsi="Arial" w:cs="Arial"/>
          <w:color w:val="000000"/>
        </w:rPr>
        <w:t>*</w:t>
      </w:r>
      <w:r>
        <w:rPr>
          <w:rFonts w:ascii="Arial" w:hAnsi="Arial" w:cs="Arial"/>
          <w:color w:val="000000"/>
        </w:rPr>
        <w:t xml:space="preserve"> </w:t>
      </w:r>
      <w:r w:rsidR="007745B6">
        <w:rPr>
          <w:rFonts w:ascii="Arial" w:hAnsi="Arial" w:cs="Arial"/>
          <w:color w:val="000000"/>
        </w:rPr>
        <w:t>O</w:t>
      </w:r>
      <w:r>
        <w:rPr>
          <w:rFonts w:ascii="Arial" w:hAnsi="Arial" w:cs="Arial"/>
          <w:color w:val="000000"/>
        </w:rPr>
        <w:t>f interest for the disease area</w:t>
      </w:r>
      <w:r w:rsidR="005B6F2E">
        <w:rPr>
          <w:rFonts w:ascii="Arial" w:hAnsi="Arial" w:cs="Arial"/>
          <w:color w:val="000000"/>
        </w:rPr>
        <w:t xml:space="preserve"> or methodology used</w:t>
      </w:r>
      <w:r>
        <w:rPr>
          <w:rFonts w:ascii="Arial" w:hAnsi="Arial" w:cs="Arial"/>
          <w:color w:val="000000"/>
        </w:rPr>
        <w:t>. To conduct this study, the results and interpretation of alectinib and ceritinib trials were vital to providing the data and insights for the results</w:t>
      </w:r>
      <w:r w:rsidR="005B6F2E">
        <w:rPr>
          <w:rFonts w:ascii="Arial" w:hAnsi="Arial" w:cs="Arial"/>
          <w:color w:val="000000"/>
        </w:rPr>
        <w:t>.</w:t>
      </w:r>
      <w:r w:rsidR="005B6F2E" w:rsidRPr="005B6F2E">
        <w:rPr>
          <w:rFonts w:ascii="Arial" w:hAnsi="Arial" w:cs="Arial"/>
          <w:color w:val="000000"/>
        </w:rPr>
        <w:t xml:space="preserve"> </w:t>
      </w:r>
      <w:r w:rsidR="005B6F2E">
        <w:rPr>
          <w:rFonts w:ascii="Arial" w:hAnsi="Arial" w:cs="Arial"/>
          <w:color w:val="000000"/>
        </w:rPr>
        <w:t>Diamond</w:t>
      </w:r>
      <w:r w:rsidR="005B6F2E" w:rsidRPr="000A33BB">
        <w:rPr>
          <w:rFonts w:ascii="Arial" w:hAnsi="Arial" w:cs="Arial"/>
          <w:color w:val="000000"/>
        </w:rPr>
        <w:t xml:space="preserve"> and Sekhon’s publication provided the background to a novel non-propensity scoring based approach to achieving covariate balance in GenMatch; Guyot et al., provided the methodology to re-digitize patient-level data from summary characteristics.</w:t>
      </w:r>
    </w:p>
    <w:p w14:paraId="4E36C700" w14:textId="77777777" w:rsidR="0060786F" w:rsidRPr="005F3FEB" w:rsidRDefault="0060786F" w:rsidP="005F3FEB">
      <w:pPr>
        <w:spacing w:line="360" w:lineRule="auto"/>
        <w:rPr>
          <w:rFonts w:ascii="Arial" w:hAnsi="Arial" w:cs="Arial"/>
          <w:b/>
          <w:color w:val="000000"/>
        </w:rPr>
      </w:pPr>
      <w:r w:rsidRPr="005F3FEB">
        <w:rPr>
          <w:rFonts w:ascii="Arial" w:hAnsi="Arial" w:cs="Arial"/>
          <w:b/>
          <w:color w:val="000000"/>
        </w:rPr>
        <w:t xml:space="preserve">Shaw AT et al. </w:t>
      </w:r>
      <w:r w:rsidRPr="005F3FEB">
        <w:rPr>
          <w:rFonts w:ascii="Arial" w:hAnsi="Arial" w:cs="Arial"/>
          <w:b/>
          <w:i/>
          <w:color w:val="000000"/>
        </w:rPr>
        <w:t>Lancet Oncol</w:t>
      </w:r>
      <w:r w:rsidRPr="005F3FEB">
        <w:rPr>
          <w:rFonts w:ascii="Arial" w:hAnsi="Arial" w:cs="Arial"/>
          <w:b/>
          <w:color w:val="000000"/>
        </w:rPr>
        <w:t>. 17(2), 234–242 (2016).</w:t>
      </w:r>
    </w:p>
    <w:p w14:paraId="267D33D4" w14:textId="77777777" w:rsidR="0060786F" w:rsidRDefault="0060786F" w:rsidP="005F3FEB">
      <w:pPr>
        <w:spacing w:line="360" w:lineRule="auto"/>
        <w:rPr>
          <w:rFonts w:ascii="Arial" w:hAnsi="Arial" w:cs="Arial"/>
          <w:color w:val="000000"/>
        </w:rPr>
      </w:pPr>
      <w:r>
        <w:rPr>
          <w:rFonts w:ascii="Arial" w:hAnsi="Arial" w:cs="Arial"/>
          <w:color w:val="000000"/>
        </w:rPr>
        <w:t xml:space="preserve">This was a phase II study of alectinib in patients with </w:t>
      </w:r>
      <w:r w:rsidRPr="007076A5">
        <w:rPr>
          <w:rFonts w:ascii="Arial" w:hAnsi="Arial" w:cs="Arial"/>
          <w:i/>
          <w:color w:val="000000"/>
        </w:rPr>
        <w:t>ALK</w:t>
      </w:r>
      <w:r>
        <w:rPr>
          <w:rFonts w:ascii="Arial" w:hAnsi="Arial" w:cs="Arial"/>
          <w:color w:val="000000"/>
        </w:rPr>
        <w:t>+ NSCLC who progressed on crizotinib in North America. Alectinib showed clinical activity and was well tolerated, providing evidence for alectinib as a suitable treatment in this patient population.</w:t>
      </w:r>
    </w:p>
    <w:p w14:paraId="2C3A03EA" w14:textId="77777777" w:rsidR="0060786F" w:rsidRPr="005F3FEB" w:rsidRDefault="0060786F" w:rsidP="005F3FEB">
      <w:pPr>
        <w:spacing w:line="360" w:lineRule="auto"/>
        <w:rPr>
          <w:rFonts w:ascii="Arial" w:hAnsi="Arial" w:cs="Arial"/>
          <w:b/>
          <w:color w:val="000000"/>
        </w:rPr>
      </w:pPr>
      <w:r w:rsidRPr="00515993">
        <w:rPr>
          <w:rFonts w:ascii="Arial" w:hAnsi="Arial" w:cs="Arial"/>
          <w:b/>
          <w:color w:val="000000"/>
          <w:lang w:val="fr-FR"/>
        </w:rPr>
        <w:t xml:space="preserve">Ou SHI et al. </w:t>
      </w:r>
      <w:r w:rsidRPr="00515993">
        <w:rPr>
          <w:rFonts w:ascii="Arial" w:hAnsi="Arial" w:cs="Arial"/>
          <w:b/>
          <w:i/>
          <w:color w:val="000000"/>
          <w:lang w:val="fr-FR"/>
        </w:rPr>
        <w:t xml:space="preserve">J. Clin. </w:t>
      </w:r>
      <w:r w:rsidRPr="005F3FEB">
        <w:rPr>
          <w:rFonts w:ascii="Arial" w:hAnsi="Arial" w:cs="Arial"/>
          <w:b/>
          <w:i/>
          <w:color w:val="000000"/>
        </w:rPr>
        <w:t>Oncol.</w:t>
      </w:r>
      <w:r w:rsidRPr="005F3FEB">
        <w:rPr>
          <w:rFonts w:ascii="Arial" w:eastAsiaTheme="minorEastAsia" w:hAnsi="Arial" w:cs="Arial"/>
          <w:b/>
          <w:lang w:eastAsia="zh-CN"/>
        </w:rPr>
        <w:t xml:space="preserve"> </w:t>
      </w:r>
      <w:r w:rsidRPr="005F3FEB">
        <w:rPr>
          <w:rFonts w:ascii="Arial" w:hAnsi="Arial" w:cs="Arial"/>
          <w:b/>
          <w:color w:val="000000"/>
        </w:rPr>
        <w:t>34(7), 661–668 (2016).</w:t>
      </w:r>
    </w:p>
    <w:p w14:paraId="48B4EED1" w14:textId="77777777" w:rsidR="0060786F" w:rsidRPr="007A3F8A" w:rsidRDefault="0060786F" w:rsidP="005F3FEB">
      <w:pPr>
        <w:spacing w:line="360" w:lineRule="auto"/>
        <w:rPr>
          <w:rFonts w:ascii="Arial" w:hAnsi="Arial" w:cs="Arial"/>
          <w:color w:val="000000"/>
        </w:rPr>
      </w:pPr>
      <w:r>
        <w:rPr>
          <w:rFonts w:ascii="Arial" w:hAnsi="Arial" w:cs="Arial"/>
          <w:color w:val="000000"/>
        </w:rPr>
        <w:t xml:space="preserve">This was a global phase II study of alectinib in crizotinib-refractory </w:t>
      </w:r>
      <w:r w:rsidRPr="007076A5">
        <w:rPr>
          <w:rFonts w:ascii="Arial" w:hAnsi="Arial" w:cs="Arial"/>
          <w:i/>
          <w:color w:val="000000"/>
        </w:rPr>
        <w:t>ALK</w:t>
      </w:r>
      <w:r>
        <w:rPr>
          <w:rFonts w:ascii="Arial" w:hAnsi="Arial" w:cs="Arial"/>
          <w:color w:val="000000"/>
        </w:rPr>
        <w:t>+ NSCLC. Alectinib was active and well tolerated, including in patients with CNS metastases.</w:t>
      </w:r>
    </w:p>
    <w:p w14:paraId="603A945A" w14:textId="77777777" w:rsidR="0060786F" w:rsidRPr="005F3FEB" w:rsidRDefault="0060786F" w:rsidP="005F3FEB">
      <w:pPr>
        <w:spacing w:line="360" w:lineRule="auto"/>
        <w:rPr>
          <w:rFonts w:ascii="Arial" w:hAnsi="Arial" w:cs="Arial"/>
          <w:b/>
          <w:color w:val="000000"/>
        </w:rPr>
      </w:pPr>
      <w:r w:rsidRPr="005F3FEB">
        <w:rPr>
          <w:rFonts w:ascii="Arial" w:hAnsi="Arial" w:cs="Arial"/>
          <w:b/>
          <w:color w:val="000000"/>
        </w:rPr>
        <w:t xml:space="preserve">Crino L, et al. </w:t>
      </w:r>
      <w:r w:rsidRPr="005F3FEB">
        <w:rPr>
          <w:rFonts w:ascii="Arial" w:hAnsi="Arial" w:cs="Arial"/>
          <w:b/>
          <w:i/>
          <w:color w:val="000000"/>
        </w:rPr>
        <w:t>J. Clin. Oncol</w:t>
      </w:r>
      <w:r w:rsidRPr="005F3FEB">
        <w:rPr>
          <w:rFonts w:ascii="Arial" w:hAnsi="Arial" w:cs="Arial"/>
          <w:b/>
          <w:color w:val="000000"/>
        </w:rPr>
        <w:t>. 34(24), 2866–2873 (2016).</w:t>
      </w:r>
    </w:p>
    <w:p w14:paraId="425A2506" w14:textId="0990739C" w:rsidR="0060786F" w:rsidRDefault="0060786F" w:rsidP="005F3FEB">
      <w:pPr>
        <w:spacing w:line="360" w:lineRule="auto"/>
        <w:rPr>
          <w:rFonts w:ascii="Arial" w:hAnsi="Arial" w:cs="Arial"/>
          <w:color w:val="000000"/>
        </w:rPr>
      </w:pPr>
      <w:r>
        <w:rPr>
          <w:rFonts w:ascii="Arial" w:hAnsi="Arial" w:cs="Arial"/>
          <w:color w:val="000000"/>
        </w:rPr>
        <w:t xml:space="preserve">The phase II ASCEND-2 trial evaluated efficacy and safety of certinib in patients with </w:t>
      </w:r>
      <w:r>
        <w:rPr>
          <w:rFonts w:ascii="Arial" w:hAnsi="Arial" w:cs="Arial"/>
          <w:i/>
          <w:color w:val="000000"/>
        </w:rPr>
        <w:t>ALK</w:t>
      </w:r>
      <w:r>
        <w:rPr>
          <w:rFonts w:ascii="Arial" w:hAnsi="Arial" w:cs="Arial"/>
          <w:color w:val="000000"/>
        </w:rPr>
        <w:t>+ NSCLC previously treated with chemotherapy and who had progressed on crizotinib. Certinib treatment showed clinically meaningful responses, including in patients with CNS metastases</w:t>
      </w:r>
      <w:r w:rsidR="00B07A79">
        <w:rPr>
          <w:rFonts w:ascii="Arial" w:hAnsi="Arial" w:cs="Arial"/>
          <w:color w:val="000000"/>
        </w:rPr>
        <w:t>.</w:t>
      </w:r>
    </w:p>
    <w:p w14:paraId="3BA38404" w14:textId="77777777" w:rsidR="005B6F2E" w:rsidRDefault="005B6F2E" w:rsidP="005B6F2E">
      <w:pPr>
        <w:pStyle w:val="Paragraph"/>
        <w:spacing w:after="0" w:line="360" w:lineRule="auto"/>
        <w:rPr>
          <w:b/>
          <w:sz w:val="22"/>
          <w:szCs w:val="22"/>
        </w:rPr>
      </w:pPr>
      <w:r w:rsidRPr="002209AB">
        <w:rPr>
          <w:b/>
          <w:sz w:val="22"/>
          <w:szCs w:val="22"/>
          <w:lang w:val="en-GB"/>
        </w:rPr>
        <w:t xml:space="preserve">Diamond A, Sekhon JS. </w:t>
      </w:r>
      <w:r w:rsidRPr="005F3FEB">
        <w:rPr>
          <w:b/>
          <w:i/>
          <w:sz w:val="22"/>
          <w:szCs w:val="22"/>
        </w:rPr>
        <w:t>Rev. Econ. Stat.</w:t>
      </w:r>
      <w:r w:rsidRPr="005F3FEB">
        <w:rPr>
          <w:b/>
          <w:sz w:val="22"/>
          <w:szCs w:val="22"/>
        </w:rPr>
        <w:t xml:space="preserve"> 95(3), 932–945 (2013).</w:t>
      </w:r>
    </w:p>
    <w:p w14:paraId="0B0C6AAB" w14:textId="27759D79" w:rsidR="005B6F2E" w:rsidRDefault="005B6F2E" w:rsidP="005B6F2E">
      <w:pPr>
        <w:pStyle w:val="Paragraph"/>
        <w:spacing w:after="0" w:line="360" w:lineRule="auto"/>
        <w:rPr>
          <w:sz w:val="22"/>
          <w:szCs w:val="22"/>
          <w:lang w:val="en-GB"/>
        </w:rPr>
      </w:pPr>
      <w:r>
        <w:rPr>
          <w:sz w:val="22"/>
          <w:szCs w:val="22"/>
          <w:lang w:val="en-GB"/>
        </w:rPr>
        <w:t>This paper describes genetic matching, a type of multivariate matching that uses an evolutionary search algorithm to determine the weight of each covariate.</w:t>
      </w:r>
    </w:p>
    <w:p w14:paraId="6626E0C1" w14:textId="6E656FF1" w:rsidR="005B6F2E" w:rsidRDefault="005B6F2E" w:rsidP="005B6F2E">
      <w:pPr>
        <w:pStyle w:val="Paragraph"/>
        <w:spacing w:after="0" w:line="360" w:lineRule="auto"/>
        <w:rPr>
          <w:sz w:val="22"/>
          <w:szCs w:val="22"/>
          <w:lang w:val="en-GB"/>
        </w:rPr>
      </w:pPr>
    </w:p>
    <w:p w14:paraId="44847540" w14:textId="233B4946" w:rsidR="005B6F2E" w:rsidRDefault="002F6AD0" w:rsidP="005B6F2E">
      <w:pPr>
        <w:pStyle w:val="Paragraph"/>
        <w:spacing w:after="0" w:line="360" w:lineRule="auto"/>
        <w:rPr>
          <w:b/>
          <w:sz w:val="22"/>
          <w:szCs w:val="22"/>
          <w:lang w:val="en-GB"/>
        </w:rPr>
      </w:pPr>
      <w:r w:rsidRPr="00515993">
        <w:rPr>
          <w:b/>
          <w:sz w:val="22"/>
          <w:szCs w:val="22"/>
          <w:lang w:val="fr-FR"/>
        </w:rPr>
        <w:t>Guyot</w:t>
      </w:r>
      <w:r w:rsidRPr="002F6AD0">
        <w:rPr>
          <w:rFonts w:cs="Arial"/>
          <w:b/>
          <w:sz w:val="22"/>
          <w:szCs w:val="22"/>
          <w:lang w:val="fr-FR"/>
        </w:rPr>
        <w:t xml:space="preserve"> P,</w:t>
      </w:r>
      <w:r>
        <w:rPr>
          <w:rFonts w:cs="Arial"/>
          <w:sz w:val="22"/>
          <w:szCs w:val="22"/>
          <w:lang w:val="fr-FR"/>
        </w:rPr>
        <w:t xml:space="preserve"> </w:t>
      </w:r>
      <w:r>
        <w:rPr>
          <w:b/>
          <w:sz w:val="22"/>
          <w:szCs w:val="22"/>
          <w:lang w:val="fr-FR"/>
        </w:rPr>
        <w:t>Ades AE, Ouwens MJ, et al</w:t>
      </w:r>
      <w:r w:rsidRPr="00515993">
        <w:rPr>
          <w:b/>
          <w:sz w:val="22"/>
          <w:szCs w:val="22"/>
          <w:lang w:val="fr-FR"/>
        </w:rPr>
        <w:t xml:space="preserve">. </w:t>
      </w:r>
      <w:r w:rsidRPr="00F82E97">
        <w:rPr>
          <w:b/>
          <w:i/>
          <w:sz w:val="22"/>
          <w:szCs w:val="22"/>
          <w:lang w:val="en-GB"/>
        </w:rPr>
        <w:t>BMC Med Res Methodol</w:t>
      </w:r>
      <w:r>
        <w:rPr>
          <w:b/>
          <w:sz w:val="22"/>
          <w:szCs w:val="22"/>
          <w:lang w:val="en-GB"/>
        </w:rPr>
        <w:t xml:space="preserve">. </w:t>
      </w:r>
      <w:r w:rsidR="002758E8" w:rsidRPr="002758E8">
        <w:rPr>
          <w:b/>
          <w:sz w:val="22"/>
          <w:szCs w:val="22"/>
          <w:lang w:val="en-GB"/>
        </w:rPr>
        <w:t>2, 12:9 (2012).</w:t>
      </w:r>
    </w:p>
    <w:p w14:paraId="1C1CDF03" w14:textId="2A9DAEEB" w:rsidR="002F6AD0" w:rsidRPr="00F82E97" w:rsidRDefault="002F6AD0" w:rsidP="005B6F2E">
      <w:pPr>
        <w:pStyle w:val="Paragraph"/>
        <w:spacing w:after="0" w:line="360" w:lineRule="auto"/>
        <w:rPr>
          <w:sz w:val="22"/>
          <w:szCs w:val="22"/>
          <w:lang w:val="en-GB"/>
        </w:rPr>
      </w:pPr>
      <w:r>
        <w:rPr>
          <w:sz w:val="22"/>
          <w:szCs w:val="22"/>
          <w:lang w:val="en-GB"/>
        </w:rPr>
        <w:t xml:space="preserve">This paper describes a method that </w:t>
      </w:r>
      <w:r w:rsidRPr="002F6AD0">
        <w:rPr>
          <w:sz w:val="22"/>
          <w:szCs w:val="22"/>
          <w:lang w:val="en-GB"/>
        </w:rPr>
        <w:t xml:space="preserve">derives a close approximation to the original individual patient time-to-event data from </w:t>
      </w:r>
      <w:r>
        <w:rPr>
          <w:sz w:val="22"/>
          <w:szCs w:val="22"/>
          <w:lang w:val="en-GB"/>
        </w:rPr>
        <w:t>the published Kaplan</w:t>
      </w:r>
      <w:r w:rsidR="007745B6">
        <w:rPr>
          <w:sz w:val="22"/>
          <w:szCs w:val="22"/>
          <w:lang w:val="en-GB"/>
        </w:rPr>
        <w:t>-</w:t>
      </w:r>
      <w:r>
        <w:rPr>
          <w:sz w:val="22"/>
          <w:szCs w:val="22"/>
          <w:lang w:val="en-GB"/>
        </w:rPr>
        <w:t xml:space="preserve">Meier survival curves from </w:t>
      </w:r>
      <w:r w:rsidRPr="002F6AD0">
        <w:rPr>
          <w:sz w:val="22"/>
          <w:szCs w:val="22"/>
          <w:lang w:val="en-GB"/>
        </w:rPr>
        <w:t>which they were generated.</w:t>
      </w:r>
    </w:p>
    <w:p w14:paraId="05AFCBB7" w14:textId="77777777" w:rsidR="005B6F2E" w:rsidRDefault="005B6F2E" w:rsidP="005F3FEB">
      <w:pPr>
        <w:spacing w:line="360" w:lineRule="auto"/>
        <w:rPr>
          <w:rFonts w:ascii="Arial" w:hAnsi="Arial" w:cs="Arial"/>
          <w:color w:val="000000"/>
        </w:rPr>
      </w:pPr>
    </w:p>
    <w:p w14:paraId="1EFDCEF9" w14:textId="7307448F" w:rsidR="00B07A79" w:rsidRDefault="005B6F2E" w:rsidP="005B6F2E">
      <w:pPr>
        <w:spacing w:line="360" w:lineRule="auto"/>
        <w:rPr>
          <w:rFonts w:ascii="Arial" w:hAnsi="Arial" w:cs="Arial"/>
          <w:color w:val="000000"/>
        </w:rPr>
      </w:pPr>
      <w:r>
        <w:rPr>
          <w:rFonts w:ascii="Arial" w:hAnsi="Arial" w:cs="Arial"/>
          <w:color w:val="000000"/>
        </w:rPr>
        <w:lastRenderedPageBreak/>
        <w:t>**</w:t>
      </w:r>
      <w:r w:rsidR="007745B6">
        <w:rPr>
          <w:rFonts w:ascii="Arial" w:hAnsi="Arial" w:cs="Arial"/>
          <w:color w:val="000000"/>
        </w:rPr>
        <w:t>O</w:t>
      </w:r>
      <w:r>
        <w:rPr>
          <w:rFonts w:ascii="Arial" w:hAnsi="Arial" w:cs="Arial"/>
          <w:color w:val="000000"/>
        </w:rPr>
        <w:t>f considerable</w:t>
      </w:r>
      <w:r w:rsidR="00B07A79">
        <w:rPr>
          <w:rFonts w:ascii="Arial" w:hAnsi="Arial" w:cs="Arial"/>
          <w:color w:val="000000"/>
        </w:rPr>
        <w:t xml:space="preserve"> interest for </w:t>
      </w:r>
      <w:r>
        <w:rPr>
          <w:rFonts w:ascii="Arial" w:hAnsi="Arial" w:cs="Arial"/>
          <w:color w:val="000000"/>
        </w:rPr>
        <w:t>methodology used in the study.</w:t>
      </w:r>
      <w:r w:rsidRPr="005B6F2E">
        <w:rPr>
          <w:rFonts w:ascii="Arial" w:hAnsi="Arial" w:cs="Arial"/>
          <w:color w:val="000000"/>
        </w:rPr>
        <w:t xml:space="preserve"> </w:t>
      </w:r>
      <w:r>
        <w:rPr>
          <w:rFonts w:ascii="Arial" w:hAnsi="Arial" w:cs="Arial"/>
          <w:color w:val="000000"/>
        </w:rPr>
        <w:t>A</w:t>
      </w:r>
      <w:r w:rsidRPr="000A33BB">
        <w:rPr>
          <w:rFonts w:ascii="Arial" w:hAnsi="Arial" w:cs="Arial"/>
          <w:color w:val="000000"/>
        </w:rPr>
        <w:t>ustin et al.’s publications on propensity scores were essential to ou</w:t>
      </w:r>
      <w:r>
        <w:rPr>
          <w:rFonts w:ascii="Arial" w:hAnsi="Arial" w:cs="Arial"/>
          <w:color w:val="000000"/>
        </w:rPr>
        <w:t>tlining best pr</w:t>
      </w:r>
      <w:r w:rsidR="00965775">
        <w:rPr>
          <w:rFonts w:ascii="Arial" w:hAnsi="Arial" w:cs="Arial"/>
          <w:color w:val="000000"/>
        </w:rPr>
        <w:t>actices.</w:t>
      </w:r>
    </w:p>
    <w:p w14:paraId="4E3ABCD4" w14:textId="657190E4" w:rsidR="00147DD9" w:rsidRPr="00435CDE" w:rsidRDefault="00147DD9" w:rsidP="005F3FEB">
      <w:pPr>
        <w:pStyle w:val="Paragraph"/>
        <w:spacing w:after="0" w:line="360" w:lineRule="auto"/>
        <w:rPr>
          <w:sz w:val="22"/>
          <w:szCs w:val="22"/>
          <w:lang w:val="en-GB"/>
        </w:rPr>
      </w:pPr>
      <w:r w:rsidRPr="005F3FEB">
        <w:rPr>
          <w:rFonts w:cs="Arial"/>
          <w:b/>
          <w:color w:val="000000"/>
          <w:sz w:val="22"/>
          <w:szCs w:val="22"/>
        </w:rPr>
        <w:t xml:space="preserve">Austin PC, Stuart EA. </w:t>
      </w:r>
      <w:r w:rsidRPr="005F3FEB">
        <w:rPr>
          <w:b/>
          <w:i/>
          <w:sz w:val="22"/>
          <w:szCs w:val="22"/>
          <w:lang w:val="en-GB"/>
        </w:rPr>
        <w:t>Stat. Med.</w:t>
      </w:r>
      <w:r w:rsidRPr="005F3FEB">
        <w:rPr>
          <w:b/>
          <w:sz w:val="22"/>
          <w:szCs w:val="22"/>
          <w:lang w:val="en-GB"/>
        </w:rPr>
        <w:t xml:space="preserve"> 34(28), 3661–3679 (2015).</w:t>
      </w:r>
      <w:r w:rsidRPr="00C5474A">
        <w:rPr>
          <w:sz w:val="22"/>
          <w:szCs w:val="22"/>
          <w:lang w:val="en-GB"/>
        </w:rPr>
        <w:t xml:space="preserve"> </w:t>
      </w:r>
    </w:p>
    <w:p w14:paraId="50D07184" w14:textId="0936E3EE" w:rsidR="00147DD9" w:rsidRDefault="00435CDE" w:rsidP="005F3FEB">
      <w:pPr>
        <w:pStyle w:val="Paragraph"/>
        <w:spacing w:after="0" w:line="360" w:lineRule="auto"/>
        <w:rPr>
          <w:sz w:val="22"/>
          <w:szCs w:val="22"/>
          <w:lang w:val="en-GB"/>
        </w:rPr>
      </w:pPr>
      <w:r>
        <w:rPr>
          <w:sz w:val="22"/>
          <w:szCs w:val="22"/>
          <w:lang w:val="en-GB"/>
        </w:rPr>
        <w:t xml:space="preserve">This review </w:t>
      </w:r>
      <w:r w:rsidR="00FE0C27">
        <w:rPr>
          <w:sz w:val="22"/>
          <w:szCs w:val="22"/>
          <w:lang w:val="en-GB"/>
        </w:rPr>
        <w:t>describes methods to allow assessment of whether measured baseline covariates are balanced between treatment groups</w:t>
      </w:r>
      <w:r w:rsidR="009F411A">
        <w:rPr>
          <w:sz w:val="22"/>
          <w:szCs w:val="22"/>
          <w:lang w:val="en-GB"/>
        </w:rPr>
        <w:t xml:space="preserve"> </w:t>
      </w:r>
      <w:r w:rsidR="00B3790C">
        <w:rPr>
          <w:sz w:val="22"/>
          <w:szCs w:val="22"/>
          <w:lang w:val="en-GB"/>
        </w:rPr>
        <w:t>i</w:t>
      </w:r>
      <w:r w:rsidR="009F411A">
        <w:rPr>
          <w:sz w:val="22"/>
          <w:szCs w:val="22"/>
          <w:lang w:val="en-GB"/>
        </w:rPr>
        <w:t xml:space="preserve">n </w:t>
      </w:r>
      <w:r w:rsidR="00B3790C">
        <w:rPr>
          <w:sz w:val="22"/>
          <w:szCs w:val="22"/>
          <w:lang w:val="en-GB"/>
        </w:rPr>
        <w:t xml:space="preserve">a weighted sample in </w:t>
      </w:r>
      <w:r w:rsidR="009F411A">
        <w:rPr>
          <w:sz w:val="22"/>
          <w:szCs w:val="22"/>
          <w:lang w:val="en-GB"/>
        </w:rPr>
        <w:t>inverse probability treatment weighting</w:t>
      </w:r>
      <w:r w:rsidR="00B3790C">
        <w:rPr>
          <w:sz w:val="22"/>
          <w:szCs w:val="22"/>
          <w:lang w:val="en-GB"/>
        </w:rPr>
        <w:t>.</w:t>
      </w:r>
    </w:p>
    <w:p w14:paraId="19D2D1B8" w14:textId="4E64FFC5" w:rsidR="00094C18" w:rsidRDefault="00094C18" w:rsidP="005F3FEB">
      <w:pPr>
        <w:pStyle w:val="Paragraph"/>
        <w:spacing w:after="0" w:line="360" w:lineRule="auto"/>
        <w:rPr>
          <w:sz w:val="22"/>
          <w:szCs w:val="22"/>
          <w:lang w:val="en-GB"/>
        </w:rPr>
      </w:pPr>
    </w:p>
    <w:p w14:paraId="13B50628" w14:textId="65CC0247" w:rsidR="00094C18" w:rsidRDefault="00D85FC3" w:rsidP="005F3FEB">
      <w:pPr>
        <w:pStyle w:val="Paragraph"/>
        <w:spacing w:after="0" w:line="360" w:lineRule="auto"/>
        <w:rPr>
          <w:rFonts w:cs="Arial"/>
          <w:b/>
          <w:sz w:val="22"/>
          <w:szCs w:val="22"/>
          <w:shd w:val="clear" w:color="auto" w:fill="FFFFFF"/>
          <w:lang w:val="en-GB"/>
        </w:rPr>
      </w:pPr>
      <w:r>
        <w:rPr>
          <w:b/>
          <w:sz w:val="22"/>
          <w:szCs w:val="22"/>
          <w:lang w:val="en-GB"/>
        </w:rPr>
        <w:t>Austin PC</w:t>
      </w:r>
      <w:r w:rsidRPr="00D85FC3">
        <w:rPr>
          <w:b/>
          <w:sz w:val="22"/>
          <w:szCs w:val="22"/>
          <w:lang w:val="en-GB"/>
        </w:rPr>
        <w:t xml:space="preserve">. </w:t>
      </w:r>
      <w:r w:rsidRPr="005F3FEB">
        <w:rPr>
          <w:rFonts w:cs="Arial"/>
          <w:b/>
          <w:i/>
          <w:sz w:val="22"/>
          <w:szCs w:val="22"/>
          <w:shd w:val="clear" w:color="auto" w:fill="FFFFFF"/>
          <w:lang w:val="en-GB"/>
        </w:rPr>
        <w:t>Multivariate Behav. Res.</w:t>
      </w:r>
      <w:r w:rsidRPr="005F3FEB">
        <w:rPr>
          <w:rFonts w:cs="Arial"/>
          <w:b/>
          <w:sz w:val="22"/>
          <w:szCs w:val="22"/>
          <w:shd w:val="clear" w:color="auto" w:fill="FFFFFF"/>
          <w:lang w:val="en-GB"/>
        </w:rPr>
        <w:t xml:space="preserve"> 46(3), 399–424 (2011).</w:t>
      </w:r>
    </w:p>
    <w:p w14:paraId="5E804651" w14:textId="5DB84673" w:rsidR="00D85FC3" w:rsidRDefault="0004126F" w:rsidP="005F3FEB">
      <w:pPr>
        <w:pStyle w:val="Paragraph"/>
        <w:spacing w:after="0" w:line="360" w:lineRule="auto"/>
        <w:rPr>
          <w:sz w:val="22"/>
          <w:szCs w:val="22"/>
          <w:lang w:val="en-GB"/>
        </w:rPr>
      </w:pPr>
      <w:r>
        <w:rPr>
          <w:sz w:val="22"/>
          <w:szCs w:val="22"/>
          <w:lang w:val="en-GB"/>
        </w:rPr>
        <w:t xml:space="preserve">This article describes </w:t>
      </w:r>
      <w:r w:rsidR="002209AB">
        <w:rPr>
          <w:sz w:val="22"/>
          <w:szCs w:val="22"/>
          <w:lang w:val="en-GB"/>
        </w:rPr>
        <w:t>different</w:t>
      </w:r>
      <w:r>
        <w:rPr>
          <w:sz w:val="22"/>
          <w:szCs w:val="22"/>
          <w:lang w:val="en-GB"/>
        </w:rPr>
        <w:t xml:space="preserve"> propensity score methods and balance </w:t>
      </w:r>
      <w:r w:rsidR="00796E80">
        <w:rPr>
          <w:sz w:val="22"/>
          <w:szCs w:val="22"/>
          <w:lang w:val="en-GB"/>
        </w:rPr>
        <w:t>diagnostics</w:t>
      </w:r>
      <w:r>
        <w:rPr>
          <w:sz w:val="22"/>
          <w:szCs w:val="22"/>
          <w:lang w:val="en-GB"/>
        </w:rPr>
        <w:t xml:space="preserve"> for examining whether the propensity score model has been adequately specified.</w:t>
      </w:r>
    </w:p>
    <w:p w14:paraId="01738C77" w14:textId="77777777" w:rsidR="002209AB" w:rsidRDefault="002209AB" w:rsidP="005F3FEB">
      <w:pPr>
        <w:pStyle w:val="Paragraph"/>
        <w:spacing w:after="0" w:line="360" w:lineRule="auto"/>
        <w:rPr>
          <w:sz w:val="22"/>
          <w:szCs w:val="22"/>
          <w:lang w:val="en-GB"/>
        </w:rPr>
      </w:pPr>
    </w:p>
    <w:p w14:paraId="5C0A7566" w14:textId="1ED0E45C" w:rsidR="00EB3BE2" w:rsidRPr="005F3FEB" w:rsidRDefault="00EB3BE2" w:rsidP="000A33BB">
      <w:pPr>
        <w:rPr>
          <w:rFonts w:ascii="Arial" w:hAnsi="Arial" w:cs="Arial"/>
          <w:b/>
          <w:color w:val="000000"/>
        </w:rPr>
      </w:pPr>
    </w:p>
    <w:p w14:paraId="174B3957" w14:textId="77777777" w:rsidR="0060786F" w:rsidRPr="007076A5" w:rsidRDefault="0060786F" w:rsidP="0060786F">
      <w:pPr>
        <w:rPr>
          <w:rFonts w:ascii="Arial" w:hAnsi="Arial" w:cs="Arial"/>
          <w:color w:val="000000"/>
        </w:rPr>
      </w:pPr>
    </w:p>
    <w:p w14:paraId="41AE3CC5" w14:textId="77777777" w:rsidR="0060786F" w:rsidRDefault="0060786F" w:rsidP="002B1B15">
      <w:pPr>
        <w:pStyle w:val="Paragraph"/>
        <w:spacing w:line="360" w:lineRule="auto"/>
        <w:ind w:left="426" w:hanging="567"/>
        <w:rPr>
          <w:b/>
          <w:sz w:val="22"/>
          <w:szCs w:val="22"/>
          <w:lang w:val="en-GB"/>
        </w:rPr>
      </w:pPr>
    </w:p>
    <w:p w14:paraId="7F2B9141" w14:textId="44F6E122" w:rsidR="0060786F" w:rsidRDefault="00943523" w:rsidP="00330802">
      <w:pPr>
        <w:rPr>
          <w:b/>
        </w:rPr>
      </w:pPr>
      <w:r>
        <w:rPr>
          <w:b/>
        </w:rPr>
        <w:br w:type="page"/>
      </w:r>
    </w:p>
    <w:p w14:paraId="5988FFFC" w14:textId="75D3B9C7" w:rsidR="002B1B15" w:rsidRDefault="002B1B15" w:rsidP="005F3FEB">
      <w:pPr>
        <w:pStyle w:val="Paragraph"/>
        <w:spacing w:line="360" w:lineRule="auto"/>
        <w:rPr>
          <w:b/>
          <w:sz w:val="22"/>
          <w:szCs w:val="22"/>
          <w:lang w:val="en-GB"/>
        </w:rPr>
      </w:pPr>
      <w:r>
        <w:rPr>
          <w:b/>
          <w:sz w:val="22"/>
          <w:szCs w:val="22"/>
          <w:lang w:val="en-GB"/>
        </w:rPr>
        <w:lastRenderedPageBreak/>
        <w:t>Figure legends</w:t>
      </w:r>
    </w:p>
    <w:p w14:paraId="39B7172E" w14:textId="77777777" w:rsidR="0092458D" w:rsidRDefault="002B1B15" w:rsidP="001074FC">
      <w:pPr>
        <w:pStyle w:val="Paragraph"/>
        <w:spacing w:after="0" w:line="480" w:lineRule="auto"/>
        <w:rPr>
          <w:b/>
          <w:sz w:val="22"/>
          <w:szCs w:val="22"/>
        </w:rPr>
      </w:pPr>
      <w:r w:rsidRPr="001074FC">
        <w:rPr>
          <w:b/>
          <w:sz w:val="22"/>
          <w:szCs w:val="22"/>
          <w:lang w:val="en-GB"/>
        </w:rPr>
        <w:t>Fig</w:t>
      </w:r>
      <w:r w:rsidR="00287199" w:rsidRPr="001074FC">
        <w:rPr>
          <w:b/>
          <w:sz w:val="22"/>
          <w:szCs w:val="22"/>
          <w:lang w:val="en-GB"/>
        </w:rPr>
        <w:t>ure</w:t>
      </w:r>
      <w:r w:rsidRPr="001074FC">
        <w:rPr>
          <w:b/>
          <w:sz w:val="22"/>
          <w:szCs w:val="22"/>
          <w:lang w:val="en-GB"/>
        </w:rPr>
        <w:t xml:space="preserve"> 1.</w:t>
      </w:r>
      <w:r w:rsidRPr="00D72D67">
        <w:rPr>
          <w:rFonts w:cs="Arial"/>
          <w:color w:val="000000"/>
          <w:sz w:val="22"/>
          <w:szCs w:val="22"/>
        </w:rPr>
        <w:t xml:space="preserve"> </w:t>
      </w:r>
      <w:r w:rsidR="00287199">
        <w:rPr>
          <w:rFonts w:cs="Arial"/>
          <w:color w:val="000000"/>
          <w:sz w:val="22"/>
          <w:szCs w:val="22"/>
        </w:rPr>
        <w:t xml:space="preserve">  </w:t>
      </w:r>
      <w:r w:rsidRPr="001074FC">
        <w:rPr>
          <w:b/>
          <w:sz w:val="22"/>
          <w:szCs w:val="22"/>
        </w:rPr>
        <w:t>Cohort attrition.</w:t>
      </w:r>
      <w:r w:rsidR="0092458D">
        <w:rPr>
          <w:b/>
          <w:sz w:val="22"/>
          <w:szCs w:val="22"/>
        </w:rPr>
        <w:t xml:space="preserve"> </w:t>
      </w:r>
    </w:p>
    <w:p w14:paraId="77D1422E" w14:textId="5EDE2415" w:rsidR="002B1B15" w:rsidRPr="0092458D" w:rsidRDefault="0092458D" w:rsidP="001074FC">
      <w:pPr>
        <w:pStyle w:val="Paragraph"/>
        <w:spacing w:after="0" w:line="480" w:lineRule="auto"/>
        <w:rPr>
          <w:sz w:val="22"/>
          <w:szCs w:val="22"/>
        </w:rPr>
      </w:pPr>
      <w:r w:rsidRPr="001074FC">
        <w:rPr>
          <w:sz w:val="22"/>
          <w:szCs w:val="22"/>
        </w:rPr>
        <w:t>ALKi: ALK inhibitors</w:t>
      </w:r>
      <w:r>
        <w:rPr>
          <w:sz w:val="22"/>
          <w:szCs w:val="22"/>
        </w:rPr>
        <w:t>; RWD: Real-world data</w:t>
      </w:r>
      <w:r w:rsidRPr="001074FC">
        <w:rPr>
          <w:sz w:val="22"/>
          <w:szCs w:val="22"/>
        </w:rPr>
        <w:t>.</w:t>
      </w:r>
    </w:p>
    <w:p w14:paraId="31E4E489" w14:textId="77777777" w:rsidR="002B1B15" w:rsidRPr="00D72D67" w:rsidRDefault="002B1B15" w:rsidP="002B1B15">
      <w:pPr>
        <w:pStyle w:val="Paragraph"/>
        <w:spacing w:after="0" w:line="480" w:lineRule="auto"/>
        <w:ind w:left="567" w:hanging="567"/>
        <w:rPr>
          <w:sz w:val="22"/>
          <w:szCs w:val="22"/>
          <w:lang w:val="en-GB"/>
        </w:rPr>
      </w:pPr>
    </w:p>
    <w:p w14:paraId="35201F22" w14:textId="62676B7E" w:rsidR="002B1B15" w:rsidRDefault="002B1B15" w:rsidP="002B1B15">
      <w:pPr>
        <w:pStyle w:val="Paragraph"/>
        <w:spacing w:after="0" w:line="480" w:lineRule="auto"/>
        <w:rPr>
          <w:b/>
          <w:sz w:val="22"/>
          <w:szCs w:val="22"/>
          <w:lang w:val="en-GB"/>
        </w:rPr>
      </w:pPr>
      <w:r w:rsidRPr="001074FC">
        <w:rPr>
          <w:b/>
          <w:sz w:val="22"/>
          <w:szCs w:val="22"/>
          <w:lang w:val="en-GB"/>
        </w:rPr>
        <w:t>Fig</w:t>
      </w:r>
      <w:r w:rsidR="00287199" w:rsidRPr="001074FC">
        <w:rPr>
          <w:b/>
          <w:sz w:val="22"/>
          <w:szCs w:val="22"/>
          <w:lang w:val="en-GB"/>
        </w:rPr>
        <w:t>ure</w:t>
      </w:r>
      <w:r w:rsidRPr="001074FC">
        <w:rPr>
          <w:b/>
          <w:sz w:val="22"/>
          <w:szCs w:val="22"/>
          <w:lang w:val="en-GB"/>
        </w:rPr>
        <w:t xml:space="preserve"> 2.</w:t>
      </w:r>
      <w:r w:rsidRPr="00D72D67">
        <w:rPr>
          <w:sz w:val="22"/>
          <w:szCs w:val="22"/>
          <w:lang w:val="en-GB"/>
        </w:rPr>
        <w:t xml:space="preserve"> </w:t>
      </w:r>
      <w:r w:rsidR="00287199">
        <w:rPr>
          <w:sz w:val="22"/>
          <w:szCs w:val="22"/>
          <w:lang w:val="en-GB"/>
        </w:rPr>
        <w:t xml:space="preserve">  </w:t>
      </w:r>
      <w:r w:rsidRPr="001074FC">
        <w:rPr>
          <w:b/>
          <w:sz w:val="22"/>
          <w:szCs w:val="22"/>
          <w:lang w:val="en-GB"/>
        </w:rPr>
        <w:t>(A) SMD in pre- and post-matched weighted samples, (B) Pre- and post-matched weighted distribution of propensity score.</w:t>
      </w:r>
    </w:p>
    <w:p w14:paraId="703F4442" w14:textId="2142B660" w:rsidR="0092458D" w:rsidRPr="0092458D" w:rsidRDefault="0092458D" w:rsidP="002B1B15">
      <w:pPr>
        <w:pStyle w:val="Paragraph"/>
        <w:spacing w:after="0" w:line="480" w:lineRule="auto"/>
        <w:rPr>
          <w:sz w:val="22"/>
          <w:szCs w:val="22"/>
          <w:lang w:val="en-GB"/>
        </w:rPr>
      </w:pPr>
      <w:r w:rsidRPr="0092458D">
        <w:rPr>
          <w:sz w:val="22"/>
          <w:szCs w:val="22"/>
          <w:lang w:val="en-GB"/>
        </w:rPr>
        <w:t>IPTW: Inverse probability treatment weighting; RWD: Real-world data; SMD: Standardized mean differences.</w:t>
      </w:r>
    </w:p>
    <w:p w14:paraId="2C571A25" w14:textId="77777777" w:rsidR="002B1B15" w:rsidRPr="00D72D67" w:rsidRDefault="002B1B15" w:rsidP="002B1B15">
      <w:pPr>
        <w:pStyle w:val="Paragraph"/>
        <w:spacing w:after="0" w:line="480" w:lineRule="auto"/>
        <w:ind w:left="567" w:hanging="567"/>
        <w:rPr>
          <w:sz w:val="22"/>
          <w:szCs w:val="22"/>
          <w:lang w:val="en-GB"/>
        </w:rPr>
      </w:pPr>
    </w:p>
    <w:p w14:paraId="2492B929" w14:textId="7B342900" w:rsidR="002B1B15" w:rsidRDefault="002B1B15" w:rsidP="002B1B15">
      <w:pPr>
        <w:pStyle w:val="Paragraph"/>
        <w:spacing w:after="0" w:line="480" w:lineRule="auto"/>
        <w:rPr>
          <w:rFonts w:cs="Arial"/>
          <w:b/>
          <w:color w:val="000000"/>
          <w:sz w:val="22"/>
          <w:szCs w:val="22"/>
        </w:rPr>
      </w:pPr>
      <w:r w:rsidRPr="001074FC">
        <w:rPr>
          <w:b/>
          <w:sz w:val="22"/>
          <w:szCs w:val="22"/>
          <w:lang w:val="en-GB"/>
        </w:rPr>
        <w:t>Fig</w:t>
      </w:r>
      <w:r w:rsidR="00287199" w:rsidRPr="001074FC">
        <w:rPr>
          <w:b/>
          <w:sz w:val="22"/>
          <w:szCs w:val="22"/>
          <w:lang w:val="en-GB"/>
        </w:rPr>
        <w:t>ure</w:t>
      </w:r>
      <w:r w:rsidRPr="001074FC">
        <w:rPr>
          <w:b/>
          <w:sz w:val="22"/>
          <w:szCs w:val="22"/>
          <w:lang w:val="en-GB"/>
        </w:rPr>
        <w:t xml:space="preserve"> 3.</w:t>
      </w:r>
      <w:r w:rsidRPr="00D72D67">
        <w:rPr>
          <w:sz w:val="22"/>
          <w:szCs w:val="22"/>
          <w:lang w:val="en-GB"/>
        </w:rPr>
        <w:t xml:space="preserve"> </w:t>
      </w:r>
      <w:r w:rsidR="00287199">
        <w:rPr>
          <w:sz w:val="22"/>
          <w:szCs w:val="22"/>
          <w:lang w:val="en-GB"/>
        </w:rPr>
        <w:t xml:space="preserve">  </w:t>
      </w:r>
      <w:r w:rsidRPr="001074FC">
        <w:rPr>
          <w:rFonts w:cs="Arial"/>
          <w:b/>
          <w:color w:val="000000"/>
          <w:sz w:val="22"/>
          <w:szCs w:val="22"/>
        </w:rPr>
        <w:t>Kaplan–Meier curves of OS in the re-weighted analysis of the alectinib and ceritinib populations.</w:t>
      </w:r>
    </w:p>
    <w:p w14:paraId="5C1194C6" w14:textId="51B63D01" w:rsidR="0092458D" w:rsidRPr="0092458D" w:rsidRDefault="0092458D" w:rsidP="002B1B15">
      <w:pPr>
        <w:pStyle w:val="Paragraph"/>
        <w:spacing w:after="0" w:line="480" w:lineRule="auto"/>
        <w:rPr>
          <w:rFonts w:cs="Arial"/>
          <w:color w:val="000000"/>
          <w:sz w:val="22"/>
          <w:szCs w:val="22"/>
        </w:rPr>
      </w:pPr>
      <w:r>
        <w:rPr>
          <w:rFonts w:cs="Arial"/>
          <w:color w:val="000000"/>
          <w:sz w:val="22"/>
          <w:szCs w:val="22"/>
        </w:rPr>
        <w:t>OS: Overall survival</w:t>
      </w:r>
      <w:r w:rsidRPr="0092458D">
        <w:rPr>
          <w:rFonts w:cs="Arial"/>
          <w:color w:val="000000"/>
          <w:sz w:val="22"/>
          <w:szCs w:val="22"/>
        </w:rPr>
        <w:t>; RWD: Real-world data</w:t>
      </w:r>
      <w:r>
        <w:rPr>
          <w:rFonts w:cs="Arial"/>
          <w:color w:val="000000"/>
          <w:sz w:val="22"/>
          <w:szCs w:val="22"/>
        </w:rPr>
        <w:t>.</w:t>
      </w:r>
    </w:p>
    <w:p w14:paraId="2BD62AD2" w14:textId="77777777" w:rsidR="002B1B15" w:rsidRPr="00D72D67" w:rsidRDefault="002B1B15" w:rsidP="002B1B15">
      <w:pPr>
        <w:pStyle w:val="Paragraph"/>
        <w:spacing w:after="0" w:line="480" w:lineRule="auto"/>
        <w:ind w:left="567" w:hanging="567"/>
        <w:rPr>
          <w:rFonts w:cs="Arial"/>
          <w:color w:val="000000"/>
          <w:sz w:val="22"/>
          <w:szCs w:val="22"/>
        </w:rPr>
      </w:pPr>
    </w:p>
    <w:p w14:paraId="2B43E8DB" w14:textId="77777777" w:rsidR="008E1001" w:rsidRDefault="002B1B15" w:rsidP="001074FC">
      <w:pPr>
        <w:pStyle w:val="Paragraph"/>
        <w:spacing w:after="0" w:line="480" w:lineRule="auto"/>
        <w:rPr>
          <w:rFonts w:cs="Arial"/>
          <w:color w:val="000000"/>
          <w:sz w:val="22"/>
          <w:szCs w:val="22"/>
        </w:rPr>
      </w:pPr>
      <w:r w:rsidRPr="001074FC">
        <w:rPr>
          <w:rFonts w:cs="Arial"/>
          <w:b/>
          <w:color w:val="000000"/>
        </w:rPr>
        <w:t>Fig</w:t>
      </w:r>
      <w:r w:rsidR="00287199" w:rsidRPr="001074FC">
        <w:rPr>
          <w:rFonts w:cs="Arial"/>
          <w:b/>
          <w:color w:val="000000"/>
        </w:rPr>
        <w:t>ure</w:t>
      </w:r>
      <w:r w:rsidRPr="001074FC">
        <w:rPr>
          <w:rFonts w:cs="Arial"/>
          <w:b/>
          <w:color w:val="000000"/>
        </w:rPr>
        <w:t xml:space="preserve"> 4.</w:t>
      </w:r>
      <w:r w:rsidRPr="00D72D67">
        <w:rPr>
          <w:rFonts w:cs="Arial"/>
          <w:color w:val="000000"/>
          <w:sz w:val="22"/>
          <w:szCs w:val="22"/>
        </w:rPr>
        <w:t xml:space="preserve"> </w:t>
      </w:r>
      <w:r w:rsidRPr="001074FC">
        <w:rPr>
          <w:rFonts w:cs="Arial"/>
          <w:b/>
          <w:color w:val="000000"/>
        </w:rPr>
        <w:t>Multivariate Cox model analyses of OS.</w:t>
      </w:r>
      <w:r w:rsidR="00287199">
        <w:rPr>
          <w:rFonts w:cs="Arial"/>
          <w:color w:val="000000"/>
          <w:sz w:val="22"/>
          <w:szCs w:val="22"/>
        </w:rPr>
        <w:t xml:space="preserve"> </w:t>
      </w:r>
    </w:p>
    <w:p w14:paraId="67BDBE7E" w14:textId="627E8868" w:rsidR="002B1B15" w:rsidRDefault="002B1B15" w:rsidP="001074FC">
      <w:pPr>
        <w:pStyle w:val="Paragraph"/>
        <w:spacing w:after="0" w:line="480" w:lineRule="auto"/>
        <w:rPr>
          <w:rFonts w:cs="Arial"/>
          <w:color w:val="000000"/>
          <w:sz w:val="22"/>
          <w:szCs w:val="22"/>
          <w:lang w:val="en-GB"/>
        </w:rPr>
      </w:pPr>
      <w:r w:rsidRPr="00D72D67">
        <w:rPr>
          <w:rFonts w:cs="Arial"/>
          <w:color w:val="000000"/>
          <w:sz w:val="22"/>
          <w:szCs w:val="22"/>
          <w:lang w:val="en-GB"/>
        </w:rPr>
        <w:t>The first group listed for each variable is the reference group</w:t>
      </w:r>
      <w:r w:rsidR="00D644E7">
        <w:rPr>
          <w:rFonts w:cs="Arial"/>
          <w:color w:val="000000"/>
          <w:sz w:val="22"/>
          <w:szCs w:val="22"/>
          <w:lang w:val="en-GB"/>
        </w:rPr>
        <w:t>.</w:t>
      </w:r>
    </w:p>
    <w:p w14:paraId="783E44C3" w14:textId="2C1D85E5" w:rsidR="0092458D" w:rsidRDefault="0092458D" w:rsidP="001074FC">
      <w:pPr>
        <w:pStyle w:val="Paragraph"/>
        <w:spacing w:after="0" w:line="480" w:lineRule="auto"/>
        <w:rPr>
          <w:rFonts w:cs="Arial"/>
          <w:color w:val="000000"/>
          <w:sz w:val="22"/>
          <w:szCs w:val="22"/>
          <w:lang w:val="en-GB"/>
        </w:rPr>
      </w:pPr>
      <w:r>
        <w:rPr>
          <w:rFonts w:cs="Arial"/>
          <w:color w:val="000000"/>
          <w:sz w:val="22"/>
          <w:szCs w:val="22"/>
          <w:lang w:val="en-GB"/>
        </w:rPr>
        <w:t>OS: Overall survival</w:t>
      </w:r>
      <w:r w:rsidR="009B589B">
        <w:rPr>
          <w:rFonts w:cs="Arial"/>
          <w:color w:val="000000"/>
          <w:sz w:val="22"/>
          <w:szCs w:val="22"/>
          <w:lang w:val="en-GB"/>
        </w:rPr>
        <w:t>.</w:t>
      </w:r>
    </w:p>
    <w:p w14:paraId="7541D624" w14:textId="77777777" w:rsidR="002B1B15" w:rsidRDefault="002B1B15" w:rsidP="002B1B15">
      <w:pPr>
        <w:pStyle w:val="Paragraph"/>
        <w:spacing w:after="0" w:line="480" w:lineRule="auto"/>
        <w:ind w:left="567" w:hanging="567"/>
        <w:rPr>
          <w:rFonts w:cs="Arial"/>
          <w:color w:val="000000"/>
          <w:sz w:val="22"/>
          <w:szCs w:val="22"/>
          <w:lang w:val="en-GB"/>
        </w:rPr>
      </w:pPr>
    </w:p>
    <w:p w14:paraId="79C11245" w14:textId="640B8E32" w:rsidR="002B1B15" w:rsidRDefault="002B1B15" w:rsidP="002B1B15">
      <w:pPr>
        <w:pStyle w:val="Paragraph"/>
        <w:spacing w:after="0" w:line="480" w:lineRule="auto"/>
        <w:rPr>
          <w:rFonts w:cs="Arial"/>
          <w:b/>
          <w:color w:val="000000"/>
          <w:sz w:val="22"/>
          <w:szCs w:val="22"/>
        </w:rPr>
      </w:pPr>
      <w:r w:rsidRPr="001074FC">
        <w:rPr>
          <w:rFonts w:cs="Arial"/>
          <w:b/>
          <w:color w:val="000000"/>
          <w:sz w:val="22"/>
          <w:szCs w:val="22"/>
          <w:lang w:val="en-GB"/>
        </w:rPr>
        <w:t>Fig</w:t>
      </w:r>
      <w:r w:rsidR="00287199" w:rsidRPr="001074FC">
        <w:rPr>
          <w:rFonts w:cs="Arial"/>
          <w:b/>
          <w:color w:val="000000"/>
          <w:sz w:val="22"/>
          <w:szCs w:val="22"/>
          <w:lang w:val="en-GB"/>
        </w:rPr>
        <w:t>ure</w:t>
      </w:r>
      <w:r w:rsidRPr="001074FC">
        <w:rPr>
          <w:rFonts w:cs="Arial"/>
          <w:b/>
          <w:color w:val="000000"/>
          <w:sz w:val="22"/>
          <w:szCs w:val="22"/>
          <w:lang w:val="en-GB"/>
        </w:rPr>
        <w:t xml:space="preserve"> 5.</w:t>
      </w:r>
      <w:r>
        <w:rPr>
          <w:rFonts w:cs="Arial"/>
          <w:color w:val="000000"/>
          <w:sz w:val="22"/>
          <w:szCs w:val="22"/>
          <w:lang w:val="en-GB"/>
        </w:rPr>
        <w:t xml:space="preserve"> </w:t>
      </w:r>
      <w:r w:rsidRPr="001074FC">
        <w:rPr>
          <w:rFonts w:cs="Arial"/>
          <w:b/>
          <w:color w:val="000000"/>
          <w:sz w:val="22"/>
          <w:szCs w:val="22"/>
        </w:rPr>
        <w:t>Kaplan–Meier analysis of (A) real-world and clinical trial OS data for ceritinib and (B) alectinib pooled data versus re-digiti</w:t>
      </w:r>
      <w:r w:rsidR="00D556CA" w:rsidRPr="001074FC">
        <w:rPr>
          <w:rFonts w:cs="Arial"/>
          <w:b/>
          <w:color w:val="000000"/>
          <w:sz w:val="22"/>
          <w:szCs w:val="22"/>
        </w:rPr>
        <w:t>z</w:t>
      </w:r>
      <w:r w:rsidRPr="001074FC">
        <w:rPr>
          <w:rFonts w:cs="Arial"/>
          <w:b/>
          <w:color w:val="000000"/>
          <w:sz w:val="22"/>
          <w:szCs w:val="22"/>
        </w:rPr>
        <w:t>ed ASCEND-2.</w:t>
      </w:r>
    </w:p>
    <w:p w14:paraId="2A5B023C" w14:textId="02C7B241" w:rsidR="00417E97" w:rsidRPr="00330802" w:rsidRDefault="00417E97" w:rsidP="002B1B15">
      <w:pPr>
        <w:pStyle w:val="Paragraph"/>
        <w:spacing w:after="0" w:line="480" w:lineRule="auto"/>
        <w:rPr>
          <w:rFonts w:cs="Arial"/>
          <w:color w:val="000000"/>
          <w:sz w:val="22"/>
          <w:szCs w:val="22"/>
        </w:rPr>
      </w:pPr>
      <w:r w:rsidRPr="00330802">
        <w:rPr>
          <w:rFonts w:cs="Arial"/>
          <w:color w:val="000000"/>
          <w:sz w:val="22"/>
          <w:szCs w:val="22"/>
        </w:rPr>
        <w:t>All populations are unweighted</w:t>
      </w:r>
      <w:r>
        <w:rPr>
          <w:rFonts w:cs="Arial"/>
          <w:color w:val="000000"/>
          <w:sz w:val="22"/>
          <w:szCs w:val="22"/>
        </w:rPr>
        <w:t>.</w:t>
      </w:r>
    </w:p>
    <w:p w14:paraId="4DCA82C7" w14:textId="1F27D9E4" w:rsidR="00C742BF" w:rsidRPr="00C742BF" w:rsidRDefault="00C742BF" w:rsidP="002B1B15">
      <w:pPr>
        <w:pStyle w:val="Paragraph"/>
        <w:spacing w:after="0" w:line="480" w:lineRule="auto"/>
        <w:rPr>
          <w:rFonts w:cs="Arial"/>
          <w:color w:val="000000"/>
          <w:sz w:val="22"/>
          <w:szCs w:val="22"/>
        </w:rPr>
      </w:pPr>
      <w:r>
        <w:rPr>
          <w:rFonts w:cs="Arial"/>
          <w:color w:val="000000"/>
          <w:sz w:val="22"/>
          <w:szCs w:val="22"/>
        </w:rPr>
        <w:t>OS: Overall survival</w:t>
      </w:r>
      <w:r w:rsidR="009B589B" w:rsidRPr="00C742BF">
        <w:rPr>
          <w:rFonts w:cs="Arial"/>
          <w:color w:val="000000"/>
          <w:sz w:val="22"/>
          <w:szCs w:val="22"/>
          <w:lang w:val="en-GB"/>
        </w:rPr>
        <w:t>; RWD: Real-world data</w:t>
      </w:r>
      <w:r w:rsidR="009B589B">
        <w:rPr>
          <w:rFonts w:cs="Arial"/>
          <w:color w:val="000000"/>
          <w:sz w:val="22"/>
          <w:szCs w:val="22"/>
          <w:lang w:val="en-GB"/>
        </w:rPr>
        <w:t>.</w:t>
      </w:r>
    </w:p>
    <w:p w14:paraId="4950204E" w14:textId="77777777" w:rsidR="002B1B15" w:rsidRDefault="002B1B15" w:rsidP="002B1B15">
      <w:pPr>
        <w:rPr>
          <w:rFonts w:ascii="Arial" w:hAnsi="Arial" w:cs="Arial"/>
        </w:rPr>
      </w:pPr>
      <w:r>
        <w:rPr>
          <w:rFonts w:ascii="Arial" w:hAnsi="Arial" w:cs="Arial"/>
        </w:rPr>
        <w:br w:type="page"/>
      </w:r>
    </w:p>
    <w:p w14:paraId="21F41EAD" w14:textId="77777777" w:rsidR="002B1B15" w:rsidRPr="001074FC" w:rsidRDefault="002B1B15" w:rsidP="002B1B15">
      <w:pPr>
        <w:spacing w:after="0" w:line="360" w:lineRule="auto"/>
        <w:rPr>
          <w:rFonts w:ascii="Arial" w:hAnsi="Arial" w:cs="Arial"/>
          <w:b/>
        </w:rPr>
      </w:pPr>
      <w:r w:rsidRPr="001074FC">
        <w:rPr>
          <w:rFonts w:ascii="Arial" w:hAnsi="Arial" w:cs="Arial"/>
          <w:b/>
        </w:rPr>
        <w:lastRenderedPageBreak/>
        <w:t>Table 1. Patient characteristics by treatment cohort.</w:t>
      </w:r>
    </w:p>
    <w:tbl>
      <w:tblPr>
        <w:tblW w:w="9829" w:type="dxa"/>
        <w:jc w:val="center"/>
        <w:tblBorders>
          <w:top w:val="single" w:sz="4" w:space="0" w:color="auto"/>
          <w:bottom w:val="single" w:sz="4" w:space="0" w:color="auto"/>
          <w:insideH w:val="single" w:sz="4" w:space="0" w:color="auto"/>
        </w:tblBorders>
        <w:tblCellMar>
          <w:left w:w="0" w:type="dxa"/>
          <w:right w:w="0" w:type="dxa"/>
        </w:tblCellMar>
        <w:tblLook w:val="0600" w:firstRow="0" w:lastRow="0" w:firstColumn="0" w:lastColumn="0" w:noHBand="1" w:noVBand="1"/>
      </w:tblPr>
      <w:tblGrid>
        <w:gridCol w:w="3211"/>
        <w:gridCol w:w="1457"/>
        <w:gridCol w:w="1967"/>
        <w:gridCol w:w="1589"/>
        <w:gridCol w:w="1605"/>
      </w:tblGrid>
      <w:tr w:rsidR="002B1B15" w:rsidRPr="00B66C7F" w14:paraId="6C2FB72D" w14:textId="77777777" w:rsidTr="001074FC">
        <w:trPr>
          <w:trHeight w:val="578"/>
          <w:jc w:val="center"/>
        </w:trPr>
        <w:tc>
          <w:tcPr>
            <w:tcW w:w="3211" w:type="dxa"/>
            <w:tcBorders>
              <w:bottom w:val="single" w:sz="4" w:space="0" w:color="auto"/>
            </w:tcBorders>
            <w:shd w:val="clear" w:color="auto" w:fill="FFFFFF" w:themeFill="background1"/>
            <w:tcMar>
              <w:top w:w="28" w:type="dxa"/>
              <w:left w:w="57" w:type="dxa"/>
              <w:bottom w:w="28" w:type="dxa"/>
              <w:right w:w="57" w:type="dxa"/>
            </w:tcMar>
            <w:hideMark/>
          </w:tcPr>
          <w:p w14:paraId="2D4995D6" w14:textId="77777777" w:rsidR="002B1B15" w:rsidRPr="001074FC" w:rsidRDefault="002B1B15" w:rsidP="001074FC">
            <w:pPr>
              <w:spacing w:after="0" w:line="240" w:lineRule="auto"/>
              <w:ind w:left="227"/>
              <w:rPr>
                <w:rFonts w:ascii="Arial" w:eastAsia="Times New Roman" w:hAnsi="Arial" w:cs="Arial"/>
                <w:b/>
                <w:sz w:val="20"/>
                <w:szCs w:val="20"/>
                <w:lang w:eastAsia="en-GB"/>
              </w:rPr>
            </w:pPr>
          </w:p>
        </w:tc>
        <w:tc>
          <w:tcPr>
            <w:tcW w:w="1457" w:type="dxa"/>
            <w:tcBorders>
              <w:bottom w:val="single" w:sz="4" w:space="0" w:color="auto"/>
            </w:tcBorders>
            <w:shd w:val="clear" w:color="auto" w:fill="FFFFFF" w:themeFill="background1"/>
            <w:tcMar>
              <w:top w:w="28" w:type="dxa"/>
              <w:left w:w="57" w:type="dxa"/>
              <w:bottom w:w="28" w:type="dxa"/>
              <w:right w:w="57" w:type="dxa"/>
            </w:tcMar>
            <w:hideMark/>
          </w:tcPr>
          <w:p w14:paraId="7B05F50D" w14:textId="77777777" w:rsidR="002B1B15" w:rsidRPr="001074FC" w:rsidRDefault="002B1B15" w:rsidP="001074FC">
            <w:pPr>
              <w:spacing w:after="0" w:line="240" w:lineRule="auto"/>
              <w:ind w:left="227"/>
              <w:textAlignment w:val="baseline"/>
              <w:rPr>
                <w:rFonts w:ascii="Arial" w:eastAsia="Calibri" w:hAnsi="Arial" w:cs="Arial"/>
                <w:b/>
                <w:bCs/>
                <w:kern w:val="24"/>
                <w:sz w:val="20"/>
                <w:szCs w:val="20"/>
                <w:lang w:eastAsia="en-GB"/>
              </w:rPr>
            </w:pPr>
            <w:r w:rsidRPr="001074FC">
              <w:rPr>
                <w:rFonts w:ascii="Arial" w:eastAsia="Calibri" w:hAnsi="Arial" w:cs="Arial"/>
                <w:b/>
                <w:bCs/>
                <w:kern w:val="24"/>
                <w:sz w:val="20"/>
                <w:szCs w:val="20"/>
                <w:lang w:eastAsia="en-GB"/>
              </w:rPr>
              <w:t xml:space="preserve">Alectinib </w:t>
            </w:r>
          </w:p>
          <w:p w14:paraId="2E96EA69" w14:textId="77777777" w:rsidR="002B1B15" w:rsidRPr="001074FC" w:rsidRDefault="002B1B15" w:rsidP="001074FC">
            <w:pPr>
              <w:spacing w:after="0" w:line="240" w:lineRule="auto"/>
              <w:ind w:left="227"/>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(n = 183)</w:t>
            </w:r>
          </w:p>
        </w:tc>
        <w:tc>
          <w:tcPr>
            <w:tcW w:w="1967" w:type="dxa"/>
            <w:tcBorders>
              <w:bottom w:val="single" w:sz="4" w:space="0" w:color="auto"/>
            </w:tcBorders>
            <w:shd w:val="clear" w:color="auto" w:fill="FFFFFF" w:themeFill="background1"/>
            <w:tcMar>
              <w:top w:w="28" w:type="dxa"/>
              <w:left w:w="57" w:type="dxa"/>
              <w:bottom w:w="28" w:type="dxa"/>
              <w:right w:w="57" w:type="dxa"/>
            </w:tcMar>
            <w:hideMark/>
          </w:tcPr>
          <w:p w14:paraId="6EAB8D31" w14:textId="77777777" w:rsidR="002B1B15" w:rsidRPr="001074FC" w:rsidRDefault="002B1B15" w:rsidP="001074FC">
            <w:pPr>
              <w:spacing w:after="0" w:line="240" w:lineRule="auto"/>
              <w:ind w:left="227"/>
              <w:textAlignment w:val="baseline"/>
              <w:rPr>
                <w:rFonts w:ascii="Arial" w:eastAsia="Calibri" w:hAnsi="Arial" w:cs="Arial"/>
                <w:b/>
                <w:bCs/>
                <w:kern w:val="24"/>
                <w:sz w:val="20"/>
                <w:szCs w:val="20"/>
                <w:lang w:eastAsia="en-GB"/>
              </w:rPr>
            </w:pPr>
            <w:r w:rsidRPr="001074FC">
              <w:rPr>
                <w:rFonts w:ascii="Arial" w:eastAsia="Calibri" w:hAnsi="Arial" w:cs="Arial"/>
                <w:b/>
                <w:bCs/>
                <w:kern w:val="24"/>
                <w:sz w:val="20"/>
                <w:szCs w:val="20"/>
                <w:lang w:eastAsia="en-GB"/>
              </w:rPr>
              <w:t xml:space="preserve">Ceritinib RWD </w:t>
            </w:r>
          </w:p>
          <w:p w14:paraId="465482D7" w14:textId="77777777" w:rsidR="002B1B15" w:rsidRPr="001074FC" w:rsidRDefault="002B1B15" w:rsidP="001074FC">
            <w:pPr>
              <w:spacing w:after="0" w:line="240" w:lineRule="auto"/>
              <w:ind w:left="227"/>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(n = 67)</w:t>
            </w:r>
          </w:p>
        </w:tc>
        <w:tc>
          <w:tcPr>
            <w:tcW w:w="1589" w:type="dxa"/>
            <w:tcBorders>
              <w:bottom w:val="single" w:sz="4" w:space="0" w:color="auto"/>
            </w:tcBorders>
            <w:shd w:val="clear" w:color="auto" w:fill="FFFFFF" w:themeFill="background1"/>
            <w:tcMar>
              <w:top w:w="28" w:type="dxa"/>
              <w:left w:w="57" w:type="dxa"/>
              <w:bottom w:w="28" w:type="dxa"/>
              <w:right w:w="57" w:type="dxa"/>
            </w:tcMar>
            <w:hideMark/>
          </w:tcPr>
          <w:p w14:paraId="332C5DA1" w14:textId="77777777" w:rsidR="002B1B15" w:rsidRPr="001074FC" w:rsidRDefault="002B1B15" w:rsidP="001074FC">
            <w:pPr>
              <w:spacing w:after="0" w:line="240" w:lineRule="auto"/>
              <w:ind w:left="227"/>
              <w:textAlignment w:val="baseline"/>
              <w:rPr>
                <w:rFonts w:ascii="Arial" w:eastAsia="Calibri" w:hAnsi="Arial" w:cs="Arial"/>
                <w:b/>
                <w:bCs/>
                <w:kern w:val="24"/>
                <w:sz w:val="20"/>
                <w:szCs w:val="20"/>
                <w:lang w:eastAsia="en-GB"/>
              </w:rPr>
            </w:pPr>
            <w:r w:rsidRPr="001074FC">
              <w:rPr>
                <w:rFonts w:ascii="Arial" w:eastAsia="Calibri" w:hAnsi="Arial" w:cs="Arial"/>
                <w:b/>
                <w:bCs/>
                <w:kern w:val="24"/>
                <w:sz w:val="20"/>
                <w:szCs w:val="20"/>
                <w:lang w:eastAsia="en-GB"/>
              </w:rPr>
              <w:t xml:space="preserve">Total </w:t>
            </w:r>
          </w:p>
          <w:p w14:paraId="4810B611" w14:textId="77777777" w:rsidR="002B1B15" w:rsidRPr="001074FC" w:rsidRDefault="002B1B15" w:rsidP="001074FC">
            <w:pPr>
              <w:spacing w:after="0" w:line="240" w:lineRule="auto"/>
              <w:ind w:left="227"/>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(n = 250)</w:t>
            </w:r>
          </w:p>
        </w:tc>
        <w:tc>
          <w:tcPr>
            <w:tcW w:w="1605" w:type="dxa"/>
            <w:tcBorders>
              <w:bottom w:val="single" w:sz="4" w:space="0" w:color="auto"/>
            </w:tcBorders>
            <w:shd w:val="clear" w:color="auto" w:fill="FFFFFF" w:themeFill="background1"/>
            <w:tcMar>
              <w:top w:w="28" w:type="dxa"/>
              <w:left w:w="57" w:type="dxa"/>
              <w:bottom w:w="28" w:type="dxa"/>
              <w:right w:w="57" w:type="dxa"/>
            </w:tcMar>
            <w:hideMark/>
          </w:tcPr>
          <w:p w14:paraId="44257614" w14:textId="7C19B479" w:rsidR="002B1B15" w:rsidRPr="001074FC" w:rsidRDefault="00D556CA" w:rsidP="001074FC">
            <w:pPr>
              <w:spacing w:after="0" w:line="240" w:lineRule="auto"/>
              <w:ind w:left="227"/>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p</w:t>
            </w:r>
            <w:r w:rsidR="00991C57" w:rsidRPr="001074FC">
              <w:rPr>
                <w:rFonts w:ascii="Arial" w:eastAsia="Calibri" w:hAnsi="Arial" w:cs="Arial"/>
                <w:b/>
                <w:bCs/>
                <w:kern w:val="24"/>
                <w:sz w:val="20"/>
                <w:szCs w:val="20"/>
                <w:lang w:eastAsia="en-GB"/>
              </w:rPr>
              <w:t>-</w:t>
            </w:r>
            <w:r w:rsidR="002B1B15" w:rsidRPr="001074FC">
              <w:rPr>
                <w:rFonts w:ascii="Arial" w:eastAsia="Calibri" w:hAnsi="Arial" w:cs="Arial"/>
                <w:b/>
                <w:bCs/>
                <w:kern w:val="24"/>
                <w:sz w:val="20"/>
                <w:szCs w:val="20"/>
                <w:lang w:eastAsia="en-GB"/>
              </w:rPr>
              <w:t>value</w:t>
            </w:r>
          </w:p>
        </w:tc>
      </w:tr>
      <w:tr w:rsidR="002B1B15" w:rsidRPr="00285075" w14:paraId="2B50815A" w14:textId="77777777" w:rsidTr="001074FC">
        <w:trPr>
          <w:trHeight w:val="171"/>
          <w:jc w:val="center"/>
        </w:trPr>
        <w:tc>
          <w:tcPr>
            <w:tcW w:w="3211" w:type="dxa"/>
            <w:tcBorders>
              <w:bottom w:val="nil"/>
            </w:tcBorders>
            <w:shd w:val="clear" w:color="auto" w:fill="FFFFFF" w:themeFill="background1"/>
            <w:tcMar>
              <w:top w:w="28" w:type="dxa"/>
              <w:left w:w="57" w:type="dxa"/>
              <w:bottom w:w="28" w:type="dxa"/>
              <w:right w:w="57" w:type="dxa"/>
            </w:tcMar>
            <w:hideMark/>
          </w:tcPr>
          <w:p w14:paraId="7D933859" w14:textId="77777777" w:rsidR="002B1B15" w:rsidRPr="001074FC" w:rsidRDefault="002B1B15" w:rsidP="00B66C7F">
            <w:pPr>
              <w:spacing w:after="0" w:line="240" w:lineRule="auto"/>
              <w:ind w:left="227"/>
              <w:textAlignment w:val="baseline"/>
              <w:rPr>
                <w:rFonts w:ascii="Arial" w:eastAsia="Times New Roman" w:hAnsi="Arial" w:cs="Arial"/>
                <w:sz w:val="20"/>
                <w:szCs w:val="20"/>
                <w:lang w:eastAsia="en-GB"/>
              </w:rPr>
            </w:pPr>
            <w:r w:rsidRPr="00285075">
              <w:rPr>
                <w:rFonts w:ascii="Arial" w:eastAsia="MS PGothic" w:hAnsi="Arial" w:cs="Arial"/>
                <w:bCs/>
                <w:kern w:val="24"/>
                <w:sz w:val="20"/>
                <w:szCs w:val="20"/>
                <w:lang w:eastAsia="en-GB"/>
              </w:rPr>
              <w:t>Mean age (SD)</w:t>
            </w:r>
            <w:r w:rsidRPr="001074FC">
              <w:rPr>
                <w:rFonts w:ascii="Arial" w:hAnsi="Arial" w:cs="Arial"/>
                <w:bCs/>
                <w:iCs/>
                <w:sz w:val="20"/>
                <w:szCs w:val="20"/>
                <w:u w:color="000000"/>
                <w:vertAlign w:val="superscript"/>
              </w:rPr>
              <w:t>a,b</w:t>
            </w:r>
          </w:p>
        </w:tc>
        <w:tc>
          <w:tcPr>
            <w:tcW w:w="1457" w:type="dxa"/>
            <w:tcBorders>
              <w:bottom w:val="nil"/>
            </w:tcBorders>
            <w:shd w:val="clear" w:color="auto" w:fill="FFFFFF" w:themeFill="background1"/>
            <w:tcMar>
              <w:top w:w="15" w:type="dxa"/>
              <w:left w:w="108" w:type="dxa"/>
              <w:bottom w:w="0" w:type="dxa"/>
              <w:right w:w="108" w:type="dxa"/>
            </w:tcMar>
            <w:hideMark/>
          </w:tcPr>
          <w:p w14:paraId="13E5AA0B"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52.5 (±11.2)</w:t>
            </w:r>
          </w:p>
        </w:tc>
        <w:tc>
          <w:tcPr>
            <w:tcW w:w="1967" w:type="dxa"/>
            <w:tcBorders>
              <w:bottom w:val="nil"/>
            </w:tcBorders>
            <w:shd w:val="clear" w:color="auto" w:fill="FFFFFF" w:themeFill="background1"/>
            <w:tcMar>
              <w:top w:w="15" w:type="dxa"/>
              <w:left w:w="108" w:type="dxa"/>
              <w:bottom w:w="0" w:type="dxa"/>
              <w:right w:w="108" w:type="dxa"/>
            </w:tcMar>
            <w:hideMark/>
          </w:tcPr>
          <w:p w14:paraId="6CB91746"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59.8 (±11.4)</w:t>
            </w:r>
          </w:p>
        </w:tc>
        <w:tc>
          <w:tcPr>
            <w:tcW w:w="1589" w:type="dxa"/>
            <w:tcBorders>
              <w:bottom w:val="nil"/>
            </w:tcBorders>
            <w:shd w:val="clear" w:color="auto" w:fill="FFFFFF" w:themeFill="background1"/>
            <w:tcMar>
              <w:top w:w="15" w:type="dxa"/>
              <w:left w:w="108" w:type="dxa"/>
              <w:bottom w:w="0" w:type="dxa"/>
              <w:right w:w="108" w:type="dxa"/>
            </w:tcMar>
            <w:hideMark/>
          </w:tcPr>
          <w:p w14:paraId="13BEC9E0"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54.5 (±11.7)</w:t>
            </w:r>
          </w:p>
        </w:tc>
        <w:tc>
          <w:tcPr>
            <w:tcW w:w="1605" w:type="dxa"/>
            <w:tcBorders>
              <w:bottom w:val="nil"/>
            </w:tcBorders>
            <w:shd w:val="clear" w:color="auto" w:fill="FFFFFF" w:themeFill="background1"/>
            <w:tcMar>
              <w:top w:w="15" w:type="dxa"/>
              <w:left w:w="108" w:type="dxa"/>
              <w:bottom w:w="0" w:type="dxa"/>
              <w:right w:w="108" w:type="dxa"/>
            </w:tcMar>
            <w:hideMark/>
          </w:tcPr>
          <w:p w14:paraId="19534A27"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&lt;0.0001</w:t>
            </w:r>
          </w:p>
        </w:tc>
      </w:tr>
      <w:tr w:rsidR="002B1B15" w:rsidRPr="00285075" w14:paraId="0A5F3DAC" w14:textId="77777777" w:rsidTr="001074FC">
        <w:trPr>
          <w:trHeight w:val="171"/>
          <w:jc w:val="center"/>
        </w:trPr>
        <w:tc>
          <w:tcPr>
            <w:tcW w:w="9829" w:type="dxa"/>
            <w:gridSpan w:val="5"/>
            <w:tcBorders>
              <w:top w:val="nil"/>
              <w:bottom w:val="nil"/>
            </w:tcBorders>
            <w:shd w:val="clear" w:color="auto" w:fill="FFFFFF" w:themeFill="background1"/>
            <w:tcMar>
              <w:top w:w="28" w:type="dxa"/>
              <w:left w:w="57" w:type="dxa"/>
              <w:bottom w:w="28" w:type="dxa"/>
              <w:right w:w="57" w:type="dxa"/>
            </w:tcMar>
            <w:hideMark/>
          </w:tcPr>
          <w:p w14:paraId="4A7F229A" w14:textId="77777777" w:rsidR="002B1B15" w:rsidRPr="001074FC" w:rsidRDefault="002B1B15" w:rsidP="00B66C7F">
            <w:pPr>
              <w:spacing w:after="0" w:line="240" w:lineRule="auto"/>
              <w:ind w:left="227"/>
              <w:textAlignment w:val="baseline"/>
              <w:rPr>
                <w:rFonts w:ascii="Arial" w:eastAsia="Times New Roman" w:hAnsi="Arial" w:cs="Arial"/>
                <w:sz w:val="20"/>
                <w:szCs w:val="20"/>
                <w:lang w:eastAsia="en-GB"/>
              </w:rPr>
            </w:pPr>
            <w:r w:rsidRPr="00285075">
              <w:rPr>
                <w:rFonts w:ascii="Arial" w:eastAsia="MS PGothic" w:hAnsi="Arial" w:cs="Arial"/>
                <w:bCs/>
                <w:kern w:val="24"/>
                <w:sz w:val="20"/>
                <w:szCs w:val="20"/>
                <w:lang w:eastAsia="en-GB"/>
              </w:rPr>
              <w:t>Age group, n (%)</w:t>
            </w:r>
            <w:r w:rsidRPr="001074FC">
              <w:rPr>
                <w:rFonts w:ascii="Arial" w:hAnsi="Arial" w:cs="Arial"/>
                <w:bCs/>
                <w:iCs/>
                <w:sz w:val="20"/>
                <w:szCs w:val="20"/>
                <w:u w:color="000000"/>
                <w:vertAlign w:val="superscript"/>
              </w:rPr>
              <w:t>a,c</w:t>
            </w:r>
          </w:p>
        </w:tc>
      </w:tr>
      <w:tr w:rsidR="002B1B15" w:rsidRPr="00285075" w14:paraId="67610274"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02CDAD28" w14:textId="012D789A" w:rsidR="002B1B15" w:rsidRPr="001074FC" w:rsidRDefault="002B1B15" w:rsidP="001074FC">
            <w:pPr>
              <w:spacing w:after="0" w:line="240" w:lineRule="auto"/>
              <w:ind w:left="345"/>
              <w:textAlignment w:val="baseline"/>
              <w:rPr>
                <w:rFonts w:ascii="Arial" w:eastAsia="Times New Roman" w:hAnsi="Arial" w:cs="Arial"/>
                <w:sz w:val="20"/>
                <w:szCs w:val="20"/>
                <w:lang w:eastAsia="en-GB"/>
              </w:rPr>
            </w:pPr>
            <w:r w:rsidRPr="00285075">
              <w:rPr>
                <w:rFonts w:ascii="Arial" w:eastAsia="MS PGothic" w:hAnsi="Arial" w:cs="Arial"/>
                <w:kern w:val="24"/>
                <w:sz w:val="20"/>
                <w:szCs w:val="20"/>
                <w:lang w:eastAsia="en-GB"/>
              </w:rPr>
              <w:t>&lt;65 years</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27787774"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160 (87)</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538B5F27"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41 (61)</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24CE4CFC"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201 (80)</w:t>
            </w:r>
          </w:p>
        </w:tc>
        <w:tc>
          <w:tcPr>
            <w:tcW w:w="1605" w:type="dxa"/>
            <w:vMerge w:val="restart"/>
            <w:tcBorders>
              <w:top w:val="nil"/>
              <w:bottom w:val="nil"/>
            </w:tcBorders>
            <w:shd w:val="clear" w:color="auto" w:fill="FFFFFF" w:themeFill="background1"/>
            <w:tcMar>
              <w:top w:w="15" w:type="dxa"/>
              <w:left w:w="108" w:type="dxa"/>
              <w:bottom w:w="0" w:type="dxa"/>
              <w:right w:w="108" w:type="dxa"/>
            </w:tcMar>
            <w:hideMark/>
          </w:tcPr>
          <w:p w14:paraId="196C3604"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&lt;0.0001</w:t>
            </w:r>
          </w:p>
        </w:tc>
      </w:tr>
      <w:tr w:rsidR="002B1B15" w:rsidRPr="00285075" w14:paraId="304509FD"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0FA81587" w14:textId="48785C20" w:rsidR="002B1B15" w:rsidRPr="001074FC" w:rsidRDefault="002B1B15" w:rsidP="001074FC">
            <w:pPr>
              <w:spacing w:after="0" w:line="240" w:lineRule="auto"/>
              <w:ind w:left="345"/>
              <w:textAlignment w:val="baseline"/>
              <w:rPr>
                <w:rFonts w:ascii="Arial" w:eastAsia="Times New Roman" w:hAnsi="Arial" w:cs="Arial"/>
                <w:sz w:val="20"/>
                <w:szCs w:val="20"/>
                <w:lang w:eastAsia="en-GB"/>
              </w:rPr>
            </w:pPr>
            <w:r w:rsidRPr="00285075">
              <w:rPr>
                <w:rFonts w:ascii="Arial" w:eastAsia="MS PGothic" w:hAnsi="Arial" w:cs="Arial"/>
                <w:kern w:val="24"/>
                <w:sz w:val="20"/>
                <w:szCs w:val="20"/>
                <w:lang w:eastAsia="en-GB"/>
              </w:rPr>
              <w:t>≥65 years</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3E4E9969"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23 (13)</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686021EA"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26 (39)</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4B0206DE"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49 (20)</w:t>
            </w:r>
          </w:p>
        </w:tc>
        <w:tc>
          <w:tcPr>
            <w:tcW w:w="1605" w:type="dxa"/>
            <w:vMerge/>
            <w:tcBorders>
              <w:top w:val="nil"/>
              <w:bottom w:val="nil"/>
            </w:tcBorders>
            <w:shd w:val="clear" w:color="auto" w:fill="FFFFFF" w:themeFill="background1"/>
            <w:hideMark/>
          </w:tcPr>
          <w:p w14:paraId="27CE4BF7" w14:textId="77777777" w:rsidR="002B1B15" w:rsidRPr="001074FC" w:rsidRDefault="002B1B15" w:rsidP="00B66C7F">
            <w:pPr>
              <w:spacing w:after="0" w:line="240" w:lineRule="auto"/>
              <w:ind w:left="227"/>
              <w:rPr>
                <w:rFonts w:ascii="Arial" w:eastAsia="Times New Roman" w:hAnsi="Arial" w:cs="Arial"/>
                <w:sz w:val="20"/>
                <w:szCs w:val="20"/>
                <w:lang w:eastAsia="en-GB"/>
              </w:rPr>
            </w:pPr>
          </w:p>
        </w:tc>
      </w:tr>
      <w:tr w:rsidR="002B1B15" w:rsidRPr="00285075" w14:paraId="18E730A0" w14:textId="77777777" w:rsidTr="001074FC">
        <w:trPr>
          <w:trHeight w:val="171"/>
          <w:jc w:val="center"/>
        </w:trPr>
        <w:tc>
          <w:tcPr>
            <w:tcW w:w="9829" w:type="dxa"/>
            <w:gridSpan w:val="5"/>
            <w:tcBorders>
              <w:top w:val="nil"/>
              <w:bottom w:val="nil"/>
            </w:tcBorders>
            <w:shd w:val="clear" w:color="auto" w:fill="FFFFFF" w:themeFill="background1"/>
            <w:tcMar>
              <w:top w:w="28" w:type="dxa"/>
              <w:left w:w="57" w:type="dxa"/>
              <w:bottom w:w="28" w:type="dxa"/>
              <w:right w:w="57" w:type="dxa"/>
            </w:tcMar>
            <w:hideMark/>
          </w:tcPr>
          <w:p w14:paraId="639CFEC8" w14:textId="77777777" w:rsidR="002B1B15" w:rsidRPr="001074FC" w:rsidRDefault="002B1B15" w:rsidP="00B66C7F">
            <w:pPr>
              <w:spacing w:after="0" w:line="240" w:lineRule="auto"/>
              <w:ind w:left="227"/>
              <w:textAlignment w:val="baseline"/>
              <w:rPr>
                <w:rFonts w:ascii="Arial" w:eastAsia="Times New Roman" w:hAnsi="Arial" w:cs="Arial"/>
                <w:sz w:val="20"/>
                <w:szCs w:val="20"/>
                <w:lang w:eastAsia="en-GB"/>
              </w:rPr>
            </w:pPr>
            <w:r w:rsidRPr="00285075">
              <w:rPr>
                <w:rFonts w:ascii="Arial" w:eastAsia="MS PGothic" w:hAnsi="Arial" w:cs="Arial"/>
                <w:bCs/>
                <w:kern w:val="24"/>
                <w:sz w:val="20"/>
                <w:szCs w:val="20"/>
                <w:lang w:eastAsia="en-GB"/>
              </w:rPr>
              <w:t>Gender, n (%)</w:t>
            </w:r>
            <w:r w:rsidRPr="001074FC">
              <w:rPr>
                <w:rFonts w:ascii="Arial" w:hAnsi="Arial" w:cs="Arial"/>
                <w:bCs/>
                <w:iCs/>
                <w:sz w:val="20"/>
                <w:szCs w:val="20"/>
                <w:u w:color="000000"/>
                <w:vertAlign w:val="superscript"/>
              </w:rPr>
              <w:t>c</w:t>
            </w:r>
          </w:p>
        </w:tc>
      </w:tr>
      <w:tr w:rsidR="002B1B15" w:rsidRPr="00285075" w14:paraId="0DF308A1"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7841282A" w14:textId="4C730999" w:rsidR="002B1B15" w:rsidRPr="001074FC" w:rsidRDefault="002B1B15" w:rsidP="001074FC">
            <w:pPr>
              <w:spacing w:after="0" w:line="240" w:lineRule="auto"/>
              <w:ind w:left="345"/>
              <w:textAlignment w:val="baseline"/>
              <w:rPr>
                <w:rFonts w:ascii="Arial" w:eastAsia="Times New Roman" w:hAnsi="Arial" w:cs="Arial"/>
                <w:sz w:val="20"/>
                <w:szCs w:val="20"/>
                <w:lang w:eastAsia="en-GB"/>
              </w:rPr>
            </w:pPr>
            <w:r w:rsidRPr="00285075">
              <w:rPr>
                <w:rFonts w:ascii="Arial" w:eastAsia="MS PGothic" w:hAnsi="Arial" w:cs="Arial"/>
                <w:kern w:val="24"/>
                <w:sz w:val="20"/>
                <w:szCs w:val="20"/>
                <w:lang w:eastAsia="en-GB"/>
              </w:rPr>
              <w:t>Male</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76AEBC61"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85 (47)</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287DCF73"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30 (45)</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7D8C2C24"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115 (46)</w:t>
            </w:r>
          </w:p>
        </w:tc>
        <w:tc>
          <w:tcPr>
            <w:tcW w:w="1605" w:type="dxa"/>
            <w:vMerge w:val="restart"/>
            <w:tcBorders>
              <w:top w:val="nil"/>
              <w:bottom w:val="nil"/>
            </w:tcBorders>
            <w:shd w:val="clear" w:color="auto" w:fill="FFFFFF" w:themeFill="background1"/>
            <w:tcMar>
              <w:top w:w="28" w:type="dxa"/>
              <w:left w:w="57" w:type="dxa"/>
              <w:bottom w:w="28" w:type="dxa"/>
              <w:right w:w="57" w:type="dxa"/>
            </w:tcMar>
            <w:hideMark/>
          </w:tcPr>
          <w:p w14:paraId="05865838"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0.89</w:t>
            </w:r>
          </w:p>
        </w:tc>
      </w:tr>
      <w:tr w:rsidR="002B1B15" w:rsidRPr="00285075" w14:paraId="6DBC24EC"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3F9EC960" w14:textId="74440CF1" w:rsidR="002B1B15" w:rsidRPr="001074FC" w:rsidRDefault="002B1B15" w:rsidP="001074FC">
            <w:pPr>
              <w:spacing w:after="0" w:line="240" w:lineRule="auto"/>
              <w:ind w:left="345"/>
              <w:textAlignment w:val="baseline"/>
              <w:rPr>
                <w:rFonts w:ascii="Arial" w:eastAsia="Times New Roman" w:hAnsi="Arial" w:cs="Arial"/>
                <w:sz w:val="20"/>
                <w:szCs w:val="20"/>
                <w:lang w:eastAsia="en-GB"/>
              </w:rPr>
            </w:pPr>
            <w:r w:rsidRPr="00285075">
              <w:rPr>
                <w:rFonts w:ascii="Arial" w:eastAsia="MS PGothic" w:hAnsi="Arial" w:cs="Arial"/>
                <w:kern w:val="24"/>
                <w:sz w:val="20"/>
                <w:szCs w:val="20"/>
                <w:lang w:eastAsia="en-GB"/>
              </w:rPr>
              <w:t>Female</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49A04D41"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98 (54)</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25C0873D"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37 (55)</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6610F3B8"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135 (54)</w:t>
            </w:r>
          </w:p>
        </w:tc>
        <w:tc>
          <w:tcPr>
            <w:tcW w:w="1605" w:type="dxa"/>
            <w:vMerge/>
            <w:tcBorders>
              <w:top w:val="nil"/>
              <w:bottom w:val="nil"/>
            </w:tcBorders>
            <w:shd w:val="clear" w:color="auto" w:fill="FFFFFF" w:themeFill="background1"/>
            <w:hideMark/>
          </w:tcPr>
          <w:p w14:paraId="3362BB67" w14:textId="77777777" w:rsidR="002B1B15" w:rsidRPr="001074FC" w:rsidRDefault="002B1B15" w:rsidP="00B66C7F">
            <w:pPr>
              <w:spacing w:after="0" w:line="240" w:lineRule="auto"/>
              <w:ind w:left="227"/>
              <w:rPr>
                <w:rFonts w:ascii="Arial" w:eastAsia="Times New Roman" w:hAnsi="Arial" w:cs="Arial"/>
                <w:sz w:val="20"/>
                <w:szCs w:val="20"/>
                <w:lang w:eastAsia="en-GB"/>
              </w:rPr>
            </w:pPr>
          </w:p>
        </w:tc>
      </w:tr>
      <w:tr w:rsidR="002B1B15" w:rsidRPr="00285075" w14:paraId="146CBAE8" w14:textId="77777777" w:rsidTr="001074FC">
        <w:trPr>
          <w:trHeight w:val="171"/>
          <w:jc w:val="center"/>
        </w:trPr>
        <w:tc>
          <w:tcPr>
            <w:tcW w:w="9829" w:type="dxa"/>
            <w:gridSpan w:val="5"/>
            <w:tcBorders>
              <w:top w:val="nil"/>
              <w:bottom w:val="nil"/>
            </w:tcBorders>
            <w:shd w:val="clear" w:color="auto" w:fill="FFFFFF" w:themeFill="background1"/>
            <w:tcMar>
              <w:top w:w="28" w:type="dxa"/>
              <w:left w:w="57" w:type="dxa"/>
              <w:bottom w:w="28" w:type="dxa"/>
              <w:right w:w="57" w:type="dxa"/>
            </w:tcMar>
            <w:hideMark/>
          </w:tcPr>
          <w:p w14:paraId="65E16F03" w14:textId="77777777" w:rsidR="002B1B15" w:rsidRPr="001074FC" w:rsidRDefault="002B1B15" w:rsidP="00B66C7F">
            <w:pPr>
              <w:spacing w:after="0" w:line="240" w:lineRule="auto"/>
              <w:ind w:left="227"/>
              <w:textAlignment w:val="baseline"/>
              <w:rPr>
                <w:rFonts w:ascii="Arial" w:eastAsia="Times New Roman" w:hAnsi="Arial" w:cs="Arial"/>
                <w:sz w:val="20"/>
                <w:szCs w:val="20"/>
                <w:lang w:eastAsia="en-GB"/>
              </w:rPr>
            </w:pPr>
            <w:r w:rsidRPr="00285075">
              <w:rPr>
                <w:rFonts w:ascii="Arial" w:eastAsia="MS PGothic" w:hAnsi="Arial" w:cs="Arial"/>
                <w:bCs/>
                <w:kern w:val="24"/>
                <w:sz w:val="20"/>
                <w:szCs w:val="20"/>
                <w:lang w:eastAsia="en-GB"/>
              </w:rPr>
              <w:t>Race, n (%)</w:t>
            </w:r>
            <w:r w:rsidRPr="001074FC">
              <w:rPr>
                <w:rFonts w:ascii="Arial" w:hAnsi="Arial" w:cs="Arial"/>
                <w:bCs/>
                <w:iCs/>
                <w:sz w:val="20"/>
                <w:szCs w:val="20"/>
                <w:u w:color="000000"/>
                <w:vertAlign w:val="superscript"/>
              </w:rPr>
              <w:t>c</w:t>
            </w:r>
          </w:p>
        </w:tc>
      </w:tr>
      <w:tr w:rsidR="002B1B15" w:rsidRPr="00285075" w14:paraId="40343E18"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2A4B1094" w14:textId="71B17C00"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 xml:space="preserve">White </w:t>
            </w:r>
          </w:p>
        </w:tc>
        <w:tc>
          <w:tcPr>
            <w:tcW w:w="1457" w:type="dxa"/>
            <w:tcBorders>
              <w:top w:val="nil"/>
              <w:bottom w:val="nil"/>
            </w:tcBorders>
            <w:shd w:val="clear" w:color="auto" w:fill="FFFFFF" w:themeFill="background1"/>
            <w:tcMar>
              <w:top w:w="28" w:type="dxa"/>
              <w:left w:w="57" w:type="dxa"/>
              <w:bottom w:w="28" w:type="dxa"/>
              <w:right w:w="57" w:type="dxa"/>
            </w:tcMar>
            <w:hideMark/>
          </w:tcPr>
          <w:p w14:paraId="1CC7BD62" w14:textId="77777777" w:rsidR="002B1B15" w:rsidRPr="001074FC" w:rsidRDefault="002B1B15" w:rsidP="001074FC">
            <w:pPr>
              <w:spacing w:after="0" w:line="240" w:lineRule="auto"/>
              <w:ind w:left="227"/>
              <w:textAlignment w:val="baseline"/>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133 (73)</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35B9143F"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49 (73)</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184A7ED8"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182 (73)</w:t>
            </w:r>
          </w:p>
        </w:tc>
        <w:tc>
          <w:tcPr>
            <w:tcW w:w="1605" w:type="dxa"/>
            <w:vMerge w:val="restart"/>
            <w:tcBorders>
              <w:top w:val="nil"/>
              <w:bottom w:val="nil"/>
            </w:tcBorders>
            <w:shd w:val="clear" w:color="auto" w:fill="FFFFFF" w:themeFill="background1"/>
            <w:tcMar>
              <w:top w:w="28" w:type="dxa"/>
              <w:left w:w="57" w:type="dxa"/>
              <w:bottom w:w="28" w:type="dxa"/>
              <w:right w:w="57" w:type="dxa"/>
            </w:tcMar>
            <w:hideMark/>
          </w:tcPr>
          <w:p w14:paraId="7CF0E2A8" w14:textId="77777777" w:rsidR="002B1B15" w:rsidRPr="001074FC" w:rsidRDefault="002B1B15" w:rsidP="001074FC">
            <w:pPr>
              <w:spacing w:after="0" w:line="240" w:lineRule="auto"/>
              <w:ind w:left="227"/>
              <w:textAlignment w:val="baseline"/>
              <w:rPr>
                <w:rFonts w:ascii="Arial" w:eastAsia="Times New Roman" w:hAnsi="Arial" w:cs="Arial"/>
                <w:sz w:val="20"/>
                <w:szCs w:val="20"/>
                <w:lang w:eastAsia="en-GB"/>
              </w:rPr>
            </w:pPr>
            <w:r w:rsidRPr="00285075">
              <w:rPr>
                <w:rFonts w:ascii="Arial" w:eastAsia="MS PGothic" w:hAnsi="Arial" w:cs="Arial"/>
                <w:kern w:val="24"/>
                <w:sz w:val="20"/>
                <w:szCs w:val="20"/>
                <w:lang w:eastAsia="en-GB"/>
              </w:rPr>
              <w:t>1</w:t>
            </w:r>
          </w:p>
        </w:tc>
      </w:tr>
      <w:tr w:rsidR="002B1B15" w:rsidRPr="00285075" w14:paraId="5D7D6D2B"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2F3EEA53" w14:textId="40EEEEFB"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Other</w:t>
            </w:r>
          </w:p>
        </w:tc>
        <w:tc>
          <w:tcPr>
            <w:tcW w:w="1457" w:type="dxa"/>
            <w:tcBorders>
              <w:top w:val="nil"/>
              <w:bottom w:val="nil"/>
            </w:tcBorders>
            <w:shd w:val="clear" w:color="auto" w:fill="FFFFFF" w:themeFill="background1"/>
            <w:tcMar>
              <w:top w:w="28" w:type="dxa"/>
              <w:left w:w="57" w:type="dxa"/>
              <w:bottom w:w="28" w:type="dxa"/>
              <w:right w:w="57" w:type="dxa"/>
            </w:tcMar>
            <w:hideMark/>
          </w:tcPr>
          <w:p w14:paraId="1BB03032" w14:textId="77777777" w:rsidR="002B1B15" w:rsidRPr="001074FC" w:rsidRDefault="002B1B15" w:rsidP="001074FC">
            <w:pPr>
              <w:spacing w:after="0" w:line="240" w:lineRule="auto"/>
              <w:ind w:left="227"/>
              <w:textAlignment w:val="baseline"/>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50 (27)</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5135B0ED"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18 (27)</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13D147DF"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68 (27)</w:t>
            </w:r>
          </w:p>
        </w:tc>
        <w:tc>
          <w:tcPr>
            <w:tcW w:w="1605" w:type="dxa"/>
            <w:vMerge/>
            <w:tcBorders>
              <w:top w:val="nil"/>
              <w:bottom w:val="nil"/>
            </w:tcBorders>
            <w:shd w:val="clear" w:color="auto" w:fill="FFFFFF" w:themeFill="background1"/>
            <w:hideMark/>
          </w:tcPr>
          <w:p w14:paraId="5EBEEC55" w14:textId="77777777" w:rsidR="002B1B15" w:rsidRPr="001074FC" w:rsidRDefault="002B1B15" w:rsidP="00B66C7F">
            <w:pPr>
              <w:spacing w:after="0" w:line="240" w:lineRule="auto"/>
              <w:ind w:left="227"/>
              <w:rPr>
                <w:rFonts w:ascii="Arial" w:eastAsia="Times New Roman" w:hAnsi="Arial" w:cs="Arial"/>
                <w:sz w:val="20"/>
                <w:szCs w:val="20"/>
                <w:lang w:eastAsia="en-GB"/>
              </w:rPr>
            </w:pPr>
          </w:p>
        </w:tc>
      </w:tr>
      <w:tr w:rsidR="002B1B15" w:rsidRPr="00285075" w14:paraId="717A92CF"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2FD1E0DD" w14:textId="77777777" w:rsidR="002B1B15" w:rsidRPr="001074FC" w:rsidRDefault="002B1B15" w:rsidP="00B66C7F">
            <w:pPr>
              <w:spacing w:after="0" w:line="240" w:lineRule="auto"/>
              <w:ind w:left="227"/>
              <w:rPr>
                <w:rFonts w:ascii="Arial" w:eastAsia="Times New Roman" w:hAnsi="Arial" w:cs="Arial"/>
                <w:sz w:val="20"/>
                <w:szCs w:val="20"/>
                <w:lang w:eastAsia="en-GB"/>
              </w:rPr>
            </w:pPr>
            <w:r w:rsidRPr="00285075">
              <w:rPr>
                <w:rFonts w:ascii="Arial" w:eastAsia="Times New Roman" w:hAnsi="Arial" w:cs="Arial"/>
                <w:bCs/>
                <w:kern w:val="24"/>
                <w:sz w:val="20"/>
                <w:szCs w:val="20"/>
                <w:lang w:eastAsia="en-GB"/>
              </w:rPr>
              <w:t>ACA histology, n (%)</w:t>
            </w:r>
            <w:r w:rsidRPr="001074FC">
              <w:rPr>
                <w:rFonts w:ascii="Arial" w:hAnsi="Arial" w:cs="Arial"/>
                <w:bCs/>
                <w:iCs/>
                <w:sz w:val="20"/>
                <w:szCs w:val="20"/>
                <w:u w:color="000000"/>
                <w:vertAlign w:val="superscript"/>
              </w:rPr>
              <w:t>c</w:t>
            </w:r>
          </w:p>
        </w:tc>
        <w:tc>
          <w:tcPr>
            <w:tcW w:w="1457" w:type="dxa"/>
            <w:tcBorders>
              <w:top w:val="nil"/>
              <w:bottom w:val="nil"/>
            </w:tcBorders>
            <w:shd w:val="clear" w:color="auto" w:fill="FFFFFF" w:themeFill="background1"/>
            <w:tcMar>
              <w:top w:w="28" w:type="dxa"/>
              <w:left w:w="57" w:type="dxa"/>
              <w:bottom w:w="28" w:type="dxa"/>
              <w:right w:w="57" w:type="dxa"/>
            </w:tcMar>
            <w:hideMark/>
          </w:tcPr>
          <w:p w14:paraId="21AC5AC0" w14:textId="77777777" w:rsidR="002B1B15" w:rsidRPr="001074FC" w:rsidRDefault="002B1B15" w:rsidP="001074FC">
            <w:pPr>
              <w:spacing w:after="0" w:line="240" w:lineRule="auto"/>
              <w:ind w:left="227"/>
              <w:textAlignment w:val="baseline"/>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175 (96)</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6C2230C5"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61 (91)</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76B5D82B"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236 (94)</w:t>
            </w:r>
          </w:p>
        </w:tc>
        <w:tc>
          <w:tcPr>
            <w:tcW w:w="1605" w:type="dxa"/>
            <w:tcBorders>
              <w:top w:val="nil"/>
              <w:bottom w:val="nil"/>
            </w:tcBorders>
            <w:shd w:val="clear" w:color="auto" w:fill="FFFFFF" w:themeFill="background1"/>
            <w:tcMar>
              <w:top w:w="15" w:type="dxa"/>
              <w:left w:w="108" w:type="dxa"/>
              <w:bottom w:w="0" w:type="dxa"/>
              <w:right w:w="108" w:type="dxa"/>
            </w:tcMar>
            <w:hideMark/>
          </w:tcPr>
          <w:p w14:paraId="3932EB53"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0.029</w:t>
            </w:r>
          </w:p>
        </w:tc>
      </w:tr>
      <w:tr w:rsidR="002B1B15" w:rsidRPr="00285075" w14:paraId="07FE52D2" w14:textId="77777777" w:rsidTr="001074FC">
        <w:trPr>
          <w:trHeight w:val="171"/>
          <w:jc w:val="center"/>
        </w:trPr>
        <w:tc>
          <w:tcPr>
            <w:tcW w:w="9829" w:type="dxa"/>
            <w:gridSpan w:val="5"/>
            <w:tcBorders>
              <w:top w:val="nil"/>
              <w:bottom w:val="nil"/>
            </w:tcBorders>
            <w:shd w:val="clear" w:color="auto" w:fill="FFFFFF" w:themeFill="background1"/>
            <w:tcMar>
              <w:top w:w="28" w:type="dxa"/>
              <w:left w:w="57" w:type="dxa"/>
              <w:bottom w:w="28" w:type="dxa"/>
              <w:right w:w="57" w:type="dxa"/>
            </w:tcMar>
            <w:hideMark/>
          </w:tcPr>
          <w:p w14:paraId="065F103B" w14:textId="77777777" w:rsidR="002B1B15" w:rsidRPr="001074FC" w:rsidRDefault="002B1B15" w:rsidP="00B66C7F">
            <w:pPr>
              <w:spacing w:after="0" w:line="240" w:lineRule="auto"/>
              <w:ind w:left="227"/>
              <w:rPr>
                <w:rFonts w:ascii="Arial" w:eastAsia="Times New Roman" w:hAnsi="Arial" w:cs="Arial"/>
                <w:sz w:val="20"/>
                <w:szCs w:val="20"/>
                <w:lang w:eastAsia="en-GB"/>
              </w:rPr>
            </w:pPr>
            <w:r w:rsidRPr="00285075">
              <w:rPr>
                <w:rFonts w:ascii="Arial" w:eastAsia="Times New Roman" w:hAnsi="Arial" w:cs="Arial"/>
                <w:bCs/>
                <w:kern w:val="24"/>
                <w:sz w:val="20"/>
                <w:szCs w:val="20"/>
                <w:lang w:eastAsia="en-GB"/>
              </w:rPr>
              <w:t>ECOG PS, n (%)</w:t>
            </w:r>
            <w:r w:rsidRPr="001074FC">
              <w:rPr>
                <w:rFonts w:ascii="Arial" w:hAnsi="Arial" w:cs="Arial"/>
                <w:bCs/>
                <w:iCs/>
                <w:sz w:val="20"/>
                <w:szCs w:val="20"/>
                <w:u w:color="000000"/>
                <w:vertAlign w:val="superscript"/>
              </w:rPr>
              <w:t>c</w:t>
            </w:r>
          </w:p>
        </w:tc>
      </w:tr>
      <w:tr w:rsidR="002B1B15" w:rsidRPr="00285075" w14:paraId="17D32852"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42BBFC49" w14:textId="2952EB14"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0</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40CA46A0"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64 (35)</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2B043441"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8 (12)</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5B556A11"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72 (29)</w:t>
            </w:r>
          </w:p>
        </w:tc>
        <w:tc>
          <w:tcPr>
            <w:tcW w:w="1605" w:type="dxa"/>
            <w:vMerge w:val="restart"/>
            <w:tcBorders>
              <w:top w:val="nil"/>
              <w:bottom w:val="nil"/>
            </w:tcBorders>
            <w:shd w:val="clear" w:color="auto" w:fill="FFFFFF" w:themeFill="background1"/>
            <w:tcMar>
              <w:top w:w="28" w:type="dxa"/>
              <w:left w:w="57" w:type="dxa"/>
              <w:bottom w:w="28" w:type="dxa"/>
              <w:right w:w="57" w:type="dxa"/>
            </w:tcMar>
            <w:hideMark/>
          </w:tcPr>
          <w:p w14:paraId="76D300D0" w14:textId="77777777" w:rsidR="002B1B15" w:rsidRPr="001074FC" w:rsidRDefault="002B1B15" w:rsidP="001074FC">
            <w:pPr>
              <w:spacing w:after="0" w:line="240" w:lineRule="auto"/>
              <w:ind w:left="227"/>
              <w:textAlignment w:val="baseline"/>
              <w:rPr>
                <w:rFonts w:ascii="Arial" w:eastAsia="Times New Roman" w:hAnsi="Arial" w:cs="Arial"/>
                <w:sz w:val="20"/>
                <w:szCs w:val="20"/>
                <w:lang w:eastAsia="en-GB"/>
              </w:rPr>
            </w:pPr>
            <w:r w:rsidRPr="00285075">
              <w:rPr>
                <w:rFonts w:ascii="Arial" w:eastAsia="MS PGothic" w:hAnsi="Arial" w:cs="Arial"/>
                <w:kern w:val="24"/>
                <w:sz w:val="20"/>
                <w:szCs w:val="20"/>
                <w:lang w:eastAsia="en-GB"/>
              </w:rPr>
              <w:t>0.11</w:t>
            </w:r>
          </w:p>
        </w:tc>
      </w:tr>
      <w:tr w:rsidR="002B1B15" w:rsidRPr="00285075" w14:paraId="2A814A30"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1ABE95E7" w14:textId="6D111436"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1C8976AB"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101 (55)</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609A36FD"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8 (12)</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173C82F2"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109 (44)</w:t>
            </w:r>
          </w:p>
        </w:tc>
        <w:tc>
          <w:tcPr>
            <w:tcW w:w="1605" w:type="dxa"/>
            <w:vMerge/>
            <w:tcBorders>
              <w:top w:val="nil"/>
              <w:bottom w:val="nil"/>
            </w:tcBorders>
            <w:shd w:val="clear" w:color="auto" w:fill="FFFFFF" w:themeFill="background1"/>
            <w:hideMark/>
          </w:tcPr>
          <w:p w14:paraId="07783B22" w14:textId="77777777" w:rsidR="002B1B15" w:rsidRPr="001074FC" w:rsidRDefault="002B1B15" w:rsidP="00B66C7F">
            <w:pPr>
              <w:spacing w:after="0" w:line="240" w:lineRule="auto"/>
              <w:ind w:left="227"/>
              <w:rPr>
                <w:rFonts w:ascii="Arial" w:eastAsia="Times New Roman" w:hAnsi="Arial" w:cs="Arial"/>
                <w:sz w:val="20"/>
                <w:szCs w:val="20"/>
                <w:lang w:eastAsia="en-GB"/>
              </w:rPr>
            </w:pPr>
          </w:p>
        </w:tc>
      </w:tr>
      <w:tr w:rsidR="002B1B15" w:rsidRPr="00285075" w14:paraId="50465081"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3D07EE2D" w14:textId="4341536D"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2</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74490CE9"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18 (10)</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31813B4F"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5 (7)</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45CD187F"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23 (9)</w:t>
            </w:r>
          </w:p>
        </w:tc>
        <w:tc>
          <w:tcPr>
            <w:tcW w:w="1605" w:type="dxa"/>
            <w:vMerge/>
            <w:tcBorders>
              <w:top w:val="nil"/>
              <w:bottom w:val="nil"/>
            </w:tcBorders>
            <w:shd w:val="clear" w:color="auto" w:fill="FFFFFF" w:themeFill="background1"/>
            <w:hideMark/>
          </w:tcPr>
          <w:p w14:paraId="68318EF6" w14:textId="77777777" w:rsidR="002B1B15" w:rsidRPr="001074FC" w:rsidRDefault="002B1B15" w:rsidP="00B66C7F">
            <w:pPr>
              <w:spacing w:after="0" w:line="240" w:lineRule="auto"/>
              <w:ind w:left="227"/>
              <w:rPr>
                <w:rFonts w:ascii="Arial" w:eastAsia="Times New Roman" w:hAnsi="Arial" w:cs="Arial"/>
                <w:sz w:val="20"/>
                <w:szCs w:val="20"/>
                <w:lang w:eastAsia="en-GB"/>
              </w:rPr>
            </w:pPr>
          </w:p>
        </w:tc>
      </w:tr>
      <w:tr w:rsidR="002B1B15" w:rsidRPr="00285075" w14:paraId="2185A938" w14:textId="77777777" w:rsidTr="001074FC">
        <w:trPr>
          <w:trHeight w:val="281"/>
          <w:jc w:val="center"/>
        </w:trPr>
        <w:tc>
          <w:tcPr>
            <w:tcW w:w="3211" w:type="dxa"/>
            <w:tcBorders>
              <w:top w:val="nil"/>
              <w:bottom w:val="nil"/>
            </w:tcBorders>
            <w:shd w:val="clear" w:color="auto" w:fill="FFFFFF" w:themeFill="background1"/>
            <w:tcMar>
              <w:top w:w="28" w:type="dxa"/>
              <w:left w:w="57" w:type="dxa"/>
              <w:bottom w:w="28" w:type="dxa"/>
              <w:right w:w="57" w:type="dxa"/>
            </w:tcMar>
          </w:tcPr>
          <w:p w14:paraId="348B363D" w14:textId="77777777" w:rsidR="002B1B15" w:rsidRPr="00285075" w:rsidRDefault="002B1B15" w:rsidP="00B66C7F">
            <w:pPr>
              <w:spacing w:after="0" w:line="240" w:lineRule="auto"/>
              <w:ind w:left="227"/>
              <w:rPr>
                <w:rFonts w:ascii="Arial" w:eastAsia="Times New Roman" w:hAnsi="Arial" w:cs="Arial"/>
                <w:kern w:val="24"/>
                <w:sz w:val="20"/>
                <w:szCs w:val="20"/>
                <w:lang w:eastAsia="en-GB"/>
              </w:rPr>
            </w:pPr>
            <w:r w:rsidRPr="00285075">
              <w:rPr>
                <w:rFonts w:ascii="Arial" w:eastAsia="Times New Roman" w:hAnsi="Arial" w:cs="Arial"/>
                <w:kern w:val="24"/>
                <w:sz w:val="20"/>
                <w:szCs w:val="20"/>
                <w:lang w:eastAsia="en-GB"/>
              </w:rPr>
              <w:t>Missing</w:t>
            </w:r>
          </w:p>
        </w:tc>
        <w:tc>
          <w:tcPr>
            <w:tcW w:w="1457" w:type="dxa"/>
            <w:tcBorders>
              <w:top w:val="nil"/>
              <w:bottom w:val="nil"/>
            </w:tcBorders>
            <w:shd w:val="clear" w:color="auto" w:fill="FFFFFF" w:themeFill="background1"/>
            <w:tcMar>
              <w:top w:w="15" w:type="dxa"/>
              <w:left w:w="108" w:type="dxa"/>
              <w:bottom w:w="0" w:type="dxa"/>
              <w:right w:w="108" w:type="dxa"/>
            </w:tcMar>
          </w:tcPr>
          <w:p w14:paraId="5BAC7FAD" w14:textId="77777777" w:rsidR="002B1B15" w:rsidRPr="00285075" w:rsidRDefault="002B1B15" w:rsidP="001074FC">
            <w:pPr>
              <w:spacing w:after="0" w:line="240" w:lineRule="auto"/>
              <w:ind w:left="227"/>
              <w:rPr>
                <w:rFonts w:ascii="Arial" w:eastAsia="Times New Roman" w:hAnsi="Arial" w:cs="Arial"/>
                <w:kern w:val="24"/>
                <w:sz w:val="20"/>
                <w:szCs w:val="20"/>
                <w:lang w:eastAsia="en-GB"/>
              </w:rPr>
            </w:pPr>
            <w:r w:rsidRPr="00285075">
              <w:rPr>
                <w:rFonts w:ascii="Arial" w:eastAsia="Times New Roman" w:hAnsi="Arial" w:cs="Arial"/>
                <w:kern w:val="24"/>
                <w:sz w:val="20"/>
                <w:szCs w:val="20"/>
                <w:lang w:eastAsia="en-GB"/>
              </w:rPr>
              <w:t>0</w:t>
            </w:r>
          </w:p>
        </w:tc>
        <w:tc>
          <w:tcPr>
            <w:tcW w:w="1967" w:type="dxa"/>
            <w:tcBorders>
              <w:top w:val="nil"/>
              <w:bottom w:val="nil"/>
            </w:tcBorders>
            <w:shd w:val="clear" w:color="auto" w:fill="FFFFFF" w:themeFill="background1"/>
            <w:tcMar>
              <w:top w:w="15" w:type="dxa"/>
              <w:left w:w="108" w:type="dxa"/>
              <w:bottom w:w="0" w:type="dxa"/>
              <w:right w:w="108" w:type="dxa"/>
            </w:tcMar>
          </w:tcPr>
          <w:p w14:paraId="03AAEE90" w14:textId="77777777" w:rsidR="002B1B15" w:rsidRPr="00285075" w:rsidRDefault="002B1B15" w:rsidP="001074FC">
            <w:pPr>
              <w:spacing w:after="0" w:line="240" w:lineRule="auto"/>
              <w:ind w:left="227"/>
              <w:rPr>
                <w:rFonts w:ascii="Arial" w:eastAsia="Times New Roman" w:hAnsi="Arial" w:cs="Arial"/>
                <w:kern w:val="24"/>
                <w:sz w:val="20"/>
                <w:szCs w:val="20"/>
                <w:lang w:eastAsia="en-GB"/>
              </w:rPr>
            </w:pPr>
            <w:r w:rsidRPr="00285075">
              <w:rPr>
                <w:rFonts w:ascii="Arial" w:eastAsia="Times New Roman" w:hAnsi="Arial" w:cs="Arial"/>
                <w:kern w:val="24"/>
                <w:sz w:val="20"/>
                <w:szCs w:val="20"/>
                <w:lang w:eastAsia="en-GB"/>
              </w:rPr>
              <w:t>46 (69)</w:t>
            </w:r>
          </w:p>
        </w:tc>
        <w:tc>
          <w:tcPr>
            <w:tcW w:w="1589" w:type="dxa"/>
            <w:tcBorders>
              <w:top w:val="nil"/>
              <w:bottom w:val="nil"/>
            </w:tcBorders>
            <w:shd w:val="clear" w:color="auto" w:fill="FFFFFF" w:themeFill="background1"/>
            <w:tcMar>
              <w:top w:w="15" w:type="dxa"/>
              <w:left w:w="108" w:type="dxa"/>
              <w:bottom w:w="0" w:type="dxa"/>
              <w:right w:w="108" w:type="dxa"/>
            </w:tcMar>
          </w:tcPr>
          <w:p w14:paraId="4F8EAE34" w14:textId="77777777" w:rsidR="002B1B15" w:rsidRPr="00285075" w:rsidRDefault="002B1B15" w:rsidP="001074FC">
            <w:pPr>
              <w:spacing w:after="0" w:line="240" w:lineRule="auto"/>
              <w:ind w:left="227"/>
              <w:rPr>
                <w:rFonts w:ascii="Arial" w:eastAsia="Times New Roman" w:hAnsi="Arial" w:cs="Arial"/>
                <w:kern w:val="24"/>
                <w:sz w:val="20"/>
                <w:szCs w:val="20"/>
                <w:lang w:eastAsia="en-GB"/>
              </w:rPr>
            </w:pPr>
            <w:r w:rsidRPr="00285075">
              <w:rPr>
                <w:rFonts w:ascii="Arial" w:eastAsia="Times New Roman" w:hAnsi="Arial" w:cs="Arial"/>
                <w:kern w:val="24"/>
                <w:sz w:val="20"/>
                <w:szCs w:val="20"/>
                <w:lang w:eastAsia="en-GB"/>
              </w:rPr>
              <w:t>46 (18)</w:t>
            </w:r>
          </w:p>
        </w:tc>
        <w:tc>
          <w:tcPr>
            <w:tcW w:w="1605" w:type="dxa"/>
            <w:vMerge/>
            <w:tcBorders>
              <w:top w:val="nil"/>
              <w:bottom w:val="nil"/>
            </w:tcBorders>
            <w:shd w:val="clear" w:color="auto" w:fill="FFFFFF" w:themeFill="background1"/>
          </w:tcPr>
          <w:p w14:paraId="2FBDDAF5" w14:textId="77777777" w:rsidR="002B1B15" w:rsidRPr="00285075" w:rsidRDefault="002B1B15" w:rsidP="001074FC">
            <w:pPr>
              <w:spacing w:after="0" w:line="240" w:lineRule="auto"/>
              <w:ind w:left="227"/>
              <w:rPr>
                <w:rFonts w:ascii="Arial" w:eastAsia="Times New Roman" w:hAnsi="Arial" w:cs="Arial"/>
                <w:sz w:val="20"/>
                <w:szCs w:val="20"/>
                <w:lang w:eastAsia="en-GB"/>
              </w:rPr>
            </w:pPr>
          </w:p>
        </w:tc>
      </w:tr>
      <w:tr w:rsidR="002B1B15" w:rsidRPr="00285075" w14:paraId="2DCA89DD" w14:textId="77777777" w:rsidTr="001074FC">
        <w:trPr>
          <w:trHeight w:val="171"/>
          <w:jc w:val="center"/>
        </w:trPr>
        <w:tc>
          <w:tcPr>
            <w:tcW w:w="9829" w:type="dxa"/>
            <w:gridSpan w:val="5"/>
            <w:tcBorders>
              <w:top w:val="nil"/>
              <w:bottom w:val="nil"/>
            </w:tcBorders>
            <w:shd w:val="clear" w:color="auto" w:fill="FFFFFF" w:themeFill="background1"/>
            <w:tcMar>
              <w:top w:w="28" w:type="dxa"/>
              <w:left w:w="57" w:type="dxa"/>
              <w:bottom w:w="28" w:type="dxa"/>
              <w:right w:w="57" w:type="dxa"/>
            </w:tcMar>
            <w:hideMark/>
          </w:tcPr>
          <w:p w14:paraId="1FB9965F" w14:textId="77777777" w:rsidR="002B1B15" w:rsidRPr="001074FC" w:rsidRDefault="002B1B15" w:rsidP="00B66C7F">
            <w:pPr>
              <w:spacing w:after="0" w:line="240" w:lineRule="auto"/>
              <w:ind w:left="227"/>
              <w:rPr>
                <w:rFonts w:ascii="Arial" w:eastAsia="Times New Roman" w:hAnsi="Arial" w:cs="Arial"/>
                <w:sz w:val="20"/>
                <w:szCs w:val="20"/>
                <w:lang w:eastAsia="en-GB"/>
              </w:rPr>
            </w:pPr>
            <w:r w:rsidRPr="00285075">
              <w:rPr>
                <w:rFonts w:ascii="Arial" w:eastAsia="Times New Roman" w:hAnsi="Arial" w:cs="Arial"/>
                <w:bCs/>
                <w:kern w:val="24"/>
                <w:sz w:val="20"/>
                <w:szCs w:val="20"/>
                <w:lang w:eastAsia="en-GB"/>
              </w:rPr>
              <w:t>Stage at diagnosis, n (%)</w:t>
            </w:r>
            <w:r w:rsidRPr="001074FC">
              <w:rPr>
                <w:rFonts w:ascii="Arial" w:hAnsi="Arial" w:cs="Arial"/>
                <w:bCs/>
                <w:iCs/>
                <w:sz w:val="20"/>
                <w:szCs w:val="20"/>
                <w:u w:color="000000"/>
                <w:vertAlign w:val="superscript"/>
              </w:rPr>
              <w:t>a,c</w:t>
            </w:r>
          </w:p>
        </w:tc>
      </w:tr>
      <w:tr w:rsidR="002B1B15" w:rsidRPr="00285075" w14:paraId="388D8F69"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4E17A479" w14:textId="3C2A6785"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IIIB</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7C0D90D7"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13 (7)</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2F7A94F9"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8 (12)</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0CB1DA85"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21 (8)</w:t>
            </w:r>
          </w:p>
        </w:tc>
        <w:tc>
          <w:tcPr>
            <w:tcW w:w="1605" w:type="dxa"/>
            <w:vMerge w:val="restart"/>
            <w:tcBorders>
              <w:top w:val="nil"/>
              <w:bottom w:val="nil"/>
            </w:tcBorders>
            <w:shd w:val="clear" w:color="auto" w:fill="FFFFFF" w:themeFill="background1"/>
            <w:tcMar>
              <w:top w:w="28" w:type="dxa"/>
              <w:left w:w="57" w:type="dxa"/>
              <w:bottom w:w="28" w:type="dxa"/>
              <w:right w:w="57" w:type="dxa"/>
            </w:tcMar>
            <w:hideMark/>
          </w:tcPr>
          <w:p w14:paraId="1E18CD6D" w14:textId="77777777" w:rsidR="002B1B15" w:rsidRPr="001074FC" w:rsidRDefault="002B1B15" w:rsidP="001074FC">
            <w:pPr>
              <w:spacing w:after="0" w:line="240" w:lineRule="auto"/>
              <w:ind w:left="227"/>
              <w:textAlignment w:val="baseline"/>
              <w:rPr>
                <w:rFonts w:ascii="Arial" w:eastAsia="Times New Roman" w:hAnsi="Arial" w:cs="Arial"/>
                <w:sz w:val="20"/>
                <w:szCs w:val="20"/>
                <w:lang w:eastAsia="en-GB"/>
              </w:rPr>
            </w:pPr>
            <w:r w:rsidRPr="00285075">
              <w:rPr>
                <w:rFonts w:ascii="Arial" w:eastAsia="MS PGothic" w:hAnsi="Arial" w:cs="Arial"/>
                <w:kern w:val="24"/>
                <w:sz w:val="20"/>
                <w:szCs w:val="20"/>
                <w:lang w:eastAsia="en-GB"/>
              </w:rPr>
              <w:t>0.3</w:t>
            </w:r>
          </w:p>
        </w:tc>
      </w:tr>
      <w:tr w:rsidR="002B1B15" w:rsidRPr="00285075" w14:paraId="77A0C797"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29C38D8E" w14:textId="41D23AE0"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IV</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4E1A5554"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170 (93)</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63486210"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59 (88)</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6AE6E4E3"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229 (92)</w:t>
            </w:r>
          </w:p>
        </w:tc>
        <w:tc>
          <w:tcPr>
            <w:tcW w:w="1605" w:type="dxa"/>
            <w:vMerge/>
            <w:tcBorders>
              <w:top w:val="nil"/>
              <w:bottom w:val="nil"/>
            </w:tcBorders>
            <w:shd w:val="clear" w:color="auto" w:fill="FFFFFF" w:themeFill="background1"/>
            <w:hideMark/>
          </w:tcPr>
          <w:p w14:paraId="36E7D9F1" w14:textId="77777777" w:rsidR="002B1B15" w:rsidRPr="001074FC" w:rsidRDefault="002B1B15" w:rsidP="00B66C7F">
            <w:pPr>
              <w:spacing w:after="0" w:line="240" w:lineRule="auto"/>
              <w:ind w:left="227"/>
              <w:rPr>
                <w:rFonts w:ascii="Arial" w:eastAsia="Times New Roman" w:hAnsi="Arial" w:cs="Arial"/>
                <w:sz w:val="20"/>
                <w:szCs w:val="20"/>
                <w:lang w:eastAsia="en-GB"/>
              </w:rPr>
            </w:pPr>
          </w:p>
        </w:tc>
      </w:tr>
      <w:tr w:rsidR="002B1B15" w:rsidRPr="00CF7BBB" w14:paraId="5AFC6289" w14:textId="77777777" w:rsidTr="001074FC">
        <w:trPr>
          <w:trHeight w:val="171"/>
          <w:jc w:val="center"/>
        </w:trPr>
        <w:tc>
          <w:tcPr>
            <w:tcW w:w="9829" w:type="dxa"/>
            <w:gridSpan w:val="5"/>
            <w:tcBorders>
              <w:top w:val="nil"/>
              <w:bottom w:val="nil"/>
            </w:tcBorders>
            <w:shd w:val="clear" w:color="auto" w:fill="FFFFFF" w:themeFill="background1"/>
            <w:tcMar>
              <w:top w:w="28" w:type="dxa"/>
              <w:left w:w="57" w:type="dxa"/>
              <w:bottom w:w="28" w:type="dxa"/>
              <w:right w:w="57" w:type="dxa"/>
            </w:tcMar>
            <w:hideMark/>
          </w:tcPr>
          <w:p w14:paraId="6E15F246" w14:textId="77777777" w:rsidR="002B1B15" w:rsidRPr="00330802" w:rsidRDefault="002B1B15" w:rsidP="00B66C7F">
            <w:pPr>
              <w:spacing w:after="0" w:line="240" w:lineRule="auto"/>
              <w:ind w:left="227"/>
              <w:rPr>
                <w:rFonts w:ascii="Arial" w:eastAsia="Times New Roman" w:hAnsi="Arial" w:cs="Arial"/>
                <w:sz w:val="20"/>
                <w:szCs w:val="20"/>
                <w:lang w:val="pt-BR" w:eastAsia="en-GB"/>
              </w:rPr>
            </w:pPr>
            <w:r w:rsidRPr="00330802">
              <w:rPr>
                <w:rFonts w:ascii="Arial" w:eastAsia="Times New Roman" w:hAnsi="Arial" w:cs="Arial"/>
                <w:bCs/>
                <w:kern w:val="24"/>
                <w:sz w:val="20"/>
                <w:szCs w:val="20"/>
                <w:lang w:val="pt-BR" w:eastAsia="en-GB"/>
              </w:rPr>
              <w:t>CNS metastasis, n (%)</w:t>
            </w:r>
            <w:r w:rsidRPr="00330802">
              <w:rPr>
                <w:rFonts w:ascii="Arial" w:hAnsi="Arial" w:cs="Arial"/>
                <w:bCs/>
                <w:iCs/>
                <w:sz w:val="20"/>
                <w:szCs w:val="20"/>
                <w:u w:color="000000"/>
                <w:vertAlign w:val="superscript"/>
                <w:lang w:val="pt-BR"/>
              </w:rPr>
              <w:t>a,c</w:t>
            </w:r>
          </w:p>
        </w:tc>
      </w:tr>
      <w:tr w:rsidR="002B1B15" w:rsidRPr="00285075" w14:paraId="28B9FF79"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1F5D0C65" w14:textId="392969E2"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Yes</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4FB14460"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112 (61)</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5E98EDDD"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23 (34)</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2BEA3311"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135 (54)</w:t>
            </w:r>
          </w:p>
        </w:tc>
        <w:tc>
          <w:tcPr>
            <w:tcW w:w="1605" w:type="dxa"/>
            <w:vMerge w:val="restart"/>
            <w:tcBorders>
              <w:top w:val="nil"/>
              <w:bottom w:val="nil"/>
            </w:tcBorders>
            <w:shd w:val="clear" w:color="auto" w:fill="FFFFFF" w:themeFill="background1"/>
            <w:tcMar>
              <w:top w:w="28" w:type="dxa"/>
              <w:left w:w="57" w:type="dxa"/>
              <w:bottom w:w="28" w:type="dxa"/>
              <w:right w:w="57" w:type="dxa"/>
            </w:tcMar>
            <w:hideMark/>
          </w:tcPr>
          <w:p w14:paraId="52B5EFB6" w14:textId="77777777" w:rsidR="002B1B15" w:rsidRPr="001074FC" w:rsidRDefault="002B1B15" w:rsidP="001074FC">
            <w:pPr>
              <w:spacing w:after="0" w:line="240" w:lineRule="auto"/>
              <w:ind w:left="227"/>
              <w:textAlignment w:val="baseline"/>
              <w:rPr>
                <w:rFonts w:ascii="Arial" w:eastAsia="Times New Roman" w:hAnsi="Arial" w:cs="Arial"/>
                <w:sz w:val="20"/>
                <w:szCs w:val="20"/>
                <w:lang w:eastAsia="en-GB"/>
              </w:rPr>
            </w:pPr>
            <w:r w:rsidRPr="00285075">
              <w:rPr>
                <w:rFonts w:ascii="Arial" w:eastAsia="MS PGothic" w:hAnsi="Arial" w:cs="Arial"/>
                <w:kern w:val="24"/>
                <w:sz w:val="20"/>
                <w:szCs w:val="20"/>
                <w:lang w:eastAsia="en-GB"/>
              </w:rPr>
              <w:t>0.0002</w:t>
            </w:r>
          </w:p>
        </w:tc>
      </w:tr>
      <w:tr w:rsidR="002B1B15" w:rsidRPr="00285075" w14:paraId="39A62866"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028A7D15" w14:textId="04CFDA06"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No</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15ED43FB"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71 (39)</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4A55B440"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44 (66)</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54F0D157"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115 (46)</w:t>
            </w:r>
          </w:p>
        </w:tc>
        <w:tc>
          <w:tcPr>
            <w:tcW w:w="1605" w:type="dxa"/>
            <w:vMerge/>
            <w:tcBorders>
              <w:top w:val="nil"/>
              <w:bottom w:val="nil"/>
            </w:tcBorders>
            <w:shd w:val="clear" w:color="auto" w:fill="FFFFFF" w:themeFill="background1"/>
            <w:hideMark/>
          </w:tcPr>
          <w:p w14:paraId="359BEB7F" w14:textId="77777777" w:rsidR="002B1B15" w:rsidRPr="001074FC" w:rsidRDefault="002B1B15" w:rsidP="00B66C7F">
            <w:pPr>
              <w:spacing w:after="0" w:line="240" w:lineRule="auto"/>
              <w:ind w:left="227"/>
              <w:rPr>
                <w:rFonts w:ascii="Arial" w:eastAsia="Times New Roman" w:hAnsi="Arial" w:cs="Arial"/>
                <w:sz w:val="20"/>
                <w:szCs w:val="20"/>
                <w:lang w:eastAsia="en-GB"/>
              </w:rPr>
            </w:pPr>
          </w:p>
        </w:tc>
      </w:tr>
      <w:tr w:rsidR="002B1B15" w:rsidRPr="00285075" w14:paraId="69A47706" w14:textId="77777777" w:rsidTr="001074FC">
        <w:trPr>
          <w:trHeight w:val="171"/>
          <w:jc w:val="center"/>
        </w:trPr>
        <w:tc>
          <w:tcPr>
            <w:tcW w:w="9829" w:type="dxa"/>
            <w:gridSpan w:val="5"/>
            <w:tcBorders>
              <w:top w:val="nil"/>
              <w:bottom w:val="nil"/>
            </w:tcBorders>
            <w:shd w:val="clear" w:color="auto" w:fill="FFFFFF" w:themeFill="background1"/>
            <w:tcMar>
              <w:top w:w="28" w:type="dxa"/>
              <w:left w:w="57" w:type="dxa"/>
              <w:bottom w:w="28" w:type="dxa"/>
              <w:right w:w="57" w:type="dxa"/>
            </w:tcMar>
            <w:hideMark/>
          </w:tcPr>
          <w:p w14:paraId="3668B2E9" w14:textId="77777777" w:rsidR="002B1B15" w:rsidRPr="001074FC" w:rsidRDefault="002B1B15" w:rsidP="00B66C7F">
            <w:pPr>
              <w:spacing w:after="0" w:line="240" w:lineRule="auto"/>
              <w:ind w:left="227"/>
              <w:rPr>
                <w:rFonts w:ascii="Arial" w:eastAsia="Times New Roman" w:hAnsi="Arial" w:cs="Arial"/>
                <w:sz w:val="20"/>
                <w:szCs w:val="20"/>
                <w:lang w:eastAsia="en-GB"/>
              </w:rPr>
            </w:pPr>
            <w:r w:rsidRPr="00285075">
              <w:rPr>
                <w:rFonts w:ascii="Arial" w:eastAsia="Times New Roman" w:hAnsi="Arial" w:cs="Arial"/>
                <w:bCs/>
                <w:kern w:val="24"/>
                <w:sz w:val="20"/>
                <w:szCs w:val="20"/>
                <w:lang w:eastAsia="en-GB"/>
              </w:rPr>
              <w:t>History of smoking, n (%)</w:t>
            </w:r>
            <w:r w:rsidRPr="001074FC">
              <w:rPr>
                <w:rFonts w:ascii="Arial" w:hAnsi="Arial" w:cs="Arial"/>
                <w:bCs/>
                <w:iCs/>
                <w:sz w:val="20"/>
                <w:szCs w:val="20"/>
                <w:u w:color="000000"/>
                <w:vertAlign w:val="superscript"/>
              </w:rPr>
              <w:t>c</w:t>
            </w:r>
          </w:p>
        </w:tc>
      </w:tr>
      <w:tr w:rsidR="002B1B15" w:rsidRPr="00285075" w14:paraId="1C5023F7"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65770DF9" w14:textId="34EBC044"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Yes</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235FFFC5"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62 (34)</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34E3FB23"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30 (45)</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29264E00"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92 (37)</w:t>
            </w:r>
          </w:p>
        </w:tc>
        <w:tc>
          <w:tcPr>
            <w:tcW w:w="1605" w:type="dxa"/>
            <w:vMerge w:val="restart"/>
            <w:tcBorders>
              <w:top w:val="nil"/>
              <w:bottom w:val="nil"/>
            </w:tcBorders>
            <w:shd w:val="clear" w:color="auto" w:fill="FFFFFF" w:themeFill="background1"/>
            <w:tcMar>
              <w:top w:w="28" w:type="dxa"/>
              <w:left w:w="57" w:type="dxa"/>
              <w:bottom w:w="28" w:type="dxa"/>
              <w:right w:w="57" w:type="dxa"/>
            </w:tcMar>
            <w:hideMark/>
          </w:tcPr>
          <w:p w14:paraId="3D8B1923" w14:textId="77777777" w:rsidR="002B1B15" w:rsidRPr="001074FC" w:rsidRDefault="002B1B15" w:rsidP="001074FC">
            <w:pPr>
              <w:spacing w:after="0" w:line="240" w:lineRule="auto"/>
              <w:ind w:left="227"/>
              <w:textAlignment w:val="baseline"/>
              <w:rPr>
                <w:rFonts w:ascii="Arial" w:eastAsia="Times New Roman" w:hAnsi="Arial" w:cs="Arial"/>
                <w:sz w:val="20"/>
                <w:szCs w:val="20"/>
                <w:lang w:eastAsia="en-GB"/>
              </w:rPr>
            </w:pPr>
            <w:r w:rsidRPr="00285075">
              <w:rPr>
                <w:rFonts w:ascii="Arial" w:eastAsia="MS PGothic" w:hAnsi="Arial" w:cs="Arial"/>
                <w:kern w:val="24"/>
                <w:sz w:val="20"/>
                <w:szCs w:val="20"/>
                <w:lang w:eastAsia="en-GB"/>
              </w:rPr>
              <w:t>0.14</w:t>
            </w:r>
          </w:p>
        </w:tc>
      </w:tr>
      <w:tr w:rsidR="002B1B15" w:rsidRPr="00285075" w14:paraId="5D10C77E"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498082D0" w14:textId="533BD15C"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No</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6227355C"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121 (66)</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1536F56C"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37 (55)</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7871F265"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158 (63)</w:t>
            </w:r>
          </w:p>
        </w:tc>
        <w:tc>
          <w:tcPr>
            <w:tcW w:w="1605" w:type="dxa"/>
            <w:vMerge/>
            <w:tcBorders>
              <w:top w:val="nil"/>
              <w:bottom w:val="nil"/>
            </w:tcBorders>
            <w:shd w:val="clear" w:color="auto" w:fill="FFFFFF" w:themeFill="background1"/>
            <w:hideMark/>
          </w:tcPr>
          <w:p w14:paraId="466CF571" w14:textId="77777777" w:rsidR="002B1B15" w:rsidRPr="001074FC" w:rsidRDefault="002B1B15" w:rsidP="00B66C7F">
            <w:pPr>
              <w:spacing w:after="0" w:line="240" w:lineRule="auto"/>
              <w:ind w:left="227"/>
              <w:rPr>
                <w:rFonts w:ascii="Arial" w:eastAsia="Times New Roman" w:hAnsi="Arial" w:cs="Arial"/>
                <w:sz w:val="20"/>
                <w:szCs w:val="20"/>
                <w:lang w:eastAsia="en-GB"/>
              </w:rPr>
            </w:pPr>
          </w:p>
        </w:tc>
      </w:tr>
      <w:tr w:rsidR="002B1B15" w:rsidRPr="00285075" w14:paraId="175EDA71"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67C205A3" w14:textId="77777777" w:rsidR="002B1B15" w:rsidRPr="001074FC" w:rsidRDefault="002B1B15" w:rsidP="00B66C7F">
            <w:pPr>
              <w:spacing w:after="0" w:line="240" w:lineRule="auto"/>
              <w:ind w:left="227"/>
              <w:rPr>
                <w:rFonts w:ascii="Arial" w:eastAsia="Times New Roman" w:hAnsi="Arial" w:cs="Arial"/>
                <w:sz w:val="20"/>
                <w:szCs w:val="20"/>
                <w:lang w:eastAsia="en-GB"/>
              </w:rPr>
            </w:pPr>
            <w:r w:rsidRPr="00285075">
              <w:rPr>
                <w:rFonts w:ascii="Arial" w:eastAsia="Times New Roman" w:hAnsi="Arial" w:cs="Arial"/>
                <w:bCs/>
                <w:kern w:val="24"/>
                <w:sz w:val="20"/>
                <w:szCs w:val="20"/>
                <w:lang w:eastAsia="en-GB"/>
              </w:rPr>
              <w:t>Prior chemotherapy, n (%)</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195F2864"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136 (74)</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729D4690"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19 (28)</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16A8F209"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155 (62)</w:t>
            </w:r>
          </w:p>
        </w:tc>
        <w:tc>
          <w:tcPr>
            <w:tcW w:w="1605" w:type="dxa"/>
            <w:tcBorders>
              <w:top w:val="nil"/>
              <w:bottom w:val="nil"/>
            </w:tcBorders>
            <w:shd w:val="clear" w:color="auto" w:fill="FFFFFF" w:themeFill="background1"/>
            <w:tcMar>
              <w:top w:w="28" w:type="dxa"/>
              <w:left w:w="57" w:type="dxa"/>
              <w:bottom w:w="28" w:type="dxa"/>
              <w:right w:w="57" w:type="dxa"/>
            </w:tcMar>
            <w:hideMark/>
          </w:tcPr>
          <w:p w14:paraId="6A59F026" w14:textId="77777777" w:rsidR="002B1B15" w:rsidRPr="00285075"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sz w:val="20"/>
                <w:szCs w:val="20"/>
                <w:lang w:eastAsia="en-GB"/>
              </w:rPr>
              <w:t>&lt;0.0001</w:t>
            </w:r>
          </w:p>
        </w:tc>
      </w:tr>
      <w:tr w:rsidR="002B1B15" w:rsidRPr="00285075" w14:paraId="7F98AA94" w14:textId="77777777" w:rsidTr="001074FC">
        <w:trPr>
          <w:trHeight w:val="171"/>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2CEEE576" w14:textId="77777777" w:rsidR="002B1B15" w:rsidRPr="001074FC" w:rsidRDefault="002B1B15" w:rsidP="00B66C7F">
            <w:pPr>
              <w:spacing w:after="0" w:line="240" w:lineRule="auto"/>
              <w:ind w:left="227"/>
              <w:rPr>
                <w:rFonts w:ascii="Arial" w:eastAsia="Times New Roman" w:hAnsi="Arial" w:cs="Arial"/>
                <w:sz w:val="20"/>
                <w:szCs w:val="20"/>
                <w:lang w:eastAsia="en-GB"/>
              </w:rPr>
            </w:pPr>
            <w:r w:rsidRPr="00285075">
              <w:rPr>
                <w:rFonts w:ascii="Arial" w:eastAsia="Times New Roman" w:hAnsi="Arial" w:cs="Arial"/>
                <w:bCs/>
                <w:kern w:val="24"/>
                <w:sz w:val="20"/>
                <w:szCs w:val="20"/>
                <w:lang w:eastAsia="en-GB"/>
              </w:rPr>
              <w:t>Prior radiation, n (%)</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63E5B37C"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84 (46)</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7E239128"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21 (31)</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3584A810" w14:textId="77777777" w:rsidR="002B1B15" w:rsidRPr="00285075"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105 (42)</w:t>
            </w:r>
          </w:p>
        </w:tc>
        <w:tc>
          <w:tcPr>
            <w:tcW w:w="1605" w:type="dxa"/>
            <w:tcBorders>
              <w:top w:val="nil"/>
              <w:bottom w:val="nil"/>
            </w:tcBorders>
            <w:shd w:val="clear" w:color="auto" w:fill="FFFFFF" w:themeFill="background1"/>
            <w:tcMar>
              <w:top w:w="28" w:type="dxa"/>
              <w:left w:w="57" w:type="dxa"/>
              <w:bottom w:w="28" w:type="dxa"/>
              <w:right w:w="57" w:type="dxa"/>
            </w:tcMar>
            <w:hideMark/>
          </w:tcPr>
          <w:p w14:paraId="3D304375" w14:textId="77777777" w:rsidR="002B1B15" w:rsidRPr="00285075"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sz w:val="20"/>
                <w:szCs w:val="20"/>
                <w:lang w:eastAsia="en-GB"/>
              </w:rPr>
              <w:t>0.043</w:t>
            </w:r>
          </w:p>
        </w:tc>
      </w:tr>
      <w:tr w:rsidR="002B1B15" w:rsidRPr="00285075" w14:paraId="6A0C8E94" w14:textId="77777777" w:rsidTr="001074FC">
        <w:trPr>
          <w:trHeight w:val="171"/>
          <w:jc w:val="center"/>
        </w:trPr>
        <w:tc>
          <w:tcPr>
            <w:tcW w:w="9829" w:type="dxa"/>
            <w:gridSpan w:val="5"/>
            <w:tcBorders>
              <w:top w:val="nil"/>
              <w:bottom w:val="nil"/>
            </w:tcBorders>
            <w:shd w:val="clear" w:color="auto" w:fill="FFFFFF" w:themeFill="background1"/>
            <w:tcMar>
              <w:top w:w="28" w:type="dxa"/>
              <w:left w:w="57" w:type="dxa"/>
              <w:bottom w:w="28" w:type="dxa"/>
              <w:right w:w="57" w:type="dxa"/>
            </w:tcMar>
            <w:hideMark/>
          </w:tcPr>
          <w:p w14:paraId="1ED4F01F" w14:textId="38DB9C66" w:rsidR="002B1B15" w:rsidRPr="001074FC" w:rsidRDefault="002B1B15" w:rsidP="00B66C7F">
            <w:pPr>
              <w:spacing w:after="0" w:line="240" w:lineRule="auto"/>
              <w:ind w:left="227"/>
              <w:rPr>
                <w:rFonts w:ascii="Arial" w:eastAsia="Times New Roman" w:hAnsi="Arial" w:cs="Arial"/>
                <w:sz w:val="20"/>
                <w:szCs w:val="20"/>
                <w:lang w:eastAsia="en-GB"/>
              </w:rPr>
            </w:pPr>
            <w:r w:rsidRPr="00285075">
              <w:rPr>
                <w:rFonts w:ascii="Arial" w:eastAsia="Times New Roman" w:hAnsi="Arial" w:cs="Arial"/>
                <w:bCs/>
                <w:kern w:val="24"/>
                <w:sz w:val="20"/>
                <w:szCs w:val="20"/>
                <w:lang w:eastAsia="en-GB"/>
              </w:rPr>
              <w:t>Prior lines of treatment, n (%)</w:t>
            </w:r>
          </w:p>
        </w:tc>
      </w:tr>
      <w:tr w:rsidR="002B1B15" w:rsidRPr="00285075" w14:paraId="5FF5CF07" w14:textId="77777777" w:rsidTr="001074FC">
        <w:trPr>
          <w:trHeight w:val="196"/>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7EC6C23E" w14:textId="5C0BD70F"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1</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2A16B5BE"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52 (28)</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4446FF2F"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38 (57)</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72B87AA6"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90 (36)</w:t>
            </w:r>
          </w:p>
        </w:tc>
        <w:tc>
          <w:tcPr>
            <w:tcW w:w="1605" w:type="dxa"/>
            <w:vMerge w:val="restart"/>
            <w:tcBorders>
              <w:top w:val="nil"/>
              <w:bottom w:val="nil"/>
            </w:tcBorders>
            <w:shd w:val="clear" w:color="auto" w:fill="FFFFFF" w:themeFill="background1"/>
            <w:tcMar>
              <w:top w:w="28" w:type="dxa"/>
              <w:left w:w="57" w:type="dxa"/>
              <w:bottom w:w="28" w:type="dxa"/>
              <w:right w:w="57" w:type="dxa"/>
            </w:tcMar>
            <w:hideMark/>
          </w:tcPr>
          <w:p w14:paraId="2A462492" w14:textId="77777777" w:rsidR="002B1B15" w:rsidRPr="00285075"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sz w:val="20"/>
                <w:szCs w:val="20"/>
                <w:lang w:eastAsia="en-GB"/>
              </w:rPr>
              <w:t>&lt;0.0001</w:t>
            </w:r>
          </w:p>
        </w:tc>
      </w:tr>
      <w:tr w:rsidR="002B1B15" w:rsidRPr="00285075" w14:paraId="0345DCBC" w14:textId="77777777" w:rsidTr="001074FC">
        <w:trPr>
          <w:trHeight w:val="196"/>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74141F26" w14:textId="4D464AC4"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2</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42FBEC51"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66 (36)</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55A5AE79"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20 (30)</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502349FF"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86 (34)</w:t>
            </w:r>
          </w:p>
        </w:tc>
        <w:tc>
          <w:tcPr>
            <w:tcW w:w="1605" w:type="dxa"/>
            <w:vMerge/>
            <w:tcBorders>
              <w:top w:val="nil"/>
              <w:bottom w:val="nil"/>
            </w:tcBorders>
            <w:shd w:val="clear" w:color="auto" w:fill="FFFFFF" w:themeFill="background1"/>
            <w:tcMar>
              <w:top w:w="28" w:type="dxa"/>
              <w:left w:w="57" w:type="dxa"/>
              <w:bottom w:w="28" w:type="dxa"/>
              <w:right w:w="57" w:type="dxa"/>
            </w:tcMar>
            <w:hideMark/>
          </w:tcPr>
          <w:p w14:paraId="74DAA702" w14:textId="77777777" w:rsidR="002B1B15" w:rsidRPr="00285075" w:rsidRDefault="002B1B15" w:rsidP="00B66C7F">
            <w:pPr>
              <w:spacing w:after="0" w:line="240" w:lineRule="auto"/>
              <w:ind w:left="227"/>
              <w:rPr>
                <w:rFonts w:ascii="Arial" w:eastAsia="Times New Roman" w:hAnsi="Arial" w:cs="Arial"/>
                <w:sz w:val="20"/>
                <w:szCs w:val="20"/>
                <w:lang w:eastAsia="en-GB"/>
              </w:rPr>
            </w:pPr>
          </w:p>
        </w:tc>
      </w:tr>
      <w:tr w:rsidR="002B1B15" w:rsidRPr="00285075" w14:paraId="3BD754AB" w14:textId="77777777" w:rsidTr="001074FC">
        <w:trPr>
          <w:trHeight w:val="43"/>
          <w:jc w:val="center"/>
        </w:trPr>
        <w:tc>
          <w:tcPr>
            <w:tcW w:w="3211" w:type="dxa"/>
            <w:tcBorders>
              <w:top w:val="nil"/>
              <w:bottom w:val="nil"/>
            </w:tcBorders>
            <w:shd w:val="clear" w:color="auto" w:fill="FFFFFF" w:themeFill="background1"/>
            <w:tcMar>
              <w:top w:w="28" w:type="dxa"/>
              <w:left w:w="57" w:type="dxa"/>
              <w:bottom w:w="28" w:type="dxa"/>
              <w:right w:w="57" w:type="dxa"/>
            </w:tcMar>
            <w:hideMark/>
          </w:tcPr>
          <w:p w14:paraId="2A31C614" w14:textId="1CAF25C2" w:rsidR="002B1B15" w:rsidRPr="001074FC" w:rsidRDefault="002B1B15" w:rsidP="001074FC">
            <w:pPr>
              <w:spacing w:after="0" w:line="240" w:lineRule="auto"/>
              <w:ind w:left="345"/>
              <w:rPr>
                <w:rFonts w:ascii="Arial" w:eastAsia="Times New Roman" w:hAnsi="Arial" w:cs="Arial"/>
                <w:sz w:val="20"/>
                <w:szCs w:val="20"/>
                <w:lang w:eastAsia="en-GB"/>
              </w:rPr>
            </w:pPr>
            <w:r w:rsidRPr="00285075">
              <w:rPr>
                <w:rFonts w:ascii="Arial" w:eastAsia="MS PGothic" w:hAnsi="Arial" w:cs="Arial"/>
                <w:kern w:val="24"/>
                <w:sz w:val="20"/>
                <w:szCs w:val="20"/>
                <w:lang w:eastAsia="en-GB"/>
              </w:rPr>
              <w:t>≥3</w:t>
            </w:r>
          </w:p>
        </w:tc>
        <w:tc>
          <w:tcPr>
            <w:tcW w:w="1457" w:type="dxa"/>
            <w:tcBorders>
              <w:top w:val="nil"/>
              <w:bottom w:val="nil"/>
            </w:tcBorders>
            <w:shd w:val="clear" w:color="auto" w:fill="FFFFFF" w:themeFill="background1"/>
            <w:tcMar>
              <w:top w:w="15" w:type="dxa"/>
              <w:left w:w="108" w:type="dxa"/>
              <w:bottom w:w="0" w:type="dxa"/>
              <w:right w:w="108" w:type="dxa"/>
            </w:tcMar>
            <w:hideMark/>
          </w:tcPr>
          <w:p w14:paraId="5288C66F"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SimSun" w:hAnsi="Arial" w:cs="Arial"/>
                <w:kern w:val="24"/>
                <w:sz w:val="20"/>
                <w:szCs w:val="20"/>
                <w:lang w:eastAsia="en-GB"/>
              </w:rPr>
              <w:t>65 (36)</w:t>
            </w:r>
          </w:p>
        </w:tc>
        <w:tc>
          <w:tcPr>
            <w:tcW w:w="1967" w:type="dxa"/>
            <w:tcBorders>
              <w:top w:val="nil"/>
              <w:bottom w:val="nil"/>
            </w:tcBorders>
            <w:shd w:val="clear" w:color="auto" w:fill="FFFFFF" w:themeFill="background1"/>
            <w:tcMar>
              <w:top w:w="15" w:type="dxa"/>
              <w:left w:w="108" w:type="dxa"/>
              <w:bottom w:w="0" w:type="dxa"/>
              <w:right w:w="108" w:type="dxa"/>
            </w:tcMar>
            <w:hideMark/>
          </w:tcPr>
          <w:p w14:paraId="643160A5"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9 (13)</w:t>
            </w:r>
          </w:p>
        </w:tc>
        <w:tc>
          <w:tcPr>
            <w:tcW w:w="1589" w:type="dxa"/>
            <w:tcBorders>
              <w:top w:val="nil"/>
              <w:bottom w:val="nil"/>
            </w:tcBorders>
            <w:shd w:val="clear" w:color="auto" w:fill="FFFFFF" w:themeFill="background1"/>
            <w:tcMar>
              <w:top w:w="15" w:type="dxa"/>
              <w:left w:w="108" w:type="dxa"/>
              <w:bottom w:w="0" w:type="dxa"/>
              <w:right w:w="108" w:type="dxa"/>
            </w:tcMar>
            <w:hideMark/>
          </w:tcPr>
          <w:p w14:paraId="55558F5A" w14:textId="77777777" w:rsidR="002B1B15" w:rsidRPr="001074FC" w:rsidRDefault="002B1B15" w:rsidP="001074FC">
            <w:pPr>
              <w:spacing w:after="0" w:line="240" w:lineRule="auto"/>
              <w:ind w:left="227"/>
              <w:rPr>
                <w:rFonts w:ascii="Arial" w:eastAsia="Times New Roman" w:hAnsi="Arial" w:cs="Arial"/>
                <w:sz w:val="20"/>
                <w:szCs w:val="20"/>
                <w:lang w:eastAsia="en-GB"/>
              </w:rPr>
            </w:pPr>
            <w:r w:rsidRPr="00285075">
              <w:rPr>
                <w:rFonts w:ascii="Arial" w:eastAsia="Times New Roman" w:hAnsi="Arial" w:cs="Arial"/>
                <w:kern w:val="24"/>
                <w:sz w:val="20"/>
                <w:szCs w:val="20"/>
                <w:lang w:eastAsia="en-GB"/>
              </w:rPr>
              <w:t>74 (30)</w:t>
            </w:r>
          </w:p>
        </w:tc>
        <w:tc>
          <w:tcPr>
            <w:tcW w:w="1605" w:type="dxa"/>
            <w:vMerge/>
            <w:tcBorders>
              <w:top w:val="nil"/>
              <w:bottom w:val="nil"/>
            </w:tcBorders>
            <w:shd w:val="clear" w:color="auto" w:fill="FFFFFF" w:themeFill="background1"/>
            <w:tcMar>
              <w:top w:w="28" w:type="dxa"/>
              <w:left w:w="57" w:type="dxa"/>
              <w:bottom w:w="28" w:type="dxa"/>
              <w:right w:w="57" w:type="dxa"/>
            </w:tcMar>
            <w:hideMark/>
          </w:tcPr>
          <w:p w14:paraId="4E6961BC" w14:textId="77777777" w:rsidR="002B1B15" w:rsidRPr="00285075" w:rsidRDefault="002B1B15" w:rsidP="00B66C7F">
            <w:pPr>
              <w:spacing w:after="0" w:line="240" w:lineRule="auto"/>
              <w:ind w:left="227"/>
              <w:rPr>
                <w:rFonts w:ascii="Arial" w:eastAsia="Times New Roman" w:hAnsi="Arial" w:cs="Arial"/>
                <w:sz w:val="20"/>
                <w:szCs w:val="20"/>
                <w:lang w:eastAsia="en-GB"/>
              </w:rPr>
            </w:pPr>
          </w:p>
        </w:tc>
      </w:tr>
      <w:tr w:rsidR="002B1B15" w:rsidRPr="00285075" w14:paraId="308BAACF" w14:textId="77777777" w:rsidTr="001074FC">
        <w:trPr>
          <w:trHeight w:val="176"/>
          <w:jc w:val="center"/>
        </w:trPr>
        <w:tc>
          <w:tcPr>
            <w:tcW w:w="3211" w:type="dxa"/>
            <w:tcBorders>
              <w:top w:val="nil"/>
            </w:tcBorders>
            <w:shd w:val="clear" w:color="auto" w:fill="FFFFFF" w:themeFill="background1"/>
            <w:tcMar>
              <w:top w:w="28" w:type="dxa"/>
              <w:left w:w="57" w:type="dxa"/>
              <w:bottom w:w="28" w:type="dxa"/>
              <w:right w:w="57" w:type="dxa"/>
            </w:tcMar>
          </w:tcPr>
          <w:p w14:paraId="4ED80920" w14:textId="77777777" w:rsidR="002B1B15" w:rsidRPr="00285075" w:rsidRDefault="002B1B15" w:rsidP="00B66C7F">
            <w:pPr>
              <w:spacing w:after="0" w:line="240" w:lineRule="auto"/>
              <w:ind w:left="227"/>
              <w:rPr>
                <w:rFonts w:ascii="Arial" w:eastAsia="MS PGothic" w:hAnsi="Arial" w:cs="Arial"/>
                <w:kern w:val="24"/>
                <w:sz w:val="20"/>
                <w:szCs w:val="20"/>
                <w:lang w:eastAsia="en-GB"/>
              </w:rPr>
            </w:pPr>
            <w:r w:rsidRPr="00285075">
              <w:rPr>
                <w:rFonts w:ascii="Arial" w:eastAsia="MS PGothic" w:hAnsi="Arial" w:cs="Arial"/>
                <w:kern w:val="24"/>
                <w:sz w:val="20"/>
                <w:szCs w:val="20"/>
                <w:lang w:eastAsia="en-GB"/>
              </w:rPr>
              <w:t>Range of prior lines</w:t>
            </w:r>
          </w:p>
        </w:tc>
        <w:tc>
          <w:tcPr>
            <w:tcW w:w="1457" w:type="dxa"/>
            <w:tcBorders>
              <w:top w:val="nil"/>
            </w:tcBorders>
            <w:shd w:val="clear" w:color="auto" w:fill="FFFFFF" w:themeFill="background1"/>
            <w:tcMar>
              <w:top w:w="15" w:type="dxa"/>
              <w:left w:w="108" w:type="dxa"/>
              <w:bottom w:w="0" w:type="dxa"/>
              <w:right w:w="108" w:type="dxa"/>
            </w:tcMar>
          </w:tcPr>
          <w:p w14:paraId="50E2E4C5" w14:textId="77777777" w:rsidR="002B1B15" w:rsidRPr="00285075" w:rsidRDefault="002B1B15" w:rsidP="001074FC">
            <w:pPr>
              <w:spacing w:after="0" w:line="240" w:lineRule="auto"/>
              <w:ind w:left="227"/>
              <w:rPr>
                <w:rFonts w:ascii="Arial" w:eastAsia="SimSun" w:hAnsi="Arial" w:cs="Arial"/>
                <w:kern w:val="24"/>
                <w:sz w:val="20"/>
                <w:szCs w:val="20"/>
                <w:lang w:eastAsia="en-GB"/>
              </w:rPr>
            </w:pPr>
            <w:r w:rsidRPr="00285075">
              <w:rPr>
                <w:rFonts w:ascii="Arial" w:hAnsi="Arial" w:cs="Arial"/>
                <w:bCs/>
                <w:iCs/>
                <w:sz w:val="20"/>
                <w:szCs w:val="20"/>
                <w:u w:color="000000"/>
              </w:rPr>
              <w:t>(1–8)</w:t>
            </w:r>
          </w:p>
        </w:tc>
        <w:tc>
          <w:tcPr>
            <w:tcW w:w="1967" w:type="dxa"/>
            <w:tcBorders>
              <w:top w:val="nil"/>
            </w:tcBorders>
            <w:shd w:val="clear" w:color="auto" w:fill="FFFFFF" w:themeFill="background1"/>
            <w:tcMar>
              <w:top w:w="15" w:type="dxa"/>
              <w:left w:w="108" w:type="dxa"/>
              <w:bottom w:w="0" w:type="dxa"/>
              <w:right w:w="108" w:type="dxa"/>
            </w:tcMar>
          </w:tcPr>
          <w:p w14:paraId="2B6F32BC" w14:textId="77777777" w:rsidR="002B1B15" w:rsidRPr="00285075" w:rsidRDefault="002B1B15" w:rsidP="001074FC">
            <w:pPr>
              <w:spacing w:after="0" w:line="240" w:lineRule="auto"/>
              <w:ind w:left="227"/>
              <w:rPr>
                <w:rFonts w:ascii="Arial" w:eastAsia="Times New Roman" w:hAnsi="Arial" w:cs="Arial"/>
                <w:kern w:val="24"/>
                <w:sz w:val="20"/>
                <w:szCs w:val="20"/>
                <w:lang w:eastAsia="en-GB"/>
              </w:rPr>
            </w:pPr>
            <w:r w:rsidRPr="00285075">
              <w:rPr>
                <w:rFonts w:ascii="Arial" w:hAnsi="Arial" w:cs="Arial"/>
                <w:bCs/>
                <w:iCs/>
                <w:sz w:val="20"/>
                <w:szCs w:val="20"/>
                <w:u w:color="000000"/>
              </w:rPr>
              <w:t>(1–5)</w:t>
            </w:r>
          </w:p>
        </w:tc>
        <w:tc>
          <w:tcPr>
            <w:tcW w:w="1589" w:type="dxa"/>
            <w:tcBorders>
              <w:top w:val="nil"/>
            </w:tcBorders>
            <w:shd w:val="clear" w:color="auto" w:fill="FFFFFF" w:themeFill="background1"/>
            <w:tcMar>
              <w:top w:w="15" w:type="dxa"/>
              <w:left w:w="108" w:type="dxa"/>
              <w:bottom w:w="0" w:type="dxa"/>
              <w:right w:w="108" w:type="dxa"/>
            </w:tcMar>
          </w:tcPr>
          <w:p w14:paraId="63FA0F9D" w14:textId="77777777" w:rsidR="002B1B15" w:rsidRPr="00285075" w:rsidRDefault="002B1B15" w:rsidP="001074FC">
            <w:pPr>
              <w:spacing w:after="0" w:line="240" w:lineRule="auto"/>
              <w:ind w:left="227"/>
              <w:rPr>
                <w:rFonts w:ascii="Arial" w:eastAsia="Times New Roman" w:hAnsi="Arial" w:cs="Arial"/>
                <w:kern w:val="24"/>
                <w:sz w:val="20"/>
                <w:szCs w:val="20"/>
                <w:lang w:eastAsia="en-GB"/>
              </w:rPr>
            </w:pPr>
            <w:r w:rsidRPr="00285075">
              <w:rPr>
                <w:rFonts w:ascii="Arial" w:hAnsi="Arial" w:cs="Arial"/>
                <w:bCs/>
                <w:iCs/>
                <w:sz w:val="20"/>
                <w:szCs w:val="20"/>
                <w:u w:color="000000"/>
              </w:rPr>
              <w:t>(1–8)</w:t>
            </w:r>
          </w:p>
        </w:tc>
        <w:tc>
          <w:tcPr>
            <w:tcW w:w="1605" w:type="dxa"/>
            <w:tcBorders>
              <w:top w:val="nil"/>
            </w:tcBorders>
            <w:shd w:val="clear" w:color="auto" w:fill="FFFFFF" w:themeFill="background1"/>
            <w:tcMar>
              <w:top w:w="28" w:type="dxa"/>
              <w:left w:w="57" w:type="dxa"/>
              <w:bottom w:w="28" w:type="dxa"/>
              <w:right w:w="57" w:type="dxa"/>
            </w:tcMar>
          </w:tcPr>
          <w:p w14:paraId="0B35F885" w14:textId="77777777" w:rsidR="002B1B15" w:rsidRPr="00285075" w:rsidRDefault="002B1B15" w:rsidP="00B66C7F">
            <w:pPr>
              <w:spacing w:after="0" w:line="240" w:lineRule="auto"/>
              <w:ind w:left="227"/>
              <w:rPr>
                <w:rFonts w:ascii="Arial" w:eastAsia="Times New Roman" w:hAnsi="Arial" w:cs="Arial"/>
                <w:sz w:val="20"/>
                <w:szCs w:val="20"/>
                <w:lang w:eastAsia="en-GB"/>
              </w:rPr>
            </w:pPr>
          </w:p>
        </w:tc>
      </w:tr>
    </w:tbl>
    <w:p w14:paraId="79248C48" w14:textId="0EB36B6F" w:rsidR="002B1B15" w:rsidRPr="00506A68" w:rsidRDefault="002B1B15" w:rsidP="002B1B15">
      <w:pPr>
        <w:spacing w:after="0"/>
        <w:rPr>
          <w:rFonts w:ascii="Arial" w:hAnsi="Arial" w:cs="Arial"/>
          <w:color w:val="000000"/>
          <w:sz w:val="20"/>
        </w:rPr>
      </w:pPr>
      <w:r w:rsidRPr="00506A68">
        <w:rPr>
          <w:rFonts w:ascii="Arial" w:hAnsi="Arial" w:cs="Arial"/>
          <w:color w:val="000000"/>
          <w:sz w:val="20"/>
        </w:rPr>
        <w:t>ACA</w:t>
      </w:r>
      <w:r w:rsidR="00E936CC">
        <w:rPr>
          <w:rFonts w:ascii="Arial" w:hAnsi="Arial" w:cs="Arial"/>
          <w:color w:val="000000"/>
          <w:sz w:val="20"/>
        </w:rPr>
        <w:t>:</w:t>
      </w:r>
      <w:r w:rsidRPr="00506A68">
        <w:rPr>
          <w:rFonts w:ascii="Arial" w:hAnsi="Arial" w:cs="Arial"/>
          <w:color w:val="000000"/>
          <w:sz w:val="20"/>
        </w:rPr>
        <w:t xml:space="preserve"> </w:t>
      </w:r>
      <w:r w:rsidR="00E936CC">
        <w:rPr>
          <w:rFonts w:ascii="Arial" w:hAnsi="Arial" w:cs="Arial"/>
          <w:color w:val="000000"/>
          <w:sz w:val="20"/>
        </w:rPr>
        <w:t>A</w:t>
      </w:r>
      <w:r w:rsidRPr="00506A68">
        <w:rPr>
          <w:rFonts w:ascii="Arial" w:hAnsi="Arial" w:cs="Arial"/>
          <w:color w:val="000000"/>
          <w:sz w:val="20"/>
        </w:rPr>
        <w:t>denocarcinoma; CNS</w:t>
      </w:r>
      <w:r w:rsidR="00E936CC">
        <w:rPr>
          <w:rFonts w:ascii="Arial" w:hAnsi="Arial" w:cs="Arial"/>
          <w:color w:val="000000"/>
          <w:sz w:val="20"/>
        </w:rPr>
        <w:t>:</w:t>
      </w:r>
      <w:r w:rsidRPr="00506A68">
        <w:rPr>
          <w:rFonts w:ascii="Arial" w:hAnsi="Arial" w:cs="Arial"/>
          <w:color w:val="000000"/>
          <w:sz w:val="20"/>
        </w:rPr>
        <w:t xml:space="preserve"> </w:t>
      </w:r>
      <w:r w:rsidR="00E936CC">
        <w:rPr>
          <w:rFonts w:ascii="Arial" w:hAnsi="Arial" w:cs="Arial"/>
          <w:color w:val="000000"/>
          <w:sz w:val="20"/>
        </w:rPr>
        <w:t>C</w:t>
      </w:r>
      <w:r w:rsidRPr="00506A68">
        <w:rPr>
          <w:rFonts w:ascii="Arial" w:hAnsi="Arial" w:cs="Arial"/>
          <w:color w:val="000000"/>
          <w:sz w:val="20"/>
        </w:rPr>
        <w:t xml:space="preserve">entral nervous system; </w:t>
      </w:r>
      <w:r w:rsidRPr="00506A68">
        <w:rPr>
          <w:rFonts w:ascii="Arial" w:hAnsi="Arial" w:cs="Arial"/>
          <w:bCs/>
          <w:iCs/>
          <w:sz w:val="20"/>
          <w:u w:color="000000"/>
        </w:rPr>
        <w:t>ECOG</w:t>
      </w:r>
      <w:r w:rsidRPr="00506A68">
        <w:rPr>
          <w:rFonts w:ascii="Arial" w:hAnsi="Arial" w:cs="Arial"/>
          <w:color w:val="000000"/>
          <w:sz w:val="20"/>
        </w:rPr>
        <w:t xml:space="preserve"> PS</w:t>
      </w:r>
      <w:r w:rsidR="00E936CC">
        <w:rPr>
          <w:rFonts w:ascii="Arial" w:hAnsi="Arial" w:cs="Arial"/>
          <w:bCs/>
          <w:iCs/>
          <w:sz w:val="20"/>
          <w:u w:color="000000"/>
        </w:rPr>
        <w:t>:</w:t>
      </w:r>
      <w:r w:rsidRPr="00506A68">
        <w:rPr>
          <w:rFonts w:ascii="Arial" w:hAnsi="Arial" w:cs="Arial"/>
          <w:bCs/>
          <w:iCs/>
          <w:sz w:val="20"/>
          <w:u w:color="000000"/>
        </w:rPr>
        <w:t xml:space="preserve"> </w:t>
      </w:r>
      <w:r w:rsidRPr="00506A68">
        <w:rPr>
          <w:rFonts w:ascii="Arial" w:hAnsi="Arial" w:cs="Arial"/>
          <w:bCs/>
          <w:sz w:val="20"/>
        </w:rPr>
        <w:t xml:space="preserve">Eastern Cooperative Oncology Group </w:t>
      </w:r>
      <w:r w:rsidRPr="00506A68">
        <w:rPr>
          <w:rFonts w:ascii="Arial" w:hAnsi="Arial" w:cs="Arial"/>
          <w:color w:val="000000"/>
          <w:sz w:val="20"/>
        </w:rPr>
        <w:t>performance status</w:t>
      </w:r>
      <w:r w:rsidR="00E936CC" w:rsidRPr="00506A68">
        <w:rPr>
          <w:rFonts w:ascii="Arial" w:hAnsi="Arial" w:cs="Arial"/>
          <w:color w:val="000000"/>
          <w:sz w:val="20"/>
        </w:rPr>
        <w:t>; RWD</w:t>
      </w:r>
      <w:r w:rsidR="00E936CC">
        <w:rPr>
          <w:rFonts w:ascii="Arial" w:hAnsi="Arial" w:cs="Arial"/>
          <w:color w:val="000000"/>
          <w:sz w:val="20"/>
        </w:rPr>
        <w:t>:</w:t>
      </w:r>
      <w:r w:rsidR="00E936CC" w:rsidRPr="00506A68">
        <w:rPr>
          <w:rFonts w:ascii="Arial" w:hAnsi="Arial" w:cs="Arial"/>
          <w:color w:val="000000"/>
          <w:sz w:val="20"/>
        </w:rPr>
        <w:t xml:space="preserve"> </w:t>
      </w:r>
      <w:r w:rsidR="00E936CC">
        <w:rPr>
          <w:rFonts w:ascii="Arial" w:hAnsi="Arial" w:cs="Arial"/>
          <w:color w:val="000000"/>
          <w:sz w:val="20"/>
        </w:rPr>
        <w:t>R</w:t>
      </w:r>
      <w:r w:rsidR="00E936CC" w:rsidRPr="00506A68">
        <w:rPr>
          <w:rFonts w:ascii="Arial" w:hAnsi="Arial" w:cs="Arial"/>
          <w:color w:val="000000"/>
          <w:sz w:val="20"/>
        </w:rPr>
        <w:t>eal-world data</w:t>
      </w:r>
      <w:r w:rsidRPr="00506A68">
        <w:rPr>
          <w:rFonts w:ascii="Arial" w:hAnsi="Arial" w:cs="Arial"/>
          <w:color w:val="000000"/>
          <w:sz w:val="20"/>
        </w:rPr>
        <w:t>; SD</w:t>
      </w:r>
      <w:r w:rsidR="00E936CC">
        <w:rPr>
          <w:rFonts w:ascii="Arial" w:hAnsi="Arial" w:cs="Arial"/>
          <w:color w:val="000000"/>
          <w:sz w:val="20"/>
        </w:rPr>
        <w:t>:</w:t>
      </w:r>
      <w:r w:rsidRPr="00506A68">
        <w:rPr>
          <w:rFonts w:ascii="Arial" w:hAnsi="Arial" w:cs="Arial"/>
          <w:color w:val="000000"/>
          <w:sz w:val="20"/>
        </w:rPr>
        <w:t xml:space="preserve"> </w:t>
      </w:r>
      <w:r w:rsidR="00E936CC">
        <w:rPr>
          <w:rFonts w:ascii="Arial" w:hAnsi="Arial" w:cs="Arial"/>
          <w:color w:val="000000"/>
          <w:sz w:val="20"/>
        </w:rPr>
        <w:t>S</w:t>
      </w:r>
      <w:r w:rsidRPr="00506A68">
        <w:rPr>
          <w:rFonts w:ascii="Arial" w:hAnsi="Arial" w:cs="Arial"/>
          <w:color w:val="000000"/>
          <w:sz w:val="20"/>
        </w:rPr>
        <w:t xml:space="preserve">tandard deviation. </w:t>
      </w:r>
    </w:p>
    <w:p w14:paraId="0A269222" w14:textId="2E0D824A" w:rsidR="002B1B15" w:rsidRPr="00506A68" w:rsidRDefault="002B1B15" w:rsidP="002B1B15">
      <w:pPr>
        <w:spacing w:after="0"/>
        <w:rPr>
          <w:rFonts w:ascii="Arial" w:hAnsi="Arial" w:cs="Arial"/>
          <w:color w:val="000000"/>
          <w:sz w:val="20"/>
        </w:rPr>
      </w:pPr>
      <w:r w:rsidRPr="00506A68">
        <w:rPr>
          <w:rFonts w:ascii="Arial" w:hAnsi="Arial" w:cs="Arial"/>
          <w:color w:val="000000"/>
          <w:sz w:val="20"/>
          <w:vertAlign w:val="superscript"/>
        </w:rPr>
        <w:t>a</w:t>
      </w:r>
      <w:r w:rsidRPr="00506A68">
        <w:rPr>
          <w:rFonts w:ascii="Arial" w:hAnsi="Arial" w:cs="Arial"/>
          <w:color w:val="000000"/>
          <w:sz w:val="20"/>
        </w:rPr>
        <w:t>Significant difference (SD) between treatment cohorts (p &lt;</w:t>
      </w:r>
      <w:r w:rsidR="00A45581">
        <w:rPr>
          <w:rFonts w:ascii="Arial" w:hAnsi="Arial" w:cs="Arial"/>
          <w:color w:val="000000"/>
          <w:sz w:val="20"/>
        </w:rPr>
        <w:t xml:space="preserve"> </w:t>
      </w:r>
      <w:r w:rsidRPr="00506A68">
        <w:rPr>
          <w:rFonts w:ascii="Arial" w:hAnsi="Arial" w:cs="Arial"/>
          <w:color w:val="000000"/>
          <w:sz w:val="20"/>
        </w:rPr>
        <w:t>0.05).</w:t>
      </w:r>
    </w:p>
    <w:p w14:paraId="04C0CC17" w14:textId="77777777" w:rsidR="002B1B15" w:rsidRPr="00506A68" w:rsidRDefault="002B1B15" w:rsidP="002B1B15">
      <w:pPr>
        <w:spacing w:after="0"/>
        <w:rPr>
          <w:rFonts w:ascii="Arial" w:hAnsi="Arial" w:cs="Arial"/>
          <w:bCs/>
          <w:iCs/>
          <w:sz w:val="20"/>
          <w:u w:color="000000"/>
        </w:rPr>
      </w:pPr>
      <w:r w:rsidRPr="00506A68">
        <w:rPr>
          <w:rFonts w:ascii="Arial" w:hAnsi="Arial" w:cs="Arial"/>
          <w:color w:val="000000"/>
          <w:sz w:val="20"/>
          <w:vertAlign w:val="superscript"/>
        </w:rPr>
        <w:t>b</w:t>
      </w:r>
      <w:r w:rsidRPr="00506A68">
        <w:rPr>
          <w:rFonts w:ascii="Arial" w:hAnsi="Arial" w:cs="Arial"/>
          <w:bCs/>
          <w:iCs/>
          <w:sz w:val="20"/>
          <w:u w:color="000000"/>
        </w:rPr>
        <w:t>Wilcoxon rank-sum test.</w:t>
      </w:r>
    </w:p>
    <w:p w14:paraId="7362487F" w14:textId="77777777" w:rsidR="002B1B15" w:rsidRPr="00506A68" w:rsidRDefault="002B1B15" w:rsidP="002B1B15">
      <w:pPr>
        <w:spacing w:after="0"/>
        <w:rPr>
          <w:rFonts w:ascii="Arial" w:hAnsi="Arial" w:cs="Arial"/>
          <w:color w:val="000000"/>
        </w:rPr>
      </w:pPr>
      <w:r w:rsidRPr="00506A68">
        <w:rPr>
          <w:rFonts w:ascii="Arial" w:hAnsi="Arial" w:cs="Arial"/>
          <w:color w:val="000000"/>
          <w:sz w:val="20"/>
          <w:vertAlign w:val="superscript"/>
        </w:rPr>
        <w:t>c</w:t>
      </w:r>
      <w:r w:rsidRPr="00506A68">
        <w:rPr>
          <w:rFonts w:ascii="Arial" w:hAnsi="Arial" w:cs="Arial"/>
          <w:bCs/>
          <w:iCs/>
          <w:sz w:val="20"/>
          <w:u w:color="000000"/>
        </w:rPr>
        <w:t xml:space="preserve">Chi-squared test. </w:t>
      </w:r>
      <w:r w:rsidRPr="00506A68">
        <w:rPr>
          <w:rFonts w:ascii="Arial" w:hAnsi="Arial" w:cs="Arial"/>
          <w:color w:val="000000"/>
        </w:rPr>
        <w:br w:type="page"/>
      </w:r>
    </w:p>
    <w:p w14:paraId="1C842E8B" w14:textId="77777777" w:rsidR="002B1B15" w:rsidRPr="001074FC" w:rsidRDefault="002B1B15" w:rsidP="002B1B15">
      <w:pPr>
        <w:rPr>
          <w:rFonts w:ascii="Arial" w:hAnsi="Arial" w:cs="Arial"/>
          <w:b/>
          <w:color w:val="000000"/>
        </w:rPr>
      </w:pPr>
      <w:r w:rsidRPr="001074FC">
        <w:rPr>
          <w:rFonts w:ascii="Arial" w:hAnsi="Arial" w:cs="Arial"/>
          <w:b/>
          <w:color w:val="000000"/>
        </w:rPr>
        <w:lastRenderedPageBreak/>
        <w:t>Table 2. Baseline characteristics pre- and post-weighting.</w:t>
      </w:r>
    </w:p>
    <w:tbl>
      <w:tblPr>
        <w:tblW w:w="9923" w:type="dxa"/>
        <w:jc w:val="center"/>
        <w:tblBorders>
          <w:top w:val="single" w:sz="4" w:space="0" w:color="auto"/>
          <w:bottom w:val="single" w:sz="4" w:space="0" w:color="auto"/>
          <w:insideH w:val="single" w:sz="4" w:space="0" w:color="auto"/>
        </w:tblBorders>
        <w:tblCellMar>
          <w:left w:w="0" w:type="dxa"/>
          <w:right w:w="0" w:type="dxa"/>
        </w:tblCellMar>
        <w:tblLook w:val="0600" w:firstRow="0" w:lastRow="0" w:firstColumn="0" w:lastColumn="0" w:noHBand="1" w:noVBand="1"/>
      </w:tblPr>
      <w:tblGrid>
        <w:gridCol w:w="3081"/>
        <w:gridCol w:w="1113"/>
        <w:gridCol w:w="1152"/>
        <w:gridCol w:w="958"/>
        <w:gridCol w:w="1406"/>
        <w:gridCol w:w="1221"/>
        <w:gridCol w:w="992"/>
      </w:tblGrid>
      <w:tr w:rsidR="002B1B15" w:rsidRPr="00B66C7F" w14:paraId="5A4AE612" w14:textId="77777777" w:rsidTr="001074FC">
        <w:trPr>
          <w:trHeight w:val="376"/>
          <w:jc w:val="center"/>
        </w:trPr>
        <w:tc>
          <w:tcPr>
            <w:tcW w:w="3081" w:type="dxa"/>
            <w:vMerge w:val="restart"/>
            <w:shd w:val="clear" w:color="auto" w:fill="auto"/>
            <w:tcMar>
              <w:top w:w="28" w:type="dxa"/>
              <w:left w:w="57" w:type="dxa"/>
              <w:bottom w:w="28" w:type="dxa"/>
              <w:right w:w="57" w:type="dxa"/>
            </w:tcMar>
            <w:hideMark/>
          </w:tcPr>
          <w:p w14:paraId="15FA4E75" w14:textId="77777777" w:rsidR="002B1B15" w:rsidRPr="001074FC" w:rsidRDefault="002B1B15" w:rsidP="00B66C7F">
            <w:pPr>
              <w:spacing w:after="0" w:line="240" w:lineRule="auto"/>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Characteristic</w:t>
            </w:r>
          </w:p>
        </w:tc>
        <w:tc>
          <w:tcPr>
            <w:tcW w:w="3223" w:type="dxa"/>
            <w:gridSpan w:val="3"/>
            <w:shd w:val="clear" w:color="auto" w:fill="auto"/>
            <w:tcMar>
              <w:top w:w="28" w:type="dxa"/>
              <w:left w:w="57" w:type="dxa"/>
              <w:bottom w:w="28" w:type="dxa"/>
              <w:right w:w="57" w:type="dxa"/>
            </w:tcMar>
            <w:hideMark/>
          </w:tcPr>
          <w:p w14:paraId="3EA0AEAD" w14:textId="77777777" w:rsidR="002B1B15" w:rsidRPr="001074FC" w:rsidRDefault="002B1B15" w:rsidP="001074FC">
            <w:pPr>
              <w:spacing w:after="0" w:line="240" w:lineRule="auto"/>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Pre-weighting</w:t>
            </w:r>
          </w:p>
        </w:tc>
        <w:tc>
          <w:tcPr>
            <w:tcW w:w="3619" w:type="dxa"/>
            <w:gridSpan w:val="3"/>
          </w:tcPr>
          <w:p w14:paraId="355A0A53" w14:textId="77777777" w:rsidR="002B1B15" w:rsidRPr="001074FC" w:rsidRDefault="002B1B15" w:rsidP="001074FC">
            <w:pPr>
              <w:spacing w:after="0" w:line="240" w:lineRule="auto"/>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Post-weighting</w:t>
            </w:r>
          </w:p>
        </w:tc>
      </w:tr>
      <w:tr w:rsidR="002B1B15" w:rsidRPr="00B66C7F" w14:paraId="36EA9524" w14:textId="77777777" w:rsidTr="001074FC">
        <w:trPr>
          <w:trHeight w:val="418"/>
          <w:jc w:val="center"/>
        </w:trPr>
        <w:tc>
          <w:tcPr>
            <w:tcW w:w="3081" w:type="dxa"/>
            <w:vMerge/>
            <w:tcBorders>
              <w:bottom w:val="single" w:sz="4" w:space="0" w:color="auto"/>
            </w:tcBorders>
            <w:hideMark/>
          </w:tcPr>
          <w:p w14:paraId="06692B2A" w14:textId="77777777" w:rsidR="002B1B15" w:rsidRPr="001074FC" w:rsidRDefault="002B1B15" w:rsidP="00B66C7F">
            <w:pPr>
              <w:spacing w:after="0" w:line="240" w:lineRule="auto"/>
              <w:rPr>
                <w:rFonts w:ascii="Arial" w:eastAsia="Times New Roman" w:hAnsi="Arial" w:cs="Arial"/>
                <w:b/>
                <w:sz w:val="20"/>
                <w:szCs w:val="20"/>
                <w:lang w:eastAsia="en-GB"/>
              </w:rPr>
            </w:pPr>
          </w:p>
        </w:tc>
        <w:tc>
          <w:tcPr>
            <w:tcW w:w="1113" w:type="dxa"/>
            <w:tcBorders>
              <w:bottom w:val="single" w:sz="4" w:space="0" w:color="auto"/>
            </w:tcBorders>
            <w:shd w:val="clear" w:color="auto" w:fill="auto"/>
            <w:tcMar>
              <w:top w:w="28" w:type="dxa"/>
              <w:left w:w="57" w:type="dxa"/>
              <w:bottom w:w="28" w:type="dxa"/>
              <w:right w:w="57" w:type="dxa"/>
            </w:tcMar>
          </w:tcPr>
          <w:p w14:paraId="0BA9AFF2" w14:textId="77777777" w:rsidR="002B1B15" w:rsidRPr="001074FC" w:rsidRDefault="002B1B15" w:rsidP="001074FC">
            <w:pPr>
              <w:spacing w:after="0" w:line="240" w:lineRule="auto"/>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Alectinib</w:t>
            </w:r>
          </w:p>
        </w:tc>
        <w:tc>
          <w:tcPr>
            <w:tcW w:w="1152" w:type="dxa"/>
            <w:tcBorders>
              <w:bottom w:val="single" w:sz="4" w:space="0" w:color="auto"/>
            </w:tcBorders>
            <w:shd w:val="clear" w:color="auto" w:fill="auto"/>
            <w:tcMar>
              <w:top w:w="28" w:type="dxa"/>
              <w:left w:w="57" w:type="dxa"/>
              <w:bottom w:w="28" w:type="dxa"/>
              <w:right w:w="57" w:type="dxa"/>
            </w:tcMar>
          </w:tcPr>
          <w:p w14:paraId="07CF878C" w14:textId="77777777" w:rsidR="002B1B15" w:rsidRPr="001074FC" w:rsidRDefault="002B1B15" w:rsidP="001074FC">
            <w:pPr>
              <w:spacing w:after="0" w:line="240" w:lineRule="auto"/>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Ceritinib</w:t>
            </w:r>
          </w:p>
        </w:tc>
        <w:tc>
          <w:tcPr>
            <w:tcW w:w="958" w:type="dxa"/>
            <w:tcBorders>
              <w:bottom w:val="single" w:sz="4" w:space="0" w:color="auto"/>
            </w:tcBorders>
            <w:shd w:val="clear" w:color="auto" w:fill="auto"/>
            <w:tcMar>
              <w:top w:w="28" w:type="dxa"/>
              <w:left w:w="57" w:type="dxa"/>
              <w:bottom w:w="28" w:type="dxa"/>
              <w:right w:w="57" w:type="dxa"/>
            </w:tcMar>
            <w:hideMark/>
          </w:tcPr>
          <w:p w14:paraId="3F8FB4EA" w14:textId="77777777" w:rsidR="002B1B15" w:rsidRPr="001074FC" w:rsidRDefault="002B1B15" w:rsidP="001074FC">
            <w:pPr>
              <w:spacing w:after="0" w:line="240" w:lineRule="auto"/>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SMD, %</w:t>
            </w:r>
          </w:p>
        </w:tc>
        <w:tc>
          <w:tcPr>
            <w:tcW w:w="1406" w:type="dxa"/>
            <w:tcBorders>
              <w:bottom w:val="single" w:sz="4" w:space="0" w:color="auto"/>
            </w:tcBorders>
            <w:shd w:val="clear" w:color="auto" w:fill="auto"/>
            <w:tcMar>
              <w:top w:w="28" w:type="dxa"/>
              <w:left w:w="57" w:type="dxa"/>
              <w:bottom w:w="28" w:type="dxa"/>
              <w:right w:w="57" w:type="dxa"/>
            </w:tcMar>
          </w:tcPr>
          <w:p w14:paraId="071C518C" w14:textId="77777777" w:rsidR="002B1B15" w:rsidRPr="001074FC" w:rsidRDefault="002B1B15" w:rsidP="001074FC">
            <w:pPr>
              <w:spacing w:after="0" w:line="240" w:lineRule="auto"/>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Alectinib</w:t>
            </w:r>
          </w:p>
        </w:tc>
        <w:tc>
          <w:tcPr>
            <w:tcW w:w="1221" w:type="dxa"/>
            <w:tcBorders>
              <w:bottom w:val="single" w:sz="4" w:space="0" w:color="auto"/>
            </w:tcBorders>
            <w:shd w:val="clear" w:color="auto" w:fill="auto"/>
            <w:tcMar>
              <w:top w:w="28" w:type="dxa"/>
              <w:left w:w="57" w:type="dxa"/>
              <w:bottom w:w="28" w:type="dxa"/>
              <w:right w:w="57" w:type="dxa"/>
            </w:tcMar>
          </w:tcPr>
          <w:p w14:paraId="647127D9" w14:textId="77777777" w:rsidR="002B1B15" w:rsidRPr="001074FC" w:rsidRDefault="002B1B15" w:rsidP="001074FC">
            <w:pPr>
              <w:spacing w:after="0" w:line="240" w:lineRule="auto"/>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Ceritinib</w:t>
            </w:r>
          </w:p>
        </w:tc>
        <w:tc>
          <w:tcPr>
            <w:tcW w:w="992" w:type="dxa"/>
            <w:tcBorders>
              <w:bottom w:val="single" w:sz="4" w:space="0" w:color="auto"/>
            </w:tcBorders>
            <w:shd w:val="clear" w:color="auto" w:fill="auto"/>
            <w:tcMar>
              <w:top w:w="28" w:type="dxa"/>
              <w:left w:w="57" w:type="dxa"/>
              <w:bottom w:w="28" w:type="dxa"/>
              <w:right w:w="57" w:type="dxa"/>
            </w:tcMar>
            <w:hideMark/>
          </w:tcPr>
          <w:p w14:paraId="64128E51" w14:textId="77777777" w:rsidR="002B1B15" w:rsidRPr="001074FC" w:rsidRDefault="002B1B15" w:rsidP="001074FC">
            <w:pPr>
              <w:spacing w:after="0" w:line="240" w:lineRule="auto"/>
              <w:textAlignment w:val="baseline"/>
              <w:rPr>
                <w:rFonts w:ascii="Arial" w:eastAsia="Times New Roman" w:hAnsi="Arial" w:cs="Arial"/>
                <w:b/>
                <w:sz w:val="20"/>
                <w:szCs w:val="20"/>
                <w:lang w:eastAsia="en-GB"/>
              </w:rPr>
            </w:pPr>
            <w:r w:rsidRPr="001074FC">
              <w:rPr>
                <w:rFonts w:ascii="Arial" w:eastAsia="Calibri" w:hAnsi="Arial" w:cs="Arial"/>
                <w:b/>
                <w:bCs/>
                <w:kern w:val="24"/>
                <w:sz w:val="20"/>
                <w:szCs w:val="20"/>
                <w:lang w:eastAsia="en-GB"/>
              </w:rPr>
              <w:t>SMD, %</w:t>
            </w:r>
          </w:p>
        </w:tc>
      </w:tr>
      <w:tr w:rsidR="002B1B15" w:rsidRPr="00285075" w14:paraId="33893323" w14:textId="77777777" w:rsidTr="001074FC">
        <w:trPr>
          <w:trHeight w:val="418"/>
          <w:jc w:val="center"/>
        </w:trPr>
        <w:tc>
          <w:tcPr>
            <w:tcW w:w="3081" w:type="dxa"/>
            <w:tcBorders>
              <w:bottom w:val="nil"/>
            </w:tcBorders>
            <w:shd w:val="clear" w:color="auto" w:fill="auto"/>
            <w:tcMar>
              <w:top w:w="28" w:type="dxa"/>
              <w:left w:w="57" w:type="dxa"/>
              <w:bottom w:w="28" w:type="dxa"/>
              <w:right w:w="57" w:type="dxa"/>
            </w:tcMar>
            <w:hideMark/>
          </w:tcPr>
          <w:p w14:paraId="60684624" w14:textId="77777777" w:rsidR="002B1B15" w:rsidRPr="001074FC" w:rsidRDefault="002B1B15" w:rsidP="00B66C7F">
            <w:pPr>
              <w:spacing w:after="0" w:line="240" w:lineRule="auto"/>
              <w:textAlignment w:val="baseline"/>
              <w:rPr>
                <w:rFonts w:ascii="Arial" w:eastAsia="Times New Roman" w:hAnsi="Arial" w:cs="Arial"/>
                <w:sz w:val="20"/>
                <w:szCs w:val="20"/>
                <w:lang w:eastAsia="en-GB"/>
              </w:rPr>
            </w:pPr>
            <w:r w:rsidRPr="001074FC">
              <w:rPr>
                <w:rFonts w:ascii="Arial" w:eastAsia="MS PGothic" w:hAnsi="Arial" w:cs="Arial"/>
                <w:kern w:val="24"/>
                <w:sz w:val="20"/>
                <w:szCs w:val="20"/>
                <w:lang w:eastAsia="en-GB"/>
              </w:rPr>
              <w:t>Patients, n</w:t>
            </w:r>
          </w:p>
        </w:tc>
        <w:tc>
          <w:tcPr>
            <w:tcW w:w="1113" w:type="dxa"/>
            <w:tcBorders>
              <w:bottom w:val="nil"/>
            </w:tcBorders>
            <w:shd w:val="clear" w:color="auto" w:fill="auto"/>
            <w:tcMar>
              <w:top w:w="15" w:type="dxa"/>
              <w:left w:w="108" w:type="dxa"/>
              <w:bottom w:w="0" w:type="dxa"/>
              <w:right w:w="108" w:type="dxa"/>
            </w:tcMar>
          </w:tcPr>
          <w:p w14:paraId="1B57B889"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183</w:t>
            </w:r>
          </w:p>
        </w:tc>
        <w:tc>
          <w:tcPr>
            <w:tcW w:w="1152" w:type="dxa"/>
            <w:tcBorders>
              <w:bottom w:val="nil"/>
            </w:tcBorders>
            <w:shd w:val="clear" w:color="auto" w:fill="auto"/>
            <w:tcMar>
              <w:top w:w="15" w:type="dxa"/>
              <w:left w:w="108" w:type="dxa"/>
              <w:bottom w:w="0" w:type="dxa"/>
              <w:right w:w="108" w:type="dxa"/>
            </w:tcMar>
          </w:tcPr>
          <w:p w14:paraId="0F4F1100"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64</w:t>
            </w:r>
            <w:r w:rsidRPr="001074FC">
              <w:rPr>
                <w:rFonts w:ascii="Arial" w:eastAsia="Times New Roman" w:hAnsi="Arial" w:cs="Arial"/>
                <w:kern w:val="24"/>
                <w:sz w:val="20"/>
                <w:szCs w:val="20"/>
                <w:vertAlign w:val="superscript"/>
                <w:lang w:eastAsia="en-GB"/>
              </w:rPr>
              <w:t>a</w:t>
            </w:r>
          </w:p>
        </w:tc>
        <w:tc>
          <w:tcPr>
            <w:tcW w:w="958" w:type="dxa"/>
            <w:tcBorders>
              <w:bottom w:val="nil"/>
            </w:tcBorders>
            <w:shd w:val="clear" w:color="auto" w:fill="auto"/>
            <w:tcMar>
              <w:top w:w="15" w:type="dxa"/>
              <w:left w:w="108" w:type="dxa"/>
              <w:bottom w:w="0" w:type="dxa"/>
              <w:right w:w="108" w:type="dxa"/>
            </w:tcMar>
            <w:hideMark/>
          </w:tcPr>
          <w:p w14:paraId="674BED70" w14:textId="77777777" w:rsidR="002B1B15" w:rsidRPr="001074FC" w:rsidRDefault="002B1B15" w:rsidP="00B66C7F">
            <w:pPr>
              <w:spacing w:after="0" w:line="240" w:lineRule="auto"/>
              <w:rPr>
                <w:rFonts w:ascii="Arial" w:eastAsia="Times New Roman" w:hAnsi="Arial" w:cs="Arial"/>
                <w:sz w:val="20"/>
                <w:szCs w:val="20"/>
                <w:lang w:eastAsia="en-GB"/>
              </w:rPr>
            </w:pPr>
          </w:p>
        </w:tc>
        <w:tc>
          <w:tcPr>
            <w:tcW w:w="1406" w:type="dxa"/>
            <w:tcBorders>
              <w:bottom w:val="nil"/>
            </w:tcBorders>
            <w:shd w:val="clear" w:color="auto" w:fill="auto"/>
            <w:tcMar>
              <w:top w:w="15" w:type="dxa"/>
              <w:left w:w="108" w:type="dxa"/>
              <w:bottom w:w="0" w:type="dxa"/>
              <w:right w:w="108" w:type="dxa"/>
            </w:tcMar>
          </w:tcPr>
          <w:p w14:paraId="66E0C39E"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251</w:t>
            </w:r>
            <w:r w:rsidRPr="001074FC">
              <w:rPr>
                <w:rFonts w:ascii="Arial" w:eastAsia="Times New Roman" w:hAnsi="Arial" w:cs="Arial"/>
                <w:kern w:val="24"/>
                <w:sz w:val="20"/>
                <w:szCs w:val="20"/>
                <w:vertAlign w:val="superscript"/>
                <w:lang w:eastAsia="en-GB"/>
              </w:rPr>
              <w:t>b</w:t>
            </w:r>
          </w:p>
        </w:tc>
        <w:tc>
          <w:tcPr>
            <w:tcW w:w="1221" w:type="dxa"/>
            <w:tcBorders>
              <w:bottom w:val="nil"/>
            </w:tcBorders>
            <w:shd w:val="clear" w:color="auto" w:fill="auto"/>
            <w:tcMar>
              <w:top w:w="15" w:type="dxa"/>
              <w:left w:w="108" w:type="dxa"/>
              <w:bottom w:w="0" w:type="dxa"/>
              <w:right w:w="108" w:type="dxa"/>
            </w:tcMar>
          </w:tcPr>
          <w:p w14:paraId="57BD6DBF"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236</w:t>
            </w:r>
            <w:r w:rsidRPr="001074FC">
              <w:rPr>
                <w:rFonts w:ascii="Arial" w:eastAsia="Times New Roman" w:hAnsi="Arial" w:cs="Arial"/>
                <w:kern w:val="24"/>
                <w:sz w:val="20"/>
                <w:szCs w:val="20"/>
                <w:vertAlign w:val="superscript"/>
                <w:lang w:eastAsia="en-GB"/>
              </w:rPr>
              <w:t>b</w:t>
            </w:r>
          </w:p>
        </w:tc>
        <w:tc>
          <w:tcPr>
            <w:tcW w:w="992" w:type="dxa"/>
            <w:tcBorders>
              <w:bottom w:val="nil"/>
            </w:tcBorders>
            <w:shd w:val="clear" w:color="auto" w:fill="auto"/>
            <w:tcMar>
              <w:top w:w="15" w:type="dxa"/>
              <w:left w:w="108" w:type="dxa"/>
              <w:bottom w:w="0" w:type="dxa"/>
              <w:right w:w="108" w:type="dxa"/>
            </w:tcMar>
            <w:hideMark/>
          </w:tcPr>
          <w:p w14:paraId="19282110" w14:textId="77777777" w:rsidR="002B1B15" w:rsidRPr="001074FC" w:rsidRDefault="002B1B15" w:rsidP="00B66C7F">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 </w:t>
            </w:r>
          </w:p>
        </w:tc>
      </w:tr>
      <w:tr w:rsidR="002B1B15" w:rsidRPr="00285075" w14:paraId="6220A87F" w14:textId="77777777" w:rsidTr="001074FC">
        <w:trPr>
          <w:trHeight w:val="418"/>
          <w:jc w:val="center"/>
        </w:trPr>
        <w:tc>
          <w:tcPr>
            <w:tcW w:w="3081" w:type="dxa"/>
            <w:tcBorders>
              <w:top w:val="nil"/>
              <w:bottom w:val="nil"/>
            </w:tcBorders>
            <w:shd w:val="clear" w:color="auto" w:fill="auto"/>
            <w:tcMar>
              <w:top w:w="28" w:type="dxa"/>
              <w:left w:w="57" w:type="dxa"/>
              <w:bottom w:w="28" w:type="dxa"/>
              <w:right w:w="57" w:type="dxa"/>
            </w:tcMar>
            <w:hideMark/>
          </w:tcPr>
          <w:p w14:paraId="317B94C4" w14:textId="77777777" w:rsidR="002B1B15" w:rsidRPr="001074FC" w:rsidRDefault="002B1B15" w:rsidP="00B66C7F">
            <w:pPr>
              <w:spacing w:after="0" w:line="240" w:lineRule="auto"/>
              <w:textAlignment w:val="baseline"/>
              <w:rPr>
                <w:rFonts w:ascii="Arial" w:eastAsia="Times New Roman" w:hAnsi="Arial" w:cs="Arial"/>
                <w:sz w:val="20"/>
                <w:szCs w:val="20"/>
                <w:lang w:eastAsia="en-GB"/>
              </w:rPr>
            </w:pPr>
            <w:r w:rsidRPr="001074FC">
              <w:rPr>
                <w:rFonts w:ascii="Arial" w:eastAsia="MS PGothic" w:hAnsi="Arial" w:cs="Arial"/>
                <w:kern w:val="24"/>
                <w:sz w:val="20"/>
                <w:szCs w:val="20"/>
                <w:lang w:eastAsia="en-GB"/>
              </w:rPr>
              <w:t>≥65 years, n (%)</w:t>
            </w:r>
          </w:p>
        </w:tc>
        <w:tc>
          <w:tcPr>
            <w:tcW w:w="1113" w:type="dxa"/>
            <w:tcBorders>
              <w:top w:val="nil"/>
              <w:bottom w:val="nil"/>
            </w:tcBorders>
            <w:shd w:val="clear" w:color="auto" w:fill="auto"/>
            <w:tcMar>
              <w:top w:w="15" w:type="dxa"/>
              <w:left w:w="108" w:type="dxa"/>
              <w:bottom w:w="0" w:type="dxa"/>
              <w:right w:w="108" w:type="dxa"/>
            </w:tcMar>
          </w:tcPr>
          <w:p w14:paraId="6D06EEE1"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23 (13)</w:t>
            </w:r>
          </w:p>
        </w:tc>
        <w:tc>
          <w:tcPr>
            <w:tcW w:w="1152" w:type="dxa"/>
            <w:tcBorders>
              <w:top w:val="nil"/>
              <w:bottom w:val="nil"/>
            </w:tcBorders>
            <w:shd w:val="clear" w:color="auto" w:fill="auto"/>
            <w:tcMar>
              <w:top w:w="15" w:type="dxa"/>
              <w:left w:w="108" w:type="dxa"/>
              <w:bottom w:w="0" w:type="dxa"/>
              <w:right w:w="108" w:type="dxa"/>
            </w:tcMar>
          </w:tcPr>
          <w:p w14:paraId="3E07191C"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23 (36)</w:t>
            </w:r>
          </w:p>
        </w:tc>
        <w:tc>
          <w:tcPr>
            <w:tcW w:w="958" w:type="dxa"/>
            <w:tcBorders>
              <w:top w:val="nil"/>
              <w:bottom w:val="nil"/>
            </w:tcBorders>
            <w:shd w:val="clear" w:color="auto" w:fill="auto"/>
            <w:tcMar>
              <w:top w:w="15" w:type="dxa"/>
              <w:left w:w="108" w:type="dxa"/>
              <w:bottom w:w="0" w:type="dxa"/>
              <w:right w:w="108" w:type="dxa"/>
            </w:tcMar>
            <w:hideMark/>
          </w:tcPr>
          <w:p w14:paraId="315B2C40"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56.7</w:t>
            </w:r>
          </w:p>
        </w:tc>
        <w:tc>
          <w:tcPr>
            <w:tcW w:w="1406" w:type="dxa"/>
            <w:tcBorders>
              <w:top w:val="nil"/>
              <w:bottom w:val="nil"/>
            </w:tcBorders>
            <w:shd w:val="clear" w:color="auto" w:fill="auto"/>
            <w:tcMar>
              <w:top w:w="15" w:type="dxa"/>
              <w:left w:w="108" w:type="dxa"/>
              <w:bottom w:w="0" w:type="dxa"/>
              <w:right w:w="108" w:type="dxa"/>
            </w:tcMar>
          </w:tcPr>
          <w:p w14:paraId="11BD6E5E"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51 (20)</w:t>
            </w:r>
          </w:p>
        </w:tc>
        <w:tc>
          <w:tcPr>
            <w:tcW w:w="1221" w:type="dxa"/>
            <w:tcBorders>
              <w:top w:val="nil"/>
              <w:bottom w:val="nil"/>
            </w:tcBorders>
            <w:shd w:val="clear" w:color="auto" w:fill="auto"/>
            <w:tcMar>
              <w:top w:w="15" w:type="dxa"/>
              <w:left w:w="108" w:type="dxa"/>
              <w:bottom w:w="0" w:type="dxa"/>
              <w:right w:w="108" w:type="dxa"/>
            </w:tcMar>
          </w:tcPr>
          <w:p w14:paraId="2B3FBAD5"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48 (21)</w:t>
            </w:r>
          </w:p>
        </w:tc>
        <w:tc>
          <w:tcPr>
            <w:tcW w:w="992" w:type="dxa"/>
            <w:tcBorders>
              <w:top w:val="nil"/>
              <w:bottom w:val="nil"/>
            </w:tcBorders>
            <w:shd w:val="clear" w:color="auto" w:fill="auto"/>
            <w:tcMar>
              <w:top w:w="15" w:type="dxa"/>
              <w:left w:w="108" w:type="dxa"/>
              <w:bottom w:w="0" w:type="dxa"/>
              <w:right w:w="108" w:type="dxa"/>
            </w:tcMar>
            <w:hideMark/>
          </w:tcPr>
          <w:p w14:paraId="46EF3713"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0.9</w:t>
            </w:r>
          </w:p>
        </w:tc>
      </w:tr>
      <w:tr w:rsidR="002B1B15" w:rsidRPr="00285075" w14:paraId="686A3D29" w14:textId="77777777" w:rsidTr="001074FC">
        <w:trPr>
          <w:trHeight w:val="418"/>
          <w:jc w:val="center"/>
        </w:trPr>
        <w:tc>
          <w:tcPr>
            <w:tcW w:w="3081" w:type="dxa"/>
            <w:tcBorders>
              <w:top w:val="nil"/>
              <w:bottom w:val="nil"/>
            </w:tcBorders>
            <w:shd w:val="clear" w:color="auto" w:fill="auto"/>
            <w:tcMar>
              <w:top w:w="28" w:type="dxa"/>
              <w:left w:w="57" w:type="dxa"/>
              <w:bottom w:w="28" w:type="dxa"/>
              <w:right w:w="57" w:type="dxa"/>
            </w:tcMar>
            <w:hideMark/>
          </w:tcPr>
          <w:p w14:paraId="19ECECC0" w14:textId="77777777" w:rsidR="002B1B15" w:rsidRPr="001074FC" w:rsidRDefault="002B1B15" w:rsidP="00B66C7F">
            <w:pPr>
              <w:spacing w:after="0" w:line="240" w:lineRule="auto"/>
              <w:textAlignment w:val="baseline"/>
              <w:rPr>
                <w:rFonts w:ascii="Arial" w:eastAsia="Times New Roman" w:hAnsi="Arial" w:cs="Arial"/>
                <w:sz w:val="20"/>
                <w:szCs w:val="20"/>
                <w:lang w:eastAsia="en-GB"/>
              </w:rPr>
            </w:pPr>
            <w:r w:rsidRPr="001074FC">
              <w:rPr>
                <w:rFonts w:ascii="Arial" w:eastAsia="MS PGothic" w:hAnsi="Arial" w:cs="Arial"/>
                <w:kern w:val="24"/>
                <w:sz w:val="20"/>
                <w:szCs w:val="20"/>
                <w:lang w:eastAsia="en-GB"/>
              </w:rPr>
              <w:t>Female, n (%)</w:t>
            </w:r>
          </w:p>
        </w:tc>
        <w:tc>
          <w:tcPr>
            <w:tcW w:w="1113" w:type="dxa"/>
            <w:tcBorders>
              <w:top w:val="nil"/>
              <w:bottom w:val="nil"/>
            </w:tcBorders>
            <w:shd w:val="clear" w:color="auto" w:fill="auto"/>
            <w:tcMar>
              <w:top w:w="15" w:type="dxa"/>
              <w:left w:w="108" w:type="dxa"/>
              <w:bottom w:w="0" w:type="dxa"/>
              <w:right w:w="108" w:type="dxa"/>
            </w:tcMar>
          </w:tcPr>
          <w:p w14:paraId="314348B5"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98 (54)</w:t>
            </w:r>
          </w:p>
        </w:tc>
        <w:tc>
          <w:tcPr>
            <w:tcW w:w="1152" w:type="dxa"/>
            <w:tcBorders>
              <w:top w:val="nil"/>
              <w:bottom w:val="nil"/>
            </w:tcBorders>
            <w:shd w:val="clear" w:color="auto" w:fill="auto"/>
            <w:tcMar>
              <w:top w:w="15" w:type="dxa"/>
              <w:left w:w="108" w:type="dxa"/>
              <w:bottom w:w="0" w:type="dxa"/>
              <w:right w:w="108" w:type="dxa"/>
            </w:tcMar>
          </w:tcPr>
          <w:p w14:paraId="7D49221D"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34 (53)</w:t>
            </w:r>
          </w:p>
        </w:tc>
        <w:tc>
          <w:tcPr>
            <w:tcW w:w="958" w:type="dxa"/>
            <w:tcBorders>
              <w:top w:val="nil"/>
              <w:bottom w:val="nil"/>
            </w:tcBorders>
            <w:shd w:val="clear" w:color="auto" w:fill="auto"/>
            <w:tcMar>
              <w:top w:w="15" w:type="dxa"/>
              <w:left w:w="108" w:type="dxa"/>
              <w:bottom w:w="0" w:type="dxa"/>
              <w:right w:w="108" w:type="dxa"/>
            </w:tcMar>
            <w:hideMark/>
          </w:tcPr>
          <w:p w14:paraId="79AEB4FB"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0.9</w:t>
            </w:r>
          </w:p>
        </w:tc>
        <w:tc>
          <w:tcPr>
            <w:tcW w:w="1406" w:type="dxa"/>
            <w:tcBorders>
              <w:top w:val="nil"/>
              <w:bottom w:val="nil"/>
            </w:tcBorders>
            <w:shd w:val="clear" w:color="auto" w:fill="auto"/>
            <w:tcMar>
              <w:top w:w="15" w:type="dxa"/>
              <w:left w:w="108" w:type="dxa"/>
              <w:bottom w:w="0" w:type="dxa"/>
              <w:right w:w="108" w:type="dxa"/>
            </w:tcMar>
          </w:tcPr>
          <w:p w14:paraId="3E620A87"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134 (53)</w:t>
            </w:r>
          </w:p>
        </w:tc>
        <w:tc>
          <w:tcPr>
            <w:tcW w:w="1221" w:type="dxa"/>
            <w:tcBorders>
              <w:top w:val="nil"/>
              <w:bottom w:val="nil"/>
            </w:tcBorders>
            <w:shd w:val="clear" w:color="auto" w:fill="auto"/>
            <w:tcMar>
              <w:top w:w="15" w:type="dxa"/>
              <w:left w:w="108" w:type="dxa"/>
              <w:bottom w:w="0" w:type="dxa"/>
              <w:right w:w="108" w:type="dxa"/>
            </w:tcMar>
          </w:tcPr>
          <w:p w14:paraId="523AB4EF"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121 (51)</w:t>
            </w:r>
          </w:p>
        </w:tc>
        <w:tc>
          <w:tcPr>
            <w:tcW w:w="992" w:type="dxa"/>
            <w:tcBorders>
              <w:top w:val="nil"/>
              <w:bottom w:val="nil"/>
            </w:tcBorders>
            <w:shd w:val="clear" w:color="auto" w:fill="auto"/>
            <w:tcMar>
              <w:top w:w="15" w:type="dxa"/>
              <w:left w:w="108" w:type="dxa"/>
              <w:bottom w:w="0" w:type="dxa"/>
              <w:right w:w="108" w:type="dxa"/>
            </w:tcMar>
            <w:hideMark/>
          </w:tcPr>
          <w:p w14:paraId="313C1123"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3.7</w:t>
            </w:r>
          </w:p>
        </w:tc>
      </w:tr>
      <w:tr w:rsidR="002B1B15" w:rsidRPr="00285075" w14:paraId="7E961992" w14:textId="77777777" w:rsidTr="001074FC">
        <w:trPr>
          <w:trHeight w:val="418"/>
          <w:jc w:val="center"/>
        </w:trPr>
        <w:tc>
          <w:tcPr>
            <w:tcW w:w="3081" w:type="dxa"/>
            <w:tcBorders>
              <w:top w:val="nil"/>
              <w:bottom w:val="nil"/>
            </w:tcBorders>
            <w:shd w:val="clear" w:color="auto" w:fill="auto"/>
            <w:tcMar>
              <w:top w:w="28" w:type="dxa"/>
              <w:left w:w="57" w:type="dxa"/>
              <w:bottom w:w="28" w:type="dxa"/>
              <w:right w:w="57" w:type="dxa"/>
            </w:tcMar>
            <w:hideMark/>
          </w:tcPr>
          <w:p w14:paraId="4EB938BE" w14:textId="77777777" w:rsidR="002B1B15" w:rsidRPr="001074FC" w:rsidRDefault="002B1B15" w:rsidP="00B66C7F">
            <w:pPr>
              <w:spacing w:after="0" w:line="240"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 xml:space="preserve">White, n (%) </w:t>
            </w:r>
          </w:p>
        </w:tc>
        <w:tc>
          <w:tcPr>
            <w:tcW w:w="1113" w:type="dxa"/>
            <w:tcBorders>
              <w:top w:val="nil"/>
              <w:bottom w:val="nil"/>
            </w:tcBorders>
            <w:shd w:val="clear" w:color="auto" w:fill="auto"/>
            <w:tcMar>
              <w:top w:w="15" w:type="dxa"/>
              <w:left w:w="108" w:type="dxa"/>
              <w:bottom w:w="0" w:type="dxa"/>
              <w:right w:w="108" w:type="dxa"/>
            </w:tcMar>
          </w:tcPr>
          <w:p w14:paraId="32C2AB9D"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133 (73)</w:t>
            </w:r>
          </w:p>
        </w:tc>
        <w:tc>
          <w:tcPr>
            <w:tcW w:w="1152" w:type="dxa"/>
            <w:tcBorders>
              <w:top w:val="nil"/>
              <w:bottom w:val="nil"/>
            </w:tcBorders>
            <w:shd w:val="clear" w:color="auto" w:fill="auto"/>
            <w:tcMar>
              <w:top w:w="15" w:type="dxa"/>
              <w:left w:w="108" w:type="dxa"/>
              <w:bottom w:w="0" w:type="dxa"/>
              <w:right w:w="108" w:type="dxa"/>
            </w:tcMar>
          </w:tcPr>
          <w:p w14:paraId="713E70A9"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48 (75)</w:t>
            </w:r>
          </w:p>
        </w:tc>
        <w:tc>
          <w:tcPr>
            <w:tcW w:w="958" w:type="dxa"/>
            <w:tcBorders>
              <w:top w:val="nil"/>
              <w:bottom w:val="nil"/>
            </w:tcBorders>
            <w:shd w:val="clear" w:color="auto" w:fill="auto"/>
            <w:tcMar>
              <w:top w:w="15" w:type="dxa"/>
              <w:left w:w="108" w:type="dxa"/>
              <w:bottom w:w="0" w:type="dxa"/>
              <w:right w:w="108" w:type="dxa"/>
            </w:tcMar>
            <w:hideMark/>
          </w:tcPr>
          <w:p w14:paraId="0375004E"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5.3</w:t>
            </w:r>
          </w:p>
        </w:tc>
        <w:tc>
          <w:tcPr>
            <w:tcW w:w="1406" w:type="dxa"/>
            <w:tcBorders>
              <w:top w:val="nil"/>
              <w:bottom w:val="nil"/>
            </w:tcBorders>
            <w:shd w:val="clear" w:color="auto" w:fill="auto"/>
            <w:tcMar>
              <w:top w:w="15" w:type="dxa"/>
              <w:left w:w="108" w:type="dxa"/>
              <w:bottom w:w="0" w:type="dxa"/>
              <w:right w:w="108" w:type="dxa"/>
            </w:tcMar>
          </w:tcPr>
          <w:p w14:paraId="3A995C05"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184 (73)</w:t>
            </w:r>
          </w:p>
        </w:tc>
        <w:tc>
          <w:tcPr>
            <w:tcW w:w="1221" w:type="dxa"/>
            <w:tcBorders>
              <w:top w:val="nil"/>
              <w:bottom w:val="nil"/>
            </w:tcBorders>
            <w:shd w:val="clear" w:color="auto" w:fill="auto"/>
            <w:tcMar>
              <w:top w:w="15" w:type="dxa"/>
              <w:left w:w="108" w:type="dxa"/>
              <w:bottom w:w="0" w:type="dxa"/>
              <w:right w:w="108" w:type="dxa"/>
            </w:tcMar>
          </w:tcPr>
          <w:p w14:paraId="286C01B0"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171 (72)</w:t>
            </w:r>
          </w:p>
        </w:tc>
        <w:tc>
          <w:tcPr>
            <w:tcW w:w="992" w:type="dxa"/>
            <w:tcBorders>
              <w:top w:val="nil"/>
              <w:bottom w:val="nil"/>
            </w:tcBorders>
            <w:shd w:val="clear" w:color="auto" w:fill="auto"/>
            <w:tcMar>
              <w:top w:w="15" w:type="dxa"/>
              <w:left w:w="108" w:type="dxa"/>
              <w:bottom w:w="0" w:type="dxa"/>
              <w:right w:w="108" w:type="dxa"/>
            </w:tcMar>
            <w:hideMark/>
          </w:tcPr>
          <w:p w14:paraId="5289768E"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1.8</w:t>
            </w:r>
          </w:p>
        </w:tc>
      </w:tr>
      <w:tr w:rsidR="002B1B15" w:rsidRPr="00285075" w14:paraId="05C6EEA3" w14:textId="77777777" w:rsidTr="001074FC">
        <w:trPr>
          <w:trHeight w:val="418"/>
          <w:jc w:val="center"/>
        </w:trPr>
        <w:tc>
          <w:tcPr>
            <w:tcW w:w="3081" w:type="dxa"/>
            <w:tcBorders>
              <w:top w:val="nil"/>
              <w:bottom w:val="nil"/>
            </w:tcBorders>
            <w:shd w:val="clear" w:color="auto" w:fill="auto"/>
            <w:tcMar>
              <w:top w:w="28" w:type="dxa"/>
              <w:left w:w="57" w:type="dxa"/>
              <w:bottom w:w="28" w:type="dxa"/>
              <w:right w:w="57" w:type="dxa"/>
            </w:tcMar>
            <w:hideMark/>
          </w:tcPr>
          <w:p w14:paraId="5F5FFD22" w14:textId="77777777" w:rsidR="002B1B15" w:rsidRPr="001074FC" w:rsidRDefault="002B1B15" w:rsidP="00B66C7F">
            <w:pPr>
              <w:spacing w:after="0" w:line="240"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Stage IV at diagnosis, n (%)</w:t>
            </w:r>
          </w:p>
        </w:tc>
        <w:tc>
          <w:tcPr>
            <w:tcW w:w="1113" w:type="dxa"/>
            <w:tcBorders>
              <w:top w:val="nil"/>
              <w:bottom w:val="nil"/>
            </w:tcBorders>
            <w:shd w:val="clear" w:color="auto" w:fill="auto"/>
            <w:tcMar>
              <w:top w:w="15" w:type="dxa"/>
              <w:left w:w="108" w:type="dxa"/>
              <w:bottom w:w="0" w:type="dxa"/>
              <w:right w:w="108" w:type="dxa"/>
            </w:tcMar>
          </w:tcPr>
          <w:p w14:paraId="007EEE60" w14:textId="77777777" w:rsidR="002B1B15" w:rsidRPr="001074FC" w:rsidRDefault="002B1B15" w:rsidP="001074FC">
            <w:pPr>
              <w:spacing w:after="0" w:line="256" w:lineRule="auto"/>
              <w:ind w:left="81"/>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170 (93)</w:t>
            </w:r>
          </w:p>
        </w:tc>
        <w:tc>
          <w:tcPr>
            <w:tcW w:w="1152" w:type="dxa"/>
            <w:tcBorders>
              <w:top w:val="nil"/>
              <w:bottom w:val="nil"/>
            </w:tcBorders>
            <w:shd w:val="clear" w:color="auto" w:fill="auto"/>
            <w:tcMar>
              <w:top w:w="15" w:type="dxa"/>
              <w:left w:w="108" w:type="dxa"/>
              <w:bottom w:w="0" w:type="dxa"/>
              <w:right w:w="108" w:type="dxa"/>
            </w:tcMar>
          </w:tcPr>
          <w:p w14:paraId="208B975E"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57 (89)</w:t>
            </w:r>
          </w:p>
        </w:tc>
        <w:tc>
          <w:tcPr>
            <w:tcW w:w="958" w:type="dxa"/>
            <w:tcBorders>
              <w:top w:val="nil"/>
              <w:bottom w:val="nil"/>
            </w:tcBorders>
            <w:shd w:val="clear" w:color="auto" w:fill="auto"/>
            <w:tcMar>
              <w:top w:w="15" w:type="dxa"/>
              <w:left w:w="108" w:type="dxa"/>
              <w:bottom w:w="0" w:type="dxa"/>
              <w:right w:w="108" w:type="dxa"/>
            </w:tcMar>
            <w:hideMark/>
          </w:tcPr>
          <w:p w14:paraId="263AB75C"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13.4</w:t>
            </w:r>
          </w:p>
        </w:tc>
        <w:tc>
          <w:tcPr>
            <w:tcW w:w="1406" w:type="dxa"/>
            <w:tcBorders>
              <w:top w:val="nil"/>
              <w:bottom w:val="nil"/>
            </w:tcBorders>
            <w:shd w:val="clear" w:color="auto" w:fill="auto"/>
            <w:tcMar>
              <w:top w:w="15" w:type="dxa"/>
              <w:left w:w="108" w:type="dxa"/>
              <w:bottom w:w="0" w:type="dxa"/>
              <w:right w:w="108" w:type="dxa"/>
            </w:tcMar>
          </w:tcPr>
          <w:p w14:paraId="35990AF8"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231 (92)</w:t>
            </w:r>
          </w:p>
        </w:tc>
        <w:tc>
          <w:tcPr>
            <w:tcW w:w="1221" w:type="dxa"/>
            <w:tcBorders>
              <w:top w:val="nil"/>
              <w:bottom w:val="nil"/>
            </w:tcBorders>
            <w:shd w:val="clear" w:color="auto" w:fill="auto"/>
            <w:tcMar>
              <w:top w:w="15" w:type="dxa"/>
              <w:left w:w="108" w:type="dxa"/>
              <w:bottom w:w="0" w:type="dxa"/>
              <w:right w:w="108" w:type="dxa"/>
            </w:tcMar>
          </w:tcPr>
          <w:p w14:paraId="4B469350"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218 (92)</w:t>
            </w:r>
          </w:p>
        </w:tc>
        <w:tc>
          <w:tcPr>
            <w:tcW w:w="992" w:type="dxa"/>
            <w:tcBorders>
              <w:top w:val="nil"/>
              <w:bottom w:val="nil"/>
            </w:tcBorders>
            <w:shd w:val="clear" w:color="auto" w:fill="auto"/>
            <w:tcMar>
              <w:top w:w="15" w:type="dxa"/>
              <w:left w:w="108" w:type="dxa"/>
              <w:bottom w:w="0" w:type="dxa"/>
              <w:right w:w="108" w:type="dxa"/>
            </w:tcMar>
            <w:hideMark/>
          </w:tcPr>
          <w:p w14:paraId="6D8E43AB"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2.2</w:t>
            </w:r>
          </w:p>
        </w:tc>
      </w:tr>
      <w:tr w:rsidR="002B1B15" w:rsidRPr="00285075" w14:paraId="5C299C00" w14:textId="77777777" w:rsidTr="001074FC">
        <w:trPr>
          <w:trHeight w:val="1150"/>
          <w:jc w:val="center"/>
        </w:trPr>
        <w:tc>
          <w:tcPr>
            <w:tcW w:w="3081" w:type="dxa"/>
            <w:tcBorders>
              <w:top w:val="nil"/>
            </w:tcBorders>
            <w:shd w:val="clear" w:color="auto" w:fill="auto"/>
            <w:tcMar>
              <w:top w:w="28" w:type="dxa"/>
              <w:left w:w="57" w:type="dxa"/>
              <w:bottom w:w="28" w:type="dxa"/>
              <w:right w:w="57" w:type="dxa"/>
            </w:tcMar>
            <w:hideMark/>
          </w:tcPr>
          <w:p w14:paraId="3BBD8BE7" w14:textId="77777777" w:rsidR="002B1B15" w:rsidRPr="001074FC" w:rsidRDefault="002B1B15" w:rsidP="00B66C7F">
            <w:pPr>
              <w:spacing w:after="0" w:line="240"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Prior lines of treatment, n (%)</w:t>
            </w:r>
          </w:p>
          <w:p w14:paraId="71ACE898" w14:textId="7E2639BF" w:rsidR="002B1B15" w:rsidRPr="001074FC" w:rsidRDefault="002B1B15" w:rsidP="00B66C7F">
            <w:pPr>
              <w:spacing w:after="0" w:line="240" w:lineRule="auto"/>
              <w:ind w:left="250"/>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1</w:t>
            </w:r>
          </w:p>
          <w:p w14:paraId="1163FA98" w14:textId="1B8251E5" w:rsidR="002B1B15" w:rsidRPr="001074FC" w:rsidRDefault="002B1B15" w:rsidP="00B66C7F">
            <w:pPr>
              <w:spacing w:after="0" w:line="240" w:lineRule="auto"/>
              <w:ind w:left="250"/>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2</w:t>
            </w:r>
          </w:p>
          <w:p w14:paraId="439157EF" w14:textId="718C7B41" w:rsidR="002B1B15" w:rsidRPr="001074FC" w:rsidRDefault="002B1B15" w:rsidP="00B66C7F">
            <w:pPr>
              <w:spacing w:after="0" w:line="240" w:lineRule="auto"/>
              <w:ind w:left="250"/>
              <w:rPr>
                <w:rFonts w:ascii="Arial" w:eastAsia="Times New Roman" w:hAnsi="Arial" w:cs="Arial"/>
                <w:sz w:val="20"/>
                <w:szCs w:val="20"/>
                <w:lang w:eastAsia="en-GB"/>
              </w:rPr>
            </w:pPr>
            <w:r w:rsidRPr="001074FC">
              <w:rPr>
                <w:rFonts w:ascii="Arial" w:eastAsia="MS PGothic" w:hAnsi="Arial" w:cs="Arial"/>
                <w:kern w:val="24"/>
                <w:sz w:val="20"/>
                <w:szCs w:val="20"/>
                <w:lang w:eastAsia="en-GB"/>
              </w:rPr>
              <w:t>≥3</w:t>
            </w:r>
          </w:p>
        </w:tc>
        <w:tc>
          <w:tcPr>
            <w:tcW w:w="1113" w:type="dxa"/>
            <w:tcBorders>
              <w:top w:val="nil"/>
            </w:tcBorders>
            <w:shd w:val="clear" w:color="auto" w:fill="auto"/>
            <w:tcMar>
              <w:top w:w="15" w:type="dxa"/>
              <w:left w:w="108" w:type="dxa"/>
              <w:bottom w:w="0" w:type="dxa"/>
              <w:right w:w="108" w:type="dxa"/>
            </w:tcMar>
          </w:tcPr>
          <w:p w14:paraId="39E746F0" w14:textId="77777777" w:rsidR="002B1B15" w:rsidRPr="001074FC" w:rsidRDefault="002B1B15" w:rsidP="00B66C7F">
            <w:pPr>
              <w:spacing w:after="0" w:line="256" w:lineRule="auto"/>
              <w:rPr>
                <w:rFonts w:ascii="Arial" w:eastAsia="Times New Roman" w:hAnsi="Arial" w:cs="Arial"/>
                <w:kern w:val="24"/>
                <w:sz w:val="20"/>
                <w:szCs w:val="20"/>
                <w:lang w:eastAsia="en-GB"/>
              </w:rPr>
            </w:pPr>
          </w:p>
          <w:p w14:paraId="78993A3A" w14:textId="35616E3D" w:rsidR="002B1B15" w:rsidRPr="001074FC" w:rsidRDefault="002B1B15" w:rsidP="00B66C7F">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52 (28)</w:t>
            </w:r>
          </w:p>
          <w:p w14:paraId="295BC97E"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66 (36)</w:t>
            </w:r>
          </w:p>
          <w:p w14:paraId="414DBB85"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65 (36)</w:t>
            </w:r>
          </w:p>
        </w:tc>
        <w:tc>
          <w:tcPr>
            <w:tcW w:w="1152" w:type="dxa"/>
            <w:tcBorders>
              <w:top w:val="nil"/>
            </w:tcBorders>
            <w:shd w:val="clear" w:color="auto" w:fill="auto"/>
            <w:tcMar>
              <w:top w:w="15" w:type="dxa"/>
              <w:left w:w="108" w:type="dxa"/>
              <w:bottom w:w="0" w:type="dxa"/>
              <w:right w:w="108" w:type="dxa"/>
            </w:tcMar>
          </w:tcPr>
          <w:p w14:paraId="5E1FA180" w14:textId="77777777" w:rsidR="002B1B15" w:rsidRPr="001074FC" w:rsidRDefault="002B1B15" w:rsidP="001074FC">
            <w:pPr>
              <w:spacing w:after="0" w:line="256" w:lineRule="auto"/>
              <w:rPr>
                <w:rFonts w:ascii="Arial" w:eastAsia="Times New Roman" w:hAnsi="Arial" w:cs="Arial"/>
                <w:kern w:val="24"/>
                <w:sz w:val="20"/>
                <w:szCs w:val="20"/>
                <w:lang w:eastAsia="en-GB"/>
              </w:rPr>
            </w:pPr>
          </w:p>
          <w:p w14:paraId="7E839093" w14:textId="75CEFD4A" w:rsidR="002B1B15" w:rsidRPr="001074FC" w:rsidRDefault="002B1B15" w:rsidP="00B66C7F">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35 (55)</w:t>
            </w:r>
          </w:p>
          <w:p w14:paraId="184E58E2"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20 (31)</w:t>
            </w:r>
          </w:p>
          <w:p w14:paraId="10B484C9" w14:textId="20D7E5A3"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9 (14)</w:t>
            </w:r>
          </w:p>
        </w:tc>
        <w:tc>
          <w:tcPr>
            <w:tcW w:w="958" w:type="dxa"/>
            <w:tcBorders>
              <w:top w:val="nil"/>
            </w:tcBorders>
            <w:shd w:val="clear" w:color="auto" w:fill="auto"/>
            <w:tcMar>
              <w:top w:w="15" w:type="dxa"/>
              <w:left w:w="108" w:type="dxa"/>
              <w:bottom w:w="0" w:type="dxa"/>
              <w:right w:w="108" w:type="dxa"/>
            </w:tcMar>
            <w:hideMark/>
          </w:tcPr>
          <w:p w14:paraId="2C3C34D4" w14:textId="77777777" w:rsidR="00FB27BF" w:rsidRDefault="00FB27BF" w:rsidP="00B66C7F">
            <w:pPr>
              <w:spacing w:after="0" w:line="240" w:lineRule="auto"/>
              <w:rPr>
                <w:rFonts w:ascii="Arial" w:eastAsia="Times New Roman" w:hAnsi="Arial" w:cs="Arial"/>
                <w:sz w:val="20"/>
                <w:szCs w:val="20"/>
                <w:lang w:eastAsia="en-GB"/>
              </w:rPr>
            </w:pPr>
          </w:p>
          <w:p w14:paraId="395492B4" w14:textId="77777777" w:rsidR="00FB27BF" w:rsidRDefault="00FB27BF" w:rsidP="00B66C7F">
            <w:pPr>
              <w:spacing w:after="0" w:line="240" w:lineRule="auto"/>
              <w:rPr>
                <w:rFonts w:ascii="Arial" w:eastAsia="Times New Roman" w:hAnsi="Arial" w:cs="Arial"/>
                <w:sz w:val="20"/>
                <w:szCs w:val="20"/>
                <w:lang w:eastAsia="en-GB"/>
              </w:rPr>
            </w:pPr>
          </w:p>
          <w:p w14:paraId="7856CCB6" w14:textId="117E677B" w:rsidR="002B1B15" w:rsidRPr="001074FC" w:rsidRDefault="002B1B15" w:rsidP="00B66C7F">
            <w:pPr>
              <w:spacing w:after="0" w:line="240" w:lineRule="auto"/>
              <w:rPr>
                <w:rFonts w:ascii="Arial" w:eastAsia="Times New Roman" w:hAnsi="Arial" w:cs="Arial"/>
                <w:sz w:val="20"/>
                <w:szCs w:val="20"/>
                <w:lang w:eastAsia="en-GB"/>
              </w:rPr>
            </w:pPr>
            <w:r w:rsidRPr="001074FC">
              <w:rPr>
                <w:rFonts w:ascii="Arial" w:eastAsia="Times New Roman" w:hAnsi="Arial" w:cs="Arial"/>
                <w:sz w:val="20"/>
                <w:szCs w:val="20"/>
                <w:lang w:eastAsia="en-GB"/>
              </w:rPr>
              <w:t>62.8</w:t>
            </w:r>
          </w:p>
        </w:tc>
        <w:tc>
          <w:tcPr>
            <w:tcW w:w="1406" w:type="dxa"/>
            <w:tcBorders>
              <w:top w:val="nil"/>
            </w:tcBorders>
            <w:shd w:val="clear" w:color="auto" w:fill="auto"/>
            <w:tcMar>
              <w:top w:w="15" w:type="dxa"/>
              <w:left w:w="108" w:type="dxa"/>
              <w:bottom w:w="0" w:type="dxa"/>
              <w:right w:w="108" w:type="dxa"/>
            </w:tcMar>
          </w:tcPr>
          <w:p w14:paraId="34F85D13" w14:textId="77777777" w:rsidR="002B1B15" w:rsidRPr="001074FC" w:rsidRDefault="002B1B15" w:rsidP="001074FC">
            <w:pPr>
              <w:spacing w:after="0" w:line="256" w:lineRule="auto"/>
              <w:rPr>
                <w:rFonts w:ascii="Arial" w:eastAsia="Times New Roman" w:hAnsi="Arial" w:cs="Arial"/>
                <w:kern w:val="24"/>
                <w:sz w:val="20"/>
                <w:szCs w:val="20"/>
                <w:lang w:eastAsia="en-GB"/>
              </w:rPr>
            </w:pPr>
          </w:p>
          <w:p w14:paraId="37177E97" w14:textId="06D4987D" w:rsidR="002B1B15" w:rsidRPr="001074FC" w:rsidRDefault="002B1B15" w:rsidP="00B66C7F">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91 (36)</w:t>
            </w:r>
          </w:p>
          <w:p w14:paraId="1B6034C9"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86 (34)</w:t>
            </w:r>
          </w:p>
          <w:p w14:paraId="54D5B2E6"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74 (29)</w:t>
            </w:r>
          </w:p>
        </w:tc>
        <w:tc>
          <w:tcPr>
            <w:tcW w:w="1221" w:type="dxa"/>
            <w:tcBorders>
              <w:top w:val="nil"/>
            </w:tcBorders>
            <w:shd w:val="clear" w:color="auto" w:fill="auto"/>
            <w:tcMar>
              <w:top w:w="15" w:type="dxa"/>
              <w:left w:w="108" w:type="dxa"/>
              <w:bottom w:w="0" w:type="dxa"/>
              <w:right w:w="108" w:type="dxa"/>
            </w:tcMar>
          </w:tcPr>
          <w:p w14:paraId="253CFE05" w14:textId="77777777" w:rsidR="002B1B15" w:rsidRPr="001074FC" w:rsidRDefault="002B1B15" w:rsidP="001074FC">
            <w:pPr>
              <w:spacing w:after="0" w:line="256" w:lineRule="auto"/>
              <w:rPr>
                <w:rFonts w:ascii="Arial" w:eastAsia="Times New Roman" w:hAnsi="Arial" w:cs="Arial"/>
                <w:kern w:val="24"/>
                <w:sz w:val="20"/>
                <w:szCs w:val="20"/>
                <w:lang w:eastAsia="en-GB"/>
              </w:rPr>
            </w:pPr>
          </w:p>
          <w:p w14:paraId="2FE9BED7" w14:textId="24EAA83D" w:rsidR="002B1B15" w:rsidRPr="001074FC" w:rsidRDefault="002B1B15" w:rsidP="00B66C7F">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89 (38)</w:t>
            </w:r>
          </w:p>
          <w:p w14:paraId="354AFA59"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85 (36)</w:t>
            </w:r>
          </w:p>
          <w:p w14:paraId="187303AC" w14:textId="77777777" w:rsidR="002B1B15" w:rsidRPr="001074FC" w:rsidRDefault="002B1B15" w:rsidP="001074FC">
            <w:pPr>
              <w:spacing w:after="0" w:line="256" w:lineRule="auto"/>
              <w:rPr>
                <w:rFonts w:ascii="Arial" w:eastAsia="Times New Roman" w:hAnsi="Arial" w:cs="Arial"/>
                <w:sz w:val="20"/>
                <w:szCs w:val="20"/>
                <w:lang w:eastAsia="en-GB"/>
              </w:rPr>
            </w:pPr>
            <w:r w:rsidRPr="001074FC">
              <w:rPr>
                <w:rFonts w:ascii="Arial" w:eastAsia="Times New Roman" w:hAnsi="Arial" w:cs="Arial"/>
                <w:kern w:val="24"/>
                <w:sz w:val="20"/>
                <w:szCs w:val="20"/>
                <w:lang w:eastAsia="en-GB"/>
              </w:rPr>
              <w:t>63 (27)</w:t>
            </w:r>
          </w:p>
        </w:tc>
        <w:tc>
          <w:tcPr>
            <w:tcW w:w="992" w:type="dxa"/>
            <w:tcBorders>
              <w:top w:val="nil"/>
            </w:tcBorders>
            <w:shd w:val="clear" w:color="auto" w:fill="auto"/>
            <w:tcMar>
              <w:top w:w="28" w:type="dxa"/>
              <w:left w:w="57" w:type="dxa"/>
              <w:bottom w:w="28" w:type="dxa"/>
              <w:right w:w="57" w:type="dxa"/>
            </w:tcMar>
            <w:hideMark/>
          </w:tcPr>
          <w:p w14:paraId="0F60A113" w14:textId="77777777" w:rsidR="002B1B15" w:rsidRPr="001074FC" w:rsidRDefault="002B1B15" w:rsidP="001074FC">
            <w:pPr>
              <w:spacing w:after="0" w:line="240" w:lineRule="auto"/>
              <w:textAlignment w:val="baseline"/>
              <w:rPr>
                <w:rFonts w:ascii="Arial" w:eastAsia="MS PGothic" w:hAnsi="Arial" w:cs="Arial"/>
                <w:kern w:val="24"/>
                <w:sz w:val="20"/>
                <w:szCs w:val="20"/>
                <w:lang w:eastAsia="en-GB"/>
              </w:rPr>
            </w:pPr>
          </w:p>
          <w:p w14:paraId="0910033D" w14:textId="5944E1CF" w:rsidR="002B1B15" w:rsidRPr="001074FC" w:rsidRDefault="002B1B15" w:rsidP="001074FC">
            <w:pPr>
              <w:spacing w:after="0" w:line="240" w:lineRule="auto"/>
              <w:textAlignment w:val="baseline"/>
              <w:rPr>
                <w:rFonts w:ascii="Arial" w:eastAsia="MS PGothic" w:hAnsi="Arial" w:cs="Arial"/>
                <w:kern w:val="24"/>
                <w:sz w:val="20"/>
                <w:szCs w:val="20"/>
                <w:lang w:eastAsia="en-GB"/>
              </w:rPr>
            </w:pPr>
          </w:p>
          <w:p w14:paraId="4658EA84" w14:textId="42979E23" w:rsidR="002B1B15" w:rsidRPr="001074FC" w:rsidRDefault="002B1B15" w:rsidP="00B66C7F">
            <w:pPr>
              <w:spacing w:after="0" w:line="240" w:lineRule="auto"/>
              <w:textAlignment w:val="baseline"/>
              <w:rPr>
                <w:rFonts w:ascii="Arial" w:eastAsia="Times New Roman" w:hAnsi="Arial" w:cs="Arial"/>
                <w:sz w:val="20"/>
                <w:szCs w:val="20"/>
                <w:lang w:eastAsia="en-GB"/>
              </w:rPr>
            </w:pPr>
            <w:r w:rsidRPr="001074FC">
              <w:rPr>
                <w:rFonts w:ascii="Arial" w:eastAsia="MS PGothic" w:hAnsi="Arial" w:cs="Arial"/>
                <w:kern w:val="24"/>
                <w:sz w:val="20"/>
                <w:szCs w:val="20"/>
                <w:lang w:eastAsia="en-GB"/>
              </w:rPr>
              <w:t>6.4</w:t>
            </w:r>
          </w:p>
        </w:tc>
      </w:tr>
    </w:tbl>
    <w:p w14:paraId="435281DE" w14:textId="05A1DD7A" w:rsidR="002B1B15" w:rsidRPr="00506A68" w:rsidRDefault="002B1B15" w:rsidP="002B1B15">
      <w:pPr>
        <w:spacing w:after="0"/>
        <w:rPr>
          <w:rFonts w:ascii="Arial" w:hAnsi="Arial" w:cs="Arial"/>
          <w:color w:val="000000"/>
          <w:sz w:val="20"/>
        </w:rPr>
      </w:pPr>
      <w:r w:rsidRPr="00506A68">
        <w:rPr>
          <w:rFonts w:ascii="Arial" w:hAnsi="Arial" w:cs="Arial"/>
          <w:color w:val="000000"/>
          <w:sz w:val="20"/>
        </w:rPr>
        <w:t>SMD</w:t>
      </w:r>
      <w:r w:rsidR="0092458D">
        <w:rPr>
          <w:rFonts w:ascii="Arial" w:hAnsi="Arial" w:cs="Arial"/>
          <w:color w:val="000000"/>
          <w:sz w:val="20"/>
        </w:rPr>
        <w:t>:</w:t>
      </w:r>
      <w:r w:rsidRPr="00506A68">
        <w:rPr>
          <w:rFonts w:ascii="Arial" w:hAnsi="Arial" w:cs="Arial"/>
          <w:color w:val="000000"/>
          <w:sz w:val="20"/>
        </w:rPr>
        <w:t xml:space="preserve"> </w:t>
      </w:r>
      <w:r w:rsidR="0092458D">
        <w:rPr>
          <w:rFonts w:ascii="Arial" w:hAnsi="Arial" w:cs="Arial"/>
          <w:color w:val="000000"/>
          <w:sz w:val="20"/>
        </w:rPr>
        <w:t>S</w:t>
      </w:r>
      <w:r w:rsidRPr="00506A68">
        <w:rPr>
          <w:rFonts w:ascii="Arial" w:hAnsi="Arial" w:cs="Arial"/>
          <w:color w:val="000000"/>
          <w:sz w:val="20"/>
        </w:rPr>
        <w:t>tandardi</w:t>
      </w:r>
      <w:r w:rsidR="00A45581">
        <w:rPr>
          <w:rFonts w:ascii="Arial" w:hAnsi="Arial" w:cs="Arial"/>
          <w:color w:val="000000"/>
          <w:sz w:val="20"/>
        </w:rPr>
        <w:t>z</w:t>
      </w:r>
      <w:r w:rsidRPr="00506A68">
        <w:rPr>
          <w:rFonts w:ascii="Arial" w:hAnsi="Arial" w:cs="Arial"/>
          <w:color w:val="000000"/>
          <w:sz w:val="20"/>
        </w:rPr>
        <w:t>ed mean difference.</w:t>
      </w:r>
    </w:p>
    <w:p w14:paraId="4F4D01A2" w14:textId="77777777" w:rsidR="002B1B15" w:rsidRPr="00506A68" w:rsidRDefault="002B1B15" w:rsidP="002B1B15">
      <w:pPr>
        <w:spacing w:after="0"/>
        <w:rPr>
          <w:rFonts w:ascii="Arial" w:hAnsi="Arial" w:cs="Arial"/>
          <w:color w:val="000000"/>
          <w:sz w:val="20"/>
        </w:rPr>
      </w:pPr>
      <w:r w:rsidRPr="00506A68">
        <w:rPr>
          <w:rFonts w:ascii="Arial" w:hAnsi="Arial" w:cs="Arial"/>
          <w:color w:val="000000"/>
          <w:sz w:val="20"/>
          <w:vertAlign w:val="superscript"/>
        </w:rPr>
        <w:t>a</w:t>
      </w:r>
      <w:r w:rsidRPr="00506A68">
        <w:rPr>
          <w:rFonts w:ascii="Arial" w:hAnsi="Arial" w:cs="Arial"/>
          <w:color w:val="000000"/>
          <w:sz w:val="20"/>
        </w:rPr>
        <w:t>Three patients removed after applying trimming.</w:t>
      </w:r>
    </w:p>
    <w:p w14:paraId="5844717A" w14:textId="2DBA4732" w:rsidR="002B1B15" w:rsidRPr="00506A68" w:rsidRDefault="002B1B15" w:rsidP="002B1B15">
      <w:pPr>
        <w:rPr>
          <w:rFonts w:ascii="Arial" w:hAnsi="Arial" w:cs="Arial"/>
          <w:color w:val="000000"/>
          <w:sz w:val="20"/>
        </w:rPr>
      </w:pPr>
      <w:r w:rsidRPr="00506A68">
        <w:rPr>
          <w:rFonts w:ascii="Arial" w:hAnsi="Arial" w:cs="Arial"/>
          <w:color w:val="000000"/>
          <w:sz w:val="20"/>
          <w:vertAlign w:val="superscript"/>
        </w:rPr>
        <w:t>b</w:t>
      </w:r>
      <w:r w:rsidRPr="00506A68">
        <w:rPr>
          <w:rFonts w:ascii="Arial" w:hAnsi="Arial" w:cs="Arial"/>
          <w:color w:val="000000"/>
          <w:sz w:val="20"/>
        </w:rPr>
        <w:t>Population sizes are larger due to weighting. Stabili</w:t>
      </w:r>
      <w:r w:rsidR="00A45581">
        <w:rPr>
          <w:rFonts w:ascii="Arial" w:hAnsi="Arial" w:cs="Arial"/>
          <w:color w:val="000000"/>
          <w:sz w:val="20"/>
        </w:rPr>
        <w:t>z</w:t>
      </w:r>
      <w:r w:rsidRPr="00506A68">
        <w:rPr>
          <w:rFonts w:ascii="Arial" w:hAnsi="Arial" w:cs="Arial"/>
          <w:color w:val="000000"/>
          <w:sz w:val="20"/>
        </w:rPr>
        <w:t xml:space="preserve">ed weights were used in order to have an average weight close to 1 (and pseudo sample size close to original sample size). </w:t>
      </w:r>
    </w:p>
    <w:p w14:paraId="54C2360D" w14:textId="77777777" w:rsidR="002B1B15" w:rsidRPr="00506A68" w:rsidRDefault="002B1B15" w:rsidP="002B1B15">
      <w:pPr>
        <w:rPr>
          <w:rFonts w:ascii="Arial" w:hAnsi="Arial" w:cs="Arial"/>
          <w:color w:val="000000"/>
        </w:rPr>
      </w:pPr>
      <w:r w:rsidRPr="00506A68">
        <w:rPr>
          <w:rFonts w:ascii="Arial" w:hAnsi="Arial" w:cs="Arial"/>
          <w:color w:val="000000"/>
        </w:rPr>
        <w:br w:type="page"/>
      </w:r>
    </w:p>
    <w:p w14:paraId="5D01E701" w14:textId="77777777" w:rsidR="002B1B15" w:rsidRPr="001074FC" w:rsidRDefault="002B1B15" w:rsidP="002B1B15">
      <w:pPr>
        <w:rPr>
          <w:rFonts w:ascii="Arial" w:hAnsi="Arial" w:cs="Arial"/>
          <w:b/>
          <w:color w:val="000000"/>
        </w:rPr>
      </w:pPr>
      <w:r w:rsidRPr="001074FC">
        <w:rPr>
          <w:rFonts w:ascii="Arial" w:hAnsi="Arial" w:cs="Arial"/>
          <w:b/>
          <w:color w:val="000000"/>
        </w:rPr>
        <w:lastRenderedPageBreak/>
        <w:t xml:space="preserve">Table 3. Sensitivity analyses of OS. </w:t>
      </w:r>
    </w:p>
    <w:tbl>
      <w:tblPr>
        <w:tblStyle w:val="TableGrid"/>
        <w:tblW w:w="90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99"/>
        <w:gridCol w:w="1051"/>
        <w:gridCol w:w="1353"/>
        <w:gridCol w:w="850"/>
        <w:gridCol w:w="1276"/>
        <w:gridCol w:w="1417"/>
        <w:gridCol w:w="1026"/>
      </w:tblGrid>
      <w:tr w:rsidR="002B1B15" w:rsidRPr="00B66C7F" w14:paraId="319B7A7B" w14:textId="77777777" w:rsidTr="001074FC">
        <w:tc>
          <w:tcPr>
            <w:tcW w:w="2099" w:type="dxa"/>
            <w:tcBorders>
              <w:bottom w:val="nil"/>
            </w:tcBorders>
          </w:tcPr>
          <w:p w14:paraId="2D08020F" w14:textId="77777777" w:rsidR="002B1B15" w:rsidRPr="001074FC" w:rsidRDefault="002B1B15" w:rsidP="00B66C7F">
            <w:pPr>
              <w:rPr>
                <w:rFonts w:ascii="Arial" w:hAnsi="Arial" w:cs="Arial"/>
                <w:b/>
                <w:bCs/>
                <w:color w:val="000000"/>
                <w:sz w:val="20"/>
                <w:szCs w:val="20"/>
              </w:rPr>
            </w:pPr>
          </w:p>
        </w:tc>
        <w:tc>
          <w:tcPr>
            <w:tcW w:w="2404" w:type="dxa"/>
            <w:gridSpan w:val="2"/>
          </w:tcPr>
          <w:p w14:paraId="2743B41F" w14:textId="0AC8287C" w:rsidR="002B1B15" w:rsidRPr="001074FC" w:rsidRDefault="002B1B15" w:rsidP="001074FC">
            <w:pPr>
              <w:rPr>
                <w:rFonts w:ascii="Arial" w:hAnsi="Arial" w:cs="Arial"/>
                <w:b/>
                <w:bCs/>
                <w:color w:val="000000"/>
                <w:sz w:val="20"/>
                <w:szCs w:val="20"/>
              </w:rPr>
            </w:pPr>
            <w:r w:rsidRPr="001074FC">
              <w:rPr>
                <w:rFonts w:ascii="Arial" w:hAnsi="Arial" w:cs="Arial"/>
                <w:b/>
                <w:bCs/>
                <w:color w:val="000000"/>
                <w:sz w:val="20"/>
                <w:szCs w:val="20"/>
              </w:rPr>
              <w:t>Alectinib patients</w:t>
            </w:r>
          </w:p>
        </w:tc>
        <w:tc>
          <w:tcPr>
            <w:tcW w:w="2126" w:type="dxa"/>
            <w:gridSpan w:val="2"/>
          </w:tcPr>
          <w:p w14:paraId="6B61C55A" w14:textId="77777777" w:rsidR="002B1B15" w:rsidRPr="001074FC" w:rsidRDefault="002B1B15" w:rsidP="001074FC">
            <w:pPr>
              <w:rPr>
                <w:rFonts w:ascii="Arial" w:hAnsi="Arial" w:cs="Arial"/>
                <w:b/>
                <w:bCs/>
                <w:color w:val="000000"/>
                <w:sz w:val="20"/>
                <w:szCs w:val="20"/>
              </w:rPr>
            </w:pPr>
            <w:r w:rsidRPr="001074FC">
              <w:rPr>
                <w:rFonts w:ascii="Arial" w:hAnsi="Arial" w:cs="Arial"/>
                <w:b/>
                <w:bCs/>
                <w:color w:val="000000"/>
                <w:sz w:val="20"/>
                <w:szCs w:val="20"/>
              </w:rPr>
              <w:t>Ceritinib patients</w:t>
            </w:r>
          </w:p>
        </w:tc>
        <w:tc>
          <w:tcPr>
            <w:tcW w:w="1417" w:type="dxa"/>
          </w:tcPr>
          <w:p w14:paraId="20DD0176" w14:textId="77777777" w:rsidR="002B1B15" w:rsidRPr="001074FC" w:rsidRDefault="002B1B15" w:rsidP="001074FC">
            <w:pPr>
              <w:rPr>
                <w:rFonts w:ascii="Arial" w:hAnsi="Arial" w:cs="Arial"/>
                <w:b/>
                <w:bCs/>
                <w:color w:val="000000"/>
                <w:sz w:val="20"/>
                <w:szCs w:val="20"/>
              </w:rPr>
            </w:pPr>
          </w:p>
        </w:tc>
        <w:tc>
          <w:tcPr>
            <w:tcW w:w="1026" w:type="dxa"/>
            <w:tcBorders>
              <w:bottom w:val="nil"/>
            </w:tcBorders>
          </w:tcPr>
          <w:p w14:paraId="598DD7C5" w14:textId="77777777" w:rsidR="002B1B15" w:rsidRPr="001074FC" w:rsidRDefault="002B1B15" w:rsidP="001074FC">
            <w:pPr>
              <w:rPr>
                <w:rFonts w:ascii="Arial" w:hAnsi="Arial" w:cs="Arial"/>
                <w:b/>
                <w:bCs/>
                <w:color w:val="000000"/>
                <w:sz w:val="20"/>
                <w:szCs w:val="20"/>
              </w:rPr>
            </w:pPr>
          </w:p>
        </w:tc>
      </w:tr>
      <w:tr w:rsidR="002B1B15" w:rsidRPr="00B66C7F" w14:paraId="7E2D67DD" w14:textId="77777777" w:rsidTr="001074FC">
        <w:tc>
          <w:tcPr>
            <w:tcW w:w="2099" w:type="dxa"/>
            <w:tcBorders>
              <w:top w:val="nil"/>
            </w:tcBorders>
          </w:tcPr>
          <w:p w14:paraId="34B69953" w14:textId="77777777" w:rsidR="002B1B15" w:rsidRPr="001074FC" w:rsidRDefault="002B1B15" w:rsidP="00B66C7F">
            <w:pPr>
              <w:rPr>
                <w:rFonts w:ascii="Arial" w:hAnsi="Arial" w:cs="Arial"/>
                <w:b/>
                <w:bCs/>
                <w:color w:val="000000"/>
                <w:sz w:val="20"/>
                <w:szCs w:val="20"/>
              </w:rPr>
            </w:pPr>
          </w:p>
          <w:p w14:paraId="5C24DA6B" w14:textId="77777777" w:rsidR="002B1B15" w:rsidRPr="001074FC" w:rsidRDefault="002B1B15" w:rsidP="00B66C7F">
            <w:pPr>
              <w:rPr>
                <w:rFonts w:ascii="Arial" w:hAnsi="Arial" w:cs="Arial"/>
                <w:b/>
                <w:color w:val="000000"/>
                <w:sz w:val="20"/>
                <w:szCs w:val="20"/>
              </w:rPr>
            </w:pPr>
            <w:r w:rsidRPr="001074FC">
              <w:rPr>
                <w:rFonts w:ascii="Arial" w:hAnsi="Arial" w:cs="Arial"/>
                <w:b/>
                <w:bCs/>
                <w:color w:val="000000"/>
                <w:sz w:val="20"/>
                <w:szCs w:val="20"/>
              </w:rPr>
              <w:t>Cohort</w:t>
            </w:r>
          </w:p>
        </w:tc>
        <w:tc>
          <w:tcPr>
            <w:tcW w:w="1051" w:type="dxa"/>
          </w:tcPr>
          <w:p w14:paraId="0CDC2FD6" w14:textId="77777777" w:rsidR="002B1B15" w:rsidRPr="001074FC" w:rsidRDefault="002B1B15" w:rsidP="001074FC">
            <w:pPr>
              <w:rPr>
                <w:rFonts w:ascii="Arial" w:hAnsi="Arial" w:cs="Arial"/>
                <w:b/>
                <w:color w:val="000000"/>
                <w:sz w:val="20"/>
                <w:szCs w:val="20"/>
              </w:rPr>
            </w:pPr>
            <w:r w:rsidRPr="001074FC">
              <w:rPr>
                <w:rFonts w:ascii="Arial" w:hAnsi="Arial" w:cs="Arial"/>
                <w:b/>
                <w:bCs/>
                <w:color w:val="000000"/>
                <w:sz w:val="20"/>
                <w:szCs w:val="20"/>
              </w:rPr>
              <w:t>N</w:t>
            </w:r>
          </w:p>
        </w:tc>
        <w:tc>
          <w:tcPr>
            <w:tcW w:w="1353" w:type="dxa"/>
          </w:tcPr>
          <w:p w14:paraId="7623ECF8" w14:textId="77777777" w:rsidR="002B1B15" w:rsidRPr="001074FC" w:rsidRDefault="002B1B15" w:rsidP="001074FC">
            <w:pPr>
              <w:rPr>
                <w:rFonts w:ascii="Arial" w:hAnsi="Arial" w:cs="Arial"/>
                <w:b/>
                <w:bCs/>
                <w:color w:val="000000"/>
                <w:sz w:val="20"/>
                <w:szCs w:val="20"/>
              </w:rPr>
            </w:pPr>
            <w:r w:rsidRPr="001074FC">
              <w:rPr>
                <w:rFonts w:ascii="Arial" w:hAnsi="Arial" w:cs="Arial"/>
                <w:b/>
                <w:bCs/>
                <w:color w:val="000000"/>
                <w:sz w:val="20"/>
                <w:szCs w:val="20"/>
              </w:rPr>
              <w:t>Median OS (95% CI)</w:t>
            </w:r>
          </w:p>
        </w:tc>
        <w:tc>
          <w:tcPr>
            <w:tcW w:w="850" w:type="dxa"/>
          </w:tcPr>
          <w:p w14:paraId="5B46EA31" w14:textId="77777777" w:rsidR="002B1B15" w:rsidRPr="001074FC" w:rsidRDefault="002B1B15" w:rsidP="001074FC">
            <w:pPr>
              <w:rPr>
                <w:rFonts w:ascii="Arial" w:hAnsi="Arial" w:cs="Arial"/>
                <w:b/>
                <w:color w:val="000000"/>
                <w:sz w:val="20"/>
                <w:szCs w:val="20"/>
              </w:rPr>
            </w:pPr>
            <w:r w:rsidRPr="001074FC">
              <w:rPr>
                <w:rFonts w:ascii="Arial" w:hAnsi="Arial" w:cs="Arial"/>
                <w:b/>
                <w:bCs/>
                <w:color w:val="000000"/>
                <w:sz w:val="20"/>
                <w:szCs w:val="20"/>
              </w:rPr>
              <w:t>N</w:t>
            </w:r>
          </w:p>
        </w:tc>
        <w:tc>
          <w:tcPr>
            <w:tcW w:w="1276" w:type="dxa"/>
          </w:tcPr>
          <w:p w14:paraId="4A933CA2" w14:textId="77777777" w:rsidR="002B1B15" w:rsidRPr="001074FC" w:rsidRDefault="002B1B15" w:rsidP="001074FC">
            <w:pPr>
              <w:rPr>
                <w:rFonts w:ascii="Arial" w:hAnsi="Arial" w:cs="Arial"/>
                <w:b/>
                <w:bCs/>
                <w:color w:val="000000"/>
                <w:sz w:val="20"/>
                <w:szCs w:val="20"/>
              </w:rPr>
            </w:pPr>
            <w:r w:rsidRPr="001074FC">
              <w:rPr>
                <w:rFonts w:ascii="Arial" w:hAnsi="Arial" w:cs="Arial"/>
                <w:b/>
                <w:bCs/>
                <w:color w:val="000000"/>
                <w:sz w:val="20"/>
                <w:szCs w:val="20"/>
              </w:rPr>
              <w:t>Median OS (95% CI)</w:t>
            </w:r>
          </w:p>
        </w:tc>
        <w:tc>
          <w:tcPr>
            <w:tcW w:w="1417" w:type="dxa"/>
          </w:tcPr>
          <w:p w14:paraId="0D89DCBC" w14:textId="77777777" w:rsidR="002B1B15" w:rsidRPr="001074FC" w:rsidRDefault="002B1B15" w:rsidP="001074FC">
            <w:pPr>
              <w:rPr>
                <w:rFonts w:ascii="Arial" w:hAnsi="Arial" w:cs="Arial"/>
                <w:b/>
                <w:color w:val="000000"/>
                <w:sz w:val="20"/>
                <w:szCs w:val="20"/>
              </w:rPr>
            </w:pPr>
            <w:r w:rsidRPr="001074FC">
              <w:rPr>
                <w:rFonts w:ascii="Arial" w:hAnsi="Arial" w:cs="Arial"/>
                <w:b/>
                <w:bCs/>
                <w:color w:val="000000"/>
                <w:sz w:val="20"/>
                <w:szCs w:val="20"/>
              </w:rPr>
              <w:t>Adjusted HR (95% CI)</w:t>
            </w:r>
          </w:p>
        </w:tc>
        <w:tc>
          <w:tcPr>
            <w:tcW w:w="1026" w:type="dxa"/>
            <w:tcBorders>
              <w:top w:val="nil"/>
            </w:tcBorders>
          </w:tcPr>
          <w:p w14:paraId="1756F623" w14:textId="169B0D12" w:rsidR="002B1B15" w:rsidRPr="001074FC" w:rsidRDefault="00A45581" w:rsidP="001074FC">
            <w:pPr>
              <w:rPr>
                <w:rFonts w:ascii="Arial" w:hAnsi="Arial" w:cs="Arial"/>
                <w:b/>
                <w:color w:val="000000"/>
                <w:sz w:val="20"/>
                <w:szCs w:val="20"/>
              </w:rPr>
            </w:pPr>
            <w:r w:rsidRPr="001074FC">
              <w:rPr>
                <w:rFonts w:ascii="Arial" w:hAnsi="Arial" w:cs="Arial"/>
                <w:b/>
                <w:bCs/>
                <w:color w:val="000000"/>
                <w:sz w:val="20"/>
                <w:szCs w:val="20"/>
              </w:rPr>
              <w:t>p</w:t>
            </w:r>
            <w:r w:rsidR="001074FC">
              <w:rPr>
                <w:rFonts w:ascii="Arial" w:hAnsi="Arial" w:cs="Arial"/>
                <w:b/>
                <w:bCs/>
                <w:color w:val="000000"/>
                <w:sz w:val="20"/>
                <w:szCs w:val="20"/>
              </w:rPr>
              <w:t>–</w:t>
            </w:r>
            <w:r w:rsidR="002B1B15" w:rsidRPr="001074FC">
              <w:rPr>
                <w:rFonts w:ascii="Arial" w:hAnsi="Arial" w:cs="Arial"/>
                <w:b/>
                <w:bCs/>
                <w:color w:val="000000"/>
                <w:sz w:val="20"/>
                <w:szCs w:val="20"/>
              </w:rPr>
              <w:t>value</w:t>
            </w:r>
          </w:p>
        </w:tc>
      </w:tr>
      <w:tr w:rsidR="002B1B15" w:rsidRPr="00285075" w14:paraId="0B2C146C" w14:textId="77777777" w:rsidTr="001074FC">
        <w:trPr>
          <w:trHeight w:val="1304"/>
        </w:trPr>
        <w:tc>
          <w:tcPr>
            <w:tcW w:w="2099" w:type="dxa"/>
            <w:tcBorders>
              <w:bottom w:val="nil"/>
            </w:tcBorders>
          </w:tcPr>
          <w:p w14:paraId="2EF6909B" w14:textId="77777777" w:rsidR="002B1B15" w:rsidRPr="001074FC" w:rsidRDefault="002B1B15" w:rsidP="00B66C7F">
            <w:pPr>
              <w:rPr>
                <w:rFonts w:ascii="Arial" w:hAnsi="Arial" w:cs="Arial"/>
                <w:color w:val="000000"/>
                <w:sz w:val="20"/>
                <w:szCs w:val="20"/>
              </w:rPr>
            </w:pPr>
            <w:r w:rsidRPr="001074FC">
              <w:rPr>
                <w:rFonts w:ascii="Arial" w:hAnsi="Arial" w:cs="Arial"/>
                <w:color w:val="000000"/>
                <w:sz w:val="20"/>
                <w:szCs w:val="20"/>
              </w:rPr>
              <w:t>Exclude patients with follow-up time in top 10</w:t>
            </w:r>
            <w:r w:rsidRPr="001074FC">
              <w:rPr>
                <w:rFonts w:ascii="Arial" w:hAnsi="Arial" w:cs="Arial"/>
                <w:color w:val="000000"/>
                <w:sz w:val="20"/>
                <w:szCs w:val="20"/>
                <w:vertAlign w:val="superscript"/>
              </w:rPr>
              <w:t>th</w:t>
            </w:r>
            <w:r w:rsidRPr="001074FC">
              <w:rPr>
                <w:rFonts w:ascii="Arial" w:hAnsi="Arial" w:cs="Arial"/>
                <w:color w:val="000000"/>
                <w:sz w:val="20"/>
                <w:szCs w:val="20"/>
              </w:rPr>
              <w:t xml:space="preserve"> percentile</w:t>
            </w:r>
          </w:p>
        </w:tc>
        <w:tc>
          <w:tcPr>
            <w:tcW w:w="1051" w:type="dxa"/>
            <w:tcBorders>
              <w:bottom w:val="nil"/>
            </w:tcBorders>
          </w:tcPr>
          <w:p w14:paraId="441665F2" w14:textId="4E279DBB" w:rsidR="002B1B15" w:rsidRPr="00330802" w:rsidRDefault="00D2359E" w:rsidP="001074FC">
            <w:pPr>
              <w:rPr>
                <w:rFonts w:ascii="Arial" w:hAnsi="Arial" w:cs="Arial"/>
                <w:color w:val="000000"/>
                <w:sz w:val="20"/>
                <w:szCs w:val="20"/>
                <w:vertAlign w:val="superscript"/>
              </w:rPr>
            </w:pPr>
            <w:r>
              <w:rPr>
                <w:rFonts w:ascii="Arial" w:hAnsi="Arial" w:cs="Arial"/>
                <w:color w:val="000000"/>
                <w:sz w:val="20"/>
                <w:szCs w:val="20"/>
              </w:rPr>
              <w:t>164</w:t>
            </w:r>
          </w:p>
        </w:tc>
        <w:tc>
          <w:tcPr>
            <w:tcW w:w="1353" w:type="dxa"/>
            <w:tcBorders>
              <w:bottom w:val="nil"/>
            </w:tcBorders>
          </w:tcPr>
          <w:p w14:paraId="2A51D460" w14:textId="06802645" w:rsidR="002B1B15" w:rsidRPr="001074FC" w:rsidRDefault="00393B08" w:rsidP="001074FC">
            <w:pPr>
              <w:rPr>
                <w:rFonts w:ascii="Arial" w:hAnsi="Arial" w:cs="Arial"/>
                <w:color w:val="000000"/>
                <w:sz w:val="20"/>
                <w:szCs w:val="20"/>
              </w:rPr>
            </w:pPr>
            <w:r>
              <w:rPr>
                <w:rFonts w:ascii="Arial" w:hAnsi="Arial" w:cs="Arial"/>
                <w:color w:val="000000"/>
                <w:sz w:val="20"/>
                <w:szCs w:val="20"/>
              </w:rPr>
              <w:t>24 (21</w:t>
            </w:r>
            <w:r w:rsidRPr="001074FC">
              <w:rPr>
                <w:rFonts w:ascii="Arial" w:hAnsi="Arial" w:cs="Arial"/>
                <w:color w:val="000000"/>
                <w:sz w:val="20"/>
                <w:szCs w:val="20"/>
              </w:rPr>
              <w:t>–NR</w:t>
            </w:r>
            <w:r>
              <w:rPr>
                <w:rFonts w:ascii="Arial" w:hAnsi="Arial" w:cs="Arial"/>
                <w:color w:val="000000"/>
                <w:sz w:val="20"/>
                <w:szCs w:val="20"/>
              </w:rPr>
              <w:t>)</w:t>
            </w:r>
          </w:p>
        </w:tc>
        <w:tc>
          <w:tcPr>
            <w:tcW w:w="850" w:type="dxa"/>
            <w:tcBorders>
              <w:bottom w:val="nil"/>
            </w:tcBorders>
          </w:tcPr>
          <w:p w14:paraId="204D2A17" w14:textId="60DAFA9B" w:rsidR="002B1B15" w:rsidRPr="001074FC" w:rsidRDefault="00D2359E" w:rsidP="001074FC">
            <w:pPr>
              <w:rPr>
                <w:rFonts w:ascii="Arial" w:hAnsi="Arial" w:cs="Arial"/>
                <w:color w:val="000000"/>
                <w:sz w:val="20"/>
                <w:szCs w:val="20"/>
              </w:rPr>
            </w:pPr>
            <w:r>
              <w:rPr>
                <w:rFonts w:ascii="Arial" w:hAnsi="Arial" w:cs="Arial"/>
                <w:color w:val="000000"/>
                <w:sz w:val="20"/>
                <w:szCs w:val="20"/>
              </w:rPr>
              <w:t>57</w:t>
            </w:r>
          </w:p>
        </w:tc>
        <w:tc>
          <w:tcPr>
            <w:tcW w:w="1276" w:type="dxa"/>
            <w:tcBorders>
              <w:bottom w:val="nil"/>
            </w:tcBorders>
          </w:tcPr>
          <w:p w14:paraId="4B546535" w14:textId="0ECB110B" w:rsidR="002B1B15" w:rsidRPr="001074FC" w:rsidRDefault="00393B08" w:rsidP="001074FC">
            <w:pPr>
              <w:rPr>
                <w:rFonts w:ascii="Arial" w:hAnsi="Arial" w:cs="Arial"/>
                <w:color w:val="000000"/>
                <w:sz w:val="20"/>
                <w:szCs w:val="20"/>
              </w:rPr>
            </w:pPr>
            <w:r>
              <w:rPr>
                <w:rFonts w:ascii="Arial" w:hAnsi="Arial" w:cs="Arial"/>
                <w:color w:val="000000"/>
                <w:sz w:val="20"/>
                <w:szCs w:val="20"/>
              </w:rPr>
              <w:t>16 (16</w:t>
            </w:r>
            <w:r w:rsidRPr="001074FC">
              <w:rPr>
                <w:rFonts w:ascii="Arial" w:hAnsi="Arial" w:cs="Arial"/>
                <w:color w:val="000000"/>
                <w:sz w:val="20"/>
                <w:szCs w:val="20"/>
              </w:rPr>
              <w:t>–</w:t>
            </w:r>
            <w:r>
              <w:rPr>
                <w:rFonts w:ascii="Arial" w:hAnsi="Arial" w:cs="Arial"/>
                <w:color w:val="000000"/>
                <w:sz w:val="20"/>
                <w:szCs w:val="20"/>
              </w:rPr>
              <w:t>19)</w:t>
            </w:r>
          </w:p>
        </w:tc>
        <w:tc>
          <w:tcPr>
            <w:tcW w:w="1417" w:type="dxa"/>
            <w:tcBorders>
              <w:bottom w:val="nil"/>
            </w:tcBorders>
          </w:tcPr>
          <w:p w14:paraId="7FBB8C93"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0.65 </w:t>
            </w:r>
          </w:p>
          <w:p w14:paraId="590CD9F0"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(0.47–0.89)</w:t>
            </w:r>
          </w:p>
        </w:tc>
        <w:tc>
          <w:tcPr>
            <w:tcW w:w="1026" w:type="dxa"/>
            <w:tcBorders>
              <w:bottom w:val="nil"/>
            </w:tcBorders>
          </w:tcPr>
          <w:p w14:paraId="5D11B3D0"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0.007</w:t>
            </w:r>
          </w:p>
        </w:tc>
      </w:tr>
      <w:tr w:rsidR="00D2359E" w:rsidRPr="00285075" w14:paraId="32205C5A" w14:textId="77777777" w:rsidTr="001074FC">
        <w:trPr>
          <w:trHeight w:val="1304"/>
        </w:trPr>
        <w:tc>
          <w:tcPr>
            <w:tcW w:w="2099" w:type="dxa"/>
            <w:tcBorders>
              <w:top w:val="nil"/>
              <w:bottom w:val="nil"/>
            </w:tcBorders>
          </w:tcPr>
          <w:p w14:paraId="1B7B1B6C" w14:textId="3DDA42BC" w:rsidR="00D2359E" w:rsidRPr="001074FC" w:rsidRDefault="00D2359E" w:rsidP="00B66C7F">
            <w:pPr>
              <w:rPr>
                <w:rFonts w:ascii="Arial" w:hAnsi="Arial" w:cs="Arial"/>
                <w:color w:val="000000"/>
                <w:sz w:val="20"/>
                <w:szCs w:val="20"/>
              </w:rPr>
            </w:pPr>
            <w:r>
              <w:rPr>
                <w:rFonts w:ascii="Arial" w:hAnsi="Arial" w:cs="Arial"/>
                <w:color w:val="000000"/>
                <w:sz w:val="20"/>
                <w:szCs w:val="20"/>
              </w:rPr>
              <w:t xml:space="preserve">Exclude patients initiating treatment &lt;12 weeks prior to data cut-off  </w:t>
            </w:r>
          </w:p>
        </w:tc>
        <w:tc>
          <w:tcPr>
            <w:tcW w:w="1051" w:type="dxa"/>
            <w:tcBorders>
              <w:top w:val="nil"/>
              <w:bottom w:val="nil"/>
            </w:tcBorders>
          </w:tcPr>
          <w:p w14:paraId="5CD7BDFF" w14:textId="125F373B" w:rsidR="00D2359E" w:rsidRPr="001074FC" w:rsidRDefault="00D2359E" w:rsidP="001074FC">
            <w:pPr>
              <w:rPr>
                <w:rFonts w:ascii="Arial" w:hAnsi="Arial" w:cs="Arial"/>
                <w:color w:val="000000"/>
                <w:sz w:val="20"/>
                <w:szCs w:val="20"/>
              </w:rPr>
            </w:pPr>
            <w:r>
              <w:rPr>
                <w:rFonts w:ascii="Arial" w:hAnsi="Arial" w:cs="Arial"/>
                <w:color w:val="000000"/>
                <w:sz w:val="20"/>
                <w:szCs w:val="20"/>
              </w:rPr>
              <w:t>183</w:t>
            </w:r>
          </w:p>
        </w:tc>
        <w:tc>
          <w:tcPr>
            <w:tcW w:w="1353" w:type="dxa"/>
            <w:tcBorders>
              <w:top w:val="nil"/>
              <w:bottom w:val="nil"/>
            </w:tcBorders>
          </w:tcPr>
          <w:p w14:paraId="5BA0CF94" w14:textId="7971D42B" w:rsidR="00D2359E" w:rsidRPr="001074FC" w:rsidRDefault="00D2359E" w:rsidP="001074FC">
            <w:pPr>
              <w:rPr>
                <w:rFonts w:ascii="Arial" w:hAnsi="Arial" w:cs="Arial"/>
                <w:color w:val="000000"/>
                <w:sz w:val="20"/>
                <w:szCs w:val="20"/>
              </w:rPr>
            </w:pPr>
            <w:r>
              <w:rPr>
                <w:rFonts w:ascii="Arial" w:hAnsi="Arial" w:cs="Arial"/>
                <w:color w:val="000000"/>
                <w:sz w:val="20"/>
                <w:szCs w:val="20"/>
              </w:rPr>
              <w:t>24 (20</w:t>
            </w:r>
            <w:r w:rsidRPr="001074FC">
              <w:rPr>
                <w:rFonts w:ascii="Arial" w:hAnsi="Arial" w:cs="Arial"/>
                <w:color w:val="000000"/>
                <w:sz w:val="20"/>
                <w:szCs w:val="20"/>
              </w:rPr>
              <w:t>–NR</w:t>
            </w:r>
            <w:r>
              <w:rPr>
                <w:rFonts w:ascii="Arial" w:hAnsi="Arial" w:cs="Arial"/>
                <w:color w:val="000000"/>
                <w:sz w:val="20"/>
                <w:szCs w:val="20"/>
              </w:rPr>
              <w:t>)</w:t>
            </w:r>
          </w:p>
        </w:tc>
        <w:tc>
          <w:tcPr>
            <w:tcW w:w="850" w:type="dxa"/>
            <w:tcBorders>
              <w:top w:val="nil"/>
              <w:bottom w:val="nil"/>
            </w:tcBorders>
          </w:tcPr>
          <w:p w14:paraId="434848D7" w14:textId="668A114E" w:rsidR="00D2359E" w:rsidRPr="001074FC" w:rsidRDefault="00D2359E" w:rsidP="001074FC">
            <w:pPr>
              <w:rPr>
                <w:rFonts w:ascii="Arial" w:hAnsi="Arial" w:cs="Arial"/>
                <w:color w:val="000000"/>
                <w:sz w:val="20"/>
                <w:szCs w:val="20"/>
              </w:rPr>
            </w:pPr>
            <w:r>
              <w:rPr>
                <w:rFonts w:ascii="Arial" w:hAnsi="Arial" w:cs="Arial"/>
                <w:color w:val="000000"/>
                <w:sz w:val="20"/>
                <w:szCs w:val="20"/>
              </w:rPr>
              <w:t>63</w:t>
            </w:r>
          </w:p>
        </w:tc>
        <w:tc>
          <w:tcPr>
            <w:tcW w:w="1276" w:type="dxa"/>
            <w:tcBorders>
              <w:top w:val="nil"/>
              <w:bottom w:val="nil"/>
            </w:tcBorders>
          </w:tcPr>
          <w:p w14:paraId="471F4569" w14:textId="633BB6B9" w:rsidR="00D2359E" w:rsidRPr="001074FC" w:rsidRDefault="00D2359E" w:rsidP="001074FC">
            <w:pPr>
              <w:rPr>
                <w:rFonts w:ascii="Arial" w:hAnsi="Arial" w:cs="Arial"/>
                <w:color w:val="000000"/>
                <w:sz w:val="20"/>
                <w:szCs w:val="20"/>
              </w:rPr>
            </w:pPr>
            <w:r>
              <w:rPr>
                <w:rFonts w:ascii="Arial" w:hAnsi="Arial" w:cs="Arial"/>
                <w:color w:val="000000"/>
                <w:sz w:val="20"/>
                <w:szCs w:val="20"/>
              </w:rPr>
              <w:t>16 (16</w:t>
            </w:r>
            <w:r w:rsidRPr="001074FC">
              <w:rPr>
                <w:rFonts w:ascii="Arial" w:hAnsi="Arial" w:cs="Arial"/>
                <w:color w:val="000000"/>
                <w:sz w:val="20"/>
                <w:szCs w:val="20"/>
              </w:rPr>
              <w:t>–</w:t>
            </w:r>
            <w:r>
              <w:rPr>
                <w:rFonts w:ascii="Arial" w:hAnsi="Arial" w:cs="Arial"/>
                <w:color w:val="000000"/>
                <w:sz w:val="20"/>
                <w:szCs w:val="20"/>
              </w:rPr>
              <w:t>19)</w:t>
            </w:r>
          </w:p>
        </w:tc>
        <w:tc>
          <w:tcPr>
            <w:tcW w:w="1417" w:type="dxa"/>
            <w:tcBorders>
              <w:top w:val="nil"/>
              <w:bottom w:val="nil"/>
            </w:tcBorders>
          </w:tcPr>
          <w:p w14:paraId="15B696CD" w14:textId="2154DE82" w:rsidR="00D2359E" w:rsidRPr="001074FC" w:rsidRDefault="00D2359E" w:rsidP="001074FC">
            <w:pPr>
              <w:rPr>
                <w:rFonts w:ascii="Arial" w:hAnsi="Arial" w:cs="Arial"/>
                <w:color w:val="000000"/>
                <w:sz w:val="20"/>
                <w:szCs w:val="20"/>
              </w:rPr>
            </w:pPr>
            <w:r>
              <w:rPr>
                <w:rFonts w:ascii="Arial" w:hAnsi="Arial" w:cs="Arial"/>
                <w:color w:val="000000"/>
                <w:sz w:val="20"/>
                <w:szCs w:val="20"/>
              </w:rPr>
              <w:t>0.65 (0.48</w:t>
            </w:r>
            <w:r w:rsidRPr="001074FC">
              <w:rPr>
                <w:rFonts w:ascii="Arial" w:hAnsi="Arial" w:cs="Arial"/>
                <w:color w:val="000000"/>
                <w:sz w:val="20"/>
                <w:szCs w:val="20"/>
              </w:rPr>
              <w:t>–</w:t>
            </w:r>
            <w:r>
              <w:rPr>
                <w:rFonts w:ascii="Arial" w:hAnsi="Arial" w:cs="Arial"/>
                <w:color w:val="000000"/>
                <w:sz w:val="20"/>
                <w:szCs w:val="20"/>
              </w:rPr>
              <w:t>0.88)</w:t>
            </w:r>
          </w:p>
        </w:tc>
        <w:tc>
          <w:tcPr>
            <w:tcW w:w="1026" w:type="dxa"/>
            <w:tcBorders>
              <w:top w:val="nil"/>
              <w:bottom w:val="nil"/>
            </w:tcBorders>
          </w:tcPr>
          <w:p w14:paraId="18C3FF28" w14:textId="176702D2" w:rsidR="00D2359E" w:rsidRPr="001074FC" w:rsidRDefault="00D2359E" w:rsidP="001074FC">
            <w:pPr>
              <w:rPr>
                <w:rFonts w:ascii="Arial" w:hAnsi="Arial" w:cs="Arial"/>
                <w:color w:val="000000"/>
                <w:sz w:val="20"/>
                <w:szCs w:val="20"/>
              </w:rPr>
            </w:pPr>
            <w:r>
              <w:rPr>
                <w:rFonts w:ascii="Arial" w:hAnsi="Arial" w:cs="Arial"/>
                <w:color w:val="000000"/>
                <w:sz w:val="20"/>
                <w:szCs w:val="20"/>
              </w:rPr>
              <w:t>0.006</w:t>
            </w:r>
          </w:p>
        </w:tc>
      </w:tr>
      <w:tr w:rsidR="002B1B15" w:rsidRPr="00285075" w14:paraId="548DA6FF" w14:textId="77777777" w:rsidTr="001074FC">
        <w:trPr>
          <w:trHeight w:val="1304"/>
        </w:trPr>
        <w:tc>
          <w:tcPr>
            <w:tcW w:w="2099" w:type="dxa"/>
            <w:tcBorders>
              <w:top w:val="nil"/>
              <w:bottom w:val="nil"/>
            </w:tcBorders>
          </w:tcPr>
          <w:p w14:paraId="35182F41" w14:textId="77777777" w:rsidR="002B1B15" w:rsidRPr="001074FC" w:rsidRDefault="002B1B15" w:rsidP="00B66C7F">
            <w:pPr>
              <w:rPr>
                <w:rFonts w:ascii="Arial" w:hAnsi="Arial" w:cs="Arial"/>
                <w:color w:val="000000"/>
                <w:sz w:val="20"/>
                <w:szCs w:val="20"/>
              </w:rPr>
            </w:pPr>
            <w:r w:rsidRPr="001074FC">
              <w:rPr>
                <w:rFonts w:ascii="Arial" w:hAnsi="Arial" w:cs="Arial"/>
                <w:color w:val="000000"/>
                <w:sz w:val="20"/>
                <w:szCs w:val="20"/>
              </w:rPr>
              <w:t>Impute missing covariates (race and stage at diagnosis)</w:t>
            </w:r>
          </w:p>
        </w:tc>
        <w:tc>
          <w:tcPr>
            <w:tcW w:w="1051" w:type="dxa"/>
            <w:tcBorders>
              <w:top w:val="nil"/>
              <w:bottom w:val="nil"/>
            </w:tcBorders>
          </w:tcPr>
          <w:p w14:paraId="7BD9970B" w14:textId="4BCCE6D2" w:rsidR="002B1B15" w:rsidRPr="001074FC" w:rsidRDefault="00D2359E" w:rsidP="001074FC">
            <w:pPr>
              <w:rPr>
                <w:rFonts w:ascii="Arial" w:hAnsi="Arial" w:cs="Arial"/>
                <w:color w:val="000000"/>
                <w:sz w:val="20"/>
                <w:szCs w:val="20"/>
              </w:rPr>
            </w:pPr>
            <w:r>
              <w:rPr>
                <w:rFonts w:ascii="Arial" w:hAnsi="Arial" w:cs="Arial"/>
                <w:color w:val="000000"/>
                <w:sz w:val="20"/>
                <w:szCs w:val="20"/>
              </w:rPr>
              <w:t>208</w:t>
            </w:r>
          </w:p>
        </w:tc>
        <w:tc>
          <w:tcPr>
            <w:tcW w:w="1353" w:type="dxa"/>
            <w:tcBorders>
              <w:top w:val="nil"/>
              <w:bottom w:val="nil"/>
            </w:tcBorders>
          </w:tcPr>
          <w:p w14:paraId="6584774E"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24 </w:t>
            </w:r>
          </w:p>
          <w:p w14:paraId="25E1E459"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(20–NR)</w:t>
            </w:r>
          </w:p>
        </w:tc>
        <w:tc>
          <w:tcPr>
            <w:tcW w:w="850" w:type="dxa"/>
            <w:tcBorders>
              <w:top w:val="nil"/>
              <w:bottom w:val="nil"/>
            </w:tcBorders>
          </w:tcPr>
          <w:p w14:paraId="6601EB38" w14:textId="0EBFF051" w:rsidR="002B1B15" w:rsidRPr="001074FC" w:rsidRDefault="00D2359E" w:rsidP="001074FC">
            <w:pPr>
              <w:rPr>
                <w:rFonts w:ascii="Arial" w:hAnsi="Arial" w:cs="Arial"/>
                <w:color w:val="000000"/>
                <w:sz w:val="20"/>
                <w:szCs w:val="20"/>
              </w:rPr>
            </w:pPr>
            <w:r>
              <w:rPr>
                <w:rFonts w:ascii="Arial" w:hAnsi="Arial" w:cs="Arial"/>
                <w:color w:val="000000"/>
                <w:sz w:val="20"/>
                <w:szCs w:val="20"/>
              </w:rPr>
              <w:t>70</w:t>
            </w:r>
          </w:p>
        </w:tc>
        <w:tc>
          <w:tcPr>
            <w:tcW w:w="1276" w:type="dxa"/>
            <w:tcBorders>
              <w:top w:val="nil"/>
              <w:bottom w:val="nil"/>
            </w:tcBorders>
          </w:tcPr>
          <w:p w14:paraId="72A9A8B8"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16 </w:t>
            </w:r>
          </w:p>
          <w:p w14:paraId="71BA91D4"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(12–19)</w:t>
            </w:r>
          </w:p>
        </w:tc>
        <w:tc>
          <w:tcPr>
            <w:tcW w:w="1417" w:type="dxa"/>
            <w:tcBorders>
              <w:top w:val="nil"/>
              <w:bottom w:val="nil"/>
            </w:tcBorders>
          </w:tcPr>
          <w:p w14:paraId="1D795CF1"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0.58 </w:t>
            </w:r>
          </w:p>
          <w:p w14:paraId="53EF44D1"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(0.44–0.76)</w:t>
            </w:r>
          </w:p>
        </w:tc>
        <w:tc>
          <w:tcPr>
            <w:tcW w:w="1026" w:type="dxa"/>
            <w:tcBorders>
              <w:top w:val="nil"/>
              <w:bottom w:val="nil"/>
            </w:tcBorders>
          </w:tcPr>
          <w:p w14:paraId="1D2FF9C4"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&lt;0.001</w:t>
            </w:r>
          </w:p>
        </w:tc>
      </w:tr>
      <w:tr w:rsidR="002B1B15" w:rsidRPr="00285075" w14:paraId="68479ABA" w14:textId="77777777" w:rsidTr="001074FC">
        <w:trPr>
          <w:trHeight w:val="1304"/>
        </w:trPr>
        <w:tc>
          <w:tcPr>
            <w:tcW w:w="2099" w:type="dxa"/>
            <w:tcBorders>
              <w:top w:val="nil"/>
              <w:bottom w:val="nil"/>
            </w:tcBorders>
          </w:tcPr>
          <w:p w14:paraId="594C79D3" w14:textId="77777777" w:rsidR="002B1B15" w:rsidRPr="00330802" w:rsidRDefault="002B1B15" w:rsidP="00B66C7F">
            <w:pPr>
              <w:rPr>
                <w:rFonts w:ascii="Arial" w:hAnsi="Arial" w:cs="Arial"/>
                <w:color w:val="000000"/>
                <w:sz w:val="20"/>
                <w:szCs w:val="20"/>
                <w:lang w:val="pt-BR"/>
              </w:rPr>
            </w:pPr>
            <w:r w:rsidRPr="00330802">
              <w:rPr>
                <w:rFonts w:ascii="Arial" w:hAnsi="Arial" w:cs="Arial"/>
                <w:color w:val="000000"/>
                <w:sz w:val="20"/>
                <w:szCs w:val="20"/>
                <w:lang w:val="pt-BR"/>
              </w:rPr>
              <w:t xml:space="preserve">Include CNS metastases as prognostic factor  </w:t>
            </w:r>
          </w:p>
        </w:tc>
        <w:tc>
          <w:tcPr>
            <w:tcW w:w="1051" w:type="dxa"/>
            <w:tcBorders>
              <w:top w:val="nil"/>
              <w:bottom w:val="nil"/>
            </w:tcBorders>
          </w:tcPr>
          <w:p w14:paraId="65EA70C9" w14:textId="747307B9" w:rsidR="002B1B15" w:rsidRPr="001074FC" w:rsidRDefault="00D2359E" w:rsidP="001074FC">
            <w:pPr>
              <w:rPr>
                <w:rFonts w:ascii="Arial" w:hAnsi="Arial" w:cs="Arial"/>
                <w:color w:val="000000"/>
                <w:sz w:val="20"/>
                <w:szCs w:val="20"/>
              </w:rPr>
            </w:pPr>
            <w:r>
              <w:rPr>
                <w:rFonts w:ascii="Arial" w:hAnsi="Arial" w:cs="Arial"/>
                <w:color w:val="000000"/>
                <w:sz w:val="20"/>
                <w:szCs w:val="20"/>
              </w:rPr>
              <w:t>152</w:t>
            </w:r>
          </w:p>
        </w:tc>
        <w:tc>
          <w:tcPr>
            <w:tcW w:w="1353" w:type="dxa"/>
            <w:tcBorders>
              <w:top w:val="nil"/>
              <w:bottom w:val="nil"/>
            </w:tcBorders>
          </w:tcPr>
          <w:p w14:paraId="6DF5C6C1" w14:textId="77777777" w:rsidR="002B1B15" w:rsidRPr="001074FC" w:rsidRDefault="002B1B15" w:rsidP="001074FC">
            <w:pPr>
              <w:rPr>
                <w:rFonts w:ascii="Arial" w:hAnsi="Arial" w:cs="Arial"/>
                <w:color w:val="000000"/>
                <w:sz w:val="20"/>
                <w:szCs w:val="20"/>
              </w:rPr>
            </w:pPr>
          </w:p>
        </w:tc>
        <w:tc>
          <w:tcPr>
            <w:tcW w:w="850" w:type="dxa"/>
            <w:tcBorders>
              <w:top w:val="nil"/>
              <w:bottom w:val="nil"/>
            </w:tcBorders>
          </w:tcPr>
          <w:p w14:paraId="08D6BDFF" w14:textId="7BFC3C2A" w:rsidR="002B1B15" w:rsidRPr="001074FC" w:rsidRDefault="00D2359E" w:rsidP="001074FC">
            <w:pPr>
              <w:rPr>
                <w:rFonts w:ascii="Arial" w:hAnsi="Arial" w:cs="Arial"/>
                <w:color w:val="000000"/>
                <w:sz w:val="20"/>
                <w:szCs w:val="20"/>
              </w:rPr>
            </w:pPr>
            <w:r>
              <w:rPr>
                <w:rFonts w:ascii="Arial" w:hAnsi="Arial" w:cs="Arial"/>
                <w:color w:val="000000"/>
                <w:sz w:val="20"/>
                <w:szCs w:val="20"/>
              </w:rPr>
              <w:t>64</w:t>
            </w:r>
          </w:p>
        </w:tc>
        <w:tc>
          <w:tcPr>
            <w:tcW w:w="1276" w:type="dxa"/>
            <w:tcBorders>
              <w:top w:val="nil"/>
              <w:bottom w:val="nil"/>
            </w:tcBorders>
          </w:tcPr>
          <w:p w14:paraId="3143980F" w14:textId="77777777" w:rsidR="002B1B15" w:rsidRPr="001074FC" w:rsidRDefault="002B1B15" w:rsidP="001074FC">
            <w:pPr>
              <w:rPr>
                <w:rFonts w:ascii="Arial" w:hAnsi="Arial" w:cs="Arial"/>
                <w:color w:val="000000"/>
                <w:sz w:val="20"/>
                <w:szCs w:val="20"/>
              </w:rPr>
            </w:pPr>
          </w:p>
        </w:tc>
        <w:tc>
          <w:tcPr>
            <w:tcW w:w="1417" w:type="dxa"/>
            <w:tcBorders>
              <w:top w:val="nil"/>
              <w:bottom w:val="nil"/>
            </w:tcBorders>
          </w:tcPr>
          <w:p w14:paraId="092D48AD"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0.67 </w:t>
            </w:r>
          </w:p>
          <w:p w14:paraId="2949C46E"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(0.49–0.92)</w:t>
            </w:r>
          </w:p>
        </w:tc>
        <w:tc>
          <w:tcPr>
            <w:tcW w:w="1026" w:type="dxa"/>
            <w:tcBorders>
              <w:top w:val="nil"/>
              <w:bottom w:val="nil"/>
            </w:tcBorders>
          </w:tcPr>
          <w:p w14:paraId="0E01708D"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0.01</w:t>
            </w:r>
          </w:p>
        </w:tc>
      </w:tr>
      <w:tr w:rsidR="002B1B15" w:rsidRPr="00285075" w14:paraId="2549FD80" w14:textId="77777777" w:rsidTr="001074FC">
        <w:trPr>
          <w:trHeight w:val="1304"/>
        </w:trPr>
        <w:tc>
          <w:tcPr>
            <w:tcW w:w="2099" w:type="dxa"/>
            <w:tcBorders>
              <w:top w:val="nil"/>
              <w:bottom w:val="nil"/>
            </w:tcBorders>
          </w:tcPr>
          <w:p w14:paraId="1E07B2AE" w14:textId="77777777" w:rsidR="002B1B15" w:rsidRPr="001074FC" w:rsidRDefault="002B1B15" w:rsidP="00B66C7F">
            <w:pPr>
              <w:rPr>
                <w:rFonts w:ascii="Arial" w:hAnsi="Arial" w:cs="Arial"/>
                <w:color w:val="000000"/>
                <w:sz w:val="20"/>
                <w:szCs w:val="20"/>
              </w:rPr>
            </w:pPr>
            <w:r w:rsidRPr="001074FC">
              <w:rPr>
                <w:rFonts w:ascii="Arial" w:hAnsi="Arial" w:cs="Arial"/>
                <w:color w:val="000000"/>
                <w:sz w:val="20"/>
                <w:szCs w:val="20"/>
              </w:rPr>
              <w:t>Not including stage at diagnosis as a prognostic factor</w:t>
            </w:r>
          </w:p>
        </w:tc>
        <w:tc>
          <w:tcPr>
            <w:tcW w:w="1051" w:type="dxa"/>
            <w:tcBorders>
              <w:top w:val="nil"/>
              <w:bottom w:val="nil"/>
            </w:tcBorders>
          </w:tcPr>
          <w:p w14:paraId="285E8046"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225</w:t>
            </w:r>
          </w:p>
        </w:tc>
        <w:tc>
          <w:tcPr>
            <w:tcW w:w="1353" w:type="dxa"/>
            <w:tcBorders>
              <w:top w:val="nil"/>
              <w:bottom w:val="nil"/>
            </w:tcBorders>
          </w:tcPr>
          <w:p w14:paraId="4C6BC6B6"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26 </w:t>
            </w:r>
          </w:p>
          <w:p w14:paraId="5DB30051"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(21–NR)</w:t>
            </w:r>
          </w:p>
        </w:tc>
        <w:tc>
          <w:tcPr>
            <w:tcW w:w="850" w:type="dxa"/>
            <w:tcBorders>
              <w:top w:val="nil"/>
              <w:bottom w:val="nil"/>
            </w:tcBorders>
          </w:tcPr>
          <w:p w14:paraId="37201937"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68</w:t>
            </w:r>
          </w:p>
        </w:tc>
        <w:tc>
          <w:tcPr>
            <w:tcW w:w="1276" w:type="dxa"/>
            <w:tcBorders>
              <w:top w:val="nil"/>
              <w:bottom w:val="nil"/>
            </w:tcBorders>
          </w:tcPr>
          <w:p w14:paraId="65741B22"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16 </w:t>
            </w:r>
          </w:p>
          <w:p w14:paraId="3241E47C"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(12–19)</w:t>
            </w:r>
          </w:p>
        </w:tc>
        <w:tc>
          <w:tcPr>
            <w:tcW w:w="1417" w:type="dxa"/>
            <w:tcBorders>
              <w:top w:val="nil"/>
              <w:bottom w:val="nil"/>
            </w:tcBorders>
          </w:tcPr>
          <w:p w14:paraId="24E72990"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0.53 </w:t>
            </w:r>
          </w:p>
          <w:p w14:paraId="53323BD9"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(0.40–0.70)</w:t>
            </w:r>
          </w:p>
        </w:tc>
        <w:tc>
          <w:tcPr>
            <w:tcW w:w="1026" w:type="dxa"/>
            <w:tcBorders>
              <w:top w:val="nil"/>
              <w:bottom w:val="nil"/>
            </w:tcBorders>
          </w:tcPr>
          <w:p w14:paraId="492ED90F"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&lt;0.001</w:t>
            </w:r>
          </w:p>
        </w:tc>
      </w:tr>
      <w:tr w:rsidR="002B1B15" w:rsidRPr="00285075" w14:paraId="5881A05B" w14:textId="77777777" w:rsidTr="001074FC">
        <w:trPr>
          <w:trHeight w:val="1304"/>
        </w:trPr>
        <w:tc>
          <w:tcPr>
            <w:tcW w:w="2099" w:type="dxa"/>
            <w:tcBorders>
              <w:top w:val="nil"/>
              <w:bottom w:val="nil"/>
            </w:tcBorders>
          </w:tcPr>
          <w:p w14:paraId="228EE44E" w14:textId="77777777" w:rsidR="002B1B15" w:rsidRPr="001074FC" w:rsidRDefault="002B1B15" w:rsidP="00B66C7F">
            <w:pPr>
              <w:rPr>
                <w:rFonts w:ascii="Arial" w:hAnsi="Arial" w:cs="Arial"/>
                <w:color w:val="000000"/>
                <w:sz w:val="20"/>
                <w:szCs w:val="20"/>
                <w:vertAlign w:val="superscript"/>
              </w:rPr>
            </w:pPr>
            <w:r w:rsidRPr="001074FC">
              <w:rPr>
                <w:rFonts w:ascii="Arial" w:hAnsi="Arial" w:cs="Arial"/>
                <w:color w:val="000000"/>
                <w:sz w:val="20"/>
                <w:szCs w:val="20"/>
              </w:rPr>
              <w:t>Patients with 1–3 lines of treatment</w:t>
            </w:r>
            <w:r w:rsidRPr="001074FC">
              <w:rPr>
                <w:rFonts w:ascii="Arial" w:hAnsi="Arial" w:cs="Arial"/>
                <w:color w:val="000000"/>
                <w:sz w:val="20"/>
                <w:szCs w:val="20"/>
                <w:vertAlign w:val="superscript"/>
              </w:rPr>
              <w:t>a</w:t>
            </w:r>
          </w:p>
        </w:tc>
        <w:tc>
          <w:tcPr>
            <w:tcW w:w="1051" w:type="dxa"/>
            <w:tcBorders>
              <w:top w:val="nil"/>
              <w:bottom w:val="nil"/>
            </w:tcBorders>
          </w:tcPr>
          <w:p w14:paraId="5ED93EC7"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148</w:t>
            </w:r>
          </w:p>
        </w:tc>
        <w:tc>
          <w:tcPr>
            <w:tcW w:w="1353" w:type="dxa"/>
            <w:tcBorders>
              <w:top w:val="nil"/>
              <w:bottom w:val="nil"/>
            </w:tcBorders>
          </w:tcPr>
          <w:p w14:paraId="4F4A4C35"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24 </w:t>
            </w:r>
          </w:p>
          <w:p w14:paraId="705A6704"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(20–NR)</w:t>
            </w:r>
          </w:p>
        </w:tc>
        <w:tc>
          <w:tcPr>
            <w:tcW w:w="850" w:type="dxa"/>
            <w:tcBorders>
              <w:top w:val="nil"/>
              <w:bottom w:val="nil"/>
            </w:tcBorders>
          </w:tcPr>
          <w:p w14:paraId="572EF585"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63</w:t>
            </w:r>
          </w:p>
        </w:tc>
        <w:tc>
          <w:tcPr>
            <w:tcW w:w="1276" w:type="dxa"/>
            <w:tcBorders>
              <w:top w:val="nil"/>
              <w:bottom w:val="nil"/>
            </w:tcBorders>
          </w:tcPr>
          <w:p w14:paraId="3F8DCCE7"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16 </w:t>
            </w:r>
          </w:p>
          <w:p w14:paraId="3DFA8EBD"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(14–19)</w:t>
            </w:r>
          </w:p>
        </w:tc>
        <w:tc>
          <w:tcPr>
            <w:tcW w:w="1417" w:type="dxa"/>
            <w:tcBorders>
              <w:top w:val="nil"/>
              <w:bottom w:val="nil"/>
            </w:tcBorders>
          </w:tcPr>
          <w:p w14:paraId="5042B3D0"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0.66 </w:t>
            </w:r>
          </w:p>
          <w:p w14:paraId="29F91385"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(0.48–0.90)</w:t>
            </w:r>
          </w:p>
        </w:tc>
        <w:tc>
          <w:tcPr>
            <w:tcW w:w="1026" w:type="dxa"/>
            <w:tcBorders>
              <w:top w:val="nil"/>
              <w:bottom w:val="nil"/>
            </w:tcBorders>
          </w:tcPr>
          <w:p w14:paraId="536EB0CE"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0.009</w:t>
            </w:r>
          </w:p>
        </w:tc>
      </w:tr>
      <w:tr w:rsidR="002B1B15" w:rsidRPr="00285075" w14:paraId="3D33B1A8" w14:textId="77777777" w:rsidTr="001074FC">
        <w:trPr>
          <w:trHeight w:val="1304"/>
        </w:trPr>
        <w:tc>
          <w:tcPr>
            <w:tcW w:w="2099" w:type="dxa"/>
            <w:tcBorders>
              <w:top w:val="nil"/>
              <w:bottom w:val="nil"/>
            </w:tcBorders>
          </w:tcPr>
          <w:p w14:paraId="7FF1B4DF" w14:textId="77777777" w:rsidR="002B1B15" w:rsidRPr="001074FC" w:rsidRDefault="002B1B15" w:rsidP="00B66C7F">
            <w:pPr>
              <w:rPr>
                <w:rFonts w:ascii="Arial" w:hAnsi="Arial" w:cs="Arial"/>
                <w:color w:val="000000"/>
                <w:sz w:val="20"/>
                <w:szCs w:val="20"/>
              </w:rPr>
            </w:pPr>
            <w:r w:rsidRPr="001074FC">
              <w:rPr>
                <w:rFonts w:ascii="Arial" w:hAnsi="Arial" w:cs="Arial"/>
                <w:color w:val="000000"/>
                <w:sz w:val="20"/>
                <w:szCs w:val="20"/>
              </w:rPr>
              <w:t>Age as continuous</w:t>
            </w:r>
            <w:r w:rsidRPr="001074FC">
              <w:rPr>
                <w:rFonts w:ascii="Arial" w:hAnsi="Arial" w:cs="Arial"/>
                <w:color w:val="000000"/>
                <w:sz w:val="20"/>
                <w:szCs w:val="20"/>
                <w:vertAlign w:val="superscript"/>
              </w:rPr>
              <w:t>b</w:t>
            </w:r>
          </w:p>
        </w:tc>
        <w:tc>
          <w:tcPr>
            <w:tcW w:w="1051" w:type="dxa"/>
            <w:tcBorders>
              <w:top w:val="nil"/>
              <w:bottom w:val="nil"/>
            </w:tcBorders>
          </w:tcPr>
          <w:p w14:paraId="76B4CBD7"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170</w:t>
            </w:r>
          </w:p>
        </w:tc>
        <w:tc>
          <w:tcPr>
            <w:tcW w:w="1353" w:type="dxa"/>
            <w:tcBorders>
              <w:top w:val="nil"/>
              <w:bottom w:val="nil"/>
            </w:tcBorders>
          </w:tcPr>
          <w:p w14:paraId="10FCE8A0"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23 </w:t>
            </w:r>
          </w:p>
          <w:p w14:paraId="5174FCCB"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(20–NR)</w:t>
            </w:r>
          </w:p>
        </w:tc>
        <w:tc>
          <w:tcPr>
            <w:tcW w:w="850" w:type="dxa"/>
            <w:tcBorders>
              <w:top w:val="nil"/>
              <w:bottom w:val="nil"/>
            </w:tcBorders>
          </w:tcPr>
          <w:p w14:paraId="1012DA35"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64</w:t>
            </w:r>
          </w:p>
        </w:tc>
        <w:tc>
          <w:tcPr>
            <w:tcW w:w="1276" w:type="dxa"/>
            <w:tcBorders>
              <w:top w:val="nil"/>
              <w:bottom w:val="nil"/>
            </w:tcBorders>
          </w:tcPr>
          <w:p w14:paraId="3E49CA4B"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18 </w:t>
            </w:r>
          </w:p>
          <w:p w14:paraId="2FE26B13"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(16–19)</w:t>
            </w:r>
          </w:p>
        </w:tc>
        <w:tc>
          <w:tcPr>
            <w:tcW w:w="1417" w:type="dxa"/>
            <w:tcBorders>
              <w:top w:val="nil"/>
              <w:bottom w:val="nil"/>
            </w:tcBorders>
          </w:tcPr>
          <w:p w14:paraId="1C328ADA"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0.66 </w:t>
            </w:r>
          </w:p>
          <w:p w14:paraId="5A058398"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(0.49–0.89)</w:t>
            </w:r>
          </w:p>
        </w:tc>
        <w:tc>
          <w:tcPr>
            <w:tcW w:w="1026" w:type="dxa"/>
            <w:tcBorders>
              <w:top w:val="nil"/>
              <w:bottom w:val="nil"/>
            </w:tcBorders>
          </w:tcPr>
          <w:p w14:paraId="2096331D"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0.006</w:t>
            </w:r>
          </w:p>
        </w:tc>
      </w:tr>
      <w:tr w:rsidR="002B1B15" w:rsidRPr="00285075" w14:paraId="0AC3CFDD" w14:textId="77777777" w:rsidTr="001074FC">
        <w:trPr>
          <w:trHeight w:val="1304"/>
        </w:trPr>
        <w:tc>
          <w:tcPr>
            <w:tcW w:w="2099" w:type="dxa"/>
            <w:tcBorders>
              <w:top w:val="nil"/>
              <w:bottom w:val="nil"/>
            </w:tcBorders>
          </w:tcPr>
          <w:p w14:paraId="033356DF" w14:textId="77777777" w:rsidR="002B1B15" w:rsidRPr="001074FC" w:rsidRDefault="002B1B15" w:rsidP="00B66C7F">
            <w:pPr>
              <w:rPr>
                <w:rFonts w:ascii="Arial" w:hAnsi="Arial" w:cs="Arial"/>
                <w:color w:val="000000"/>
                <w:sz w:val="20"/>
                <w:szCs w:val="20"/>
              </w:rPr>
            </w:pPr>
            <w:r w:rsidRPr="001074FC">
              <w:rPr>
                <w:rFonts w:ascii="Arial" w:hAnsi="Arial" w:cs="Arial"/>
                <w:color w:val="000000"/>
                <w:sz w:val="20"/>
                <w:szCs w:val="20"/>
              </w:rPr>
              <w:t>Include Asian race category</w:t>
            </w:r>
          </w:p>
        </w:tc>
        <w:tc>
          <w:tcPr>
            <w:tcW w:w="1051" w:type="dxa"/>
            <w:tcBorders>
              <w:top w:val="nil"/>
              <w:bottom w:val="nil"/>
            </w:tcBorders>
          </w:tcPr>
          <w:p w14:paraId="63985E82"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174</w:t>
            </w:r>
          </w:p>
        </w:tc>
        <w:tc>
          <w:tcPr>
            <w:tcW w:w="1353" w:type="dxa"/>
            <w:tcBorders>
              <w:top w:val="nil"/>
              <w:bottom w:val="nil"/>
            </w:tcBorders>
          </w:tcPr>
          <w:p w14:paraId="676E9597" w14:textId="77777777" w:rsidR="002B1B15" w:rsidRPr="001074FC" w:rsidRDefault="002B1B15" w:rsidP="001074FC">
            <w:pPr>
              <w:rPr>
                <w:rFonts w:ascii="Arial" w:hAnsi="Arial" w:cs="Arial"/>
                <w:color w:val="000000"/>
                <w:sz w:val="20"/>
                <w:szCs w:val="20"/>
              </w:rPr>
            </w:pPr>
          </w:p>
        </w:tc>
        <w:tc>
          <w:tcPr>
            <w:tcW w:w="850" w:type="dxa"/>
            <w:tcBorders>
              <w:top w:val="nil"/>
              <w:bottom w:val="nil"/>
            </w:tcBorders>
          </w:tcPr>
          <w:p w14:paraId="186DB612"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64</w:t>
            </w:r>
          </w:p>
        </w:tc>
        <w:tc>
          <w:tcPr>
            <w:tcW w:w="1276" w:type="dxa"/>
            <w:tcBorders>
              <w:top w:val="nil"/>
              <w:bottom w:val="nil"/>
            </w:tcBorders>
          </w:tcPr>
          <w:p w14:paraId="43EE9FD0" w14:textId="77777777" w:rsidR="002B1B15" w:rsidRPr="001074FC" w:rsidRDefault="002B1B15" w:rsidP="001074FC">
            <w:pPr>
              <w:rPr>
                <w:rFonts w:ascii="Arial" w:hAnsi="Arial" w:cs="Arial"/>
                <w:color w:val="000000"/>
                <w:sz w:val="20"/>
                <w:szCs w:val="20"/>
              </w:rPr>
            </w:pPr>
          </w:p>
        </w:tc>
        <w:tc>
          <w:tcPr>
            <w:tcW w:w="1417" w:type="dxa"/>
            <w:tcBorders>
              <w:top w:val="nil"/>
              <w:bottom w:val="nil"/>
            </w:tcBorders>
          </w:tcPr>
          <w:p w14:paraId="3475CF25"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0.67 </w:t>
            </w:r>
          </w:p>
          <w:p w14:paraId="26989D74"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(0.49–0.91)</w:t>
            </w:r>
          </w:p>
        </w:tc>
        <w:tc>
          <w:tcPr>
            <w:tcW w:w="1026" w:type="dxa"/>
            <w:tcBorders>
              <w:top w:val="nil"/>
              <w:bottom w:val="nil"/>
            </w:tcBorders>
          </w:tcPr>
          <w:p w14:paraId="47DD2AE8"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0.01</w:t>
            </w:r>
          </w:p>
        </w:tc>
      </w:tr>
      <w:tr w:rsidR="002B1B15" w:rsidRPr="00285075" w14:paraId="2A1C7F6F" w14:textId="77777777" w:rsidTr="001074FC">
        <w:trPr>
          <w:trHeight w:val="1304"/>
        </w:trPr>
        <w:tc>
          <w:tcPr>
            <w:tcW w:w="2099" w:type="dxa"/>
            <w:tcBorders>
              <w:top w:val="nil"/>
            </w:tcBorders>
          </w:tcPr>
          <w:p w14:paraId="150A1300" w14:textId="77777777" w:rsidR="002B1B15" w:rsidRPr="001074FC" w:rsidRDefault="002B1B15" w:rsidP="00B66C7F">
            <w:pPr>
              <w:rPr>
                <w:rFonts w:ascii="Arial" w:hAnsi="Arial" w:cs="Arial"/>
                <w:color w:val="000000"/>
                <w:sz w:val="20"/>
                <w:szCs w:val="20"/>
              </w:rPr>
            </w:pPr>
            <w:r w:rsidRPr="001074FC">
              <w:rPr>
                <w:rFonts w:ascii="Arial" w:hAnsi="Arial" w:cs="Arial"/>
                <w:color w:val="000000"/>
                <w:sz w:val="20"/>
                <w:szCs w:val="20"/>
              </w:rPr>
              <w:t>GenMatch</w:t>
            </w:r>
          </w:p>
        </w:tc>
        <w:tc>
          <w:tcPr>
            <w:tcW w:w="1051" w:type="dxa"/>
            <w:tcBorders>
              <w:top w:val="nil"/>
            </w:tcBorders>
          </w:tcPr>
          <w:p w14:paraId="3E87A5F1"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183</w:t>
            </w:r>
          </w:p>
        </w:tc>
        <w:tc>
          <w:tcPr>
            <w:tcW w:w="1353" w:type="dxa"/>
            <w:tcBorders>
              <w:top w:val="nil"/>
            </w:tcBorders>
          </w:tcPr>
          <w:p w14:paraId="74F5D834"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26 </w:t>
            </w:r>
          </w:p>
          <w:p w14:paraId="167431F0"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(24–NR)</w:t>
            </w:r>
          </w:p>
        </w:tc>
        <w:tc>
          <w:tcPr>
            <w:tcW w:w="850" w:type="dxa"/>
            <w:tcBorders>
              <w:top w:val="nil"/>
            </w:tcBorders>
          </w:tcPr>
          <w:p w14:paraId="02AC7F29"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67</w:t>
            </w:r>
          </w:p>
        </w:tc>
        <w:tc>
          <w:tcPr>
            <w:tcW w:w="1276" w:type="dxa"/>
            <w:tcBorders>
              <w:top w:val="nil"/>
            </w:tcBorders>
          </w:tcPr>
          <w:p w14:paraId="2E96F980"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16 </w:t>
            </w:r>
          </w:p>
          <w:p w14:paraId="70EE606B"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(16–16)</w:t>
            </w:r>
          </w:p>
        </w:tc>
        <w:tc>
          <w:tcPr>
            <w:tcW w:w="1417" w:type="dxa"/>
            <w:tcBorders>
              <w:top w:val="nil"/>
            </w:tcBorders>
          </w:tcPr>
          <w:p w14:paraId="03F5CD34"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 xml:space="preserve">0.57 </w:t>
            </w:r>
          </w:p>
          <w:p w14:paraId="07CDFFC3"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(0.50–0.65)</w:t>
            </w:r>
          </w:p>
        </w:tc>
        <w:tc>
          <w:tcPr>
            <w:tcW w:w="1026" w:type="dxa"/>
            <w:tcBorders>
              <w:top w:val="nil"/>
            </w:tcBorders>
          </w:tcPr>
          <w:p w14:paraId="04D99457" w14:textId="77777777" w:rsidR="002B1B15" w:rsidRPr="001074FC" w:rsidRDefault="002B1B15" w:rsidP="001074FC">
            <w:pPr>
              <w:rPr>
                <w:rFonts w:ascii="Arial" w:hAnsi="Arial" w:cs="Arial"/>
                <w:color w:val="000000"/>
                <w:sz w:val="20"/>
                <w:szCs w:val="20"/>
              </w:rPr>
            </w:pPr>
            <w:r w:rsidRPr="001074FC">
              <w:rPr>
                <w:rFonts w:ascii="Arial" w:hAnsi="Arial" w:cs="Arial"/>
                <w:color w:val="000000"/>
                <w:sz w:val="20"/>
                <w:szCs w:val="20"/>
              </w:rPr>
              <w:t>&lt;0.001</w:t>
            </w:r>
          </w:p>
        </w:tc>
      </w:tr>
    </w:tbl>
    <w:p w14:paraId="2F204DC5" w14:textId="7811B69C" w:rsidR="002B1B15" w:rsidRPr="00506A68" w:rsidRDefault="0092458D" w:rsidP="002B1B15">
      <w:pPr>
        <w:spacing w:after="0"/>
        <w:rPr>
          <w:rFonts w:ascii="Arial" w:hAnsi="Arial" w:cs="Arial"/>
          <w:color w:val="000000"/>
          <w:sz w:val="20"/>
        </w:rPr>
      </w:pPr>
      <w:r>
        <w:rPr>
          <w:rFonts w:ascii="Arial" w:hAnsi="Arial" w:cs="Arial"/>
          <w:color w:val="000000"/>
          <w:sz w:val="20"/>
        </w:rPr>
        <w:t xml:space="preserve">CI: Confidence interval; </w:t>
      </w:r>
      <w:r w:rsidR="002B1B15" w:rsidRPr="00506A68">
        <w:rPr>
          <w:rFonts w:ascii="Arial" w:hAnsi="Arial" w:cs="Arial"/>
          <w:color w:val="000000"/>
          <w:sz w:val="20"/>
        </w:rPr>
        <w:t>CNS</w:t>
      </w:r>
      <w:r>
        <w:rPr>
          <w:rFonts w:ascii="Arial" w:hAnsi="Arial" w:cs="Arial"/>
          <w:color w:val="000000"/>
          <w:sz w:val="20"/>
        </w:rPr>
        <w:t>:</w:t>
      </w:r>
      <w:r w:rsidR="002B1B15" w:rsidRPr="00506A68">
        <w:rPr>
          <w:rFonts w:ascii="Arial" w:hAnsi="Arial" w:cs="Arial"/>
          <w:color w:val="000000"/>
          <w:sz w:val="20"/>
        </w:rPr>
        <w:t xml:space="preserve"> </w:t>
      </w:r>
      <w:r>
        <w:rPr>
          <w:rFonts w:ascii="Arial" w:hAnsi="Arial" w:cs="Arial"/>
          <w:color w:val="000000"/>
          <w:sz w:val="20"/>
        </w:rPr>
        <w:t>C</w:t>
      </w:r>
      <w:r w:rsidR="002B1B15" w:rsidRPr="00506A68">
        <w:rPr>
          <w:rFonts w:ascii="Arial" w:hAnsi="Arial" w:cs="Arial"/>
          <w:color w:val="000000"/>
          <w:sz w:val="20"/>
        </w:rPr>
        <w:t>entral nervous system; GenMatch</w:t>
      </w:r>
      <w:r>
        <w:rPr>
          <w:rFonts w:ascii="Arial" w:hAnsi="Arial" w:cs="Arial"/>
          <w:color w:val="000000"/>
          <w:sz w:val="20"/>
        </w:rPr>
        <w:t>:</w:t>
      </w:r>
      <w:r w:rsidR="002B1B15" w:rsidRPr="00506A68">
        <w:rPr>
          <w:rFonts w:ascii="Arial" w:hAnsi="Arial" w:cs="Arial"/>
          <w:color w:val="000000"/>
          <w:sz w:val="20"/>
        </w:rPr>
        <w:t xml:space="preserve"> Genetic Matching</w:t>
      </w:r>
      <w:r>
        <w:rPr>
          <w:rFonts w:ascii="Arial" w:hAnsi="Arial" w:cs="Arial"/>
          <w:color w:val="000000"/>
          <w:sz w:val="20"/>
        </w:rPr>
        <w:t>; HR: Hazard ratio; NR: Not reached; OS: Overall survival</w:t>
      </w:r>
      <w:r w:rsidR="002B1B15" w:rsidRPr="00506A68">
        <w:rPr>
          <w:rFonts w:ascii="Arial" w:hAnsi="Arial" w:cs="Arial"/>
          <w:color w:val="000000"/>
          <w:sz w:val="20"/>
        </w:rPr>
        <w:t xml:space="preserve">. </w:t>
      </w:r>
    </w:p>
    <w:p w14:paraId="0554448E" w14:textId="77777777" w:rsidR="002B1B15" w:rsidRPr="00506A68" w:rsidRDefault="002B1B15" w:rsidP="002B1B15">
      <w:pPr>
        <w:spacing w:after="0"/>
        <w:rPr>
          <w:rFonts w:ascii="Arial" w:hAnsi="Arial" w:cs="Arial"/>
          <w:color w:val="000000"/>
          <w:sz w:val="20"/>
        </w:rPr>
      </w:pPr>
      <w:r w:rsidRPr="00506A68">
        <w:rPr>
          <w:rFonts w:ascii="Arial" w:hAnsi="Arial" w:cs="Arial"/>
          <w:color w:val="000000"/>
          <w:sz w:val="20"/>
          <w:vertAlign w:val="superscript"/>
        </w:rPr>
        <w:t>a</w:t>
      </w:r>
      <w:r w:rsidRPr="00506A68">
        <w:rPr>
          <w:rFonts w:ascii="Arial" w:hAnsi="Arial" w:cs="Arial"/>
          <w:color w:val="000000"/>
          <w:sz w:val="20"/>
        </w:rPr>
        <w:t>The sensitivity analysis was conducted including patients that had 1–3 lines of prior treatment. Patients with &gt;3 lines of treatment were excluded. </w:t>
      </w:r>
    </w:p>
    <w:p w14:paraId="0CD6A1BA" w14:textId="77777777" w:rsidR="002B1B15" w:rsidRPr="00506A68" w:rsidRDefault="002B1B15" w:rsidP="002B1B15">
      <w:pPr>
        <w:spacing w:after="0"/>
        <w:rPr>
          <w:rFonts w:ascii="Arial" w:hAnsi="Arial" w:cs="Arial"/>
          <w:color w:val="000000"/>
        </w:rPr>
      </w:pPr>
      <w:r w:rsidRPr="00506A68">
        <w:rPr>
          <w:rFonts w:ascii="Arial" w:hAnsi="Arial" w:cs="Arial"/>
          <w:color w:val="000000"/>
          <w:sz w:val="20"/>
          <w:vertAlign w:val="superscript"/>
        </w:rPr>
        <w:lastRenderedPageBreak/>
        <w:t>b</w:t>
      </w:r>
      <w:r w:rsidRPr="00506A68">
        <w:rPr>
          <w:rFonts w:ascii="Arial" w:hAnsi="Arial" w:cs="Arial"/>
          <w:color w:val="000000"/>
          <w:sz w:val="20"/>
        </w:rPr>
        <w:t>Adjusted for</w:t>
      </w:r>
      <w:r w:rsidRPr="00506A68">
        <w:rPr>
          <w:sz w:val="20"/>
        </w:rPr>
        <w:t xml:space="preserve"> </w:t>
      </w:r>
      <w:r w:rsidRPr="00506A68">
        <w:rPr>
          <w:rFonts w:ascii="Arial" w:hAnsi="Arial" w:cs="Arial"/>
          <w:color w:val="000000"/>
          <w:sz w:val="20"/>
        </w:rPr>
        <w:t>gender, race, age, stage at diagnosis and prior treatment.</w:t>
      </w:r>
    </w:p>
    <w:p w14:paraId="21072182" w14:textId="77777777" w:rsidR="002B1B15" w:rsidRPr="00506A68" w:rsidRDefault="002B1B15" w:rsidP="002B1B15">
      <w:pPr>
        <w:rPr>
          <w:rFonts w:ascii="Arial" w:hAnsi="Arial" w:cs="Arial"/>
          <w:color w:val="000000"/>
        </w:rPr>
      </w:pPr>
      <w:r w:rsidRPr="00506A68">
        <w:rPr>
          <w:rFonts w:ascii="Arial" w:hAnsi="Arial" w:cs="Arial"/>
          <w:color w:val="000000"/>
        </w:rPr>
        <w:br w:type="page"/>
      </w:r>
    </w:p>
    <w:p w14:paraId="089409B1" w14:textId="199D7A84" w:rsidR="003A2885" w:rsidRPr="00D644E7" w:rsidRDefault="003A2885" w:rsidP="003A2885">
      <w:pPr>
        <w:rPr>
          <w:rFonts w:ascii="Arial" w:hAnsi="Arial" w:cs="Arial"/>
          <w:b/>
          <w:color w:val="000000"/>
        </w:rPr>
      </w:pPr>
      <w:r w:rsidRPr="001A17A7">
        <w:rPr>
          <w:rFonts w:ascii="Arial" w:hAnsi="Arial" w:cs="Arial"/>
          <w:b/>
          <w:color w:val="000000"/>
        </w:rPr>
        <w:lastRenderedPageBreak/>
        <w:t>Fig</w:t>
      </w:r>
      <w:r w:rsidR="00D644E7" w:rsidRPr="001A17A7">
        <w:rPr>
          <w:rFonts w:ascii="Arial" w:hAnsi="Arial" w:cs="Arial"/>
          <w:b/>
          <w:color w:val="000000"/>
        </w:rPr>
        <w:t>ure</w:t>
      </w:r>
      <w:r w:rsidRPr="001A17A7">
        <w:rPr>
          <w:rFonts w:ascii="Arial" w:hAnsi="Arial" w:cs="Arial"/>
          <w:b/>
          <w:color w:val="000000"/>
        </w:rPr>
        <w:t xml:space="preserve"> 1.</w:t>
      </w:r>
      <w:r w:rsidRPr="00D644E7">
        <w:rPr>
          <w:rFonts w:ascii="Arial" w:hAnsi="Arial" w:cs="Arial"/>
          <w:b/>
          <w:color w:val="000000"/>
        </w:rPr>
        <w:t xml:space="preserve"> </w:t>
      </w:r>
    </w:p>
    <w:p w14:paraId="3C1FA185" w14:textId="77777777" w:rsidR="003A2885" w:rsidRPr="00506A68" w:rsidRDefault="003A2885" w:rsidP="005634BB">
      <w:pPr>
        <w:rPr>
          <w:noProof/>
          <w:lang w:eastAsia="en-GB"/>
        </w:rPr>
      </w:pPr>
    </w:p>
    <w:p w14:paraId="1F9A1F83" w14:textId="1479422E" w:rsidR="00134A87" w:rsidRPr="00506A68" w:rsidRDefault="00F50D88" w:rsidP="005634BB">
      <w:pPr>
        <w:rPr>
          <w:noProof/>
          <w:lang w:eastAsia="en-GB"/>
        </w:rPr>
      </w:pPr>
      <w:r>
        <w:rPr>
          <w:noProof/>
          <w:lang w:eastAsia="zh-CN"/>
        </w:rPr>
        <w:drawing>
          <wp:inline distT="0" distB="0" distL="0" distR="0" wp14:anchorId="0AEC9D3E" wp14:editId="69F50ECF">
            <wp:extent cx="5731510" cy="28524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852420"/>
                    </a:xfrm>
                    <a:prstGeom prst="rect">
                      <a:avLst/>
                    </a:prstGeom>
                  </pic:spPr>
                </pic:pic>
              </a:graphicData>
            </a:graphic>
          </wp:inline>
        </w:drawing>
      </w:r>
    </w:p>
    <w:p w14:paraId="00276F2D" w14:textId="465CE22D" w:rsidR="003A2885" w:rsidRPr="00506A68" w:rsidRDefault="003A2885" w:rsidP="005634BB">
      <w:pPr>
        <w:rPr>
          <w:rFonts w:ascii="Arial" w:hAnsi="Arial" w:cs="Arial"/>
          <w:b/>
          <w:color w:val="000000"/>
        </w:rPr>
      </w:pPr>
      <w:r w:rsidRPr="00506A68">
        <w:rPr>
          <w:rFonts w:ascii="Arial" w:hAnsi="Arial" w:cs="Arial"/>
          <w:b/>
          <w:color w:val="000000"/>
        </w:rPr>
        <w:t xml:space="preserve"> </w:t>
      </w:r>
    </w:p>
    <w:p w14:paraId="4DB3D905" w14:textId="77777777" w:rsidR="0052672C" w:rsidRPr="00506A68" w:rsidRDefault="0052672C">
      <w:pPr>
        <w:rPr>
          <w:rFonts w:ascii="Arial" w:hAnsi="Arial" w:cs="Arial"/>
          <w:b/>
          <w:color w:val="000000"/>
        </w:rPr>
      </w:pPr>
      <w:r w:rsidRPr="00506A68">
        <w:rPr>
          <w:rFonts w:ascii="Arial" w:hAnsi="Arial" w:cs="Arial"/>
          <w:b/>
          <w:color w:val="000000"/>
        </w:rPr>
        <w:br w:type="page"/>
      </w:r>
    </w:p>
    <w:p w14:paraId="7B391804" w14:textId="53816FB1" w:rsidR="00514393" w:rsidRPr="001A17A7" w:rsidRDefault="00140414">
      <w:pPr>
        <w:rPr>
          <w:rFonts w:ascii="Arial" w:hAnsi="Arial" w:cs="Arial"/>
          <w:b/>
        </w:rPr>
      </w:pPr>
      <w:r w:rsidRPr="001A17A7">
        <w:rPr>
          <w:rFonts w:ascii="Arial" w:hAnsi="Arial" w:cs="Arial"/>
          <w:b/>
        </w:rPr>
        <w:lastRenderedPageBreak/>
        <w:t>Fig</w:t>
      </w:r>
      <w:r w:rsidR="00D644E7" w:rsidRPr="001A17A7">
        <w:rPr>
          <w:rFonts w:ascii="Arial" w:hAnsi="Arial" w:cs="Arial"/>
          <w:b/>
        </w:rPr>
        <w:t xml:space="preserve">ure </w:t>
      </w:r>
      <w:r w:rsidRPr="001A17A7">
        <w:rPr>
          <w:rFonts w:ascii="Arial" w:hAnsi="Arial" w:cs="Arial"/>
          <w:b/>
        </w:rPr>
        <w:t xml:space="preserve">2. </w:t>
      </w:r>
    </w:p>
    <w:p w14:paraId="0A3A7974" w14:textId="77777777" w:rsidR="00134A87" w:rsidRPr="00506A68" w:rsidRDefault="00134A87">
      <w:pPr>
        <w:rPr>
          <w:noProof/>
          <w:lang w:eastAsia="en-GB"/>
        </w:rPr>
      </w:pPr>
    </w:p>
    <w:p w14:paraId="5EEF6061" w14:textId="7A7ABE90" w:rsidR="003A2885" w:rsidRPr="00506A68" w:rsidRDefault="00F50D88" w:rsidP="007F2601">
      <w:pPr>
        <w:jc w:val="center"/>
        <w:rPr>
          <w:noProof/>
          <w:lang w:eastAsia="en-GB"/>
        </w:rPr>
      </w:pPr>
      <w:r>
        <w:rPr>
          <w:noProof/>
          <w:lang w:eastAsia="zh-CN"/>
        </w:rPr>
        <w:drawing>
          <wp:inline distT="0" distB="0" distL="0" distR="0" wp14:anchorId="7560BADC" wp14:editId="1AED7C7D">
            <wp:extent cx="5610225" cy="5924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0225" cy="5924550"/>
                    </a:xfrm>
                    <a:prstGeom prst="rect">
                      <a:avLst/>
                    </a:prstGeom>
                  </pic:spPr>
                </pic:pic>
              </a:graphicData>
            </a:graphic>
          </wp:inline>
        </w:drawing>
      </w:r>
      <w:r w:rsidRPr="008C1CD3" w:rsidDel="00F50D88">
        <w:rPr>
          <w:noProof/>
          <w:lang w:eastAsia="ja-JP"/>
        </w:rPr>
        <w:t xml:space="preserve"> </w:t>
      </w:r>
    </w:p>
    <w:p w14:paraId="6F8D9A43" w14:textId="12F296FA" w:rsidR="00BC16CB" w:rsidRPr="00506A68" w:rsidRDefault="00BC16CB" w:rsidP="007F2601">
      <w:pPr>
        <w:jc w:val="center"/>
        <w:rPr>
          <w:noProof/>
          <w:lang w:eastAsia="en-GB"/>
        </w:rPr>
      </w:pPr>
    </w:p>
    <w:p w14:paraId="725183E3" w14:textId="77777777" w:rsidR="00285075" w:rsidRDefault="00285075">
      <w:pPr>
        <w:rPr>
          <w:rFonts w:ascii="Arial" w:hAnsi="Arial" w:cs="Arial"/>
          <w:color w:val="000000"/>
        </w:rPr>
      </w:pPr>
      <w:r>
        <w:rPr>
          <w:rFonts w:ascii="Arial" w:hAnsi="Arial" w:cs="Arial"/>
          <w:color w:val="000000"/>
        </w:rPr>
        <w:br w:type="page"/>
      </w:r>
    </w:p>
    <w:p w14:paraId="07996A2A" w14:textId="575C099F" w:rsidR="00B7504F" w:rsidRPr="001A17A7" w:rsidRDefault="0083453B" w:rsidP="005634BB">
      <w:pPr>
        <w:rPr>
          <w:rFonts w:ascii="Arial" w:hAnsi="Arial" w:cs="Arial"/>
          <w:b/>
          <w:color w:val="000000"/>
        </w:rPr>
      </w:pPr>
      <w:r w:rsidRPr="001A17A7">
        <w:rPr>
          <w:rFonts w:ascii="Arial" w:hAnsi="Arial" w:cs="Arial"/>
          <w:b/>
          <w:color w:val="000000"/>
        </w:rPr>
        <w:lastRenderedPageBreak/>
        <w:t>Fig</w:t>
      </w:r>
      <w:r w:rsidR="00D644E7" w:rsidRPr="001A17A7">
        <w:rPr>
          <w:rFonts w:ascii="Arial" w:hAnsi="Arial" w:cs="Arial"/>
          <w:b/>
          <w:color w:val="000000"/>
        </w:rPr>
        <w:t xml:space="preserve">ure </w:t>
      </w:r>
      <w:r w:rsidR="00140414" w:rsidRPr="001A17A7">
        <w:rPr>
          <w:rFonts w:ascii="Arial" w:hAnsi="Arial" w:cs="Arial"/>
          <w:b/>
          <w:color w:val="000000"/>
        </w:rPr>
        <w:t>3</w:t>
      </w:r>
      <w:r w:rsidRPr="001A17A7">
        <w:rPr>
          <w:rFonts w:ascii="Arial" w:hAnsi="Arial" w:cs="Arial"/>
          <w:b/>
          <w:color w:val="000000"/>
        </w:rPr>
        <w:t xml:space="preserve">. </w:t>
      </w:r>
    </w:p>
    <w:p w14:paraId="0B427AE4" w14:textId="361F1902" w:rsidR="00134A87" w:rsidRPr="00506A68" w:rsidRDefault="00134A87" w:rsidP="005634BB">
      <w:pPr>
        <w:rPr>
          <w:noProof/>
          <w:lang w:eastAsia="en-GB"/>
        </w:rPr>
      </w:pPr>
    </w:p>
    <w:p w14:paraId="12D5A558" w14:textId="0CEBE349" w:rsidR="00B169CA" w:rsidRPr="00506A68" w:rsidRDefault="00F50D88" w:rsidP="005634BB">
      <w:pPr>
        <w:rPr>
          <w:rFonts w:ascii="Arial" w:hAnsi="Arial" w:cs="Arial"/>
          <w:color w:val="000000"/>
        </w:rPr>
      </w:pPr>
      <w:r>
        <w:rPr>
          <w:noProof/>
          <w:lang w:eastAsia="zh-CN"/>
        </w:rPr>
        <w:drawing>
          <wp:inline distT="0" distB="0" distL="0" distR="0" wp14:anchorId="507B18F9" wp14:editId="1D79DDCE">
            <wp:extent cx="558165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1650" cy="3343275"/>
                    </a:xfrm>
                    <a:prstGeom prst="rect">
                      <a:avLst/>
                    </a:prstGeom>
                  </pic:spPr>
                </pic:pic>
              </a:graphicData>
            </a:graphic>
          </wp:inline>
        </w:drawing>
      </w:r>
    </w:p>
    <w:p w14:paraId="2934D8B8" w14:textId="77777777" w:rsidR="0056419F" w:rsidRPr="00506A68" w:rsidRDefault="0056419F" w:rsidP="005634BB">
      <w:pPr>
        <w:rPr>
          <w:rFonts w:ascii="Arial" w:hAnsi="Arial" w:cs="Arial"/>
          <w:b/>
          <w:color w:val="000000"/>
        </w:rPr>
      </w:pPr>
    </w:p>
    <w:p w14:paraId="18224D89" w14:textId="0E46754C" w:rsidR="00A21F33" w:rsidRPr="001A17A7" w:rsidRDefault="0052672C" w:rsidP="005634BB">
      <w:pPr>
        <w:rPr>
          <w:rFonts w:ascii="Arial" w:hAnsi="Arial" w:cs="Arial"/>
          <w:b/>
          <w:color w:val="000000"/>
        </w:rPr>
      </w:pPr>
      <w:r w:rsidRPr="00506A68">
        <w:rPr>
          <w:rFonts w:ascii="Arial" w:hAnsi="Arial" w:cs="Arial"/>
          <w:b/>
          <w:color w:val="000000"/>
        </w:rPr>
        <w:br w:type="page"/>
      </w:r>
      <w:r w:rsidR="00B169CA" w:rsidRPr="001A17A7">
        <w:rPr>
          <w:rFonts w:ascii="Arial" w:hAnsi="Arial" w:cs="Arial"/>
          <w:b/>
          <w:color w:val="000000"/>
        </w:rPr>
        <w:lastRenderedPageBreak/>
        <w:t>Fig</w:t>
      </w:r>
      <w:r w:rsidR="00D644E7" w:rsidRPr="001A17A7">
        <w:rPr>
          <w:rFonts w:ascii="Arial" w:hAnsi="Arial" w:cs="Arial"/>
          <w:b/>
          <w:color w:val="000000"/>
        </w:rPr>
        <w:t xml:space="preserve">ure </w:t>
      </w:r>
      <w:r w:rsidR="00140414" w:rsidRPr="001A17A7">
        <w:rPr>
          <w:rFonts w:ascii="Arial" w:hAnsi="Arial" w:cs="Arial"/>
          <w:b/>
          <w:color w:val="000000"/>
        </w:rPr>
        <w:t>4</w:t>
      </w:r>
      <w:r w:rsidR="00B169CA" w:rsidRPr="001A17A7">
        <w:rPr>
          <w:rFonts w:ascii="Arial" w:hAnsi="Arial" w:cs="Arial"/>
          <w:b/>
          <w:color w:val="000000"/>
        </w:rPr>
        <w:t>.</w:t>
      </w:r>
      <w:r w:rsidR="00A21F33" w:rsidRPr="001A17A7">
        <w:rPr>
          <w:rFonts w:ascii="Arial" w:hAnsi="Arial" w:cs="Arial"/>
          <w:b/>
          <w:color w:val="000000"/>
        </w:rPr>
        <w:t xml:space="preserve"> </w:t>
      </w:r>
    </w:p>
    <w:p w14:paraId="26905386" w14:textId="026497DF" w:rsidR="00134A87" w:rsidRPr="00506A68" w:rsidRDefault="00134A87" w:rsidP="005634BB">
      <w:pPr>
        <w:rPr>
          <w:noProof/>
          <w:lang w:eastAsia="en-GB"/>
        </w:rPr>
      </w:pPr>
    </w:p>
    <w:p w14:paraId="7705519D" w14:textId="1B4613AB" w:rsidR="00A21F33" w:rsidRPr="00506A68" w:rsidRDefault="002E3DB7" w:rsidP="005634BB">
      <w:pPr>
        <w:rPr>
          <w:rFonts w:ascii="Arial" w:hAnsi="Arial" w:cs="Arial"/>
          <w:color w:val="000000"/>
        </w:rPr>
      </w:pPr>
      <w:r>
        <w:rPr>
          <w:noProof/>
          <w:lang w:eastAsia="zh-CN"/>
        </w:rPr>
        <w:drawing>
          <wp:inline distT="0" distB="0" distL="0" distR="0" wp14:anchorId="6A6D4BD4" wp14:editId="62391359">
            <wp:extent cx="5731510" cy="26543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654300"/>
                    </a:xfrm>
                    <a:prstGeom prst="rect">
                      <a:avLst/>
                    </a:prstGeom>
                  </pic:spPr>
                </pic:pic>
              </a:graphicData>
            </a:graphic>
          </wp:inline>
        </w:drawing>
      </w:r>
    </w:p>
    <w:p w14:paraId="32503AA1" w14:textId="77777777" w:rsidR="00A21F33" w:rsidRPr="00506A68" w:rsidRDefault="00A21F33" w:rsidP="005634BB">
      <w:pPr>
        <w:rPr>
          <w:rFonts w:ascii="Arial" w:hAnsi="Arial" w:cs="Arial"/>
          <w:color w:val="000000"/>
        </w:rPr>
      </w:pPr>
    </w:p>
    <w:p w14:paraId="445E12DE" w14:textId="77777777" w:rsidR="00134A87" w:rsidRPr="00506A68" w:rsidRDefault="00134A87">
      <w:pPr>
        <w:rPr>
          <w:rFonts w:ascii="Arial" w:hAnsi="Arial" w:cs="Arial"/>
          <w:b/>
          <w:color w:val="000000"/>
        </w:rPr>
      </w:pPr>
      <w:r w:rsidRPr="00506A68">
        <w:rPr>
          <w:rFonts w:ascii="Arial" w:hAnsi="Arial" w:cs="Arial"/>
          <w:b/>
          <w:color w:val="000000"/>
        </w:rPr>
        <w:br w:type="page"/>
      </w:r>
    </w:p>
    <w:p w14:paraId="68CA7757" w14:textId="2280284A" w:rsidR="00134A87" w:rsidRPr="00506A68" w:rsidRDefault="00B169CA" w:rsidP="00330802">
      <w:pPr>
        <w:rPr>
          <w:noProof/>
          <w:lang w:eastAsia="en-GB"/>
        </w:rPr>
      </w:pPr>
      <w:r w:rsidRPr="001A17A7">
        <w:rPr>
          <w:rFonts w:ascii="Arial" w:hAnsi="Arial" w:cs="Arial"/>
          <w:b/>
          <w:color w:val="000000"/>
        </w:rPr>
        <w:lastRenderedPageBreak/>
        <w:t>Fig</w:t>
      </w:r>
      <w:r w:rsidR="00D644E7" w:rsidRPr="001A17A7">
        <w:rPr>
          <w:rFonts w:ascii="Arial" w:hAnsi="Arial" w:cs="Arial"/>
          <w:b/>
          <w:color w:val="000000"/>
        </w:rPr>
        <w:t xml:space="preserve">ure </w:t>
      </w:r>
      <w:r w:rsidR="00140414" w:rsidRPr="001A17A7">
        <w:rPr>
          <w:rFonts w:ascii="Arial" w:hAnsi="Arial" w:cs="Arial"/>
          <w:b/>
          <w:color w:val="000000"/>
        </w:rPr>
        <w:t>5</w:t>
      </w:r>
      <w:r w:rsidR="00FE7575" w:rsidRPr="001A17A7">
        <w:rPr>
          <w:rFonts w:ascii="Arial" w:hAnsi="Arial" w:cs="Arial"/>
          <w:b/>
          <w:color w:val="000000"/>
        </w:rPr>
        <w:t>.</w:t>
      </w:r>
      <w:r w:rsidR="00FE7575" w:rsidRPr="00D644E7">
        <w:rPr>
          <w:rFonts w:ascii="Arial" w:hAnsi="Arial" w:cs="Arial"/>
          <w:b/>
          <w:color w:val="000000"/>
        </w:rPr>
        <w:t xml:space="preserve"> </w:t>
      </w:r>
    </w:p>
    <w:p w14:paraId="185AEC70" w14:textId="29966D1C" w:rsidR="00366D2F" w:rsidRDefault="00366D2F" w:rsidP="00B169CA">
      <w:pPr>
        <w:tabs>
          <w:tab w:val="left" w:pos="1185"/>
        </w:tabs>
        <w:rPr>
          <w:noProof/>
          <w:lang w:eastAsia="en-GB"/>
        </w:rPr>
      </w:pPr>
    </w:p>
    <w:p w14:paraId="60426E54" w14:textId="732D4C77" w:rsidR="009B0C3B" w:rsidRPr="00506A68" w:rsidRDefault="00366D2F" w:rsidP="00B169CA">
      <w:pPr>
        <w:tabs>
          <w:tab w:val="left" w:pos="1185"/>
        </w:tabs>
        <w:rPr>
          <w:rFonts w:ascii="Arial" w:hAnsi="Arial" w:cs="Arial"/>
        </w:rPr>
      </w:pPr>
      <w:r>
        <w:rPr>
          <w:noProof/>
          <w:lang w:eastAsia="zh-CN"/>
        </w:rPr>
        <w:drawing>
          <wp:inline distT="0" distB="0" distL="0" distR="0" wp14:anchorId="062AECC2" wp14:editId="1527F5CE">
            <wp:extent cx="3914775" cy="5986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905" t="11966" r="32861" b="4272"/>
                    <a:stretch/>
                  </pic:blipFill>
                  <pic:spPr bwMode="auto">
                    <a:xfrm>
                      <a:off x="0" y="0"/>
                      <a:ext cx="3917883" cy="5990938"/>
                    </a:xfrm>
                    <a:prstGeom prst="rect">
                      <a:avLst/>
                    </a:prstGeom>
                    <a:ln>
                      <a:noFill/>
                    </a:ln>
                    <a:extLst>
                      <a:ext uri="{53640926-AAD7-44D8-BBD7-CCE9431645EC}">
                        <a14:shadowObscured xmlns:a14="http://schemas.microsoft.com/office/drawing/2010/main"/>
                      </a:ext>
                    </a:extLst>
                  </pic:spPr>
                </pic:pic>
              </a:graphicData>
            </a:graphic>
          </wp:inline>
        </w:drawing>
      </w:r>
    </w:p>
    <w:p w14:paraId="3551675A" w14:textId="77777777" w:rsidR="00CE6C46" w:rsidRDefault="00CE6C46" w:rsidP="00F860AD">
      <w:pPr>
        <w:rPr>
          <w:rFonts w:ascii="Arial" w:hAnsi="Arial" w:cs="Arial"/>
        </w:rPr>
      </w:pPr>
    </w:p>
    <w:sectPr w:rsidR="00CE6C46" w:rsidSect="00E00B97">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FAEF" w14:textId="77777777" w:rsidR="00527722" w:rsidRDefault="00527722" w:rsidP="004527A2">
      <w:pPr>
        <w:spacing w:after="0" w:line="240" w:lineRule="auto"/>
      </w:pPr>
      <w:r>
        <w:separator/>
      </w:r>
    </w:p>
  </w:endnote>
  <w:endnote w:type="continuationSeparator" w:id="0">
    <w:p w14:paraId="476E1623" w14:textId="77777777" w:rsidR="00527722" w:rsidRDefault="00527722" w:rsidP="0045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1"/>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5193" w14:textId="77777777" w:rsidR="00535FA6" w:rsidRDefault="00535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46587"/>
      <w:docPartObj>
        <w:docPartGallery w:val="Page Numbers (Bottom of Page)"/>
        <w:docPartUnique/>
      </w:docPartObj>
    </w:sdtPr>
    <w:sdtEndPr>
      <w:rPr>
        <w:noProof/>
      </w:rPr>
    </w:sdtEndPr>
    <w:sdtContent>
      <w:p w14:paraId="63C5E64C" w14:textId="3A850837" w:rsidR="00755CEE" w:rsidRDefault="00755CEE">
        <w:pPr>
          <w:pStyle w:val="Footer"/>
          <w:jc w:val="right"/>
        </w:pPr>
        <w:r>
          <w:fldChar w:fldCharType="begin"/>
        </w:r>
        <w:r>
          <w:instrText xml:space="preserve"> PAGE   \* MERGEFORMAT </w:instrText>
        </w:r>
        <w:r>
          <w:fldChar w:fldCharType="separate"/>
        </w:r>
        <w:r w:rsidR="00F97669">
          <w:rPr>
            <w:noProof/>
          </w:rPr>
          <w:t>2</w:t>
        </w:r>
        <w:r>
          <w:rPr>
            <w:noProof/>
          </w:rPr>
          <w:fldChar w:fldCharType="end"/>
        </w:r>
      </w:p>
    </w:sdtContent>
  </w:sdt>
  <w:p w14:paraId="3A20CD53" w14:textId="77777777" w:rsidR="00755CEE" w:rsidRDefault="00755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CBF9" w14:textId="77777777" w:rsidR="00535FA6" w:rsidRDefault="00535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5B6E8" w14:textId="77777777" w:rsidR="00527722" w:rsidRDefault="00527722" w:rsidP="004527A2">
      <w:pPr>
        <w:spacing w:after="0" w:line="240" w:lineRule="auto"/>
      </w:pPr>
      <w:r>
        <w:separator/>
      </w:r>
    </w:p>
  </w:footnote>
  <w:footnote w:type="continuationSeparator" w:id="0">
    <w:p w14:paraId="2D21064C" w14:textId="77777777" w:rsidR="00527722" w:rsidRDefault="00527722" w:rsidP="0045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F067" w14:textId="77777777" w:rsidR="00535FA6" w:rsidRDefault="00535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CFF4" w14:textId="77777777" w:rsidR="00535FA6" w:rsidRDefault="00535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F7F1" w14:textId="77777777" w:rsidR="00535FA6" w:rsidRDefault="00535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224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107"/>
    <w:multiLevelType w:val="hybridMultilevel"/>
    <w:tmpl w:val="C12E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20E7B"/>
    <w:multiLevelType w:val="hybridMultilevel"/>
    <w:tmpl w:val="FFB0A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52BD4"/>
    <w:multiLevelType w:val="hybridMultilevel"/>
    <w:tmpl w:val="BBA89492"/>
    <w:lvl w:ilvl="0" w:tplc="95742574">
      <w:start w:val="1"/>
      <w:numFmt w:val="decimal"/>
      <w:lvlText w:val="%1."/>
      <w:lvlJc w:val="left"/>
      <w:pPr>
        <w:ind w:left="360" w:hanging="360"/>
      </w:pPr>
      <w:rPr>
        <w:rFonts w:ascii="Arial" w:hAnsi="Arial" w:hint="default"/>
        <w:b w:val="0"/>
        <w:i w:val="0"/>
        <w:sz w:val="22"/>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06F5190F"/>
    <w:multiLevelType w:val="multilevel"/>
    <w:tmpl w:val="F1ACDD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532065"/>
    <w:multiLevelType w:val="hybridMultilevel"/>
    <w:tmpl w:val="76AE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D49EF"/>
    <w:multiLevelType w:val="multilevel"/>
    <w:tmpl w:val="83EA0A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CF0F25"/>
    <w:multiLevelType w:val="hybridMultilevel"/>
    <w:tmpl w:val="5F4E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D2F53"/>
    <w:multiLevelType w:val="hybridMultilevel"/>
    <w:tmpl w:val="589A8F68"/>
    <w:lvl w:ilvl="0" w:tplc="66065CCC">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753FA5"/>
    <w:multiLevelType w:val="hybridMultilevel"/>
    <w:tmpl w:val="AFE8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D6B6E"/>
    <w:multiLevelType w:val="hybridMultilevel"/>
    <w:tmpl w:val="659EEEEC"/>
    <w:lvl w:ilvl="0" w:tplc="64F6D256">
      <w:start w:val="1"/>
      <w:numFmt w:val="bullet"/>
      <w:lvlText w:val="●"/>
      <w:lvlJc w:val="left"/>
      <w:pPr>
        <w:tabs>
          <w:tab w:val="num" w:pos="720"/>
        </w:tabs>
        <w:ind w:left="720" w:hanging="360"/>
      </w:pPr>
      <w:rPr>
        <w:rFonts w:ascii="Arial" w:hAnsi="Arial" w:hint="default"/>
      </w:rPr>
    </w:lvl>
    <w:lvl w:ilvl="1" w:tplc="C8FC0FD8" w:tentative="1">
      <w:start w:val="1"/>
      <w:numFmt w:val="bullet"/>
      <w:lvlText w:val="●"/>
      <w:lvlJc w:val="left"/>
      <w:pPr>
        <w:tabs>
          <w:tab w:val="num" w:pos="1440"/>
        </w:tabs>
        <w:ind w:left="1440" w:hanging="360"/>
      </w:pPr>
      <w:rPr>
        <w:rFonts w:ascii="Arial" w:hAnsi="Arial" w:hint="default"/>
      </w:rPr>
    </w:lvl>
    <w:lvl w:ilvl="2" w:tplc="328686A0" w:tentative="1">
      <w:start w:val="1"/>
      <w:numFmt w:val="bullet"/>
      <w:lvlText w:val="●"/>
      <w:lvlJc w:val="left"/>
      <w:pPr>
        <w:tabs>
          <w:tab w:val="num" w:pos="2160"/>
        </w:tabs>
        <w:ind w:left="2160" w:hanging="360"/>
      </w:pPr>
      <w:rPr>
        <w:rFonts w:ascii="Arial" w:hAnsi="Arial" w:hint="default"/>
      </w:rPr>
    </w:lvl>
    <w:lvl w:ilvl="3" w:tplc="2FDC95A6" w:tentative="1">
      <w:start w:val="1"/>
      <w:numFmt w:val="bullet"/>
      <w:lvlText w:val="●"/>
      <w:lvlJc w:val="left"/>
      <w:pPr>
        <w:tabs>
          <w:tab w:val="num" w:pos="2880"/>
        </w:tabs>
        <w:ind w:left="2880" w:hanging="360"/>
      </w:pPr>
      <w:rPr>
        <w:rFonts w:ascii="Arial" w:hAnsi="Arial" w:hint="default"/>
      </w:rPr>
    </w:lvl>
    <w:lvl w:ilvl="4" w:tplc="7D2468E4" w:tentative="1">
      <w:start w:val="1"/>
      <w:numFmt w:val="bullet"/>
      <w:lvlText w:val="●"/>
      <w:lvlJc w:val="left"/>
      <w:pPr>
        <w:tabs>
          <w:tab w:val="num" w:pos="3600"/>
        </w:tabs>
        <w:ind w:left="3600" w:hanging="360"/>
      </w:pPr>
      <w:rPr>
        <w:rFonts w:ascii="Arial" w:hAnsi="Arial" w:hint="default"/>
      </w:rPr>
    </w:lvl>
    <w:lvl w:ilvl="5" w:tplc="74BA8E38" w:tentative="1">
      <w:start w:val="1"/>
      <w:numFmt w:val="bullet"/>
      <w:lvlText w:val="●"/>
      <w:lvlJc w:val="left"/>
      <w:pPr>
        <w:tabs>
          <w:tab w:val="num" w:pos="4320"/>
        </w:tabs>
        <w:ind w:left="4320" w:hanging="360"/>
      </w:pPr>
      <w:rPr>
        <w:rFonts w:ascii="Arial" w:hAnsi="Arial" w:hint="default"/>
      </w:rPr>
    </w:lvl>
    <w:lvl w:ilvl="6" w:tplc="68646486" w:tentative="1">
      <w:start w:val="1"/>
      <w:numFmt w:val="bullet"/>
      <w:lvlText w:val="●"/>
      <w:lvlJc w:val="left"/>
      <w:pPr>
        <w:tabs>
          <w:tab w:val="num" w:pos="5040"/>
        </w:tabs>
        <w:ind w:left="5040" w:hanging="360"/>
      </w:pPr>
      <w:rPr>
        <w:rFonts w:ascii="Arial" w:hAnsi="Arial" w:hint="default"/>
      </w:rPr>
    </w:lvl>
    <w:lvl w:ilvl="7" w:tplc="D8365026" w:tentative="1">
      <w:start w:val="1"/>
      <w:numFmt w:val="bullet"/>
      <w:lvlText w:val="●"/>
      <w:lvlJc w:val="left"/>
      <w:pPr>
        <w:tabs>
          <w:tab w:val="num" w:pos="5760"/>
        </w:tabs>
        <w:ind w:left="5760" w:hanging="360"/>
      </w:pPr>
      <w:rPr>
        <w:rFonts w:ascii="Arial" w:hAnsi="Arial" w:hint="default"/>
      </w:rPr>
    </w:lvl>
    <w:lvl w:ilvl="8" w:tplc="37C01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917F49"/>
    <w:multiLevelType w:val="hybridMultilevel"/>
    <w:tmpl w:val="F33E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F558C"/>
    <w:multiLevelType w:val="hybridMultilevel"/>
    <w:tmpl w:val="5DC4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4712C"/>
    <w:multiLevelType w:val="hybridMultilevel"/>
    <w:tmpl w:val="E388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C26EE"/>
    <w:multiLevelType w:val="hybridMultilevel"/>
    <w:tmpl w:val="D0DE896C"/>
    <w:lvl w:ilvl="0" w:tplc="9FDC4208">
      <w:start w:val="1"/>
      <w:numFmt w:val="decimal"/>
      <w:lvlText w:val="[%1]"/>
      <w:lvlJc w:val="left"/>
      <w:pPr>
        <w:ind w:left="36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3B9F7388"/>
    <w:multiLevelType w:val="multilevel"/>
    <w:tmpl w:val="83EA0A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8357A1"/>
    <w:multiLevelType w:val="hybridMultilevel"/>
    <w:tmpl w:val="9B72F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0E0259"/>
    <w:multiLevelType w:val="hybridMultilevel"/>
    <w:tmpl w:val="CF4AD8B0"/>
    <w:lvl w:ilvl="0" w:tplc="9DDCB09C">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C1F0F"/>
    <w:multiLevelType w:val="multilevel"/>
    <w:tmpl w:val="AD4CD9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A547EA"/>
    <w:multiLevelType w:val="hybridMultilevel"/>
    <w:tmpl w:val="23FC03F6"/>
    <w:lvl w:ilvl="0" w:tplc="66C2A6A2">
      <w:start w:val="1"/>
      <w:numFmt w:val="decimal"/>
      <w:lvlText w:val="[%1]"/>
      <w:lvlJc w:val="left"/>
      <w:pPr>
        <w:ind w:left="340" w:hanging="340"/>
      </w:pPr>
      <w:rPr>
        <w:rFonts w:ascii="Arial" w:hAnsi="Arial" w:cs="Arial" w:hint="default"/>
        <w:b w:val="0"/>
        <w:sz w:val="22"/>
        <w:szCs w:val="22"/>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 w15:restartNumberingAfterBreak="0">
    <w:nsid w:val="53622A8A"/>
    <w:multiLevelType w:val="hybridMultilevel"/>
    <w:tmpl w:val="3B9C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83DDD"/>
    <w:multiLevelType w:val="multilevel"/>
    <w:tmpl w:val="984880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986BE6"/>
    <w:multiLevelType w:val="hybridMultilevel"/>
    <w:tmpl w:val="50F098E6"/>
    <w:lvl w:ilvl="0" w:tplc="35B6E6B4">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65CA4"/>
    <w:multiLevelType w:val="hybridMultilevel"/>
    <w:tmpl w:val="9920C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9E3DCD"/>
    <w:multiLevelType w:val="multilevel"/>
    <w:tmpl w:val="66568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5E4CA4"/>
    <w:multiLevelType w:val="hybridMultilevel"/>
    <w:tmpl w:val="07BAB3AC"/>
    <w:lvl w:ilvl="0" w:tplc="48C8A81E">
      <w:start w:val="1"/>
      <w:numFmt w:val="bullet"/>
      <w:lvlText w:val="●"/>
      <w:lvlJc w:val="left"/>
      <w:pPr>
        <w:tabs>
          <w:tab w:val="num" w:pos="720"/>
        </w:tabs>
        <w:ind w:left="720" w:hanging="360"/>
      </w:pPr>
      <w:rPr>
        <w:rFonts w:ascii="Arial" w:hAnsi="Arial" w:hint="default"/>
      </w:rPr>
    </w:lvl>
    <w:lvl w:ilvl="1" w:tplc="27CAF896" w:tentative="1">
      <w:start w:val="1"/>
      <w:numFmt w:val="bullet"/>
      <w:lvlText w:val="●"/>
      <w:lvlJc w:val="left"/>
      <w:pPr>
        <w:tabs>
          <w:tab w:val="num" w:pos="1440"/>
        </w:tabs>
        <w:ind w:left="1440" w:hanging="360"/>
      </w:pPr>
      <w:rPr>
        <w:rFonts w:ascii="Arial" w:hAnsi="Arial" w:hint="default"/>
      </w:rPr>
    </w:lvl>
    <w:lvl w:ilvl="2" w:tplc="46185DCC" w:tentative="1">
      <w:start w:val="1"/>
      <w:numFmt w:val="bullet"/>
      <w:lvlText w:val="●"/>
      <w:lvlJc w:val="left"/>
      <w:pPr>
        <w:tabs>
          <w:tab w:val="num" w:pos="2160"/>
        </w:tabs>
        <w:ind w:left="2160" w:hanging="360"/>
      </w:pPr>
      <w:rPr>
        <w:rFonts w:ascii="Arial" w:hAnsi="Arial" w:hint="default"/>
      </w:rPr>
    </w:lvl>
    <w:lvl w:ilvl="3" w:tplc="C9660478" w:tentative="1">
      <w:start w:val="1"/>
      <w:numFmt w:val="bullet"/>
      <w:lvlText w:val="●"/>
      <w:lvlJc w:val="left"/>
      <w:pPr>
        <w:tabs>
          <w:tab w:val="num" w:pos="2880"/>
        </w:tabs>
        <w:ind w:left="2880" w:hanging="360"/>
      </w:pPr>
      <w:rPr>
        <w:rFonts w:ascii="Arial" w:hAnsi="Arial" w:hint="default"/>
      </w:rPr>
    </w:lvl>
    <w:lvl w:ilvl="4" w:tplc="DEB2DBE2" w:tentative="1">
      <w:start w:val="1"/>
      <w:numFmt w:val="bullet"/>
      <w:lvlText w:val="●"/>
      <w:lvlJc w:val="left"/>
      <w:pPr>
        <w:tabs>
          <w:tab w:val="num" w:pos="3600"/>
        </w:tabs>
        <w:ind w:left="3600" w:hanging="360"/>
      </w:pPr>
      <w:rPr>
        <w:rFonts w:ascii="Arial" w:hAnsi="Arial" w:hint="default"/>
      </w:rPr>
    </w:lvl>
    <w:lvl w:ilvl="5" w:tplc="F064CA28" w:tentative="1">
      <w:start w:val="1"/>
      <w:numFmt w:val="bullet"/>
      <w:lvlText w:val="●"/>
      <w:lvlJc w:val="left"/>
      <w:pPr>
        <w:tabs>
          <w:tab w:val="num" w:pos="4320"/>
        </w:tabs>
        <w:ind w:left="4320" w:hanging="360"/>
      </w:pPr>
      <w:rPr>
        <w:rFonts w:ascii="Arial" w:hAnsi="Arial" w:hint="default"/>
      </w:rPr>
    </w:lvl>
    <w:lvl w:ilvl="6" w:tplc="DF344C2A" w:tentative="1">
      <w:start w:val="1"/>
      <w:numFmt w:val="bullet"/>
      <w:lvlText w:val="●"/>
      <w:lvlJc w:val="left"/>
      <w:pPr>
        <w:tabs>
          <w:tab w:val="num" w:pos="5040"/>
        </w:tabs>
        <w:ind w:left="5040" w:hanging="360"/>
      </w:pPr>
      <w:rPr>
        <w:rFonts w:ascii="Arial" w:hAnsi="Arial" w:hint="default"/>
      </w:rPr>
    </w:lvl>
    <w:lvl w:ilvl="7" w:tplc="54802264" w:tentative="1">
      <w:start w:val="1"/>
      <w:numFmt w:val="bullet"/>
      <w:lvlText w:val="●"/>
      <w:lvlJc w:val="left"/>
      <w:pPr>
        <w:tabs>
          <w:tab w:val="num" w:pos="5760"/>
        </w:tabs>
        <w:ind w:left="5760" w:hanging="360"/>
      </w:pPr>
      <w:rPr>
        <w:rFonts w:ascii="Arial" w:hAnsi="Arial" w:hint="default"/>
      </w:rPr>
    </w:lvl>
    <w:lvl w:ilvl="8" w:tplc="9EAEE06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EC7292"/>
    <w:multiLevelType w:val="hybridMultilevel"/>
    <w:tmpl w:val="BCDE00C4"/>
    <w:lvl w:ilvl="0" w:tplc="2F2CF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C26131"/>
    <w:multiLevelType w:val="hybridMultilevel"/>
    <w:tmpl w:val="CCBE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7"/>
  </w:num>
  <w:num w:numId="5">
    <w:abstractNumId w:val="25"/>
  </w:num>
  <w:num w:numId="6">
    <w:abstractNumId w:val="12"/>
  </w:num>
  <w:num w:numId="7">
    <w:abstractNumId w:val="5"/>
  </w:num>
  <w:num w:numId="8">
    <w:abstractNumId w:val="2"/>
  </w:num>
  <w:num w:numId="9">
    <w:abstractNumId w:val="27"/>
  </w:num>
  <w:num w:numId="10">
    <w:abstractNumId w:val="11"/>
  </w:num>
  <w:num w:numId="11">
    <w:abstractNumId w:val="16"/>
  </w:num>
  <w:num w:numId="12">
    <w:abstractNumId w:val="14"/>
  </w:num>
  <w:num w:numId="13">
    <w:abstractNumId w:val="18"/>
  </w:num>
  <w:num w:numId="14">
    <w:abstractNumId w:val="13"/>
  </w:num>
  <w:num w:numId="15">
    <w:abstractNumId w:val="15"/>
  </w:num>
  <w:num w:numId="16">
    <w:abstractNumId w:val="6"/>
  </w:num>
  <w:num w:numId="17">
    <w:abstractNumId w:val="4"/>
  </w:num>
  <w:num w:numId="18">
    <w:abstractNumId w:val="21"/>
  </w:num>
  <w:num w:numId="19">
    <w:abstractNumId w:val="26"/>
  </w:num>
  <w:num w:numId="20">
    <w:abstractNumId w:val="19"/>
  </w:num>
  <w:num w:numId="21">
    <w:abstractNumId w:val="20"/>
  </w:num>
  <w:num w:numId="22">
    <w:abstractNumId w:val="7"/>
  </w:num>
  <w:num w:numId="23">
    <w:abstractNumId w:val="24"/>
  </w:num>
  <w:num w:numId="24">
    <w:abstractNumId w:val="0"/>
  </w:num>
  <w:num w:numId="25">
    <w:abstractNumId w:val="23"/>
  </w:num>
  <w:num w:numId="26">
    <w:abstractNumId w:val="3"/>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pt-BR" w:vendorID="64" w:dllVersion="131078" w:nlCheck="1" w:checkStyle="0"/>
  <w:activeWritingStyle w:appName="MSWord" w:lang="it-IT"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A6"/>
    <w:rsid w:val="00000204"/>
    <w:rsid w:val="00001924"/>
    <w:rsid w:val="00001EF5"/>
    <w:rsid w:val="000020A5"/>
    <w:rsid w:val="00002D66"/>
    <w:rsid w:val="00003A94"/>
    <w:rsid w:val="00003E25"/>
    <w:rsid w:val="00005ABB"/>
    <w:rsid w:val="00006802"/>
    <w:rsid w:val="00007744"/>
    <w:rsid w:val="00007964"/>
    <w:rsid w:val="00007FA1"/>
    <w:rsid w:val="00011FCE"/>
    <w:rsid w:val="00013856"/>
    <w:rsid w:val="000139F6"/>
    <w:rsid w:val="00015159"/>
    <w:rsid w:val="00015198"/>
    <w:rsid w:val="000160F2"/>
    <w:rsid w:val="00016AAD"/>
    <w:rsid w:val="000213B2"/>
    <w:rsid w:val="000240A5"/>
    <w:rsid w:val="00024A17"/>
    <w:rsid w:val="0002618B"/>
    <w:rsid w:val="000261BC"/>
    <w:rsid w:val="00026D0F"/>
    <w:rsid w:val="000278AE"/>
    <w:rsid w:val="00030A30"/>
    <w:rsid w:val="0003132E"/>
    <w:rsid w:val="000318FE"/>
    <w:rsid w:val="000330E5"/>
    <w:rsid w:val="00035A5A"/>
    <w:rsid w:val="0003664A"/>
    <w:rsid w:val="00036D8A"/>
    <w:rsid w:val="000401E8"/>
    <w:rsid w:val="000408D9"/>
    <w:rsid w:val="00040A24"/>
    <w:rsid w:val="00040B7A"/>
    <w:rsid w:val="0004126F"/>
    <w:rsid w:val="00042FA6"/>
    <w:rsid w:val="00044000"/>
    <w:rsid w:val="00044D7D"/>
    <w:rsid w:val="000454E0"/>
    <w:rsid w:val="000462D7"/>
    <w:rsid w:val="00046AF8"/>
    <w:rsid w:val="00047629"/>
    <w:rsid w:val="000504B6"/>
    <w:rsid w:val="000506E8"/>
    <w:rsid w:val="000519C8"/>
    <w:rsid w:val="00052B48"/>
    <w:rsid w:val="000542FC"/>
    <w:rsid w:val="0005447F"/>
    <w:rsid w:val="00054DBD"/>
    <w:rsid w:val="0005692B"/>
    <w:rsid w:val="00056B9D"/>
    <w:rsid w:val="00057F81"/>
    <w:rsid w:val="000603D8"/>
    <w:rsid w:val="00060755"/>
    <w:rsid w:val="00061274"/>
    <w:rsid w:val="00061621"/>
    <w:rsid w:val="00061B9F"/>
    <w:rsid w:val="00062B5A"/>
    <w:rsid w:val="00063AA3"/>
    <w:rsid w:val="00064065"/>
    <w:rsid w:val="000645E2"/>
    <w:rsid w:val="00064A60"/>
    <w:rsid w:val="00064D88"/>
    <w:rsid w:val="00064E1A"/>
    <w:rsid w:val="00066F21"/>
    <w:rsid w:val="00071B2C"/>
    <w:rsid w:val="00071E4D"/>
    <w:rsid w:val="000722F7"/>
    <w:rsid w:val="00072530"/>
    <w:rsid w:val="00073599"/>
    <w:rsid w:val="00073B85"/>
    <w:rsid w:val="00074394"/>
    <w:rsid w:val="00074984"/>
    <w:rsid w:val="000752E9"/>
    <w:rsid w:val="0007757A"/>
    <w:rsid w:val="00080314"/>
    <w:rsid w:val="00080C41"/>
    <w:rsid w:val="00081175"/>
    <w:rsid w:val="000818BF"/>
    <w:rsid w:val="0008194A"/>
    <w:rsid w:val="00081B7F"/>
    <w:rsid w:val="00081CBD"/>
    <w:rsid w:val="00081D29"/>
    <w:rsid w:val="00082F51"/>
    <w:rsid w:val="000839C6"/>
    <w:rsid w:val="00083DC0"/>
    <w:rsid w:val="000840E5"/>
    <w:rsid w:val="00087865"/>
    <w:rsid w:val="00090FCC"/>
    <w:rsid w:val="00091CBF"/>
    <w:rsid w:val="000924E3"/>
    <w:rsid w:val="00094A77"/>
    <w:rsid w:val="00094C18"/>
    <w:rsid w:val="00094C47"/>
    <w:rsid w:val="00095543"/>
    <w:rsid w:val="000957D4"/>
    <w:rsid w:val="000962AE"/>
    <w:rsid w:val="00096748"/>
    <w:rsid w:val="0009771D"/>
    <w:rsid w:val="00097C65"/>
    <w:rsid w:val="00097DBD"/>
    <w:rsid w:val="000A1B92"/>
    <w:rsid w:val="000A21BE"/>
    <w:rsid w:val="000A33BB"/>
    <w:rsid w:val="000A37EB"/>
    <w:rsid w:val="000A3EBC"/>
    <w:rsid w:val="000A4BED"/>
    <w:rsid w:val="000A6E3A"/>
    <w:rsid w:val="000A6E94"/>
    <w:rsid w:val="000B00AF"/>
    <w:rsid w:val="000B0864"/>
    <w:rsid w:val="000B149B"/>
    <w:rsid w:val="000B1889"/>
    <w:rsid w:val="000B5DCA"/>
    <w:rsid w:val="000C002D"/>
    <w:rsid w:val="000C1543"/>
    <w:rsid w:val="000C1724"/>
    <w:rsid w:val="000C1F46"/>
    <w:rsid w:val="000C296D"/>
    <w:rsid w:val="000C3280"/>
    <w:rsid w:val="000C3938"/>
    <w:rsid w:val="000C73B1"/>
    <w:rsid w:val="000D1D4D"/>
    <w:rsid w:val="000D29B3"/>
    <w:rsid w:val="000D5019"/>
    <w:rsid w:val="000D52C6"/>
    <w:rsid w:val="000D72C0"/>
    <w:rsid w:val="000E01AF"/>
    <w:rsid w:val="000E2E39"/>
    <w:rsid w:val="000E3C40"/>
    <w:rsid w:val="000E3E56"/>
    <w:rsid w:val="000E4E69"/>
    <w:rsid w:val="000E5D8D"/>
    <w:rsid w:val="000F035A"/>
    <w:rsid w:val="000F061B"/>
    <w:rsid w:val="000F41F1"/>
    <w:rsid w:val="000F465C"/>
    <w:rsid w:val="000F498B"/>
    <w:rsid w:val="000F4DC4"/>
    <w:rsid w:val="000F507C"/>
    <w:rsid w:val="000F5225"/>
    <w:rsid w:val="000F5CE7"/>
    <w:rsid w:val="000F6442"/>
    <w:rsid w:val="000F693C"/>
    <w:rsid w:val="000F7A3D"/>
    <w:rsid w:val="000F7F00"/>
    <w:rsid w:val="001000B7"/>
    <w:rsid w:val="00100136"/>
    <w:rsid w:val="00100340"/>
    <w:rsid w:val="00100FB5"/>
    <w:rsid w:val="00101BFB"/>
    <w:rsid w:val="00103A1B"/>
    <w:rsid w:val="001041CF"/>
    <w:rsid w:val="00104E41"/>
    <w:rsid w:val="001052F7"/>
    <w:rsid w:val="00105E57"/>
    <w:rsid w:val="00105F65"/>
    <w:rsid w:val="001074FC"/>
    <w:rsid w:val="0011063E"/>
    <w:rsid w:val="00110E57"/>
    <w:rsid w:val="0011386F"/>
    <w:rsid w:val="00113B85"/>
    <w:rsid w:val="001143A7"/>
    <w:rsid w:val="00114CF8"/>
    <w:rsid w:val="00115220"/>
    <w:rsid w:val="0011594D"/>
    <w:rsid w:val="00115E75"/>
    <w:rsid w:val="00117A64"/>
    <w:rsid w:val="001216C7"/>
    <w:rsid w:val="00121893"/>
    <w:rsid w:val="00121F14"/>
    <w:rsid w:val="00122A46"/>
    <w:rsid w:val="00122BCD"/>
    <w:rsid w:val="00123DC7"/>
    <w:rsid w:val="001241AF"/>
    <w:rsid w:val="00124C03"/>
    <w:rsid w:val="00126271"/>
    <w:rsid w:val="00126686"/>
    <w:rsid w:val="00126786"/>
    <w:rsid w:val="00126892"/>
    <w:rsid w:val="00130B39"/>
    <w:rsid w:val="001313AE"/>
    <w:rsid w:val="00131739"/>
    <w:rsid w:val="001318E4"/>
    <w:rsid w:val="001319D4"/>
    <w:rsid w:val="00132884"/>
    <w:rsid w:val="00134844"/>
    <w:rsid w:val="00134A87"/>
    <w:rsid w:val="00134D35"/>
    <w:rsid w:val="00134E69"/>
    <w:rsid w:val="001350D3"/>
    <w:rsid w:val="00135175"/>
    <w:rsid w:val="001358E9"/>
    <w:rsid w:val="00135F51"/>
    <w:rsid w:val="001374C3"/>
    <w:rsid w:val="00137891"/>
    <w:rsid w:val="00140414"/>
    <w:rsid w:val="001406BB"/>
    <w:rsid w:val="00140FC3"/>
    <w:rsid w:val="001414D6"/>
    <w:rsid w:val="0014198E"/>
    <w:rsid w:val="00143D7F"/>
    <w:rsid w:val="00145B51"/>
    <w:rsid w:val="001465AB"/>
    <w:rsid w:val="00147A7A"/>
    <w:rsid w:val="00147DD9"/>
    <w:rsid w:val="001514EF"/>
    <w:rsid w:val="00152A8D"/>
    <w:rsid w:val="001540A3"/>
    <w:rsid w:val="00155171"/>
    <w:rsid w:val="00155E01"/>
    <w:rsid w:val="00156790"/>
    <w:rsid w:val="00157D1A"/>
    <w:rsid w:val="001604DD"/>
    <w:rsid w:val="00160550"/>
    <w:rsid w:val="00161179"/>
    <w:rsid w:val="00162F6F"/>
    <w:rsid w:val="001630E9"/>
    <w:rsid w:val="00163AAD"/>
    <w:rsid w:val="00164D59"/>
    <w:rsid w:val="001658D8"/>
    <w:rsid w:val="001674A7"/>
    <w:rsid w:val="0017289D"/>
    <w:rsid w:val="00172DFD"/>
    <w:rsid w:val="0017331D"/>
    <w:rsid w:val="00174549"/>
    <w:rsid w:val="00175B42"/>
    <w:rsid w:val="00177412"/>
    <w:rsid w:val="0018090E"/>
    <w:rsid w:val="0018115C"/>
    <w:rsid w:val="001821C8"/>
    <w:rsid w:val="00182AC0"/>
    <w:rsid w:val="00183AA1"/>
    <w:rsid w:val="00185DC6"/>
    <w:rsid w:val="00187342"/>
    <w:rsid w:val="0019031F"/>
    <w:rsid w:val="001903D5"/>
    <w:rsid w:val="00190AD9"/>
    <w:rsid w:val="001912DE"/>
    <w:rsid w:val="001939FF"/>
    <w:rsid w:val="00195229"/>
    <w:rsid w:val="001A0297"/>
    <w:rsid w:val="001A0C24"/>
    <w:rsid w:val="001A17A7"/>
    <w:rsid w:val="001A19A0"/>
    <w:rsid w:val="001A2122"/>
    <w:rsid w:val="001A518D"/>
    <w:rsid w:val="001A5AB1"/>
    <w:rsid w:val="001A6DD5"/>
    <w:rsid w:val="001B1C13"/>
    <w:rsid w:val="001B3AC3"/>
    <w:rsid w:val="001B584B"/>
    <w:rsid w:val="001B5AA0"/>
    <w:rsid w:val="001B6F34"/>
    <w:rsid w:val="001B7965"/>
    <w:rsid w:val="001C08DA"/>
    <w:rsid w:val="001C0C40"/>
    <w:rsid w:val="001C247D"/>
    <w:rsid w:val="001C3A33"/>
    <w:rsid w:val="001C59D0"/>
    <w:rsid w:val="001C640C"/>
    <w:rsid w:val="001C66B0"/>
    <w:rsid w:val="001C7119"/>
    <w:rsid w:val="001C752B"/>
    <w:rsid w:val="001C76B9"/>
    <w:rsid w:val="001C7957"/>
    <w:rsid w:val="001D0938"/>
    <w:rsid w:val="001D1FFB"/>
    <w:rsid w:val="001D261F"/>
    <w:rsid w:val="001D4E5C"/>
    <w:rsid w:val="001D51A4"/>
    <w:rsid w:val="001D6C4A"/>
    <w:rsid w:val="001D6CCB"/>
    <w:rsid w:val="001D7704"/>
    <w:rsid w:val="001E029C"/>
    <w:rsid w:val="001E213F"/>
    <w:rsid w:val="001E2780"/>
    <w:rsid w:val="001E2C50"/>
    <w:rsid w:val="001E2C82"/>
    <w:rsid w:val="001E338B"/>
    <w:rsid w:val="001E3CBF"/>
    <w:rsid w:val="001E578F"/>
    <w:rsid w:val="001E58CE"/>
    <w:rsid w:val="001E66BB"/>
    <w:rsid w:val="001E6928"/>
    <w:rsid w:val="001F0934"/>
    <w:rsid w:val="001F245D"/>
    <w:rsid w:val="001F2B95"/>
    <w:rsid w:val="001F4246"/>
    <w:rsid w:val="001F4278"/>
    <w:rsid w:val="001F483E"/>
    <w:rsid w:val="001F60D7"/>
    <w:rsid w:val="001F697F"/>
    <w:rsid w:val="0020040F"/>
    <w:rsid w:val="00200A46"/>
    <w:rsid w:val="00200AF1"/>
    <w:rsid w:val="00207038"/>
    <w:rsid w:val="002075BB"/>
    <w:rsid w:val="00207F12"/>
    <w:rsid w:val="0021188F"/>
    <w:rsid w:val="0021206F"/>
    <w:rsid w:val="00212CEB"/>
    <w:rsid w:val="00213654"/>
    <w:rsid w:val="0021392A"/>
    <w:rsid w:val="0021423E"/>
    <w:rsid w:val="00214975"/>
    <w:rsid w:val="0021588F"/>
    <w:rsid w:val="002164D6"/>
    <w:rsid w:val="00216846"/>
    <w:rsid w:val="00216CDE"/>
    <w:rsid w:val="002204F0"/>
    <w:rsid w:val="002209AB"/>
    <w:rsid w:val="0022161D"/>
    <w:rsid w:val="002218CA"/>
    <w:rsid w:val="00223204"/>
    <w:rsid w:val="00223535"/>
    <w:rsid w:val="00224C48"/>
    <w:rsid w:val="0022563D"/>
    <w:rsid w:val="002266F6"/>
    <w:rsid w:val="00226FAB"/>
    <w:rsid w:val="002277FB"/>
    <w:rsid w:val="00227B8A"/>
    <w:rsid w:val="00230352"/>
    <w:rsid w:val="0023072B"/>
    <w:rsid w:val="002317D9"/>
    <w:rsid w:val="002326F2"/>
    <w:rsid w:val="002331A6"/>
    <w:rsid w:val="00236578"/>
    <w:rsid w:val="00237851"/>
    <w:rsid w:val="00237F3D"/>
    <w:rsid w:val="002415CE"/>
    <w:rsid w:val="00242A82"/>
    <w:rsid w:val="00242E6C"/>
    <w:rsid w:val="00243D16"/>
    <w:rsid w:val="00244178"/>
    <w:rsid w:val="00244458"/>
    <w:rsid w:val="002451AD"/>
    <w:rsid w:val="00245C57"/>
    <w:rsid w:val="00247417"/>
    <w:rsid w:val="002474A6"/>
    <w:rsid w:val="00251B07"/>
    <w:rsid w:val="002524C6"/>
    <w:rsid w:val="002527A7"/>
    <w:rsid w:val="00252CE4"/>
    <w:rsid w:val="00253A27"/>
    <w:rsid w:val="00254C9A"/>
    <w:rsid w:val="002566C9"/>
    <w:rsid w:val="00257239"/>
    <w:rsid w:val="00262E82"/>
    <w:rsid w:val="00262F52"/>
    <w:rsid w:val="0026300A"/>
    <w:rsid w:val="00263503"/>
    <w:rsid w:val="0026423D"/>
    <w:rsid w:val="00264EA6"/>
    <w:rsid w:val="00266635"/>
    <w:rsid w:val="00267327"/>
    <w:rsid w:val="00267874"/>
    <w:rsid w:val="00267EB6"/>
    <w:rsid w:val="00270452"/>
    <w:rsid w:val="00271709"/>
    <w:rsid w:val="002717D3"/>
    <w:rsid w:val="0027201A"/>
    <w:rsid w:val="00272266"/>
    <w:rsid w:val="002727AF"/>
    <w:rsid w:val="00272FF6"/>
    <w:rsid w:val="00275800"/>
    <w:rsid w:val="002758E8"/>
    <w:rsid w:val="00276277"/>
    <w:rsid w:val="0027636D"/>
    <w:rsid w:val="00281AE8"/>
    <w:rsid w:val="00284EAA"/>
    <w:rsid w:val="00285075"/>
    <w:rsid w:val="002857EF"/>
    <w:rsid w:val="00285A5E"/>
    <w:rsid w:val="00287199"/>
    <w:rsid w:val="0028755F"/>
    <w:rsid w:val="002875C7"/>
    <w:rsid w:val="00291573"/>
    <w:rsid w:val="00294DAA"/>
    <w:rsid w:val="00294FE6"/>
    <w:rsid w:val="002956AB"/>
    <w:rsid w:val="002960EF"/>
    <w:rsid w:val="00296DE5"/>
    <w:rsid w:val="00297653"/>
    <w:rsid w:val="002A2A5E"/>
    <w:rsid w:val="002A6ED2"/>
    <w:rsid w:val="002B0B19"/>
    <w:rsid w:val="002B1963"/>
    <w:rsid w:val="002B1B15"/>
    <w:rsid w:val="002B2DB6"/>
    <w:rsid w:val="002B2EA9"/>
    <w:rsid w:val="002B309B"/>
    <w:rsid w:val="002B3D15"/>
    <w:rsid w:val="002B3DAD"/>
    <w:rsid w:val="002B496D"/>
    <w:rsid w:val="002B5167"/>
    <w:rsid w:val="002B53ED"/>
    <w:rsid w:val="002B6C6B"/>
    <w:rsid w:val="002B736C"/>
    <w:rsid w:val="002C0C62"/>
    <w:rsid w:val="002C10C6"/>
    <w:rsid w:val="002C15FA"/>
    <w:rsid w:val="002C494D"/>
    <w:rsid w:val="002C56F3"/>
    <w:rsid w:val="002C64AA"/>
    <w:rsid w:val="002D0565"/>
    <w:rsid w:val="002D1279"/>
    <w:rsid w:val="002D1529"/>
    <w:rsid w:val="002D1A43"/>
    <w:rsid w:val="002D1B3A"/>
    <w:rsid w:val="002D1BAF"/>
    <w:rsid w:val="002D36D4"/>
    <w:rsid w:val="002D4E39"/>
    <w:rsid w:val="002D5B50"/>
    <w:rsid w:val="002D5D10"/>
    <w:rsid w:val="002D6CBA"/>
    <w:rsid w:val="002E2EE5"/>
    <w:rsid w:val="002E31CF"/>
    <w:rsid w:val="002E3DB7"/>
    <w:rsid w:val="002E44CA"/>
    <w:rsid w:val="002E606E"/>
    <w:rsid w:val="002E68A5"/>
    <w:rsid w:val="002E6AE9"/>
    <w:rsid w:val="002E6E5D"/>
    <w:rsid w:val="002E6ED9"/>
    <w:rsid w:val="002E6F60"/>
    <w:rsid w:val="002E754F"/>
    <w:rsid w:val="002E7688"/>
    <w:rsid w:val="002F0C17"/>
    <w:rsid w:val="002F1C05"/>
    <w:rsid w:val="002F3055"/>
    <w:rsid w:val="002F317E"/>
    <w:rsid w:val="002F3822"/>
    <w:rsid w:val="002F497B"/>
    <w:rsid w:val="002F5215"/>
    <w:rsid w:val="002F5B4D"/>
    <w:rsid w:val="002F66BF"/>
    <w:rsid w:val="002F6AD0"/>
    <w:rsid w:val="002F7864"/>
    <w:rsid w:val="002F7EA5"/>
    <w:rsid w:val="0030320A"/>
    <w:rsid w:val="003040EE"/>
    <w:rsid w:val="003047F7"/>
    <w:rsid w:val="00304A73"/>
    <w:rsid w:val="0030667E"/>
    <w:rsid w:val="00306857"/>
    <w:rsid w:val="00310AA0"/>
    <w:rsid w:val="00311C9F"/>
    <w:rsid w:val="00311D12"/>
    <w:rsid w:val="0031290D"/>
    <w:rsid w:val="00312F19"/>
    <w:rsid w:val="00313CB2"/>
    <w:rsid w:val="00315920"/>
    <w:rsid w:val="0031596F"/>
    <w:rsid w:val="00321E85"/>
    <w:rsid w:val="00323F56"/>
    <w:rsid w:val="00325294"/>
    <w:rsid w:val="0032680B"/>
    <w:rsid w:val="00330802"/>
    <w:rsid w:val="003321F7"/>
    <w:rsid w:val="00332CA9"/>
    <w:rsid w:val="00333BF3"/>
    <w:rsid w:val="00336A0C"/>
    <w:rsid w:val="0034214B"/>
    <w:rsid w:val="00343086"/>
    <w:rsid w:val="00343FB4"/>
    <w:rsid w:val="003449B4"/>
    <w:rsid w:val="0034525B"/>
    <w:rsid w:val="00345DEC"/>
    <w:rsid w:val="00346C85"/>
    <w:rsid w:val="00346E7D"/>
    <w:rsid w:val="00351F0E"/>
    <w:rsid w:val="00353EEA"/>
    <w:rsid w:val="00355587"/>
    <w:rsid w:val="003559ED"/>
    <w:rsid w:val="00356387"/>
    <w:rsid w:val="00357088"/>
    <w:rsid w:val="00360773"/>
    <w:rsid w:val="00360A1D"/>
    <w:rsid w:val="00360C00"/>
    <w:rsid w:val="003610EB"/>
    <w:rsid w:val="00361185"/>
    <w:rsid w:val="0036168E"/>
    <w:rsid w:val="00361AAD"/>
    <w:rsid w:val="00363D8E"/>
    <w:rsid w:val="003644B0"/>
    <w:rsid w:val="0036466D"/>
    <w:rsid w:val="00366A54"/>
    <w:rsid w:val="00366D2F"/>
    <w:rsid w:val="00372187"/>
    <w:rsid w:val="00376B4C"/>
    <w:rsid w:val="00377927"/>
    <w:rsid w:val="00377E68"/>
    <w:rsid w:val="00380690"/>
    <w:rsid w:val="00380E44"/>
    <w:rsid w:val="003830F2"/>
    <w:rsid w:val="003848D8"/>
    <w:rsid w:val="0038681F"/>
    <w:rsid w:val="00386DCC"/>
    <w:rsid w:val="00390EB4"/>
    <w:rsid w:val="00391F4C"/>
    <w:rsid w:val="003921E2"/>
    <w:rsid w:val="00392357"/>
    <w:rsid w:val="00392E07"/>
    <w:rsid w:val="00393B08"/>
    <w:rsid w:val="00394A81"/>
    <w:rsid w:val="003954CB"/>
    <w:rsid w:val="00396604"/>
    <w:rsid w:val="00396A30"/>
    <w:rsid w:val="00397F57"/>
    <w:rsid w:val="003A04C0"/>
    <w:rsid w:val="003A1213"/>
    <w:rsid w:val="003A1501"/>
    <w:rsid w:val="003A2829"/>
    <w:rsid w:val="003A2885"/>
    <w:rsid w:val="003A3AA0"/>
    <w:rsid w:val="003A4892"/>
    <w:rsid w:val="003A4CEB"/>
    <w:rsid w:val="003A548E"/>
    <w:rsid w:val="003A6328"/>
    <w:rsid w:val="003A6A12"/>
    <w:rsid w:val="003A738E"/>
    <w:rsid w:val="003B0ADB"/>
    <w:rsid w:val="003B2731"/>
    <w:rsid w:val="003B3279"/>
    <w:rsid w:val="003B4465"/>
    <w:rsid w:val="003B59BC"/>
    <w:rsid w:val="003B6827"/>
    <w:rsid w:val="003C07EB"/>
    <w:rsid w:val="003C2A7C"/>
    <w:rsid w:val="003C2ACB"/>
    <w:rsid w:val="003C372B"/>
    <w:rsid w:val="003C3837"/>
    <w:rsid w:val="003C3BC6"/>
    <w:rsid w:val="003C46E5"/>
    <w:rsid w:val="003C4A32"/>
    <w:rsid w:val="003D1C81"/>
    <w:rsid w:val="003D1C9E"/>
    <w:rsid w:val="003D1FF2"/>
    <w:rsid w:val="003D2AE0"/>
    <w:rsid w:val="003D34D5"/>
    <w:rsid w:val="003D4019"/>
    <w:rsid w:val="003D6DA1"/>
    <w:rsid w:val="003E01B6"/>
    <w:rsid w:val="003E04A7"/>
    <w:rsid w:val="003E414A"/>
    <w:rsid w:val="003E45B9"/>
    <w:rsid w:val="003E5B0C"/>
    <w:rsid w:val="003E5CF1"/>
    <w:rsid w:val="003E6441"/>
    <w:rsid w:val="003E6906"/>
    <w:rsid w:val="003F0794"/>
    <w:rsid w:val="003F1359"/>
    <w:rsid w:val="003F36C5"/>
    <w:rsid w:val="003F3F74"/>
    <w:rsid w:val="003F409D"/>
    <w:rsid w:val="003F5717"/>
    <w:rsid w:val="003F6482"/>
    <w:rsid w:val="003F68AE"/>
    <w:rsid w:val="003F6C55"/>
    <w:rsid w:val="003F7B0E"/>
    <w:rsid w:val="004008CD"/>
    <w:rsid w:val="00400982"/>
    <w:rsid w:val="00400EAC"/>
    <w:rsid w:val="00403B28"/>
    <w:rsid w:val="00404C83"/>
    <w:rsid w:val="004064C2"/>
    <w:rsid w:val="00406FF4"/>
    <w:rsid w:val="00411383"/>
    <w:rsid w:val="00412133"/>
    <w:rsid w:val="00412255"/>
    <w:rsid w:val="0041234F"/>
    <w:rsid w:val="00414DB5"/>
    <w:rsid w:val="0041566C"/>
    <w:rsid w:val="00415741"/>
    <w:rsid w:val="00415BA9"/>
    <w:rsid w:val="00416D63"/>
    <w:rsid w:val="00416DE9"/>
    <w:rsid w:val="00417E97"/>
    <w:rsid w:val="004218FD"/>
    <w:rsid w:val="00422AA4"/>
    <w:rsid w:val="00424A6A"/>
    <w:rsid w:val="00424B9F"/>
    <w:rsid w:val="00426826"/>
    <w:rsid w:val="00426D9A"/>
    <w:rsid w:val="0043104B"/>
    <w:rsid w:val="0043130B"/>
    <w:rsid w:val="00432914"/>
    <w:rsid w:val="00433145"/>
    <w:rsid w:val="004333DA"/>
    <w:rsid w:val="004338DF"/>
    <w:rsid w:val="004338FD"/>
    <w:rsid w:val="004359B5"/>
    <w:rsid w:val="00435CDE"/>
    <w:rsid w:val="004375D6"/>
    <w:rsid w:val="00440CBE"/>
    <w:rsid w:val="00441AF6"/>
    <w:rsid w:val="004429A6"/>
    <w:rsid w:val="004429D8"/>
    <w:rsid w:val="0044358F"/>
    <w:rsid w:val="004435A1"/>
    <w:rsid w:val="00444F2E"/>
    <w:rsid w:val="00445A65"/>
    <w:rsid w:val="0044613F"/>
    <w:rsid w:val="004466A6"/>
    <w:rsid w:val="004508E1"/>
    <w:rsid w:val="00450B10"/>
    <w:rsid w:val="004527A2"/>
    <w:rsid w:val="00453071"/>
    <w:rsid w:val="00453DDE"/>
    <w:rsid w:val="00453F6E"/>
    <w:rsid w:val="004552E1"/>
    <w:rsid w:val="00455568"/>
    <w:rsid w:val="004562A3"/>
    <w:rsid w:val="00457445"/>
    <w:rsid w:val="00460A34"/>
    <w:rsid w:val="00460F9F"/>
    <w:rsid w:val="00464AC3"/>
    <w:rsid w:val="0046566B"/>
    <w:rsid w:val="00467181"/>
    <w:rsid w:val="00473909"/>
    <w:rsid w:val="00474F10"/>
    <w:rsid w:val="004756AE"/>
    <w:rsid w:val="00476A2C"/>
    <w:rsid w:val="00476C2B"/>
    <w:rsid w:val="004770A0"/>
    <w:rsid w:val="004772BB"/>
    <w:rsid w:val="004773A2"/>
    <w:rsid w:val="004773C2"/>
    <w:rsid w:val="004777BF"/>
    <w:rsid w:val="004806B2"/>
    <w:rsid w:val="00480855"/>
    <w:rsid w:val="00480F79"/>
    <w:rsid w:val="00481161"/>
    <w:rsid w:val="004814D3"/>
    <w:rsid w:val="00481786"/>
    <w:rsid w:val="00482C88"/>
    <w:rsid w:val="00483D1F"/>
    <w:rsid w:val="00483D7C"/>
    <w:rsid w:val="00483E0E"/>
    <w:rsid w:val="00484C02"/>
    <w:rsid w:val="0048586F"/>
    <w:rsid w:val="004863F8"/>
    <w:rsid w:val="00486A38"/>
    <w:rsid w:val="00486ED9"/>
    <w:rsid w:val="00490E5A"/>
    <w:rsid w:val="004938AC"/>
    <w:rsid w:val="004A0247"/>
    <w:rsid w:val="004A1176"/>
    <w:rsid w:val="004A1378"/>
    <w:rsid w:val="004A13A4"/>
    <w:rsid w:val="004A218C"/>
    <w:rsid w:val="004A21D1"/>
    <w:rsid w:val="004A6C13"/>
    <w:rsid w:val="004A6EFA"/>
    <w:rsid w:val="004A79C0"/>
    <w:rsid w:val="004B10EC"/>
    <w:rsid w:val="004B11C9"/>
    <w:rsid w:val="004B1723"/>
    <w:rsid w:val="004B2AD3"/>
    <w:rsid w:val="004B399A"/>
    <w:rsid w:val="004B48DB"/>
    <w:rsid w:val="004B5905"/>
    <w:rsid w:val="004B5E4C"/>
    <w:rsid w:val="004B6315"/>
    <w:rsid w:val="004C0182"/>
    <w:rsid w:val="004C04D9"/>
    <w:rsid w:val="004C18AB"/>
    <w:rsid w:val="004C18B3"/>
    <w:rsid w:val="004C1956"/>
    <w:rsid w:val="004C2545"/>
    <w:rsid w:val="004C264C"/>
    <w:rsid w:val="004C2790"/>
    <w:rsid w:val="004C2E57"/>
    <w:rsid w:val="004C35F3"/>
    <w:rsid w:val="004C4FA1"/>
    <w:rsid w:val="004C5B4A"/>
    <w:rsid w:val="004C7E30"/>
    <w:rsid w:val="004D0D60"/>
    <w:rsid w:val="004D0F18"/>
    <w:rsid w:val="004D1023"/>
    <w:rsid w:val="004D2676"/>
    <w:rsid w:val="004D2A47"/>
    <w:rsid w:val="004D42A7"/>
    <w:rsid w:val="004D6782"/>
    <w:rsid w:val="004D6FBC"/>
    <w:rsid w:val="004E0131"/>
    <w:rsid w:val="004E0F8E"/>
    <w:rsid w:val="004E2967"/>
    <w:rsid w:val="004E2DBF"/>
    <w:rsid w:val="004E3DE3"/>
    <w:rsid w:val="004E678B"/>
    <w:rsid w:val="004E6B9F"/>
    <w:rsid w:val="004E729D"/>
    <w:rsid w:val="004F02A8"/>
    <w:rsid w:val="004F1953"/>
    <w:rsid w:val="004F2BDB"/>
    <w:rsid w:val="004F344E"/>
    <w:rsid w:val="004F3C7D"/>
    <w:rsid w:val="0050057B"/>
    <w:rsid w:val="005007AA"/>
    <w:rsid w:val="00500FE8"/>
    <w:rsid w:val="0050163C"/>
    <w:rsid w:val="005027E1"/>
    <w:rsid w:val="00503291"/>
    <w:rsid w:val="005040D5"/>
    <w:rsid w:val="00506A68"/>
    <w:rsid w:val="00506DFC"/>
    <w:rsid w:val="0050735C"/>
    <w:rsid w:val="00507580"/>
    <w:rsid w:val="0051221B"/>
    <w:rsid w:val="00512AB4"/>
    <w:rsid w:val="00512C0C"/>
    <w:rsid w:val="00514393"/>
    <w:rsid w:val="00515545"/>
    <w:rsid w:val="00515993"/>
    <w:rsid w:val="00515E36"/>
    <w:rsid w:val="00516C36"/>
    <w:rsid w:val="005177DC"/>
    <w:rsid w:val="00517AE7"/>
    <w:rsid w:val="0052006E"/>
    <w:rsid w:val="005228F9"/>
    <w:rsid w:val="00524A3B"/>
    <w:rsid w:val="00524B0E"/>
    <w:rsid w:val="00526171"/>
    <w:rsid w:val="005264E6"/>
    <w:rsid w:val="0052672C"/>
    <w:rsid w:val="00526EDA"/>
    <w:rsid w:val="00527722"/>
    <w:rsid w:val="00527A29"/>
    <w:rsid w:val="00527EEF"/>
    <w:rsid w:val="0053193B"/>
    <w:rsid w:val="00532E56"/>
    <w:rsid w:val="0053325D"/>
    <w:rsid w:val="00533B01"/>
    <w:rsid w:val="00535EFB"/>
    <w:rsid w:val="00535FA6"/>
    <w:rsid w:val="00535FBC"/>
    <w:rsid w:val="00537363"/>
    <w:rsid w:val="005376F6"/>
    <w:rsid w:val="00537F80"/>
    <w:rsid w:val="00540EAB"/>
    <w:rsid w:val="00544B3D"/>
    <w:rsid w:val="00545653"/>
    <w:rsid w:val="00545AA3"/>
    <w:rsid w:val="00550E75"/>
    <w:rsid w:val="0055119A"/>
    <w:rsid w:val="005515C4"/>
    <w:rsid w:val="005516C8"/>
    <w:rsid w:val="00551A2F"/>
    <w:rsid w:val="00551F68"/>
    <w:rsid w:val="00554488"/>
    <w:rsid w:val="0055450D"/>
    <w:rsid w:val="00557DD0"/>
    <w:rsid w:val="00557EAA"/>
    <w:rsid w:val="0056095D"/>
    <w:rsid w:val="00561F02"/>
    <w:rsid w:val="005631F5"/>
    <w:rsid w:val="005634BB"/>
    <w:rsid w:val="005637C8"/>
    <w:rsid w:val="0056419F"/>
    <w:rsid w:val="00564554"/>
    <w:rsid w:val="00564695"/>
    <w:rsid w:val="005649B4"/>
    <w:rsid w:val="00565478"/>
    <w:rsid w:val="00571448"/>
    <w:rsid w:val="005720C4"/>
    <w:rsid w:val="005726A2"/>
    <w:rsid w:val="00573F1B"/>
    <w:rsid w:val="005770FE"/>
    <w:rsid w:val="005771A8"/>
    <w:rsid w:val="00577BC5"/>
    <w:rsid w:val="00580365"/>
    <w:rsid w:val="00581B2E"/>
    <w:rsid w:val="005821C2"/>
    <w:rsid w:val="0058297E"/>
    <w:rsid w:val="00582A7C"/>
    <w:rsid w:val="00583784"/>
    <w:rsid w:val="00584B22"/>
    <w:rsid w:val="00585745"/>
    <w:rsid w:val="00585B42"/>
    <w:rsid w:val="00585BC2"/>
    <w:rsid w:val="00585C70"/>
    <w:rsid w:val="005862B8"/>
    <w:rsid w:val="00590754"/>
    <w:rsid w:val="00591AFD"/>
    <w:rsid w:val="00591D57"/>
    <w:rsid w:val="005922E6"/>
    <w:rsid w:val="00592810"/>
    <w:rsid w:val="00595DC1"/>
    <w:rsid w:val="00596AB9"/>
    <w:rsid w:val="00597246"/>
    <w:rsid w:val="005A0AB2"/>
    <w:rsid w:val="005A0EC3"/>
    <w:rsid w:val="005A3059"/>
    <w:rsid w:val="005A38D2"/>
    <w:rsid w:val="005A3D65"/>
    <w:rsid w:val="005A40A6"/>
    <w:rsid w:val="005A47EE"/>
    <w:rsid w:val="005A4CD9"/>
    <w:rsid w:val="005A521F"/>
    <w:rsid w:val="005A542A"/>
    <w:rsid w:val="005A5FEC"/>
    <w:rsid w:val="005A7E6E"/>
    <w:rsid w:val="005B02A8"/>
    <w:rsid w:val="005B05FF"/>
    <w:rsid w:val="005B27D1"/>
    <w:rsid w:val="005B4455"/>
    <w:rsid w:val="005B5495"/>
    <w:rsid w:val="005B6E9D"/>
    <w:rsid w:val="005B6F2E"/>
    <w:rsid w:val="005C1CCF"/>
    <w:rsid w:val="005C2233"/>
    <w:rsid w:val="005C2FB6"/>
    <w:rsid w:val="005C3302"/>
    <w:rsid w:val="005C3FB2"/>
    <w:rsid w:val="005C4B3A"/>
    <w:rsid w:val="005C5C8C"/>
    <w:rsid w:val="005D12EA"/>
    <w:rsid w:val="005D1C5F"/>
    <w:rsid w:val="005D3D26"/>
    <w:rsid w:val="005D4808"/>
    <w:rsid w:val="005D5A29"/>
    <w:rsid w:val="005D5BA2"/>
    <w:rsid w:val="005D7493"/>
    <w:rsid w:val="005D7B27"/>
    <w:rsid w:val="005D7B95"/>
    <w:rsid w:val="005D7FD0"/>
    <w:rsid w:val="005E1F37"/>
    <w:rsid w:val="005E4080"/>
    <w:rsid w:val="005E43B0"/>
    <w:rsid w:val="005E4F1E"/>
    <w:rsid w:val="005E5BAA"/>
    <w:rsid w:val="005E616E"/>
    <w:rsid w:val="005F1326"/>
    <w:rsid w:val="005F14F4"/>
    <w:rsid w:val="005F171C"/>
    <w:rsid w:val="005F1A9E"/>
    <w:rsid w:val="005F27B2"/>
    <w:rsid w:val="005F2B09"/>
    <w:rsid w:val="005F3FEB"/>
    <w:rsid w:val="005F45DF"/>
    <w:rsid w:val="005F5462"/>
    <w:rsid w:val="00600DE1"/>
    <w:rsid w:val="00601BEC"/>
    <w:rsid w:val="0060220C"/>
    <w:rsid w:val="00602D1E"/>
    <w:rsid w:val="00603710"/>
    <w:rsid w:val="006039E1"/>
    <w:rsid w:val="00603B40"/>
    <w:rsid w:val="00603E97"/>
    <w:rsid w:val="006043A7"/>
    <w:rsid w:val="00605528"/>
    <w:rsid w:val="0060786F"/>
    <w:rsid w:val="00607B90"/>
    <w:rsid w:val="00607C5E"/>
    <w:rsid w:val="00610780"/>
    <w:rsid w:val="00610B62"/>
    <w:rsid w:val="006150AB"/>
    <w:rsid w:val="00615A9D"/>
    <w:rsid w:val="00616169"/>
    <w:rsid w:val="00616836"/>
    <w:rsid w:val="00620F12"/>
    <w:rsid w:val="0062136C"/>
    <w:rsid w:val="0062176A"/>
    <w:rsid w:val="00621A64"/>
    <w:rsid w:val="00622AF0"/>
    <w:rsid w:val="00623666"/>
    <w:rsid w:val="0062528E"/>
    <w:rsid w:val="00625C94"/>
    <w:rsid w:val="00625DD3"/>
    <w:rsid w:val="006261EF"/>
    <w:rsid w:val="00626CD3"/>
    <w:rsid w:val="00626F0C"/>
    <w:rsid w:val="00630210"/>
    <w:rsid w:val="006305E9"/>
    <w:rsid w:val="00631330"/>
    <w:rsid w:val="00631F1E"/>
    <w:rsid w:val="0063231F"/>
    <w:rsid w:val="00634983"/>
    <w:rsid w:val="00635638"/>
    <w:rsid w:val="00637407"/>
    <w:rsid w:val="00637F88"/>
    <w:rsid w:val="0064038A"/>
    <w:rsid w:val="00643388"/>
    <w:rsid w:val="0064548C"/>
    <w:rsid w:val="00645EB4"/>
    <w:rsid w:val="00647D90"/>
    <w:rsid w:val="006501D9"/>
    <w:rsid w:val="00651916"/>
    <w:rsid w:val="0065303C"/>
    <w:rsid w:val="00653EC0"/>
    <w:rsid w:val="00654209"/>
    <w:rsid w:val="00657A79"/>
    <w:rsid w:val="0066063B"/>
    <w:rsid w:val="0066198D"/>
    <w:rsid w:val="00662224"/>
    <w:rsid w:val="00662610"/>
    <w:rsid w:val="0066318A"/>
    <w:rsid w:val="006634AA"/>
    <w:rsid w:val="00664E01"/>
    <w:rsid w:val="0066577E"/>
    <w:rsid w:val="00665D73"/>
    <w:rsid w:val="00666C07"/>
    <w:rsid w:val="0067167D"/>
    <w:rsid w:val="00676B30"/>
    <w:rsid w:val="006771CD"/>
    <w:rsid w:val="00680323"/>
    <w:rsid w:val="00682F62"/>
    <w:rsid w:val="0068313C"/>
    <w:rsid w:val="00683455"/>
    <w:rsid w:val="006845FC"/>
    <w:rsid w:val="00684717"/>
    <w:rsid w:val="00685F03"/>
    <w:rsid w:val="00686062"/>
    <w:rsid w:val="006861D1"/>
    <w:rsid w:val="006868D7"/>
    <w:rsid w:val="00693068"/>
    <w:rsid w:val="00693BD6"/>
    <w:rsid w:val="0069483C"/>
    <w:rsid w:val="00694AB7"/>
    <w:rsid w:val="00694BD4"/>
    <w:rsid w:val="00695238"/>
    <w:rsid w:val="00696A59"/>
    <w:rsid w:val="006A0C15"/>
    <w:rsid w:val="006A2E3A"/>
    <w:rsid w:val="006A35AA"/>
    <w:rsid w:val="006A42F9"/>
    <w:rsid w:val="006A587A"/>
    <w:rsid w:val="006A5ECD"/>
    <w:rsid w:val="006A7262"/>
    <w:rsid w:val="006A7DA4"/>
    <w:rsid w:val="006A7DED"/>
    <w:rsid w:val="006B04B4"/>
    <w:rsid w:val="006B0D69"/>
    <w:rsid w:val="006B23D3"/>
    <w:rsid w:val="006B388A"/>
    <w:rsid w:val="006B3F51"/>
    <w:rsid w:val="006B454F"/>
    <w:rsid w:val="006B4D2A"/>
    <w:rsid w:val="006B5861"/>
    <w:rsid w:val="006B5D48"/>
    <w:rsid w:val="006B7330"/>
    <w:rsid w:val="006B756C"/>
    <w:rsid w:val="006B79A4"/>
    <w:rsid w:val="006C0673"/>
    <w:rsid w:val="006C0F02"/>
    <w:rsid w:val="006C161D"/>
    <w:rsid w:val="006C257D"/>
    <w:rsid w:val="006C2D49"/>
    <w:rsid w:val="006C3377"/>
    <w:rsid w:val="006C3454"/>
    <w:rsid w:val="006C4607"/>
    <w:rsid w:val="006C4713"/>
    <w:rsid w:val="006C4BAF"/>
    <w:rsid w:val="006C4E7A"/>
    <w:rsid w:val="006C65EE"/>
    <w:rsid w:val="006C675D"/>
    <w:rsid w:val="006C6B2C"/>
    <w:rsid w:val="006D070C"/>
    <w:rsid w:val="006D1CDC"/>
    <w:rsid w:val="006D26EE"/>
    <w:rsid w:val="006D44E8"/>
    <w:rsid w:val="006D50BA"/>
    <w:rsid w:val="006D5FC8"/>
    <w:rsid w:val="006D63A7"/>
    <w:rsid w:val="006D7A47"/>
    <w:rsid w:val="006D7C07"/>
    <w:rsid w:val="006E02B9"/>
    <w:rsid w:val="006E07BC"/>
    <w:rsid w:val="006E41F7"/>
    <w:rsid w:val="006E63D0"/>
    <w:rsid w:val="006E6B41"/>
    <w:rsid w:val="006E6E9C"/>
    <w:rsid w:val="006F064A"/>
    <w:rsid w:val="006F16A8"/>
    <w:rsid w:val="006F2C81"/>
    <w:rsid w:val="006F48BE"/>
    <w:rsid w:val="006F5104"/>
    <w:rsid w:val="006F5643"/>
    <w:rsid w:val="006F582E"/>
    <w:rsid w:val="006F59CE"/>
    <w:rsid w:val="006F6109"/>
    <w:rsid w:val="006F7DCB"/>
    <w:rsid w:val="006F7ED4"/>
    <w:rsid w:val="00700B76"/>
    <w:rsid w:val="00702764"/>
    <w:rsid w:val="00703B51"/>
    <w:rsid w:val="0070558F"/>
    <w:rsid w:val="007067ED"/>
    <w:rsid w:val="0070731A"/>
    <w:rsid w:val="007076EF"/>
    <w:rsid w:val="007079CE"/>
    <w:rsid w:val="00707DD0"/>
    <w:rsid w:val="0071099F"/>
    <w:rsid w:val="0071109B"/>
    <w:rsid w:val="00711600"/>
    <w:rsid w:val="00712FF0"/>
    <w:rsid w:val="00714631"/>
    <w:rsid w:val="007167B0"/>
    <w:rsid w:val="00720067"/>
    <w:rsid w:val="00721837"/>
    <w:rsid w:val="00722095"/>
    <w:rsid w:val="00722773"/>
    <w:rsid w:val="00724961"/>
    <w:rsid w:val="0072722B"/>
    <w:rsid w:val="007317F6"/>
    <w:rsid w:val="007318CA"/>
    <w:rsid w:val="00732232"/>
    <w:rsid w:val="00732390"/>
    <w:rsid w:val="00732D14"/>
    <w:rsid w:val="00733446"/>
    <w:rsid w:val="00733CE2"/>
    <w:rsid w:val="00734600"/>
    <w:rsid w:val="007347E2"/>
    <w:rsid w:val="0073511A"/>
    <w:rsid w:val="00740551"/>
    <w:rsid w:val="00741D5F"/>
    <w:rsid w:val="00743459"/>
    <w:rsid w:val="00743627"/>
    <w:rsid w:val="00743E06"/>
    <w:rsid w:val="00744470"/>
    <w:rsid w:val="007445CA"/>
    <w:rsid w:val="00744675"/>
    <w:rsid w:val="007447ED"/>
    <w:rsid w:val="007450B1"/>
    <w:rsid w:val="00745232"/>
    <w:rsid w:val="0074569F"/>
    <w:rsid w:val="0075014A"/>
    <w:rsid w:val="00752DBA"/>
    <w:rsid w:val="00753CC7"/>
    <w:rsid w:val="00754077"/>
    <w:rsid w:val="00755CEE"/>
    <w:rsid w:val="0075693F"/>
    <w:rsid w:val="00760454"/>
    <w:rsid w:val="00760699"/>
    <w:rsid w:val="00760CB8"/>
    <w:rsid w:val="00761245"/>
    <w:rsid w:val="00761E99"/>
    <w:rsid w:val="00762BF9"/>
    <w:rsid w:val="007636FD"/>
    <w:rsid w:val="007639BA"/>
    <w:rsid w:val="0076402F"/>
    <w:rsid w:val="00764D41"/>
    <w:rsid w:val="00765105"/>
    <w:rsid w:val="007657C3"/>
    <w:rsid w:val="007664EE"/>
    <w:rsid w:val="00766652"/>
    <w:rsid w:val="0076728B"/>
    <w:rsid w:val="007707D4"/>
    <w:rsid w:val="00770DEF"/>
    <w:rsid w:val="0077208B"/>
    <w:rsid w:val="00772379"/>
    <w:rsid w:val="00772B1C"/>
    <w:rsid w:val="0077320C"/>
    <w:rsid w:val="007733D1"/>
    <w:rsid w:val="0077456B"/>
    <w:rsid w:val="007745B6"/>
    <w:rsid w:val="007756B3"/>
    <w:rsid w:val="00776921"/>
    <w:rsid w:val="00776CB3"/>
    <w:rsid w:val="0078077E"/>
    <w:rsid w:val="007808FE"/>
    <w:rsid w:val="00781044"/>
    <w:rsid w:val="007843FC"/>
    <w:rsid w:val="007849B6"/>
    <w:rsid w:val="00784A8F"/>
    <w:rsid w:val="00784D61"/>
    <w:rsid w:val="00785764"/>
    <w:rsid w:val="00786B58"/>
    <w:rsid w:val="007905C5"/>
    <w:rsid w:val="0079109E"/>
    <w:rsid w:val="00791B0E"/>
    <w:rsid w:val="007929AD"/>
    <w:rsid w:val="007954DC"/>
    <w:rsid w:val="00796103"/>
    <w:rsid w:val="0079658F"/>
    <w:rsid w:val="00796E80"/>
    <w:rsid w:val="007971C9"/>
    <w:rsid w:val="00797762"/>
    <w:rsid w:val="00797825"/>
    <w:rsid w:val="007A1DE8"/>
    <w:rsid w:val="007A2249"/>
    <w:rsid w:val="007A3234"/>
    <w:rsid w:val="007A38A3"/>
    <w:rsid w:val="007A3F8A"/>
    <w:rsid w:val="007A654D"/>
    <w:rsid w:val="007A66C1"/>
    <w:rsid w:val="007A7337"/>
    <w:rsid w:val="007A7A8D"/>
    <w:rsid w:val="007A7E39"/>
    <w:rsid w:val="007B07C8"/>
    <w:rsid w:val="007B0B7C"/>
    <w:rsid w:val="007B172E"/>
    <w:rsid w:val="007B1869"/>
    <w:rsid w:val="007B23D3"/>
    <w:rsid w:val="007B2CDA"/>
    <w:rsid w:val="007B3B96"/>
    <w:rsid w:val="007B3E18"/>
    <w:rsid w:val="007B54E4"/>
    <w:rsid w:val="007C06CD"/>
    <w:rsid w:val="007C0EF2"/>
    <w:rsid w:val="007C2CCD"/>
    <w:rsid w:val="007C3FC5"/>
    <w:rsid w:val="007C503A"/>
    <w:rsid w:val="007C5B9C"/>
    <w:rsid w:val="007C61AE"/>
    <w:rsid w:val="007C6E0A"/>
    <w:rsid w:val="007D01E8"/>
    <w:rsid w:val="007D03B8"/>
    <w:rsid w:val="007D10A4"/>
    <w:rsid w:val="007D22B4"/>
    <w:rsid w:val="007D25F5"/>
    <w:rsid w:val="007D29DC"/>
    <w:rsid w:val="007D3879"/>
    <w:rsid w:val="007D4804"/>
    <w:rsid w:val="007D5C50"/>
    <w:rsid w:val="007D6AFD"/>
    <w:rsid w:val="007D729E"/>
    <w:rsid w:val="007E0271"/>
    <w:rsid w:val="007E06E5"/>
    <w:rsid w:val="007E0F18"/>
    <w:rsid w:val="007E1091"/>
    <w:rsid w:val="007E26B9"/>
    <w:rsid w:val="007E3B87"/>
    <w:rsid w:val="007E402D"/>
    <w:rsid w:val="007E4598"/>
    <w:rsid w:val="007E5FB3"/>
    <w:rsid w:val="007E5FB7"/>
    <w:rsid w:val="007F0C43"/>
    <w:rsid w:val="007F1132"/>
    <w:rsid w:val="007F2601"/>
    <w:rsid w:val="007F4019"/>
    <w:rsid w:val="007F42EC"/>
    <w:rsid w:val="007F4891"/>
    <w:rsid w:val="007F61E7"/>
    <w:rsid w:val="007F7C47"/>
    <w:rsid w:val="0080068E"/>
    <w:rsid w:val="008006E5"/>
    <w:rsid w:val="00800944"/>
    <w:rsid w:val="00801038"/>
    <w:rsid w:val="00803C65"/>
    <w:rsid w:val="00803F37"/>
    <w:rsid w:val="008043AB"/>
    <w:rsid w:val="008045F3"/>
    <w:rsid w:val="008049CB"/>
    <w:rsid w:val="00805270"/>
    <w:rsid w:val="0080557A"/>
    <w:rsid w:val="00806D92"/>
    <w:rsid w:val="00807E8C"/>
    <w:rsid w:val="00811079"/>
    <w:rsid w:val="00813011"/>
    <w:rsid w:val="0081376C"/>
    <w:rsid w:val="00813CEA"/>
    <w:rsid w:val="00814421"/>
    <w:rsid w:val="00815DA1"/>
    <w:rsid w:val="00816861"/>
    <w:rsid w:val="0081784E"/>
    <w:rsid w:val="00817A48"/>
    <w:rsid w:val="0082027C"/>
    <w:rsid w:val="0082327B"/>
    <w:rsid w:val="00823613"/>
    <w:rsid w:val="00824D73"/>
    <w:rsid w:val="00824E90"/>
    <w:rsid w:val="00824EDB"/>
    <w:rsid w:val="008271AD"/>
    <w:rsid w:val="00827AF5"/>
    <w:rsid w:val="008310AC"/>
    <w:rsid w:val="00831175"/>
    <w:rsid w:val="00832DD3"/>
    <w:rsid w:val="0083453B"/>
    <w:rsid w:val="008402F7"/>
    <w:rsid w:val="0084321D"/>
    <w:rsid w:val="00844766"/>
    <w:rsid w:val="00846FEF"/>
    <w:rsid w:val="00850C29"/>
    <w:rsid w:val="00852885"/>
    <w:rsid w:val="00853A14"/>
    <w:rsid w:val="00855689"/>
    <w:rsid w:val="00856C6B"/>
    <w:rsid w:val="00857381"/>
    <w:rsid w:val="008573BE"/>
    <w:rsid w:val="00860CDB"/>
    <w:rsid w:val="0086170F"/>
    <w:rsid w:val="0086270B"/>
    <w:rsid w:val="008630E5"/>
    <w:rsid w:val="00863E5B"/>
    <w:rsid w:val="00864027"/>
    <w:rsid w:val="00865581"/>
    <w:rsid w:val="00866361"/>
    <w:rsid w:val="0087050A"/>
    <w:rsid w:val="00873D6D"/>
    <w:rsid w:val="00874441"/>
    <w:rsid w:val="00874467"/>
    <w:rsid w:val="008747FD"/>
    <w:rsid w:val="008773BA"/>
    <w:rsid w:val="00880E7C"/>
    <w:rsid w:val="00881596"/>
    <w:rsid w:val="008829EC"/>
    <w:rsid w:val="00884340"/>
    <w:rsid w:val="0088493B"/>
    <w:rsid w:val="008865BC"/>
    <w:rsid w:val="00886A3E"/>
    <w:rsid w:val="008873B2"/>
    <w:rsid w:val="008875D0"/>
    <w:rsid w:val="00887AA9"/>
    <w:rsid w:val="008913C3"/>
    <w:rsid w:val="0089159F"/>
    <w:rsid w:val="008915A3"/>
    <w:rsid w:val="00891DF8"/>
    <w:rsid w:val="00893253"/>
    <w:rsid w:val="008937B5"/>
    <w:rsid w:val="00893BE7"/>
    <w:rsid w:val="00895710"/>
    <w:rsid w:val="00895FA8"/>
    <w:rsid w:val="0089609F"/>
    <w:rsid w:val="0089657A"/>
    <w:rsid w:val="0089693D"/>
    <w:rsid w:val="008970F2"/>
    <w:rsid w:val="008A2E1D"/>
    <w:rsid w:val="008A2EC7"/>
    <w:rsid w:val="008A32B7"/>
    <w:rsid w:val="008A4B2D"/>
    <w:rsid w:val="008A4C1F"/>
    <w:rsid w:val="008A4D9A"/>
    <w:rsid w:val="008A549A"/>
    <w:rsid w:val="008A659F"/>
    <w:rsid w:val="008A6941"/>
    <w:rsid w:val="008A7722"/>
    <w:rsid w:val="008B0201"/>
    <w:rsid w:val="008B1134"/>
    <w:rsid w:val="008B21A5"/>
    <w:rsid w:val="008B2856"/>
    <w:rsid w:val="008B38C7"/>
    <w:rsid w:val="008B40A4"/>
    <w:rsid w:val="008B5D12"/>
    <w:rsid w:val="008B627A"/>
    <w:rsid w:val="008B635F"/>
    <w:rsid w:val="008B63CE"/>
    <w:rsid w:val="008C060D"/>
    <w:rsid w:val="008C13EC"/>
    <w:rsid w:val="008C1CD3"/>
    <w:rsid w:val="008C1DDC"/>
    <w:rsid w:val="008C1E30"/>
    <w:rsid w:val="008C3E28"/>
    <w:rsid w:val="008C474B"/>
    <w:rsid w:val="008C58E5"/>
    <w:rsid w:val="008C5C1B"/>
    <w:rsid w:val="008C5D35"/>
    <w:rsid w:val="008C5EAD"/>
    <w:rsid w:val="008C6003"/>
    <w:rsid w:val="008C6274"/>
    <w:rsid w:val="008C687E"/>
    <w:rsid w:val="008D08BA"/>
    <w:rsid w:val="008D0D03"/>
    <w:rsid w:val="008D0DD3"/>
    <w:rsid w:val="008D23A5"/>
    <w:rsid w:val="008D33DF"/>
    <w:rsid w:val="008D3E80"/>
    <w:rsid w:val="008D468F"/>
    <w:rsid w:val="008D5DD7"/>
    <w:rsid w:val="008D627A"/>
    <w:rsid w:val="008D64B6"/>
    <w:rsid w:val="008D76F3"/>
    <w:rsid w:val="008D7910"/>
    <w:rsid w:val="008E0598"/>
    <w:rsid w:val="008E1001"/>
    <w:rsid w:val="008E1220"/>
    <w:rsid w:val="008E2BB7"/>
    <w:rsid w:val="008E3FA4"/>
    <w:rsid w:val="008E63B3"/>
    <w:rsid w:val="008E7DDD"/>
    <w:rsid w:val="008F0025"/>
    <w:rsid w:val="008F03F6"/>
    <w:rsid w:val="008F1B2F"/>
    <w:rsid w:val="008F21AA"/>
    <w:rsid w:val="008F23FC"/>
    <w:rsid w:val="008F343B"/>
    <w:rsid w:val="008F5928"/>
    <w:rsid w:val="008F63D4"/>
    <w:rsid w:val="008F6480"/>
    <w:rsid w:val="008F6553"/>
    <w:rsid w:val="008F7818"/>
    <w:rsid w:val="008F7D88"/>
    <w:rsid w:val="009000A1"/>
    <w:rsid w:val="00900146"/>
    <w:rsid w:val="009013EF"/>
    <w:rsid w:val="00901830"/>
    <w:rsid w:val="00902345"/>
    <w:rsid w:val="00902FA8"/>
    <w:rsid w:val="0090313C"/>
    <w:rsid w:val="009057DB"/>
    <w:rsid w:val="00905E97"/>
    <w:rsid w:val="009060C4"/>
    <w:rsid w:val="00906815"/>
    <w:rsid w:val="009105EB"/>
    <w:rsid w:val="00910B4B"/>
    <w:rsid w:val="0091288A"/>
    <w:rsid w:val="0091442D"/>
    <w:rsid w:val="009146DE"/>
    <w:rsid w:val="00915392"/>
    <w:rsid w:val="00915632"/>
    <w:rsid w:val="00915A68"/>
    <w:rsid w:val="00915B3B"/>
    <w:rsid w:val="00917352"/>
    <w:rsid w:val="00921481"/>
    <w:rsid w:val="00922556"/>
    <w:rsid w:val="009225BE"/>
    <w:rsid w:val="0092453F"/>
    <w:rsid w:val="0092458D"/>
    <w:rsid w:val="00924DB7"/>
    <w:rsid w:val="00926AF7"/>
    <w:rsid w:val="00931680"/>
    <w:rsid w:val="00931C1B"/>
    <w:rsid w:val="009342B2"/>
    <w:rsid w:val="009361D9"/>
    <w:rsid w:val="00937518"/>
    <w:rsid w:val="00941F16"/>
    <w:rsid w:val="00942B01"/>
    <w:rsid w:val="00943523"/>
    <w:rsid w:val="00943E4E"/>
    <w:rsid w:val="0094504C"/>
    <w:rsid w:val="0094546C"/>
    <w:rsid w:val="00945C53"/>
    <w:rsid w:val="00947CE5"/>
    <w:rsid w:val="00950B3D"/>
    <w:rsid w:val="00951B7D"/>
    <w:rsid w:val="00952B77"/>
    <w:rsid w:val="00953D52"/>
    <w:rsid w:val="00954C00"/>
    <w:rsid w:val="00956889"/>
    <w:rsid w:val="00957518"/>
    <w:rsid w:val="00957770"/>
    <w:rsid w:val="0096096A"/>
    <w:rsid w:val="00960E39"/>
    <w:rsid w:val="0096157F"/>
    <w:rsid w:val="00961C54"/>
    <w:rsid w:val="0096225B"/>
    <w:rsid w:val="0096272C"/>
    <w:rsid w:val="00962F7D"/>
    <w:rsid w:val="00964489"/>
    <w:rsid w:val="00964520"/>
    <w:rsid w:val="00965775"/>
    <w:rsid w:val="009658E0"/>
    <w:rsid w:val="0096676D"/>
    <w:rsid w:val="00966A5D"/>
    <w:rsid w:val="009678F9"/>
    <w:rsid w:val="00971D99"/>
    <w:rsid w:val="00971F06"/>
    <w:rsid w:val="009725E0"/>
    <w:rsid w:val="00972F77"/>
    <w:rsid w:val="009744F1"/>
    <w:rsid w:val="0097471D"/>
    <w:rsid w:val="009747DC"/>
    <w:rsid w:val="009764B8"/>
    <w:rsid w:val="00977C54"/>
    <w:rsid w:val="00977D3E"/>
    <w:rsid w:val="00980856"/>
    <w:rsid w:val="00980EB1"/>
    <w:rsid w:val="00981F91"/>
    <w:rsid w:val="00982405"/>
    <w:rsid w:val="00982691"/>
    <w:rsid w:val="0098290B"/>
    <w:rsid w:val="00982AF7"/>
    <w:rsid w:val="00982D5D"/>
    <w:rsid w:val="00984AB4"/>
    <w:rsid w:val="0099117C"/>
    <w:rsid w:val="009912F7"/>
    <w:rsid w:val="00991C57"/>
    <w:rsid w:val="00991F5E"/>
    <w:rsid w:val="00991FD0"/>
    <w:rsid w:val="00992352"/>
    <w:rsid w:val="00992A7F"/>
    <w:rsid w:val="0099304B"/>
    <w:rsid w:val="00995CE1"/>
    <w:rsid w:val="009967D5"/>
    <w:rsid w:val="00996BD1"/>
    <w:rsid w:val="0099730D"/>
    <w:rsid w:val="00997620"/>
    <w:rsid w:val="009A1013"/>
    <w:rsid w:val="009A1D7A"/>
    <w:rsid w:val="009A2FFF"/>
    <w:rsid w:val="009A3B4C"/>
    <w:rsid w:val="009A477E"/>
    <w:rsid w:val="009A64CD"/>
    <w:rsid w:val="009A7DEC"/>
    <w:rsid w:val="009B0864"/>
    <w:rsid w:val="009B0C3B"/>
    <w:rsid w:val="009B1000"/>
    <w:rsid w:val="009B30B8"/>
    <w:rsid w:val="009B401D"/>
    <w:rsid w:val="009B453C"/>
    <w:rsid w:val="009B589B"/>
    <w:rsid w:val="009B6543"/>
    <w:rsid w:val="009C0532"/>
    <w:rsid w:val="009C0C8B"/>
    <w:rsid w:val="009C3051"/>
    <w:rsid w:val="009C50DD"/>
    <w:rsid w:val="009C72E0"/>
    <w:rsid w:val="009C7ED9"/>
    <w:rsid w:val="009D0E19"/>
    <w:rsid w:val="009D1F47"/>
    <w:rsid w:val="009D3374"/>
    <w:rsid w:val="009D3866"/>
    <w:rsid w:val="009D46A6"/>
    <w:rsid w:val="009D472F"/>
    <w:rsid w:val="009D4A1D"/>
    <w:rsid w:val="009D5094"/>
    <w:rsid w:val="009D5280"/>
    <w:rsid w:val="009D5835"/>
    <w:rsid w:val="009D7429"/>
    <w:rsid w:val="009D792F"/>
    <w:rsid w:val="009E0B11"/>
    <w:rsid w:val="009E225B"/>
    <w:rsid w:val="009E3B71"/>
    <w:rsid w:val="009E3E2E"/>
    <w:rsid w:val="009E3ED6"/>
    <w:rsid w:val="009E5531"/>
    <w:rsid w:val="009E580C"/>
    <w:rsid w:val="009E5A1D"/>
    <w:rsid w:val="009E66DF"/>
    <w:rsid w:val="009E73D9"/>
    <w:rsid w:val="009E7842"/>
    <w:rsid w:val="009F053C"/>
    <w:rsid w:val="009F0A39"/>
    <w:rsid w:val="009F0C76"/>
    <w:rsid w:val="009F19A2"/>
    <w:rsid w:val="009F2CCB"/>
    <w:rsid w:val="009F30F7"/>
    <w:rsid w:val="009F411A"/>
    <w:rsid w:val="009F4215"/>
    <w:rsid w:val="009F44C7"/>
    <w:rsid w:val="009F5CBE"/>
    <w:rsid w:val="009F5E9A"/>
    <w:rsid w:val="009F6BF1"/>
    <w:rsid w:val="009F6DA3"/>
    <w:rsid w:val="009F77B9"/>
    <w:rsid w:val="00A00F7A"/>
    <w:rsid w:val="00A011FA"/>
    <w:rsid w:val="00A04A11"/>
    <w:rsid w:val="00A04B93"/>
    <w:rsid w:val="00A050AB"/>
    <w:rsid w:val="00A10D51"/>
    <w:rsid w:val="00A10D8C"/>
    <w:rsid w:val="00A11342"/>
    <w:rsid w:val="00A1160D"/>
    <w:rsid w:val="00A1225B"/>
    <w:rsid w:val="00A14AA0"/>
    <w:rsid w:val="00A1559E"/>
    <w:rsid w:val="00A15B29"/>
    <w:rsid w:val="00A15BF0"/>
    <w:rsid w:val="00A21F33"/>
    <w:rsid w:val="00A237A6"/>
    <w:rsid w:val="00A25FFA"/>
    <w:rsid w:val="00A309D6"/>
    <w:rsid w:val="00A3168B"/>
    <w:rsid w:val="00A340F9"/>
    <w:rsid w:val="00A34909"/>
    <w:rsid w:val="00A34A27"/>
    <w:rsid w:val="00A3623C"/>
    <w:rsid w:val="00A36BC9"/>
    <w:rsid w:val="00A40DA3"/>
    <w:rsid w:val="00A411D7"/>
    <w:rsid w:val="00A42716"/>
    <w:rsid w:val="00A429BE"/>
    <w:rsid w:val="00A42EAD"/>
    <w:rsid w:val="00A44370"/>
    <w:rsid w:val="00A44FB3"/>
    <w:rsid w:val="00A454E8"/>
    <w:rsid w:val="00A45581"/>
    <w:rsid w:val="00A46C7D"/>
    <w:rsid w:val="00A46DED"/>
    <w:rsid w:val="00A50AAA"/>
    <w:rsid w:val="00A51579"/>
    <w:rsid w:val="00A52362"/>
    <w:rsid w:val="00A551DC"/>
    <w:rsid w:val="00A555D8"/>
    <w:rsid w:val="00A570AF"/>
    <w:rsid w:val="00A61DEE"/>
    <w:rsid w:val="00A623A8"/>
    <w:rsid w:val="00A62EF6"/>
    <w:rsid w:val="00A639AF"/>
    <w:rsid w:val="00A64CF8"/>
    <w:rsid w:val="00A666E0"/>
    <w:rsid w:val="00A66E8F"/>
    <w:rsid w:val="00A67851"/>
    <w:rsid w:val="00A70C63"/>
    <w:rsid w:val="00A723E1"/>
    <w:rsid w:val="00A729F9"/>
    <w:rsid w:val="00A72A0D"/>
    <w:rsid w:val="00A72B51"/>
    <w:rsid w:val="00A72F65"/>
    <w:rsid w:val="00A732CB"/>
    <w:rsid w:val="00A734EC"/>
    <w:rsid w:val="00A7361B"/>
    <w:rsid w:val="00A73EC0"/>
    <w:rsid w:val="00A74F83"/>
    <w:rsid w:val="00A75A26"/>
    <w:rsid w:val="00A76AE8"/>
    <w:rsid w:val="00A76B08"/>
    <w:rsid w:val="00A76C53"/>
    <w:rsid w:val="00A80A91"/>
    <w:rsid w:val="00A8126E"/>
    <w:rsid w:val="00A8135F"/>
    <w:rsid w:val="00A81AC9"/>
    <w:rsid w:val="00A81E9C"/>
    <w:rsid w:val="00A826FA"/>
    <w:rsid w:val="00A84764"/>
    <w:rsid w:val="00A86BD3"/>
    <w:rsid w:val="00A875D8"/>
    <w:rsid w:val="00A905AA"/>
    <w:rsid w:val="00A90B54"/>
    <w:rsid w:val="00A90C05"/>
    <w:rsid w:val="00A90F23"/>
    <w:rsid w:val="00A920FA"/>
    <w:rsid w:val="00A926DA"/>
    <w:rsid w:val="00A93471"/>
    <w:rsid w:val="00A949D5"/>
    <w:rsid w:val="00A9547A"/>
    <w:rsid w:val="00A9692B"/>
    <w:rsid w:val="00A96D35"/>
    <w:rsid w:val="00A97191"/>
    <w:rsid w:val="00A97DB3"/>
    <w:rsid w:val="00AA03A7"/>
    <w:rsid w:val="00AA33D5"/>
    <w:rsid w:val="00AA4956"/>
    <w:rsid w:val="00AA6717"/>
    <w:rsid w:val="00AA6A39"/>
    <w:rsid w:val="00AA6B9D"/>
    <w:rsid w:val="00AA6C7C"/>
    <w:rsid w:val="00AA71E3"/>
    <w:rsid w:val="00AA7D89"/>
    <w:rsid w:val="00AA7FBB"/>
    <w:rsid w:val="00AB0A47"/>
    <w:rsid w:val="00AB0F4B"/>
    <w:rsid w:val="00AB153C"/>
    <w:rsid w:val="00AB24FB"/>
    <w:rsid w:val="00AB2609"/>
    <w:rsid w:val="00AB4252"/>
    <w:rsid w:val="00AB47E1"/>
    <w:rsid w:val="00AB4FDE"/>
    <w:rsid w:val="00AB614D"/>
    <w:rsid w:val="00AB6BC8"/>
    <w:rsid w:val="00AB77CE"/>
    <w:rsid w:val="00AC0174"/>
    <w:rsid w:val="00AC2141"/>
    <w:rsid w:val="00AC2F49"/>
    <w:rsid w:val="00AC3AC7"/>
    <w:rsid w:val="00AC4315"/>
    <w:rsid w:val="00AC4D34"/>
    <w:rsid w:val="00AC5C0F"/>
    <w:rsid w:val="00AC5D1C"/>
    <w:rsid w:val="00AD03BD"/>
    <w:rsid w:val="00AD03C3"/>
    <w:rsid w:val="00AD2854"/>
    <w:rsid w:val="00AD2B13"/>
    <w:rsid w:val="00AD487C"/>
    <w:rsid w:val="00AD53BB"/>
    <w:rsid w:val="00AD72CA"/>
    <w:rsid w:val="00AD798A"/>
    <w:rsid w:val="00AE0E05"/>
    <w:rsid w:val="00AE1DF5"/>
    <w:rsid w:val="00AE2CB9"/>
    <w:rsid w:val="00AE38D6"/>
    <w:rsid w:val="00AE4748"/>
    <w:rsid w:val="00AE4EEF"/>
    <w:rsid w:val="00AE51D1"/>
    <w:rsid w:val="00AE6C6C"/>
    <w:rsid w:val="00AF238B"/>
    <w:rsid w:val="00AF3706"/>
    <w:rsid w:val="00AF3CE8"/>
    <w:rsid w:val="00AF462A"/>
    <w:rsid w:val="00AF4D4E"/>
    <w:rsid w:val="00AF5B8A"/>
    <w:rsid w:val="00AF6528"/>
    <w:rsid w:val="00AF7995"/>
    <w:rsid w:val="00B00C6B"/>
    <w:rsid w:val="00B00F55"/>
    <w:rsid w:val="00B018B9"/>
    <w:rsid w:val="00B01C1E"/>
    <w:rsid w:val="00B01F6F"/>
    <w:rsid w:val="00B02313"/>
    <w:rsid w:val="00B030A0"/>
    <w:rsid w:val="00B03C1C"/>
    <w:rsid w:val="00B04F1C"/>
    <w:rsid w:val="00B05A09"/>
    <w:rsid w:val="00B06132"/>
    <w:rsid w:val="00B06C5A"/>
    <w:rsid w:val="00B06D75"/>
    <w:rsid w:val="00B073C6"/>
    <w:rsid w:val="00B07A79"/>
    <w:rsid w:val="00B10489"/>
    <w:rsid w:val="00B117F5"/>
    <w:rsid w:val="00B125ED"/>
    <w:rsid w:val="00B1280B"/>
    <w:rsid w:val="00B12B00"/>
    <w:rsid w:val="00B13030"/>
    <w:rsid w:val="00B1309C"/>
    <w:rsid w:val="00B149EF"/>
    <w:rsid w:val="00B15F5E"/>
    <w:rsid w:val="00B1676F"/>
    <w:rsid w:val="00B169CA"/>
    <w:rsid w:val="00B17ACE"/>
    <w:rsid w:val="00B213AE"/>
    <w:rsid w:val="00B21915"/>
    <w:rsid w:val="00B22299"/>
    <w:rsid w:val="00B224F9"/>
    <w:rsid w:val="00B22722"/>
    <w:rsid w:val="00B24B6F"/>
    <w:rsid w:val="00B256EA"/>
    <w:rsid w:val="00B2654D"/>
    <w:rsid w:val="00B26E5C"/>
    <w:rsid w:val="00B305EB"/>
    <w:rsid w:val="00B306A7"/>
    <w:rsid w:val="00B30DBF"/>
    <w:rsid w:val="00B31EEA"/>
    <w:rsid w:val="00B3222E"/>
    <w:rsid w:val="00B32AFD"/>
    <w:rsid w:val="00B32CDA"/>
    <w:rsid w:val="00B33A88"/>
    <w:rsid w:val="00B33ADD"/>
    <w:rsid w:val="00B360B1"/>
    <w:rsid w:val="00B3616A"/>
    <w:rsid w:val="00B36A82"/>
    <w:rsid w:val="00B36D65"/>
    <w:rsid w:val="00B37628"/>
    <w:rsid w:val="00B3790C"/>
    <w:rsid w:val="00B37E29"/>
    <w:rsid w:val="00B40E22"/>
    <w:rsid w:val="00B44FFB"/>
    <w:rsid w:val="00B45326"/>
    <w:rsid w:val="00B46887"/>
    <w:rsid w:val="00B4751F"/>
    <w:rsid w:val="00B508DC"/>
    <w:rsid w:val="00B50D8A"/>
    <w:rsid w:val="00B517D9"/>
    <w:rsid w:val="00B51C14"/>
    <w:rsid w:val="00B523E0"/>
    <w:rsid w:val="00B52898"/>
    <w:rsid w:val="00B52D14"/>
    <w:rsid w:val="00B5541C"/>
    <w:rsid w:val="00B56768"/>
    <w:rsid w:val="00B57611"/>
    <w:rsid w:val="00B608C2"/>
    <w:rsid w:val="00B60C38"/>
    <w:rsid w:val="00B60F70"/>
    <w:rsid w:val="00B62BC3"/>
    <w:rsid w:val="00B63970"/>
    <w:rsid w:val="00B64824"/>
    <w:rsid w:val="00B66C6E"/>
    <w:rsid w:val="00B66C7F"/>
    <w:rsid w:val="00B66D53"/>
    <w:rsid w:val="00B67A11"/>
    <w:rsid w:val="00B67D2C"/>
    <w:rsid w:val="00B70A3E"/>
    <w:rsid w:val="00B71815"/>
    <w:rsid w:val="00B71F54"/>
    <w:rsid w:val="00B7245C"/>
    <w:rsid w:val="00B72C35"/>
    <w:rsid w:val="00B73D74"/>
    <w:rsid w:val="00B74726"/>
    <w:rsid w:val="00B7504F"/>
    <w:rsid w:val="00B7583E"/>
    <w:rsid w:val="00B75EF8"/>
    <w:rsid w:val="00B75F99"/>
    <w:rsid w:val="00B76769"/>
    <w:rsid w:val="00B769CF"/>
    <w:rsid w:val="00B770F5"/>
    <w:rsid w:val="00B77443"/>
    <w:rsid w:val="00B80309"/>
    <w:rsid w:val="00B83E98"/>
    <w:rsid w:val="00B8544B"/>
    <w:rsid w:val="00B85830"/>
    <w:rsid w:val="00B863E9"/>
    <w:rsid w:val="00B871E1"/>
    <w:rsid w:val="00B92450"/>
    <w:rsid w:val="00B92FB8"/>
    <w:rsid w:val="00B93EA9"/>
    <w:rsid w:val="00B94025"/>
    <w:rsid w:val="00B94FBA"/>
    <w:rsid w:val="00B961C7"/>
    <w:rsid w:val="00B97114"/>
    <w:rsid w:val="00B97151"/>
    <w:rsid w:val="00BA0ACF"/>
    <w:rsid w:val="00BA0E87"/>
    <w:rsid w:val="00BA0F78"/>
    <w:rsid w:val="00BA1A44"/>
    <w:rsid w:val="00BA1D00"/>
    <w:rsid w:val="00BA2B4E"/>
    <w:rsid w:val="00BA2CB3"/>
    <w:rsid w:val="00BA4501"/>
    <w:rsid w:val="00BA573D"/>
    <w:rsid w:val="00BA640A"/>
    <w:rsid w:val="00BA6459"/>
    <w:rsid w:val="00BA6C78"/>
    <w:rsid w:val="00BA7B99"/>
    <w:rsid w:val="00BA7EEC"/>
    <w:rsid w:val="00BA7FA8"/>
    <w:rsid w:val="00BB02AF"/>
    <w:rsid w:val="00BB0C11"/>
    <w:rsid w:val="00BB3687"/>
    <w:rsid w:val="00BB3AF7"/>
    <w:rsid w:val="00BB4346"/>
    <w:rsid w:val="00BB4D9F"/>
    <w:rsid w:val="00BB4EE3"/>
    <w:rsid w:val="00BB5657"/>
    <w:rsid w:val="00BB5816"/>
    <w:rsid w:val="00BB59F0"/>
    <w:rsid w:val="00BB6E19"/>
    <w:rsid w:val="00BB7374"/>
    <w:rsid w:val="00BC09F7"/>
    <w:rsid w:val="00BC0A37"/>
    <w:rsid w:val="00BC0EAB"/>
    <w:rsid w:val="00BC16CB"/>
    <w:rsid w:val="00BC1948"/>
    <w:rsid w:val="00BC1B73"/>
    <w:rsid w:val="00BC507E"/>
    <w:rsid w:val="00BC52E0"/>
    <w:rsid w:val="00BC62C5"/>
    <w:rsid w:val="00BC708C"/>
    <w:rsid w:val="00BD0862"/>
    <w:rsid w:val="00BD16A7"/>
    <w:rsid w:val="00BD3B08"/>
    <w:rsid w:val="00BD596B"/>
    <w:rsid w:val="00BE107D"/>
    <w:rsid w:val="00BE354A"/>
    <w:rsid w:val="00BE4192"/>
    <w:rsid w:val="00BE429C"/>
    <w:rsid w:val="00BE4713"/>
    <w:rsid w:val="00BE50FC"/>
    <w:rsid w:val="00BE6299"/>
    <w:rsid w:val="00BE6739"/>
    <w:rsid w:val="00BE788C"/>
    <w:rsid w:val="00BF1419"/>
    <w:rsid w:val="00BF1BA7"/>
    <w:rsid w:val="00BF2A37"/>
    <w:rsid w:val="00BF50A8"/>
    <w:rsid w:val="00C01A6C"/>
    <w:rsid w:val="00C0427F"/>
    <w:rsid w:val="00C04E76"/>
    <w:rsid w:val="00C0518D"/>
    <w:rsid w:val="00C1203D"/>
    <w:rsid w:val="00C1244D"/>
    <w:rsid w:val="00C1359C"/>
    <w:rsid w:val="00C139AF"/>
    <w:rsid w:val="00C1425B"/>
    <w:rsid w:val="00C14674"/>
    <w:rsid w:val="00C146EE"/>
    <w:rsid w:val="00C14E8B"/>
    <w:rsid w:val="00C16B2D"/>
    <w:rsid w:val="00C20A54"/>
    <w:rsid w:val="00C21BCA"/>
    <w:rsid w:val="00C21C5C"/>
    <w:rsid w:val="00C22129"/>
    <w:rsid w:val="00C2213A"/>
    <w:rsid w:val="00C2259F"/>
    <w:rsid w:val="00C2307F"/>
    <w:rsid w:val="00C25F0E"/>
    <w:rsid w:val="00C264B8"/>
    <w:rsid w:val="00C2704A"/>
    <w:rsid w:val="00C30167"/>
    <w:rsid w:val="00C32D6B"/>
    <w:rsid w:val="00C407FB"/>
    <w:rsid w:val="00C40F33"/>
    <w:rsid w:val="00C4135A"/>
    <w:rsid w:val="00C42137"/>
    <w:rsid w:val="00C422DA"/>
    <w:rsid w:val="00C43136"/>
    <w:rsid w:val="00C449B1"/>
    <w:rsid w:val="00C45FD0"/>
    <w:rsid w:val="00C4696D"/>
    <w:rsid w:val="00C5086E"/>
    <w:rsid w:val="00C50CD6"/>
    <w:rsid w:val="00C512D2"/>
    <w:rsid w:val="00C51730"/>
    <w:rsid w:val="00C52B40"/>
    <w:rsid w:val="00C53195"/>
    <w:rsid w:val="00C53809"/>
    <w:rsid w:val="00C53D48"/>
    <w:rsid w:val="00C5417C"/>
    <w:rsid w:val="00C5474A"/>
    <w:rsid w:val="00C550CD"/>
    <w:rsid w:val="00C5755A"/>
    <w:rsid w:val="00C57869"/>
    <w:rsid w:val="00C61F1D"/>
    <w:rsid w:val="00C61F7F"/>
    <w:rsid w:val="00C64286"/>
    <w:rsid w:val="00C6464E"/>
    <w:rsid w:val="00C678B9"/>
    <w:rsid w:val="00C70DFB"/>
    <w:rsid w:val="00C7120C"/>
    <w:rsid w:val="00C71785"/>
    <w:rsid w:val="00C725AB"/>
    <w:rsid w:val="00C72BE4"/>
    <w:rsid w:val="00C73C28"/>
    <w:rsid w:val="00C741AF"/>
    <w:rsid w:val="00C742BF"/>
    <w:rsid w:val="00C74E46"/>
    <w:rsid w:val="00C7534F"/>
    <w:rsid w:val="00C82C23"/>
    <w:rsid w:val="00C91E8E"/>
    <w:rsid w:val="00C92C25"/>
    <w:rsid w:val="00C935BF"/>
    <w:rsid w:val="00C936F3"/>
    <w:rsid w:val="00C93A35"/>
    <w:rsid w:val="00C95441"/>
    <w:rsid w:val="00C9701A"/>
    <w:rsid w:val="00CA126B"/>
    <w:rsid w:val="00CA2315"/>
    <w:rsid w:val="00CA251F"/>
    <w:rsid w:val="00CA4351"/>
    <w:rsid w:val="00CA4A93"/>
    <w:rsid w:val="00CB009D"/>
    <w:rsid w:val="00CB028C"/>
    <w:rsid w:val="00CB0BF0"/>
    <w:rsid w:val="00CB54A2"/>
    <w:rsid w:val="00CB5A43"/>
    <w:rsid w:val="00CB5F60"/>
    <w:rsid w:val="00CB67AD"/>
    <w:rsid w:val="00CC07B2"/>
    <w:rsid w:val="00CC083F"/>
    <w:rsid w:val="00CC0CD8"/>
    <w:rsid w:val="00CC0DE3"/>
    <w:rsid w:val="00CC1395"/>
    <w:rsid w:val="00CC175A"/>
    <w:rsid w:val="00CC5355"/>
    <w:rsid w:val="00CC6E2F"/>
    <w:rsid w:val="00CC7404"/>
    <w:rsid w:val="00CC77CC"/>
    <w:rsid w:val="00CD0516"/>
    <w:rsid w:val="00CD12E5"/>
    <w:rsid w:val="00CD3A3F"/>
    <w:rsid w:val="00CD42A7"/>
    <w:rsid w:val="00CD58AF"/>
    <w:rsid w:val="00CD72BB"/>
    <w:rsid w:val="00CE0F94"/>
    <w:rsid w:val="00CE2119"/>
    <w:rsid w:val="00CE2A43"/>
    <w:rsid w:val="00CE2B10"/>
    <w:rsid w:val="00CE369F"/>
    <w:rsid w:val="00CE3E79"/>
    <w:rsid w:val="00CE4175"/>
    <w:rsid w:val="00CE4C28"/>
    <w:rsid w:val="00CE5E4A"/>
    <w:rsid w:val="00CE689D"/>
    <w:rsid w:val="00CE69C7"/>
    <w:rsid w:val="00CE6AEB"/>
    <w:rsid w:val="00CE6C46"/>
    <w:rsid w:val="00CE731A"/>
    <w:rsid w:val="00CE75A0"/>
    <w:rsid w:val="00CE75BE"/>
    <w:rsid w:val="00CE785F"/>
    <w:rsid w:val="00CF0474"/>
    <w:rsid w:val="00CF19CB"/>
    <w:rsid w:val="00CF374C"/>
    <w:rsid w:val="00CF3D6E"/>
    <w:rsid w:val="00CF490E"/>
    <w:rsid w:val="00CF5E52"/>
    <w:rsid w:val="00CF656A"/>
    <w:rsid w:val="00CF75C1"/>
    <w:rsid w:val="00CF7BBB"/>
    <w:rsid w:val="00D008F3"/>
    <w:rsid w:val="00D014EB"/>
    <w:rsid w:val="00D01A85"/>
    <w:rsid w:val="00D01AB3"/>
    <w:rsid w:val="00D0322E"/>
    <w:rsid w:val="00D0342D"/>
    <w:rsid w:val="00D03BFF"/>
    <w:rsid w:val="00D03CDF"/>
    <w:rsid w:val="00D03E88"/>
    <w:rsid w:val="00D04842"/>
    <w:rsid w:val="00D051DD"/>
    <w:rsid w:val="00D069D3"/>
    <w:rsid w:val="00D07DD5"/>
    <w:rsid w:val="00D104C0"/>
    <w:rsid w:val="00D10927"/>
    <w:rsid w:val="00D129BC"/>
    <w:rsid w:val="00D1581E"/>
    <w:rsid w:val="00D1752E"/>
    <w:rsid w:val="00D17A36"/>
    <w:rsid w:val="00D17E55"/>
    <w:rsid w:val="00D21813"/>
    <w:rsid w:val="00D2359E"/>
    <w:rsid w:val="00D23FE6"/>
    <w:rsid w:val="00D24366"/>
    <w:rsid w:val="00D26ECF"/>
    <w:rsid w:val="00D2753E"/>
    <w:rsid w:val="00D279D0"/>
    <w:rsid w:val="00D30519"/>
    <w:rsid w:val="00D31AB8"/>
    <w:rsid w:val="00D31DFB"/>
    <w:rsid w:val="00D32D04"/>
    <w:rsid w:val="00D35AF3"/>
    <w:rsid w:val="00D3617C"/>
    <w:rsid w:val="00D361C6"/>
    <w:rsid w:val="00D36990"/>
    <w:rsid w:val="00D36B42"/>
    <w:rsid w:val="00D37505"/>
    <w:rsid w:val="00D41486"/>
    <w:rsid w:val="00D41754"/>
    <w:rsid w:val="00D41DA3"/>
    <w:rsid w:val="00D42100"/>
    <w:rsid w:val="00D429EF"/>
    <w:rsid w:val="00D43AFD"/>
    <w:rsid w:val="00D44D89"/>
    <w:rsid w:val="00D463C0"/>
    <w:rsid w:val="00D4688B"/>
    <w:rsid w:val="00D46A97"/>
    <w:rsid w:val="00D50CD2"/>
    <w:rsid w:val="00D51EFF"/>
    <w:rsid w:val="00D52084"/>
    <w:rsid w:val="00D54AFA"/>
    <w:rsid w:val="00D556CA"/>
    <w:rsid w:val="00D55BE4"/>
    <w:rsid w:val="00D5616E"/>
    <w:rsid w:val="00D566E1"/>
    <w:rsid w:val="00D56E0E"/>
    <w:rsid w:val="00D579D4"/>
    <w:rsid w:val="00D60527"/>
    <w:rsid w:val="00D61D6E"/>
    <w:rsid w:val="00D61F45"/>
    <w:rsid w:val="00D63051"/>
    <w:rsid w:val="00D644E7"/>
    <w:rsid w:val="00D64B2B"/>
    <w:rsid w:val="00D66EAB"/>
    <w:rsid w:val="00D6713A"/>
    <w:rsid w:val="00D71581"/>
    <w:rsid w:val="00D71E27"/>
    <w:rsid w:val="00D72076"/>
    <w:rsid w:val="00D72731"/>
    <w:rsid w:val="00D727D9"/>
    <w:rsid w:val="00D72D67"/>
    <w:rsid w:val="00D73321"/>
    <w:rsid w:val="00D745BB"/>
    <w:rsid w:val="00D7463D"/>
    <w:rsid w:val="00D7464F"/>
    <w:rsid w:val="00D74DB7"/>
    <w:rsid w:val="00D75BD0"/>
    <w:rsid w:val="00D75DAC"/>
    <w:rsid w:val="00D75F96"/>
    <w:rsid w:val="00D76520"/>
    <w:rsid w:val="00D7678C"/>
    <w:rsid w:val="00D76D6C"/>
    <w:rsid w:val="00D801C2"/>
    <w:rsid w:val="00D81E8C"/>
    <w:rsid w:val="00D82D51"/>
    <w:rsid w:val="00D837B8"/>
    <w:rsid w:val="00D83E09"/>
    <w:rsid w:val="00D84BB1"/>
    <w:rsid w:val="00D851BA"/>
    <w:rsid w:val="00D85D62"/>
    <w:rsid w:val="00D85FC3"/>
    <w:rsid w:val="00D865C0"/>
    <w:rsid w:val="00D8689C"/>
    <w:rsid w:val="00D87259"/>
    <w:rsid w:val="00D87DFE"/>
    <w:rsid w:val="00D91532"/>
    <w:rsid w:val="00D92AB6"/>
    <w:rsid w:val="00D92EBB"/>
    <w:rsid w:val="00D9371A"/>
    <w:rsid w:val="00D9539C"/>
    <w:rsid w:val="00D95B23"/>
    <w:rsid w:val="00D97231"/>
    <w:rsid w:val="00D97B8B"/>
    <w:rsid w:val="00DA0CA1"/>
    <w:rsid w:val="00DA138D"/>
    <w:rsid w:val="00DA3138"/>
    <w:rsid w:val="00DA374E"/>
    <w:rsid w:val="00DA595A"/>
    <w:rsid w:val="00DA65AA"/>
    <w:rsid w:val="00DA6D03"/>
    <w:rsid w:val="00DA7733"/>
    <w:rsid w:val="00DB0238"/>
    <w:rsid w:val="00DB106B"/>
    <w:rsid w:val="00DB132F"/>
    <w:rsid w:val="00DB2F26"/>
    <w:rsid w:val="00DB2F32"/>
    <w:rsid w:val="00DB3786"/>
    <w:rsid w:val="00DB4264"/>
    <w:rsid w:val="00DB4479"/>
    <w:rsid w:val="00DB5450"/>
    <w:rsid w:val="00DB5536"/>
    <w:rsid w:val="00DB5779"/>
    <w:rsid w:val="00DB654B"/>
    <w:rsid w:val="00DB747E"/>
    <w:rsid w:val="00DC1332"/>
    <w:rsid w:val="00DC1436"/>
    <w:rsid w:val="00DC15F4"/>
    <w:rsid w:val="00DC1AB1"/>
    <w:rsid w:val="00DC22C0"/>
    <w:rsid w:val="00DC26D7"/>
    <w:rsid w:val="00DC278B"/>
    <w:rsid w:val="00DC3D13"/>
    <w:rsid w:val="00DC4289"/>
    <w:rsid w:val="00DC4593"/>
    <w:rsid w:val="00DC5153"/>
    <w:rsid w:val="00DC57FD"/>
    <w:rsid w:val="00DC5F53"/>
    <w:rsid w:val="00DC6C1A"/>
    <w:rsid w:val="00DC7595"/>
    <w:rsid w:val="00DC7918"/>
    <w:rsid w:val="00DC798C"/>
    <w:rsid w:val="00DD0E28"/>
    <w:rsid w:val="00DD0E48"/>
    <w:rsid w:val="00DD11C9"/>
    <w:rsid w:val="00DD1535"/>
    <w:rsid w:val="00DD2943"/>
    <w:rsid w:val="00DD309F"/>
    <w:rsid w:val="00DD3B34"/>
    <w:rsid w:val="00DD4971"/>
    <w:rsid w:val="00DD5767"/>
    <w:rsid w:val="00DD6183"/>
    <w:rsid w:val="00DD6275"/>
    <w:rsid w:val="00DD791A"/>
    <w:rsid w:val="00DD7F0A"/>
    <w:rsid w:val="00DE018B"/>
    <w:rsid w:val="00DE1319"/>
    <w:rsid w:val="00DE29DC"/>
    <w:rsid w:val="00DE2F4D"/>
    <w:rsid w:val="00DE59A9"/>
    <w:rsid w:val="00DE654E"/>
    <w:rsid w:val="00DE6931"/>
    <w:rsid w:val="00DE76B0"/>
    <w:rsid w:val="00DF1115"/>
    <w:rsid w:val="00DF3C5A"/>
    <w:rsid w:val="00DF41FB"/>
    <w:rsid w:val="00DF5DBE"/>
    <w:rsid w:val="00DF6388"/>
    <w:rsid w:val="00DF70AE"/>
    <w:rsid w:val="00DF7C3B"/>
    <w:rsid w:val="00E00B97"/>
    <w:rsid w:val="00E01B9D"/>
    <w:rsid w:val="00E021F5"/>
    <w:rsid w:val="00E0347C"/>
    <w:rsid w:val="00E04246"/>
    <w:rsid w:val="00E04A24"/>
    <w:rsid w:val="00E05159"/>
    <w:rsid w:val="00E0537A"/>
    <w:rsid w:val="00E06FCE"/>
    <w:rsid w:val="00E07464"/>
    <w:rsid w:val="00E10360"/>
    <w:rsid w:val="00E109D8"/>
    <w:rsid w:val="00E113E6"/>
    <w:rsid w:val="00E12876"/>
    <w:rsid w:val="00E12C94"/>
    <w:rsid w:val="00E13244"/>
    <w:rsid w:val="00E13C09"/>
    <w:rsid w:val="00E13FBA"/>
    <w:rsid w:val="00E14339"/>
    <w:rsid w:val="00E15EDD"/>
    <w:rsid w:val="00E16D13"/>
    <w:rsid w:val="00E200C1"/>
    <w:rsid w:val="00E20268"/>
    <w:rsid w:val="00E20CF9"/>
    <w:rsid w:val="00E210E6"/>
    <w:rsid w:val="00E244D3"/>
    <w:rsid w:val="00E25669"/>
    <w:rsid w:val="00E25D83"/>
    <w:rsid w:val="00E30DAA"/>
    <w:rsid w:val="00E3160C"/>
    <w:rsid w:val="00E31F14"/>
    <w:rsid w:val="00E32D4F"/>
    <w:rsid w:val="00E334E5"/>
    <w:rsid w:val="00E33991"/>
    <w:rsid w:val="00E34901"/>
    <w:rsid w:val="00E36657"/>
    <w:rsid w:val="00E36780"/>
    <w:rsid w:val="00E36831"/>
    <w:rsid w:val="00E36AD5"/>
    <w:rsid w:val="00E378D2"/>
    <w:rsid w:val="00E4056D"/>
    <w:rsid w:val="00E407AC"/>
    <w:rsid w:val="00E4247D"/>
    <w:rsid w:val="00E456FE"/>
    <w:rsid w:val="00E47136"/>
    <w:rsid w:val="00E47B31"/>
    <w:rsid w:val="00E50485"/>
    <w:rsid w:val="00E50518"/>
    <w:rsid w:val="00E51545"/>
    <w:rsid w:val="00E5184B"/>
    <w:rsid w:val="00E525CD"/>
    <w:rsid w:val="00E52D4A"/>
    <w:rsid w:val="00E531A4"/>
    <w:rsid w:val="00E531F9"/>
    <w:rsid w:val="00E531FB"/>
    <w:rsid w:val="00E53624"/>
    <w:rsid w:val="00E55C89"/>
    <w:rsid w:val="00E567DD"/>
    <w:rsid w:val="00E56967"/>
    <w:rsid w:val="00E57D66"/>
    <w:rsid w:val="00E607FE"/>
    <w:rsid w:val="00E60DD9"/>
    <w:rsid w:val="00E61C4E"/>
    <w:rsid w:val="00E63242"/>
    <w:rsid w:val="00E639F9"/>
    <w:rsid w:val="00E63DB3"/>
    <w:rsid w:val="00E6432A"/>
    <w:rsid w:val="00E64CF8"/>
    <w:rsid w:val="00E6637D"/>
    <w:rsid w:val="00E66461"/>
    <w:rsid w:val="00E667BC"/>
    <w:rsid w:val="00E66D81"/>
    <w:rsid w:val="00E67516"/>
    <w:rsid w:val="00E7011C"/>
    <w:rsid w:val="00E704DB"/>
    <w:rsid w:val="00E71437"/>
    <w:rsid w:val="00E71629"/>
    <w:rsid w:val="00E717CA"/>
    <w:rsid w:val="00E71C9A"/>
    <w:rsid w:val="00E725E1"/>
    <w:rsid w:val="00E73C5D"/>
    <w:rsid w:val="00E73DE0"/>
    <w:rsid w:val="00E740A1"/>
    <w:rsid w:val="00E75D10"/>
    <w:rsid w:val="00E75E5E"/>
    <w:rsid w:val="00E76629"/>
    <w:rsid w:val="00E7677F"/>
    <w:rsid w:val="00E76919"/>
    <w:rsid w:val="00E77F19"/>
    <w:rsid w:val="00E82113"/>
    <w:rsid w:val="00E8375D"/>
    <w:rsid w:val="00E83BAA"/>
    <w:rsid w:val="00E83D14"/>
    <w:rsid w:val="00E84499"/>
    <w:rsid w:val="00E85B31"/>
    <w:rsid w:val="00E864B6"/>
    <w:rsid w:val="00E86D47"/>
    <w:rsid w:val="00E86EEA"/>
    <w:rsid w:val="00E936CC"/>
    <w:rsid w:val="00E95113"/>
    <w:rsid w:val="00E95208"/>
    <w:rsid w:val="00E96681"/>
    <w:rsid w:val="00E96A4D"/>
    <w:rsid w:val="00E96FD4"/>
    <w:rsid w:val="00E9749A"/>
    <w:rsid w:val="00E97563"/>
    <w:rsid w:val="00E97E52"/>
    <w:rsid w:val="00EA224B"/>
    <w:rsid w:val="00EA37CD"/>
    <w:rsid w:val="00EA3A19"/>
    <w:rsid w:val="00EA3C22"/>
    <w:rsid w:val="00EA4D4A"/>
    <w:rsid w:val="00EA5625"/>
    <w:rsid w:val="00EA70AF"/>
    <w:rsid w:val="00EA739C"/>
    <w:rsid w:val="00EB0446"/>
    <w:rsid w:val="00EB0D17"/>
    <w:rsid w:val="00EB191E"/>
    <w:rsid w:val="00EB1A75"/>
    <w:rsid w:val="00EB22BA"/>
    <w:rsid w:val="00EB289B"/>
    <w:rsid w:val="00EB2F1B"/>
    <w:rsid w:val="00EB36E5"/>
    <w:rsid w:val="00EB3BE2"/>
    <w:rsid w:val="00EB44BD"/>
    <w:rsid w:val="00EB576E"/>
    <w:rsid w:val="00EB6385"/>
    <w:rsid w:val="00EB71FB"/>
    <w:rsid w:val="00EB7210"/>
    <w:rsid w:val="00EB73AD"/>
    <w:rsid w:val="00EB7605"/>
    <w:rsid w:val="00EC3676"/>
    <w:rsid w:val="00ED06CF"/>
    <w:rsid w:val="00ED2CEE"/>
    <w:rsid w:val="00ED3D72"/>
    <w:rsid w:val="00ED4496"/>
    <w:rsid w:val="00ED4A9F"/>
    <w:rsid w:val="00ED6C9A"/>
    <w:rsid w:val="00ED72DB"/>
    <w:rsid w:val="00ED7725"/>
    <w:rsid w:val="00ED78D2"/>
    <w:rsid w:val="00EE083D"/>
    <w:rsid w:val="00EE0D97"/>
    <w:rsid w:val="00EE2E77"/>
    <w:rsid w:val="00EE3BED"/>
    <w:rsid w:val="00EE4433"/>
    <w:rsid w:val="00EE480C"/>
    <w:rsid w:val="00EE504E"/>
    <w:rsid w:val="00EE73A7"/>
    <w:rsid w:val="00EE7B7A"/>
    <w:rsid w:val="00EF0C28"/>
    <w:rsid w:val="00EF13CB"/>
    <w:rsid w:val="00EF2D7A"/>
    <w:rsid w:val="00EF2FE5"/>
    <w:rsid w:val="00EF392F"/>
    <w:rsid w:val="00EF3D8E"/>
    <w:rsid w:val="00EF4923"/>
    <w:rsid w:val="00EF4A66"/>
    <w:rsid w:val="00EF5617"/>
    <w:rsid w:val="00EF6AD7"/>
    <w:rsid w:val="00F00221"/>
    <w:rsid w:val="00F01706"/>
    <w:rsid w:val="00F01CF0"/>
    <w:rsid w:val="00F02406"/>
    <w:rsid w:val="00F03580"/>
    <w:rsid w:val="00F038D1"/>
    <w:rsid w:val="00F05BA7"/>
    <w:rsid w:val="00F07076"/>
    <w:rsid w:val="00F10AF0"/>
    <w:rsid w:val="00F11190"/>
    <w:rsid w:val="00F12F25"/>
    <w:rsid w:val="00F13F13"/>
    <w:rsid w:val="00F14851"/>
    <w:rsid w:val="00F14C32"/>
    <w:rsid w:val="00F14C5D"/>
    <w:rsid w:val="00F14CEA"/>
    <w:rsid w:val="00F168FA"/>
    <w:rsid w:val="00F22A69"/>
    <w:rsid w:val="00F22BF3"/>
    <w:rsid w:val="00F2380E"/>
    <w:rsid w:val="00F23C76"/>
    <w:rsid w:val="00F254FD"/>
    <w:rsid w:val="00F25595"/>
    <w:rsid w:val="00F25903"/>
    <w:rsid w:val="00F26AA3"/>
    <w:rsid w:val="00F26DED"/>
    <w:rsid w:val="00F30FE6"/>
    <w:rsid w:val="00F319CF"/>
    <w:rsid w:val="00F31D8E"/>
    <w:rsid w:val="00F31F29"/>
    <w:rsid w:val="00F32698"/>
    <w:rsid w:val="00F334CB"/>
    <w:rsid w:val="00F35A79"/>
    <w:rsid w:val="00F367BA"/>
    <w:rsid w:val="00F3750E"/>
    <w:rsid w:val="00F406A2"/>
    <w:rsid w:val="00F41D3D"/>
    <w:rsid w:val="00F42A72"/>
    <w:rsid w:val="00F43786"/>
    <w:rsid w:val="00F43F2F"/>
    <w:rsid w:val="00F440D8"/>
    <w:rsid w:val="00F46BDF"/>
    <w:rsid w:val="00F46FDF"/>
    <w:rsid w:val="00F471E7"/>
    <w:rsid w:val="00F4759A"/>
    <w:rsid w:val="00F5025C"/>
    <w:rsid w:val="00F50844"/>
    <w:rsid w:val="00F50B2B"/>
    <w:rsid w:val="00F50D88"/>
    <w:rsid w:val="00F51CA2"/>
    <w:rsid w:val="00F529F8"/>
    <w:rsid w:val="00F53A8C"/>
    <w:rsid w:val="00F56258"/>
    <w:rsid w:val="00F570A3"/>
    <w:rsid w:val="00F57F88"/>
    <w:rsid w:val="00F6134F"/>
    <w:rsid w:val="00F62E5A"/>
    <w:rsid w:val="00F6375C"/>
    <w:rsid w:val="00F63A65"/>
    <w:rsid w:val="00F655DA"/>
    <w:rsid w:val="00F65FE6"/>
    <w:rsid w:val="00F6657F"/>
    <w:rsid w:val="00F66992"/>
    <w:rsid w:val="00F66F84"/>
    <w:rsid w:val="00F70620"/>
    <w:rsid w:val="00F70721"/>
    <w:rsid w:val="00F70B6A"/>
    <w:rsid w:val="00F750AD"/>
    <w:rsid w:val="00F76908"/>
    <w:rsid w:val="00F7695F"/>
    <w:rsid w:val="00F76ABD"/>
    <w:rsid w:val="00F778A5"/>
    <w:rsid w:val="00F8094B"/>
    <w:rsid w:val="00F8116B"/>
    <w:rsid w:val="00F813DB"/>
    <w:rsid w:val="00F821A9"/>
    <w:rsid w:val="00F82E97"/>
    <w:rsid w:val="00F83124"/>
    <w:rsid w:val="00F83C87"/>
    <w:rsid w:val="00F849E0"/>
    <w:rsid w:val="00F8554F"/>
    <w:rsid w:val="00F85A09"/>
    <w:rsid w:val="00F860AD"/>
    <w:rsid w:val="00F87EF0"/>
    <w:rsid w:val="00F904E4"/>
    <w:rsid w:val="00F90EE6"/>
    <w:rsid w:val="00F9116D"/>
    <w:rsid w:val="00F91D72"/>
    <w:rsid w:val="00F93772"/>
    <w:rsid w:val="00F94807"/>
    <w:rsid w:val="00F94A98"/>
    <w:rsid w:val="00F94BA9"/>
    <w:rsid w:val="00F95868"/>
    <w:rsid w:val="00F958ED"/>
    <w:rsid w:val="00F95AE4"/>
    <w:rsid w:val="00F95F81"/>
    <w:rsid w:val="00F96127"/>
    <w:rsid w:val="00F97669"/>
    <w:rsid w:val="00F97A83"/>
    <w:rsid w:val="00F97AB5"/>
    <w:rsid w:val="00FA2527"/>
    <w:rsid w:val="00FA2C9B"/>
    <w:rsid w:val="00FA316E"/>
    <w:rsid w:val="00FA3E9A"/>
    <w:rsid w:val="00FA4506"/>
    <w:rsid w:val="00FA5232"/>
    <w:rsid w:val="00FA55A0"/>
    <w:rsid w:val="00FA6770"/>
    <w:rsid w:val="00FB0C45"/>
    <w:rsid w:val="00FB1345"/>
    <w:rsid w:val="00FB17F7"/>
    <w:rsid w:val="00FB1FBA"/>
    <w:rsid w:val="00FB247F"/>
    <w:rsid w:val="00FB27BF"/>
    <w:rsid w:val="00FB3C08"/>
    <w:rsid w:val="00FB4207"/>
    <w:rsid w:val="00FB4732"/>
    <w:rsid w:val="00FB52D8"/>
    <w:rsid w:val="00FB5508"/>
    <w:rsid w:val="00FB5527"/>
    <w:rsid w:val="00FB61C9"/>
    <w:rsid w:val="00FC0581"/>
    <w:rsid w:val="00FC0D24"/>
    <w:rsid w:val="00FC0E31"/>
    <w:rsid w:val="00FC2E6C"/>
    <w:rsid w:val="00FC3029"/>
    <w:rsid w:val="00FC3386"/>
    <w:rsid w:val="00FC35A2"/>
    <w:rsid w:val="00FC3F85"/>
    <w:rsid w:val="00FC5A2A"/>
    <w:rsid w:val="00FC670C"/>
    <w:rsid w:val="00FC6859"/>
    <w:rsid w:val="00FD10B9"/>
    <w:rsid w:val="00FD1676"/>
    <w:rsid w:val="00FD1CB8"/>
    <w:rsid w:val="00FD1F36"/>
    <w:rsid w:val="00FD3CE9"/>
    <w:rsid w:val="00FD72C7"/>
    <w:rsid w:val="00FD738A"/>
    <w:rsid w:val="00FD7BE0"/>
    <w:rsid w:val="00FE013F"/>
    <w:rsid w:val="00FE0A0C"/>
    <w:rsid w:val="00FE0C27"/>
    <w:rsid w:val="00FE12FB"/>
    <w:rsid w:val="00FE1386"/>
    <w:rsid w:val="00FE170A"/>
    <w:rsid w:val="00FE2CE9"/>
    <w:rsid w:val="00FE3F2D"/>
    <w:rsid w:val="00FE417F"/>
    <w:rsid w:val="00FE46DE"/>
    <w:rsid w:val="00FE46F7"/>
    <w:rsid w:val="00FE5194"/>
    <w:rsid w:val="00FE594C"/>
    <w:rsid w:val="00FE6811"/>
    <w:rsid w:val="00FE7277"/>
    <w:rsid w:val="00FE7575"/>
    <w:rsid w:val="00FE768A"/>
    <w:rsid w:val="00FF0930"/>
    <w:rsid w:val="00FF216D"/>
    <w:rsid w:val="00FF3D18"/>
    <w:rsid w:val="00FF4BBD"/>
    <w:rsid w:val="00FF4C2A"/>
    <w:rsid w:val="00FF5A4F"/>
    <w:rsid w:val="00FF5EEC"/>
    <w:rsid w:val="00FF70D9"/>
    <w:rsid w:val="00FF7459"/>
    <w:rsid w:val="00FF79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A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4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71F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A6"/>
    <w:rPr>
      <w:color w:val="0000FF"/>
      <w:u w:val="single"/>
    </w:rPr>
  </w:style>
  <w:style w:type="paragraph" w:styleId="ListParagraph">
    <w:name w:val="List Paragraph"/>
    <w:basedOn w:val="Normal"/>
    <w:uiPriority w:val="34"/>
    <w:qFormat/>
    <w:rsid w:val="0075693F"/>
    <w:pPr>
      <w:ind w:left="720"/>
      <w:contextualSpacing/>
    </w:pPr>
  </w:style>
  <w:style w:type="character" w:customStyle="1" w:styleId="apple-converted-space">
    <w:name w:val="apple-converted-space"/>
    <w:basedOn w:val="DefaultParagraphFont"/>
    <w:rsid w:val="0064548C"/>
  </w:style>
  <w:style w:type="character" w:customStyle="1" w:styleId="highlight">
    <w:name w:val="highlight"/>
    <w:basedOn w:val="DefaultParagraphFont"/>
    <w:rsid w:val="0064548C"/>
  </w:style>
  <w:style w:type="table" w:styleId="TableGrid">
    <w:name w:val="Table Grid"/>
    <w:basedOn w:val="TableNormal"/>
    <w:uiPriority w:val="39"/>
    <w:rsid w:val="0061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C7C"/>
    <w:rPr>
      <w:sz w:val="16"/>
      <w:szCs w:val="16"/>
    </w:rPr>
  </w:style>
  <w:style w:type="paragraph" w:styleId="CommentText">
    <w:name w:val="annotation text"/>
    <w:basedOn w:val="Normal"/>
    <w:link w:val="CommentTextChar"/>
    <w:uiPriority w:val="99"/>
    <w:unhideWhenUsed/>
    <w:rsid w:val="00AA6C7C"/>
    <w:pPr>
      <w:spacing w:line="240" w:lineRule="auto"/>
    </w:pPr>
    <w:rPr>
      <w:sz w:val="20"/>
      <w:szCs w:val="20"/>
    </w:rPr>
  </w:style>
  <w:style w:type="character" w:customStyle="1" w:styleId="CommentTextChar">
    <w:name w:val="Comment Text Char"/>
    <w:basedOn w:val="DefaultParagraphFont"/>
    <w:link w:val="CommentText"/>
    <w:uiPriority w:val="99"/>
    <w:rsid w:val="00AA6C7C"/>
    <w:rPr>
      <w:sz w:val="20"/>
      <w:szCs w:val="20"/>
    </w:rPr>
  </w:style>
  <w:style w:type="paragraph" w:styleId="CommentSubject">
    <w:name w:val="annotation subject"/>
    <w:basedOn w:val="CommentText"/>
    <w:next w:val="CommentText"/>
    <w:link w:val="CommentSubjectChar"/>
    <w:uiPriority w:val="99"/>
    <w:semiHidden/>
    <w:unhideWhenUsed/>
    <w:rsid w:val="00AA6C7C"/>
    <w:rPr>
      <w:b/>
      <w:bCs/>
    </w:rPr>
  </w:style>
  <w:style w:type="character" w:customStyle="1" w:styleId="CommentSubjectChar">
    <w:name w:val="Comment Subject Char"/>
    <w:basedOn w:val="CommentTextChar"/>
    <w:link w:val="CommentSubject"/>
    <w:uiPriority w:val="99"/>
    <w:semiHidden/>
    <w:rsid w:val="00AA6C7C"/>
    <w:rPr>
      <w:b/>
      <w:bCs/>
      <w:sz w:val="20"/>
      <w:szCs w:val="20"/>
    </w:rPr>
  </w:style>
  <w:style w:type="paragraph" w:styleId="BalloonText">
    <w:name w:val="Balloon Text"/>
    <w:basedOn w:val="Normal"/>
    <w:link w:val="BalloonTextChar"/>
    <w:uiPriority w:val="99"/>
    <w:semiHidden/>
    <w:unhideWhenUsed/>
    <w:rsid w:val="00AA6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C7C"/>
    <w:rPr>
      <w:rFonts w:ascii="Segoe UI" w:hAnsi="Segoe UI" w:cs="Segoe UI"/>
      <w:sz w:val="18"/>
      <w:szCs w:val="18"/>
    </w:rPr>
  </w:style>
  <w:style w:type="paragraph" w:styleId="NormalWeb">
    <w:name w:val="Normal (Web)"/>
    <w:basedOn w:val="Normal"/>
    <w:uiPriority w:val="99"/>
    <w:unhideWhenUsed/>
    <w:rsid w:val="0083453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6A7DA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A4501"/>
    <w:rPr>
      <w:rFonts w:ascii="Times New Roman" w:eastAsia="Times New Roman" w:hAnsi="Times New Roman" w:cs="Times New Roman"/>
      <w:b/>
      <w:bCs/>
      <w:kern w:val="36"/>
      <w:sz w:val="48"/>
      <w:szCs w:val="48"/>
      <w:lang w:eastAsia="en-GB"/>
    </w:rPr>
  </w:style>
  <w:style w:type="character" w:customStyle="1" w:styleId="highlight2">
    <w:name w:val="highlight2"/>
    <w:basedOn w:val="DefaultParagraphFont"/>
    <w:rsid w:val="00BA4501"/>
  </w:style>
  <w:style w:type="character" w:customStyle="1" w:styleId="jrnl">
    <w:name w:val="jrnl"/>
    <w:basedOn w:val="DefaultParagraphFont"/>
    <w:rsid w:val="00BA4501"/>
  </w:style>
  <w:style w:type="paragraph" w:styleId="Header">
    <w:name w:val="header"/>
    <w:basedOn w:val="Normal"/>
    <w:link w:val="HeaderChar"/>
    <w:uiPriority w:val="99"/>
    <w:unhideWhenUsed/>
    <w:rsid w:val="00452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7A2"/>
  </w:style>
  <w:style w:type="paragraph" w:styleId="Footer">
    <w:name w:val="footer"/>
    <w:basedOn w:val="Normal"/>
    <w:link w:val="FooterChar"/>
    <w:uiPriority w:val="99"/>
    <w:unhideWhenUsed/>
    <w:rsid w:val="00452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7A2"/>
  </w:style>
  <w:style w:type="character" w:styleId="Emphasis">
    <w:name w:val="Emphasis"/>
    <w:basedOn w:val="DefaultParagraphFont"/>
    <w:uiPriority w:val="20"/>
    <w:qFormat/>
    <w:rsid w:val="009C0532"/>
    <w:rPr>
      <w:i/>
      <w:iCs/>
    </w:rPr>
  </w:style>
  <w:style w:type="paragraph" w:customStyle="1" w:styleId="Paragraph">
    <w:name w:val="Paragraph"/>
    <w:basedOn w:val="Normal"/>
    <w:link w:val="ParagraphChar"/>
    <w:rsid w:val="005D4808"/>
    <w:pPr>
      <w:spacing w:after="250" w:line="300" w:lineRule="atLeast"/>
    </w:pPr>
    <w:rPr>
      <w:rFonts w:ascii="Arial" w:eastAsia="SimSun" w:hAnsi="Arial" w:cs="Times New Roman"/>
      <w:sz w:val="24"/>
      <w:szCs w:val="20"/>
      <w:lang w:val="en-US" w:eastAsia="zh-CN"/>
    </w:rPr>
  </w:style>
  <w:style w:type="character" w:customStyle="1" w:styleId="ParagraphChar">
    <w:name w:val="Paragraph Char"/>
    <w:link w:val="Paragraph"/>
    <w:locked/>
    <w:rsid w:val="005D4808"/>
    <w:rPr>
      <w:rFonts w:ascii="Arial" w:eastAsia="SimSun" w:hAnsi="Arial" w:cs="Times New Roman"/>
      <w:sz w:val="24"/>
      <w:szCs w:val="20"/>
      <w:lang w:val="en-US" w:eastAsia="zh-CN"/>
    </w:rPr>
  </w:style>
  <w:style w:type="paragraph" w:customStyle="1" w:styleId="xInstrux">
    <w:name w:val="xInstrux"/>
    <w:basedOn w:val="Normal"/>
    <w:link w:val="xInstruxChar"/>
    <w:rsid w:val="005D4808"/>
    <w:pPr>
      <w:spacing w:after="120" w:line="280" w:lineRule="exact"/>
    </w:pPr>
    <w:rPr>
      <w:rFonts w:ascii="Arial" w:eastAsia="SimSun" w:hAnsi="Arial" w:cs="Times New Roman"/>
      <w:b/>
      <w:color w:val="FF0000"/>
      <w:sz w:val="28"/>
      <w:szCs w:val="20"/>
      <w:lang w:val="en-US" w:eastAsia="ja-JP"/>
    </w:rPr>
  </w:style>
  <w:style w:type="character" w:customStyle="1" w:styleId="xInstruxChar">
    <w:name w:val="xInstrux Char"/>
    <w:link w:val="xInstrux"/>
    <w:locked/>
    <w:rsid w:val="005D4808"/>
    <w:rPr>
      <w:rFonts w:ascii="Arial" w:eastAsia="SimSun" w:hAnsi="Arial" w:cs="Times New Roman"/>
      <w:b/>
      <w:color w:val="FF0000"/>
      <w:sz w:val="28"/>
      <w:szCs w:val="20"/>
      <w:lang w:val="en-US" w:eastAsia="ja-JP"/>
    </w:rPr>
  </w:style>
  <w:style w:type="paragraph" w:styleId="Revision">
    <w:name w:val="Revision"/>
    <w:hidden/>
    <w:uiPriority w:val="99"/>
    <w:semiHidden/>
    <w:rsid w:val="00B44FFB"/>
    <w:pPr>
      <w:spacing w:after="0" w:line="240" w:lineRule="auto"/>
    </w:pPr>
  </w:style>
  <w:style w:type="paragraph" w:customStyle="1" w:styleId="EndNoteBibliography">
    <w:name w:val="EndNote Bibliography"/>
    <w:basedOn w:val="Normal"/>
    <w:link w:val="EndNoteBibliographyChar"/>
    <w:rsid w:val="008049CB"/>
    <w:pPr>
      <w:spacing w:after="240" w:line="360" w:lineRule="auto"/>
      <w:jc w:val="both"/>
    </w:pPr>
    <w:rPr>
      <w:rFonts w:ascii="Arial" w:eastAsia="Calibri" w:hAnsi="Arial" w:cs="Arial"/>
      <w:noProof/>
      <w:sz w:val="20"/>
      <w:lang w:val="en-US"/>
    </w:rPr>
  </w:style>
  <w:style w:type="character" w:customStyle="1" w:styleId="EndNoteBibliographyChar">
    <w:name w:val="EndNote Bibliography Char"/>
    <w:link w:val="EndNoteBibliography"/>
    <w:rsid w:val="008049CB"/>
    <w:rPr>
      <w:rFonts w:ascii="Arial" w:eastAsia="Calibri" w:hAnsi="Arial" w:cs="Arial"/>
      <w:noProof/>
      <w:sz w:val="20"/>
      <w:lang w:val="en-US"/>
    </w:rPr>
  </w:style>
  <w:style w:type="paragraph" w:styleId="ListBullet">
    <w:name w:val="List Bullet"/>
    <w:basedOn w:val="Normal"/>
    <w:uiPriority w:val="99"/>
    <w:unhideWhenUsed/>
    <w:rsid w:val="00040B7A"/>
    <w:pPr>
      <w:numPr>
        <w:numId w:val="24"/>
      </w:numPr>
      <w:contextualSpacing/>
    </w:pPr>
  </w:style>
  <w:style w:type="character" w:customStyle="1" w:styleId="Heading2Char">
    <w:name w:val="Heading 2 Char"/>
    <w:basedOn w:val="DefaultParagraphFont"/>
    <w:link w:val="Heading2"/>
    <w:uiPriority w:val="9"/>
    <w:semiHidden/>
    <w:rsid w:val="00971F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479">
      <w:bodyDiv w:val="1"/>
      <w:marLeft w:val="0"/>
      <w:marRight w:val="0"/>
      <w:marTop w:val="0"/>
      <w:marBottom w:val="0"/>
      <w:divBdr>
        <w:top w:val="none" w:sz="0" w:space="0" w:color="auto"/>
        <w:left w:val="none" w:sz="0" w:space="0" w:color="auto"/>
        <w:bottom w:val="none" w:sz="0" w:space="0" w:color="auto"/>
        <w:right w:val="none" w:sz="0" w:space="0" w:color="auto"/>
      </w:divBdr>
    </w:div>
    <w:div w:id="128479671">
      <w:bodyDiv w:val="1"/>
      <w:marLeft w:val="0"/>
      <w:marRight w:val="0"/>
      <w:marTop w:val="0"/>
      <w:marBottom w:val="0"/>
      <w:divBdr>
        <w:top w:val="none" w:sz="0" w:space="0" w:color="auto"/>
        <w:left w:val="none" w:sz="0" w:space="0" w:color="auto"/>
        <w:bottom w:val="none" w:sz="0" w:space="0" w:color="auto"/>
        <w:right w:val="none" w:sz="0" w:space="0" w:color="auto"/>
      </w:divBdr>
      <w:divsChild>
        <w:div w:id="1519664207">
          <w:marLeft w:val="274"/>
          <w:marRight w:val="0"/>
          <w:marTop w:val="0"/>
          <w:marBottom w:val="80"/>
          <w:divBdr>
            <w:top w:val="none" w:sz="0" w:space="0" w:color="auto"/>
            <w:left w:val="none" w:sz="0" w:space="0" w:color="auto"/>
            <w:bottom w:val="none" w:sz="0" w:space="0" w:color="auto"/>
            <w:right w:val="none" w:sz="0" w:space="0" w:color="auto"/>
          </w:divBdr>
        </w:div>
        <w:div w:id="1886332421">
          <w:marLeft w:val="274"/>
          <w:marRight w:val="0"/>
          <w:marTop w:val="0"/>
          <w:marBottom w:val="80"/>
          <w:divBdr>
            <w:top w:val="none" w:sz="0" w:space="0" w:color="auto"/>
            <w:left w:val="none" w:sz="0" w:space="0" w:color="auto"/>
            <w:bottom w:val="none" w:sz="0" w:space="0" w:color="auto"/>
            <w:right w:val="none" w:sz="0" w:space="0" w:color="auto"/>
          </w:divBdr>
        </w:div>
        <w:div w:id="1803497659">
          <w:marLeft w:val="274"/>
          <w:marRight w:val="0"/>
          <w:marTop w:val="0"/>
          <w:marBottom w:val="80"/>
          <w:divBdr>
            <w:top w:val="none" w:sz="0" w:space="0" w:color="auto"/>
            <w:left w:val="none" w:sz="0" w:space="0" w:color="auto"/>
            <w:bottom w:val="none" w:sz="0" w:space="0" w:color="auto"/>
            <w:right w:val="none" w:sz="0" w:space="0" w:color="auto"/>
          </w:divBdr>
        </w:div>
      </w:divsChild>
    </w:div>
    <w:div w:id="348486210">
      <w:bodyDiv w:val="1"/>
      <w:marLeft w:val="0"/>
      <w:marRight w:val="0"/>
      <w:marTop w:val="0"/>
      <w:marBottom w:val="0"/>
      <w:divBdr>
        <w:top w:val="none" w:sz="0" w:space="0" w:color="auto"/>
        <w:left w:val="none" w:sz="0" w:space="0" w:color="auto"/>
        <w:bottom w:val="none" w:sz="0" w:space="0" w:color="auto"/>
        <w:right w:val="none" w:sz="0" w:space="0" w:color="auto"/>
      </w:divBdr>
      <w:divsChild>
        <w:div w:id="1011445471">
          <w:marLeft w:val="446"/>
          <w:marRight w:val="0"/>
          <w:marTop w:val="132"/>
          <w:marBottom w:val="0"/>
          <w:divBdr>
            <w:top w:val="none" w:sz="0" w:space="0" w:color="auto"/>
            <w:left w:val="none" w:sz="0" w:space="0" w:color="auto"/>
            <w:bottom w:val="none" w:sz="0" w:space="0" w:color="auto"/>
            <w:right w:val="none" w:sz="0" w:space="0" w:color="auto"/>
          </w:divBdr>
        </w:div>
      </w:divsChild>
    </w:div>
    <w:div w:id="673336103">
      <w:bodyDiv w:val="1"/>
      <w:marLeft w:val="0"/>
      <w:marRight w:val="0"/>
      <w:marTop w:val="0"/>
      <w:marBottom w:val="0"/>
      <w:divBdr>
        <w:top w:val="none" w:sz="0" w:space="0" w:color="auto"/>
        <w:left w:val="none" w:sz="0" w:space="0" w:color="auto"/>
        <w:bottom w:val="none" w:sz="0" w:space="0" w:color="auto"/>
        <w:right w:val="none" w:sz="0" w:space="0" w:color="auto"/>
      </w:divBdr>
      <w:divsChild>
        <w:div w:id="891649894">
          <w:marLeft w:val="0"/>
          <w:marRight w:val="0"/>
          <w:marTop w:val="0"/>
          <w:marBottom w:val="60"/>
          <w:divBdr>
            <w:top w:val="none" w:sz="0" w:space="0" w:color="auto"/>
            <w:left w:val="none" w:sz="0" w:space="0" w:color="auto"/>
            <w:bottom w:val="none" w:sz="0" w:space="0" w:color="auto"/>
            <w:right w:val="none" w:sz="0" w:space="0" w:color="auto"/>
          </w:divBdr>
        </w:div>
      </w:divsChild>
    </w:div>
    <w:div w:id="846484684">
      <w:bodyDiv w:val="1"/>
      <w:marLeft w:val="0"/>
      <w:marRight w:val="0"/>
      <w:marTop w:val="0"/>
      <w:marBottom w:val="0"/>
      <w:divBdr>
        <w:top w:val="none" w:sz="0" w:space="0" w:color="auto"/>
        <w:left w:val="none" w:sz="0" w:space="0" w:color="auto"/>
        <w:bottom w:val="none" w:sz="0" w:space="0" w:color="auto"/>
        <w:right w:val="none" w:sz="0" w:space="0" w:color="auto"/>
      </w:divBdr>
    </w:div>
    <w:div w:id="894780445">
      <w:bodyDiv w:val="1"/>
      <w:marLeft w:val="0"/>
      <w:marRight w:val="0"/>
      <w:marTop w:val="0"/>
      <w:marBottom w:val="0"/>
      <w:divBdr>
        <w:top w:val="none" w:sz="0" w:space="0" w:color="auto"/>
        <w:left w:val="none" w:sz="0" w:space="0" w:color="auto"/>
        <w:bottom w:val="none" w:sz="0" w:space="0" w:color="auto"/>
        <w:right w:val="none" w:sz="0" w:space="0" w:color="auto"/>
      </w:divBdr>
      <w:divsChild>
        <w:div w:id="155072046">
          <w:marLeft w:val="1886"/>
          <w:marRight w:val="0"/>
          <w:marTop w:val="132"/>
          <w:marBottom w:val="0"/>
          <w:divBdr>
            <w:top w:val="none" w:sz="0" w:space="0" w:color="auto"/>
            <w:left w:val="none" w:sz="0" w:space="0" w:color="auto"/>
            <w:bottom w:val="none" w:sz="0" w:space="0" w:color="auto"/>
            <w:right w:val="none" w:sz="0" w:space="0" w:color="auto"/>
          </w:divBdr>
        </w:div>
        <w:div w:id="463816047">
          <w:marLeft w:val="1886"/>
          <w:marRight w:val="0"/>
          <w:marTop w:val="132"/>
          <w:marBottom w:val="0"/>
          <w:divBdr>
            <w:top w:val="none" w:sz="0" w:space="0" w:color="auto"/>
            <w:left w:val="none" w:sz="0" w:space="0" w:color="auto"/>
            <w:bottom w:val="none" w:sz="0" w:space="0" w:color="auto"/>
            <w:right w:val="none" w:sz="0" w:space="0" w:color="auto"/>
          </w:divBdr>
        </w:div>
        <w:div w:id="663823900">
          <w:marLeft w:val="1886"/>
          <w:marRight w:val="0"/>
          <w:marTop w:val="132"/>
          <w:marBottom w:val="0"/>
          <w:divBdr>
            <w:top w:val="none" w:sz="0" w:space="0" w:color="auto"/>
            <w:left w:val="none" w:sz="0" w:space="0" w:color="auto"/>
            <w:bottom w:val="none" w:sz="0" w:space="0" w:color="auto"/>
            <w:right w:val="none" w:sz="0" w:space="0" w:color="auto"/>
          </w:divBdr>
        </w:div>
        <w:div w:id="1195734965">
          <w:marLeft w:val="446"/>
          <w:marRight w:val="0"/>
          <w:marTop w:val="132"/>
          <w:marBottom w:val="0"/>
          <w:divBdr>
            <w:top w:val="none" w:sz="0" w:space="0" w:color="auto"/>
            <w:left w:val="none" w:sz="0" w:space="0" w:color="auto"/>
            <w:bottom w:val="none" w:sz="0" w:space="0" w:color="auto"/>
            <w:right w:val="none" w:sz="0" w:space="0" w:color="auto"/>
          </w:divBdr>
        </w:div>
        <w:div w:id="1421944506">
          <w:marLeft w:val="446"/>
          <w:marRight w:val="0"/>
          <w:marTop w:val="132"/>
          <w:marBottom w:val="0"/>
          <w:divBdr>
            <w:top w:val="none" w:sz="0" w:space="0" w:color="auto"/>
            <w:left w:val="none" w:sz="0" w:space="0" w:color="auto"/>
            <w:bottom w:val="none" w:sz="0" w:space="0" w:color="auto"/>
            <w:right w:val="none" w:sz="0" w:space="0" w:color="auto"/>
          </w:divBdr>
        </w:div>
        <w:div w:id="1965260467">
          <w:marLeft w:val="1166"/>
          <w:marRight w:val="0"/>
          <w:marTop w:val="132"/>
          <w:marBottom w:val="0"/>
          <w:divBdr>
            <w:top w:val="none" w:sz="0" w:space="0" w:color="auto"/>
            <w:left w:val="none" w:sz="0" w:space="0" w:color="auto"/>
            <w:bottom w:val="none" w:sz="0" w:space="0" w:color="auto"/>
            <w:right w:val="none" w:sz="0" w:space="0" w:color="auto"/>
          </w:divBdr>
        </w:div>
      </w:divsChild>
    </w:div>
    <w:div w:id="975991751">
      <w:bodyDiv w:val="1"/>
      <w:marLeft w:val="0"/>
      <w:marRight w:val="0"/>
      <w:marTop w:val="0"/>
      <w:marBottom w:val="0"/>
      <w:divBdr>
        <w:top w:val="none" w:sz="0" w:space="0" w:color="auto"/>
        <w:left w:val="none" w:sz="0" w:space="0" w:color="auto"/>
        <w:bottom w:val="none" w:sz="0" w:space="0" w:color="auto"/>
        <w:right w:val="none" w:sz="0" w:space="0" w:color="auto"/>
      </w:divBdr>
    </w:div>
    <w:div w:id="1015035306">
      <w:bodyDiv w:val="1"/>
      <w:marLeft w:val="0"/>
      <w:marRight w:val="0"/>
      <w:marTop w:val="0"/>
      <w:marBottom w:val="0"/>
      <w:divBdr>
        <w:top w:val="none" w:sz="0" w:space="0" w:color="auto"/>
        <w:left w:val="none" w:sz="0" w:space="0" w:color="auto"/>
        <w:bottom w:val="none" w:sz="0" w:space="0" w:color="auto"/>
        <w:right w:val="none" w:sz="0" w:space="0" w:color="auto"/>
      </w:divBdr>
    </w:div>
    <w:div w:id="1031490331">
      <w:bodyDiv w:val="1"/>
      <w:marLeft w:val="0"/>
      <w:marRight w:val="0"/>
      <w:marTop w:val="0"/>
      <w:marBottom w:val="0"/>
      <w:divBdr>
        <w:top w:val="none" w:sz="0" w:space="0" w:color="auto"/>
        <w:left w:val="none" w:sz="0" w:space="0" w:color="auto"/>
        <w:bottom w:val="none" w:sz="0" w:space="0" w:color="auto"/>
        <w:right w:val="none" w:sz="0" w:space="0" w:color="auto"/>
      </w:divBdr>
    </w:div>
    <w:div w:id="1068456729">
      <w:bodyDiv w:val="1"/>
      <w:marLeft w:val="0"/>
      <w:marRight w:val="0"/>
      <w:marTop w:val="0"/>
      <w:marBottom w:val="0"/>
      <w:divBdr>
        <w:top w:val="none" w:sz="0" w:space="0" w:color="auto"/>
        <w:left w:val="none" w:sz="0" w:space="0" w:color="auto"/>
        <w:bottom w:val="none" w:sz="0" w:space="0" w:color="auto"/>
        <w:right w:val="none" w:sz="0" w:space="0" w:color="auto"/>
      </w:divBdr>
    </w:div>
    <w:div w:id="1109425522">
      <w:bodyDiv w:val="1"/>
      <w:marLeft w:val="0"/>
      <w:marRight w:val="0"/>
      <w:marTop w:val="0"/>
      <w:marBottom w:val="0"/>
      <w:divBdr>
        <w:top w:val="none" w:sz="0" w:space="0" w:color="auto"/>
        <w:left w:val="none" w:sz="0" w:space="0" w:color="auto"/>
        <w:bottom w:val="none" w:sz="0" w:space="0" w:color="auto"/>
        <w:right w:val="none" w:sz="0" w:space="0" w:color="auto"/>
      </w:divBdr>
      <w:divsChild>
        <w:div w:id="460729719">
          <w:marLeft w:val="1166"/>
          <w:marRight w:val="0"/>
          <w:marTop w:val="168"/>
          <w:marBottom w:val="0"/>
          <w:divBdr>
            <w:top w:val="none" w:sz="0" w:space="0" w:color="auto"/>
            <w:left w:val="none" w:sz="0" w:space="0" w:color="auto"/>
            <w:bottom w:val="none" w:sz="0" w:space="0" w:color="auto"/>
            <w:right w:val="none" w:sz="0" w:space="0" w:color="auto"/>
          </w:divBdr>
        </w:div>
        <w:div w:id="533078247">
          <w:marLeft w:val="446"/>
          <w:marRight w:val="0"/>
          <w:marTop w:val="168"/>
          <w:marBottom w:val="0"/>
          <w:divBdr>
            <w:top w:val="none" w:sz="0" w:space="0" w:color="auto"/>
            <w:left w:val="none" w:sz="0" w:space="0" w:color="auto"/>
            <w:bottom w:val="none" w:sz="0" w:space="0" w:color="auto"/>
            <w:right w:val="none" w:sz="0" w:space="0" w:color="auto"/>
          </w:divBdr>
        </w:div>
        <w:div w:id="1333996126">
          <w:marLeft w:val="446"/>
          <w:marRight w:val="0"/>
          <w:marTop w:val="168"/>
          <w:marBottom w:val="0"/>
          <w:divBdr>
            <w:top w:val="none" w:sz="0" w:space="0" w:color="auto"/>
            <w:left w:val="none" w:sz="0" w:space="0" w:color="auto"/>
            <w:bottom w:val="none" w:sz="0" w:space="0" w:color="auto"/>
            <w:right w:val="none" w:sz="0" w:space="0" w:color="auto"/>
          </w:divBdr>
        </w:div>
        <w:div w:id="2118402986">
          <w:marLeft w:val="446"/>
          <w:marRight w:val="0"/>
          <w:marTop w:val="168"/>
          <w:marBottom w:val="0"/>
          <w:divBdr>
            <w:top w:val="none" w:sz="0" w:space="0" w:color="auto"/>
            <w:left w:val="none" w:sz="0" w:space="0" w:color="auto"/>
            <w:bottom w:val="none" w:sz="0" w:space="0" w:color="auto"/>
            <w:right w:val="none" w:sz="0" w:space="0" w:color="auto"/>
          </w:divBdr>
        </w:div>
      </w:divsChild>
    </w:div>
    <w:div w:id="1227299449">
      <w:bodyDiv w:val="1"/>
      <w:marLeft w:val="0"/>
      <w:marRight w:val="0"/>
      <w:marTop w:val="0"/>
      <w:marBottom w:val="0"/>
      <w:divBdr>
        <w:top w:val="none" w:sz="0" w:space="0" w:color="auto"/>
        <w:left w:val="none" w:sz="0" w:space="0" w:color="auto"/>
        <w:bottom w:val="none" w:sz="0" w:space="0" w:color="auto"/>
        <w:right w:val="none" w:sz="0" w:space="0" w:color="auto"/>
      </w:divBdr>
      <w:divsChild>
        <w:div w:id="32197296">
          <w:marLeft w:val="446"/>
          <w:marRight w:val="0"/>
          <w:marTop w:val="132"/>
          <w:marBottom w:val="0"/>
          <w:divBdr>
            <w:top w:val="none" w:sz="0" w:space="0" w:color="auto"/>
            <w:left w:val="none" w:sz="0" w:space="0" w:color="auto"/>
            <w:bottom w:val="none" w:sz="0" w:space="0" w:color="auto"/>
            <w:right w:val="none" w:sz="0" w:space="0" w:color="auto"/>
          </w:divBdr>
        </w:div>
        <w:div w:id="100927000">
          <w:marLeft w:val="1166"/>
          <w:marRight w:val="0"/>
          <w:marTop w:val="132"/>
          <w:marBottom w:val="0"/>
          <w:divBdr>
            <w:top w:val="none" w:sz="0" w:space="0" w:color="auto"/>
            <w:left w:val="none" w:sz="0" w:space="0" w:color="auto"/>
            <w:bottom w:val="none" w:sz="0" w:space="0" w:color="auto"/>
            <w:right w:val="none" w:sz="0" w:space="0" w:color="auto"/>
          </w:divBdr>
        </w:div>
        <w:div w:id="361251576">
          <w:marLeft w:val="446"/>
          <w:marRight w:val="0"/>
          <w:marTop w:val="132"/>
          <w:marBottom w:val="0"/>
          <w:divBdr>
            <w:top w:val="none" w:sz="0" w:space="0" w:color="auto"/>
            <w:left w:val="none" w:sz="0" w:space="0" w:color="auto"/>
            <w:bottom w:val="none" w:sz="0" w:space="0" w:color="auto"/>
            <w:right w:val="none" w:sz="0" w:space="0" w:color="auto"/>
          </w:divBdr>
        </w:div>
        <w:div w:id="1049109968">
          <w:marLeft w:val="1886"/>
          <w:marRight w:val="0"/>
          <w:marTop w:val="132"/>
          <w:marBottom w:val="0"/>
          <w:divBdr>
            <w:top w:val="none" w:sz="0" w:space="0" w:color="auto"/>
            <w:left w:val="none" w:sz="0" w:space="0" w:color="auto"/>
            <w:bottom w:val="none" w:sz="0" w:space="0" w:color="auto"/>
            <w:right w:val="none" w:sz="0" w:space="0" w:color="auto"/>
          </w:divBdr>
        </w:div>
        <w:div w:id="1332832948">
          <w:marLeft w:val="446"/>
          <w:marRight w:val="0"/>
          <w:marTop w:val="132"/>
          <w:marBottom w:val="0"/>
          <w:divBdr>
            <w:top w:val="none" w:sz="0" w:space="0" w:color="auto"/>
            <w:left w:val="none" w:sz="0" w:space="0" w:color="auto"/>
            <w:bottom w:val="none" w:sz="0" w:space="0" w:color="auto"/>
            <w:right w:val="none" w:sz="0" w:space="0" w:color="auto"/>
          </w:divBdr>
        </w:div>
        <w:div w:id="1658605892">
          <w:marLeft w:val="1166"/>
          <w:marRight w:val="0"/>
          <w:marTop w:val="132"/>
          <w:marBottom w:val="0"/>
          <w:divBdr>
            <w:top w:val="none" w:sz="0" w:space="0" w:color="auto"/>
            <w:left w:val="none" w:sz="0" w:space="0" w:color="auto"/>
            <w:bottom w:val="none" w:sz="0" w:space="0" w:color="auto"/>
            <w:right w:val="none" w:sz="0" w:space="0" w:color="auto"/>
          </w:divBdr>
        </w:div>
        <w:div w:id="1817801482">
          <w:marLeft w:val="1166"/>
          <w:marRight w:val="0"/>
          <w:marTop w:val="132"/>
          <w:marBottom w:val="0"/>
          <w:divBdr>
            <w:top w:val="none" w:sz="0" w:space="0" w:color="auto"/>
            <w:left w:val="none" w:sz="0" w:space="0" w:color="auto"/>
            <w:bottom w:val="none" w:sz="0" w:space="0" w:color="auto"/>
            <w:right w:val="none" w:sz="0" w:space="0" w:color="auto"/>
          </w:divBdr>
        </w:div>
        <w:div w:id="1924530565">
          <w:marLeft w:val="1166"/>
          <w:marRight w:val="0"/>
          <w:marTop w:val="132"/>
          <w:marBottom w:val="0"/>
          <w:divBdr>
            <w:top w:val="none" w:sz="0" w:space="0" w:color="auto"/>
            <w:left w:val="none" w:sz="0" w:space="0" w:color="auto"/>
            <w:bottom w:val="none" w:sz="0" w:space="0" w:color="auto"/>
            <w:right w:val="none" w:sz="0" w:space="0" w:color="auto"/>
          </w:divBdr>
        </w:div>
      </w:divsChild>
    </w:div>
    <w:div w:id="1315988685">
      <w:bodyDiv w:val="1"/>
      <w:marLeft w:val="0"/>
      <w:marRight w:val="0"/>
      <w:marTop w:val="0"/>
      <w:marBottom w:val="0"/>
      <w:divBdr>
        <w:top w:val="none" w:sz="0" w:space="0" w:color="auto"/>
        <w:left w:val="none" w:sz="0" w:space="0" w:color="auto"/>
        <w:bottom w:val="none" w:sz="0" w:space="0" w:color="auto"/>
        <w:right w:val="none" w:sz="0" w:space="0" w:color="auto"/>
      </w:divBdr>
    </w:div>
    <w:div w:id="1379628561">
      <w:bodyDiv w:val="1"/>
      <w:marLeft w:val="0"/>
      <w:marRight w:val="0"/>
      <w:marTop w:val="0"/>
      <w:marBottom w:val="0"/>
      <w:divBdr>
        <w:top w:val="none" w:sz="0" w:space="0" w:color="auto"/>
        <w:left w:val="none" w:sz="0" w:space="0" w:color="auto"/>
        <w:bottom w:val="none" w:sz="0" w:space="0" w:color="auto"/>
        <w:right w:val="none" w:sz="0" w:space="0" w:color="auto"/>
      </w:divBdr>
    </w:div>
    <w:div w:id="1395733602">
      <w:bodyDiv w:val="1"/>
      <w:marLeft w:val="0"/>
      <w:marRight w:val="0"/>
      <w:marTop w:val="0"/>
      <w:marBottom w:val="0"/>
      <w:divBdr>
        <w:top w:val="none" w:sz="0" w:space="0" w:color="auto"/>
        <w:left w:val="none" w:sz="0" w:space="0" w:color="auto"/>
        <w:bottom w:val="none" w:sz="0" w:space="0" w:color="auto"/>
        <w:right w:val="none" w:sz="0" w:space="0" w:color="auto"/>
      </w:divBdr>
    </w:div>
    <w:div w:id="1434864429">
      <w:bodyDiv w:val="1"/>
      <w:marLeft w:val="0"/>
      <w:marRight w:val="0"/>
      <w:marTop w:val="0"/>
      <w:marBottom w:val="0"/>
      <w:divBdr>
        <w:top w:val="none" w:sz="0" w:space="0" w:color="auto"/>
        <w:left w:val="none" w:sz="0" w:space="0" w:color="auto"/>
        <w:bottom w:val="none" w:sz="0" w:space="0" w:color="auto"/>
        <w:right w:val="none" w:sz="0" w:space="0" w:color="auto"/>
      </w:divBdr>
      <w:divsChild>
        <w:div w:id="248734092">
          <w:marLeft w:val="547"/>
          <w:marRight w:val="0"/>
          <w:marTop w:val="0"/>
          <w:marBottom w:val="0"/>
          <w:divBdr>
            <w:top w:val="none" w:sz="0" w:space="0" w:color="auto"/>
            <w:left w:val="none" w:sz="0" w:space="0" w:color="auto"/>
            <w:bottom w:val="none" w:sz="0" w:space="0" w:color="auto"/>
            <w:right w:val="none" w:sz="0" w:space="0" w:color="auto"/>
          </w:divBdr>
        </w:div>
      </w:divsChild>
    </w:div>
    <w:div w:id="1463109572">
      <w:bodyDiv w:val="1"/>
      <w:marLeft w:val="0"/>
      <w:marRight w:val="0"/>
      <w:marTop w:val="0"/>
      <w:marBottom w:val="0"/>
      <w:divBdr>
        <w:top w:val="none" w:sz="0" w:space="0" w:color="auto"/>
        <w:left w:val="none" w:sz="0" w:space="0" w:color="auto"/>
        <w:bottom w:val="none" w:sz="0" w:space="0" w:color="auto"/>
        <w:right w:val="none" w:sz="0" w:space="0" w:color="auto"/>
      </w:divBdr>
      <w:divsChild>
        <w:div w:id="589780156">
          <w:marLeft w:val="547"/>
          <w:marRight w:val="0"/>
          <w:marTop w:val="0"/>
          <w:marBottom w:val="0"/>
          <w:divBdr>
            <w:top w:val="none" w:sz="0" w:space="0" w:color="auto"/>
            <w:left w:val="none" w:sz="0" w:space="0" w:color="auto"/>
            <w:bottom w:val="none" w:sz="0" w:space="0" w:color="auto"/>
            <w:right w:val="none" w:sz="0" w:space="0" w:color="auto"/>
          </w:divBdr>
        </w:div>
      </w:divsChild>
    </w:div>
    <w:div w:id="1523864246">
      <w:bodyDiv w:val="1"/>
      <w:marLeft w:val="0"/>
      <w:marRight w:val="0"/>
      <w:marTop w:val="0"/>
      <w:marBottom w:val="0"/>
      <w:divBdr>
        <w:top w:val="none" w:sz="0" w:space="0" w:color="auto"/>
        <w:left w:val="none" w:sz="0" w:space="0" w:color="auto"/>
        <w:bottom w:val="none" w:sz="0" w:space="0" w:color="auto"/>
        <w:right w:val="none" w:sz="0" w:space="0" w:color="auto"/>
      </w:divBdr>
      <w:divsChild>
        <w:div w:id="57561379">
          <w:marLeft w:val="274"/>
          <w:marRight w:val="0"/>
          <w:marTop w:val="144"/>
          <w:marBottom w:val="0"/>
          <w:divBdr>
            <w:top w:val="none" w:sz="0" w:space="0" w:color="auto"/>
            <w:left w:val="none" w:sz="0" w:space="0" w:color="auto"/>
            <w:bottom w:val="none" w:sz="0" w:space="0" w:color="auto"/>
            <w:right w:val="none" w:sz="0" w:space="0" w:color="auto"/>
          </w:divBdr>
        </w:div>
        <w:div w:id="229584994">
          <w:marLeft w:val="274"/>
          <w:marRight w:val="0"/>
          <w:marTop w:val="144"/>
          <w:marBottom w:val="0"/>
          <w:divBdr>
            <w:top w:val="none" w:sz="0" w:space="0" w:color="auto"/>
            <w:left w:val="none" w:sz="0" w:space="0" w:color="auto"/>
            <w:bottom w:val="none" w:sz="0" w:space="0" w:color="auto"/>
            <w:right w:val="none" w:sz="0" w:space="0" w:color="auto"/>
          </w:divBdr>
        </w:div>
        <w:div w:id="1043092445">
          <w:marLeft w:val="274"/>
          <w:marRight w:val="0"/>
          <w:marTop w:val="144"/>
          <w:marBottom w:val="0"/>
          <w:divBdr>
            <w:top w:val="none" w:sz="0" w:space="0" w:color="auto"/>
            <w:left w:val="none" w:sz="0" w:space="0" w:color="auto"/>
            <w:bottom w:val="none" w:sz="0" w:space="0" w:color="auto"/>
            <w:right w:val="none" w:sz="0" w:space="0" w:color="auto"/>
          </w:divBdr>
        </w:div>
        <w:div w:id="1394308614">
          <w:marLeft w:val="994"/>
          <w:marRight w:val="0"/>
          <w:marTop w:val="144"/>
          <w:marBottom w:val="0"/>
          <w:divBdr>
            <w:top w:val="none" w:sz="0" w:space="0" w:color="auto"/>
            <w:left w:val="none" w:sz="0" w:space="0" w:color="auto"/>
            <w:bottom w:val="none" w:sz="0" w:space="0" w:color="auto"/>
            <w:right w:val="none" w:sz="0" w:space="0" w:color="auto"/>
          </w:divBdr>
        </w:div>
      </w:divsChild>
    </w:div>
    <w:div w:id="1558740838">
      <w:bodyDiv w:val="1"/>
      <w:marLeft w:val="0"/>
      <w:marRight w:val="0"/>
      <w:marTop w:val="0"/>
      <w:marBottom w:val="0"/>
      <w:divBdr>
        <w:top w:val="none" w:sz="0" w:space="0" w:color="auto"/>
        <w:left w:val="none" w:sz="0" w:space="0" w:color="auto"/>
        <w:bottom w:val="none" w:sz="0" w:space="0" w:color="auto"/>
        <w:right w:val="none" w:sz="0" w:space="0" w:color="auto"/>
      </w:divBdr>
      <w:divsChild>
        <w:div w:id="1491487618">
          <w:marLeft w:val="994"/>
          <w:marRight w:val="0"/>
          <w:marTop w:val="132"/>
          <w:marBottom w:val="0"/>
          <w:divBdr>
            <w:top w:val="none" w:sz="0" w:space="0" w:color="auto"/>
            <w:left w:val="none" w:sz="0" w:space="0" w:color="auto"/>
            <w:bottom w:val="none" w:sz="0" w:space="0" w:color="auto"/>
            <w:right w:val="none" w:sz="0" w:space="0" w:color="auto"/>
          </w:divBdr>
        </w:div>
        <w:div w:id="1611473009">
          <w:marLeft w:val="994"/>
          <w:marRight w:val="0"/>
          <w:marTop w:val="132"/>
          <w:marBottom w:val="0"/>
          <w:divBdr>
            <w:top w:val="none" w:sz="0" w:space="0" w:color="auto"/>
            <w:left w:val="none" w:sz="0" w:space="0" w:color="auto"/>
            <w:bottom w:val="none" w:sz="0" w:space="0" w:color="auto"/>
            <w:right w:val="none" w:sz="0" w:space="0" w:color="auto"/>
          </w:divBdr>
        </w:div>
      </w:divsChild>
    </w:div>
    <w:div w:id="1570648685">
      <w:bodyDiv w:val="1"/>
      <w:marLeft w:val="0"/>
      <w:marRight w:val="0"/>
      <w:marTop w:val="0"/>
      <w:marBottom w:val="0"/>
      <w:divBdr>
        <w:top w:val="none" w:sz="0" w:space="0" w:color="auto"/>
        <w:left w:val="none" w:sz="0" w:space="0" w:color="auto"/>
        <w:bottom w:val="none" w:sz="0" w:space="0" w:color="auto"/>
        <w:right w:val="none" w:sz="0" w:space="0" w:color="auto"/>
      </w:divBdr>
    </w:div>
    <w:div w:id="1586960036">
      <w:bodyDiv w:val="1"/>
      <w:marLeft w:val="0"/>
      <w:marRight w:val="0"/>
      <w:marTop w:val="0"/>
      <w:marBottom w:val="0"/>
      <w:divBdr>
        <w:top w:val="none" w:sz="0" w:space="0" w:color="auto"/>
        <w:left w:val="none" w:sz="0" w:space="0" w:color="auto"/>
        <w:bottom w:val="none" w:sz="0" w:space="0" w:color="auto"/>
        <w:right w:val="none" w:sz="0" w:space="0" w:color="auto"/>
      </w:divBdr>
      <w:divsChild>
        <w:div w:id="45222138">
          <w:marLeft w:val="1166"/>
          <w:marRight w:val="0"/>
          <w:marTop w:val="168"/>
          <w:marBottom w:val="0"/>
          <w:divBdr>
            <w:top w:val="none" w:sz="0" w:space="0" w:color="auto"/>
            <w:left w:val="none" w:sz="0" w:space="0" w:color="auto"/>
            <w:bottom w:val="none" w:sz="0" w:space="0" w:color="auto"/>
            <w:right w:val="none" w:sz="0" w:space="0" w:color="auto"/>
          </w:divBdr>
        </w:div>
        <w:div w:id="93020969">
          <w:marLeft w:val="446"/>
          <w:marRight w:val="0"/>
          <w:marTop w:val="168"/>
          <w:marBottom w:val="0"/>
          <w:divBdr>
            <w:top w:val="none" w:sz="0" w:space="0" w:color="auto"/>
            <w:left w:val="none" w:sz="0" w:space="0" w:color="auto"/>
            <w:bottom w:val="none" w:sz="0" w:space="0" w:color="auto"/>
            <w:right w:val="none" w:sz="0" w:space="0" w:color="auto"/>
          </w:divBdr>
        </w:div>
        <w:div w:id="212087882">
          <w:marLeft w:val="1166"/>
          <w:marRight w:val="0"/>
          <w:marTop w:val="168"/>
          <w:marBottom w:val="0"/>
          <w:divBdr>
            <w:top w:val="none" w:sz="0" w:space="0" w:color="auto"/>
            <w:left w:val="none" w:sz="0" w:space="0" w:color="auto"/>
            <w:bottom w:val="none" w:sz="0" w:space="0" w:color="auto"/>
            <w:right w:val="none" w:sz="0" w:space="0" w:color="auto"/>
          </w:divBdr>
        </w:div>
        <w:div w:id="1122189817">
          <w:marLeft w:val="446"/>
          <w:marRight w:val="0"/>
          <w:marTop w:val="168"/>
          <w:marBottom w:val="0"/>
          <w:divBdr>
            <w:top w:val="none" w:sz="0" w:space="0" w:color="auto"/>
            <w:left w:val="none" w:sz="0" w:space="0" w:color="auto"/>
            <w:bottom w:val="none" w:sz="0" w:space="0" w:color="auto"/>
            <w:right w:val="none" w:sz="0" w:space="0" w:color="auto"/>
          </w:divBdr>
        </w:div>
        <w:div w:id="1147239079">
          <w:marLeft w:val="446"/>
          <w:marRight w:val="0"/>
          <w:marTop w:val="168"/>
          <w:marBottom w:val="0"/>
          <w:divBdr>
            <w:top w:val="none" w:sz="0" w:space="0" w:color="auto"/>
            <w:left w:val="none" w:sz="0" w:space="0" w:color="auto"/>
            <w:bottom w:val="none" w:sz="0" w:space="0" w:color="auto"/>
            <w:right w:val="none" w:sz="0" w:space="0" w:color="auto"/>
          </w:divBdr>
        </w:div>
        <w:div w:id="1433938239">
          <w:marLeft w:val="1166"/>
          <w:marRight w:val="0"/>
          <w:marTop w:val="168"/>
          <w:marBottom w:val="0"/>
          <w:divBdr>
            <w:top w:val="none" w:sz="0" w:space="0" w:color="auto"/>
            <w:left w:val="none" w:sz="0" w:space="0" w:color="auto"/>
            <w:bottom w:val="none" w:sz="0" w:space="0" w:color="auto"/>
            <w:right w:val="none" w:sz="0" w:space="0" w:color="auto"/>
          </w:divBdr>
        </w:div>
        <w:div w:id="1748573317">
          <w:marLeft w:val="446"/>
          <w:marRight w:val="0"/>
          <w:marTop w:val="168"/>
          <w:marBottom w:val="0"/>
          <w:divBdr>
            <w:top w:val="none" w:sz="0" w:space="0" w:color="auto"/>
            <w:left w:val="none" w:sz="0" w:space="0" w:color="auto"/>
            <w:bottom w:val="none" w:sz="0" w:space="0" w:color="auto"/>
            <w:right w:val="none" w:sz="0" w:space="0" w:color="auto"/>
          </w:divBdr>
        </w:div>
      </w:divsChild>
    </w:div>
    <w:div w:id="1618098712">
      <w:bodyDiv w:val="1"/>
      <w:marLeft w:val="0"/>
      <w:marRight w:val="0"/>
      <w:marTop w:val="0"/>
      <w:marBottom w:val="0"/>
      <w:divBdr>
        <w:top w:val="none" w:sz="0" w:space="0" w:color="auto"/>
        <w:left w:val="none" w:sz="0" w:space="0" w:color="auto"/>
        <w:bottom w:val="none" w:sz="0" w:space="0" w:color="auto"/>
        <w:right w:val="none" w:sz="0" w:space="0" w:color="auto"/>
      </w:divBdr>
    </w:div>
    <w:div w:id="1630090494">
      <w:bodyDiv w:val="1"/>
      <w:marLeft w:val="0"/>
      <w:marRight w:val="0"/>
      <w:marTop w:val="0"/>
      <w:marBottom w:val="0"/>
      <w:divBdr>
        <w:top w:val="none" w:sz="0" w:space="0" w:color="auto"/>
        <w:left w:val="none" w:sz="0" w:space="0" w:color="auto"/>
        <w:bottom w:val="none" w:sz="0" w:space="0" w:color="auto"/>
        <w:right w:val="none" w:sz="0" w:space="0" w:color="auto"/>
      </w:divBdr>
    </w:div>
    <w:div w:id="1702511483">
      <w:bodyDiv w:val="1"/>
      <w:marLeft w:val="0"/>
      <w:marRight w:val="0"/>
      <w:marTop w:val="0"/>
      <w:marBottom w:val="0"/>
      <w:divBdr>
        <w:top w:val="none" w:sz="0" w:space="0" w:color="auto"/>
        <w:left w:val="none" w:sz="0" w:space="0" w:color="auto"/>
        <w:bottom w:val="none" w:sz="0" w:space="0" w:color="auto"/>
        <w:right w:val="none" w:sz="0" w:space="0" w:color="auto"/>
      </w:divBdr>
      <w:divsChild>
        <w:div w:id="205411103">
          <w:marLeft w:val="1210"/>
          <w:marRight w:val="0"/>
          <w:marTop w:val="86"/>
          <w:marBottom w:val="0"/>
          <w:divBdr>
            <w:top w:val="none" w:sz="0" w:space="0" w:color="auto"/>
            <w:left w:val="none" w:sz="0" w:space="0" w:color="auto"/>
            <w:bottom w:val="none" w:sz="0" w:space="0" w:color="auto"/>
            <w:right w:val="none" w:sz="0" w:space="0" w:color="auto"/>
          </w:divBdr>
        </w:div>
        <w:div w:id="251860544">
          <w:marLeft w:val="1210"/>
          <w:marRight w:val="0"/>
          <w:marTop w:val="86"/>
          <w:marBottom w:val="0"/>
          <w:divBdr>
            <w:top w:val="none" w:sz="0" w:space="0" w:color="auto"/>
            <w:left w:val="none" w:sz="0" w:space="0" w:color="auto"/>
            <w:bottom w:val="none" w:sz="0" w:space="0" w:color="auto"/>
            <w:right w:val="none" w:sz="0" w:space="0" w:color="auto"/>
          </w:divBdr>
        </w:div>
        <w:div w:id="1155757659">
          <w:marLeft w:val="1958"/>
          <w:marRight w:val="0"/>
          <w:marTop w:val="58"/>
          <w:marBottom w:val="0"/>
          <w:divBdr>
            <w:top w:val="none" w:sz="0" w:space="0" w:color="auto"/>
            <w:left w:val="none" w:sz="0" w:space="0" w:color="auto"/>
            <w:bottom w:val="none" w:sz="0" w:space="0" w:color="auto"/>
            <w:right w:val="none" w:sz="0" w:space="0" w:color="auto"/>
          </w:divBdr>
        </w:div>
        <w:div w:id="1379090150">
          <w:marLeft w:val="1210"/>
          <w:marRight w:val="0"/>
          <w:marTop w:val="86"/>
          <w:marBottom w:val="0"/>
          <w:divBdr>
            <w:top w:val="none" w:sz="0" w:space="0" w:color="auto"/>
            <w:left w:val="none" w:sz="0" w:space="0" w:color="auto"/>
            <w:bottom w:val="none" w:sz="0" w:space="0" w:color="auto"/>
            <w:right w:val="none" w:sz="0" w:space="0" w:color="auto"/>
          </w:divBdr>
        </w:div>
        <w:div w:id="1392731058">
          <w:marLeft w:val="1210"/>
          <w:marRight w:val="0"/>
          <w:marTop w:val="86"/>
          <w:marBottom w:val="0"/>
          <w:divBdr>
            <w:top w:val="none" w:sz="0" w:space="0" w:color="auto"/>
            <w:left w:val="none" w:sz="0" w:space="0" w:color="auto"/>
            <w:bottom w:val="none" w:sz="0" w:space="0" w:color="auto"/>
            <w:right w:val="none" w:sz="0" w:space="0" w:color="auto"/>
          </w:divBdr>
        </w:div>
        <w:div w:id="1663125259">
          <w:marLeft w:val="446"/>
          <w:marRight w:val="0"/>
          <w:marTop w:val="216"/>
          <w:marBottom w:val="0"/>
          <w:divBdr>
            <w:top w:val="none" w:sz="0" w:space="0" w:color="auto"/>
            <w:left w:val="none" w:sz="0" w:space="0" w:color="auto"/>
            <w:bottom w:val="none" w:sz="0" w:space="0" w:color="auto"/>
            <w:right w:val="none" w:sz="0" w:space="0" w:color="auto"/>
          </w:divBdr>
        </w:div>
        <w:div w:id="1688749597">
          <w:marLeft w:val="1210"/>
          <w:marRight w:val="0"/>
          <w:marTop w:val="86"/>
          <w:marBottom w:val="0"/>
          <w:divBdr>
            <w:top w:val="none" w:sz="0" w:space="0" w:color="auto"/>
            <w:left w:val="none" w:sz="0" w:space="0" w:color="auto"/>
            <w:bottom w:val="none" w:sz="0" w:space="0" w:color="auto"/>
            <w:right w:val="none" w:sz="0" w:space="0" w:color="auto"/>
          </w:divBdr>
        </w:div>
        <w:div w:id="1816531189">
          <w:marLeft w:val="1210"/>
          <w:marRight w:val="0"/>
          <w:marTop w:val="86"/>
          <w:marBottom w:val="0"/>
          <w:divBdr>
            <w:top w:val="none" w:sz="0" w:space="0" w:color="auto"/>
            <w:left w:val="none" w:sz="0" w:space="0" w:color="auto"/>
            <w:bottom w:val="none" w:sz="0" w:space="0" w:color="auto"/>
            <w:right w:val="none" w:sz="0" w:space="0" w:color="auto"/>
          </w:divBdr>
        </w:div>
        <w:div w:id="1903639013">
          <w:marLeft w:val="1958"/>
          <w:marRight w:val="0"/>
          <w:marTop w:val="58"/>
          <w:marBottom w:val="0"/>
          <w:divBdr>
            <w:top w:val="none" w:sz="0" w:space="0" w:color="auto"/>
            <w:left w:val="none" w:sz="0" w:space="0" w:color="auto"/>
            <w:bottom w:val="none" w:sz="0" w:space="0" w:color="auto"/>
            <w:right w:val="none" w:sz="0" w:space="0" w:color="auto"/>
          </w:divBdr>
        </w:div>
      </w:divsChild>
    </w:div>
    <w:div w:id="1781294260">
      <w:bodyDiv w:val="1"/>
      <w:marLeft w:val="0"/>
      <w:marRight w:val="0"/>
      <w:marTop w:val="0"/>
      <w:marBottom w:val="0"/>
      <w:divBdr>
        <w:top w:val="none" w:sz="0" w:space="0" w:color="auto"/>
        <w:left w:val="none" w:sz="0" w:space="0" w:color="auto"/>
        <w:bottom w:val="none" w:sz="0" w:space="0" w:color="auto"/>
        <w:right w:val="none" w:sz="0" w:space="0" w:color="auto"/>
      </w:divBdr>
      <w:divsChild>
        <w:div w:id="1676348826">
          <w:marLeft w:val="274"/>
          <w:marRight w:val="0"/>
          <w:marTop w:val="0"/>
          <w:marBottom w:val="80"/>
          <w:divBdr>
            <w:top w:val="none" w:sz="0" w:space="0" w:color="auto"/>
            <w:left w:val="none" w:sz="0" w:space="0" w:color="auto"/>
            <w:bottom w:val="none" w:sz="0" w:space="0" w:color="auto"/>
            <w:right w:val="none" w:sz="0" w:space="0" w:color="auto"/>
          </w:divBdr>
        </w:div>
      </w:divsChild>
    </w:div>
    <w:div w:id="1956014774">
      <w:bodyDiv w:val="1"/>
      <w:marLeft w:val="0"/>
      <w:marRight w:val="0"/>
      <w:marTop w:val="0"/>
      <w:marBottom w:val="0"/>
      <w:divBdr>
        <w:top w:val="none" w:sz="0" w:space="0" w:color="auto"/>
        <w:left w:val="none" w:sz="0" w:space="0" w:color="auto"/>
        <w:bottom w:val="none" w:sz="0" w:space="0" w:color="auto"/>
        <w:right w:val="none" w:sz="0" w:space="0" w:color="auto"/>
      </w:divBdr>
    </w:div>
    <w:div w:id="20448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3969-C81C-41E5-AC65-B35393D9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2018-06-05T13:32:00Z</dcterms:created>
  <dcterms:modified xsi:type="dcterms:W3CDTF">2018-06-05T13:32:00Z</dcterms:modified>
</cp:coreProperties>
</file>